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3EA" w:rsidRDefault="005613EA" w:rsidP="005613EA">
      <w:pPr>
        <w:spacing w:line="240" w:lineRule="auto"/>
        <w:jc w:val="left"/>
        <w:rPr>
          <w:szCs w:val="6"/>
        </w:rPr>
        <w:sectPr w:rsidR="005613EA" w:rsidSect="005613E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CD3849" w:rsidRDefault="001B32C9" w:rsidP="001B32C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1B32C9" w:rsidRPr="001B32C9" w:rsidRDefault="001B32C9" w:rsidP="001B32C9">
      <w:pPr>
        <w:tabs>
          <w:tab w:val="left" w:pos="662"/>
          <w:tab w:val="left" w:pos="1267"/>
          <w:tab w:val="left" w:pos="1987"/>
          <w:tab w:val="left" w:pos="2650"/>
        </w:tabs>
        <w:rPr>
          <w:rFonts w:hint="cs"/>
          <w:b/>
          <w:bCs/>
          <w:rtl/>
        </w:rPr>
      </w:pPr>
      <w:r w:rsidRPr="001B32C9">
        <w:rPr>
          <w:rFonts w:hint="cs"/>
          <w:b/>
          <w:bCs/>
          <w:rtl/>
        </w:rPr>
        <w:t>الفريق العامل لما قبل الدورة</w:t>
      </w:r>
    </w:p>
    <w:p w:rsidR="001B32C9" w:rsidRPr="001B32C9" w:rsidRDefault="001B32C9" w:rsidP="001B32C9">
      <w:pPr>
        <w:tabs>
          <w:tab w:val="left" w:pos="662"/>
          <w:tab w:val="left" w:pos="1267"/>
          <w:tab w:val="left" w:pos="1987"/>
          <w:tab w:val="left" w:pos="2650"/>
        </w:tabs>
        <w:rPr>
          <w:rFonts w:hint="cs"/>
          <w:b/>
          <w:bCs/>
          <w:rtl/>
        </w:rPr>
      </w:pPr>
      <w:r w:rsidRPr="001B32C9">
        <w:rPr>
          <w:rFonts w:hint="cs"/>
          <w:b/>
          <w:bCs/>
          <w:rtl/>
        </w:rPr>
        <w:t>الدورة التاسعة والثلاثون</w:t>
      </w:r>
    </w:p>
    <w:p w:rsidR="001B32C9" w:rsidRDefault="001B32C9" w:rsidP="001B32C9">
      <w:pPr>
        <w:tabs>
          <w:tab w:val="left" w:pos="662"/>
          <w:tab w:val="left" w:pos="1267"/>
          <w:tab w:val="left" w:pos="1987"/>
          <w:tab w:val="left" w:pos="2650"/>
        </w:tabs>
        <w:rPr>
          <w:rFonts w:hint="cs"/>
          <w:rtl/>
        </w:rPr>
      </w:pPr>
      <w:r>
        <w:rPr>
          <w:rFonts w:hint="cs"/>
          <w:rtl/>
        </w:rPr>
        <w:t>23 تموز/يوليه - 10 آب/أغسطس 2007</w:t>
      </w:r>
    </w:p>
    <w:p w:rsidR="001B32C9" w:rsidRPr="001B32C9" w:rsidRDefault="001B32C9" w:rsidP="001B32C9">
      <w:pPr>
        <w:pStyle w:val="SingleTxt"/>
        <w:spacing w:after="0" w:line="120" w:lineRule="exact"/>
        <w:rPr>
          <w:rFonts w:hint="cs"/>
          <w:sz w:val="12"/>
          <w:rtl/>
        </w:rPr>
      </w:pPr>
    </w:p>
    <w:p w:rsidR="001B32C9" w:rsidRPr="001B32C9" w:rsidRDefault="001B32C9" w:rsidP="001B32C9">
      <w:pPr>
        <w:pStyle w:val="SingleTxt"/>
        <w:spacing w:after="0" w:line="120" w:lineRule="exact"/>
        <w:rPr>
          <w:rFonts w:hint="cs"/>
          <w:sz w:val="12"/>
          <w:rtl/>
        </w:rPr>
      </w:pPr>
    </w:p>
    <w:p w:rsidR="006D7C2D" w:rsidRPr="006D7C2D" w:rsidRDefault="006D7C2D" w:rsidP="006D7C2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6D7C2D">
        <w:rPr>
          <w:rtl/>
        </w:rPr>
        <w:t>قائمة القضايا والأسئلة المطروحة فيما يتعلق بالنظر في التقارير الدورية</w:t>
      </w:r>
    </w:p>
    <w:p w:rsidR="006D7C2D" w:rsidRPr="006D7C2D" w:rsidRDefault="006D7C2D" w:rsidP="006D7C2D">
      <w:pPr>
        <w:pStyle w:val="SingleTxt"/>
        <w:spacing w:after="0" w:line="120" w:lineRule="exact"/>
        <w:rPr>
          <w:sz w:val="12"/>
          <w:rtl/>
          <w:lang w:val="en-GB"/>
        </w:rPr>
      </w:pPr>
    </w:p>
    <w:p w:rsidR="006D7C2D" w:rsidRPr="006D7C2D"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D7C2D" w:rsidRPr="006D7C2D">
        <w:rPr>
          <w:rtl/>
        </w:rPr>
        <w:t>إستونيا</w:t>
      </w:r>
    </w:p>
    <w:p w:rsidR="006D7C2D" w:rsidRPr="006D7C2D" w:rsidRDefault="006D7C2D" w:rsidP="006D7C2D">
      <w:pPr>
        <w:pStyle w:val="SingleTxt"/>
        <w:rPr>
          <w:rtl/>
        </w:rPr>
      </w:pPr>
      <w:r w:rsidRPr="006D7C2D">
        <w:rPr>
          <w:rFonts w:hint="cs"/>
          <w:rtl/>
        </w:rPr>
        <w:t>1 -</w:t>
      </w:r>
      <w:r w:rsidRPr="006D7C2D">
        <w:rPr>
          <w:lang w:val="en-GB"/>
        </w:rPr>
        <w:tab/>
      </w:r>
      <w:r w:rsidRPr="006D7C2D">
        <w:rPr>
          <w:rtl/>
        </w:rPr>
        <w:t>بحث الفريق العامل لما قبل الدورة التقرير الدوري الرابع لإستونيا (</w:t>
      </w:r>
      <w:r w:rsidRPr="006D7C2D">
        <w:t>CEDAW/C/EST/4</w:t>
      </w:r>
      <w:r w:rsidRPr="006D7C2D">
        <w:rPr>
          <w:rtl/>
        </w:rPr>
        <w:t>).</w:t>
      </w:r>
    </w:p>
    <w:p w:rsidR="006D7C2D" w:rsidRPr="006D7C2D" w:rsidRDefault="006D7C2D" w:rsidP="006D7C2D">
      <w:pPr>
        <w:pStyle w:val="SingleTxt"/>
        <w:spacing w:after="0" w:line="120" w:lineRule="exact"/>
        <w:rPr>
          <w:sz w:val="12"/>
          <w:rtl/>
        </w:rPr>
      </w:pPr>
    </w:p>
    <w:p w:rsidR="006D7C2D" w:rsidRPr="006D7C2D" w:rsidRDefault="006D7C2D" w:rsidP="006D7C2D">
      <w:pPr>
        <w:pStyle w:val="SingleTxt"/>
        <w:rPr>
          <w:b/>
          <w:rtl/>
        </w:rPr>
      </w:pPr>
      <w:r w:rsidRPr="006D7C2D">
        <w:rPr>
          <w:b/>
          <w:bCs/>
          <w:rtl/>
        </w:rPr>
        <w:t>الدستور وال</w:t>
      </w:r>
      <w:r>
        <w:rPr>
          <w:rFonts w:hint="cs"/>
          <w:b/>
          <w:bCs/>
          <w:rtl/>
        </w:rPr>
        <w:t xml:space="preserve">قوانين </w:t>
      </w:r>
      <w:r w:rsidRPr="006D7C2D">
        <w:rPr>
          <w:b/>
          <w:bCs/>
          <w:rtl/>
        </w:rPr>
        <w:t>والآلية الوطنية</w:t>
      </w:r>
    </w:p>
    <w:p w:rsidR="006D7C2D" w:rsidRPr="006D7C2D" w:rsidRDefault="006D7C2D" w:rsidP="006D7C2D">
      <w:pPr>
        <w:pStyle w:val="SingleTxt"/>
        <w:rPr>
          <w:rtl/>
        </w:rPr>
      </w:pPr>
      <w:r w:rsidRPr="006D7C2D">
        <w:rPr>
          <w:rFonts w:hint="cs"/>
          <w:rtl/>
        </w:rPr>
        <w:t>2 -</w:t>
      </w:r>
      <w:r w:rsidRPr="006D7C2D">
        <w:rPr>
          <w:lang w:val="en-GB"/>
        </w:rPr>
        <w:tab/>
      </w:r>
      <w:r w:rsidRPr="006D7C2D">
        <w:rPr>
          <w:rtl/>
        </w:rPr>
        <w:t>يرجى تقديم معلومات عن تنفيذ قانون المساواة بين الجنسين و</w:t>
      </w:r>
      <w:r>
        <w:rPr>
          <w:rFonts w:hint="cs"/>
          <w:rtl/>
        </w:rPr>
        <w:t xml:space="preserve">أثره </w:t>
      </w:r>
      <w:r w:rsidRPr="006D7C2D">
        <w:rPr>
          <w:rtl/>
        </w:rPr>
        <w:t>على تعزيز المساواة بين الجنسين.</w:t>
      </w:r>
    </w:p>
    <w:p w:rsidR="006D7C2D" w:rsidRPr="006D7C2D" w:rsidRDefault="006D7C2D" w:rsidP="00E81D3A">
      <w:pPr>
        <w:pStyle w:val="SingleTxt"/>
        <w:rPr>
          <w:rtl/>
        </w:rPr>
      </w:pPr>
      <w:r w:rsidRPr="006D7C2D">
        <w:rPr>
          <w:rFonts w:hint="cs"/>
          <w:rtl/>
        </w:rPr>
        <w:t>3 -</w:t>
      </w:r>
      <w:r w:rsidRPr="006D7C2D">
        <w:rPr>
          <w:lang w:val="en-GB"/>
        </w:rPr>
        <w:tab/>
      </w:r>
      <w:r w:rsidRPr="006D7C2D">
        <w:rPr>
          <w:rtl/>
        </w:rPr>
        <w:t xml:space="preserve">ورد في التقرير أنه، بموجب قانون المساواة بين الجنسين، </w:t>
      </w:r>
      <w:r>
        <w:rPr>
          <w:rFonts w:hint="cs"/>
          <w:rtl/>
        </w:rPr>
        <w:t>”لا يعد أيضا</w:t>
      </w:r>
      <w:r w:rsidRPr="006D7C2D">
        <w:rPr>
          <w:rtl/>
        </w:rPr>
        <w:t xml:space="preserve"> من قبيل التمييز منح معاملة مختلفة</w:t>
      </w:r>
      <w:r w:rsidR="00E81D3A">
        <w:rPr>
          <w:rFonts w:hint="cs"/>
          <w:rtl/>
        </w:rPr>
        <w:t xml:space="preserve"> لشخص </w:t>
      </w:r>
      <w:r w:rsidRPr="006D7C2D">
        <w:rPr>
          <w:rtl/>
        </w:rPr>
        <w:t xml:space="preserve">استنادا إلى </w:t>
      </w:r>
      <w:r>
        <w:rPr>
          <w:rtl/>
        </w:rPr>
        <w:t>نوع الجنس في توظيف ذلك الشخص أو</w:t>
      </w:r>
      <w:r>
        <w:rPr>
          <w:rFonts w:hint="cs"/>
          <w:rtl/>
        </w:rPr>
        <w:t> </w:t>
      </w:r>
      <w:r w:rsidRPr="006D7C2D">
        <w:rPr>
          <w:rtl/>
        </w:rPr>
        <w:t>تمكينه من الحصول على التدريب اللازم لتوظيف</w:t>
      </w:r>
      <w:r>
        <w:rPr>
          <w:rtl/>
        </w:rPr>
        <w:t>ه، إذا كان نوع جنس ذلك الشخص هو</w:t>
      </w:r>
      <w:r>
        <w:rPr>
          <w:rFonts w:hint="cs"/>
          <w:rtl/>
        </w:rPr>
        <w:t> </w:t>
      </w:r>
      <w:r w:rsidRPr="006D7C2D">
        <w:rPr>
          <w:rtl/>
        </w:rPr>
        <w:t>مطلب أساسي ومحدد بسبب طابع الأنشطة المهنية المع</w:t>
      </w:r>
      <w:r>
        <w:rPr>
          <w:rtl/>
        </w:rPr>
        <w:t>ينة التي تنطوي عليها الوظيفة أو</w:t>
      </w:r>
      <w:r>
        <w:rPr>
          <w:rFonts w:hint="cs"/>
          <w:rtl/>
        </w:rPr>
        <w:t> </w:t>
      </w:r>
      <w:r w:rsidRPr="006D7C2D">
        <w:rPr>
          <w:rtl/>
        </w:rPr>
        <w:t>بسبب السياق الذي تجري فيه تلك الأنشطة، بشرط أن يكون هدف التمييز مشروعا والمطلب متناسبا</w:t>
      </w:r>
      <w:r>
        <w:rPr>
          <w:rFonts w:hint="cs"/>
          <w:rtl/>
        </w:rPr>
        <w:t xml:space="preserve">“. </w:t>
      </w:r>
      <w:r w:rsidRPr="006D7C2D">
        <w:rPr>
          <w:rtl/>
        </w:rPr>
        <w:t>ويشير التقرير إلى حكم مشابه فيما يتعلق بعروض التعليم والتدريب</w:t>
      </w:r>
      <w:r>
        <w:rPr>
          <w:rFonts w:hint="cs"/>
          <w:rtl/>
        </w:rPr>
        <w:t xml:space="preserve">. </w:t>
      </w:r>
      <w:r w:rsidRPr="006D7C2D">
        <w:rPr>
          <w:rtl/>
        </w:rPr>
        <w:t>يرجى سوق أمثلة عما هو متوخى في إطار هذه الأحكام وعن كيفية تنفيذها عمليا.</w:t>
      </w:r>
    </w:p>
    <w:p w:rsidR="006D7C2D" w:rsidRPr="006D7C2D" w:rsidRDefault="006D7C2D" w:rsidP="006D7C2D">
      <w:pPr>
        <w:pStyle w:val="SingleTxt"/>
        <w:rPr>
          <w:rtl/>
        </w:rPr>
      </w:pPr>
      <w:r w:rsidRPr="006D7C2D">
        <w:rPr>
          <w:rFonts w:hint="cs"/>
          <w:rtl/>
        </w:rPr>
        <w:t>4 -</w:t>
      </w:r>
      <w:r w:rsidRPr="006D7C2D">
        <w:rPr>
          <w:lang w:val="en-GB"/>
        </w:rPr>
        <w:tab/>
      </w:r>
      <w:r w:rsidRPr="006D7C2D">
        <w:rPr>
          <w:rtl/>
        </w:rPr>
        <w:t>نظرا ل</w:t>
      </w:r>
      <w:r>
        <w:rPr>
          <w:rFonts w:hint="cs"/>
          <w:rtl/>
        </w:rPr>
        <w:t xml:space="preserve">عدم وجود </w:t>
      </w:r>
      <w:r w:rsidRPr="006D7C2D">
        <w:rPr>
          <w:rtl/>
        </w:rPr>
        <w:t xml:space="preserve">أي معلومات تفيد بأن أحكام الاتفاقية </w:t>
      </w:r>
      <w:r>
        <w:rPr>
          <w:rFonts w:hint="cs"/>
          <w:rtl/>
        </w:rPr>
        <w:t>ت</w:t>
      </w:r>
      <w:r w:rsidRPr="006D7C2D">
        <w:rPr>
          <w:rtl/>
        </w:rPr>
        <w:t>طب</w:t>
      </w:r>
      <w:r>
        <w:rPr>
          <w:rFonts w:hint="cs"/>
          <w:rtl/>
        </w:rPr>
        <w:t>ّ</w:t>
      </w:r>
      <w:r w:rsidRPr="006D7C2D">
        <w:rPr>
          <w:rtl/>
        </w:rPr>
        <w:t>ق بشكل مباشر من قبل المحاكم، يرجى تقديم معلومات عن الأسباب التي يمكن أن ت</w:t>
      </w:r>
      <w:r>
        <w:rPr>
          <w:rFonts w:hint="cs"/>
          <w:rtl/>
        </w:rPr>
        <w:t xml:space="preserve">علل </w:t>
      </w:r>
      <w:r w:rsidRPr="006D7C2D">
        <w:rPr>
          <w:rtl/>
        </w:rPr>
        <w:t>هذا الوضع.</w:t>
      </w:r>
    </w:p>
    <w:p w:rsidR="006D7C2D" w:rsidRPr="006D7C2D" w:rsidRDefault="006D7C2D" w:rsidP="00B2184A">
      <w:pPr>
        <w:pStyle w:val="SingleTxt"/>
        <w:spacing w:line="380" w:lineRule="exact"/>
        <w:rPr>
          <w:rtl/>
        </w:rPr>
      </w:pPr>
      <w:r w:rsidRPr="006D7C2D">
        <w:rPr>
          <w:rFonts w:hint="cs"/>
          <w:rtl/>
        </w:rPr>
        <w:t>5 -</w:t>
      </w:r>
      <w:r w:rsidRPr="006D7C2D">
        <w:rPr>
          <w:lang w:val="en-GB"/>
        </w:rPr>
        <w:tab/>
      </w:r>
      <w:r w:rsidRPr="006D7C2D">
        <w:rPr>
          <w:rtl/>
        </w:rPr>
        <w:t>حسبما ورد في التقرير، سوف يتم إنشاء مؤسستين جديدتين وفقا لقانون المساواة بين الجنسين هما - مفوض شؤون المساواة بين الجنسين، ومجلس المساواة بين الجنسين</w:t>
      </w:r>
      <w:r>
        <w:rPr>
          <w:rFonts w:hint="cs"/>
          <w:rtl/>
        </w:rPr>
        <w:t xml:space="preserve">. </w:t>
      </w:r>
      <w:r w:rsidRPr="006D7C2D">
        <w:rPr>
          <w:rtl/>
        </w:rPr>
        <w:t>يرجى تقديم معلومات عما إذا كانت هاتان المؤسستان قد أنشئتا وعن أنشطتهما وملاكهما الوظيفي ومواردهما.</w:t>
      </w:r>
    </w:p>
    <w:p w:rsidR="006D7C2D" w:rsidRPr="006D7C2D" w:rsidRDefault="006D7C2D" w:rsidP="00B2184A">
      <w:pPr>
        <w:pStyle w:val="SingleTxt"/>
        <w:spacing w:line="380" w:lineRule="exact"/>
        <w:rPr>
          <w:rtl/>
        </w:rPr>
      </w:pPr>
      <w:r w:rsidRPr="006D7C2D">
        <w:rPr>
          <w:rFonts w:hint="cs"/>
          <w:rtl/>
        </w:rPr>
        <w:t>6 -</w:t>
      </w:r>
      <w:r w:rsidRPr="006D7C2D">
        <w:rPr>
          <w:lang w:val="en-GB"/>
        </w:rPr>
        <w:tab/>
      </w:r>
      <w:r w:rsidRPr="006D7C2D">
        <w:rPr>
          <w:rtl/>
        </w:rPr>
        <w:t>يرجى تقديم معلومات عن أنشطة اللجنة المشتركة بين الوزارات لتعزيز المساواة بين الجنسين وعن نتائج تلك الأنشطة، فضلا عن العلاقة التي تربط هذا الجهاز بالمؤسستين الجديدتين المذكورتين أعلاه</w:t>
      </w:r>
      <w:r>
        <w:rPr>
          <w:rFonts w:hint="cs"/>
          <w:rtl/>
        </w:rPr>
        <w:t xml:space="preserve">. </w:t>
      </w:r>
      <w:r w:rsidRPr="006D7C2D">
        <w:rPr>
          <w:rtl/>
        </w:rPr>
        <w:t>ويرجى أيضا بيان حالة الوثيقة الأساسية للسياسة العامة المتعلقة بالمساواة بين الجنسين، بما في ذلك ما إذا كانت قد اعتمدت</w:t>
      </w:r>
      <w:r>
        <w:rPr>
          <w:rFonts w:hint="cs"/>
          <w:rtl/>
        </w:rPr>
        <w:t>،</w:t>
      </w:r>
      <w:r>
        <w:rPr>
          <w:rtl/>
        </w:rPr>
        <w:t xml:space="preserve"> فضلا عن الأنشطة المضطلع بها</w:t>
      </w:r>
      <w:r>
        <w:rPr>
          <w:rFonts w:hint="cs"/>
          <w:rtl/>
        </w:rPr>
        <w:t> </w:t>
      </w:r>
      <w:r w:rsidRPr="006D7C2D">
        <w:rPr>
          <w:rtl/>
        </w:rPr>
        <w:t>في إطار السياسة العامة وأثرها على تعزيز المساواة بين الجنسين.</w:t>
      </w:r>
    </w:p>
    <w:p w:rsidR="006D7C2D" w:rsidRDefault="006D7C2D" w:rsidP="00B2184A">
      <w:pPr>
        <w:pStyle w:val="SingleTxt"/>
        <w:spacing w:line="380" w:lineRule="exact"/>
        <w:rPr>
          <w:rFonts w:hint="cs"/>
          <w:rtl/>
        </w:rPr>
      </w:pPr>
      <w:r w:rsidRPr="006D7C2D">
        <w:rPr>
          <w:rFonts w:hint="cs"/>
          <w:rtl/>
        </w:rPr>
        <w:t>7 -</w:t>
      </w:r>
      <w:r w:rsidRPr="006D7C2D">
        <w:rPr>
          <w:lang w:val="en-GB"/>
        </w:rPr>
        <w:tab/>
      </w:r>
      <w:r w:rsidRPr="006D7C2D">
        <w:rPr>
          <w:rtl/>
        </w:rPr>
        <w:t>أشارت اللجنة في تعليقاتها الختامية لعام 2002 إلى أن التحو</w:t>
      </w:r>
      <w:r>
        <w:rPr>
          <w:rFonts w:hint="cs"/>
          <w:rtl/>
        </w:rPr>
        <w:t>ُّ</w:t>
      </w:r>
      <w:r w:rsidRPr="006D7C2D">
        <w:rPr>
          <w:rtl/>
        </w:rPr>
        <w:t>ل الاقتصادي من اقتصاد مخطط مركزيا إلى اقتصاد سوقي خلال العقد الأخير شك</w:t>
      </w:r>
      <w:r>
        <w:rPr>
          <w:rFonts w:hint="cs"/>
          <w:rtl/>
        </w:rPr>
        <w:t>ّ</w:t>
      </w:r>
      <w:r w:rsidRPr="006D7C2D">
        <w:rPr>
          <w:rtl/>
        </w:rPr>
        <w:t>ل تحديات خطيرة للتنفيذ الفعال للاتفاقية، و</w:t>
      </w:r>
      <w:r w:rsidRPr="006D7C2D">
        <w:rPr>
          <w:rFonts w:hint="cs"/>
          <w:rtl/>
        </w:rPr>
        <w:t xml:space="preserve">أشارت </w:t>
      </w:r>
      <w:r w:rsidRPr="006D7C2D">
        <w:rPr>
          <w:rtl/>
        </w:rPr>
        <w:t>إلى أن عمليات إعادة ا</w:t>
      </w:r>
      <w:r>
        <w:rPr>
          <w:rtl/>
        </w:rPr>
        <w:t>لهيكلة أثرت على النساء بشكل غير</w:t>
      </w:r>
      <w:r>
        <w:rPr>
          <w:rFonts w:hint="cs"/>
          <w:rtl/>
        </w:rPr>
        <w:t> </w:t>
      </w:r>
      <w:r w:rsidRPr="006D7C2D">
        <w:rPr>
          <w:rtl/>
        </w:rPr>
        <w:t>متناسب</w:t>
      </w:r>
      <w:r w:rsidRPr="006D7C2D">
        <w:rPr>
          <w:vertAlign w:val="superscript"/>
          <w:rtl/>
        </w:rPr>
        <w:t>(</w:t>
      </w:r>
      <w:r>
        <w:rPr>
          <w:rStyle w:val="FootnoteReference"/>
          <w:rtl/>
        </w:rPr>
        <w:footnoteReference w:id="1"/>
      </w:r>
      <w:r w:rsidRPr="006D7C2D">
        <w:rPr>
          <w:vertAlign w:val="superscript"/>
          <w:rtl/>
        </w:rPr>
        <w:t>)</w:t>
      </w:r>
      <w:r w:rsidRPr="006D7C2D">
        <w:rPr>
          <w:rtl/>
        </w:rPr>
        <w:t>.</w:t>
      </w:r>
      <w:r>
        <w:rPr>
          <w:rFonts w:hint="cs"/>
          <w:rtl/>
        </w:rPr>
        <w:t xml:space="preserve"> </w:t>
      </w:r>
      <w:r w:rsidRPr="006D7C2D">
        <w:rPr>
          <w:rtl/>
        </w:rPr>
        <w:t>يرجى تقديم معلومات عن استمرار الأثر غير المتناسب الذي يخ</w:t>
      </w:r>
      <w:r>
        <w:rPr>
          <w:rFonts w:hint="cs"/>
          <w:rtl/>
        </w:rPr>
        <w:t>لفه</w:t>
      </w:r>
      <w:r w:rsidRPr="006D7C2D">
        <w:rPr>
          <w:rtl/>
        </w:rPr>
        <w:t xml:space="preserve"> إطار العمل الحالي للاقتصاد الكلي في البلد على النساء، وعن الخطوات التي تتخذها الحكومة للتخفيف من حدة هذا الأثر أو منعه أو </w:t>
      </w:r>
      <w:r>
        <w:rPr>
          <w:rFonts w:hint="cs"/>
          <w:rtl/>
        </w:rPr>
        <w:t>التغلب عليه</w:t>
      </w:r>
      <w:r w:rsidRPr="006D7C2D">
        <w:rPr>
          <w:rtl/>
        </w:rPr>
        <w:t>.</w:t>
      </w:r>
    </w:p>
    <w:p w:rsidR="006D7C2D" w:rsidRPr="006D7C2D" w:rsidRDefault="006D7C2D" w:rsidP="006D7C2D">
      <w:pPr>
        <w:pStyle w:val="SingleTxt"/>
        <w:spacing w:after="0" w:line="120" w:lineRule="exact"/>
        <w:rPr>
          <w:rFonts w:hint="cs"/>
          <w:sz w:val="12"/>
          <w:rtl/>
        </w:rPr>
      </w:pPr>
    </w:p>
    <w:p w:rsidR="006D7C2D" w:rsidRPr="006D7C2D" w:rsidRDefault="00B2184A" w:rsidP="003A5F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jc w:val="lowKashida"/>
        <w:rPr>
          <w:rtl/>
        </w:rPr>
      </w:pPr>
      <w:r>
        <w:rPr>
          <w:rFonts w:hint="cs"/>
          <w:rtl/>
        </w:rPr>
        <w:tab/>
      </w:r>
      <w:r>
        <w:rPr>
          <w:rFonts w:hint="cs"/>
          <w:rtl/>
        </w:rPr>
        <w:tab/>
      </w:r>
      <w:r w:rsidR="006D7C2D" w:rsidRPr="006D7C2D">
        <w:rPr>
          <w:rtl/>
        </w:rPr>
        <w:t>التدابير الخاصة المؤقتة</w:t>
      </w:r>
    </w:p>
    <w:p w:rsidR="006D7C2D" w:rsidRPr="006D7C2D" w:rsidRDefault="006D7C2D" w:rsidP="00B2184A">
      <w:pPr>
        <w:pStyle w:val="SingleTxt"/>
        <w:spacing w:line="380" w:lineRule="exact"/>
        <w:rPr>
          <w:rtl/>
        </w:rPr>
      </w:pPr>
      <w:r w:rsidRPr="006D7C2D">
        <w:rPr>
          <w:rFonts w:hint="cs"/>
          <w:rtl/>
        </w:rPr>
        <w:t>8 -</w:t>
      </w:r>
      <w:r w:rsidRPr="006D7C2D">
        <w:rPr>
          <w:lang w:val="en-GB"/>
        </w:rPr>
        <w:tab/>
      </w:r>
      <w:r w:rsidRPr="006D7C2D">
        <w:rPr>
          <w:rtl/>
        </w:rPr>
        <w:t>أوصت اللجنة في تعليقاتها الختامية لعام 2002 بأن تستحدث الدولة الطرف تدابير خاصة مؤقتة، وفقا للفقرة 1 من المادة 4 من الاتفاقية، وذلك في جملة من الميادين، منها ميادين التعليم والعمالة والسياسة</w:t>
      </w:r>
      <w:r w:rsidR="0099026D" w:rsidRPr="0099026D">
        <w:rPr>
          <w:vertAlign w:val="superscript"/>
          <w:rtl/>
        </w:rPr>
        <w:t>(</w:t>
      </w:r>
      <w:r w:rsidR="0099026D">
        <w:rPr>
          <w:rStyle w:val="FootnoteReference"/>
          <w:rtl/>
        </w:rPr>
        <w:footnoteReference w:id="2"/>
      </w:r>
      <w:r w:rsidR="0099026D" w:rsidRPr="0099026D">
        <w:rPr>
          <w:vertAlign w:val="superscript"/>
          <w:rtl/>
        </w:rPr>
        <w:t>)</w:t>
      </w:r>
      <w:r w:rsidRPr="006D7C2D">
        <w:rPr>
          <w:rtl/>
        </w:rPr>
        <w:t>.</w:t>
      </w:r>
      <w:r w:rsidR="0099026D">
        <w:rPr>
          <w:rFonts w:hint="cs"/>
          <w:rtl/>
        </w:rPr>
        <w:t xml:space="preserve"> </w:t>
      </w:r>
      <w:r w:rsidRPr="006D7C2D">
        <w:rPr>
          <w:rtl/>
        </w:rPr>
        <w:t>وشددت اللجنة في توصيتها العامة 25 على أن التدابير الخاصة المؤقتة جزء من استراتيجية ضرورية للتعجيل بتحقيق المساواة بين المرأة والرجل على أرض الواقع، و</w:t>
      </w:r>
      <w:r w:rsidRPr="006D7C2D">
        <w:rPr>
          <w:rFonts w:hint="cs"/>
          <w:rtl/>
        </w:rPr>
        <w:t xml:space="preserve">أنه </w:t>
      </w:r>
      <w:r w:rsidRPr="006D7C2D">
        <w:rPr>
          <w:rtl/>
        </w:rPr>
        <w:t>ينبغي التمييز بينها وبين السياسات الاجتماعية العامة الدائمة الرامية إلى تحسين وضع المرأة والطفلة</w:t>
      </w:r>
      <w:r w:rsidR="0099026D">
        <w:rPr>
          <w:rFonts w:hint="cs"/>
          <w:rtl/>
        </w:rPr>
        <w:t xml:space="preserve">. </w:t>
      </w:r>
      <w:r w:rsidRPr="006D7C2D">
        <w:rPr>
          <w:rtl/>
        </w:rPr>
        <w:t>وورد في التقرير أن قانون المساواة بين الجنسين يتضمن عددا من التدابير الخاصة</w:t>
      </w:r>
      <w:r w:rsidR="0099026D">
        <w:rPr>
          <w:rFonts w:hint="cs"/>
          <w:rtl/>
        </w:rPr>
        <w:t xml:space="preserve">. </w:t>
      </w:r>
      <w:r w:rsidRPr="006D7C2D">
        <w:rPr>
          <w:rtl/>
        </w:rPr>
        <w:t>يرجى تقديم مزيد من التفاصيل بشأن أنواع هذه التدابير وحالة تنفيذها والنتائج المحققة.</w:t>
      </w:r>
    </w:p>
    <w:p w:rsidR="006D7C2D" w:rsidRPr="006D7C2D" w:rsidRDefault="00B2184A" w:rsidP="003A5F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jc w:val="lowKashida"/>
        <w:rPr>
          <w:rtl/>
        </w:rPr>
      </w:pPr>
      <w:r>
        <w:rPr>
          <w:rFonts w:hint="cs"/>
          <w:rtl/>
        </w:rPr>
        <w:tab/>
      </w:r>
      <w:r>
        <w:rPr>
          <w:rFonts w:hint="cs"/>
          <w:rtl/>
        </w:rPr>
        <w:tab/>
      </w:r>
      <w:r w:rsidR="006D7C2D" w:rsidRPr="006D7C2D">
        <w:rPr>
          <w:rtl/>
        </w:rPr>
        <w:t>المشاركة في الحياة السياسية والعامة وفي صنع القرار</w:t>
      </w:r>
    </w:p>
    <w:p w:rsidR="006D7C2D" w:rsidRPr="006D7C2D" w:rsidRDefault="006D7C2D" w:rsidP="0099026D">
      <w:pPr>
        <w:pStyle w:val="SingleTxt"/>
        <w:rPr>
          <w:rtl/>
        </w:rPr>
      </w:pPr>
      <w:r w:rsidRPr="006D7C2D">
        <w:rPr>
          <w:rFonts w:hint="cs"/>
          <w:rtl/>
        </w:rPr>
        <w:t>9 -</w:t>
      </w:r>
      <w:r w:rsidRPr="006D7C2D">
        <w:rPr>
          <w:lang w:val="en-GB"/>
        </w:rPr>
        <w:tab/>
      </w:r>
      <w:r w:rsidRPr="006D7C2D">
        <w:rPr>
          <w:rtl/>
        </w:rPr>
        <w:t>نظرا لأن وضع المرأة في مناصب صنع القرار لم يتغير بشكل ملموس منذ صدور التقرير الأخير، يرجى تقديم مزيد من التفاصيل عن التدابير ال</w:t>
      </w:r>
      <w:r w:rsidR="0099026D">
        <w:rPr>
          <w:rFonts w:hint="cs"/>
          <w:rtl/>
        </w:rPr>
        <w:t xml:space="preserve">متخذة أو المتوخاة من جانب </w:t>
      </w:r>
      <w:r w:rsidRPr="006D7C2D">
        <w:rPr>
          <w:rtl/>
        </w:rPr>
        <w:t xml:space="preserve">الحكومة لتحسين مشاركة المرأة في الحياة السياسية والعامة، </w:t>
      </w:r>
      <w:r w:rsidR="0099026D">
        <w:rPr>
          <w:rtl/>
        </w:rPr>
        <w:t>وبخاصة في المستويات العليا، بما</w:t>
      </w:r>
      <w:r w:rsidR="0099026D">
        <w:rPr>
          <w:rFonts w:hint="cs"/>
          <w:rtl/>
        </w:rPr>
        <w:t> </w:t>
      </w:r>
      <w:r w:rsidRPr="006D7C2D">
        <w:rPr>
          <w:rtl/>
        </w:rPr>
        <w:t xml:space="preserve">في ذلك البرلمان الإستوني والوزارات الحكومية والإدارة المحلية، في </w:t>
      </w:r>
      <w:r w:rsidR="0099026D">
        <w:rPr>
          <w:rFonts w:hint="cs"/>
          <w:rtl/>
        </w:rPr>
        <w:t xml:space="preserve">ضوء </w:t>
      </w:r>
      <w:r w:rsidRPr="006D7C2D">
        <w:rPr>
          <w:rtl/>
        </w:rPr>
        <w:t>التوصية العامة 25 بشأن الفقرة 1 من المادة 4 من الاتفاقية، والتوصية 23 بشأن المرأة في الحياة العامة.</w:t>
      </w:r>
    </w:p>
    <w:p w:rsidR="0099026D" w:rsidRPr="0099026D" w:rsidRDefault="0099026D" w:rsidP="0099026D">
      <w:pPr>
        <w:pStyle w:val="SingleTxt"/>
        <w:spacing w:after="0" w:line="120" w:lineRule="exact"/>
        <w:rPr>
          <w:sz w:val="12"/>
          <w:rtl/>
        </w:rPr>
      </w:pPr>
    </w:p>
    <w:p w:rsidR="006D7C2D" w:rsidRPr="006D7C2D" w:rsidRDefault="00B2184A" w:rsidP="003A5F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D7C2D" w:rsidRPr="006D7C2D">
        <w:rPr>
          <w:rtl/>
        </w:rPr>
        <w:t xml:space="preserve">العنف </w:t>
      </w:r>
      <w:r w:rsidR="0099026D">
        <w:rPr>
          <w:rFonts w:hint="cs"/>
          <w:rtl/>
        </w:rPr>
        <w:t xml:space="preserve">ضد </w:t>
      </w:r>
      <w:r w:rsidR="006D7C2D" w:rsidRPr="006D7C2D">
        <w:rPr>
          <w:rtl/>
        </w:rPr>
        <w:t>ال</w:t>
      </w:r>
      <w:r w:rsidR="00E81D3A">
        <w:rPr>
          <w:rFonts w:hint="cs"/>
          <w:rtl/>
        </w:rPr>
        <w:t>مرأة</w:t>
      </w:r>
    </w:p>
    <w:p w:rsidR="006D7C2D" w:rsidRPr="006D7C2D" w:rsidRDefault="006D7C2D" w:rsidP="0099026D">
      <w:pPr>
        <w:pStyle w:val="SingleTxt"/>
        <w:rPr>
          <w:rtl/>
        </w:rPr>
      </w:pPr>
      <w:r w:rsidRPr="006D7C2D">
        <w:rPr>
          <w:rFonts w:hint="cs"/>
          <w:rtl/>
        </w:rPr>
        <w:t>10 -</w:t>
      </w:r>
      <w:r w:rsidRPr="006D7C2D">
        <w:rPr>
          <w:lang w:val="en-GB"/>
        </w:rPr>
        <w:tab/>
      </w:r>
      <w:r w:rsidRPr="006D7C2D">
        <w:rPr>
          <w:rtl/>
        </w:rPr>
        <w:t>أوصت اللجنة في تعليقاتها الختامية لعام 2002، على نحو ما ذكر في التقرير، باستحداث تشريعات محددة في مجال العنف المنزلي، تنص على إصدار أوامر بالحماية والعزل والحصول على المساعدة القانونية</w:t>
      </w:r>
      <w:r w:rsidR="0099026D" w:rsidRPr="0099026D">
        <w:rPr>
          <w:vertAlign w:val="superscript"/>
          <w:rtl/>
        </w:rPr>
        <w:t>(</w:t>
      </w:r>
      <w:r w:rsidR="0099026D">
        <w:rPr>
          <w:rStyle w:val="FootnoteReference"/>
          <w:rtl/>
        </w:rPr>
        <w:footnoteReference w:id="3"/>
      </w:r>
      <w:r w:rsidR="0099026D" w:rsidRPr="0099026D">
        <w:rPr>
          <w:vertAlign w:val="superscript"/>
          <w:rtl/>
        </w:rPr>
        <w:t>)</w:t>
      </w:r>
      <w:r w:rsidRPr="006D7C2D">
        <w:rPr>
          <w:rtl/>
        </w:rPr>
        <w:t>.</w:t>
      </w:r>
      <w:r w:rsidR="0099026D">
        <w:rPr>
          <w:rFonts w:hint="cs"/>
          <w:rtl/>
        </w:rPr>
        <w:t xml:space="preserve"> </w:t>
      </w:r>
      <w:r w:rsidRPr="006D7C2D">
        <w:rPr>
          <w:rtl/>
        </w:rPr>
        <w:t xml:space="preserve">وورد في التقرير أنه </w:t>
      </w:r>
      <w:r w:rsidR="0099026D">
        <w:rPr>
          <w:rFonts w:hint="cs"/>
          <w:rtl/>
        </w:rPr>
        <w:t>”</w:t>
      </w:r>
      <w:r w:rsidRPr="006D7C2D">
        <w:rPr>
          <w:rtl/>
        </w:rPr>
        <w:t>ليست هناك حاجة إلى قانون منفصل بشأن العنف الأُسري نظرا إلى أن قانون العقوبات ينظم هذه المسألة ويوفر أيضا الحماية ضد العنف المن</w:t>
      </w:r>
      <w:r w:rsidR="0099026D">
        <w:rPr>
          <w:rFonts w:hint="cs"/>
          <w:rtl/>
        </w:rPr>
        <w:t>ـ</w:t>
      </w:r>
      <w:r w:rsidRPr="006D7C2D">
        <w:rPr>
          <w:rtl/>
        </w:rPr>
        <w:t>زلي</w:t>
      </w:r>
      <w:r w:rsidR="0099026D">
        <w:rPr>
          <w:rFonts w:hint="cs"/>
          <w:rtl/>
        </w:rPr>
        <w:t>“</w:t>
      </w:r>
      <w:r w:rsidRPr="006D7C2D">
        <w:rPr>
          <w:rtl/>
        </w:rPr>
        <w:t>.</w:t>
      </w:r>
      <w:r w:rsidRPr="006D7C2D">
        <w:rPr>
          <w:lang w:val="en-GB"/>
        </w:rPr>
        <w:t xml:space="preserve"> </w:t>
      </w:r>
      <w:r w:rsidRPr="006D7C2D">
        <w:rPr>
          <w:rtl/>
        </w:rPr>
        <w:t xml:space="preserve">يرجى </w:t>
      </w:r>
      <w:r w:rsidR="0099026D">
        <w:rPr>
          <w:rFonts w:hint="cs"/>
          <w:rtl/>
        </w:rPr>
        <w:t xml:space="preserve">إيراد تفاصيل </w:t>
      </w:r>
      <w:r w:rsidRPr="006D7C2D">
        <w:rPr>
          <w:rtl/>
        </w:rPr>
        <w:t>عن الكيفية التي ينص بها قانون العقوبات على حماية المرأة من العنف المن</w:t>
      </w:r>
      <w:r w:rsidR="0099026D">
        <w:rPr>
          <w:rFonts w:hint="cs"/>
          <w:rtl/>
        </w:rPr>
        <w:t>ـ</w:t>
      </w:r>
      <w:r w:rsidRPr="006D7C2D">
        <w:rPr>
          <w:rtl/>
        </w:rPr>
        <w:t>زلي</w:t>
      </w:r>
      <w:r w:rsidR="0099026D">
        <w:rPr>
          <w:rFonts w:hint="cs"/>
          <w:rtl/>
        </w:rPr>
        <w:t xml:space="preserve">. </w:t>
      </w:r>
      <w:r w:rsidRPr="006D7C2D">
        <w:rPr>
          <w:rtl/>
        </w:rPr>
        <w:t xml:space="preserve">ويرجى القيام أيضا بتوضيح ما إذا كان يحق للنساء اللاتي يقعن ضحية </w:t>
      </w:r>
      <w:r w:rsidRPr="006D7C2D">
        <w:rPr>
          <w:rFonts w:hint="cs"/>
          <w:rtl/>
        </w:rPr>
        <w:t>ل</w:t>
      </w:r>
      <w:r w:rsidRPr="006D7C2D">
        <w:rPr>
          <w:rtl/>
        </w:rPr>
        <w:t>لعنف المن</w:t>
      </w:r>
      <w:r w:rsidR="0099026D">
        <w:rPr>
          <w:rFonts w:hint="cs"/>
          <w:rtl/>
        </w:rPr>
        <w:t>ـ</w:t>
      </w:r>
      <w:r w:rsidRPr="006D7C2D">
        <w:rPr>
          <w:rtl/>
        </w:rPr>
        <w:t>زلي اللجوء إلى المساعدة القانونية أو ما إذا كان لديهن تلك الإمكانية، وتوضيح الظروف التي يتم فيها ذلك.</w:t>
      </w:r>
    </w:p>
    <w:p w:rsidR="006D7C2D" w:rsidRPr="006D7C2D" w:rsidRDefault="006D7C2D" w:rsidP="00B2184A">
      <w:pPr>
        <w:pStyle w:val="SingleTxt"/>
        <w:rPr>
          <w:rtl/>
        </w:rPr>
      </w:pPr>
      <w:r w:rsidRPr="006D7C2D">
        <w:rPr>
          <w:rFonts w:hint="cs"/>
          <w:rtl/>
        </w:rPr>
        <w:t>11 -</w:t>
      </w:r>
      <w:r w:rsidRPr="006D7C2D">
        <w:rPr>
          <w:lang w:val="en-GB"/>
        </w:rPr>
        <w:tab/>
      </w:r>
      <w:r w:rsidRPr="006D7C2D">
        <w:rPr>
          <w:rFonts w:hint="cs"/>
          <w:rtl/>
        </w:rPr>
        <w:t>ورد في</w:t>
      </w:r>
      <w:r w:rsidRPr="006D7C2D">
        <w:rPr>
          <w:rtl/>
        </w:rPr>
        <w:t xml:space="preserve"> التقرير أنه </w:t>
      </w:r>
      <w:r w:rsidR="0099026D">
        <w:rPr>
          <w:rFonts w:hint="cs"/>
          <w:rtl/>
        </w:rPr>
        <w:t>”</w:t>
      </w:r>
      <w:r w:rsidRPr="006D7C2D">
        <w:rPr>
          <w:rtl/>
        </w:rPr>
        <w:t>في عام 2004، تولى مكتب المدعي العام الإجراءات في 292</w:t>
      </w:r>
      <w:r w:rsidR="00B2184A">
        <w:rPr>
          <w:rFonts w:hint="cs"/>
          <w:rtl/>
        </w:rPr>
        <w:t> </w:t>
      </w:r>
      <w:r w:rsidRPr="006D7C2D">
        <w:rPr>
          <w:rtl/>
        </w:rPr>
        <w:t>قضية جنائية تتصل بالعنف الأُسري</w:t>
      </w:r>
      <w:r w:rsidR="0099026D">
        <w:rPr>
          <w:rFonts w:hint="cs"/>
          <w:rtl/>
        </w:rPr>
        <w:t xml:space="preserve">“. </w:t>
      </w:r>
      <w:r w:rsidRPr="006D7C2D">
        <w:rPr>
          <w:rtl/>
        </w:rPr>
        <w:t>يرجى تقديم معلومات مستكملة عن عدد قضايا العنف ضد المرأة والإشارة أيضا إلى عدد الإدانات ومتوسط العقوبة المفروضة.</w:t>
      </w:r>
      <w:r w:rsidRPr="006D7C2D">
        <w:rPr>
          <w:lang w:val="en-GB"/>
        </w:rPr>
        <w:t xml:space="preserve"> </w:t>
      </w:r>
    </w:p>
    <w:p w:rsidR="006D7C2D" w:rsidRPr="006D7C2D" w:rsidRDefault="006D7C2D" w:rsidP="0099026D">
      <w:pPr>
        <w:pStyle w:val="SingleTxt"/>
        <w:rPr>
          <w:rFonts w:hint="cs"/>
          <w:rtl/>
        </w:rPr>
      </w:pPr>
      <w:r w:rsidRPr="006D7C2D">
        <w:rPr>
          <w:rFonts w:hint="cs"/>
          <w:rtl/>
        </w:rPr>
        <w:t>12 -</w:t>
      </w:r>
      <w:r w:rsidRPr="006D7C2D">
        <w:rPr>
          <w:lang w:val="en-GB"/>
        </w:rPr>
        <w:tab/>
      </w:r>
      <w:r w:rsidRPr="006D7C2D">
        <w:rPr>
          <w:rtl/>
        </w:rPr>
        <w:t>حثت اللجنة في تعليقاتها الختامية لعام 2002 الدولة الطرف على تعديل القانون الجنائي بغرض تقديم تعريف صريح لجريمة الاغتصاب على أنها اتصال جنسي بدون موافقة، كما أوصت بتعديل القانون المتعلق باغتصاب الأحداث</w:t>
      </w:r>
      <w:r w:rsidR="0099026D" w:rsidRPr="0099026D">
        <w:rPr>
          <w:vertAlign w:val="superscript"/>
          <w:rtl/>
        </w:rPr>
        <w:t>(</w:t>
      </w:r>
      <w:r w:rsidR="0099026D">
        <w:rPr>
          <w:rStyle w:val="FootnoteReference"/>
          <w:rtl/>
        </w:rPr>
        <w:footnoteReference w:id="4"/>
      </w:r>
      <w:r w:rsidR="0099026D" w:rsidRPr="0099026D">
        <w:rPr>
          <w:vertAlign w:val="superscript"/>
          <w:rtl/>
        </w:rPr>
        <w:t>)</w:t>
      </w:r>
      <w:r w:rsidRPr="006D7C2D">
        <w:rPr>
          <w:rtl/>
        </w:rPr>
        <w:t>.</w:t>
      </w:r>
      <w:r w:rsidR="0099026D">
        <w:t xml:space="preserve"> </w:t>
      </w:r>
      <w:r w:rsidRPr="006D7C2D">
        <w:rPr>
          <w:rtl/>
        </w:rPr>
        <w:t>فما هي الخطوات المتخذة استجابة لتوصيات اللجنة؟</w:t>
      </w:r>
    </w:p>
    <w:p w:rsidR="0099026D" w:rsidRPr="0099026D" w:rsidRDefault="0099026D" w:rsidP="0099026D">
      <w:pPr>
        <w:pStyle w:val="SingleTxt"/>
        <w:spacing w:after="0" w:line="120" w:lineRule="exact"/>
        <w:rPr>
          <w:sz w:val="12"/>
          <w:rtl/>
        </w:rPr>
      </w:pPr>
    </w:p>
    <w:p w:rsidR="006D7C2D" w:rsidRPr="006D7C2D"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6D7C2D" w:rsidRPr="006D7C2D">
        <w:rPr>
          <w:rtl/>
        </w:rPr>
        <w:t>الاتجار بالبشر</w:t>
      </w:r>
    </w:p>
    <w:p w:rsidR="006D7C2D" w:rsidRPr="006D7C2D" w:rsidRDefault="006D7C2D" w:rsidP="0099026D">
      <w:pPr>
        <w:pStyle w:val="SingleTxt"/>
        <w:rPr>
          <w:rtl/>
        </w:rPr>
      </w:pPr>
      <w:r w:rsidRPr="006D7C2D">
        <w:rPr>
          <w:rFonts w:hint="cs"/>
          <w:rtl/>
        </w:rPr>
        <w:t>13 -</w:t>
      </w:r>
      <w:r w:rsidRPr="006D7C2D">
        <w:rPr>
          <w:lang w:val="en-GB"/>
        </w:rPr>
        <w:tab/>
      </w:r>
      <w:r w:rsidRPr="006D7C2D">
        <w:rPr>
          <w:rtl/>
        </w:rPr>
        <w:t xml:space="preserve">يرجى تقديم معلومات عن حالة مشروع خطة العمل الوطنية لمكافحة الاتجار بالبشر، بما في ذلك ما إذا </w:t>
      </w:r>
      <w:r w:rsidR="0099026D">
        <w:rPr>
          <w:rFonts w:hint="cs"/>
          <w:rtl/>
        </w:rPr>
        <w:t xml:space="preserve">كان قد </w:t>
      </w:r>
      <w:r w:rsidRPr="006D7C2D">
        <w:rPr>
          <w:rtl/>
        </w:rPr>
        <w:t>اعتمد، و</w:t>
      </w:r>
      <w:r w:rsidR="0099026D">
        <w:rPr>
          <w:rFonts w:hint="cs"/>
          <w:rtl/>
        </w:rPr>
        <w:t xml:space="preserve">في تلك الحالة </w:t>
      </w:r>
      <w:r w:rsidRPr="006D7C2D">
        <w:rPr>
          <w:rtl/>
        </w:rPr>
        <w:t>يرجى تقديم معلومات عن البرامج المنفذة في إطار الخطة وعن أثرها.</w:t>
      </w:r>
    </w:p>
    <w:p w:rsidR="006D7C2D" w:rsidRPr="006D7C2D" w:rsidRDefault="006D7C2D" w:rsidP="006D7C2D">
      <w:pPr>
        <w:pStyle w:val="SingleTxt"/>
        <w:rPr>
          <w:rtl/>
        </w:rPr>
      </w:pPr>
      <w:r w:rsidRPr="006D7C2D">
        <w:rPr>
          <w:rFonts w:hint="cs"/>
          <w:rtl/>
        </w:rPr>
        <w:t>14 -</w:t>
      </w:r>
      <w:r w:rsidRPr="006D7C2D">
        <w:rPr>
          <w:lang w:val="en-GB"/>
        </w:rPr>
        <w:tab/>
      </w:r>
      <w:r w:rsidRPr="006D7C2D">
        <w:rPr>
          <w:rFonts w:hint="cs"/>
          <w:rtl/>
        </w:rPr>
        <w:t>و</w:t>
      </w:r>
      <w:r w:rsidRPr="006D7C2D">
        <w:rPr>
          <w:rtl/>
        </w:rPr>
        <w:t>يرجى تقديم البيانات المتوفرة بشأن عدد النساء والفتيات اللاتي يتم الاتجار بهن من إستونيا وعبرها.</w:t>
      </w:r>
    </w:p>
    <w:p w:rsidR="006D7C2D" w:rsidRPr="006D7C2D" w:rsidRDefault="006D7C2D" w:rsidP="006D7C2D">
      <w:pPr>
        <w:pStyle w:val="SingleTxt"/>
        <w:rPr>
          <w:rtl/>
        </w:rPr>
      </w:pPr>
      <w:r w:rsidRPr="006D7C2D">
        <w:rPr>
          <w:rFonts w:hint="cs"/>
          <w:rtl/>
        </w:rPr>
        <w:t>15 -</w:t>
      </w:r>
      <w:r w:rsidRPr="006D7C2D">
        <w:rPr>
          <w:lang w:val="en-GB"/>
        </w:rPr>
        <w:tab/>
      </w:r>
      <w:r w:rsidRPr="006D7C2D">
        <w:rPr>
          <w:rFonts w:hint="cs"/>
          <w:rtl/>
        </w:rPr>
        <w:t>و</w:t>
      </w:r>
      <w:r w:rsidRPr="006D7C2D">
        <w:rPr>
          <w:rtl/>
        </w:rPr>
        <w:t>يرجى تقديم معلومات مستكملة عن أعداد المحاكمات والإدانات التي يتعرض لها القائمون بالاتجار وتقديم مزيد من المعلومات أيضا عن برامج الدعم والمساعدة المتاحة لضحايا الاتجار.</w:t>
      </w:r>
    </w:p>
    <w:p w:rsidR="0099026D" w:rsidRPr="0099026D" w:rsidRDefault="0099026D" w:rsidP="0099026D">
      <w:pPr>
        <w:pStyle w:val="SingleTxt"/>
        <w:spacing w:after="0" w:line="120" w:lineRule="exact"/>
        <w:rPr>
          <w:sz w:val="12"/>
          <w:rtl/>
        </w:rPr>
      </w:pPr>
    </w:p>
    <w:p w:rsidR="006D7C2D" w:rsidRPr="006D7C2D"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jc w:val="lowKashida"/>
        <w:rPr>
          <w:rtl/>
        </w:rPr>
      </w:pPr>
      <w:r>
        <w:rPr>
          <w:rFonts w:hint="cs"/>
          <w:rtl/>
        </w:rPr>
        <w:tab/>
      </w:r>
      <w:r>
        <w:rPr>
          <w:rFonts w:hint="cs"/>
          <w:rtl/>
        </w:rPr>
        <w:tab/>
      </w:r>
      <w:r w:rsidR="006D7C2D" w:rsidRPr="006D7C2D">
        <w:rPr>
          <w:rtl/>
        </w:rPr>
        <w:t>القوالب النمطية والتعليم</w:t>
      </w:r>
    </w:p>
    <w:p w:rsidR="006D7C2D" w:rsidRPr="006D7C2D" w:rsidRDefault="006D7C2D" w:rsidP="0099026D">
      <w:pPr>
        <w:pStyle w:val="SingleTxt"/>
        <w:rPr>
          <w:rtl/>
        </w:rPr>
      </w:pPr>
      <w:r w:rsidRPr="006D7C2D">
        <w:rPr>
          <w:rFonts w:hint="cs"/>
          <w:rtl/>
        </w:rPr>
        <w:t>16 -</w:t>
      </w:r>
      <w:r w:rsidRPr="006D7C2D">
        <w:rPr>
          <w:lang w:val="en-GB"/>
        </w:rPr>
        <w:tab/>
      </w:r>
      <w:r w:rsidRPr="006D7C2D">
        <w:rPr>
          <w:rtl/>
        </w:rPr>
        <w:t xml:space="preserve">يناقش التقرير التحيزات القوية إزاء أدوار الجنسين </w:t>
      </w:r>
      <w:r w:rsidRPr="006D7C2D">
        <w:rPr>
          <w:rFonts w:hint="cs"/>
          <w:rtl/>
        </w:rPr>
        <w:t>السائدة في</w:t>
      </w:r>
      <w:r w:rsidRPr="006D7C2D">
        <w:rPr>
          <w:rtl/>
        </w:rPr>
        <w:t xml:space="preserve"> إستونيا كما يشير إلى التعليقات الختامية للجنة لعام 2002، حيث حثت اللجنة الدولة الطرف على صياغة وتنفيذ برامج شاملة في النظام التعليمي وعلى تشجيع وسائط الإعلام على تعزيز التغييرات الثقافية إزاء الأدوار والمهام المنسوبة للمرأة وللرجل</w:t>
      </w:r>
      <w:r w:rsidR="0099026D" w:rsidRPr="0099026D">
        <w:rPr>
          <w:vertAlign w:val="superscript"/>
          <w:rtl/>
        </w:rPr>
        <w:t>(</w:t>
      </w:r>
      <w:r w:rsidR="0099026D">
        <w:rPr>
          <w:rStyle w:val="FootnoteReference"/>
          <w:rtl/>
        </w:rPr>
        <w:footnoteReference w:id="5"/>
      </w:r>
      <w:r w:rsidR="0099026D" w:rsidRPr="0099026D">
        <w:rPr>
          <w:vertAlign w:val="superscript"/>
          <w:rtl/>
        </w:rPr>
        <w:t>)</w:t>
      </w:r>
      <w:r w:rsidRPr="006D7C2D">
        <w:rPr>
          <w:rtl/>
        </w:rPr>
        <w:t>.</w:t>
      </w:r>
      <w:r w:rsidR="0099026D">
        <w:rPr>
          <w:rFonts w:hint="cs"/>
          <w:rtl/>
        </w:rPr>
        <w:t xml:space="preserve"> </w:t>
      </w:r>
      <w:r w:rsidRPr="006D7C2D">
        <w:rPr>
          <w:rtl/>
        </w:rPr>
        <w:t>وحسبما ورد في التقرير، لم تشرع إستونيا بعد في تنفيذ هذه التوصية تنفيذا كاملا، إلا أنها أصبحت تدرك هذه المشكلة</w:t>
      </w:r>
      <w:r w:rsidR="0099026D">
        <w:rPr>
          <w:rFonts w:hint="cs"/>
          <w:rtl/>
        </w:rPr>
        <w:t xml:space="preserve">. </w:t>
      </w:r>
      <w:r w:rsidRPr="006D7C2D">
        <w:rPr>
          <w:rtl/>
        </w:rPr>
        <w:t xml:space="preserve">يرجى الإشارة إلى الأسباب الكامنة وراء هذا التأخير وكذلك اعتزام الدولة الطرف اتخاذ إجراء شامل في إطار متابعة توصية اللجنة، بما في ذلك </w:t>
      </w:r>
      <w:r w:rsidRPr="006D7C2D">
        <w:rPr>
          <w:rFonts w:hint="cs"/>
          <w:rtl/>
        </w:rPr>
        <w:t>تحديد مهلة زمنية</w:t>
      </w:r>
      <w:r w:rsidRPr="006D7C2D">
        <w:rPr>
          <w:rtl/>
        </w:rPr>
        <w:t>.</w:t>
      </w:r>
    </w:p>
    <w:p w:rsidR="006D7C2D" w:rsidRPr="006D7C2D" w:rsidRDefault="006D7C2D" w:rsidP="0099026D">
      <w:pPr>
        <w:pStyle w:val="SingleTxt"/>
        <w:rPr>
          <w:rtl/>
        </w:rPr>
      </w:pPr>
      <w:r w:rsidRPr="006D7C2D">
        <w:rPr>
          <w:rFonts w:hint="cs"/>
          <w:rtl/>
        </w:rPr>
        <w:t>17 -</w:t>
      </w:r>
      <w:r w:rsidRPr="006D7C2D">
        <w:rPr>
          <w:lang w:val="en-GB"/>
        </w:rPr>
        <w:tab/>
      </w:r>
      <w:r w:rsidRPr="006D7C2D">
        <w:rPr>
          <w:rtl/>
        </w:rPr>
        <w:t>يشير الجدول 10-2 إلى أنه في الفترة 2003/2004، كان هناك 76 أستاذة من أصل ما مجموعه 467 أستاذا. فيرجى تقديم بيانات مستكملة، وبيان التدابير التي تتخذ لزيادة عدد الأستاذات في أوساط هيئة التدريس الجامعي والأثر القصير والمتوسط الأمد المتوقع لهذه التدابير.</w:t>
      </w:r>
    </w:p>
    <w:p w:rsidR="006D7C2D" w:rsidRPr="006D7C2D" w:rsidRDefault="006D7C2D" w:rsidP="0099026D">
      <w:pPr>
        <w:pStyle w:val="SingleTxt"/>
        <w:rPr>
          <w:rtl/>
        </w:rPr>
      </w:pPr>
      <w:r w:rsidRPr="006D7C2D">
        <w:rPr>
          <w:rFonts w:hint="cs"/>
          <w:rtl/>
        </w:rPr>
        <w:t>18 -</w:t>
      </w:r>
      <w:r w:rsidRPr="006D7C2D">
        <w:rPr>
          <w:lang w:val="en-GB"/>
        </w:rPr>
        <w:tab/>
      </w:r>
      <w:r w:rsidRPr="006D7C2D">
        <w:rPr>
          <w:rtl/>
        </w:rPr>
        <w:t xml:space="preserve">يذكر التقرير </w:t>
      </w:r>
      <w:r w:rsidR="0099026D">
        <w:rPr>
          <w:rFonts w:hint="cs"/>
          <w:rtl/>
        </w:rPr>
        <w:t>إ</w:t>
      </w:r>
      <w:r w:rsidRPr="006D7C2D">
        <w:rPr>
          <w:rtl/>
        </w:rPr>
        <w:t xml:space="preserve">نه استنادا إلى دراسة بشأن أدوار الجنسين في الكتب المدرسية، </w:t>
      </w:r>
      <w:r w:rsidR="0099026D">
        <w:rPr>
          <w:rFonts w:hint="cs"/>
          <w:rtl/>
        </w:rPr>
        <w:t>”</w:t>
      </w:r>
      <w:r w:rsidRPr="006D7C2D">
        <w:rPr>
          <w:rtl/>
        </w:rPr>
        <w:t>بدا أن الكتب المدرسية لمختلف المواضيع وفي كل المستويات تشجع وتدعم الأدوار النمطية المقولبة للجنسين، ولا تعكس بصورة مماثلة خبرات النساء والرجال، ولا تعلم الأيديولوجيا الحديثة لحقوق الإنسان وتوزيع الأدوار بين الرجال والنساء</w:t>
      </w:r>
      <w:r w:rsidR="0099026D">
        <w:rPr>
          <w:rFonts w:hint="cs"/>
          <w:rtl/>
        </w:rPr>
        <w:t>“</w:t>
      </w:r>
      <w:r w:rsidRPr="006D7C2D">
        <w:rPr>
          <w:rtl/>
        </w:rPr>
        <w:t>.</w:t>
      </w:r>
      <w:r w:rsidRPr="006D7C2D">
        <w:rPr>
          <w:lang w:val="en-GB"/>
        </w:rPr>
        <w:t xml:space="preserve"> </w:t>
      </w:r>
      <w:r w:rsidRPr="006D7C2D">
        <w:rPr>
          <w:rtl/>
        </w:rPr>
        <w:t>فما هي التدابير التي تتخذ استجابة لهذا التقييم، وهل هناك مهلة زمنية لتحقيق النتائج المتوقعة؟</w:t>
      </w:r>
    </w:p>
    <w:p w:rsidR="006D7C2D" w:rsidRPr="006D7C2D"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6D7C2D" w:rsidRPr="006D7C2D">
        <w:rPr>
          <w:rtl/>
        </w:rPr>
        <w:t>العمالة</w:t>
      </w:r>
    </w:p>
    <w:p w:rsidR="006D7C2D" w:rsidRPr="006D7C2D" w:rsidRDefault="006D7C2D" w:rsidP="0099026D">
      <w:pPr>
        <w:pStyle w:val="SingleTxt"/>
        <w:rPr>
          <w:rtl/>
        </w:rPr>
      </w:pPr>
      <w:r w:rsidRPr="006D7C2D">
        <w:rPr>
          <w:rFonts w:hint="cs"/>
          <w:rtl/>
        </w:rPr>
        <w:t>19 -</w:t>
      </w:r>
      <w:r w:rsidRPr="006D7C2D">
        <w:rPr>
          <w:lang w:val="en-GB"/>
        </w:rPr>
        <w:tab/>
      </w:r>
      <w:r w:rsidRPr="006D7C2D">
        <w:rPr>
          <w:rtl/>
        </w:rPr>
        <w:t>يشير التقرير إلى أن الرجال والنساء في إستونيا يتشاطرون الرأي في أن هناك تمييزا واضحا بين ما يسمى وظائف الرجال ووظائف النساء</w:t>
      </w:r>
      <w:r w:rsidR="0099026D">
        <w:rPr>
          <w:rFonts w:hint="cs"/>
          <w:rtl/>
        </w:rPr>
        <w:t xml:space="preserve">. </w:t>
      </w:r>
      <w:r w:rsidRPr="006D7C2D">
        <w:rPr>
          <w:rtl/>
        </w:rPr>
        <w:t>ويشير التقرير كذلك إلى أن الفصل الأفقي والرأسي القائم على أساس نوع الجنس لم ينحسر منذ تقديم التقرير الماضي.</w:t>
      </w:r>
      <w:r w:rsidR="0099026D">
        <w:rPr>
          <w:rFonts w:hint="cs"/>
          <w:rtl/>
        </w:rPr>
        <w:t xml:space="preserve"> </w:t>
      </w:r>
      <w:r w:rsidRPr="006D7C2D">
        <w:rPr>
          <w:rtl/>
        </w:rPr>
        <w:t xml:space="preserve">يرجى </w:t>
      </w:r>
      <w:r w:rsidR="0099026D">
        <w:rPr>
          <w:rFonts w:hint="cs"/>
          <w:rtl/>
        </w:rPr>
        <w:t>إيراد المزيد من التفاصيل عن الجهود التي تبذل لمعالجة هذا الوضع</w:t>
      </w:r>
      <w:r w:rsidRPr="006D7C2D">
        <w:rPr>
          <w:rtl/>
        </w:rPr>
        <w:t>.</w:t>
      </w:r>
    </w:p>
    <w:p w:rsidR="006D7C2D" w:rsidRPr="006D7C2D" w:rsidRDefault="006D7C2D" w:rsidP="0099026D">
      <w:pPr>
        <w:pStyle w:val="SingleTxt"/>
        <w:rPr>
          <w:rtl/>
        </w:rPr>
      </w:pPr>
      <w:r w:rsidRPr="006D7C2D">
        <w:rPr>
          <w:rFonts w:hint="cs"/>
          <w:rtl/>
        </w:rPr>
        <w:t>20 -</w:t>
      </w:r>
      <w:r w:rsidRPr="006D7C2D">
        <w:rPr>
          <w:lang w:val="en-GB"/>
        </w:rPr>
        <w:tab/>
      </w:r>
      <w:r w:rsidRPr="006D7C2D">
        <w:rPr>
          <w:rtl/>
        </w:rPr>
        <w:t>أوصت اللجنة في تعليقاتها الختامية لعام 2002 بزيادات إضافية في الأجور في القطاعات التي تهيمن عليها المرأة من قطاعات العمالة الحكومية لتقليـص الف</w:t>
      </w:r>
      <w:r w:rsidR="0099026D">
        <w:rPr>
          <w:rFonts w:hint="cs"/>
          <w:rtl/>
        </w:rPr>
        <w:t>ر</w:t>
      </w:r>
      <w:r w:rsidRPr="006D7C2D">
        <w:rPr>
          <w:rtl/>
        </w:rPr>
        <w:t>وق في الأجر مقارنة بالقطاعات التي يهيمن عليها الذكور</w:t>
      </w:r>
      <w:r w:rsidR="0099026D" w:rsidRPr="0099026D">
        <w:rPr>
          <w:vertAlign w:val="superscript"/>
          <w:rtl/>
        </w:rPr>
        <w:t>(</w:t>
      </w:r>
      <w:r w:rsidR="0099026D">
        <w:rPr>
          <w:rStyle w:val="FootnoteReference"/>
          <w:rtl/>
        </w:rPr>
        <w:footnoteReference w:id="6"/>
      </w:r>
      <w:r w:rsidR="0099026D" w:rsidRPr="0099026D">
        <w:rPr>
          <w:vertAlign w:val="superscript"/>
          <w:rtl/>
        </w:rPr>
        <w:t>)</w:t>
      </w:r>
      <w:r w:rsidR="0099026D">
        <w:rPr>
          <w:rFonts w:hint="cs"/>
          <w:rtl/>
        </w:rPr>
        <w:t xml:space="preserve">. </w:t>
      </w:r>
      <w:r w:rsidRPr="006D7C2D">
        <w:rPr>
          <w:rtl/>
        </w:rPr>
        <w:t>يرجى تقديم معلومات عن الخطوات المتخذة لتنفيذ توصية اللجنة.</w:t>
      </w:r>
    </w:p>
    <w:p w:rsidR="006D7C2D" w:rsidRPr="0099026D" w:rsidRDefault="006D7C2D" w:rsidP="0099026D">
      <w:pPr>
        <w:pStyle w:val="SingleTxt"/>
        <w:rPr>
          <w:rFonts w:hint="cs"/>
          <w:rtl/>
        </w:rPr>
      </w:pPr>
      <w:r w:rsidRPr="006D7C2D">
        <w:rPr>
          <w:rFonts w:hint="cs"/>
          <w:rtl/>
        </w:rPr>
        <w:t>21 -</w:t>
      </w:r>
      <w:r w:rsidRPr="006D7C2D">
        <w:rPr>
          <w:lang w:val="en-GB"/>
        </w:rPr>
        <w:tab/>
      </w:r>
      <w:r w:rsidR="0099026D">
        <w:rPr>
          <w:rFonts w:hint="cs"/>
          <w:rtl/>
        </w:rPr>
        <w:t xml:space="preserve">يتضمن </w:t>
      </w:r>
      <w:r w:rsidRPr="006D7C2D">
        <w:rPr>
          <w:rtl/>
        </w:rPr>
        <w:t xml:space="preserve">التقرير معلومات تفيد بأنه قد وُضعت في إستونيا خطة عمل للمشاركة الاجتماعية تهدف إلى </w:t>
      </w:r>
      <w:r w:rsidR="0099026D">
        <w:rPr>
          <w:rFonts w:hint="cs"/>
          <w:rtl/>
        </w:rPr>
        <w:t xml:space="preserve">الحد من </w:t>
      </w:r>
      <w:r w:rsidRPr="006D7C2D">
        <w:rPr>
          <w:rtl/>
        </w:rPr>
        <w:t>الفقر، ويشير إلى بعض التدابير المحددة التي اتخذت</w:t>
      </w:r>
      <w:r w:rsidR="0099026D">
        <w:rPr>
          <w:rFonts w:hint="cs"/>
          <w:rtl/>
        </w:rPr>
        <w:t xml:space="preserve">. </w:t>
      </w:r>
      <w:r w:rsidRPr="006D7C2D">
        <w:rPr>
          <w:rtl/>
        </w:rPr>
        <w:t>وبالنظر إلى القلق الذي أعربت عنه اللجنة في تعليقاتها الختامية لعام 2002، يرجى تقديم معلومات عن أية تدابير أخرى اتخذت استجابة لتوصياتها</w:t>
      </w:r>
      <w:r w:rsidR="0099026D">
        <w:rPr>
          <w:rFonts w:hint="cs"/>
          <w:rtl/>
        </w:rPr>
        <w:t xml:space="preserve">. </w:t>
      </w:r>
      <w:r w:rsidRPr="006D7C2D">
        <w:rPr>
          <w:rtl/>
        </w:rPr>
        <w:t>وينبغي أن يناقش الرد على وجه التحديد وضع مجموعات خاصة من النساء، مثل ربات الأسر وذوات الأطفال الصغار فضلا عن النساء اللاتي لم يتزوجن زيجة قانونية إلا أنهن يعشن في إطار علاقات طويلة الأمد.</w:t>
      </w:r>
    </w:p>
    <w:p w:rsidR="0099026D" w:rsidRPr="0099026D" w:rsidRDefault="0099026D" w:rsidP="0099026D">
      <w:pPr>
        <w:pStyle w:val="SingleTxt"/>
        <w:spacing w:after="0" w:line="120" w:lineRule="exact"/>
        <w:rPr>
          <w:rFonts w:hint="cs"/>
          <w:sz w:val="12"/>
          <w:rtl/>
        </w:rPr>
      </w:pPr>
    </w:p>
    <w:p w:rsidR="006D7C2D" w:rsidRPr="006D7C2D"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6D7C2D" w:rsidRPr="006D7C2D">
        <w:rPr>
          <w:rtl/>
        </w:rPr>
        <w:t>الصحة</w:t>
      </w:r>
    </w:p>
    <w:p w:rsidR="006D7C2D" w:rsidRPr="006D7C2D" w:rsidRDefault="006D7C2D" w:rsidP="005E7170">
      <w:pPr>
        <w:pStyle w:val="SingleTxt"/>
        <w:rPr>
          <w:rtl/>
        </w:rPr>
      </w:pPr>
      <w:r w:rsidRPr="006D7C2D">
        <w:rPr>
          <w:rFonts w:hint="cs"/>
          <w:rtl/>
        </w:rPr>
        <w:t>22 -</w:t>
      </w:r>
      <w:r w:rsidRPr="006D7C2D">
        <w:rPr>
          <w:lang w:val="en-GB"/>
        </w:rPr>
        <w:tab/>
      </w:r>
      <w:r w:rsidRPr="006D7C2D">
        <w:rPr>
          <w:rFonts w:hint="cs"/>
          <w:rtl/>
        </w:rPr>
        <w:t>ورد في</w:t>
      </w:r>
      <w:r w:rsidRPr="006D7C2D">
        <w:rPr>
          <w:rtl/>
        </w:rPr>
        <w:t xml:space="preserve"> التقرير أن إحدى نتائج مشروع </w:t>
      </w:r>
      <w:r w:rsidR="005E7170">
        <w:rPr>
          <w:rFonts w:hint="cs"/>
          <w:rtl/>
        </w:rPr>
        <w:t>”</w:t>
      </w:r>
      <w:r w:rsidRPr="006D7C2D">
        <w:rPr>
          <w:rtl/>
        </w:rPr>
        <w:t>تقديم المشورة إلى الشباب بشأن الصحة الإنجابية والوقاية من الأمراض المنقولة بالاتصال الجنسي، 2002-2006</w:t>
      </w:r>
      <w:r w:rsidR="005E7170">
        <w:rPr>
          <w:rFonts w:hint="cs"/>
          <w:rtl/>
        </w:rPr>
        <w:t xml:space="preserve">“ </w:t>
      </w:r>
      <w:r w:rsidRPr="006D7C2D">
        <w:rPr>
          <w:rtl/>
        </w:rPr>
        <w:t>تمثلت في انخفاض عدد حالات الإجهاض بنسبة 25 في المائة، وكذلك انخفاض عدد حالات الحمل لأول مرة وحالات الإصابة لأول مرة بالأمراض المنقولة بالاتصال الجنسي في أوساط من تتراوح أعمارهم بين 15 و 19 سنة بنسبة 10 في المائة</w:t>
      </w:r>
      <w:r w:rsidR="005E7170">
        <w:rPr>
          <w:rFonts w:hint="cs"/>
          <w:rtl/>
        </w:rPr>
        <w:t xml:space="preserve">. </w:t>
      </w:r>
      <w:r w:rsidRPr="006D7C2D">
        <w:rPr>
          <w:rtl/>
        </w:rPr>
        <w:t>يرجى بيان ما إذا كان هذا المشروع سيستمر بعد عام 2006. ويرجى أيضا تقديم معلومات مستكملة عن معدل الإجهاض وحالات الحمل المبكر والأمراض المنقولة بالاتصال الجنسي في أوساط الفئة العمرية من 15 إلى 19 سنة.</w:t>
      </w:r>
    </w:p>
    <w:p w:rsidR="006D7C2D" w:rsidRPr="005E7170" w:rsidRDefault="006D7C2D" w:rsidP="005E7170">
      <w:pPr>
        <w:pStyle w:val="SingleTxt"/>
        <w:rPr>
          <w:rFonts w:hint="cs"/>
          <w:rtl/>
        </w:rPr>
      </w:pPr>
      <w:r w:rsidRPr="006D7C2D">
        <w:rPr>
          <w:rFonts w:hint="cs"/>
          <w:rtl/>
        </w:rPr>
        <w:t>23 -</w:t>
      </w:r>
      <w:r w:rsidRPr="006D7C2D">
        <w:rPr>
          <w:lang w:val="en-GB"/>
        </w:rPr>
        <w:tab/>
      </w:r>
      <w:r w:rsidRPr="006D7C2D">
        <w:rPr>
          <w:rtl/>
        </w:rPr>
        <w:t>وورد في التقرير أن الاتحاد الإستوني لتنظيم الأسرة ومعه منظمات غير حكومية شتى يشجع استخدام وسائل حديثة ذات درجة عالية من الجودة لمنع الحمل، ويعمل بهدف جعل وسائل منع الحمل متاحة لعامة الجمهور</w:t>
      </w:r>
      <w:r w:rsidR="005E7170">
        <w:rPr>
          <w:rFonts w:hint="cs"/>
          <w:rtl/>
        </w:rPr>
        <w:t xml:space="preserve">. </w:t>
      </w:r>
      <w:r w:rsidRPr="006D7C2D">
        <w:rPr>
          <w:rtl/>
        </w:rPr>
        <w:t>يرجى الإشارة إلى التدابير التي تنفذها الدولة الطرف لكفالة اتساع إمكانية الحصول على معلومات بشأن تنظيم الأسرة، بما في ذلك من جانب النساء الفقيرات، فضلا عن إمكانية الحصول على وسائل منع الحمل، والاطلاع على الاتجاهات مع مرور الزمن.</w:t>
      </w:r>
    </w:p>
    <w:p w:rsidR="006D7C2D" w:rsidRPr="006D7C2D" w:rsidRDefault="006D7C2D" w:rsidP="005E7170">
      <w:pPr>
        <w:pStyle w:val="SingleTxt"/>
        <w:rPr>
          <w:rtl/>
        </w:rPr>
      </w:pPr>
      <w:r w:rsidRPr="006D7C2D">
        <w:rPr>
          <w:rFonts w:hint="cs"/>
          <w:rtl/>
        </w:rPr>
        <w:t>24 -</w:t>
      </w:r>
      <w:r w:rsidRPr="006D7C2D">
        <w:rPr>
          <w:lang w:val="en-GB"/>
        </w:rPr>
        <w:tab/>
      </w:r>
      <w:r w:rsidRPr="006D7C2D">
        <w:rPr>
          <w:rtl/>
        </w:rPr>
        <w:t>وورد في التقرير أن النسبة المئوية للنساء المصابات بفيروس نقص المناعة البشرية ارتفعت في السنوات الأخيرة</w:t>
      </w:r>
      <w:r w:rsidR="005E7170">
        <w:rPr>
          <w:rFonts w:hint="cs"/>
          <w:rtl/>
        </w:rPr>
        <w:t xml:space="preserve">. </w:t>
      </w:r>
      <w:r w:rsidRPr="006D7C2D">
        <w:rPr>
          <w:rtl/>
        </w:rPr>
        <w:t>كما ورد فيه أن العمل في مجال اتقاء فيروس نقص المناعة البشرية/الإيدز يستند إلى الخطة الإنمائية الوطنية للوقاية من فيروس نقص المناعة البشرية/الإيدز للفترة 2002-2006</w:t>
      </w:r>
      <w:r w:rsidR="005E7170">
        <w:rPr>
          <w:rFonts w:hint="cs"/>
          <w:rtl/>
        </w:rPr>
        <w:t xml:space="preserve">. </w:t>
      </w:r>
      <w:r w:rsidRPr="006D7C2D">
        <w:rPr>
          <w:rtl/>
        </w:rPr>
        <w:t>يرجى بيان ما إذا كانت هذه الخطة قد استكملت وكيف أنها تدمج منظورا جنسانيا، ويرجى أيضا تقديم معلومات عن أثر الخطة على وعي النساء بمخاطر فيروس نقص المناعة البشرية/الإيدز وبمعدل إصابتهن.</w:t>
      </w:r>
      <w:r w:rsidRPr="006D7C2D">
        <w:rPr>
          <w:lang w:val="en-GB"/>
        </w:rPr>
        <w:t xml:space="preserve"> </w:t>
      </w:r>
      <w:r w:rsidRPr="006D7C2D">
        <w:rPr>
          <w:rtl/>
        </w:rPr>
        <w:t>ويرجى أيضا تقديم معلومات عن مدى توافر الأدوية المضادة للفيروسات المعكوسة وخدمات الرعاية النفسية والاجتماعية ومدى إتاحتها بتكلفة ميسرة للنساء المصابات بالإيدز ولأطفالهن.</w:t>
      </w:r>
    </w:p>
    <w:p w:rsidR="006D7C2D" w:rsidRPr="006D7C2D" w:rsidRDefault="006D7C2D" w:rsidP="005E7170">
      <w:pPr>
        <w:pStyle w:val="SingleTxt"/>
        <w:rPr>
          <w:rtl/>
        </w:rPr>
      </w:pPr>
      <w:r w:rsidRPr="006D7C2D">
        <w:rPr>
          <w:rFonts w:hint="cs"/>
          <w:rtl/>
        </w:rPr>
        <w:t>25 -</w:t>
      </w:r>
      <w:r w:rsidRPr="006D7C2D">
        <w:rPr>
          <w:lang w:val="en-GB"/>
        </w:rPr>
        <w:tab/>
      </w:r>
      <w:r w:rsidRPr="006D7C2D">
        <w:rPr>
          <w:rtl/>
        </w:rPr>
        <w:t>وأوصت اللجنة في تعليقاتها الختامية لعام 2002 بوضع هياكل تهدف إلى مواجهة مش</w:t>
      </w:r>
      <w:r w:rsidR="005E7170">
        <w:rPr>
          <w:rFonts w:hint="cs"/>
          <w:rtl/>
        </w:rPr>
        <w:t>ا</w:t>
      </w:r>
      <w:r w:rsidRPr="006D7C2D">
        <w:rPr>
          <w:rtl/>
        </w:rPr>
        <w:t>كل الصحة العقلية التي تواجهها النساء، وكذلك في المجالات التي تشهد تطورات سلبية</w:t>
      </w:r>
      <w:r w:rsidR="005E7170" w:rsidRPr="005E7170">
        <w:rPr>
          <w:vertAlign w:val="superscript"/>
          <w:rtl/>
        </w:rPr>
        <w:t>(</w:t>
      </w:r>
      <w:r w:rsidR="005E7170">
        <w:rPr>
          <w:rStyle w:val="FootnoteReference"/>
          <w:rtl/>
        </w:rPr>
        <w:footnoteReference w:id="7"/>
      </w:r>
      <w:r w:rsidR="005E7170" w:rsidRPr="005E7170">
        <w:rPr>
          <w:vertAlign w:val="superscript"/>
          <w:rtl/>
        </w:rPr>
        <w:t>)</w:t>
      </w:r>
      <w:r w:rsidR="005E7170">
        <w:rPr>
          <w:rFonts w:hint="cs"/>
          <w:rtl/>
        </w:rPr>
        <w:t xml:space="preserve">. </w:t>
      </w:r>
      <w:r w:rsidRPr="006D7C2D">
        <w:rPr>
          <w:rtl/>
        </w:rPr>
        <w:t>يرجى تقديم معلومات عن الخطوات التي يجري اتخاذها لتنفيذ توصية اللجنة، وعن النتائج المحققة.</w:t>
      </w:r>
    </w:p>
    <w:p w:rsidR="005E7170" w:rsidRPr="005E7170" w:rsidRDefault="005E7170" w:rsidP="005E7170">
      <w:pPr>
        <w:pStyle w:val="SingleTxt"/>
        <w:spacing w:after="0" w:line="120" w:lineRule="exact"/>
        <w:rPr>
          <w:b/>
          <w:sz w:val="12"/>
          <w:lang w:val="en-GB"/>
        </w:rPr>
      </w:pPr>
    </w:p>
    <w:p w:rsidR="006D7C2D" w:rsidRPr="006D7C2D"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D7C2D" w:rsidRPr="006D7C2D">
        <w:rPr>
          <w:rtl/>
        </w:rPr>
        <w:t>المرأة الريفية</w:t>
      </w:r>
    </w:p>
    <w:p w:rsidR="006D7C2D" w:rsidRPr="006D7C2D" w:rsidRDefault="006D7C2D" w:rsidP="005E7170">
      <w:pPr>
        <w:pStyle w:val="SingleTxt"/>
        <w:rPr>
          <w:rtl/>
        </w:rPr>
      </w:pPr>
      <w:r w:rsidRPr="006D7C2D">
        <w:rPr>
          <w:rFonts w:hint="cs"/>
          <w:rtl/>
        </w:rPr>
        <w:t>26 -</w:t>
      </w:r>
      <w:r w:rsidRPr="006D7C2D">
        <w:rPr>
          <w:lang w:val="en-GB"/>
        </w:rPr>
        <w:tab/>
      </w:r>
      <w:r w:rsidRPr="006D7C2D">
        <w:rPr>
          <w:rtl/>
        </w:rPr>
        <w:t>أوصت اللجنة في توصياتها الختامية لعام 2002 بأن ترصد الدولة الطرف البرامج القائمة وأن تضع سياسات وبرامج شاملة تهدف إلى تمكين النساء الريفيات اقتصاديا</w:t>
      </w:r>
      <w:r w:rsidR="005E7170" w:rsidRPr="005E7170">
        <w:rPr>
          <w:vertAlign w:val="superscript"/>
          <w:rtl/>
        </w:rPr>
        <w:t>(</w:t>
      </w:r>
      <w:r w:rsidR="005E7170">
        <w:rPr>
          <w:rStyle w:val="FootnoteReference"/>
          <w:rtl/>
        </w:rPr>
        <w:footnoteReference w:id="8"/>
      </w:r>
      <w:r w:rsidR="005E7170" w:rsidRPr="005E7170">
        <w:rPr>
          <w:vertAlign w:val="superscript"/>
          <w:rtl/>
        </w:rPr>
        <w:t>)</w:t>
      </w:r>
      <w:r w:rsidRPr="006D7C2D">
        <w:rPr>
          <w:rtl/>
        </w:rPr>
        <w:t>.</w:t>
      </w:r>
      <w:r w:rsidR="005E7170">
        <w:rPr>
          <w:rFonts w:hint="cs"/>
          <w:rtl/>
        </w:rPr>
        <w:t xml:space="preserve"> </w:t>
      </w:r>
      <w:r w:rsidRPr="006D7C2D">
        <w:rPr>
          <w:rtl/>
        </w:rPr>
        <w:t xml:space="preserve">يرجى </w:t>
      </w:r>
      <w:r w:rsidR="005E7170">
        <w:rPr>
          <w:rFonts w:hint="cs"/>
          <w:rtl/>
        </w:rPr>
        <w:t xml:space="preserve">إيراد المزيد من التفاصيل </w:t>
      </w:r>
      <w:r w:rsidRPr="006D7C2D">
        <w:rPr>
          <w:rtl/>
        </w:rPr>
        <w:t>عن الخط</w:t>
      </w:r>
      <w:r w:rsidRPr="006D7C2D">
        <w:rPr>
          <w:rFonts w:hint="cs"/>
          <w:rtl/>
        </w:rPr>
        <w:t>وات</w:t>
      </w:r>
      <w:r w:rsidRPr="006D7C2D">
        <w:rPr>
          <w:rtl/>
        </w:rPr>
        <w:t xml:space="preserve"> التي يجري اتخاذها لتنفيذ هذه التوصية، بما في ذلك النتائج المحققة، ويرجى تقديم معلومات عما إذا كانت استراتيجية إستونيا للتنمية الإقليمية تتضمن بعدا جنسانيا.</w:t>
      </w:r>
    </w:p>
    <w:p w:rsidR="005E7170" w:rsidRPr="005E7170" w:rsidRDefault="005E7170" w:rsidP="005E7170">
      <w:pPr>
        <w:pStyle w:val="SingleTxt"/>
        <w:spacing w:after="0" w:line="120" w:lineRule="exact"/>
        <w:rPr>
          <w:sz w:val="12"/>
          <w:rtl/>
        </w:rPr>
      </w:pPr>
    </w:p>
    <w:p w:rsidR="006D7C2D" w:rsidRPr="006D7C2D"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D7C2D" w:rsidRPr="006D7C2D">
        <w:rPr>
          <w:rtl/>
        </w:rPr>
        <w:t>الزواج والعلاقات الأسرية</w:t>
      </w:r>
    </w:p>
    <w:p w:rsidR="006D7C2D" w:rsidRPr="006D7C2D" w:rsidRDefault="006D7C2D" w:rsidP="005E7170">
      <w:pPr>
        <w:pStyle w:val="SingleTxt"/>
        <w:rPr>
          <w:rtl/>
        </w:rPr>
      </w:pPr>
      <w:r w:rsidRPr="006D7C2D">
        <w:rPr>
          <w:rFonts w:hint="cs"/>
          <w:rtl/>
        </w:rPr>
        <w:t>27 -</w:t>
      </w:r>
      <w:r w:rsidRPr="006D7C2D">
        <w:rPr>
          <w:lang w:val="en-GB"/>
        </w:rPr>
        <w:tab/>
      </w:r>
      <w:r w:rsidRPr="006D7C2D">
        <w:rPr>
          <w:rFonts w:hint="cs"/>
          <w:rtl/>
        </w:rPr>
        <w:t>ورد في</w:t>
      </w:r>
      <w:r w:rsidRPr="006D7C2D">
        <w:rPr>
          <w:rtl/>
        </w:rPr>
        <w:t xml:space="preserve"> التقرير أنه </w:t>
      </w:r>
      <w:r w:rsidR="005E7170">
        <w:rPr>
          <w:rFonts w:hint="cs"/>
          <w:rtl/>
        </w:rPr>
        <w:t>”</w:t>
      </w:r>
      <w:r w:rsidRPr="006D7C2D">
        <w:rPr>
          <w:rtl/>
        </w:rPr>
        <w:t>يجوز للقاصر الذي يتراوح عمره بين 15 و 18 عاما أن يتزوج</w:t>
      </w:r>
      <w:r w:rsidR="005E7170">
        <w:rPr>
          <w:rFonts w:hint="cs"/>
          <w:rtl/>
        </w:rPr>
        <w:t xml:space="preserve">“. </w:t>
      </w:r>
      <w:r w:rsidRPr="006D7C2D">
        <w:rPr>
          <w:rtl/>
        </w:rPr>
        <w:t xml:space="preserve">يرجى تقديم مزيد من المعلومات عن الحالات التي يعد فيها الزواج </w:t>
      </w:r>
      <w:r w:rsidR="005E7170">
        <w:rPr>
          <w:rFonts w:hint="cs"/>
          <w:rtl/>
        </w:rPr>
        <w:t>”</w:t>
      </w:r>
      <w:r w:rsidRPr="006D7C2D">
        <w:rPr>
          <w:rtl/>
        </w:rPr>
        <w:t>لصالح</w:t>
      </w:r>
      <w:r w:rsidR="005E7170">
        <w:rPr>
          <w:rFonts w:hint="eastAsia"/>
          <w:rtl/>
        </w:rPr>
        <w:t> </w:t>
      </w:r>
      <w:r w:rsidRPr="006D7C2D">
        <w:rPr>
          <w:rtl/>
        </w:rPr>
        <w:t>القاصر</w:t>
      </w:r>
      <w:r w:rsidR="005E7170">
        <w:rPr>
          <w:rFonts w:hint="cs"/>
          <w:rtl/>
        </w:rPr>
        <w:t xml:space="preserve">“. </w:t>
      </w:r>
      <w:r w:rsidRPr="006D7C2D">
        <w:rPr>
          <w:rtl/>
        </w:rPr>
        <w:t>ويرجى أيضا تقديم بيانات إحصائية مستكملة بشأن حالات الزواج بين القاصرين بعد عام 2002، مصنفة حسب نوع الجنس.</w:t>
      </w:r>
      <w:r w:rsidRPr="006D7C2D">
        <w:rPr>
          <w:lang w:val="en-GB"/>
        </w:rPr>
        <w:t xml:space="preserve"> </w:t>
      </w:r>
    </w:p>
    <w:p w:rsidR="005E7170" w:rsidRPr="005E7170" w:rsidRDefault="005E7170" w:rsidP="005E7170">
      <w:pPr>
        <w:pStyle w:val="SingleTxt"/>
        <w:spacing w:after="0" w:line="120" w:lineRule="exact"/>
        <w:rPr>
          <w:sz w:val="12"/>
          <w:rtl/>
        </w:rPr>
      </w:pPr>
    </w:p>
    <w:p w:rsidR="006D7C2D" w:rsidRPr="00B2184A" w:rsidRDefault="00B2184A" w:rsidP="00B21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D7C2D" w:rsidRPr="00B2184A">
        <w:rPr>
          <w:rtl/>
        </w:rPr>
        <w:t>البروتوكول الاختياري و</w:t>
      </w:r>
      <w:r w:rsidR="005E7170" w:rsidRPr="00B2184A">
        <w:rPr>
          <w:rFonts w:hint="cs"/>
          <w:rtl/>
        </w:rPr>
        <w:t>ال</w:t>
      </w:r>
      <w:r w:rsidR="006D7C2D" w:rsidRPr="00B2184A">
        <w:rPr>
          <w:rtl/>
        </w:rPr>
        <w:t xml:space="preserve">تعديل </w:t>
      </w:r>
      <w:r w:rsidR="005E7170" w:rsidRPr="00B2184A">
        <w:rPr>
          <w:rFonts w:hint="cs"/>
          <w:rtl/>
        </w:rPr>
        <w:t xml:space="preserve">على </w:t>
      </w:r>
      <w:r w:rsidR="006D7C2D" w:rsidRPr="00B2184A">
        <w:rPr>
          <w:rtl/>
        </w:rPr>
        <w:t>الفقرة 1 من المادة 20</w:t>
      </w:r>
    </w:p>
    <w:p w:rsidR="001B32C9" w:rsidRDefault="006D7C2D" w:rsidP="005E7170">
      <w:pPr>
        <w:pStyle w:val="SingleTxt"/>
        <w:rPr>
          <w:rFonts w:hint="cs"/>
          <w:rtl/>
        </w:rPr>
      </w:pPr>
      <w:r w:rsidRPr="006D7C2D">
        <w:rPr>
          <w:rFonts w:hint="cs"/>
          <w:rtl/>
        </w:rPr>
        <w:t>28 -</w:t>
      </w:r>
      <w:r w:rsidRPr="006D7C2D">
        <w:rPr>
          <w:lang w:val="en-GB"/>
        </w:rPr>
        <w:tab/>
      </w:r>
      <w:r w:rsidRPr="006D7C2D">
        <w:rPr>
          <w:rtl/>
        </w:rPr>
        <w:t xml:space="preserve">يُرجى بيان أي تقدم يكون قد أحرز </w:t>
      </w:r>
      <w:r w:rsidR="005E7170">
        <w:rPr>
          <w:rFonts w:hint="cs"/>
          <w:rtl/>
        </w:rPr>
        <w:t xml:space="preserve">صوب التصديق على </w:t>
      </w:r>
      <w:r w:rsidRPr="006D7C2D">
        <w:rPr>
          <w:rtl/>
        </w:rPr>
        <w:t xml:space="preserve">البروتوكول الاختياري للاتفاقية </w:t>
      </w:r>
      <w:r w:rsidR="005E7170">
        <w:rPr>
          <w:rFonts w:hint="cs"/>
          <w:rtl/>
        </w:rPr>
        <w:t xml:space="preserve">أو الانضمام إليه، </w:t>
      </w:r>
      <w:r w:rsidRPr="006D7C2D">
        <w:rPr>
          <w:rtl/>
        </w:rPr>
        <w:t xml:space="preserve">أو </w:t>
      </w:r>
      <w:r w:rsidR="005E7170">
        <w:rPr>
          <w:rFonts w:hint="cs"/>
          <w:rtl/>
        </w:rPr>
        <w:t xml:space="preserve">صوب </w:t>
      </w:r>
      <w:r w:rsidRPr="006D7C2D">
        <w:rPr>
          <w:rtl/>
        </w:rPr>
        <w:t xml:space="preserve">قبول </w:t>
      </w:r>
      <w:r w:rsidR="005E7170">
        <w:rPr>
          <w:rFonts w:hint="cs"/>
          <w:rtl/>
        </w:rPr>
        <w:t>ال</w:t>
      </w:r>
      <w:r w:rsidRPr="006D7C2D">
        <w:rPr>
          <w:rtl/>
        </w:rPr>
        <w:t xml:space="preserve">تعديل </w:t>
      </w:r>
      <w:r w:rsidR="005E7170">
        <w:rPr>
          <w:rFonts w:hint="cs"/>
          <w:rtl/>
        </w:rPr>
        <w:t xml:space="preserve">على </w:t>
      </w:r>
      <w:r w:rsidRPr="006D7C2D">
        <w:rPr>
          <w:rtl/>
        </w:rPr>
        <w:t>الفقرة 1 من المادة 20 من الاتفاقية.</w:t>
      </w:r>
    </w:p>
    <w:p w:rsidR="005E7170" w:rsidRPr="005E7170" w:rsidRDefault="005E7170" w:rsidP="005E7170">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E7170" w:rsidRPr="005E7170" w:rsidSect="005613E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4T16:00:00Z" w:initials="Start">
    <w:p w:rsidR="002D5DEB" w:rsidRDefault="002D5DE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NO&gt;&gt;N0724996A&lt;&lt;ODS JOB NO</w:t>
      </w:r>
      <w:r>
        <w:rPr>
          <w:rtl/>
        </w:rPr>
        <w:t>&gt;&gt;</w:t>
      </w:r>
    </w:p>
    <w:p w:rsidR="002D5DEB" w:rsidRDefault="002D5DEB">
      <w:pPr>
        <w:pStyle w:val="CommentText"/>
        <w:rPr>
          <w:rtl/>
        </w:rPr>
      </w:pPr>
      <w:r>
        <w:rPr>
          <w:rtl/>
        </w:rPr>
        <w:t>&lt;&lt;</w:t>
      </w:r>
      <w:r>
        <w:t>ODS DOC SYMBOL1&gt;&gt;CEDAW/C/EST/Q/4&lt;&lt;ODS DOC SYMBOL1</w:t>
      </w:r>
      <w:r>
        <w:rPr>
          <w:rtl/>
        </w:rPr>
        <w:t>&gt;&gt;</w:t>
      </w:r>
    </w:p>
    <w:p w:rsidR="002D5DEB" w:rsidRDefault="002D5DE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DEB" w:rsidRDefault="002D5DEB">
      <w:r>
        <w:separator/>
      </w:r>
    </w:p>
  </w:endnote>
  <w:endnote w:type="continuationSeparator" w:id="0">
    <w:p w:rsidR="002D5DEB" w:rsidRDefault="002D5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5DEB">
      <w:tblPrEx>
        <w:tblCellMar>
          <w:top w:w="0" w:type="dxa"/>
          <w:bottom w:w="0" w:type="dxa"/>
        </w:tblCellMar>
      </w:tblPrEx>
      <w:tc>
        <w:tcPr>
          <w:tcW w:w="5033" w:type="dxa"/>
          <w:shd w:val="clear" w:color="auto" w:fill="auto"/>
        </w:tcPr>
        <w:p w:rsidR="002D5DEB" w:rsidRPr="005613EA" w:rsidRDefault="002D5DEB" w:rsidP="005613E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2D5DEB" w:rsidRPr="005613EA" w:rsidRDefault="002D5DEB" w:rsidP="005613E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07-24996</w:t>
          </w:r>
          <w:r>
            <w:rPr>
              <w:b w:val="0"/>
              <w:w w:val="103"/>
            </w:rPr>
            <w:fldChar w:fldCharType="end"/>
          </w:r>
        </w:p>
      </w:tc>
    </w:tr>
  </w:tbl>
  <w:p w:rsidR="002D5DEB" w:rsidRPr="005613EA" w:rsidRDefault="002D5DEB" w:rsidP="005613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5DEB">
      <w:tblPrEx>
        <w:tblCellMar>
          <w:top w:w="0" w:type="dxa"/>
          <w:bottom w:w="0" w:type="dxa"/>
        </w:tblCellMar>
      </w:tblPrEx>
      <w:tc>
        <w:tcPr>
          <w:tcW w:w="5033" w:type="dxa"/>
          <w:shd w:val="clear" w:color="auto" w:fill="auto"/>
        </w:tcPr>
        <w:p w:rsidR="002D5DEB" w:rsidRPr="005613EA" w:rsidRDefault="002D5DEB" w:rsidP="005613E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07-24996</w:t>
          </w:r>
          <w:r>
            <w:rPr>
              <w:b w:val="0"/>
              <w:w w:val="103"/>
            </w:rPr>
            <w:fldChar w:fldCharType="end"/>
          </w:r>
        </w:p>
      </w:tc>
      <w:tc>
        <w:tcPr>
          <w:tcW w:w="5033" w:type="dxa"/>
          <w:shd w:val="clear" w:color="auto" w:fill="auto"/>
        </w:tcPr>
        <w:p w:rsidR="002D5DEB" w:rsidRPr="005613EA" w:rsidRDefault="002D5DEB" w:rsidP="005613EA">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2D5DEB" w:rsidRPr="005613EA" w:rsidRDefault="002D5DEB" w:rsidP="005613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DEB" w:rsidRDefault="002D5DEB">
    <w:pPr>
      <w:pStyle w:val="Footer"/>
    </w:pPr>
  </w:p>
  <w:p w:rsidR="002D5DEB" w:rsidRDefault="002D5DEB" w:rsidP="00F33B93">
    <w:pPr>
      <w:pStyle w:val="Footer"/>
      <w:jc w:val="right"/>
      <w:rPr>
        <w:rFonts w:cs="Times New Roman"/>
        <w:b w:val="0"/>
        <w:w w:val="103"/>
        <w:sz w:val="20"/>
      </w:rPr>
    </w:pPr>
    <w:r>
      <w:rPr>
        <w:rFonts w:cs="Times New Roman"/>
        <w:b w:val="0"/>
        <w:w w:val="103"/>
        <w:sz w:val="20"/>
      </w:rPr>
      <w:t xml:space="preserve">160307    140307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07-24996 (A)</w:t>
    </w:r>
    <w:r>
      <w:rPr>
        <w:rFonts w:cs="Times New Roman"/>
        <w:b w:val="0"/>
        <w:w w:val="103"/>
        <w:sz w:val="20"/>
      </w:rPr>
      <w:fldChar w:fldCharType="end"/>
    </w:r>
  </w:p>
  <w:p w:rsidR="002D5DEB" w:rsidRPr="005613EA" w:rsidRDefault="002D5DEB" w:rsidP="005613E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*0724996*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DEB" w:rsidRPr="005E7170" w:rsidRDefault="002D5DEB" w:rsidP="005E7170">
      <w:pPr>
        <w:pStyle w:val="Footer"/>
        <w:bidi/>
        <w:spacing w:after="80"/>
        <w:ind w:left="792"/>
        <w:rPr>
          <w:sz w:val="16"/>
        </w:rPr>
      </w:pPr>
      <w:r w:rsidRPr="005E7170">
        <w:rPr>
          <w:sz w:val="16"/>
          <w:rtl/>
        </w:rPr>
        <w:t>__________</w:t>
      </w:r>
    </w:p>
  </w:footnote>
  <w:footnote w:type="continuationSeparator" w:id="0">
    <w:p w:rsidR="002D5DEB" w:rsidRPr="005E7170" w:rsidRDefault="002D5DEB" w:rsidP="005E7170">
      <w:pPr>
        <w:pStyle w:val="Footer"/>
        <w:spacing w:after="80"/>
        <w:ind w:left="792"/>
        <w:rPr>
          <w:sz w:val="16"/>
        </w:rPr>
      </w:pPr>
      <w:r w:rsidRPr="005E7170">
        <w:rPr>
          <w:sz w:val="16"/>
        </w:rPr>
        <w:t>__________</w:t>
      </w:r>
    </w:p>
  </w:footnote>
  <w:footnote w:id="1">
    <w:p w:rsidR="002D5DEB" w:rsidRPr="006D7C2D" w:rsidRDefault="002D5DEB" w:rsidP="006D7C2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D7C2D">
        <w:rPr>
          <w:w w:val="103"/>
          <w:rtl/>
        </w:rPr>
        <w:t>(</w:t>
      </w:r>
      <w:r w:rsidRPr="006D7C2D">
        <w:rPr>
          <w:rStyle w:val="FootnoteReference"/>
          <w:spacing w:val="0"/>
          <w:w w:val="103"/>
          <w:vertAlign w:val="baseline"/>
          <w:rtl/>
        </w:rPr>
        <w:footnoteRef/>
      </w:r>
      <w:r w:rsidRPr="006D7C2D">
        <w:rPr>
          <w:w w:val="103"/>
          <w:rtl/>
        </w:rPr>
        <w:t>)</w:t>
      </w:r>
      <w:r w:rsidRPr="006D7C2D">
        <w:rPr>
          <w:w w:val="103"/>
          <w:rtl/>
        </w:rPr>
        <w:tab/>
      </w:r>
      <w:r w:rsidRPr="00026859">
        <w:rPr>
          <w:iCs/>
          <w:w w:val="103"/>
          <w:sz w:val="20"/>
          <w:rtl/>
        </w:rPr>
        <w:t>ا</w:t>
      </w:r>
      <w:r w:rsidRPr="00026859">
        <w:rPr>
          <w:iCs/>
          <w:sz w:val="20"/>
          <w:rtl/>
        </w:rPr>
        <w:t xml:space="preserve">لوثائق الرسمية للجمعية العامة، الدورة السابعة والخمسون، الملحق رقم 38 </w:t>
      </w:r>
      <w:r w:rsidRPr="00026859">
        <w:rPr>
          <w:sz w:val="20"/>
          <w:rtl/>
        </w:rPr>
        <w:t>(</w:t>
      </w:r>
      <w:r>
        <w:rPr>
          <w:sz w:val="20"/>
        </w:rPr>
        <w:t>A/57/38</w:t>
      </w:r>
      <w:r w:rsidRPr="00026859">
        <w:rPr>
          <w:sz w:val="20"/>
          <w:rtl/>
        </w:rPr>
        <w:t>)</w:t>
      </w:r>
      <w:r>
        <w:rPr>
          <w:rFonts w:hint="cs"/>
          <w:sz w:val="20"/>
          <w:rtl/>
        </w:rPr>
        <w:t>،</w:t>
      </w:r>
      <w:r w:rsidRPr="00026859">
        <w:rPr>
          <w:sz w:val="20"/>
          <w:rtl/>
        </w:rPr>
        <w:t xml:space="preserve"> الفقرة 86.</w:t>
      </w:r>
    </w:p>
  </w:footnote>
  <w:footnote w:id="2">
    <w:p w:rsidR="002D5DEB" w:rsidRPr="0099026D" w:rsidRDefault="002D5DEB" w:rsidP="0099026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026D">
        <w:rPr>
          <w:w w:val="103"/>
          <w:rtl/>
        </w:rPr>
        <w:t>(</w:t>
      </w:r>
      <w:r w:rsidRPr="0099026D">
        <w:rPr>
          <w:rStyle w:val="FootnoteReference"/>
          <w:spacing w:val="0"/>
          <w:w w:val="103"/>
          <w:vertAlign w:val="baseline"/>
          <w:rtl/>
        </w:rPr>
        <w:footnoteRef/>
      </w:r>
      <w:r w:rsidRPr="0099026D">
        <w:rPr>
          <w:w w:val="103"/>
          <w:rtl/>
        </w:rPr>
        <w:t>)</w:t>
      </w:r>
      <w:r w:rsidRPr="0099026D">
        <w:rPr>
          <w:w w:val="103"/>
          <w:rtl/>
        </w:rPr>
        <w:tab/>
      </w:r>
      <w:r>
        <w:rPr>
          <w:rFonts w:hint="cs"/>
          <w:w w:val="103"/>
          <w:rtl/>
        </w:rPr>
        <w:t>المرجع نفسه، الفقرة 94.</w:t>
      </w:r>
    </w:p>
  </w:footnote>
  <w:footnote w:id="3">
    <w:p w:rsidR="002D5DEB" w:rsidRPr="0099026D" w:rsidRDefault="002D5DEB" w:rsidP="0099026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026D">
        <w:rPr>
          <w:w w:val="103"/>
          <w:rtl/>
        </w:rPr>
        <w:t>(</w:t>
      </w:r>
      <w:r w:rsidRPr="0099026D">
        <w:rPr>
          <w:rStyle w:val="FootnoteReference"/>
          <w:spacing w:val="0"/>
          <w:w w:val="103"/>
          <w:vertAlign w:val="baseline"/>
          <w:rtl/>
        </w:rPr>
        <w:footnoteRef/>
      </w:r>
      <w:r w:rsidRPr="0099026D">
        <w:rPr>
          <w:w w:val="103"/>
          <w:rtl/>
        </w:rPr>
        <w:t>)</w:t>
      </w:r>
      <w:r w:rsidRPr="0099026D">
        <w:rPr>
          <w:w w:val="103"/>
          <w:rtl/>
        </w:rPr>
        <w:tab/>
      </w:r>
      <w:r>
        <w:rPr>
          <w:rFonts w:hint="cs"/>
          <w:w w:val="103"/>
          <w:rtl/>
        </w:rPr>
        <w:t>المرجع نفسه، الفقرة 98.</w:t>
      </w:r>
    </w:p>
  </w:footnote>
  <w:footnote w:id="4">
    <w:p w:rsidR="002D5DEB" w:rsidRPr="0099026D" w:rsidRDefault="002D5DEB" w:rsidP="0099026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026D">
        <w:rPr>
          <w:w w:val="103"/>
          <w:rtl/>
        </w:rPr>
        <w:t>(</w:t>
      </w:r>
      <w:r w:rsidRPr="0099026D">
        <w:rPr>
          <w:rStyle w:val="FootnoteReference"/>
          <w:spacing w:val="0"/>
          <w:w w:val="103"/>
          <w:vertAlign w:val="baseline"/>
          <w:rtl/>
        </w:rPr>
        <w:footnoteRef/>
      </w:r>
      <w:r w:rsidRPr="0099026D">
        <w:rPr>
          <w:w w:val="103"/>
          <w:rtl/>
        </w:rPr>
        <w:t>)</w:t>
      </w:r>
      <w:r w:rsidRPr="0099026D">
        <w:rPr>
          <w:w w:val="103"/>
          <w:rtl/>
        </w:rPr>
        <w:tab/>
      </w:r>
      <w:r>
        <w:rPr>
          <w:rFonts w:hint="cs"/>
          <w:w w:val="103"/>
          <w:rtl/>
        </w:rPr>
        <w:t>المرجع نفسه، الفقرتان 98 و 100.</w:t>
      </w:r>
    </w:p>
  </w:footnote>
  <w:footnote w:id="5">
    <w:p w:rsidR="002D5DEB" w:rsidRPr="0099026D" w:rsidRDefault="002D5DEB" w:rsidP="0099026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026D">
        <w:rPr>
          <w:w w:val="103"/>
          <w:rtl/>
        </w:rPr>
        <w:t>(</w:t>
      </w:r>
      <w:r w:rsidRPr="0099026D">
        <w:rPr>
          <w:rStyle w:val="FootnoteReference"/>
          <w:spacing w:val="0"/>
          <w:w w:val="103"/>
          <w:vertAlign w:val="baseline"/>
          <w:rtl/>
        </w:rPr>
        <w:footnoteRef/>
      </w:r>
      <w:r w:rsidRPr="0099026D">
        <w:rPr>
          <w:w w:val="103"/>
          <w:rtl/>
        </w:rPr>
        <w:t>)</w:t>
      </w:r>
      <w:r w:rsidRPr="0099026D">
        <w:rPr>
          <w:w w:val="103"/>
          <w:rtl/>
        </w:rPr>
        <w:tab/>
      </w:r>
      <w:r>
        <w:rPr>
          <w:rFonts w:hint="cs"/>
          <w:w w:val="103"/>
          <w:rtl/>
        </w:rPr>
        <w:t>المرجع نفسه، الفقرة 96.</w:t>
      </w:r>
    </w:p>
  </w:footnote>
  <w:footnote w:id="6">
    <w:p w:rsidR="002D5DEB" w:rsidRPr="0099026D" w:rsidRDefault="002D5DEB" w:rsidP="0099026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026D">
        <w:rPr>
          <w:w w:val="103"/>
          <w:rtl/>
        </w:rPr>
        <w:t>(</w:t>
      </w:r>
      <w:r w:rsidRPr="0099026D">
        <w:rPr>
          <w:rStyle w:val="FootnoteReference"/>
          <w:spacing w:val="0"/>
          <w:w w:val="103"/>
          <w:vertAlign w:val="baseline"/>
          <w:rtl/>
        </w:rPr>
        <w:footnoteRef/>
      </w:r>
      <w:r w:rsidRPr="0099026D">
        <w:rPr>
          <w:w w:val="103"/>
          <w:rtl/>
        </w:rPr>
        <w:t>)</w:t>
      </w:r>
      <w:r w:rsidRPr="0099026D">
        <w:rPr>
          <w:w w:val="103"/>
          <w:rtl/>
        </w:rPr>
        <w:tab/>
      </w:r>
      <w:r w:rsidRPr="00026859">
        <w:rPr>
          <w:sz w:val="20"/>
          <w:rtl/>
        </w:rPr>
        <w:t>المرجع نفسه، الفقرة 108.</w:t>
      </w:r>
    </w:p>
  </w:footnote>
  <w:footnote w:id="7">
    <w:p w:rsidR="002D5DEB" w:rsidRPr="005E7170" w:rsidRDefault="002D5DEB" w:rsidP="005E717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E7170">
        <w:rPr>
          <w:w w:val="103"/>
          <w:rtl/>
        </w:rPr>
        <w:t>(</w:t>
      </w:r>
      <w:r w:rsidRPr="005E7170">
        <w:rPr>
          <w:rStyle w:val="FootnoteReference"/>
          <w:spacing w:val="0"/>
          <w:w w:val="103"/>
          <w:vertAlign w:val="baseline"/>
          <w:rtl/>
        </w:rPr>
        <w:footnoteRef/>
      </w:r>
      <w:r w:rsidRPr="005E7170">
        <w:rPr>
          <w:w w:val="103"/>
          <w:rtl/>
        </w:rPr>
        <w:t>)</w:t>
      </w:r>
      <w:r w:rsidRPr="005E7170">
        <w:rPr>
          <w:w w:val="103"/>
          <w:rtl/>
        </w:rPr>
        <w:tab/>
      </w:r>
      <w:r w:rsidRPr="00026859">
        <w:rPr>
          <w:sz w:val="20"/>
          <w:rtl/>
        </w:rPr>
        <w:t>المرجع نفسه، الفقرة 112.</w:t>
      </w:r>
    </w:p>
  </w:footnote>
  <w:footnote w:id="8">
    <w:p w:rsidR="002D5DEB" w:rsidRPr="005E7170" w:rsidRDefault="002D5DEB" w:rsidP="005E717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E7170">
        <w:rPr>
          <w:w w:val="103"/>
          <w:rtl/>
        </w:rPr>
        <w:t>(</w:t>
      </w:r>
      <w:r w:rsidRPr="005E7170">
        <w:rPr>
          <w:rStyle w:val="FootnoteReference"/>
          <w:spacing w:val="0"/>
          <w:w w:val="103"/>
          <w:vertAlign w:val="baseline"/>
          <w:rtl/>
        </w:rPr>
        <w:footnoteRef/>
      </w:r>
      <w:r w:rsidRPr="005E7170">
        <w:rPr>
          <w:w w:val="103"/>
          <w:rtl/>
        </w:rPr>
        <w:t>)</w:t>
      </w:r>
      <w:r w:rsidRPr="005E7170">
        <w:rPr>
          <w:w w:val="103"/>
          <w:rtl/>
        </w:rPr>
        <w:tab/>
      </w:r>
      <w:r w:rsidRPr="00026859">
        <w:rPr>
          <w:sz w:val="20"/>
          <w:rtl/>
        </w:rPr>
        <w:t>المرجع نفسه، الفقرة 114.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2D5DEB">
      <w:tblPrEx>
        <w:tblCellMar>
          <w:top w:w="0" w:type="dxa"/>
          <w:bottom w:w="0" w:type="dxa"/>
        </w:tblCellMar>
      </w:tblPrEx>
      <w:trPr>
        <w:trHeight w:hRule="exact" w:val="864"/>
        <w:jc w:val="center"/>
      </w:trPr>
      <w:tc>
        <w:tcPr>
          <w:tcW w:w="5033" w:type="dxa"/>
          <w:shd w:val="clear" w:color="auto" w:fill="auto"/>
          <w:vAlign w:val="bottom"/>
        </w:tcPr>
        <w:p w:rsidR="002D5DEB" w:rsidRDefault="002D5DEB" w:rsidP="005613EA">
          <w:pPr>
            <w:pStyle w:val="Header"/>
            <w:bidi/>
            <w:jc w:val="right"/>
          </w:pPr>
        </w:p>
      </w:tc>
      <w:tc>
        <w:tcPr>
          <w:tcW w:w="5033" w:type="dxa"/>
          <w:shd w:val="clear" w:color="auto" w:fill="auto"/>
          <w:vAlign w:val="bottom"/>
        </w:tcPr>
        <w:p w:rsidR="002D5DEB" w:rsidRPr="005613EA" w:rsidRDefault="002D5DEB" w:rsidP="005613E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CEDAW/C/EST/Q/4</w:t>
          </w:r>
          <w:r>
            <w:rPr>
              <w:w w:val="103"/>
            </w:rPr>
            <w:fldChar w:fldCharType="end"/>
          </w:r>
        </w:p>
      </w:tc>
    </w:tr>
  </w:tbl>
  <w:p w:rsidR="002D5DEB" w:rsidRPr="005613EA" w:rsidRDefault="002D5DEB" w:rsidP="005613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2D5DEB">
      <w:tblPrEx>
        <w:tblCellMar>
          <w:top w:w="0" w:type="dxa"/>
          <w:bottom w:w="0" w:type="dxa"/>
        </w:tblCellMar>
      </w:tblPrEx>
      <w:trPr>
        <w:trHeight w:hRule="exact" w:val="864"/>
        <w:jc w:val="center"/>
      </w:trPr>
      <w:tc>
        <w:tcPr>
          <w:tcW w:w="5033" w:type="dxa"/>
          <w:shd w:val="clear" w:color="auto" w:fill="auto"/>
          <w:vAlign w:val="bottom"/>
        </w:tcPr>
        <w:p w:rsidR="002D5DEB" w:rsidRPr="005613EA" w:rsidRDefault="002D5DEB" w:rsidP="005613E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CEDAW/C/EST/Q/4</w:t>
          </w:r>
          <w:r>
            <w:rPr>
              <w:w w:val="103"/>
            </w:rPr>
            <w:fldChar w:fldCharType="end"/>
          </w:r>
        </w:p>
      </w:tc>
      <w:tc>
        <w:tcPr>
          <w:tcW w:w="5033" w:type="dxa"/>
          <w:shd w:val="clear" w:color="auto" w:fill="auto"/>
          <w:vAlign w:val="bottom"/>
        </w:tcPr>
        <w:p w:rsidR="002D5DEB" w:rsidRDefault="002D5DEB" w:rsidP="005613EA">
          <w:pPr>
            <w:pStyle w:val="Header"/>
          </w:pPr>
        </w:p>
      </w:tc>
    </w:tr>
  </w:tbl>
  <w:p w:rsidR="002D5DEB" w:rsidRPr="005613EA" w:rsidRDefault="002D5DEB" w:rsidP="005613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D5DE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D5DEB" w:rsidRDefault="002D5DEB" w:rsidP="005613EA">
          <w:pPr>
            <w:pStyle w:val="Header"/>
            <w:spacing w:after="120"/>
          </w:pPr>
        </w:p>
      </w:tc>
      <w:tc>
        <w:tcPr>
          <w:tcW w:w="1786" w:type="dxa"/>
          <w:tcBorders>
            <w:bottom w:val="single" w:sz="4" w:space="0" w:color="auto"/>
          </w:tcBorders>
          <w:shd w:val="clear" w:color="auto" w:fill="auto"/>
          <w:vAlign w:val="bottom"/>
        </w:tcPr>
        <w:p w:rsidR="002D5DEB" w:rsidRPr="005613EA" w:rsidRDefault="002D5DEB" w:rsidP="005613E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D5DEB" w:rsidRDefault="002D5DEB" w:rsidP="005613EA">
          <w:pPr>
            <w:pStyle w:val="Header"/>
            <w:spacing w:after="120"/>
          </w:pPr>
        </w:p>
      </w:tc>
      <w:tc>
        <w:tcPr>
          <w:tcW w:w="6523" w:type="dxa"/>
          <w:gridSpan w:val="3"/>
          <w:tcBorders>
            <w:bottom w:val="single" w:sz="4" w:space="0" w:color="auto"/>
          </w:tcBorders>
          <w:shd w:val="clear" w:color="auto" w:fill="auto"/>
          <w:vAlign w:val="bottom"/>
        </w:tcPr>
        <w:p w:rsidR="002D5DEB" w:rsidRPr="005613EA" w:rsidRDefault="002D5DEB" w:rsidP="005613EA">
          <w:pPr>
            <w:spacing w:line="380" w:lineRule="exact"/>
            <w:jc w:val="right"/>
          </w:pPr>
          <w:r>
            <w:rPr>
              <w:sz w:val="40"/>
            </w:rPr>
            <w:t>CEDAW</w:t>
          </w:r>
          <w:r>
            <w:t>/C/EST/Q/4</w:t>
          </w:r>
        </w:p>
      </w:tc>
    </w:tr>
    <w:tr w:rsidR="002D5DEB" w:rsidRPr="005613E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D5DEB" w:rsidRDefault="002D5DEB" w:rsidP="005613E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5DEB" w:rsidRPr="005613EA" w:rsidRDefault="002D5DEB" w:rsidP="005613EA">
          <w:pPr>
            <w:pStyle w:val="Header"/>
            <w:spacing w:before="109"/>
            <w:jc w:val="right"/>
          </w:pPr>
        </w:p>
      </w:tc>
      <w:tc>
        <w:tcPr>
          <w:tcW w:w="5227" w:type="dxa"/>
          <w:gridSpan w:val="3"/>
          <w:tcBorders>
            <w:top w:val="single" w:sz="4" w:space="0" w:color="auto"/>
            <w:bottom w:val="single" w:sz="12" w:space="0" w:color="auto"/>
          </w:tcBorders>
          <w:shd w:val="clear" w:color="auto" w:fill="auto"/>
        </w:tcPr>
        <w:p w:rsidR="002D5DEB" w:rsidRPr="005613EA" w:rsidRDefault="002D5DEB" w:rsidP="005613E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D5DEB" w:rsidRPr="005613EA" w:rsidRDefault="002D5DEB" w:rsidP="005613EA">
          <w:pPr>
            <w:pStyle w:val="Header"/>
            <w:spacing w:before="109"/>
          </w:pPr>
        </w:p>
      </w:tc>
      <w:tc>
        <w:tcPr>
          <w:tcW w:w="3100" w:type="dxa"/>
          <w:gridSpan w:val="2"/>
          <w:tcBorders>
            <w:top w:val="single" w:sz="4" w:space="0" w:color="auto"/>
            <w:bottom w:val="single" w:sz="12" w:space="0" w:color="auto"/>
          </w:tcBorders>
          <w:shd w:val="clear" w:color="auto" w:fill="auto"/>
        </w:tcPr>
        <w:p w:rsidR="002D5DEB" w:rsidRDefault="002D5DEB" w:rsidP="005613EA">
          <w:pPr>
            <w:bidi w:val="0"/>
            <w:spacing w:before="240" w:line="240" w:lineRule="exact"/>
          </w:pPr>
          <w:r>
            <w:t>Distr.: General</w:t>
          </w:r>
        </w:p>
        <w:p w:rsidR="002D5DEB" w:rsidRDefault="002D5DEB" w:rsidP="005613EA">
          <w:pPr>
            <w:bidi w:val="0"/>
            <w:spacing w:line="240" w:lineRule="exact"/>
            <w:jc w:val="left"/>
          </w:pPr>
          <w:r>
            <w:t>26 February 2007</w:t>
          </w:r>
        </w:p>
        <w:p w:rsidR="002D5DEB" w:rsidRDefault="002D5DEB" w:rsidP="005613EA">
          <w:pPr>
            <w:bidi w:val="0"/>
            <w:spacing w:line="240" w:lineRule="exact"/>
            <w:jc w:val="left"/>
          </w:pPr>
          <w:r>
            <w:t>Arabic</w:t>
          </w:r>
        </w:p>
        <w:p w:rsidR="002D5DEB" w:rsidRPr="005613EA" w:rsidRDefault="002D5DEB" w:rsidP="005613EA">
          <w:pPr>
            <w:bidi w:val="0"/>
            <w:spacing w:line="240" w:lineRule="exact"/>
            <w:jc w:val="left"/>
          </w:pPr>
          <w:r>
            <w:t>Original: English</w:t>
          </w:r>
        </w:p>
      </w:tc>
    </w:tr>
  </w:tbl>
  <w:p w:rsidR="002D5DEB" w:rsidRPr="005613EA" w:rsidRDefault="002D5DEB" w:rsidP="005613E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6*"/>
    <w:docVar w:name="CreationDt" w:val="14/03/2007 04:001 م"/>
    <w:docVar w:name="DocCategory" w:val="Doc"/>
    <w:docVar w:name="DocType" w:val="Final"/>
    <w:docVar w:name="FooterJN" w:val="07-24996"/>
    <w:docVar w:name="jobn" w:val="07-24996 (A)"/>
    <w:docVar w:name="jobnDT" w:val="07-24996 (A)   140307"/>
    <w:docVar w:name="jobnDTDT" w:val="07-24996 (A)   140307   140307"/>
    <w:docVar w:name="JobNo" w:val="0724996A"/>
    <w:docVar w:name="OandT" w:val=" "/>
    <w:docVar w:name="sss1" w:val="CEDAW/C/EST/Q/4"/>
    <w:docVar w:name="sss2" w:val="-"/>
    <w:docVar w:name="Symbol1" w:val="CEDAW/C/EST/Q/4"/>
    <w:docVar w:name="Symbol2" w:val="-"/>
  </w:docVars>
  <w:rsids>
    <w:rsidRoot w:val="00713924"/>
    <w:rsid w:val="00005972"/>
    <w:rsid w:val="00042425"/>
    <w:rsid w:val="0006646B"/>
    <w:rsid w:val="0006648F"/>
    <w:rsid w:val="00087310"/>
    <w:rsid w:val="0009732C"/>
    <w:rsid w:val="000C4EED"/>
    <w:rsid w:val="000D2CEC"/>
    <w:rsid w:val="000D40EF"/>
    <w:rsid w:val="00101EE8"/>
    <w:rsid w:val="00113349"/>
    <w:rsid w:val="001519A9"/>
    <w:rsid w:val="001737F8"/>
    <w:rsid w:val="00187870"/>
    <w:rsid w:val="001B32C9"/>
    <w:rsid w:val="001F6786"/>
    <w:rsid w:val="002416C5"/>
    <w:rsid w:val="00266F59"/>
    <w:rsid w:val="00272B6C"/>
    <w:rsid w:val="0027623A"/>
    <w:rsid w:val="00290F2F"/>
    <w:rsid w:val="002937DA"/>
    <w:rsid w:val="002A09C6"/>
    <w:rsid w:val="002C2AF2"/>
    <w:rsid w:val="002C4E1B"/>
    <w:rsid w:val="002D5DEB"/>
    <w:rsid w:val="002F4283"/>
    <w:rsid w:val="00312162"/>
    <w:rsid w:val="003501D5"/>
    <w:rsid w:val="00371AC4"/>
    <w:rsid w:val="00383CA8"/>
    <w:rsid w:val="003A5F8F"/>
    <w:rsid w:val="003A65ED"/>
    <w:rsid w:val="003D4612"/>
    <w:rsid w:val="003F4B8C"/>
    <w:rsid w:val="00401BDF"/>
    <w:rsid w:val="00411BBD"/>
    <w:rsid w:val="00415922"/>
    <w:rsid w:val="0041732D"/>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3EA"/>
    <w:rsid w:val="00561E43"/>
    <w:rsid w:val="0057078E"/>
    <w:rsid w:val="005838F5"/>
    <w:rsid w:val="00591B45"/>
    <w:rsid w:val="005A0F73"/>
    <w:rsid w:val="005A2EA3"/>
    <w:rsid w:val="005C2ECE"/>
    <w:rsid w:val="005E7170"/>
    <w:rsid w:val="00616E82"/>
    <w:rsid w:val="006218A3"/>
    <w:rsid w:val="006564CE"/>
    <w:rsid w:val="00663F64"/>
    <w:rsid w:val="00696B7A"/>
    <w:rsid w:val="006C38EE"/>
    <w:rsid w:val="006D7C2D"/>
    <w:rsid w:val="00713924"/>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026D"/>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184A"/>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67B08"/>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81D3A"/>
    <w:rsid w:val="00E9114A"/>
    <w:rsid w:val="00EA489C"/>
    <w:rsid w:val="00EB0CA7"/>
    <w:rsid w:val="00EB222E"/>
    <w:rsid w:val="00EB4992"/>
    <w:rsid w:val="00EF2E52"/>
    <w:rsid w:val="00F24CFE"/>
    <w:rsid w:val="00F274F0"/>
    <w:rsid w:val="00F32E4A"/>
    <w:rsid w:val="00F33B93"/>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613EA"/>
    <w:rPr>
      <w:szCs w:val="20"/>
    </w:rPr>
  </w:style>
  <w:style w:type="paragraph" w:styleId="CommentSubject">
    <w:name w:val="annotation subject"/>
    <w:basedOn w:val="CommentText"/>
    <w:next w:val="CommentText"/>
    <w:semiHidden/>
    <w:rsid w:val="005613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6</Pages>
  <Words>1488</Words>
  <Characters>8483</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antone.boulis</dc:creator>
  <cp:keywords/>
  <dc:description/>
  <cp:lastModifiedBy>DAHSHOURY</cp:lastModifiedBy>
  <cp:revision>10</cp:revision>
  <cp:lastPrinted>2007-03-16T08:51:00Z</cp:lastPrinted>
  <dcterms:created xsi:type="dcterms:W3CDTF">2007-03-14T17:10:00Z</dcterms:created>
  <dcterms:modified xsi:type="dcterms:W3CDTF">2007-03-16T08:51:00Z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0724996</vt:lpwstr>
  </property>
  <property fmtid="{D5CDD505-2E9C-101B-9397-08002B2CF9AE}" pid="3" name="Symbol1">
    <vt:lpwstr>CEDAW/C/EST/Q/4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