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325B44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B80D031" w14:textId="77777777" w:rsidR="002D5AAC" w:rsidRDefault="002D5AAC" w:rsidP="00090EC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7BFE6C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806422E" w14:textId="6BBA1E7A" w:rsidR="002D5AAC" w:rsidRDefault="00090EC3" w:rsidP="00090EC3">
            <w:pPr>
              <w:jc w:val="right"/>
            </w:pPr>
            <w:r w:rsidRPr="00090EC3">
              <w:rPr>
                <w:sz w:val="40"/>
              </w:rPr>
              <w:t>A</w:t>
            </w:r>
            <w:r w:rsidRPr="00090EC3">
              <w:t>/HRC/RES/58/21</w:t>
            </w:r>
          </w:p>
        </w:tc>
      </w:tr>
      <w:tr w:rsidR="002D5AAC" w14:paraId="55B0C0DA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81F244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84AA3A2" wp14:editId="727459D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37F8D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C391C1B" w14:textId="77777777" w:rsidR="002D5AAC" w:rsidRDefault="00090EC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B913F8E" w14:textId="77777777" w:rsidR="00090EC3" w:rsidRDefault="00090EC3" w:rsidP="00090E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April 2025</w:t>
            </w:r>
          </w:p>
          <w:p w14:paraId="2E3E4051" w14:textId="77777777" w:rsidR="00090EC3" w:rsidRDefault="00090EC3" w:rsidP="00090E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A5122CC" w14:textId="29191692" w:rsidR="00090EC3" w:rsidRPr="00E71476" w:rsidRDefault="00090EC3" w:rsidP="00090EC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8E355BD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CF6D322" w14:textId="77777777" w:rsidR="00090EC3" w:rsidRPr="006860B8" w:rsidRDefault="00090EC3" w:rsidP="00090EC3">
      <w:pPr>
        <w:rPr>
          <w:b/>
          <w:bCs/>
          <w:color w:val="000000"/>
        </w:rPr>
      </w:pPr>
      <w:r>
        <w:rPr>
          <w:b/>
          <w:bCs/>
        </w:rPr>
        <w:t>Пятьдесят восьмая сессия</w:t>
      </w:r>
    </w:p>
    <w:p w14:paraId="140E8A82" w14:textId="77777777" w:rsidR="00090EC3" w:rsidRPr="006860B8" w:rsidRDefault="00090EC3" w:rsidP="00090EC3">
      <w:pPr>
        <w:rPr>
          <w:color w:val="000000"/>
        </w:rPr>
      </w:pPr>
      <w:r>
        <w:t>24 февраля — 4 апреля 2025 года</w:t>
      </w:r>
    </w:p>
    <w:p w14:paraId="0CE457D3" w14:textId="77777777" w:rsidR="00090EC3" w:rsidRPr="006860B8" w:rsidRDefault="00090EC3" w:rsidP="00090EC3">
      <w:r>
        <w:t>Пункт 4 повестки дня</w:t>
      </w:r>
    </w:p>
    <w:p w14:paraId="2F09EEC7" w14:textId="77777777" w:rsidR="00090EC3" w:rsidRPr="006860B8" w:rsidRDefault="00090EC3" w:rsidP="00090EC3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 w:rsidRPr="006F5A7C">
        <w:rPr>
          <w:b/>
          <w:bCs/>
        </w:rPr>
        <w:br/>
      </w:r>
      <w:r>
        <w:rPr>
          <w:b/>
          <w:bCs/>
        </w:rPr>
        <w:t>требующие внимания со стороны Совета</w:t>
      </w:r>
    </w:p>
    <w:p w14:paraId="235D3261" w14:textId="7A939D00" w:rsidR="00090EC3" w:rsidRPr="005B6ADD" w:rsidRDefault="00090EC3" w:rsidP="00090EC3">
      <w:pPr>
        <w:pStyle w:val="HChG"/>
      </w:pPr>
      <w:r>
        <w:tab/>
      </w:r>
      <w:r>
        <w:tab/>
      </w:r>
      <w:r w:rsidRPr="005B6ADD">
        <w:t>Резолюция, принятая Советом по правам человека 3</w:t>
      </w:r>
      <w:r>
        <w:t> </w:t>
      </w:r>
      <w:r w:rsidRPr="005B6ADD">
        <w:t>апреля 2025 года</w:t>
      </w:r>
    </w:p>
    <w:p w14:paraId="496289B5" w14:textId="145CB688" w:rsidR="00090EC3" w:rsidRPr="006860B8" w:rsidRDefault="00090EC3" w:rsidP="00090EC3">
      <w:pPr>
        <w:pStyle w:val="H1G"/>
      </w:pPr>
      <w:r>
        <w:tab/>
      </w:r>
      <w:r w:rsidRPr="00FC243F">
        <w:t>58/</w:t>
      </w:r>
      <w:r>
        <w:t>21.</w:t>
      </w:r>
      <w:r w:rsidRPr="00FC243F">
        <w:tab/>
      </w:r>
      <w:r w:rsidRPr="00195D3C">
        <w:t>Положение в области прав человека в Исламской Республике Иран</w:t>
      </w:r>
    </w:p>
    <w:p w14:paraId="6449AFC1" w14:textId="77777777" w:rsidR="00090EC3" w:rsidRPr="006860B8" w:rsidRDefault="00090EC3" w:rsidP="00090EC3">
      <w:pPr>
        <w:spacing w:after="120"/>
        <w:ind w:left="1134" w:right="1134"/>
        <w:jc w:val="both"/>
        <w:rPr>
          <w:rFonts w:eastAsia="SimSun"/>
        </w:rPr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BF5461">
        <w:rPr>
          <w:i/>
          <w:iCs/>
        </w:rPr>
        <w:t>,</w:t>
      </w:r>
    </w:p>
    <w:p w14:paraId="79E8787E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rPr>
          <w:i/>
          <w:iCs/>
        </w:rPr>
        <w:tab/>
      </w:r>
      <w:r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666383DD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rPr>
          <w:i/>
          <w:iCs/>
        </w:rPr>
        <w:tab/>
      </w:r>
      <w:r>
        <w:rPr>
          <w:i/>
          <w:iCs/>
        </w:rPr>
        <w:t>ссылаясь</w:t>
      </w:r>
      <w:r>
        <w:t xml:space="preserve"> на все соответствующие резолюции, принятые Советом по правам человека и Генеральной Ассамблеей, в частности самые последние из них, включая резолюции Совета 55/19 от 4 апреля 2024 года и S-35/1 от 24 ноября 2022 года и резолюцию 79/183 Ассамблеи от 17 декабря 2024 года о положении в области прав человека в Исламской Республике Иран,</w:t>
      </w:r>
    </w:p>
    <w:p w14:paraId="12C6AC80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rPr>
          <w:i/>
          <w:iCs/>
        </w:rPr>
        <w:tab/>
      </w:r>
      <w:r>
        <w:rPr>
          <w:i/>
          <w:iCs/>
        </w:rPr>
        <w:t xml:space="preserve">приветствуя </w:t>
      </w:r>
      <w:r>
        <w:t>доклад и рекомендации Специального докладчика по вопросу о положении в области прав человека в Исламской Республике Иран, представленные Совету по правам человека</w:t>
      </w:r>
      <w:r w:rsidRPr="00BF5461">
        <w:rPr>
          <w:rStyle w:val="aa"/>
          <w:rFonts w:eastAsia="SimSun"/>
        </w:rPr>
        <w:footnoteReference w:id="1"/>
      </w:r>
      <w:r>
        <w:t>, и особо отмечая, что рекомендации, включенные в этот доклад, должны быть надлежащим образом рассмотрены правительством Исламской Республики Иран,</w:t>
      </w:r>
    </w:p>
    <w:p w14:paraId="6AD45D99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rPr>
          <w:i/>
          <w:iCs/>
        </w:rPr>
        <w:tab/>
      </w:r>
      <w:r>
        <w:rPr>
          <w:i/>
          <w:iCs/>
        </w:rPr>
        <w:t>приветствуя также</w:t>
      </w:r>
      <w:r>
        <w:t xml:space="preserve"> доклад Независимой международной миссии по установлению фактов относительно Исламской Республики Иран</w:t>
      </w:r>
      <w:r w:rsidRPr="00BF5461">
        <w:rPr>
          <w:rStyle w:val="aa"/>
          <w:rFonts w:eastAsia="SimSun"/>
        </w:rPr>
        <w:footnoteReference w:id="2"/>
      </w:r>
      <w:r>
        <w:t>, учрежденной для расследования предполагаемых нарушений прав человека, которые связаны с протестами, начавшимися 16 сентября 2022 года, особенно в отношении женщин и детей,</w:t>
      </w:r>
    </w:p>
    <w:p w14:paraId="7017B223" w14:textId="77777777" w:rsidR="00090EC3" w:rsidRPr="006860B8" w:rsidRDefault="00090EC3" w:rsidP="00090EC3">
      <w:pPr>
        <w:pStyle w:val="SingleTxtG"/>
        <w:rPr>
          <w:rFonts w:eastAsia="SimSun"/>
          <w:iCs/>
        </w:rPr>
      </w:pPr>
      <w:r w:rsidRPr="005B6ADD">
        <w:rPr>
          <w:i/>
          <w:iCs/>
        </w:rPr>
        <w:tab/>
      </w:r>
      <w:r>
        <w:rPr>
          <w:i/>
          <w:iCs/>
        </w:rPr>
        <w:t>признавая</w:t>
      </w:r>
      <w:r>
        <w:t xml:space="preserve"> взаимодействие между правительством Исламской Республики Иран и Специальным докладчиком, однако выражая при этом сожаление по поводу продолжающегося отсутствия доступа в страну, предоставленного Специальному докладчику и Миссии по установлению фактов,</w:t>
      </w:r>
    </w:p>
    <w:p w14:paraId="5819D6C9" w14:textId="77777777" w:rsidR="00090EC3" w:rsidRPr="006860B8" w:rsidRDefault="00090EC3" w:rsidP="00090EC3">
      <w:pPr>
        <w:pStyle w:val="SingleTxtG"/>
        <w:rPr>
          <w:rFonts w:eastAsia="SimSun"/>
          <w:iCs/>
        </w:rPr>
      </w:pPr>
      <w:r w:rsidRPr="005B6ADD">
        <w:rPr>
          <w:i/>
          <w:iCs/>
        </w:rPr>
        <w:tab/>
      </w:r>
      <w:r>
        <w:rPr>
          <w:i/>
          <w:iCs/>
        </w:rPr>
        <w:t xml:space="preserve">приветствуя </w:t>
      </w:r>
      <w:r>
        <w:t xml:space="preserve">недавнее взаимодействие правительства Исламской Республики Иран с Управлением Верховного комиссара Организации Объединенных Наций по правам человека, в том числе посредством диалога и визита заместителя Верховного комиссара Организации Объединенных Наций по правам человека в страну в феврале </w:t>
      </w:r>
      <w:r>
        <w:lastRenderedPageBreak/>
        <w:t>2024 года, а также рекомендуя расширить предметное техническое сотрудничество с Управлением Верховного комиссара,</w:t>
      </w:r>
    </w:p>
    <w:p w14:paraId="7251B069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rPr>
          <w:i/>
          <w:iCs/>
        </w:rPr>
        <w:tab/>
      </w:r>
      <w:r>
        <w:rPr>
          <w:i/>
          <w:iCs/>
        </w:rPr>
        <w:t>выражая обеспокоенность</w:t>
      </w:r>
      <w:r>
        <w:t xml:space="preserve"> по поводу сохраняющихся нарушений целого ряда гражданских, политических, экономических, социальных и культурных прав, на которые обратили внимание Специальный докладчик и Миссия по установлению фактов, и выражая глубокую обеспокоенность по поводу того, что из-за устойчивой и систематической безнаказанности за грубые нарушения прав человека и непривлечения виновных к ответственности в Исламской Республике Иран создаются благоприятные условия для преступников, увековечиваются циклы насилия и нарушается право жертв и пострадавших на эффективные средства правовой защиты,</w:t>
      </w:r>
    </w:p>
    <w:p w14:paraId="42E9B2B7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rPr>
          <w:i/>
          <w:iCs/>
        </w:rPr>
        <w:tab/>
      </w:r>
      <w:r>
        <w:rPr>
          <w:i/>
          <w:iCs/>
        </w:rPr>
        <w:t>будучи встревожен</w:t>
      </w:r>
      <w:r>
        <w:t xml:space="preserve"> текущим резким увеличением количества казней, в том числе лиц, обвиненных в совершении преступлений, которые не подпадают под категорию самых тяжких преступлений, растущим числом казненных женщин, а также продолжающимися казнями лиц, приговоренных к этой мере за предполагаемые преступления, совершенные до достижения ими 18-летнего возраста, после судебных процессов, проведенных абсолютно без соблюдения гарантий справедливого судебного разбирательства,</w:t>
      </w:r>
    </w:p>
    <w:p w14:paraId="1A79F904" w14:textId="77777777" w:rsidR="00090EC3" w:rsidRPr="006860B8" w:rsidRDefault="00090EC3" w:rsidP="00090EC3">
      <w:pPr>
        <w:pStyle w:val="SingleTxtG"/>
        <w:rPr>
          <w:rFonts w:eastAsia="SimSun"/>
          <w:i/>
          <w:iCs/>
        </w:rPr>
      </w:pPr>
      <w:r w:rsidRPr="005B6ADD">
        <w:rPr>
          <w:i/>
          <w:iCs/>
        </w:rPr>
        <w:tab/>
      </w:r>
      <w:r>
        <w:rPr>
          <w:i/>
          <w:iCs/>
        </w:rPr>
        <w:t>выражая глубокую обеспокоенность</w:t>
      </w:r>
      <w:r>
        <w:t xml:space="preserve"> по поводу широко распространенных насилия и дискриминации в законодательстве и на практике, затрагивающих, в частности, женщин и девочек, детей, лиц, принадлежащих к этническим, языковым и признанным или непризнанным религиозным или конфессиональным меньшинствам, правозащитников и правозащитниц, адвокатов, журналистов и работников средств массовой информации, профсоюзных деятелей, а также лиц, осуществляющих свое право на свободу мнений и их свободное выражение как онлайн, так и офлайн, и свои права на свободу мирных собраний и ассоциации,</w:t>
      </w:r>
    </w:p>
    <w:p w14:paraId="5452BC75" w14:textId="77777777" w:rsidR="00090EC3" w:rsidRPr="00195D3C" w:rsidRDefault="00090EC3" w:rsidP="00090EC3">
      <w:pPr>
        <w:pStyle w:val="SingleTxtG"/>
        <w:rPr>
          <w:rFonts w:eastAsia="SimSun"/>
          <w:i/>
          <w:iCs/>
        </w:rPr>
      </w:pPr>
      <w:r w:rsidRPr="005B6ADD">
        <w:rPr>
          <w:i/>
          <w:iCs/>
        </w:rPr>
        <w:tab/>
      </w:r>
      <w:r>
        <w:rPr>
          <w:i/>
          <w:iCs/>
        </w:rPr>
        <w:t>приветствуя</w:t>
      </w:r>
      <w:r>
        <w:t xml:space="preserve"> паузу в реализации Закона о защите семьи путем поощрения культуры целомудрия и хиджаба и призывая Исламскую Республику Иран полностью отменить этот закон и все дискриминационные законы и политику об обязательном ношении хиджаба, а также устранить другие барьеры на пути участия женщин в политической и экономической жизни,</w:t>
      </w:r>
    </w:p>
    <w:p w14:paraId="0514C294" w14:textId="77777777" w:rsidR="00090EC3" w:rsidRPr="00195D3C" w:rsidRDefault="00090EC3" w:rsidP="00090EC3">
      <w:pPr>
        <w:pStyle w:val="SingleTxtG"/>
        <w:rPr>
          <w:rFonts w:eastAsia="SimSun"/>
        </w:rPr>
      </w:pPr>
      <w:r w:rsidRPr="005B6ADD">
        <w:rPr>
          <w:i/>
          <w:iCs/>
        </w:rPr>
        <w:tab/>
      </w:r>
      <w:r>
        <w:rPr>
          <w:i/>
          <w:iCs/>
        </w:rPr>
        <w:t xml:space="preserve">отмечая </w:t>
      </w:r>
      <w:r>
        <w:t>рекомендацию Миссии по установлению фактов о необходимости продолжения расследования утверждений о серьезных нарушениях прав человека и преступлениях против человечности, включая структурную и системную дискриминацию, нарушения права на свободу мнений и их свободное выражение и прав на свободу мирных собраний и ассоциации, преследование правозащитников и правозащитниц, адвокатов, художников, учителей и медицинских работников и неравный доступ к правосудию, а также о необходимости контроля за принятием мер по привлечению к ответственности на национальном и международном уровнях,</w:t>
      </w:r>
    </w:p>
    <w:p w14:paraId="087954BA" w14:textId="77777777" w:rsidR="00090EC3" w:rsidRPr="00195D3C" w:rsidRDefault="00090EC3" w:rsidP="00090EC3">
      <w:pPr>
        <w:pStyle w:val="SingleTxtG"/>
        <w:rPr>
          <w:rFonts w:eastAsia="SimSun"/>
          <w:i/>
          <w:iCs/>
        </w:rPr>
      </w:pPr>
      <w:r w:rsidRPr="005B6ADD">
        <w:tab/>
      </w:r>
      <w:r>
        <w:t>1.</w:t>
      </w:r>
      <w:r>
        <w:tab/>
      </w:r>
      <w:r>
        <w:rPr>
          <w:i/>
          <w:iCs/>
        </w:rPr>
        <w:t>выражает сожаление</w:t>
      </w:r>
      <w:r>
        <w:t xml:space="preserve"> по поводу широко распространенных, неоднократных и постоянных нарушений прав человека в Исламской Республике Иран и призывает Исламскую Республику Иран решить проблему систематической безнаказанности путем создания системы привлечения виновных к ответственности в соответствии с международным правом, включая конституционную, законодательную и административную реформы, и обеспечить полную независимость судебной системы и эффективные средства правовой защиты для жертв;</w:t>
      </w:r>
    </w:p>
    <w:p w14:paraId="31B41673" w14:textId="77777777" w:rsidR="00090EC3" w:rsidRPr="00195D3C" w:rsidRDefault="00090EC3" w:rsidP="00090EC3">
      <w:pPr>
        <w:pStyle w:val="SingleTxtG"/>
        <w:rPr>
          <w:rFonts w:eastAsia="SimSun"/>
        </w:rPr>
      </w:pPr>
      <w:r w:rsidRPr="005B6ADD">
        <w:tab/>
      </w:r>
      <w:r>
        <w:t>2.</w:t>
      </w:r>
      <w:r>
        <w:tab/>
      </w:r>
      <w:r>
        <w:rPr>
          <w:i/>
          <w:iCs/>
        </w:rPr>
        <w:t>выражает глубокую обеспокоенность</w:t>
      </w:r>
      <w:r>
        <w:t xml:space="preserve"> по поводу выводов Независимой международной миссии по установлению фактов относительно Исламской Республики Иран, касающихся нарушений прав человека и преступлений против человечности, включая продолжающиеся преследования женщин, девочек и других лиц, поддерживающих права человека в контексте протестов, и призывает Исламскую Республику Иран положить конец постоянной дискриминации в отношении женщин и девочек;</w:t>
      </w:r>
    </w:p>
    <w:p w14:paraId="64CDFA10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3.</w:t>
      </w:r>
      <w:r>
        <w:tab/>
      </w:r>
      <w:r>
        <w:rPr>
          <w:i/>
          <w:iCs/>
        </w:rPr>
        <w:t>призывает</w:t>
      </w:r>
      <w:r>
        <w:t xml:space="preserve"> правительство Исламской Республики Иран ликвидировать в законодательстве и на практике все формы дискриминации и насилия на основании мысли, совести, религии и убеждений, в том числе в отношении лиц, принадлежащих </w:t>
      </w:r>
      <w:r>
        <w:lastRenderedPageBreak/>
        <w:t>к признанным и непризнанным религиозным или конфессиональным меньшинствам, а также в отношении лиц, принадлежащих к этническим, языковым или другим меньшинствам, включая множественные и перекрестные формы дискриминации;</w:t>
      </w:r>
    </w:p>
    <w:p w14:paraId="4CFF322C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4.</w:t>
      </w:r>
      <w:r>
        <w:tab/>
      </w:r>
      <w:r>
        <w:rPr>
          <w:i/>
          <w:iCs/>
        </w:rPr>
        <w:t>призывает также</w:t>
      </w:r>
      <w:r>
        <w:t xml:space="preserve"> правительство Исламской Республики Иран создать безопасную и благоприятную среду для гражданского общества, правозащитников и правозащитниц, журналистов и работников средств массовой информации, в том числе путем гарантирования и соблюдения права на свободу мнений и их свободное выражение, как онлайн, так и офлайн, и права на свободу мирных собраний и ассоциации, а также освободить лиц, произвольно задержанных за осуществление своих прав человека и основных свобод;</w:t>
      </w:r>
    </w:p>
    <w:p w14:paraId="75348D36" w14:textId="77777777" w:rsidR="00090EC3" w:rsidRPr="006860B8" w:rsidRDefault="00090EC3" w:rsidP="00090EC3">
      <w:pPr>
        <w:pStyle w:val="SingleTxtG"/>
        <w:rPr>
          <w:rFonts w:eastAsia="SimSun"/>
          <w:i/>
          <w:iCs/>
        </w:rPr>
      </w:pPr>
      <w:r w:rsidRPr="005B6ADD">
        <w:tab/>
      </w:r>
      <w:r>
        <w:t>5.</w:t>
      </w:r>
      <w:r>
        <w:tab/>
      </w:r>
      <w:r>
        <w:rPr>
          <w:i/>
          <w:iCs/>
        </w:rPr>
        <w:t xml:space="preserve">настоятельно призывает </w:t>
      </w:r>
      <w:r>
        <w:t>правительство Исламской Республики Иран принять все необходимые законодательные, административные и иные меры в соответствии со своими международными обязательствами в области прав человека для обеспечения того, чтобы никто не был приговорен к смертной казни или казнен за преступления, которые не подпадают под категорию самых тяжких преступлений, или за предполагаемые преступления, совершенные до достижения ими 18-летнего возраста, и обеспечивать, чтобы все решения в отношении вынесения приговоров и назначения наказания по уголовным делам принимались компетентными, независимыми и беспристрастными судами по итогам разбирательств, проводимых при строгом соблюдении гарантий справедливого судебного разбирательства;</w:t>
      </w:r>
    </w:p>
    <w:p w14:paraId="7C1A388A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6.</w:t>
      </w:r>
      <w:r>
        <w:tab/>
      </w:r>
      <w:r>
        <w:rPr>
          <w:i/>
          <w:iCs/>
        </w:rPr>
        <w:t>постановляет</w:t>
      </w:r>
      <w:r>
        <w:t xml:space="preserve"> продлить срок действия мандата Специального докладчика по вопросу о положении в области прав человека в Исламской Республике Иран еще на один год, с тем чтобы продолжать следить за текущим положением в области прав человека, включая гражданские, политические, экономические, социальные и культурные права, и оценивать прогресс в осуществлении рекомендаций, и просит Специального докладчика представить доклад Совету по правам человека на его шестьдесят первой сессии и Генеральной Ассамблее на ее восьмидесятой сессии;</w:t>
      </w:r>
    </w:p>
    <w:p w14:paraId="14F803F1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7.</w:t>
      </w:r>
      <w:r>
        <w:tab/>
      </w:r>
      <w:r>
        <w:rPr>
          <w:i/>
          <w:iCs/>
        </w:rPr>
        <w:t>постановляет также</w:t>
      </w:r>
      <w:r>
        <w:t>, что Независимая международная миссия по установлению фактов относительно Исламской Республики Иран, учрежденная после протестов, начавшихся 16 сентября 2022 года, должна продолжать свою работу в течение одного года со следующим мандатом:</w:t>
      </w:r>
    </w:p>
    <w:p w14:paraId="09BBE722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a)</w:t>
      </w:r>
      <w:r>
        <w:tab/>
        <w:t>осуществлять тщательный и независимый мониторинг и проводить расследование утверждений о недавних и продолжающихся серьезных нарушениях прав человека в Исламской Республике Иран;</w:t>
      </w:r>
    </w:p>
    <w:p w14:paraId="089EA7C5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b)</w:t>
      </w:r>
      <w:r>
        <w:tab/>
        <w:t>устанавливать факты, обстоятельства и структурные причины таких нарушений, включая дискриминацию по признаку пола, этнической принадлежности, религии или убеждений и политических взглядов;</w:t>
      </w:r>
    </w:p>
    <w:p w14:paraId="4996EEAF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c)</w:t>
      </w:r>
      <w:r>
        <w:tab/>
        <w:t>собирать, обобщать, анализировать, регистрировать и сохранять доказательства таких нарушений, поддерживать и сохранять доказательства, собранные к настоящему времени, и обеспечивать доступность всех доказательств для использования в рамках любых независимых судебных разбирательств;</w:t>
      </w:r>
    </w:p>
    <w:p w14:paraId="3E4F794E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8.</w:t>
      </w:r>
      <w:r>
        <w:tab/>
      </w:r>
      <w:r>
        <w:rPr>
          <w:i/>
          <w:iCs/>
        </w:rPr>
        <w:t xml:space="preserve">просит </w:t>
      </w:r>
      <w:r>
        <w:t>Миссию по установлению фактов представить доклад Совету по правам человека на его шестьдесят первой сессии в ходе совместного интерактивного диалога со Специальным докладчиком и представить устную обновленную информацию, с последующим интерактивным диалогом, об осуществлении своего мандата Генеральной Ассамблее на ее восьмидесятой сессии;</w:t>
      </w:r>
    </w:p>
    <w:p w14:paraId="09ED74FD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9.</w:t>
      </w:r>
      <w:r>
        <w:tab/>
      </w:r>
      <w:r>
        <w:rPr>
          <w:i/>
          <w:iCs/>
        </w:rPr>
        <w:t>призывает</w:t>
      </w:r>
      <w:r>
        <w:t xml:space="preserve"> правительство Исламской Республики Иран в полной мере сотрудничать со Специальным докладчиком и Миссией по установлению фактов, обеспечить им беспрепятственный доступ в страну и предоставить любую информацию, необходимую для выполнения их мандатов, в соответствии с постоянным приглашением;</w:t>
      </w:r>
    </w:p>
    <w:p w14:paraId="75ADC49B" w14:textId="77777777" w:rsidR="00090EC3" w:rsidRPr="006860B8" w:rsidRDefault="00090EC3" w:rsidP="00090EC3">
      <w:pPr>
        <w:pStyle w:val="SingleTxtG"/>
        <w:rPr>
          <w:rFonts w:eastAsia="SimSun"/>
        </w:rPr>
      </w:pPr>
      <w:r w:rsidRPr="005B6ADD">
        <w:tab/>
      </w:r>
      <w:r>
        <w:t>10.</w:t>
      </w:r>
      <w:r>
        <w:tab/>
      </w:r>
      <w:r>
        <w:rPr>
          <w:i/>
          <w:iCs/>
        </w:rPr>
        <w:t>рекомендует</w:t>
      </w:r>
      <w:r>
        <w:t xml:space="preserve"> Специальному докладчику и Миссии по установлению фактов тесно сотрудничать в целях поощрения синергизма;</w:t>
      </w:r>
      <w:bookmarkStart w:id="0" w:name="OLE_LINK8"/>
      <w:bookmarkEnd w:id="0"/>
    </w:p>
    <w:p w14:paraId="265C5F14" w14:textId="77777777" w:rsidR="00090EC3" w:rsidRDefault="00090EC3" w:rsidP="00090EC3">
      <w:pPr>
        <w:pStyle w:val="SingleTxtG"/>
      </w:pPr>
      <w:r w:rsidRPr="005B6ADD">
        <w:lastRenderedPageBreak/>
        <w:tab/>
      </w:r>
      <w:r>
        <w:t>11.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предоставить Специальному докладчику и Миссии по установлению фактов ресурсы, необходимые для выполнения их мандатов.</w:t>
      </w:r>
    </w:p>
    <w:p w14:paraId="7814B31F" w14:textId="196D989B" w:rsidR="00090EC3" w:rsidRDefault="00090EC3" w:rsidP="00090EC3">
      <w:pPr>
        <w:pStyle w:val="SingleTxtG"/>
        <w:jc w:val="right"/>
        <w:rPr>
          <w:i/>
          <w:iCs/>
        </w:rPr>
      </w:pPr>
      <w:r>
        <w:rPr>
          <w:i/>
          <w:iCs/>
        </w:rPr>
        <w:t>57-е заседание</w:t>
      </w:r>
      <w:r>
        <w:rPr>
          <w:i/>
          <w:iCs/>
        </w:rPr>
        <w:br/>
      </w:r>
      <w:r>
        <w:rPr>
          <w:i/>
          <w:iCs/>
        </w:rPr>
        <w:t>3 апреля 2025 года</w:t>
      </w:r>
    </w:p>
    <w:p w14:paraId="4D289C47" w14:textId="77777777" w:rsidR="00090EC3" w:rsidRDefault="00090EC3" w:rsidP="00090EC3">
      <w:pPr>
        <w:pStyle w:val="SingleTxtG"/>
      </w:pPr>
      <w:r w:rsidRPr="005B6ADD">
        <w:t>[</w:t>
      </w:r>
      <w:r w:rsidRPr="00EF5A38">
        <w:t>Принята в результате заносимого в отчет о заседании голосования 24</w:t>
      </w:r>
      <w:r>
        <w:rPr>
          <w:lang w:val="en-US"/>
        </w:rPr>
        <w:t> </w:t>
      </w:r>
      <w:r w:rsidRPr="00EF5A38">
        <w:t>голосами против</w:t>
      </w:r>
      <w:r>
        <w:rPr>
          <w:lang w:val="en-US"/>
        </w:rPr>
        <w:t> </w:t>
      </w:r>
      <w:r>
        <w:t>8</w:t>
      </w:r>
      <w:r w:rsidRPr="00EF5A38">
        <w:t xml:space="preserve"> при </w:t>
      </w:r>
      <w:r w:rsidRPr="00350AE3">
        <w:t>1</w:t>
      </w:r>
      <w:r>
        <w:t>5</w:t>
      </w:r>
      <w:r w:rsidRPr="00EF5A38">
        <w:t xml:space="preserve"> воздержавшихся</w:t>
      </w:r>
      <w:r>
        <w:t>. Голоса распределились следующим образом:</w:t>
      </w:r>
    </w:p>
    <w:p w14:paraId="62CDB398" w14:textId="77777777" w:rsidR="00090EC3" w:rsidRDefault="00090EC3" w:rsidP="00090EC3">
      <w:pPr>
        <w:pStyle w:val="SingleTxtG"/>
        <w:spacing w:after="0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>Голосовали за:</w:t>
      </w:r>
    </w:p>
    <w:p w14:paraId="667A58CB" w14:textId="5A6A9666" w:rsidR="00090EC3" w:rsidRDefault="00090EC3" w:rsidP="00090EC3">
      <w:pPr>
        <w:pStyle w:val="SingleTxtG"/>
        <w:ind w:left="2268"/>
      </w:pPr>
      <w:r>
        <w:t>Албания, Бельгия, Бенин, Болгария, Германия, Доминиканская Республика, Исландия, Испания, Кипр, Колумбия, Коста-Рика, Малави, Марокко, Маршалловы Острова, Мексика, Нидерланды (Королевство), Республика Корея, Румыния, Северная Македония, Франция, Чехия, Чили, Швейцария, Япония</w:t>
      </w:r>
      <w:r>
        <w:t>.</w:t>
      </w:r>
    </w:p>
    <w:p w14:paraId="7EAD5004" w14:textId="0743E7AF" w:rsidR="00090EC3" w:rsidRDefault="00090EC3" w:rsidP="00090EC3">
      <w:pPr>
        <w:pStyle w:val="SingleTxtG"/>
        <w:spacing w:after="0"/>
      </w:pPr>
      <w:r>
        <w:rPr>
          <w:i/>
          <w:iCs/>
        </w:rPr>
        <w:tab/>
      </w:r>
      <w:r>
        <w:rPr>
          <w:i/>
          <w:iCs/>
        </w:rPr>
        <w:t>Голосовали против:</w:t>
      </w:r>
    </w:p>
    <w:p w14:paraId="59E39559" w14:textId="2D721051" w:rsidR="00090EC3" w:rsidRDefault="00090EC3" w:rsidP="00090EC3">
      <w:pPr>
        <w:pStyle w:val="SingleTxtG"/>
        <w:ind w:left="2268"/>
      </w:pPr>
      <w:r>
        <w:t>Алжир, Боливия (Многонациональное Государство), Бурунди, Вьетнам, Индонезия, Китай, Куба, Судан</w:t>
      </w:r>
      <w:r>
        <w:t>.</w:t>
      </w:r>
    </w:p>
    <w:p w14:paraId="0AE566C1" w14:textId="18A07DE1" w:rsidR="00090EC3" w:rsidRDefault="00090EC3" w:rsidP="00090EC3">
      <w:pPr>
        <w:pStyle w:val="SingleTxtG"/>
        <w:spacing w:after="0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>Воздержались:</w:t>
      </w:r>
    </w:p>
    <w:p w14:paraId="1DA3B16A" w14:textId="3CDA6126" w:rsidR="00090EC3" w:rsidRPr="00C6343B" w:rsidRDefault="00090EC3" w:rsidP="00090EC3">
      <w:pPr>
        <w:pStyle w:val="SingleTxtG"/>
        <w:ind w:left="2268"/>
        <w:rPr>
          <w:rFonts w:eastAsia="SimSun"/>
        </w:rPr>
      </w:pPr>
      <w:r>
        <w:t>Бангладеш, Бразилия, Гамбия, Гана, Грузия, Демократическая Республика Конго, Катар, Кения, Кот-д</w:t>
      </w:r>
      <w:r w:rsidRPr="005B6ADD">
        <w:t>’</w:t>
      </w:r>
      <w:r>
        <w:t>Ивуар, Кувейт, Кыргызстан, Мальдивские Острова, Таиланд, Эфиопия, Южная Африка</w:t>
      </w:r>
      <w:r>
        <w:t>.</w:t>
      </w:r>
      <w:r w:rsidRPr="005B6ADD">
        <w:t>]</w:t>
      </w:r>
    </w:p>
    <w:p w14:paraId="2BD9E4EF" w14:textId="77777777" w:rsidR="00090EC3" w:rsidRDefault="00090EC3" w:rsidP="00090EC3">
      <w:pPr>
        <w:spacing w:before="240"/>
        <w:jc w:val="center"/>
        <w:rPr>
          <w:u w:val="single"/>
        </w:rPr>
      </w:pPr>
      <w:r w:rsidRPr="006860B8">
        <w:rPr>
          <w:u w:val="single"/>
        </w:rPr>
        <w:tab/>
      </w:r>
      <w:r w:rsidRPr="006860B8">
        <w:rPr>
          <w:u w:val="single"/>
        </w:rPr>
        <w:tab/>
      </w:r>
      <w:r w:rsidRPr="006860B8">
        <w:rPr>
          <w:u w:val="single"/>
        </w:rPr>
        <w:tab/>
      </w:r>
    </w:p>
    <w:p w14:paraId="38BD81F5" w14:textId="77777777" w:rsidR="00CB0692" w:rsidRPr="00090EC3" w:rsidRDefault="00CB0692" w:rsidP="002E5067"/>
    <w:sectPr w:rsidR="00CB0692" w:rsidRPr="00090EC3" w:rsidSect="00090EC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1BE9F" w14:textId="77777777" w:rsidR="0015718A" w:rsidRPr="00A312BC" w:rsidRDefault="0015718A" w:rsidP="00A312BC"/>
  </w:endnote>
  <w:endnote w:type="continuationSeparator" w:id="0">
    <w:p w14:paraId="67EDD8F5" w14:textId="77777777" w:rsidR="0015718A" w:rsidRPr="00A312BC" w:rsidRDefault="0015718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39CE3" w14:textId="43CA3C04" w:rsidR="00090EC3" w:rsidRPr="00090EC3" w:rsidRDefault="00090EC3">
    <w:pPr>
      <w:pStyle w:val="a8"/>
    </w:pPr>
    <w:r w:rsidRPr="00090EC3">
      <w:rPr>
        <w:b/>
        <w:sz w:val="18"/>
      </w:rPr>
      <w:fldChar w:fldCharType="begin"/>
    </w:r>
    <w:r w:rsidRPr="00090EC3">
      <w:rPr>
        <w:b/>
        <w:sz w:val="18"/>
      </w:rPr>
      <w:instrText xml:space="preserve"> PAGE  \* MERGEFORMAT </w:instrText>
    </w:r>
    <w:r w:rsidRPr="00090EC3">
      <w:rPr>
        <w:b/>
        <w:sz w:val="18"/>
      </w:rPr>
      <w:fldChar w:fldCharType="separate"/>
    </w:r>
    <w:r w:rsidRPr="00090EC3">
      <w:rPr>
        <w:b/>
        <w:noProof/>
        <w:sz w:val="18"/>
      </w:rPr>
      <w:t>2</w:t>
    </w:r>
    <w:r w:rsidRPr="00090EC3">
      <w:rPr>
        <w:b/>
        <w:sz w:val="18"/>
      </w:rPr>
      <w:fldChar w:fldCharType="end"/>
    </w:r>
    <w:r>
      <w:rPr>
        <w:b/>
        <w:sz w:val="18"/>
      </w:rPr>
      <w:tab/>
    </w:r>
    <w:r>
      <w:t>GE.25-05473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A17D0" w14:textId="37011757" w:rsidR="00090EC3" w:rsidRPr="00090EC3" w:rsidRDefault="00090EC3" w:rsidP="00090EC3">
    <w:pPr>
      <w:pStyle w:val="a8"/>
      <w:tabs>
        <w:tab w:val="clear" w:pos="9639"/>
        <w:tab w:val="right" w:pos="9638"/>
      </w:tabs>
      <w:rPr>
        <w:b/>
        <w:sz w:val="18"/>
      </w:rPr>
    </w:pPr>
    <w:r>
      <w:t>GE.25-05473</w:t>
    </w:r>
    <w:r>
      <w:tab/>
    </w:r>
    <w:r w:rsidRPr="00090EC3">
      <w:rPr>
        <w:b/>
        <w:sz w:val="18"/>
      </w:rPr>
      <w:fldChar w:fldCharType="begin"/>
    </w:r>
    <w:r w:rsidRPr="00090EC3">
      <w:rPr>
        <w:b/>
        <w:sz w:val="18"/>
      </w:rPr>
      <w:instrText xml:space="preserve"> PAGE  \* MERGEFORMAT </w:instrText>
    </w:r>
    <w:r w:rsidRPr="00090EC3">
      <w:rPr>
        <w:b/>
        <w:sz w:val="18"/>
      </w:rPr>
      <w:fldChar w:fldCharType="separate"/>
    </w:r>
    <w:r w:rsidRPr="00090EC3">
      <w:rPr>
        <w:b/>
        <w:noProof/>
        <w:sz w:val="18"/>
      </w:rPr>
      <w:t>3</w:t>
    </w:r>
    <w:r w:rsidRPr="00090E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0AC6E" w14:textId="0F99CD6F" w:rsidR="00042B72" w:rsidRPr="00090EC3" w:rsidRDefault="00090EC3" w:rsidP="00090EC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E3FC9C2" wp14:editId="1106924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25-05473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6EABF91" wp14:editId="1E22924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070425  080425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412BF" w14:textId="77777777" w:rsidR="0015718A" w:rsidRPr="001075E9" w:rsidRDefault="0015718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5B9CCBC" w14:textId="77777777" w:rsidR="0015718A" w:rsidRDefault="0015718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9A691E5" w14:textId="0AE5AF3F" w:rsidR="00090EC3" w:rsidRDefault="00090EC3" w:rsidP="00090EC3">
      <w:pPr>
        <w:pStyle w:val="ad"/>
      </w:pPr>
      <w:r>
        <w:tab/>
      </w:r>
      <w:r w:rsidRPr="00BF5461">
        <w:rPr>
          <w:rStyle w:val="aa"/>
        </w:rPr>
        <w:footnoteRef/>
      </w:r>
      <w:r>
        <w:tab/>
      </w:r>
      <w:hyperlink r:id="rId1" w:history="1">
        <w:r w:rsidRPr="00090EC3">
          <w:rPr>
            <w:rStyle w:val="af1"/>
          </w:rPr>
          <w:t>A/HRC/58/62</w:t>
        </w:r>
      </w:hyperlink>
      <w:r>
        <w:t>.</w:t>
      </w:r>
    </w:p>
  </w:footnote>
  <w:footnote w:id="2">
    <w:p w14:paraId="2637AFCC" w14:textId="5AFB77DB" w:rsidR="00090EC3" w:rsidRPr="006C61F8" w:rsidRDefault="00090EC3" w:rsidP="00090EC3">
      <w:pPr>
        <w:pStyle w:val="ad"/>
        <w:rPr>
          <w:rStyle w:val="aa"/>
        </w:rPr>
      </w:pPr>
      <w:r>
        <w:tab/>
      </w:r>
      <w:r w:rsidRPr="00BF5461">
        <w:rPr>
          <w:rStyle w:val="aa"/>
        </w:rPr>
        <w:footnoteRef/>
      </w:r>
      <w:r>
        <w:tab/>
      </w:r>
      <w:hyperlink r:id="rId2" w:history="1">
        <w:r w:rsidRPr="00090EC3">
          <w:rPr>
            <w:rStyle w:val="af1"/>
          </w:rPr>
          <w:t>A/HRC/58/63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42D1" w14:textId="0386FDBC" w:rsidR="00090EC3" w:rsidRPr="00090EC3" w:rsidRDefault="00090EC3">
    <w:pPr>
      <w:pStyle w:val="a5"/>
    </w:pPr>
    <w:fldSimple w:instr=" TITLE  \* MERGEFORMAT ">
      <w:r w:rsidR="001979D6">
        <w:t>A/HRC/RES/58/21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C36ED" w14:textId="3CC33001" w:rsidR="00090EC3" w:rsidRPr="00090EC3" w:rsidRDefault="00090EC3" w:rsidP="00090EC3">
    <w:pPr>
      <w:pStyle w:val="a5"/>
      <w:jc w:val="right"/>
    </w:pPr>
    <w:fldSimple w:instr=" TITLE  \* MERGEFORMAT ">
      <w:r w:rsidR="001979D6">
        <w:t>A/HRC/RES/58/21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37657156">
    <w:abstractNumId w:val="16"/>
  </w:num>
  <w:num w:numId="2" w16cid:durableId="594946568">
    <w:abstractNumId w:val="11"/>
  </w:num>
  <w:num w:numId="3" w16cid:durableId="2077699531">
    <w:abstractNumId w:val="10"/>
  </w:num>
  <w:num w:numId="4" w16cid:durableId="420757457">
    <w:abstractNumId w:val="17"/>
  </w:num>
  <w:num w:numId="5" w16cid:durableId="12657741">
    <w:abstractNumId w:val="13"/>
  </w:num>
  <w:num w:numId="6" w16cid:durableId="2096197984">
    <w:abstractNumId w:val="8"/>
  </w:num>
  <w:num w:numId="7" w16cid:durableId="1837112576">
    <w:abstractNumId w:val="3"/>
  </w:num>
  <w:num w:numId="8" w16cid:durableId="721102229">
    <w:abstractNumId w:val="2"/>
  </w:num>
  <w:num w:numId="9" w16cid:durableId="1416975325">
    <w:abstractNumId w:val="1"/>
  </w:num>
  <w:num w:numId="10" w16cid:durableId="1199317043">
    <w:abstractNumId w:val="0"/>
  </w:num>
  <w:num w:numId="11" w16cid:durableId="1853108015">
    <w:abstractNumId w:val="9"/>
  </w:num>
  <w:num w:numId="12" w16cid:durableId="929314441">
    <w:abstractNumId w:val="7"/>
  </w:num>
  <w:num w:numId="13" w16cid:durableId="1168983707">
    <w:abstractNumId w:val="6"/>
  </w:num>
  <w:num w:numId="14" w16cid:durableId="1428884617">
    <w:abstractNumId w:val="5"/>
  </w:num>
  <w:num w:numId="15" w16cid:durableId="925655209">
    <w:abstractNumId w:val="4"/>
  </w:num>
  <w:num w:numId="16" w16cid:durableId="864365901">
    <w:abstractNumId w:val="15"/>
  </w:num>
  <w:num w:numId="17" w16cid:durableId="881360137">
    <w:abstractNumId w:val="12"/>
  </w:num>
  <w:num w:numId="18" w16cid:durableId="955253445">
    <w:abstractNumId w:val="14"/>
  </w:num>
  <w:num w:numId="19" w16cid:durableId="247158073">
    <w:abstractNumId w:val="15"/>
  </w:num>
  <w:num w:numId="20" w16cid:durableId="77021815">
    <w:abstractNumId w:val="12"/>
  </w:num>
  <w:num w:numId="21" w16cid:durableId="51997014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18A"/>
    <w:rsid w:val="00033EE1"/>
    <w:rsid w:val="00040272"/>
    <w:rsid w:val="00041EA6"/>
    <w:rsid w:val="00042B72"/>
    <w:rsid w:val="000558BD"/>
    <w:rsid w:val="000842B4"/>
    <w:rsid w:val="00090EC3"/>
    <w:rsid w:val="000B57E7"/>
    <w:rsid w:val="000B6373"/>
    <w:rsid w:val="000F09DF"/>
    <w:rsid w:val="000F61B2"/>
    <w:rsid w:val="001075E9"/>
    <w:rsid w:val="0015718A"/>
    <w:rsid w:val="00180183"/>
    <w:rsid w:val="0018024D"/>
    <w:rsid w:val="0018649F"/>
    <w:rsid w:val="00196389"/>
    <w:rsid w:val="001979D6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C3F13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C2EF8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03E5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428F9"/>
  <w15:docId w15:val="{9A4D49DA-27D7-4D46-9250-8861C1F2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090E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A/HRC/58/63" TargetMode="External"/><Relationship Id="rId1" Type="http://schemas.openxmlformats.org/officeDocument/2006/relationships/hyperlink" Target="http://undocs.org/ru/A/HRC/58/6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1238</Words>
  <Characters>9486</Characters>
  <Application>Microsoft Office Word</Application>
  <DocSecurity>0</DocSecurity>
  <Lines>1054</Lines>
  <Paragraphs>446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10278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A/HRC/RES/58/21</dc:title>
  <dc:subject/>
  <dc:creator>Elena IZOTOVA</dc:creator>
  <cp:keywords/>
  <cp:lastModifiedBy>Elena Izotova</cp:lastModifiedBy>
  <cp:revision>3</cp:revision>
  <cp:lastPrinted>2025-04-08T07:25:00Z</cp:lastPrinted>
  <dcterms:created xsi:type="dcterms:W3CDTF">2025-04-08T07:25:00Z</dcterms:created>
  <dcterms:modified xsi:type="dcterms:W3CDTF">2025-04-08T07:27:00Z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