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D7C4B" w:rsidP="00622D5B">
            <w:pPr>
              <w:bidi w:val="0"/>
              <w:spacing w:after="20"/>
              <w:jc w:val="left"/>
              <w:rPr>
                <w:szCs w:val="20"/>
              </w:rPr>
            </w:pPr>
            <w:r w:rsidRPr="007D7C4B">
              <w:rPr>
                <w:sz w:val="40"/>
                <w:szCs w:val="20"/>
              </w:rPr>
              <w:t>A</w:t>
            </w:r>
            <w:r>
              <w:rPr>
                <w:szCs w:val="20"/>
              </w:rPr>
              <w:t>/HRC/RES/35/27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622D5B" w:rsidP="00622D5B">
            <w:pPr>
              <w:bidi w:val="0"/>
              <w:spacing w:before="240"/>
              <w:jc w:val="left"/>
              <w:rPr>
                <w:szCs w:val="20"/>
              </w:rPr>
            </w:pPr>
            <w:r>
              <w:rPr>
                <w:szCs w:val="20"/>
              </w:rPr>
              <w:t>Distr.: General</w:t>
            </w:r>
          </w:p>
          <w:p w:rsidR="00622D5B" w:rsidRDefault="00A349F9" w:rsidP="00622D5B">
            <w:pPr>
              <w:bidi w:val="0"/>
              <w:jc w:val="left"/>
              <w:rPr>
                <w:szCs w:val="20"/>
              </w:rPr>
            </w:pPr>
            <w:r>
              <w:rPr>
                <w:szCs w:val="20"/>
              </w:rPr>
              <w:t xml:space="preserve">11 July </w:t>
            </w:r>
            <w:r w:rsidR="00622D5B">
              <w:rPr>
                <w:szCs w:val="20"/>
              </w:rPr>
              <w:t>2017</w:t>
            </w:r>
          </w:p>
          <w:p w:rsidR="00622D5B" w:rsidRDefault="00622D5B" w:rsidP="00622D5B">
            <w:pPr>
              <w:bidi w:val="0"/>
              <w:jc w:val="left"/>
              <w:rPr>
                <w:szCs w:val="20"/>
              </w:rPr>
            </w:pPr>
            <w:r>
              <w:rPr>
                <w:szCs w:val="20"/>
              </w:rPr>
              <w:t>Arabic</w:t>
            </w:r>
          </w:p>
          <w:p w:rsidR="00622D5B" w:rsidRPr="003E159A" w:rsidRDefault="00622D5B" w:rsidP="00622D5B">
            <w:pPr>
              <w:bidi w:val="0"/>
              <w:jc w:val="left"/>
              <w:rPr>
                <w:szCs w:val="20"/>
              </w:rPr>
            </w:pPr>
            <w:r>
              <w:rPr>
                <w:szCs w:val="20"/>
              </w:rPr>
              <w:t>Original: English</w:t>
            </w:r>
          </w:p>
        </w:tc>
      </w:tr>
    </w:tbl>
    <w:p w:rsidR="00622D5B" w:rsidRDefault="001773DB" w:rsidP="00C86E20">
      <w:pPr>
        <w:spacing w:before="120" w:line="370" w:lineRule="exact"/>
        <w:jc w:val="left"/>
        <w:rPr>
          <w:b/>
          <w:bCs/>
          <w:sz w:val="36"/>
          <w:szCs w:val="36"/>
          <w:rtl/>
        </w:rPr>
      </w:pPr>
      <w:r w:rsidRPr="001773DB">
        <w:rPr>
          <w:rFonts w:hint="cs"/>
          <w:b/>
          <w:bCs/>
          <w:sz w:val="36"/>
          <w:szCs w:val="36"/>
          <w:rtl/>
        </w:rPr>
        <w:t>مجلس حقوق الإنسان</w:t>
      </w:r>
    </w:p>
    <w:p w:rsidR="00622D5B" w:rsidRPr="00EA05CA" w:rsidRDefault="00622D5B" w:rsidP="00C86E20">
      <w:pPr>
        <w:spacing w:line="370" w:lineRule="exact"/>
        <w:jc w:val="left"/>
        <w:rPr>
          <w:b/>
          <w:bCs/>
          <w:sz w:val="30"/>
        </w:rPr>
      </w:pPr>
      <w:r w:rsidRPr="00EA05CA">
        <w:rPr>
          <w:b/>
          <w:bCs/>
          <w:sz w:val="30"/>
          <w:rtl/>
        </w:rPr>
        <w:t>الدورة الخامسة والثلاثون</w:t>
      </w:r>
    </w:p>
    <w:p w:rsidR="00622D5B" w:rsidRPr="00EA05CA" w:rsidRDefault="00622D5B" w:rsidP="00C86E20">
      <w:pPr>
        <w:spacing w:line="370" w:lineRule="exact"/>
        <w:jc w:val="left"/>
        <w:rPr>
          <w:sz w:val="30"/>
        </w:rPr>
      </w:pPr>
      <w:r w:rsidRPr="00EA05CA">
        <w:rPr>
          <w:sz w:val="30"/>
          <w:rtl/>
        </w:rPr>
        <w:t>6-23 حزيران/يونيه ٢٠١٧</w:t>
      </w:r>
    </w:p>
    <w:p w:rsidR="00622D5B" w:rsidRPr="00EA05CA" w:rsidRDefault="00622D5B" w:rsidP="00C86E20">
      <w:pPr>
        <w:spacing w:line="370" w:lineRule="exact"/>
        <w:jc w:val="left"/>
        <w:rPr>
          <w:sz w:val="30"/>
        </w:rPr>
      </w:pPr>
      <w:r w:rsidRPr="00EA05CA">
        <w:rPr>
          <w:sz w:val="30"/>
          <w:rtl/>
        </w:rPr>
        <w:t>البند ٤ من جدول الأعمال</w:t>
      </w:r>
    </w:p>
    <w:p w:rsidR="00622D5B" w:rsidRPr="007303A4" w:rsidRDefault="00622D5B" w:rsidP="00A349F9">
      <w:pPr>
        <w:pStyle w:val="HChGA"/>
        <w:rPr>
          <w:rtl/>
          <w:lang w:bidi="ar-DZ"/>
        </w:rPr>
      </w:pPr>
      <w:r w:rsidRPr="00EA05CA">
        <w:rPr>
          <w:rtl/>
        </w:rPr>
        <w:tab/>
      </w:r>
      <w:r w:rsidRPr="00EA05CA">
        <w:rPr>
          <w:rtl/>
        </w:rPr>
        <w:tab/>
        <w:t>قرار</w:t>
      </w:r>
      <w:r>
        <w:rPr>
          <w:rFonts w:hint="cs"/>
          <w:rtl/>
          <w:lang w:bidi="ar-DZ"/>
        </w:rPr>
        <w:t xml:space="preserve"> اعتمده مجلس حقوق الإنسان في 23 حزيران/يونيه 2017</w:t>
      </w:r>
    </w:p>
    <w:p w:rsidR="00622D5B" w:rsidRPr="00EA05CA" w:rsidRDefault="00622D5B" w:rsidP="00A349F9">
      <w:pPr>
        <w:pStyle w:val="H1GA"/>
        <w:tabs>
          <w:tab w:val="left" w:pos="2551"/>
        </w:tabs>
      </w:pPr>
      <w:r>
        <w:rPr>
          <w:rtl/>
        </w:rPr>
        <w:tab/>
      </w:r>
      <w:r>
        <w:rPr>
          <w:rtl/>
        </w:rPr>
        <w:tab/>
        <w:t>35/</w:t>
      </w:r>
      <w:r>
        <w:rPr>
          <w:rFonts w:hint="cs"/>
          <w:rtl/>
        </w:rPr>
        <w:t>27-</w:t>
      </w:r>
      <w:r>
        <w:rPr>
          <w:rtl/>
        </w:rPr>
        <w:tab/>
      </w:r>
      <w:r w:rsidRPr="00EA05CA">
        <w:rPr>
          <w:rtl/>
        </w:rPr>
        <w:t>حالة حقوق الإنسان في بيلاروس</w:t>
      </w:r>
    </w:p>
    <w:p w:rsidR="00622D5B" w:rsidRPr="00622D5B" w:rsidRDefault="00622D5B" w:rsidP="00986FF9">
      <w:pPr>
        <w:pStyle w:val="SingleTxtGA"/>
        <w:spacing w:line="360" w:lineRule="exact"/>
        <w:rPr>
          <w:i/>
          <w:iCs/>
        </w:rPr>
      </w:pPr>
      <w:r w:rsidRPr="00622D5B">
        <w:rPr>
          <w:i/>
          <w:iCs/>
          <w:rtl/>
        </w:rPr>
        <w:tab/>
      </w:r>
      <w:r w:rsidRPr="00622D5B">
        <w:rPr>
          <w:rFonts w:hint="cs"/>
          <w:i/>
          <w:iCs/>
          <w:rtl/>
        </w:rPr>
        <w:t>إن</w:t>
      </w:r>
      <w:r w:rsidRPr="00622D5B">
        <w:rPr>
          <w:i/>
          <w:iCs/>
          <w:rtl/>
        </w:rPr>
        <w:t xml:space="preserve"> </w:t>
      </w:r>
      <w:r w:rsidRPr="00622D5B">
        <w:rPr>
          <w:rFonts w:hint="cs"/>
          <w:i/>
          <w:iCs/>
          <w:rtl/>
        </w:rPr>
        <w:t>مجلس</w:t>
      </w:r>
      <w:r w:rsidRPr="00622D5B">
        <w:rPr>
          <w:i/>
          <w:iCs/>
          <w:rtl/>
        </w:rPr>
        <w:t xml:space="preserve"> </w:t>
      </w:r>
      <w:r w:rsidRPr="00622D5B">
        <w:rPr>
          <w:rFonts w:hint="cs"/>
          <w:i/>
          <w:iCs/>
          <w:rtl/>
        </w:rPr>
        <w:t>حقوق</w:t>
      </w:r>
      <w:r w:rsidRPr="00622D5B">
        <w:rPr>
          <w:i/>
          <w:iCs/>
          <w:rtl/>
        </w:rPr>
        <w:t xml:space="preserve"> </w:t>
      </w:r>
      <w:r w:rsidRPr="00622D5B">
        <w:rPr>
          <w:rFonts w:hint="cs"/>
          <w:i/>
          <w:iCs/>
          <w:rtl/>
        </w:rPr>
        <w:t>ال</w:t>
      </w:r>
      <w:r w:rsidRPr="00622D5B">
        <w:rPr>
          <w:i/>
          <w:iCs/>
          <w:rtl/>
        </w:rPr>
        <w:t>إنسان،</w:t>
      </w:r>
    </w:p>
    <w:p w:rsidR="00622D5B" w:rsidRPr="00622D5B" w:rsidRDefault="00622D5B" w:rsidP="00986FF9">
      <w:pPr>
        <w:pStyle w:val="SingleTxtGA"/>
        <w:spacing w:line="360" w:lineRule="exact"/>
      </w:pPr>
      <w:r w:rsidRPr="00622D5B">
        <w:rPr>
          <w:spacing w:val="-6"/>
          <w:rtl/>
        </w:rPr>
        <w:tab/>
      </w:r>
      <w:r w:rsidRPr="00622D5B">
        <w:rPr>
          <w:rFonts w:hint="cs"/>
          <w:i/>
          <w:iCs/>
          <w:spacing w:val="-6"/>
          <w:rtl/>
        </w:rPr>
        <w:t>إذ</w:t>
      </w:r>
      <w:r w:rsidRPr="00622D5B">
        <w:rPr>
          <w:i/>
          <w:iCs/>
          <w:spacing w:val="-6"/>
          <w:rtl/>
        </w:rPr>
        <w:t xml:space="preserve"> </w:t>
      </w:r>
      <w:r w:rsidRPr="00622D5B">
        <w:rPr>
          <w:rFonts w:hint="cs"/>
          <w:i/>
          <w:iCs/>
          <w:spacing w:val="-6"/>
          <w:rtl/>
        </w:rPr>
        <w:t>يسترشد</w:t>
      </w:r>
      <w:r w:rsidRPr="00622D5B">
        <w:rPr>
          <w:spacing w:val="-6"/>
          <w:rtl/>
        </w:rPr>
        <w:t xml:space="preserve"> </w:t>
      </w:r>
      <w:r w:rsidRPr="00622D5B">
        <w:rPr>
          <w:rFonts w:hint="cs"/>
          <w:spacing w:val="-6"/>
          <w:rtl/>
        </w:rPr>
        <w:t>بمقاصد</w:t>
      </w:r>
      <w:r w:rsidRPr="00622D5B">
        <w:rPr>
          <w:spacing w:val="-6"/>
          <w:rtl/>
        </w:rPr>
        <w:t xml:space="preserve"> </w:t>
      </w:r>
      <w:r w:rsidRPr="00622D5B">
        <w:rPr>
          <w:rFonts w:hint="cs"/>
          <w:spacing w:val="-6"/>
          <w:rtl/>
        </w:rPr>
        <w:t>ميثاق</w:t>
      </w:r>
      <w:r w:rsidRPr="00622D5B">
        <w:rPr>
          <w:spacing w:val="-6"/>
          <w:rtl/>
        </w:rPr>
        <w:t xml:space="preserve"> </w:t>
      </w:r>
      <w:r w:rsidRPr="00622D5B">
        <w:rPr>
          <w:rFonts w:hint="cs"/>
          <w:spacing w:val="-6"/>
          <w:rtl/>
        </w:rPr>
        <w:t>الأمم</w:t>
      </w:r>
      <w:r w:rsidRPr="00622D5B">
        <w:rPr>
          <w:spacing w:val="-6"/>
          <w:rtl/>
        </w:rPr>
        <w:t xml:space="preserve"> </w:t>
      </w:r>
      <w:r w:rsidRPr="00622D5B">
        <w:rPr>
          <w:rFonts w:hint="cs"/>
          <w:spacing w:val="-6"/>
          <w:rtl/>
        </w:rPr>
        <w:t>المتحدة</w:t>
      </w:r>
      <w:r w:rsidRPr="00622D5B">
        <w:rPr>
          <w:spacing w:val="-6"/>
          <w:rtl/>
        </w:rPr>
        <w:t xml:space="preserve"> </w:t>
      </w:r>
      <w:r w:rsidRPr="00622D5B">
        <w:rPr>
          <w:rFonts w:hint="cs"/>
          <w:spacing w:val="-6"/>
          <w:rtl/>
        </w:rPr>
        <w:t>ومبادئه،</w:t>
      </w:r>
      <w:r w:rsidRPr="00622D5B">
        <w:rPr>
          <w:spacing w:val="-6"/>
          <w:rtl/>
        </w:rPr>
        <w:t xml:space="preserve"> </w:t>
      </w:r>
      <w:r w:rsidRPr="00622D5B">
        <w:rPr>
          <w:rFonts w:hint="cs"/>
          <w:spacing w:val="-6"/>
          <w:rtl/>
        </w:rPr>
        <w:t>وبأحكام</w:t>
      </w:r>
      <w:r w:rsidRPr="00622D5B">
        <w:rPr>
          <w:spacing w:val="-6"/>
          <w:rtl/>
        </w:rPr>
        <w:t xml:space="preserve"> </w:t>
      </w:r>
      <w:r w:rsidRPr="00622D5B">
        <w:rPr>
          <w:rFonts w:hint="cs"/>
          <w:spacing w:val="-6"/>
          <w:rtl/>
        </w:rPr>
        <w:t>الإعلان</w:t>
      </w:r>
      <w:r w:rsidRPr="00622D5B">
        <w:rPr>
          <w:spacing w:val="-6"/>
          <w:rtl/>
        </w:rPr>
        <w:t xml:space="preserve"> </w:t>
      </w:r>
      <w:r w:rsidRPr="00622D5B">
        <w:rPr>
          <w:rFonts w:hint="cs"/>
          <w:spacing w:val="-6"/>
          <w:rtl/>
        </w:rPr>
        <w:t>العالمي</w:t>
      </w:r>
      <w:r w:rsidRPr="00622D5B">
        <w:rPr>
          <w:spacing w:val="-6"/>
          <w:rtl/>
        </w:rPr>
        <w:t xml:space="preserve"> </w:t>
      </w:r>
      <w:r w:rsidRPr="00622D5B">
        <w:rPr>
          <w:rFonts w:hint="cs"/>
          <w:spacing w:val="-6"/>
          <w:rtl/>
        </w:rPr>
        <w:t>لحقوق</w:t>
      </w:r>
      <w:r w:rsidRPr="00622D5B">
        <w:rPr>
          <w:spacing w:val="-6"/>
          <w:rtl/>
        </w:rPr>
        <w:t xml:space="preserve"> </w:t>
      </w:r>
      <w:r w:rsidRPr="00622D5B">
        <w:rPr>
          <w:rFonts w:hint="cs"/>
          <w:spacing w:val="-6"/>
          <w:rtl/>
        </w:rPr>
        <w:t>الإنسان،</w:t>
      </w:r>
      <w:r w:rsidRPr="00622D5B">
        <w:rPr>
          <w:spacing w:val="-6"/>
          <w:rtl/>
        </w:rPr>
        <w:t xml:space="preserve"> </w:t>
      </w:r>
      <w:r w:rsidRPr="00622D5B">
        <w:rPr>
          <w:rFonts w:hint="cs"/>
          <w:rtl/>
        </w:rPr>
        <w:t>والعهدين</w:t>
      </w:r>
      <w:r w:rsidRPr="00622D5B">
        <w:rPr>
          <w:rtl/>
        </w:rPr>
        <w:t xml:space="preserve"> </w:t>
      </w:r>
      <w:r w:rsidRPr="00622D5B">
        <w:rPr>
          <w:rFonts w:hint="cs"/>
          <w:rtl/>
        </w:rPr>
        <w:t>الدوليين</w:t>
      </w:r>
      <w:r w:rsidRPr="00622D5B">
        <w:rPr>
          <w:rtl/>
        </w:rPr>
        <w:t xml:space="preserve"> </w:t>
      </w:r>
      <w:r w:rsidRPr="00622D5B">
        <w:rPr>
          <w:rFonts w:hint="cs"/>
          <w:rtl/>
        </w:rPr>
        <w:t>الخاصين</w:t>
      </w:r>
      <w:r w:rsidRPr="00622D5B">
        <w:rPr>
          <w:rtl/>
        </w:rPr>
        <w:t xml:space="preserve"> </w:t>
      </w:r>
      <w:r w:rsidRPr="00622D5B">
        <w:rPr>
          <w:rFonts w:hint="cs"/>
          <w:rtl/>
        </w:rPr>
        <w:t>بحقوق</w:t>
      </w:r>
      <w:r w:rsidRPr="00622D5B">
        <w:rPr>
          <w:rtl/>
        </w:rPr>
        <w:t xml:space="preserve"> </w:t>
      </w:r>
      <w:r w:rsidRPr="00622D5B">
        <w:rPr>
          <w:rFonts w:hint="cs"/>
          <w:rtl/>
        </w:rPr>
        <w:t>الإنسان</w:t>
      </w:r>
      <w:r w:rsidRPr="00622D5B">
        <w:rPr>
          <w:rtl/>
        </w:rPr>
        <w:t xml:space="preserve"> </w:t>
      </w:r>
      <w:r w:rsidRPr="00622D5B">
        <w:rPr>
          <w:rFonts w:hint="cs"/>
          <w:rtl/>
        </w:rPr>
        <w:t>وغير</w:t>
      </w:r>
      <w:r w:rsidRPr="00622D5B">
        <w:rPr>
          <w:rtl/>
        </w:rPr>
        <w:t xml:space="preserve"> </w:t>
      </w:r>
      <w:r w:rsidRPr="00622D5B">
        <w:rPr>
          <w:rFonts w:hint="cs"/>
          <w:rtl/>
        </w:rPr>
        <w:t>ذلك</w:t>
      </w:r>
      <w:r w:rsidRPr="00622D5B">
        <w:rPr>
          <w:rtl/>
        </w:rPr>
        <w:t xml:space="preserve"> </w:t>
      </w:r>
      <w:r w:rsidRPr="00622D5B">
        <w:rPr>
          <w:rFonts w:hint="cs"/>
          <w:rtl/>
        </w:rPr>
        <w:t>من</w:t>
      </w:r>
      <w:r w:rsidRPr="00622D5B">
        <w:rPr>
          <w:rtl/>
        </w:rPr>
        <w:t xml:space="preserve"> </w:t>
      </w:r>
      <w:r w:rsidRPr="00622D5B">
        <w:rPr>
          <w:rFonts w:hint="cs"/>
          <w:rtl/>
        </w:rPr>
        <w:t>صكوك</w:t>
      </w:r>
      <w:r w:rsidRPr="00622D5B">
        <w:rPr>
          <w:rtl/>
        </w:rPr>
        <w:t xml:space="preserve"> </w:t>
      </w:r>
      <w:r w:rsidRPr="00622D5B">
        <w:rPr>
          <w:rFonts w:hint="cs"/>
          <w:rtl/>
        </w:rPr>
        <w:t>حقوق</w:t>
      </w:r>
      <w:r w:rsidRPr="00622D5B">
        <w:rPr>
          <w:rtl/>
        </w:rPr>
        <w:t xml:space="preserve"> </w:t>
      </w:r>
      <w:r w:rsidRPr="00622D5B">
        <w:rPr>
          <w:rFonts w:hint="cs"/>
          <w:rtl/>
        </w:rPr>
        <w:t>الإنسان</w:t>
      </w:r>
      <w:r w:rsidRPr="00622D5B">
        <w:rPr>
          <w:rtl/>
        </w:rPr>
        <w:t xml:space="preserve"> </w:t>
      </w:r>
      <w:r w:rsidRPr="00622D5B">
        <w:rPr>
          <w:rFonts w:hint="cs"/>
          <w:rtl/>
        </w:rPr>
        <w:t>المنطبقة،</w:t>
      </w:r>
    </w:p>
    <w:p w:rsidR="00622D5B" w:rsidRPr="00622D5B" w:rsidRDefault="00622D5B" w:rsidP="00986FF9">
      <w:pPr>
        <w:pStyle w:val="SingleTxtGA"/>
        <w:spacing w:line="360" w:lineRule="exact"/>
      </w:pPr>
      <w:r w:rsidRPr="00622D5B">
        <w:rPr>
          <w:spacing w:val="-2"/>
          <w:rtl/>
        </w:rPr>
        <w:tab/>
      </w:r>
      <w:r w:rsidRPr="00622D5B">
        <w:rPr>
          <w:rFonts w:ascii="Traditional Arabic" w:hAnsi="Traditional Arabic" w:hint="cs"/>
          <w:i/>
          <w:iCs/>
          <w:spacing w:val="-2"/>
          <w:rtl/>
        </w:rPr>
        <w:t>وإذ</w:t>
      </w:r>
      <w:r w:rsidRPr="00622D5B">
        <w:rPr>
          <w:i/>
          <w:iCs/>
          <w:spacing w:val="-2"/>
          <w:rtl/>
        </w:rPr>
        <w:t xml:space="preserve"> </w:t>
      </w:r>
      <w:r w:rsidRPr="00622D5B">
        <w:rPr>
          <w:rFonts w:ascii="Traditional Arabic" w:hAnsi="Traditional Arabic" w:hint="cs"/>
          <w:i/>
          <w:iCs/>
          <w:spacing w:val="-2"/>
          <w:rtl/>
        </w:rPr>
        <w:t>يشير</w:t>
      </w:r>
      <w:r w:rsidRPr="00622D5B">
        <w:rPr>
          <w:spacing w:val="-2"/>
          <w:rtl/>
        </w:rPr>
        <w:t xml:space="preserve"> </w:t>
      </w:r>
      <w:r w:rsidRPr="00622D5B">
        <w:rPr>
          <w:rFonts w:ascii="Traditional Arabic" w:hAnsi="Traditional Arabic" w:hint="cs"/>
          <w:spacing w:val="-2"/>
          <w:rtl/>
        </w:rPr>
        <w:t>إلى</w:t>
      </w:r>
      <w:r w:rsidRPr="00622D5B">
        <w:rPr>
          <w:spacing w:val="-2"/>
          <w:rtl/>
        </w:rPr>
        <w:t xml:space="preserve"> </w:t>
      </w:r>
      <w:r w:rsidRPr="00622D5B">
        <w:rPr>
          <w:rFonts w:ascii="Traditional Arabic" w:hAnsi="Traditional Arabic" w:hint="cs"/>
          <w:spacing w:val="-2"/>
          <w:rtl/>
        </w:rPr>
        <w:t>جميع</w:t>
      </w:r>
      <w:r w:rsidRPr="00622D5B">
        <w:rPr>
          <w:spacing w:val="-2"/>
          <w:rtl/>
        </w:rPr>
        <w:t xml:space="preserve"> </w:t>
      </w:r>
      <w:r w:rsidRPr="00622D5B">
        <w:rPr>
          <w:rFonts w:ascii="Traditional Arabic" w:hAnsi="Traditional Arabic" w:hint="cs"/>
          <w:spacing w:val="-2"/>
          <w:rtl/>
        </w:rPr>
        <w:t>القرارات</w:t>
      </w:r>
      <w:r w:rsidRPr="00622D5B">
        <w:rPr>
          <w:spacing w:val="-2"/>
          <w:rtl/>
        </w:rPr>
        <w:t xml:space="preserve"> </w:t>
      </w:r>
      <w:r w:rsidRPr="00622D5B">
        <w:rPr>
          <w:rFonts w:ascii="Traditional Arabic" w:hAnsi="Traditional Arabic" w:hint="cs"/>
          <w:spacing w:val="-2"/>
          <w:rtl/>
        </w:rPr>
        <w:t>التي</w:t>
      </w:r>
      <w:r w:rsidRPr="00622D5B">
        <w:rPr>
          <w:spacing w:val="-2"/>
          <w:rtl/>
        </w:rPr>
        <w:t xml:space="preserve"> </w:t>
      </w:r>
      <w:r w:rsidRPr="00622D5B">
        <w:rPr>
          <w:rFonts w:ascii="Traditional Arabic" w:hAnsi="Traditional Arabic" w:hint="cs"/>
          <w:spacing w:val="-2"/>
          <w:rtl/>
        </w:rPr>
        <w:t>اعتمدتها</w:t>
      </w:r>
      <w:r w:rsidRPr="00622D5B">
        <w:rPr>
          <w:spacing w:val="-2"/>
          <w:rtl/>
        </w:rPr>
        <w:t xml:space="preserve"> </w:t>
      </w:r>
      <w:r w:rsidRPr="00622D5B">
        <w:rPr>
          <w:rFonts w:ascii="Traditional Arabic" w:hAnsi="Traditional Arabic" w:hint="cs"/>
          <w:spacing w:val="-2"/>
          <w:rtl/>
        </w:rPr>
        <w:t>لجنة</w:t>
      </w:r>
      <w:r w:rsidRPr="00622D5B">
        <w:rPr>
          <w:spacing w:val="-2"/>
          <w:rtl/>
        </w:rPr>
        <w:t xml:space="preserve"> </w:t>
      </w:r>
      <w:r w:rsidRPr="00622D5B">
        <w:rPr>
          <w:rFonts w:ascii="Traditional Arabic" w:hAnsi="Traditional Arabic" w:hint="cs"/>
          <w:spacing w:val="-2"/>
          <w:rtl/>
        </w:rPr>
        <w:t>حقوق</w:t>
      </w:r>
      <w:r w:rsidRPr="00622D5B">
        <w:rPr>
          <w:spacing w:val="-2"/>
          <w:rtl/>
        </w:rPr>
        <w:t xml:space="preserve"> </w:t>
      </w:r>
      <w:r w:rsidRPr="00622D5B">
        <w:rPr>
          <w:rFonts w:ascii="Traditional Arabic" w:hAnsi="Traditional Arabic" w:hint="cs"/>
          <w:spacing w:val="-2"/>
          <w:rtl/>
        </w:rPr>
        <w:t>الإنسان</w:t>
      </w:r>
      <w:r w:rsidRPr="00622D5B">
        <w:rPr>
          <w:spacing w:val="-2"/>
          <w:rtl/>
        </w:rPr>
        <w:t xml:space="preserve"> </w:t>
      </w:r>
      <w:r w:rsidRPr="00622D5B">
        <w:rPr>
          <w:rFonts w:ascii="Traditional Arabic" w:hAnsi="Traditional Arabic" w:hint="cs"/>
          <w:spacing w:val="-2"/>
          <w:rtl/>
        </w:rPr>
        <w:t>والجمعية</w:t>
      </w:r>
      <w:r w:rsidRPr="00622D5B">
        <w:rPr>
          <w:spacing w:val="-2"/>
          <w:rtl/>
        </w:rPr>
        <w:t xml:space="preserve"> </w:t>
      </w:r>
      <w:r w:rsidRPr="00622D5B">
        <w:rPr>
          <w:rFonts w:ascii="Traditional Arabic" w:hAnsi="Traditional Arabic" w:hint="cs"/>
          <w:spacing w:val="-2"/>
          <w:rtl/>
        </w:rPr>
        <w:t>العام</w:t>
      </w:r>
      <w:r w:rsidRPr="00622D5B">
        <w:rPr>
          <w:spacing w:val="-2"/>
          <w:rtl/>
        </w:rPr>
        <w:t>ة ومجلس حقوق الإنسان بشأن حالة حقوق الإنسان في بيلاروس، بما في ذلك قرار المجلس 32/26 المؤرخ</w:t>
      </w:r>
      <w:r w:rsidRPr="00622D5B">
        <w:rPr>
          <w:rFonts w:hint="cs"/>
          <w:spacing w:val="-2"/>
          <w:rtl/>
        </w:rPr>
        <w:t> </w:t>
      </w:r>
      <w:r w:rsidRPr="00622D5B">
        <w:rPr>
          <w:spacing w:val="-2"/>
          <w:rtl/>
        </w:rPr>
        <w:t xml:space="preserve">1 تموز/يوليه 2016، وإذ يعرب عن أسفه إزاء عدم كفاية استجابة حكومة بيلاروس للطلبات التي قدمها المجلس في هذه القرارات وعدم تعاونها في هذا الصدد، بما في ذلك رفض دخول المقرر الخاص المعني بحالة حقوق الإنسان في بيلاروس إلى البلد هو وغيره من المكلفين بولايات في إطار الإجراءات الخاصة التابعة للمجلس، وإذ يقر بإقبال بيلاروس المتزايد على التعاون </w:t>
      </w:r>
      <w:r w:rsidRPr="00622D5B">
        <w:rPr>
          <w:rtl/>
        </w:rPr>
        <w:t>مع مكتب المؤسسات الديمقراطية وحقوق الإنسان التابع لمنظمة الأمن والتعاون في أوروبا،</w:t>
      </w:r>
    </w:p>
    <w:p w:rsidR="00622D5B" w:rsidRPr="00EA05CA" w:rsidRDefault="00622D5B" w:rsidP="00986FF9">
      <w:pPr>
        <w:pStyle w:val="SingleTxtGA"/>
        <w:spacing w:line="360" w:lineRule="exact"/>
      </w:pPr>
      <w:r w:rsidRPr="00EA05CA">
        <w:rPr>
          <w:rtl/>
        </w:rPr>
        <w:tab/>
      </w:r>
      <w:r w:rsidRPr="00EA05CA">
        <w:rPr>
          <w:rFonts w:hint="cs"/>
          <w:i/>
          <w:iCs/>
          <w:rtl/>
        </w:rPr>
        <w:t>وإذ</w:t>
      </w:r>
      <w:r w:rsidRPr="00EA05CA">
        <w:rPr>
          <w:i/>
          <w:iCs/>
          <w:rtl/>
        </w:rPr>
        <w:t xml:space="preserve"> </w:t>
      </w:r>
      <w:r w:rsidRPr="00EA05CA">
        <w:rPr>
          <w:rFonts w:hint="cs"/>
          <w:i/>
          <w:iCs/>
          <w:rtl/>
        </w:rPr>
        <w:t>يشير</w:t>
      </w:r>
      <w:r w:rsidRPr="00EA05CA">
        <w:rPr>
          <w:i/>
          <w:iCs/>
          <w:rtl/>
        </w:rPr>
        <w:t xml:space="preserve"> </w:t>
      </w:r>
      <w:r w:rsidRPr="00EA05CA">
        <w:rPr>
          <w:rFonts w:hint="cs"/>
          <w:i/>
          <w:iCs/>
          <w:rtl/>
        </w:rPr>
        <w:t>أيضاً</w:t>
      </w:r>
      <w:r w:rsidRPr="00EA05CA">
        <w:rPr>
          <w:rtl/>
        </w:rPr>
        <w:t xml:space="preserve"> </w:t>
      </w:r>
      <w:r w:rsidRPr="00EA05CA">
        <w:rPr>
          <w:rFonts w:hint="cs"/>
          <w:rtl/>
        </w:rPr>
        <w:t>إلى</w:t>
      </w:r>
      <w:r w:rsidRPr="00EA05CA">
        <w:rPr>
          <w:rtl/>
        </w:rPr>
        <w:t xml:space="preserve"> </w:t>
      </w:r>
      <w:r w:rsidRPr="00EA05CA">
        <w:rPr>
          <w:rFonts w:hint="cs"/>
          <w:rtl/>
        </w:rPr>
        <w:t>قراري</w:t>
      </w:r>
      <w:r w:rsidRPr="00EA05CA">
        <w:rPr>
          <w:rtl/>
        </w:rPr>
        <w:t xml:space="preserve"> </w:t>
      </w:r>
      <w:r w:rsidRPr="00EA05CA">
        <w:rPr>
          <w:rFonts w:hint="cs"/>
          <w:rtl/>
        </w:rPr>
        <w:t>مجلس</w:t>
      </w:r>
      <w:r w:rsidRPr="00EA05CA">
        <w:rPr>
          <w:rtl/>
        </w:rPr>
        <w:t xml:space="preserve"> </w:t>
      </w:r>
      <w:r w:rsidRPr="00EA05CA">
        <w:rPr>
          <w:rFonts w:hint="cs"/>
          <w:rtl/>
        </w:rPr>
        <w:t>حقوق</w:t>
      </w:r>
      <w:r w:rsidRPr="00EA05CA">
        <w:rPr>
          <w:rtl/>
        </w:rPr>
        <w:t xml:space="preserve"> </w:t>
      </w:r>
      <w:r w:rsidRPr="00EA05CA">
        <w:rPr>
          <w:rFonts w:hint="cs"/>
          <w:rtl/>
        </w:rPr>
        <w:t>الإنسان</w:t>
      </w:r>
      <w:r w:rsidRPr="00EA05CA">
        <w:rPr>
          <w:rtl/>
        </w:rPr>
        <w:t xml:space="preserve"> 5/1 </w:t>
      </w:r>
      <w:r w:rsidRPr="00EA05CA">
        <w:rPr>
          <w:rFonts w:hint="cs"/>
          <w:rtl/>
        </w:rPr>
        <w:t>و</w:t>
      </w:r>
      <w:r w:rsidRPr="00EA05CA">
        <w:rPr>
          <w:rtl/>
        </w:rPr>
        <w:t xml:space="preserve">5/2 </w:t>
      </w:r>
      <w:r w:rsidRPr="00EA05CA">
        <w:rPr>
          <w:rFonts w:hint="cs"/>
          <w:rtl/>
        </w:rPr>
        <w:t>المؤرخين</w:t>
      </w:r>
      <w:r w:rsidRPr="00EA05CA">
        <w:rPr>
          <w:rtl/>
        </w:rPr>
        <w:t xml:space="preserve"> 18 </w:t>
      </w:r>
      <w:r w:rsidRPr="00EA05CA">
        <w:rPr>
          <w:rFonts w:hint="cs"/>
          <w:rtl/>
        </w:rPr>
        <w:t>حزيران</w:t>
      </w:r>
      <w:r w:rsidRPr="00EA05CA">
        <w:rPr>
          <w:rtl/>
        </w:rPr>
        <w:t>/</w:t>
      </w:r>
      <w:r>
        <w:rPr>
          <w:rFonts w:hint="cs"/>
          <w:rtl/>
        </w:rPr>
        <w:t xml:space="preserve"> </w:t>
      </w:r>
      <w:r w:rsidRPr="00EA05CA">
        <w:rPr>
          <w:rFonts w:hint="cs"/>
          <w:rtl/>
        </w:rPr>
        <w:t>يونيه</w:t>
      </w:r>
      <w:r w:rsidRPr="00EA05CA">
        <w:rPr>
          <w:rtl/>
        </w:rPr>
        <w:t xml:space="preserve"> 2007</w:t>
      </w:r>
      <w:r w:rsidRPr="00EA05CA">
        <w:rPr>
          <w:rFonts w:hint="cs"/>
          <w:rtl/>
        </w:rPr>
        <w:t>،</w:t>
      </w:r>
    </w:p>
    <w:p w:rsidR="00622D5B" w:rsidRPr="00EA05CA" w:rsidRDefault="00622D5B" w:rsidP="00986FF9">
      <w:pPr>
        <w:pStyle w:val="SingleTxtGA"/>
        <w:spacing w:line="360" w:lineRule="exact"/>
      </w:pPr>
      <w:r>
        <w:rPr>
          <w:rtl/>
        </w:rPr>
        <w:tab/>
        <w:t>١-</w:t>
      </w:r>
      <w:r>
        <w:rPr>
          <w:rtl/>
        </w:rPr>
        <w:tab/>
      </w:r>
      <w:r w:rsidRPr="00EA05CA">
        <w:rPr>
          <w:i/>
          <w:iCs/>
          <w:rtl/>
        </w:rPr>
        <w:t>يرحّب</w:t>
      </w:r>
      <w:r w:rsidRPr="00EA05CA">
        <w:rPr>
          <w:rtl/>
        </w:rPr>
        <w:t xml:space="preserve"> بتقرير المقرر الخاص المعني بحالة حقوق الإنسان في بيلاروس المؤرخ 21 نيسان/أبريل 2017</w:t>
      </w:r>
      <w:r>
        <w:rPr>
          <w:vertAlign w:val="superscript"/>
          <w:rtl/>
        </w:rPr>
        <w:t>(</w:t>
      </w:r>
      <w:r>
        <w:rPr>
          <w:rStyle w:val="FootnoteReference"/>
          <w:rtl/>
        </w:rPr>
        <w:footnoteReference w:id="1"/>
      </w:r>
      <w:r>
        <w:rPr>
          <w:vertAlign w:val="superscript"/>
          <w:rtl/>
        </w:rPr>
        <w:t>)</w:t>
      </w:r>
      <w:r w:rsidRPr="00EA05CA">
        <w:rPr>
          <w:rtl/>
        </w:rPr>
        <w:t xml:space="preserve">؛ </w:t>
      </w:r>
    </w:p>
    <w:p w:rsidR="00622D5B" w:rsidRPr="00EA05CA" w:rsidRDefault="00622D5B" w:rsidP="00986FF9">
      <w:pPr>
        <w:pStyle w:val="SingleTxtGA"/>
        <w:spacing w:line="360" w:lineRule="exact"/>
      </w:pPr>
      <w:r>
        <w:rPr>
          <w:rtl/>
        </w:rPr>
        <w:tab/>
        <w:t>٢-</w:t>
      </w:r>
      <w:r>
        <w:rPr>
          <w:rtl/>
        </w:rPr>
        <w:tab/>
      </w:r>
      <w:r w:rsidRPr="00EA05CA">
        <w:rPr>
          <w:i/>
          <w:iCs/>
          <w:rtl/>
        </w:rPr>
        <w:t>يعرب عن استمرار قلقه</w:t>
      </w:r>
      <w:r w:rsidRPr="00EA05CA">
        <w:rPr>
          <w:rtl/>
        </w:rPr>
        <w:t xml:space="preserve"> إزاء حالة حقوق الإنسان والحريات الأساسية في بيلاروس، لا سيما حرية التجمع السلمي وحرية تكوين الجمعيات وحرية التعبير، كما يتبين من رد حكومة بيلاروس على الاحتجاجات السلمية التي حدثت في شباط/فبراير وآذار/</w:t>
      </w:r>
      <w:r>
        <w:rPr>
          <w:rFonts w:hint="cs"/>
          <w:rtl/>
        </w:rPr>
        <w:t xml:space="preserve"> </w:t>
      </w:r>
      <w:r w:rsidRPr="00EA05CA">
        <w:rPr>
          <w:rtl/>
        </w:rPr>
        <w:t>مارس</w:t>
      </w:r>
      <w:r>
        <w:rPr>
          <w:rFonts w:hint="cs"/>
          <w:rtl/>
        </w:rPr>
        <w:t> </w:t>
      </w:r>
      <w:r w:rsidRPr="00EA05CA">
        <w:rPr>
          <w:rtl/>
        </w:rPr>
        <w:t xml:space="preserve">٢٠١٧؛ واستمرار ادعاءات التعرض للتعذيب والمعاملة اللاإنسانية أو المهينة على أيدي </w:t>
      </w:r>
      <w:r w:rsidRPr="00EA05CA">
        <w:rPr>
          <w:rtl/>
        </w:rPr>
        <w:lastRenderedPageBreak/>
        <w:t>موظفي إنفاذ القانون وموظفي السجون، وهي ادعاءات لا تحقق فيها السلطات كما ينبغي؛ واستمرار قمع المدافعين عن حقوق الإنسان ومنظمات المجتمع المدني التي ترفض السلطات تسجيل العديد منها أو تداهم مكاتبها؛ واعتقال صحفيين</w:t>
      </w:r>
      <w:bookmarkStart w:id="0" w:name="_GoBack"/>
      <w:bookmarkEnd w:id="0"/>
      <w:r w:rsidRPr="00EA05CA">
        <w:rPr>
          <w:rtl/>
        </w:rPr>
        <w:t xml:space="preserve"> في آذار/مارس ٢٠١٧ وارتكاب انتهاكات مختلفة لحرية </w:t>
      </w:r>
      <w:r>
        <w:rPr>
          <w:rFonts w:hint="cs"/>
          <w:rtl/>
        </w:rPr>
        <w:t>ال</w:t>
      </w:r>
      <w:r w:rsidRPr="00EA05CA">
        <w:rPr>
          <w:rtl/>
        </w:rPr>
        <w:t>تعبير، بما في ذلك حرية تعبير وسائط الإعلام؛ ويحث الحكومة على احترام حرية التعبير وحرية التجمع السلمي وحرية تكوين الجمعيات احتراما</w:t>
      </w:r>
      <w:r>
        <w:rPr>
          <w:rFonts w:hint="cs"/>
          <w:rtl/>
        </w:rPr>
        <w:t>ً</w:t>
      </w:r>
      <w:r w:rsidRPr="00EA05CA">
        <w:rPr>
          <w:rtl/>
        </w:rPr>
        <w:t xml:space="preserve"> كاملا</w:t>
      </w:r>
      <w:r>
        <w:rPr>
          <w:rFonts w:hint="cs"/>
          <w:rtl/>
        </w:rPr>
        <w:t>ً</w:t>
      </w:r>
      <w:r w:rsidRPr="00EA05CA">
        <w:rPr>
          <w:rtl/>
        </w:rPr>
        <w:t>؛</w:t>
      </w:r>
    </w:p>
    <w:p w:rsidR="00622D5B" w:rsidRPr="00EA05CA" w:rsidRDefault="00622D5B" w:rsidP="00754AA3">
      <w:pPr>
        <w:pStyle w:val="SingleTxtGA"/>
      </w:pPr>
      <w:r>
        <w:rPr>
          <w:rtl/>
        </w:rPr>
        <w:tab/>
        <w:t>٣-</w:t>
      </w:r>
      <w:r>
        <w:rPr>
          <w:rtl/>
        </w:rPr>
        <w:tab/>
      </w:r>
      <w:r w:rsidRPr="00EA05CA">
        <w:rPr>
          <w:i/>
          <w:iCs/>
          <w:rtl/>
        </w:rPr>
        <w:t>يأسف</w:t>
      </w:r>
      <w:r w:rsidRPr="00EA05CA">
        <w:rPr>
          <w:rtl/>
        </w:rPr>
        <w:t xml:space="preserve"> لعدم تصدي حكومة بيلاروس لحالات توقيف النشطاء السياسيين والاجتماعيين واحتجازهم تعسّفاً، وإحجام المدعين العامين عن التحقيق في حالات التعذيب والمعاملة القاسية واللاإنسانية والمهينة، وإفلات مرتكبي الجرائم التي تنطوي على انتهاكات وتجاوزات حقوق الإنسان من العقاب، والضغط على محامي الدفاع، وعدم وجود سبل انتصاف قانونية فعالة؛ ويأسف أيضا</w:t>
      </w:r>
      <w:r>
        <w:rPr>
          <w:rFonts w:hint="cs"/>
          <w:rtl/>
        </w:rPr>
        <w:t>ً</w:t>
      </w:r>
      <w:r w:rsidRPr="00EA05CA">
        <w:rPr>
          <w:rtl/>
        </w:rPr>
        <w:t xml:space="preserve"> لعدم وجود قوانين محددة وشاملة لمكافحة التمييز، وهو ما يؤثر على الأفراد المنتمين إلى الفئات الضعيفة والأقليات الدينية؛</w:t>
      </w:r>
    </w:p>
    <w:p w:rsidR="00622D5B" w:rsidRPr="00EA05CA" w:rsidRDefault="00622D5B" w:rsidP="00754AA3">
      <w:pPr>
        <w:pStyle w:val="SingleTxtGA"/>
      </w:pPr>
      <w:r>
        <w:rPr>
          <w:rtl/>
        </w:rPr>
        <w:tab/>
        <w:t>٤-</w:t>
      </w:r>
      <w:r>
        <w:rPr>
          <w:rtl/>
        </w:rPr>
        <w:tab/>
      </w:r>
      <w:r w:rsidRPr="00EA05CA">
        <w:rPr>
          <w:i/>
          <w:iCs/>
          <w:rtl/>
        </w:rPr>
        <w:t>يهيب مجدداً</w:t>
      </w:r>
      <w:r w:rsidRPr="00EA05CA">
        <w:rPr>
          <w:rtl/>
        </w:rPr>
        <w:t xml:space="preserve"> بحكومة بيلاروس أن تجري مراجعة شاملة للتشريعات والسياسات والاستراتيجيات والممارسات ذات الصلة لضمان تحديد الأحكام تحديدا</w:t>
      </w:r>
      <w:r>
        <w:rPr>
          <w:rFonts w:hint="cs"/>
          <w:rtl/>
        </w:rPr>
        <w:t>ً</w:t>
      </w:r>
      <w:r w:rsidRPr="00EA05CA">
        <w:rPr>
          <w:rtl/>
        </w:rPr>
        <w:t xml:space="preserve"> واضحا</w:t>
      </w:r>
      <w:r>
        <w:rPr>
          <w:rFonts w:hint="cs"/>
          <w:rtl/>
        </w:rPr>
        <w:t>ً</w:t>
      </w:r>
      <w:r w:rsidRPr="00EA05CA">
        <w:rPr>
          <w:rtl/>
        </w:rPr>
        <w:t xml:space="preserve">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w:t>
      </w:r>
      <w:r>
        <w:rPr>
          <w:rFonts w:hint="cs"/>
          <w:rtl/>
        </w:rPr>
        <w:t>ً</w:t>
      </w:r>
      <w:r w:rsidRPr="00EA05CA">
        <w:rPr>
          <w:rtl/>
        </w:rPr>
        <w:t xml:space="preserve"> ملائما</w:t>
      </w:r>
      <w:r>
        <w:rPr>
          <w:rFonts w:hint="cs"/>
          <w:rtl/>
        </w:rPr>
        <w:t>ً</w:t>
      </w:r>
      <w:r w:rsidRPr="00EA05CA">
        <w:rPr>
          <w:rtl/>
        </w:rPr>
        <w:t>؛</w:t>
      </w:r>
    </w:p>
    <w:p w:rsidR="00622D5B" w:rsidRPr="00EA05CA" w:rsidRDefault="00622D5B" w:rsidP="00754AA3">
      <w:pPr>
        <w:pStyle w:val="SingleTxtGA"/>
      </w:pPr>
      <w:r>
        <w:rPr>
          <w:rtl/>
        </w:rPr>
        <w:tab/>
        <w:t>٥-</w:t>
      </w:r>
      <w:r>
        <w:rPr>
          <w:rtl/>
        </w:rPr>
        <w:tab/>
      </w:r>
      <w:r w:rsidRPr="00EA05CA">
        <w:rPr>
          <w:i/>
          <w:iCs/>
          <w:rtl/>
        </w:rPr>
        <w:t>يرحّب</w:t>
      </w:r>
      <w:r w:rsidRPr="00EA05CA">
        <w:rPr>
          <w:rtl/>
        </w:rPr>
        <w:t xml:space="preserve"> باعتماد حكومة بيلاروس في ٢٤ تشرين الأول/أكتوبر ٢٠١٦ خطة مشتركة بين الوكالات بشأن حقوق الإنسان للفترة 2016</w:t>
      </w:r>
      <w:r>
        <w:rPr>
          <w:rFonts w:hint="cs"/>
          <w:rtl/>
        </w:rPr>
        <w:t>-</w:t>
      </w:r>
      <w:r w:rsidRPr="00EA05CA">
        <w:rPr>
          <w:rtl/>
        </w:rPr>
        <w:t xml:space="preserve">2019 من أجل تنفيذ التوصيات التي قبلتها </w:t>
      </w:r>
      <w:r>
        <w:rPr>
          <w:rFonts w:hint="cs"/>
          <w:rtl/>
        </w:rPr>
        <w:t>ال</w:t>
      </w:r>
      <w:r w:rsidRPr="00EA05CA">
        <w:rPr>
          <w:rtl/>
        </w:rPr>
        <w:t>حكومة أثناء الجولة الثانية من الاستعراض الدوري الشامل لبيلاروس والتوصيات المقدمة من بعض هيئات المعاهدات؛ ويشجّع الحكومة على مراجعة وتعديل الخطة من خلال تضمينها التوصيات الصادرة عن آليات حقوق الإنسان ومراعاة المقترحات المقدمة من منظمات المجتمع المدني؛ ويرحب بتقديم الحكومة التقرير الخامس المتعلق بتنفيذ العهد الدولي الخاص بالحقوق المدنية والسياسية، في آذار/مارس ٢٠١٧؛</w:t>
      </w:r>
    </w:p>
    <w:p w:rsidR="00622D5B" w:rsidRPr="00EA05CA" w:rsidRDefault="00622D5B" w:rsidP="00754AA3">
      <w:pPr>
        <w:pStyle w:val="SingleTxtGA"/>
      </w:pPr>
      <w:r>
        <w:rPr>
          <w:rtl/>
        </w:rPr>
        <w:tab/>
        <w:t>٦-</w:t>
      </w:r>
      <w:r>
        <w:rPr>
          <w:rtl/>
        </w:rPr>
        <w:tab/>
      </w:r>
      <w:r w:rsidRPr="00EA05CA">
        <w:rPr>
          <w:i/>
          <w:iCs/>
          <w:rtl/>
        </w:rPr>
        <w:t>يحيط علماً</w:t>
      </w:r>
      <w:r w:rsidRPr="00EA05CA">
        <w:rPr>
          <w:rtl/>
        </w:rPr>
        <w:t xml:space="preserve"> باستمرار اهتمام المقرر الخاص بمسألة عقوبة الإعدام في بيلاروس، ويعرب عن بالغ قلقه بشكل خاص إزاء اللجوء إليها دون ضمان مراعاة الإجراءات القانونية الواجبة، وإزاء الكم المحدود من المعلومات ذات الصلة فيما يتعلق باللجوء إليها، وإذ يأخذ في الاعتبار أن الشفافية شرط من شروط العدالة الجنائية المنصفة والفعالة</w:t>
      </w:r>
      <w:r>
        <w:rPr>
          <w:rFonts w:hint="cs"/>
          <w:rtl/>
        </w:rPr>
        <w:t>،</w:t>
      </w:r>
      <w:r w:rsidRPr="00EA05CA">
        <w:rPr>
          <w:rtl/>
        </w:rPr>
        <w:t xml:space="preserve"> يطلب من المقرر الخاص مواصلة رصد التطورات وتقديم التوصيات؛</w:t>
      </w:r>
    </w:p>
    <w:p w:rsidR="00622D5B" w:rsidRPr="00EA05CA" w:rsidRDefault="00622D5B" w:rsidP="00754AA3">
      <w:pPr>
        <w:pStyle w:val="SingleTxtGA"/>
      </w:pPr>
      <w:r w:rsidRPr="00EA05CA">
        <w:rPr>
          <w:rtl/>
        </w:rPr>
        <w:tab/>
        <w:t>٧-</w:t>
      </w:r>
      <w:r w:rsidRPr="00EA05CA">
        <w:rPr>
          <w:rtl/>
        </w:rPr>
        <w:tab/>
      </w:r>
      <w:r w:rsidRPr="00EA05CA">
        <w:rPr>
          <w:i/>
          <w:iCs/>
          <w:rtl/>
        </w:rPr>
        <w:t>يحث</w:t>
      </w:r>
      <w:r w:rsidRPr="00EA05CA">
        <w:rPr>
          <w:rtl/>
        </w:rPr>
        <w:t xml:space="preserve"> حكومة بيلاروس، في ضوء التطورات المسجلة في شباط/فبراير وآذار/</w:t>
      </w:r>
      <w:r>
        <w:rPr>
          <w:rFonts w:hint="cs"/>
          <w:rtl/>
        </w:rPr>
        <w:t xml:space="preserve"> </w:t>
      </w:r>
      <w:r w:rsidRPr="00EA05CA">
        <w:rPr>
          <w:rtl/>
        </w:rPr>
        <w:t>مارس</w:t>
      </w:r>
      <w:r>
        <w:rPr>
          <w:rFonts w:hint="cs"/>
          <w:rtl/>
        </w:rPr>
        <w:t> </w:t>
      </w:r>
      <w:r w:rsidRPr="00EA05CA">
        <w:rPr>
          <w:rtl/>
        </w:rPr>
        <w:t>٢٠١٧، على اتخاذ جميع التدابير اللازمة لضمان است</w:t>
      </w:r>
      <w:r w:rsidR="00C86E20">
        <w:rPr>
          <w:rtl/>
        </w:rPr>
        <w:t>قلال ونزاهة السلطة القضائية على</w:t>
      </w:r>
      <w:r w:rsidR="00C86E20">
        <w:rPr>
          <w:rFonts w:hint="cs"/>
          <w:rtl/>
        </w:rPr>
        <w:t> </w:t>
      </w:r>
      <w:r w:rsidRPr="00EA05CA">
        <w:rPr>
          <w:rtl/>
        </w:rPr>
        <w:t>نحو كامل، وضمان الحق في محاكمة عادلة والحق في مراجعة فعالة للأحكام والإدانات تجريها محكمة أعلى</w:t>
      </w:r>
      <w:r>
        <w:rPr>
          <w:rFonts w:hint="cs"/>
          <w:rtl/>
        </w:rPr>
        <w:t xml:space="preserve"> درجةً</w:t>
      </w:r>
      <w:r w:rsidRPr="00EA05CA">
        <w:rPr>
          <w:rtl/>
        </w:rPr>
        <w:t>، وإقرار حق جميع المتهمين في حرية اختيار التمثيل القانوني في جميع مراحل الإجراءات؛</w:t>
      </w:r>
    </w:p>
    <w:p w:rsidR="00622D5B" w:rsidRPr="00EA05CA" w:rsidRDefault="00622D5B" w:rsidP="00754AA3">
      <w:pPr>
        <w:pStyle w:val="SingleTxtGA"/>
      </w:pPr>
      <w:r w:rsidRPr="00EA05CA">
        <w:rPr>
          <w:spacing w:val="-4"/>
          <w:rtl/>
        </w:rPr>
        <w:tab/>
        <w:t>٨-</w:t>
      </w:r>
      <w:r w:rsidRPr="00EA05CA">
        <w:rPr>
          <w:spacing w:val="-4"/>
          <w:rtl/>
        </w:rPr>
        <w:tab/>
      </w:r>
      <w:r w:rsidRPr="00EA05CA">
        <w:rPr>
          <w:i/>
          <w:iCs/>
          <w:spacing w:val="-4"/>
          <w:rtl/>
        </w:rPr>
        <w:t>يشير</w:t>
      </w:r>
      <w:r w:rsidRPr="00EA05CA">
        <w:rPr>
          <w:spacing w:val="-4"/>
          <w:rtl/>
        </w:rPr>
        <w:t xml:space="preserve"> إلى أنه رحب بالإفراج عن السجناء السياسيين في آب/أغسطس ٢٠١٥،</w:t>
      </w:r>
      <w:r w:rsidRPr="00EA05CA">
        <w:rPr>
          <w:rtl/>
        </w:rPr>
        <w:t xml:space="preserve"> ودعا إلى أن يستعيد السجناء السياسيون السابقون حقوقهم المدنية والسياسية كاملة؛ ومع </w:t>
      </w:r>
      <w:r w:rsidRPr="00EA05CA">
        <w:rPr>
          <w:rtl/>
        </w:rPr>
        <w:lastRenderedPageBreak/>
        <w:t>ذلك، لا يزال الناشطون السياسيون يتعرضون لسوء المعاملة وتلفيق التهم، في حين لم يحرز أي</w:t>
      </w:r>
      <w:r>
        <w:rPr>
          <w:rFonts w:hint="cs"/>
          <w:rtl/>
        </w:rPr>
        <w:t> </w:t>
      </w:r>
      <w:r w:rsidRPr="00EA05CA">
        <w:rPr>
          <w:rtl/>
        </w:rPr>
        <w:t>تقدم في القضايا العالقة المتصلة بالاختفاء القسري للمعارضين السياسيين؛</w:t>
      </w:r>
    </w:p>
    <w:p w:rsidR="00622D5B" w:rsidRPr="00EA05CA" w:rsidRDefault="00622D5B" w:rsidP="00754AA3">
      <w:pPr>
        <w:pStyle w:val="SingleTxtGA"/>
      </w:pPr>
      <w:r>
        <w:rPr>
          <w:rtl/>
        </w:rPr>
        <w:tab/>
        <w:t>٩-</w:t>
      </w:r>
      <w:r>
        <w:rPr>
          <w:rtl/>
        </w:rPr>
        <w:tab/>
      </w:r>
      <w:r w:rsidRPr="00EA05CA">
        <w:rPr>
          <w:i/>
          <w:iCs/>
          <w:rtl/>
        </w:rPr>
        <w:t>يحث</w:t>
      </w:r>
      <w:r w:rsidRPr="00EA05CA">
        <w:rPr>
          <w:rtl/>
        </w:rPr>
        <w:t xml:space="preserve"> بيلاروس على أن تنفذ دون إبطاء الإصلاح الشامل للإطار القانوني الانتخابي وأن تتصدى لأوجه القصور النُظمية التي تعتور منذ أمد طويل الإطار القانوني الانتخابي والممارسات ذات الصلة قبل تنظيم الانتخابات المحلية أوائل عام ٢٠١٨، عملا</w:t>
      </w:r>
      <w:r>
        <w:rPr>
          <w:rFonts w:hint="cs"/>
          <w:rtl/>
        </w:rPr>
        <w:t>ً</w:t>
      </w:r>
      <w:r w:rsidRPr="00EA05CA">
        <w:rPr>
          <w:rtl/>
        </w:rPr>
        <w:t xml:space="preserve"> بتوصيات مكتب المؤسسات الديمقراطية وحقوق الإنسان التابع لمنظمة الأمن والتعاون في أوروبا واللجنة الأوروبية للديمقراطية من خلال القانون (لجنة فينيسيا) والمقرر الخاص؛</w:t>
      </w:r>
    </w:p>
    <w:p w:rsidR="00622D5B" w:rsidRPr="00EA05CA" w:rsidRDefault="00622D5B" w:rsidP="00754AA3">
      <w:pPr>
        <w:pStyle w:val="SingleTxtGA"/>
      </w:pPr>
      <w:r>
        <w:rPr>
          <w:rtl/>
        </w:rPr>
        <w:tab/>
        <w:t>١٠-</w:t>
      </w:r>
      <w:r>
        <w:rPr>
          <w:rtl/>
        </w:rPr>
        <w:tab/>
      </w:r>
      <w:r w:rsidRPr="00EA05CA">
        <w:rPr>
          <w:i/>
          <w:iCs/>
          <w:rtl/>
        </w:rPr>
        <w:t>يشجع</w:t>
      </w:r>
      <w:r w:rsidRPr="00EA05CA">
        <w:rPr>
          <w:rtl/>
        </w:rPr>
        <w:t xml:space="preserve"> </w:t>
      </w:r>
      <w:r w:rsidRPr="00EA05CA">
        <w:rPr>
          <w:i/>
          <w:iCs/>
          <w:rtl/>
        </w:rPr>
        <w:t>مرة أخرى بقوة</w:t>
      </w:r>
      <w:r w:rsidRPr="00EA05CA">
        <w:rPr>
          <w:rtl/>
        </w:rPr>
        <w:t xml:space="preserve"> حكومة بيلاروس على إنشاء مؤسسة وطنية لحقوق الإنسان وفقاً للمبادئ المتعلقة بمركز المؤسسات الوطنية لتعزيز وحماية حقوق الإنسان (مبادئ باريس)، وعلى المشاركة بنشاط في تنفيذ خطة التنمية المستدامة لعام 2030</w:t>
      </w:r>
      <w:r>
        <w:rPr>
          <w:vertAlign w:val="superscript"/>
          <w:rtl/>
        </w:rPr>
        <w:t>(</w:t>
      </w:r>
      <w:r>
        <w:rPr>
          <w:rStyle w:val="FootnoteReference"/>
          <w:rtl/>
        </w:rPr>
        <w:footnoteReference w:id="2"/>
      </w:r>
      <w:r>
        <w:rPr>
          <w:vertAlign w:val="superscript"/>
          <w:rtl/>
        </w:rPr>
        <w:t>)</w:t>
      </w:r>
      <w:r w:rsidRPr="00EA05CA">
        <w:rPr>
          <w:rtl/>
        </w:rPr>
        <w:t xml:space="preserve">؛ </w:t>
      </w:r>
    </w:p>
    <w:p w:rsidR="00622D5B" w:rsidRPr="00EA05CA" w:rsidRDefault="00622D5B" w:rsidP="00754AA3">
      <w:pPr>
        <w:pStyle w:val="SingleTxtGA"/>
      </w:pPr>
      <w:r>
        <w:rPr>
          <w:rtl/>
        </w:rPr>
        <w:tab/>
        <w:t>١١-</w:t>
      </w:r>
      <w:r>
        <w:rPr>
          <w:rtl/>
        </w:rPr>
        <w:tab/>
      </w:r>
      <w:r w:rsidRPr="00EA05CA">
        <w:rPr>
          <w:i/>
          <w:iCs/>
          <w:rtl/>
        </w:rPr>
        <w:t>يقرر</w:t>
      </w:r>
      <w:r w:rsidRPr="00EA05CA">
        <w:rPr>
          <w:rtl/>
        </w:rPr>
        <w:t xml:space="preserve"> تمديد ولاية المقرر الخاص المعني بحالة حقوق الإنسان في بيلاروس لمدة سنة، ويطلب إلى المقرر الخاص أن يقدم تقريراً عن حالة حقوق الإنسان في بيلاروس إلى مجلس حقوق الإنسان في دورته الثامنة والثلاثين، وإلى الجمعية العامة في دورتها الثالثة والسبعين؛</w:t>
      </w:r>
    </w:p>
    <w:p w:rsidR="00622D5B" w:rsidRPr="00EA05CA" w:rsidRDefault="00622D5B" w:rsidP="00754AA3">
      <w:pPr>
        <w:pStyle w:val="SingleTxtGA"/>
      </w:pPr>
      <w:r>
        <w:rPr>
          <w:rtl/>
        </w:rPr>
        <w:tab/>
        <w:t>١٢-</w:t>
      </w:r>
      <w:r>
        <w:rPr>
          <w:rtl/>
        </w:rPr>
        <w:tab/>
      </w:r>
      <w:r w:rsidRPr="00EA05CA">
        <w:rPr>
          <w:i/>
          <w:iCs/>
          <w:rtl/>
        </w:rPr>
        <w:t>يحث</w:t>
      </w:r>
      <w:r w:rsidRPr="00EA05CA">
        <w:rPr>
          <w:rtl/>
        </w:rPr>
        <w:t xml:space="preserve"> حكومة بيلاروس على التعاون مع المقرر الخاص تعاوناً كاملاً، بطرق منها السماح له بزيارة البلد بغية مساعدة الحكومة على الوفاء بالتزاماتها الدولية في مجال حقوق الإنسان والنظر في تنفيذ توصياته، ويحث الحكومة أيضاً على التعاون تعاوناً كاملاً مع المكلفين بولايات في إطار الإجراءات الخاصة المواضيعية؛</w:t>
      </w:r>
    </w:p>
    <w:p w:rsidR="00622D5B" w:rsidRDefault="00622D5B" w:rsidP="00754AA3">
      <w:pPr>
        <w:pStyle w:val="SingleTxtGA"/>
        <w:rPr>
          <w:rtl/>
        </w:rPr>
      </w:pPr>
      <w:r>
        <w:rPr>
          <w:rtl/>
        </w:rPr>
        <w:tab/>
        <w:t>١٣-</w:t>
      </w:r>
      <w:r>
        <w:rPr>
          <w:rtl/>
        </w:rPr>
        <w:tab/>
      </w:r>
      <w:r w:rsidRPr="00EA05CA">
        <w:rPr>
          <w:i/>
          <w:iCs/>
          <w:rtl/>
        </w:rPr>
        <w:t>يطلب</w:t>
      </w:r>
      <w:r w:rsidRPr="00EA05CA">
        <w:rPr>
          <w:rtl/>
        </w:rPr>
        <w:t xml:space="preserve"> إلى مفوضية الأمم المتحدة السامية لحقوق الإنسان أن توفر للمقرر الخاص المساعدة والموارد اللازمة لتمكينه من الاضطلاع بولايته، ويطلب إلى المقرر الخاص مواصلة رصد التطورات وتقديم التوصيات.</w:t>
      </w:r>
      <w:r w:rsidR="00710415">
        <w:rPr>
          <w:rFonts w:hint="cs"/>
          <w:rtl/>
        </w:rPr>
        <w:t xml:space="preserve"> </w:t>
      </w:r>
    </w:p>
    <w:p w:rsidR="00622D5B" w:rsidRPr="00754AA3" w:rsidRDefault="00622D5B" w:rsidP="00754AA3">
      <w:pPr>
        <w:pStyle w:val="SingleTxtGA"/>
        <w:bidi w:val="0"/>
        <w:spacing w:after="0"/>
        <w:rPr>
          <w:i/>
          <w:iCs/>
        </w:rPr>
      </w:pPr>
      <w:r w:rsidRPr="00754AA3">
        <w:rPr>
          <w:rFonts w:hint="cs"/>
          <w:i/>
          <w:iCs/>
          <w:rtl/>
        </w:rPr>
        <w:t>الجلسة 37</w:t>
      </w:r>
    </w:p>
    <w:p w:rsidR="00622D5B" w:rsidRPr="00754AA3" w:rsidRDefault="00622D5B" w:rsidP="00754AA3">
      <w:pPr>
        <w:pStyle w:val="SingleTxtGA"/>
        <w:bidi w:val="0"/>
        <w:rPr>
          <w:i/>
          <w:iCs/>
        </w:rPr>
      </w:pPr>
      <w:r w:rsidRPr="00754AA3">
        <w:rPr>
          <w:rFonts w:hint="cs"/>
          <w:i/>
          <w:iCs/>
          <w:rtl/>
        </w:rPr>
        <w:t>23حزيران/يونيه 2017</w:t>
      </w:r>
    </w:p>
    <w:p w:rsidR="00622D5B" w:rsidRDefault="00622D5B" w:rsidP="00754AA3">
      <w:pPr>
        <w:pStyle w:val="SingleTxtGA"/>
        <w:rPr>
          <w:rtl/>
        </w:rPr>
      </w:pPr>
      <w:r>
        <w:rPr>
          <w:rFonts w:hint="cs"/>
          <w:rtl/>
        </w:rPr>
        <w:t xml:space="preserve">[اعتُمد </w:t>
      </w:r>
      <w:r w:rsidRPr="00085BED">
        <w:rPr>
          <w:rFonts w:hint="cs"/>
          <w:rtl/>
        </w:rPr>
        <w:t xml:space="preserve">بتصويت مسجل بأغلبية </w:t>
      </w:r>
      <w:r>
        <w:rPr>
          <w:rFonts w:hint="cs"/>
          <w:rtl/>
        </w:rPr>
        <w:t>18</w:t>
      </w:r>
      <w:r w:rsidRPr="00085BED">
        <w:rPr>
          <w:rFonts w:hint="cs"/>
          <w:rtl/>
        </w:rPr>
        <w:t xml:space="preserve"> صوتاً مقابل </w:t>
      </w:r>
      <w:r>
        <w:rPr>
          <w:rFonts w:hint="cs"/>
          <w:rtl/>
        </w:rPr>
        <w:t>8</w:t>
      </w:r>
      <w:r w:rsidRPr="00085BED">
        <w:rPr>
          <w:rFonts w:hint="cs"/>
          <w:rtl/>
        </w:rPr>
        <w:t xml:space="preserve"> </w:t>
      </w:r>
      <w:r>
        <w:rPr>
          <w:rFonts w:hint="cs"/>
          <w:rtl/>
        </w:rPr>
        <w:t>أصوات</w:t>
      </w:r>
      <w:r w:rsidRPr="00085BED">
        <w:rPr>
          <w:rFonts w:hint="cs"/>
          <w:rtl/>
        </w:rPr>
        <w:t xml:space="preserve">، وامتناع </w:t>
      </w:r>
      <w:r>
        <w:rPr>
          <w:rFonts w:hint="cs"/>
          <w:rtl/>
        </w:rPr>
        <w:t>21</w:t>
      </w:r>
      <w:r w:rsidRPr="00085BED">
        <w:rPr>
          <w:rFonts w:hint="cs"/>
          <w:rtl/>
        </w:rPr>
        <w:t xml:space="preserve"> </w:t>
      </w:r>
      <w:r>
        <w:rPr>
          <w:rFonts w:hint="cs"/>
          <w:rtl/>
        </w:rPr>
        <w:t>عضواً</w:t>
      </w:r>
      <w:r w:rsidRPr="00085BED">
        <w:rPr>
          <w:rFonts w:hint="cs"/>
          <w:rtl/>
        </w:rPr>
        <w:t xml:space="preserve"> عن التصويت</w:t>
      </w:r>
      <w:r>
        <w:rPr>
          <w:rFonts w:hint="cs"/>
          <w:rtl/>
        </w:rPr>
        <w:t>.</w:t>
      </w:r>
      <w:r w:rsidRPr="00085BED">
        <w:rPr>
          <w:rFonts w:hint="cs"/>
          <w:rtl/>
        </w:rPr>
        <w:t xml:space="preserve"> </w:t>
      </w:r>
      <w:r>
        <w:rPr>
          <w:rFonts w:hint="cs"/>
          <w:rtl/>
        </w:rPr>
        <w:t>وكانت نتيجة</w:t>
      </w:r>
      <w:r w:rsidRPr="00085BED">
        <w:rPr>
          <w:rFonts w:hint="cs"/>
          <w:rtl/>
        </w:rPr>
        <w:t xml:space="preserve"> التصويت </w:t>
      </w:r>
      <w:r>
        <w:rPr>
          <w:rFonts w:hint="cs"/>
          <w:rtl/>
        </w:rPr>
        <w:t>كما يلي</w:t>
      </w:r>
      <w:r w:rsidRPr="00085BED">
        <w:rPr>
          <w:rFonts w:hint="cs"/>
          <w:rtl/>
        </w:rPr>
        <w:t>:</w:t>
      </w:r>
    </w:p>
    <w:p w:rsidR="00622D5B" w:rsidRDefault="00552270" w:rsidP="00552270">
      <w:pPr>
        <w:pStyle w:val="SingleTxtGA"/>
        <w:tabs>
          <w:tab w:val="clear" w:pos="2608"/>
        </w:tabs>
        <w:rPr>
          <w:i/>
          <w:iCs/>
          <w:rtl/>
        </w:rPr>
      </w:pPr>
      <w:r>
        <w:rPr>
          <w:i/>
          <w:iCs/>
          <w:rtl/>
        </w:rPr>
        <w:tab/>
      </w:r>
      <w:r w:rsidR="00622D5B" w:rsidRPr="00085BED">
        <w:rPr>
          <w:rFonts w:hint="cs"/>
          <w:i/>
          <w:iCs/>
          <w:rtl/>
        </w:rPr>
        <w:t>المؤيدون:</w:t>
      </w:r>
    </w:p>
    <w:p w:rsidR="00622D5B" w:rsidRPr="00710415" w:rsidRDefault="00622D5B" w:rsidP="00622D5B">
      <w:pPr>
        <w:pStyle w:val="SingleTxtGA"/>
        <w:ind w:left="2821"/>
        <w:rPr>
          <w:rtl/>
        </w:rPr>
      </w:pPr>
      <w:r>
        <w:rPr>
          <w:rFonts w:hint="cs"/>
          <w:rtl/>
        </w:rPr>
        <w:t>ألبانيا، ألمانيا،</w:t>
      </w:r>
      <w:r w:rsidRPr="00B546AA">
        <w:rPr>
          <w:rFonts w:hint="cs"/>
          <w:rtl/>
        </w:rPr>
        <w:t xml:space="preserve"> </w:t>
      </w:r>
      <w:r>
        <w:rPr>
          <w:rFonts w:hint="cs"/>
          <w:rtl/>
        </w:rPr>
        <w:t>باراغواي،</w:t>
      </w:r>
      <w:r w:rsidRPr="00B546AA">
        <w:rPr>
          <w:rFonts w:hint="cs"/>
          <w:rtl/>
        </w:rPr>
        <w:t xml:space="preserve"> </w:t>
      </w:r>
      <w:r>
        <w:rPr>
          <w:rFonts w:hint="cs"/>
          <w:rtl/>
        </w:rPr>
        <w:t>البرازيل،</w:t>
      </w:r>
      <w:r w:rsidRPr="00B546AA">
        <w:rPr>
          <w:rFonts w:hint="eastAsia"/>
          <w:rtl/>
        </w:rPr>
        <w:t xml:space="preserve"> </w:t>
      </w:r>
      <w:r w:rsidRPr="009B1F5F">
        <w:rPr>
          <w:rFonts w:hint="eastAsia"/>
          <w:rtl/>
        </w:rPr>
        <w:t>البرتغال</w:t>
      </w:r>
      <w:r>
        <w:rPr>
          <w:rFonts w:hint="cs"/>
          <w:rtl/>
        </w:rPr>
        <w:t xml:space="preserve">، </w:t>
      </w:r>
      <w:r w:rsidRPr="00085BED">
        <w:rPr>
          <w:rFonts w:hint="cs"/>
          <w:rtl/>
        </w:rPr>
        <w:t>بلجيكا</w:t>
      </w:r>
      <w:r>
        <w:rPr>
          <w:rFonts w:hint="cs"/>
          <w:rtl/>
        </w:rPr>
        <w:t>،</w:t>
      </w:r>
      <w:r w:rsidRPr="00B546AA">
        <w:rPr>
          <w:rFonts w:hint="cs"/>
          <w:rtl/>
        </w:rPr>
        <w:t xml:space="preserve"> </w:t>
      </w:r>
      <w:r>
        <w:rPr>
          <w:rFonts w:hint="cs"/>
          <w:rtl/>
        </w:rPr>
        <w:t>بنما،</w:t>
      </w:r>
      <w:r w:rsidRPr="00085BED">
        <w:rPr>
          <w:rFonts w:hint="cs"/>
          <w:rtl/>
        </w:rPr>
        <w:t xml:space="preserve"> </w:t>
      </w:r>
      <w:r>
        <w:rPr>
          <w:rFonts w:hint="cs"/>
          <w:rtl/>
        </w:rPr>
        <w:t xml:space="preserve">جمهورية كوريا، </w:t>
      </w:r>
      <w:r w:rsidRPr="00085BED">
        <w:rPr>
          <w:rFonts w:hint="cs"/>
          <w:rtl/>
        </w:rPr>
        <w:t>سلوفينيا</w:t>
      </w:r>
      <w:r>
        <w:rPr>
          <w:rFonts w:hint="cs"/>
          <w:rtl/>
        </w:rPr>
        <w:t>،</w:t>
      </w:r>
      <w:r w:rsidRPr="00B546AA">
        <w:rPr>
          <w:rFonts w:hint="cs"/>
          <w:rtl/>
        </w:rPr>
        <w:t xml:space="preserve"> </w:t>
      </w:r>
      <w:r>
        <w:rPr>
          <w:rFonts w:hint="cs"/>
          <w:rtl/>
        </w:rPr>
        <w:t>سويسرا،</w:t>
      </w:r>
      <w:r w:rsidRPr="00085BED">
        <w:rPr>
          <w:rFonts w:hint="cs"/>
          <w:rtl/>
        </w:rPr>
        <w:t xml:space="preserve"> </w:t>
      </w:r>
      <w:r>
        <w:rPr>
          <w:rFonts w:hint="cs"/>
          <w:rtl/>
        </w:rPr>
        <w:t>غانا، كرواتيا، لاتفيا،</w:t>
      </w:r>
      <w:r w:rsidRPr="00085BED">
        <w:rPr>
          <w:rFonts w:hint="cs"/>
          <w:rtl/>
        </w:rPr>
        <w:t xml:space="preserve"> المملكة المتحدة لبريطانيا العظمى وآيرلندا الشمالية،</w:t>
      </w:r>
      <w:r>
        <w:rPr>
          <w:rFonts w:hint="cs"/>
          <w:rtl/>
        </w:rPr>
        <w:t xml:space="preserve"> هنغاريا،</w:t>
      </w:r>
      <w:r w:rsidRPr="00085BED">
        <w:rPr>
          <w:rFonts w:hint="cs"/>
          <w:rtl/>
        </w:rPr>
        <w:t xml:space="preserve"> هولندا، الولايات المتحدة الأمريكية، اليابان</w:t>
      </w:r>
    </w:p>
    <w:p w:rsidR="00622D5B" w:rsidRPr="00085BED" w:rsidRDefault="00552270" w:rsidP="00552270">
      <w:pPr>
        <w:pStyle w:val="SingleTxtGA"/>
        <w:tabs>
          <w:tab w:val="clear" w:pos="2608"/>
        </w:tabs>
        <w:rPr>
          <w:i/>
          <w:iCs/>
          <w:rtl/>
        </w:rPr>
      </w:pPr>
      <w:r>
        <w:rPr>
          <w:i/>
          <w:iCs/>
          <w:rtl/>
        </w:rPr>
        <w:tab/>
      </w:r>
      <w:r w:rsidR="00622D5B" w:rsidRPr="00085BED">
        <w:rPr>
          <w:rFonts w:hint="cs"/>
          <w:i/>
          <w:iCs/>
          <w:rtl/>
        </w:rPr>
        <w:t>المعارضون:</w:t>
      </w:r>
    </w:p>
    <w:p w:rsidR="00622D5B" w:rsidRPr="00085BED" w:rsidRDefault="00622D5B" w:rsidP="00622D5B">
      <w:pPr>
        <w:pStyle w:val="SingleTxtGA"/>
        <w:tabs>
          <w:tab w:val="clear" w:pos="2608"/>
        </w:tabs>
        <w:ind w:left="2821"/>
        <w:rPr>
          <w:rtl/>
        </w:rPr>
      </w:pPr>
      <w:r>
        <w:rPr>
          <w:rFonts w:hint="cs"/>
          <w:rtl/>
        </w:rPr>
        <w:t>بوروندي،</w:t>
      </w:r>
      <w:r w:rsidRPr="00085BED">
        <w:rPr>
          <w:rtl/>
        </w:rPr>
        <w:t xml:space="preserve"> بوليفيا (دولة - المتعددة القوميات</w:t>
      </w:r>
      <w:r>
        <w:rPr>
          <w:rFonts w:hint="cs"/>
          <w:rtl/>
        </w:rPr>
        <w:t xml:space="preserve">)، </w:t>
      </w:r>
      <w:r w:rsidRPr="00085BED">
        <w:rPr>
          <w:rtl/>
        </w:rPr>
        <w:t>الصي</w:t>
      </w:r>
      <w:r>
        <w:rPr>
          <w:rFonts w:hint="cs"/>
          <w:rtl/>
        </w:rPr>
        <w:t>ن،</w:t>
      </w:r>
      <w:r w:rsidRPr="00085BED">
        <w:rPr>
          <w:rtl/>
        </w:rPr>
        <w:t xml:space="preserve"> </w:t>
      </w:r>
      <w:r>
        <w:rPr>
          <w:rFonts w:hint="cs"/>
          <w:rtl/>
        </w:rPr>
        <w:t>الفلبين، فنزويلا (جمهورية</w:t>
      </w:r>
      <w:r w:rsidR="00754AA3">
        <w:rPr>
          <w:rFonts w:hint="cs"/>
          <w:rtl/>
        </w:rPr>
        <w:t xml:space="preserve"> </w:t>
      </w:r>
      <w:r>
        <w:rPr>
          <w:rFonts w:hint="cs"/>
          <w:rtl/>
        </w:rPr>
        <w:t>-</w:t>
      </w:r>
      <w:r w:rsidR="00754AA3">
        <w:rPr>
          <w:rFonts w:hint="cs"/>
          <w:rtl/>
        </w:rPr>
        <w:t xml:space="preserve"> </w:t>
      </w:r>
      <w:r>
        <w:rPr>
          <w:rFonts w:hint="cs"/>
          <w:rtl/>
        </w:rPr>
        <w:t>البوليفارية)،</w:t>
      </w:r>
      <w:r w:rsidRPr="00085BED">
        <w:rPr>
          <w:rtl/>
        </w:rPr>
        <w:t xml:space="preserve"> </w:t>
      </w:r>
      <w:r>
        <w:rPr>
          <w:rFonts w:hint="cs"/>
          <w:rtl/>
        </w:rPr>
        <w:t>كوبا،</w:t>
      </w:r>
      <w:r w:rsidRPr="002A524D">
        <w:rPr>
          <w:rtl/>
        </w:rPr>
        <w:t xml:space="preserve"> </w:t>
      </w:r>
      <w:r w:rsidRPr="00085BED">
        <w:rPr>
          <w:rtl/>
        </w:rPr>
        <w:t>مص</w:t>
      </w:r>
      <w:r>
        <w:rPr>
          <w:rFonts w:hint="cs"/>
          <w:rtl/>
        </w:rPr>
        <w:t xml:space="preserve">ر، </w:t>
      </w:r>
      <w:r w:rsidRPr="00085BED">
        <w:rPr>
          <w:rtl/>
        </w:rPr>
        <w:t>الهند</w:t>
      </w:r>
    </w:p>
    <w:p w:rsidR="00622D5B" w:rsidRDefault="00622D5B" w:rsidP="003B466F">
      <w:pPr>
        <w:pStyle w:val="SingleTxtGA"/>
        <w:keepNext/>
        <w:tabs>
          <w:tab w:val="clear" w:pos="2608"/>
        </w:tabs>
        <w:rPr>
          <w:rtl/>
        </w:rPr>
      </w:pPr>
      <w:r>
        <w:rPr>
          <w:i/>
          <w:iCs/>
          <w:rtl/>
        </w:rPr>
        <w:lastRenderedPageBreak/>
        <w:tab/>
      </w:r>
      <w:r w:rsidRPr="00085BED">
        <w:rPr>
          <w:rFonts w:hint="cs"/>
          <w:i/>
          <w:iCs/>
          <w:rtl/>
        </w:rPr>
        <w:t>الممتنعون:</w:t>
      </w:r>
      <w:r w:rsidRPr="009B1F5F">
        <w:rPr>
          <w:rtl/>
        </w:rPr>
        <w:t xml:space="preserve"> </w:t>
      </w:r>
    </w:p>
    <w:p w:rsidR="00622D5B" w:rsidRPr="00085BED" w:rsidRDefault="00622D5B" w:rsidP="00622D5B">
      <w:pPr>
        <w:pStyle w:val="SingleTxtGA"/>
        <w:tabs>
          <w:tab w:val="clear" w:pos="2608"/>
        </w:tabs>
        <w:ind w:left="2821"/>
        <w:rPr>
          <w:rtl/>
        </w:rPr>
      </w:pPr>
      <w:r>
        <w:rPr>
          <w:rFonts w:hint="cs"/>
          <w:rtl/>
        </w:rPr>
        <w:t xml:space="preserve">إثيوبيا، إكوادور، الإمارات العربية المتحدة، </w:t>
      </w:r>
      <w:r w:rsidRPr="00085BED">
        <w:rPr>
          <w:rtl/>
        </w:rPr>
        <w:t>إندونيسي</w:t>
      </w:r>
      <w:r>
        <w:rPr>
          <w:rFonts w:hint="cs"/>
          <w:rtl/>
        </w:rPr>
        <w:t>ا،</w:t>
      </w:r>
      <w:r w:rsidRPr="00085BED">
        <w:rPr>
          <w:rtl/>
        </w:rPr>
        <w:t xml:space="preserve"> </w:t>
      </w:r>
      <w:r>
        <w:rPr>
          <w:rtl/>
        </w:rPr>
        <w:t>بنغلادي</w:t>
      </w:r>
      <w:r>
        <w:rPr>
          <w:rFonts w:hint="cs"/>
          <w:rtl/>
        </w:rPr>
        <w:t xml:space="preserve">ش، </w:t>
      </w:r>
      <w:r w:rsidRPr="00085BED">
        <w:rPr>
          <w:rtl/>
        </w:rPr>
        <w:t>بو</w:t>
      </w:r>
      <w:r>
        <w:rPr>
          <w:rFonts w:hint="cs"/>
          <w:rtl/>
        </w:rPr>
        <w:t xml:space="preserve">تسوانا، توغو، تونس، </w:t>
      </w:r>
      <w:r w:rsidRPr="00085BED">
        <w:rPr>
          <w:rtl/>
        </w:rPr>
        <w:t>جنوب أفريقي</w:t>
      </w:r>
      <w:r>
        <w:rPr>
          <w:rFonts w:hint="cs"/>
          <w:rtl/>
        </w:rPr>
        <w:t>ا،</w:t>
      </w:r>
      <w:r w:rsidRPr="002A524D">
        <w:rPr>
          <w:rFonts w:hint="cs"/>
          <w:rtl/>
        </w:rPr>
        <w:t xml:space="preserve"> </w:t>
      </w:r>
      <w:r>
        <w:rPr>
          <w:rFonts w:hint="cs"/>
          <w:rtl/>
        </w:rPr>
        <w:t>جورجيا،</w:t>
      </w:r>
      <w:r w:rsidRPr="00085BED">
        <w:rPr>
          <w:rtl/>
        </w:rPr>
        <w:t xml:space="preserve"> </w:t>
      </w:r>
      <w:r>
        <w:rPr>
          <w:rFonts w:hint="cs"/>
          <w:rtl/>
        </w:rPr>
        <w:t>رواندا،</w:t>
      </w:r>
      <w:r w:rsidRPr="00085BED">
        <w:rPr>
          <w:rtl/>
        </w:rPr>
        <w:t xml:space="preserve"> الس</w:t>
      </w:r>
      <w:r>
        <w:rPr>
          <w:rFonts w:hint="cs"/>
          <w:rtl/>
        </w:rPr>
        <w:t>لفادور،</w:t>
      </w:r>
      <w:r w:rsidRPr="00085BED">
        <w:rPr>
          <w:rtl/>
        </w:rPr>
        <w:t xml:space="preserve"> </w:t>
      </w:r>
      <w:r>
        <w:rPr>
          <w:rFonts w:hint="cs"/>
          <w:rtl/>
        </w:rPr>
        <w:t>العراق،</w:t>
      </w:r>
      <w:r w:rsidRPr="00085BED">
        <w:rPr>
          <w:rtl/>
        </w:rPr>
        <w:t xml:space="preserve"> </w:t>
      </w:r>
      <w:r>
        <w:rPr>
          <w:rFonts w:hint="cs"/>
          <w:rtl/>
        </w:rPr>
        <w:t>قطر،</w:t>
      </w:r>
      <w:r w:rsidRPr="00085BED">
        <w:rPr>
          <w:rtl/>
        </w:rPr>
        <w:t xml:space="preserve"> </w:t>
      </w:r>
      <w:r>
        <w:rPr>
          <w:rFonts w:hint="cs"/>
          <w:rtl/>
        </w:rPr>
        <w:t xml:space="preserve">قيرغيزستان، كوت ديفوار، الكونغو، كينيا، </w:t>
      </w:r>
      <w:r w:rsidRPr="00085BED">
        <w:rPr>
          <w:rtl/>
        </w:rPr>
        <w:t>المملكة العربية السعودي</w:t>
      </w:r>
      <w:r>
        <w:rPr>
          <w:rFonts w:hint="cs"/>
          <w:rtl/>
        </w:rPr>
        <w:t>ة،</w:t>
      </w:r>
      <w:r w:rsidRPr="00085BED">
        <w:rPr>
          <w:rtl/>
        </w:rPr>
        <w:t xml:space="preserve"> م</w:t>
      </w:r>
      <w:r>
        <w:rPr>
          <w:rFonts w:hint="cs"/>
          <w:rtl/>
        </w:rPr>
        <w:t xml:space="preserve">نغوليا، </w:t>
      </w:r>
      <w:r w:rsidRPr="00085BED">
        <w:rPr>
          <w:rtl/>
        </w:rPr>
        <w:t>نيجيري</w:t>
      </w:r>
      <w:r>
        <w:rPr>
          <w:rFonts w:hint="cs"/>
          <w:rtl/>
        </w:rPr>
        <w:t>ا.</w:t>
      </w:r>
      <w:r w:rsidR="003B466F">
        <w:rPr>
          <w:rFonts w:hint="cs"/>
          <w:rtl/>
        </w:rPr>
        <w:t>]</w:t>
      </w:r>
    </w:p>
    <w:p w:rsidR="00622D5B" w:rsidRPr="00EA05CA" w:rsidRDefault="00622D5B" w:rsidP="00622D5B">
      <w:pPr>
        <w:spacing w:before="120"/>
        <w:jc w:val="center"/>
        <w:rPr>
          <w:u w:val="single"/>
          <w:rtl/>
        </w:rPr>
      </w:pPr>
      <w:r>
        <w:rPr>
          <w:u w:val="single"/>
          <w:rtl/>
        </w:rPr>
        <w:tab/>
      </w:r>
      <w:r>
        <w:rPr>
          <w:u w:val="single"/>
          <w:rtl/>
        </w:rPr>
        <w:tab/>
      </w:r>
      <w:r>
        <w:rPr>
          <w:u w:val="single"/>
          <w:rtl/>
        </w:rPr>
        <w:tab/>
      </w:r>
    </w:p>
    <w:sectPr w:rsidR="00622D5B" w:rsidRPr="00EA05CA" w:rsidSect="007D7C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FB0" w:rsidRPr="002901D9" w:rsidRDefault="00126FB0" w:rsidP="002901D9">
      <w:pPr>
        <w:spacing w:after="60" w:line="240" w:lineRule="auto"/>
        <w:rPr>
          <w:i/>
          <w:iCs/>
        </w:rPr>
      </w:pPr>
      <w:r>
        <w:rPr>
          <w:rFonts w:hint="cs"/>
          <w:i/>
          <w:iCs/>
          <w:rtl/>
        </w:rPr>
        <w:t>الحواشي</w:t>
      </w:r>
    </w:p>
  </w:endnote>
  <w:endnote w:type="continuationSeparator" w:id="0">
    <w:p w:rsidR="00126FB0" w:rsidRDefault="00126F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4B" w:rsidRPr="00622D5B" w:rsidRDefault="00622D5B" w:rsidP="00622D5B">
    <w:pPr>
      <w:pStyle w:val="Footer"/>
      <w:tabs>
        <w:tab w:val="right" w:pos="9598"/>
      </w:tabs>
      <w:rPr>
        <w:sz w:val="17"/>
      </w:rPr>
    </w:pPr>
    <w:r>
      <w:rPr>
        <w:sz w:val="17"/>
      </w:rPr>
      <w:t>GE.17-11595</w:t>
    </w:r>
    <w:r>
      <w:rPr>
        <w:sz w:val="17"/>
      </w:rPr>
      <w:tab/>
    </w:r>
    <w:r w:rsidRPr="00622D5B">
      <w:rPr>
        <w:b/>
        <w:sz w:val="18"/>
      </w:rPr>
      <w:fldChar w:fldCharType="begin"/>
    </w:r>
    <w:r w:rsidRPr="00622D5B">
      <w:rPr>
        <w:b/>
        <w:sz w:val="18"/>
      </w:rPr>
      <w:instrText xml:space="preserve"> PAGE  \* MERGEFORMAT </w:instrText>
    </w:r>
    <w:r w:rsidRPr="00622D5B">
      <w:rPr>
        <w:b/>
        <w:sz w:val="18"/>
      </w:rPr>
      <w:fldChar w:fldCharType="separate"/>
    </w:r>
    <w:r w:rsidR="00DF49C2">
      <w:rPr>
        <w:b/>
        <w:noProof/>
        <w:sz w:val="18"/>
      </w:rPr>
      <w:t>4</w:t>
    </w:r>
    <w:r w:rsidRPr="00622D5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22D5B" w:rsidRDefault="00622D5B" w:rsidP="006959B0">
    <w:pPr>
      <w:pStyle w:val="Footer"/>
      <w:tabs>
        <w:tab w:val="right" w:pos="9599"/>
      </w:tabs>
      <w:jc w:val="left"/>
      <w:rPr>
        <w:b/>
        <w:sz w:val="18"/>
        <w:lang w:val="en-US"/>
      </w:rPr>
    </w:pPr>
    <w:r w:rsidRPr="00622D5B">
      <w:rPr>
        <w:b/>
        <w:sz w:val="18"/>
        <w:lang w:val="en-US"/>
      </w:rPr>
      <w:fldChar w:fldCharType="begin"/>
    </w:r>
    <w:r w:rsidRPr="00622D5B">
      <w:rPr>
        <w:b/>
        <w:sz w:val="18"/>
        <w:lang w:val="en-US"/>
      </w:rPr>
      <w:instrText xml:space="preserve"> PAGE  \* MERGEFORMAT </w:instrText>
    </w:r>
    <w:r w:rsidRPr="00622D5B">
      <w:rPr>
        <w:b/>
        <w:sz w:val="18"/>
        <w:lang w:val="en-US"/>
      </w:rPr>
      <w:fldChar w:fldCharType="separate"/>
    </w:r>
    <w:r w:rsidR="00DF49C2">
      <w:rPr>
        <w:b/>
        <w:noProof/>
        <w:sz w:val="18"/>
        <w:lang w:val="en-US"/>
      </w:rPr>
      <w:t>3</w:t>
    </w:r>
    <w:r w:rsidRPr="00622D5B">
      <w:rPr>
        <w:b/>
        <w:sz w:val="18"/>
        <w:lang w:val="en-US"/>
      </w:rPr>
      <w:fldChar w:fldCharType="end"/>
    </w:r>
    <w:r>
      <w:rPr>
        <w:b/>
        <w:sz w:val="18"/>
        <w:lang w:val="en-US"/>
      </w:rPr>
      <w:tab/>
    </w:r>
    <w:r>
      <w:rPr>
        <w:sz w:val="17"/>
        <w:lang w:val="en-US"/>
      </w:rPr>
      <w:t>GE.17-11595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7D7C4B" w:rsidP="00F6741C">
    <w:pPr>
      <w:pStyle w:val="Footer"/>
      <w:spacing w:before="360"/>
      <w:jc w:val="right"/>
      <w:rPr>
        <w:sz w:val="20"/>
        <w:szCs w:val="20"/>
      </w:rPr>
    </w:pPr>
    <w:r>
      <w:rPr>
        <w:sz w:val="20"/>
        <w:szCs w:val="20"/>
      </w:rPr>
      <w:t>GE.17-11595</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D7C4B" w:rsidRPr="007D7C4B" w:rsidRDefault="007D7C4B" w:rsidP="007D7C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FB0" w:rsidRPr="0054762C" w:rsidRDefault="00126FB0" w:rsidP="000E524A">
      <w:pPr>
        <w:pStyle w:val="Footer"/>
        <w:bidi/>
        <w:spacing w:after="80" w:line="200" w:lineRule="exact"/>
        <w:ind w:left="680"/>
      </w:pPr>
      <w:r>
        <w:rPr>
          <w:rtl/>
        </w:rPr>
        <w:t>__________</w:t>
      </w:r>
    </w:p>
  </w:footnote>
  <w:footnote w:type="continuationSeparator" w:id="0">
    <w:p w:rsidR="00126FB0" w:rsidRDefault="00126FB0" w:rsidP="00656392">
      <w:pPr>
        <w:spacing w:line="240" w:lineRule="auto"/>
      </w:pPr>
      <w:r>
        <w:continuationSeparator/>
      </w:r>
    </w:p>
  </w:footnote>
  <w:footnote w:id="1">
    <w:p w:rsidR="00622D5B" w:rsidRPr="004D546E" w:rsidRDefault="00622D5B" w:rsidP="00A349F9">
      <w:pPr>
        <w:pStyle w:val="FootnoteText1"/>
        <w:spacing w:line="240" w:lineRule="exact"/>
        <w:rPr>
          <w:rtl/>
          <w:lang w:bidi="ar-DZ"/>
        </w:rPr>
      </w:pPr>
      <w:r w:rsidRPr="004D546E">
        <w:rPr>
          <w:rtl/>
        </w:rPr>
        <w:t>(</w:t>
      </w:r>
      <w:r w:rsidRPr="004D546E">
        <w:rPr>
          <w:rtl/>
        </w:rPr>
        <w:footnoteRef/>
      </w:r>
      <w:r w:rsidRPr="004D546E">
        <w:rPr>
          <w:rtl/>
        </w:rPr>
        <w:t>)</w:t>
      </w:r>
      <w:r w:rsidRPr="004D546E">
        <w:rPr>
          <w:rtl/>
        </w:rPr>
        <w:tab/>
      </w:r>
      <w:r w:rsidRPr="004D546E">
        <w:t>A/HRC/35/40</w:t>
      </w:r>
      <w:r>
        <w:rPr>
          <w:rFonts w:hint="cs"/>
          <w:rtl/>
        </w:rPr>
        <w:t>.</w:t>
      </w:r>
      <w:r w:rsidR="00A349F9">
        <w:rPr>
          <w:rFonts w:hint="cs"/>
          <w:rtl/>
          <w:lang w:bidi="ar-DZ"/>
        </w:rPr>
        <w:t xml:space="preserve"> </w:t>
      </w:r>
    </w:p>
  </w:footnote>
  <w:footnote w:id="2">
    <w:p w:rsidR="00622D5B" w:rsidRPr="004D546E" w:rsidRDefault="00622D5B" w:rsidP="00622D5B">
      <w:pPr>
        <w:pStyle w:val="FootnoteText1"/>
        <w:rPr>
          <w:rtl/>
        </w:rPr>
      </w:pPr>
      <w:r w:rsidRPr="004D546E">
        <w:rPr>
          <w:rtl/>
        </w:rPr>
        <w:t>(</w:t>
      </w:r>
      <w:r w:rsidRPr="004D546E">
        <w:rPr>
          <w:rtl/>
        </w:rPr>
        <w:footnoteRef/>
      </w:r>
      <w:r w:rsidRPr="004D546E">
        <w:rPr>
          <w:rtl/>
        </w:rPr>
        <w:t>)</w:t>
      </w:r>
      <w:r w:rsidRPr="004D546E">
        <w:rPr>
          <w:rtl/>
        </w:rPr>
        <w:tab/>
        <w:t>قرار الجمعية العامة 70/1.</w:t>
      </w:r>
      <w:r w:rsidR="00710415">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4B" w:rsidRPr="00622D5B" w:rsidRDefault="00622D5B" w:rsidP="00622D5B">
    <w:pPr>
      <w:pStyle w:val="Header"/>
      <w:jc w:val="right"/>
    </w:pPr>
    <w:r w:rsidRPr="00622D5B">
      <w:t>A/HRC/RES/35/27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4B" w:rsidRPr="00622D5B" w:rsidRDefault="00622D5B" w:rsidP="00622D5B">
    <w:pPr>
      <w:pStyle w:val="Header"/>
      <w:jc w:val="left"/>
    </w:pPr>
    <w:r w:rsidRPr="00622D5B">
      <w:t>A/HRC/RES/35/27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26FB0"/>
    <w:rsid w:val="000076D5"/>
    <w:rsid w:val="00043663"/>
    <w:rsid w:val="000505CF"/>
    <w:rsid w:val="000D701C"/>
    <w:rsid w:val="000E2A71"/>
    <w:rsid w:val="000E524A"/>
    <w:rsid w:val="00126FB0"/>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B466F"/>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52270"/>
    <w:rsid w:val="005662A9"/>
    <w:rsid w:val="005817D9"/>
    <w:rsid w:val="005827D4"/>
    <w:rsid w:val="0059622A"/>
    <w:rsid w:val="005C5878"/>
    <w:rsid w:val="005C7CEA"/>
    <w:rsid w:val="005D3C0B"/>
    <w:rsid w:val="005E5217"/>
    <w:rsid w:val="005F0FA4"/>
    <w:rsid w:val="005F30EE"/>
    <w:rsid w:val="0060473A"/>
    <w:rsid w:val="00606EDF"/>
    <w:rsid w:val="00622D5B"/>
    <w:rsid w:val="00656392"/>
    <w:rsid w:val="0068781D"/>
    <w:rsid w:val="006959B0"/>
    <w:rsid w:val="006B3E27"/>
    <w:rsid w:val="006B6507"/>
    <w:rsid w:val="006C104C"/>
    <w:rsid w:val="00710415"/>
    <w:rsid w:val="00733704"/>
    <w:rsid w:val="00740188"/>
    <w:rsid w:val="00754AA3"/>
    <w:rsid w:val="0078071A"/>
    <w:rsid w:val="007A70BB"/>
    <w:rsid w:val="007D7C4B"/>
    <w:rsid w:val="00852A9A"/>
    <w:rsid w:val="00871544"/>
    <w:rsid w:val="008930DB"/>
    <w:rsid w:val="00895D16"/>
    <w:rsid w:val="008F49E1"/>
    <w:rsid w:val="0090370F"/>
    <w:rsid w:val="009269D2"/>
    <w:rsid w:val="00942135"/>
    <w:rsid w:val="009521B0"/>
    <w:rsid w:val="00986FF9"/>
    <w:rsid w:val="009A7E9F"/>
    <w:rsid w:val="009E5018"/>
    <w:rsid w:val="00A12B37"/>
    <w:rsid w:val="00A349F9"/>
    <w:rsid w:val="00A50EC0"/>
    <w:rsid w:val="00A74331"/>
    <w:rsid w:val="00AB6758"/>
    <w:rsid w:val="00B13763"/>
    <w:rsid w:val="00B477A4"/>
    <w:rsid w:val="00B54045"/>
    <w:rsid w:val="00BA5E8B"/>
    <w:rsid w:val="00C022F5"/>
    <w:rsid w:val="00C341A9"/>
    <w:rsid w:val="00C438D7"/>
    <w:rsid w:val="00C53FE8"/>
    <w:rsid w:val="00C81B50"/>
    <w:rsid w:val="00C86E20"/>
    <w:rsid w:val="00CA655B"/>
    <w:rsid w:val="00CB3C3C"/>
    <w:rsid w:val="00CD1801"/>
    <w:rsid w:val="00D10EF1"/>
    <w:rsid w:val="00D42810"/>
    <w:rsid w:val="00D914A7"/>
    <w:rsid w:val="00DD13C3"/>
    <w:rsid w:val="00DD596E"/>
    <w:rsid w:val="00DD621E"/>
    <w:rsid w:val="00DF0575"/>
    <w:rsid w:val="00DF49C2"/>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63D115C9-110D-4AE2-92F4-3F16D421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622D5B"/>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1CF33-1C67-4DD3-A18F-B516BD5B3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A/HRC/RES/35/27</vt:lpstr>
    </vt:vector>
  </TitlesOfParts>
  <Company>DCM</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A/HRC/RES/35/27</dc:title>
  <dc:subject>GE.1711595</dc:subject>
  <dc:creator>IHRZ - MBOU</dc:creator>
  <cp:keywords>ODS No.1718840</cp:keywords>
  <dc:description>Original: English _x000d_
Distribution: General_x000d_
Date: 11 July 2017</dc:description>
  <cp:lastModifiedBy>Admin</cp:lastModifiedBy>
  <cp:revision>2</cp:revision>
  <cp:lastPrinted>2017-08-23T06:04:00Z</cp:lastPrinted>
  <dcterms:created xsi:type="dcterms:W3CDTF">2017-08-25T13:03:00Z</dcterms:created>
  <dcterms:modified xsi:type="dcterms:W3CDTF">2017-08-25T13:03:00Z</dcterms:modified>
  <cp:category>Final</cp:category>
</cp:coreProperties>
</file>