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0171FA46" w14:textId="77777777" w:rsidTr="00E866BF">
        <w:trPr>
          <w:trHeight w:hRule="exact" w:val="851"/>
        </w:trPr>
        <w:tc>
          <w:tcPr>
            <w:tcW w:w="1274" w:type="dxa"/>
            <w:tcBorders>
              <w:bottom w:val="single" w:sz="4" w:space="0" w:color="auto"/>
            </w:tcBorders>
          </w:tcPr>
          <w:p w14:paraId="258C430A" w14:textId="77777777" w:rsidR="006B3E27" w:rsidRPr="008F729B" w:rsidRDefault="006B3E27" w:rsidP="008F7881">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10F496D9"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124BCFDD" w14:textId="4B7C6472" w:rsidR="006B3E27" w:rsidRPr="001805F9" w:rsidRDefault="001805F9" w:rsidP="001805F9">
            <w:pPr>
              <w:bidi w:val="0"/>
              <w:jc w:val="left"/>
            </w:pPr>
            <w:r w:rsidRPr="00AD37DA">
              <w:rPr>
                <w:sz w:val="40"/>
              </w:rPr>
              <w:t>CED</w:t>
            </w:r>
            <w:r w:rsidRPr="00AD37DA">
              <w:t>/C/NER/CO/</w:t>
            </w:r>
            <w:r w:rsidRPr="001472AB">
              <w:t>1</w:t>
            </w:r>
          </w:p>
        </w:tc>
      </w:tr>
      <w:tr w:rsidR="006B3E27" w:rsidRPr="008F729B" w14:paraId="51F81B63" w14:textId="77777777" w:rsidTr="00E866BF">
        <w:trPr>
          <w:trHeight w:hRule="exact" w:val="2835"/>
        </w:trPr>
        <w:tc>
          <w:tcPr>
            <w:tcW w:w="1274" w:type="dxa"/>
            <w:tcBorders>
              <w:top w:val="single" w:sz="4" w:space="0" w:color="auto"/>
              <w:bottom w:val="single" w:sz="12" w:space="0" w:color="auto"/>
            </w:tcBorders>
          </w:tcPr>
          <w:p w14:paraId="0C9B109F" w14:textId="77777777" w:rsidR="006B3E27" w:rsidRPr="008F729B" w:rsidRDefault="0059622A" w:rsidP="008F729B">
            <w:pPr>
              <w:jc w:val="center"/>
              <w:rPr>
                <w:rtl/>
              </w:rPr>
            </w:pPr>
            <w:r w:rsidRPr="008F729B">
              <w:rPr>
                <w:noProof/>
              </w:rPr>
              <w:drawing>
                <wp:inline distT="0" distB="0" distL="0" distR="0" wp14:anchorId="3C0BF0C1" wp14:editId="311FE06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33D9584A" w14:textId="77777777" w:rsidR="006B3E27" w:rsidRPr="001472AB" w:rsidRDefault="004E1586" w:rsidP="00E866BF">
            <w:pPr>
              <w:spacing w:before="160" w:after="40" w:line="560" w:lineRule="exact"/>
              <w:ind w:left="57"/>
              <w:jc w:val="left"/>
              <w:rPr>
                <w:b/>
                <w:bCs/>
                <w:sz w:val="44"/>
                <w:szCs w:val="44"/>
                <w:rtl/>
              </w:rPr>
            </w:pPr>
            <w:r w:rsidRPr="001472AB">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5C1F7CCB" w14:textId="3D892555" w:rsidR="00064D5D" w:rsidRPr="00064D5D" w:rsidRDefault="00064D5D" w:rsidP="00064D5D">
            <w:pPr>
              <w:suppressAutoHyphens/>
              <w:bidi w:val="0"/>
              <w:spacing w:before="240"/>
              <w:jc w:val="left"/>
              <w:rPr>
                <w:rFonts w:eastAsia="Times New Roman" w:cs="Times New Roman"/>
                <w:lang w:val="en-GB"/>
              </w:rPr>
            </w:pPr>
            <w:r w:rsidRPr="00064D5D">
              <w:rPr>
                <w:rFonts w:eastAsia="Times New Roman" w:cs="Times New Roman"/>
                <w:lang w:val="en-GB"/>
              </w:rPr>
              <w:t>Dist</w:t>
            </w:r>
            <w:r w:rsidR="00AD37DA" w:rsidRPr="00064D5D">
              <w:rPr>
                <w:rFonts w:eastAsia="Times New Roman" w:cs="Times New Roman"/>
                <w:color w:val="000000"/>
                <w:lang w:val="en-GB"/>
              </w:rPr>
              <w:t>r.:</w:t>
            </w:r>
            <w:r w:rsidRPr="00064D5D">
              <w:rPr>
                <w:rFonts w:eastAsia="Times New Roman" w:cs="Times New Roman"/>
                <w:lang w:val="en-GB"/>
              </w:rPr>
              <w:t xml:space="preserve"> General</w:t>
            </w:r>
          </w:p>
          <w:p w14:paraId="3F036E95" w14:textId="77777777" w:rsidR="00064D5D" w:rsidRPr="00064D5D" w:rsidRDefault="00064D5D" w:rsidP="00064D5D">
            <w:pPr>
              <w:bidi w:val="0"/>
              <w:jc w:val="left"/>
              <w:rPr>
                <w:rFonts w:eastAsia="Times New Roman" w:cs="Times New Roman"/>
                <w:lang w:val="en-GB"/>
              </w:rPr>
            </w:pPr>
            <w:r w:rsidRPr="00064D5D">
              <w:rPr>
                <w:rFonts w:eastAsia="Times New Roman" w:cs="Times New Roman"/>
                <w:lang w:val="en-GB"/>
              </w:rPr>
              <w:t>5 May 2022</w:t>
            </w:r>
          </w:p>
          <w:p w14:paraId="01B6271E" w14:textId="4D707044" w:rsidR="00064D5D" w:rsidRPr="00064D5D" w:rsidRDefault="00064D5D" w:rsidP="00064D5D">
            <w:pPr>
              <w:bidi w:val="0"/>
              <w:jc w:val="left"/>
              <w:rPr>
                <w:rFonts w:eastAsia="Times New Roman" w:cs="Times New Roman"/>
                <w:lang w:val="en-GB"/>
              </w:rPr>
            </w:pPr>
            <w:r>
              <w:rPr>
                <w:rFonts w:eastAsia="Times New Roman" w:cs="Times New Roman"/>
                <w:lang w:val="en-GB"/>
              </w:rPr>
              <w:t>Arabic</w:t>
            </w:r>
          </w:p>
          <w:p w14:paraId="341CDA86" w14:textId="6A5A3595" w:rsidR="001805F9" w:rsidRPr="00064D5D" w:rsidRDefault="00064D5D" w:rsidP="00064D5D">
            <w:pPr>
              <w:bidi w:val="0"/>
              <w:spacing w:line="240" w:lineRule="exact"/>
              <w:jc w:val="left"/>
              <w:rPr>
                <w:lang w:val="en-GB"/>
              </w:rPr>
            </w:pPr>
            <w:r w:rsidRPr="00064D5D">
              <w:rPr>
                <w:rFonts w:eastAsia="Times New Roman" w:cs="Times New Roman"/>
                <w:lang w:val="en-GB" w:eastAsia="en-US"/>
              </w:rPr>
              <w:t>Origina</w:t>
            </w:r>
            <w:r w:rsidR="00AD37DA" w:rsidRPr="00AD37DA">
              <w:rPr>
                <w:rFonts w:eastAsia="Times New Roman" w:cs="Times New Roman"/>
                <w:color w:val="000000"/>
                <w:lang w:val="en-GB" w:eastAsia="en-US"/>
              </w:rPr>
              <w:t xml:space="preserve">l: </w:t>
            </w:r>
            <w:r w:rsidRPr="00064D5D">
              <w:rPr>
                <w:rFonts w:eastAsia="Times New Roman" w:cs="Times New Roman"/>
                <w:lang w:val="en-GB" w:eastAsia="en-US"/>
              </w:rPr>
              <w:t>French</w:t>
            </w:r>
          </w:p>
        </w:tc>
      </w:tr>
    </w:tbl>
    <w:p w14:paraId="1D9E5D04" w14:textId="77777777" w:rsidR="00064D5D" w:rsidRPr="001472AB" w:rsidRDefault="00064D5D" w:rsidP="00064D5D">
      <w:pPr>
        <w:pStyle w:val="SingleTxtGA"/>
        <w:spacing w:before="120" w:after="0"/>
        <w:ind w:left="0"/>
        <w:rPr>
          <w:b/>
          <w:bCs/>
          <w:sz w:val="26"/>
          <w:szCs w:val="26"/>
          <w:lang w:val="en-US"/>
        </w:rPr>
      </w:pPr>
      <w:r w:rsidRPr="001472AB">
        <w:rPr>
          <w:b/>
          <w:bCs/>
          <w:sz w:val="26"/>
          <w:szCs w:val="26"/>
          <w:rtl/>
          <w:lang w:val="en-US"/>
        </w:rPr>
        <w:t>اللجنة المعنية بحالات الاختفاء القسري</w:t>
      </w:r>
    </w:p>
    <w:p w14:paraId="5F63358C" w14:textId="128BFC6C" w:rsidR="00064D5D" w:rsidRPr="001472AB" w:rsidRDefault="00064D5D" w:rsidP="00064D5D">
      <w:pPr>
        <w:pStyle w:val="HChGA"/>
        <w:rPr>
          <w:rtl/>
        </w:rPr>
      </w:pPr>
      <w:r w:rsidRPr="001472AB">
        <w:rPr>
          <w:rtl/>
        </w:rPr>
        <w:tab/>
      </w:r>
      <w:r w:rsidRPr="001472AB">
        <w:rPr>
          <w:rtl/>
        </w:rPr>
        <w:tab/>
        <w:t>الملاحظات الختامية بشأن التقرير المقدم من النيجر بموجب المادة 29(</w:t>
      </w:r>
      <w:r w:rsidR="00AD37DA" w:rsidRPr="001472AB">
        <w:rPr>
          <w:color w:val="000000"/>
          <w:rtl/>
        </w:rPr>
        <w:t xml:space="preserve">1) </w:t>
      </w:r>
      <w:r w:rsidRPr="001472AB">
        <w:rPr>
          <w:rtl/>
        </w:rPr>
        <w:t>من الاتفاقي</w:t>
      </w:r>
      <w:r w:rsidRPr="001472AB">
        <w:rPr>
          <w:rFonts w:hint="cs"/>
          <w:rtl/>
        </w:rPr>
        <w:t>ة</w:t>
      </w:r>
      <w:r w:rsidRPr="001472AB">
        <w:rPr>
          <w:rStyle w:val="FootnoteReference"/>
          <w:sz w:val="22"/>
          <w:szCs w:val="22"/>
          <w:vertAlign w:val="baseline"/>
          <w:rtl/>
        </w:rPr>
        <w:footnoteReference w:customMarkFollows="1" w:id="1"/>
        <w:t>*</w:t>
      </w:r>
    </w:p>
    <w:p w14:paraId="2B091DA6" w14:textId="5E92FE0D" w:rsidR="00AD37DA" w:rsidRPr="00AD37DA" w:rsidRDefault="00064D5D" w:rsidP="000D2200">
      <w:pPr>
        <w:pStyle w:val="SingleTxtGA"/>
        <w:spacing w:line="340" w:lineRule="exact"/>
        <w:rPr>
          <w:color w:val="000000"/>
          <w:lang w:val="en-US"/>
        </w:rPr>
      </w:pPr>
      <w:r w:rsidRPr="001472AB">
        <w:rPr>
          <w:rtl/>
          <w:lang w:val="en-US"/>
        </w:rPr>
        <w:t>1</w:t>
      </w:r>
      <w:r w:rsidRPr="00064D5D">
        <w:rPr>
          <w:rtl/>
          <w:lang w:val="en-US"/>
        </w:rPr>
        <w:t>-</w:t>
      </w:r>
      <w:r w:rsidRPr="00064D5D">
        <w:rPr>
          <w:rtl/>
          <w:lang w:val="en-US"/>
        </w:rPr>
        <w:tab/>
      </w:r>
      <w:r w:rsidRPr="00064D5D">
        <w:rPr>
          <w:spacing w:val="-4"/>
          <w:rtl/>
          <w:lang w:val="en-US"/>
        </w:rPr>
        <w:t xml:space="preserve">نظرت اللجنة المعنية بحالات الاختفاء القسري في التقرير المقدم من النيجر بموجب المادة </w:t>
      </w:r>
      <w:r w:rsidRPr="001472AB">
        <w:rPr>
          <w:spacing w:val="-4"/>
          <w:rtl/>
          <w:lang w:val="en-US"/>
        </w:rPr>
        <w:t>29</w:t>
      </w:r>
      <w:r w:rsidRPr="00064D5D">
        <w:rPr>
          <w:spacing w:val="-4"/>
          <w:rtl/>
          <w:lang w:val="en-US"/>
        </w:rPr>
        <w:t>(</w:t>
      </w:r>
      <w:r w:rsidR="00AD37DA" w:rsidRPr="001472AB">
        <w:rPr>
          <w:color w:val="000000"/>
          <w:spacing w:val="-4"/>
          <w:rtl/>
          <w:lang w:val="en-US"/>
        </w:rPr>
        <w:t>1</w:t>
      </w:r>
      <w:r w:rsidR="00AD37DA" w:rsidRPr="00AD37DA">
        <w:rPr>
          <w:color w:val="000000"/>
          <w:spacing w:val="-4"/>
          <w:rtl/>
          <w:lang w:val="en-US"/>
        </w:rPr>
        <w:t xml:space="preserve">) </w:t>
      </w:r>
      <w:r w:rsidRPr="00064D5D">
        <w:rPr>
          <w:rtl/>
          <w:lang w:val="en-US"/>
        </w:rPr>
        <w:t>من الاتفاقية</w:t>
      </w:r>
      <w:r w:rsidR="00AD37DA">
        <w:rPr>
          <w:rStyle w:val="FootnoteReference"/>
          <w:szCs w:val="22"/>
          <w:rtl/>
        </w:rPr>
        <w:t>(</w:t>
      </w:r>
      <w:r w:rsidR="00AD37DA" w:rsidRPr="001472AB">
        <w:rPr>
          <w:rStyle w:val="FootnoteReference"/>
          <w:szCs w:val="22"/>
          <w:lang w:val="en-US"/>
        </w:rPr>
        <w:footnoteReference w:id="2"/>
      </w:r>
      <w:r w:rsidRPr="00064D5D">
        <w:rPr>
          <w:vertAlign w:val="superscript"/>
          <w:rtl/>
          <w:lang w:val="en-US"/>
        </w:rPr>
        <w:t>)</w:t>
      </w:r>
      <w:r w:rsidRPr="00064D5D">
        <w:rPr>
          <w:rtl/>
          <w:lang w:val="en-US"/>
        </w:rPr>
        <w:t xml:space="preserve"> في جلستيها </w:t>
      </w:r>
      <w:r w:rsidRPr="001472AB">
        <w:rPr>
          <w:rtl/>
          <w:lang w:val="en-US"/>
        </w:rPr>
        <w:t>385</w:t>
      </w:r>
      <w:r w:rsidRPr="00064D5D">
        <w:rPr>
          <w:rtl/>
          <w:lang w:val="en-US"/>
        </w:rPr>
        <w:t xml:space="preserve"> و</w:t>
      </w:r>
      <w:r w:rsidRPr="001472AB">
        <w:rPr>
          <w:rtl/>
          <w:lang w:val="en-US"/>
        </w:rPr>
        <w:t>386</w:t>
      </w:r>
      <w:r w:rsidRPr="00064D5D">
        <w:rPr>
          <w:rtl/>
          <w:lang w:val="en-US"/>
        </w:rPr>
        <w:t xml:space="preserve"> المعقودتين في </w:t>
      </w:r>
      <w:r w:rsidRPr="001472AB">
        <w:rPr>
          <w:rtl/>
          <w:lang w:val="en-US"/>
        </w:rPr>
        <w:t>29</w:t>
      </w:r>
      <w:r w:rsidRPr="00064D5D">
        <w:rPr>
          <w:rtl/>
          <w:lang w:val="en-US"/>
        </w:rPr>
        <w:t xml:space="preserve"> و</w:t>
      </w:r>
      <w:r w:rsidRPr="001472AB">
        <w:rPr>
          <w:rtl/>
          <w:lang w:val="en-US"/>
        </w:rPr>
        <w:t>30</w:t>
      </w:r>
      <w:r w:rsidRPr="00064D5D">
        <w:rPr>
          <w:rtl/>
          <w:lang w:val="en-US"/>
        </w:rPr>
        <w:t xml:space="preserve"> آذار/مارس </w:t>
      </w:r>
      <w:r w:rsidRPr="001472AB">
        <w:rPr>
          <w:rtl/>
          <w:lang w:val="en-US"/>
        </w:rPr>
        <w:t>2022</w:t>
      </w:r>
      <w:r w:rsidR="00AD37DA">
        <w:rPr>
          <w:rStyle w:val="FootnoteReference"/>
          <w:szCs w:val="22"/>
          <w:rtl/>
        </w:rPr>
        <w:t>(</w:t>
      </w:r>
      <w:r w:rsidR="00AD37DA" w:rsidRPr="001472AB">
        <w:rPr>
          <w:rStyle w:val="FootnoteReference"/>
          <w:szCs w:val="22"/>
          <w:lang w:val="en-US"/>
        </w:rPr>
        <w:footnoteReference w:id="3"/>
      </w:r>
      <w:r w:rsidR="00AD37DA" w:rsidRPr="00AD37DA">
        <w:rPr>
          <w:color w:val="000000"/>
          <w:vertAlign w:val="superscript"/>
          <w:rtl/>
          <w:lang w:val="en-US"/>
        </w:rPr>
        <w:t>)</w:t>
      </w:r>
      <w:r w:rsidR="00AD37DA" w:rsidRPr="00AD37DA">
        <w:rPr>
          <w:color w:val="000000"/>
          <w:rtl/>
          <w:lang w:val="en-US"/>
        </w:rPr>
        <w:t>.</w:t>
      </w:r>
      <w:r w:rsidR="00AD37DA" w:rsidRPr="00AD37DA">
        <w:rPr>
          <w:color w:val="000000"/>
          <w:rtl/>
          <w:lang w:val="en-US"/>
        </w:rPr>
        <w:t xml:space="preserve"> </w:t>
      </w:r>
      <w:r w:rsidRPr="00064D5D">
        <w:rPr>
          <w:rtl/>
          <w:lang w:val="en-US"/>
        </w:rPr>
        <w:t xml:space="preserve">واعتمدت اللجنة هذه الملاحظات الختامية في جلستها </w:t>
      </w:r>
      <w:r w:rsidRPr="001472AB">
        <w:rPr>
          <w:rtl/>
          <w:lang w:val="en-US"/>
        </w:rPr>
        <w:t>399</w:t>
      </w:r>
      <w:r w:rsidRPr="00064D5D">
        <w:rPr>
          <w:rtl/>
          <w:lang w:val="en-US"/>
        </w:rPr>
        <w:t xml:space="preserve"> المعقودة في </w:t>
      </w:r>
      <w:r w:rsidRPr="001472AB">
        <w:rPr>
          <w:rtl/>
          <w:lang w:val="en-US"/>
        </w:rPr>
        <w:t>7</w:t>
      </w:r>
      <w:r w:rsidRPr="00064D5D">
        <w:rPr>
          <w:rtl/>
          <w:lang w:val="en-US"/>
        </w:rPr>
        <w:t xml:space="preserve"> نيسان/أبريل </w:t>
      </w:r>
      <w:r w:rsidRPr="001472AB">
        <w:rPr>
          <w:rtl/>
          <w:lang w:val="en-US"/>
        </w:rPr>
        <w:t>202</w:t>
      </w:r>
      <w:r w:rsidR="00AD37DA" w:rsidRPr="001472AB">
        <w:rPr>
          <w:color w:val="000000"/>
          <w:rtl/>
          <w:lang w:val="en-US"/>
        </w:rPr>
        <w:t>2</w:t>
      </w:r>
      <w:r w:rsidR="00AD37DA" w:rsidRPr="00AD37DA">
        <w:rPr>
          <w:color w:val="000000"/>
          <w:rtl/>
          <w:lang w:val="en-US"/>
        </w:rPr>
        <w:t>.</w:t>
      </w:r>
    </w:p>
    <w:p w14:paraId="2C76089A" w14:textId="17C32925" w:rsidR="00064D5D" w:rsidRPr="001472AB" w:rsidRDefault="00064D5D" w:rsidP="000D2200">
      <w:pPr>
        <w:pStyle w:val="H1GA"/>
        <w:spacing w:before="200" w:after="200" w:line="380" w:lineRule="exact"/>
      </w:pPr>
      <w:r w:rsidRPr="001472AB">
        <w:rPr>
          <w:rtl/>
        </w:rPr>
        <w:tab/>
        <w:t>ألف-</w:t>
      </w:r>
      <w:r w:rsidRPr="001472AB">
        <w:rPr>
          <w:rtl/>
        </w:rPr>
        <w:tab/>
        <w:t>مقدمة</w:t>
      </w:r>
    </w:p>
    <w:p w14:paraId="24356D85" w14:textId="6C013BCB" w:rsidR="00AD37DA" w:rsidRPr="00AD37DA" w:rsidRDefault="00064D5D" w:rsidP="000D2200">
      <w:pPr>
        <w:pStyle w:val="SingleTxtGA"/>
        <w:spacing w:line="340" w:lineRule="exact"/>
        <w:rPr>
          <w:color w:val="000000"/>
          <w:lang w:val="en-US"/>
        </w:rPr>
      </w:pPr>
      <w:r w:rsidRPr="001472AB">
        <w:rPr>
          <w:rtl/>
          <w:lang w:val="en-US"/>
        </w:rPr>
        <w:t>2</w:t>
      </w:r>
      <w:r w:rsidRPr="00064D5D">
        <w:rPr>
          <w:rtl/>
          <w:lang w:val="en-US"/>
        </w:rPr>
        <w:t>-</w:t>
      </w:r>
      <w:r w:rsidRPr="00064D5D">
        <w:rPr>
          <w:rtl/>
          <w:lang w:val="en-US"/>
        </w:rPr>
        <w:tab/>
      </w:r>
      <w:r w:rsidRPr="00513467">
        <w:rPr>
          <w:spacing w:val="-4"/>
          <w:rtl/>
          <w:lang w:val="en-US"/>
        </w:rPr>
        <w:t xml:space="preserve">ترحب اللجنة بالتقرير الذي أعده النيجر عملاً بالمادة </w:t>
      </w:r>
      <w:r w:rsidRPr="001472AB">
        <w:rPr>
          <w:spacing w:val="-4"/>
          <w:rtl/>
          <w:lang w:val="en-US"/>
        </w:rPr>
        <w:t>29</w:t>
      </w:r>
      <w:r w:rsidRPr="00513467">
        <w:rPr>
          <w:spacing w:val="-4"/>
          <w:rtl/>
          <w:lang w:val="en-US"/>
        </w:rPr>
        <w:t>(</w:t>
      </w:r>
      <w:r w:rsidR="00AD37DA" w:rsidRPr="001472AB">
        <w:rPr>
          <w:color w:val="000000"/>
          <w:spacing w:val="-4"/>
          <w:rtl/>
          <w:lang w:val="en-US"/>
        </w:rPr>
        <w:t>1</w:t>
      </w:r>
      <w:r w:rsidR="00AD37DA" w:rsidRPr="00AD37DA">
        <w:rPr>
          <w:color w:val="000000"/>
          <w:spacing w:val="-4"/>
          <w:rtl/>
          <w:lang w:val="en-US"/>
        </w:rPr>
        <w:t xml:space="preserve">) </w:t>
      </w:r>
      <w:r w:rsidRPr="00513467">
        <w:rPr>
          <w:spacing w:val="-4"/>
          <w:rtl/>
          <w:lang w:val="en-US"/>
        </w:rPr>
        <w:t>من الاتفاقية، والذي أ</w:t>
      </w:r>
      <w:r w:rsidR="001F1FED">
        <w:rPr>
          <w:rFonts w:hint="cs"/>
          <w:spacing w:val="-4"/>
          <w:rtl/>
          <w:lang w:val="en-US"/>
        </w:rPr>
        <w:t>ُ</w:t>
      </w:r>
      <w:r w:rsidRPr="00513467">
        <w:rPr>
          <w:spacing w:val="-4"/>
          <w:rtl/>
          <w:lang w:val="en-US"/>
        </w:rPr>
        <w:t>عد وفقاً للمبادئ</w:t>
      </w:r>
      <w:r w:rsidRPr="00064D5D">
        <w:rPr>
          <w:rtl/>
          <w:lang w:val="en-US"/>
        </w:rPr>
        <w:t xml:space="preserve"> </w:t>
      </w:r>
      <w:r w:rsidRPr="00513467">
        <w:rPr>
          <w:spacing w:val="-4"/>
          <w:rtl/>
          <w:lang w:val="en-US"/>
        </w:rPr>
        <w:t>التوجيهية للجنة. وعلاوة على ذلك، تشكر اللجنة الدولة الطرف على ردودها الكتابية</w:t>
      </w:r>
      <w:r w:rsidR="00AD37DA">
        <w:rPr>
          <w:rStyle w:val="FootnoteReference"/>
          <w:szCs w:val="22"/>
          <w:rtl/>
        </w:rPr>
        <w:t>(</w:t>
      </w:r>
      <w:r w:rsidR="00AD37DA" w:rsidRPr="001472AB">
        <w:rPr>
          <w:rStyle w:val="FootnoteReference"/>
          <w:szCs w:val="22"/>
          <w:lang w:val="en-US"/>
        </w:rPr>
        <w:footnoteReference w:id="4"/>
      </w:r>
      <w:r w:rsidRPr="00064D5D">
        <w:rPr>
          <w:vertAlign w:val="superscript"/>
          <w:rtl/>
          <w:lang w:val="en-US"/>
        </w:rPr>
        <w:t>)</w:t>
      </w:r>
      <w:r w:rsidRPr="00064D5D">
        <w:rPr>
          <w:rtl/>
          <w:lang w:val="en-US"/>
        </w:rPr>
        <w:t xml:space="preserve"> على قائمة المسائل</w:t>
      </w:r>
      <w:r w:rsidR="00AD37DA">
        <w:rPr>
          <w:rStyle w:val="FootnoteReference"/>
          <w:szCs w:val="22"/>
          <w:rtl/>
        </w:rPr>
        <w:t>(</w:t>
      </w:r>
      <w:r w:rsidR="00AD37DA" w:rsidRPr="001472AB">
        <w:rPr>
          <w:rStyle w:val="FootnoteReference"/>
          <w:szCs w:val="22"/>
          <w:lang w:val="en-US"/>
        </w:rPr>
        <w:footnoteReference w:id="5"/>
      </w:r>
      <w:r w:rsidR="00AD37DA" w:rsidRPr="00AD37DA">
        <w:rPr>
          <w:color w:val="000000"/>
          <w:vertAlign w:val="superscript"/>
          <w:rtl/>
          <w:lang w:val="en-US"/>
        </w:rPr>
        <w:t>)</w:t>
      </w:r>
      <w:r w:rsidR="00AD37DA" w:rsidRPr="00AD37DA">
        <w:rPr>
          <w:color w:val="000000"/>
          <w:rtl/>
          <w:lang w:val="en-US"/>
        </w:rPr>
        <w:t>.</w:t>
      </w:r>
    </w:p>
    <w:p w14:paraId="4FF1DD97" w14:textId="30B75817" w:rsidR="00064D5D" w:rsidRPr="00064D5D" w:rsidRDefault="00064D5D" w:rsidP="000D2200">
      <w:pPr>
        <w:pStyle w:val="SingleTxtGA"/>
        <w:spacing w:line="340" w:lineRule="exact"/>
        <w:rPr>
          <w:lang w:val="en-US"/>
        </w:rPr>
      </w:pPr>
      <w:r w:rsidRPr="001472AB">
        <w:rPr>
          <w:rtl/>
          <w:lang w:val="en-US"/>
        </w:rPr>
        <w:t>3</w:t>
      </w:r>
      <w:r w:rsidRPr="00064D5D">
        <w:rPr>
          <w:rtl/>
          <w:lang w:val="en-US"/>
        </w:rPr>
        <w:t>-</w:t>
      </w:r>
      <w:r w:rsidRPr="00064D5D">
        <w:rPr>
          <w:rtl/>
          <w:lang w:val="en-US"/>
        </w:rPr>
        <w:tab/>
        <w:t xml:space="preserve">وتعرب اللجنة أيضاً عن تقديرها للحوار البنَّاء الذي أجرته مع وفد الدولة الطرف بشأن التدابير المتخذة تنفيذاً لأحكام الاتفاقية، الأمر الذي بدَّد الكثير من شواغلها، وترحب على وجه الخصوص، بروح </w:t>
      </w:r>
      <w:r w:rsidRPr="000D2200">
        <w:rPr>
          <w:spacing w:val="-4"/>
          <w:rtl/>
          <w:lang w:val="en-US"/>
        </w:rPr>
        <w:t>الانفتاح التي تحلى بها الوفد أثناء الرد على الأسئلة التي طرحتها. وتشكر اللجنة الدولة الطرف على المعلومات</w:t>
      </w:r>
      <w:r w:rsidRPr="00064D5D">
        <w:rPr>
          <w:rtl/>
          <w:lang w:val="en-US"/>
        </w:rPr>
        <w:t xml:space="preserve"> التكميلية التي أتاحتها والتوضيحات التي قدمتها خلال المداخلات الشفوية.</w:t>
      </w:r>
    </w:p>
    <w:p w14:paraId="0CCEBEC1" w14:textId="77777777" w:rsidR="00064D5D" w:rsidRPr="001472AB" w:rsidRDefault="00064D5D" w:rsidP="000D2200">
      <w:pPr>
        <w:pStyle w:val="H1GA"/>
        <w:spacing w:before="200" w:after="200" w:line="380" w:lineRule="exact"/>
      </w:pPr>
      <w:r w:rsidRPr="001472AB">
        <w:rPr>
          <w:rtl/>
        </w:rPr>
        <w:tab/>
        <w:t>باء-</w:t>
      </w:r>
      <w:r w:rsidRPr="001472AB">
        <w:rPr>
          <w:rtl/>
        </w:rPr>
        <w:tab/>
        <w:t>الجوانب الإيجابية</w:t>
      </w:r>
    </w:p>
    <w:p w14:paraId="72789DDE" w14:textId="77777777" w:rsidR="00064D5D" w:rsidRPr="00064D5D" w:rsidRDefault="00064D5D" w:rsidP="000D2200">
      <w:pPr>
        <w:pStyle w:val="SingleTxtGA"/>
        <w:spacing w:line="340" w:lineRule="exact"/>
        <w:rPr>
          <w:lang w:val="en-US"/>
        </w:rPr>
      </w:pPr>
      <w:r w:rsidRPr="001472AB">
        <w:rPr>
          <w:rtl/>
          <w:lang w:val="en-US"/>
        </w:rPr>
        <w:t>4</w:t>
      </w:r>
      <w:r w:rsidRPr="00064D5D">
        <w:rPr>
          <w:rtl/>
          <w:lang w:val="en-US"/>
        </w:rPr>
        <w:t>-</w:t>
      </w:r>
      <w:r w:rsidRPr="00064D5D">
        <w:rPr>
          <w:rtl/>
          <w:lang w:val="en-US"/>
        </w:rPr>
        <w:tab/>
      </w:r>
      <w:r w:rsidRPr="00513467">
        <w:rPr>
          <w:spacing w:val="-4"/>
          <w:rtl/>
          <w:lang w:val="en-US"/>
        </w:rPr>
        <w:t>تثني اللجنة على الدولة الطرف لتصديقها على جميع صكوك الأمم المتحدة الرئيسية لحقوق الإنسان</w:t>
      </w:r>
      <w:r w:rsidRPr="00064D5D">
        <w:rPr>
          <w:rtl/>
          <w:lang w:val="en-US"/>
        </w:rPr>
        <w:t xml:space="preserve"> وبروتوكولاتها الاختيارية، فضلاً عن نظام روما الأساسي للمحكمة الجنائية الدولية، أو انضمامها إليها.</w:t>
      </w:r>
    </w:p>
    <w:p w14:paraId="184D50DA" w14:textId="491DD1AB" w:rsidR="00064D5D" w:rsidRPr="00064D5D" w:rsidRDefault="00064D5D" w:rsidP="000D2200">
      <w:pPr>
        <w:pStyle w:val="SingleTxtGA"/>
        <w:spacing w:line="340" w:lineRule="exact"/>
        <w:rPr>
          <w:lang w:val="en-US"/>
        </w:rPr>
      </w:pPr>
      <w:r w:rsidRPr="001472AB">
        <w:rPr>
          <w:rtl/>
          <w:lang w:val="en-US"/>
        </w:rPr>
        <w:t>5</w:t>
      </w:r>
      <w:r w:rsidRPr="00064D5D">
        <w:rPr>
          <w:rtl/>
          <w:lang w:val="en-US"/>
        </w:rPr>
        <w:t>-</w:t>
      </w:r>
      <w:r w:rsidRPr="00064D5D">
        <w:rPr>
          <w:rtl/>
          <w:lang w:val="en-US"/>
        </w:rPr>
        <w:tab/>
        <w:t xml:space="preserve">وترحب اللجنة بارتياح بالتدابير التي اتخذتها الدولة الطرف في المجالات ذات الصلة بالاتفاقية، </w:t>
      </w:r>
      <w:r w:rsidRPr="00513467">
        <w:rPr>
          <w:spacing w:val="-4"/>
          <w:rtl/>
          <w:lang w:val="en-US"/>
        </w:rPr>
        <w:t>لا سيما</w:t>
      </w:r>
      <w:r w:rsidRPr="00513467">
        <w:rPr>
          <w:spacing w:val="-4"/>
          <w:rtl/>
          <w:lang w:val="en-US"/>
        </w:rPr>
        <w:t xml:space="preserve"> اعتماد القانون رقم </w:t>
      </w:r>
      <w:r w:rsidRPr="001472AB">
        <w:rPr>
          <w:spacing w:val="-4"/>
          <w:rtl/>
          <w:lang w:val="en-US"/>
        </w:rPr>
        <w:t>2020</w:t>
      </w:r>
      <w:r w:rsidRPr="00513467">
        <w:rPr>
          <w:spacing w:val="-4"/>
          <w:rtl/>
          <w:lang w:val="en-US"/>
        </w:rPr>
        <w:t>-</w:t>
      </w:r>
      <w:r w:rsidRPr="001472AB">
        <w:rPr>
          <w:spacing w:val="-4"/>
          <w:rtl/>
          <w:lang w:val="en-US"/>
        </w:rPr>
        <w:t>02</w:t>
      </w:r>
      <w:r w:rsidRPr="00513467">
        <w:rPr>
          <w:spacing w:val="-4"/>
          <w:rtl/>
          <w:lang w:val="en-US"/>
        </w:rPr>
        <w:t xml:space="preserve"> الصادر في </w:t>
      </w:r>
      <w:r w:rsidRPr="001472AB">
        <w:rPr>
          <w:spacing w:val="-4"/>
          <w:rtl/>
          <w:lang w:val="en-US"/>
        </w:rPr>
        <w:t>6</w:t>
      </w:r>
      <w:r w:rsidRPr="00513467">
        <w:rPr>
          <w:spacing w:val="-4"/>
          <w:rtl/>
          <w:lang w:val="en-US"/>
        </w:rPr>
        <w:t xml:space="preserve"> أيار/مايو </w:t>
      </w:r>
      <w:r w:rsidRPr="001472AB">
        <w:rPr>
          <w:spacing w:val="-4"/>
          <w:rtl/>
          <w:lang w:val="en-US"/>
        </w:rPr>
        <w:t>2020</w:t>
      </w:r>
      <w:r w:rsidRPr="00513467">
        <w:rPr>
          <w:spacing w:val="-4"/>
          <w:rtl/>
          <w:lang w:val="en-US"/>
        </w:rPr>
        <w:t xml:space="preserve"> الذي أنشئت بموجبه الآلية الوطنية</w:t>
      </w:r>
      <w:r w:rsidRPr="00064D5D">
        <w:rPr>
          <w:rtl/>
          <w:lang w:val="en-US"/>
        </w:rPr>
        <w:t xml:space="preserve"> لمنع التعذيب.</w:t>
      </w:r>
    </w:p>
    <w:p w14:paraId="692370C4" w14:textId="77777777" w:rsidR="00064D5D" w:rsidRPr="00064D5D" w:rsidRDefault="00064D5D" w:rsidP="000D2200">
      <w:pPr>
        <w:pStyle w:val="SingleTxtGA"/>
        <w:spacing w:line="340" w:lineRule="exact"/>
        <w:rPr>
          <w:lang w:val="en-US"/>
        </w:rPr>
      </w:pPr>
      <w:r w:rsidRPr="001472AB">
        <w:rPr>
          <w:rtl/>
          <w:lang w:val="en-US"/>
        </w:rPr>
        <w:t>6</w:t>
      </w:r>
      <w:r w:rsidRPr="00064D5D">
        <w:rPr>
          <w:rtl/>
          <w:lang w:val="en-US"/>
        </w:rPr>
        <w:t>-</w:t>
      </w:r>
      <w:r w:rsidRPr="00064D5D">
        <w:rPr>
          <w:rtl/>
          <w:lang w:val="en-US"/>
        </w:rPr>
        <w:tab/>
        <w:t>وترحب اللجنة بالدعوة الدائمة التي وجهتها الدولة الطرف إلى جميع المكلفين بولايات في إطار الإجراءات الخاصة لمجلس حقوق الإنسان.</w:t>
      </w:r>
    </w:p>
    <w:p w14:paraId="0FAA0A8A" w14:textId="77777777" w:rsidR="00064D5D" w:rsidRPr="001472AB" w:rsidRDefault="00064D5D" w:rsidP="00513467">
      <w:pPr>
        <w:pStyle w:val="H1GA"/>
      </w:pPr>
      <w:r w:rsidRPr="001472AB">
        <w:rPr>
          <w:rtl/>
        </w:rPr>
        <w:lastRenderedPageBreak/>
        <w:tab/>
        <w:t>جيم-</w:t>
      </w:r>
      <w:r w:rsidRPr="001472AB">
        <w:rPr>
          <w:rtl/>
        </w:rPr>
        <w:tab/>
        <w:t>دواعي القلق الرئيسية والتوصيات</w:t>
      </w:r>
    </w:p>
    <w:p w14:paraId="096302DD" w14:textId="77777777" w:rsidR="00064D5D" w:rsidRPr="00064D5D" w:rsidRDefault="00064D5D" w:rsidP="000D2200">
      <w:pPr>
        <w:pStyle w:val="SingleTxtGA"/>
        <w:spacing w:line="346" w:lineRule="exact"/>
        <w:rPr>
          <w:lang w:val="en-US"/>
        </w:rPr>
      </w:pPr>
      <w:r w:rsidRPr="001472AB">
        <w:rPr>
          <w:rtl/>
          <w:lang w:val="en-US"/>
        </w:rPr>
        <w:t>7</w:t>
      </w:r>
      <w:r w:rsidRPr="00064D5D">
        <w:rPr>
          <w:rtl/>
          <w:lang w:val="en-US"/>
        </w:rPr>
        <w:t>-</w:t>
      </w:r>
      <w:r w:rsidRPr="00064D5D">
        <w:rPr>
          <w:rtl/>
          <w:lang w:val="en-US"/>
        </w:rPr>
        <w:tab/>
        <w:t xml:space="preserve">تدرك اللجنة الصعوبات الخطيرة التي تواجهها الدولة الطرف وتلاحظ بتعاطف البيان الذي أدلى به الوفد أثناء الحوار وأشار ضمنه إلى أن "في جميع الأسر شخص مفقود أو مختطف". بيد أن اللجنة ترى أن التشريعات السارية في الدولة الطرف بغرض منع حالات الاختفاء القسري والمعاقبة عليها وضمان حقوق الضحايا، وسلوك بعض سلطاتها المختصة، لم تكن، وقت اعتماد هذه الملاحظات الختامية، تتفق تماماً مع التزاماتها بموجب الاتفاقية. وتشجع اللجنة الدولة الطرف على تنفيذ توصياتها، التي صيغت بروح التعاون البناء، من أجل ضمان التنفيذ الكامل للاتفاقية في القانون والممارسة. وفي هذا الصدد، </w:t>
      </w:r>
      <w:r w:rsidRPr="00AD37DA">
        <w:rPr>
          <w:spacing w:val="-2"/>
          <w:rtl/>
          <w:lang w:val="en-US"/>
        </w:rPr>
        <w:t>تدعو اللجنة الدولة الطرف إلى الاستفادة من المناقشات الجارية بشأن مختلف مشاريع القوانين في المجالات</w:t>
      </w:r>
      <w:r w:rsidRPr="00064D5D">
        <w:rPr>
          <w:rtl/>
          <w:lang w:val="en-US"/>
        </w:rPr>
        <w:t xml:space="preserve"> ذات الصلة بالاتفاقية لتنفيذ التوصيات الواردة في هذه الملاحظات الختامية.</w:t>
      </w:r>
    </w:p>
    <w:p w14:paraId="36718AA3" w14:textId="77777777" w:rsidR="00064D5D" w:rsidRPr="001472AB" w:rsidRDefault="00064D5D" w:rsidP="000D2200">
      <w:pPr>
        <w:pStyle w:val="H23GA"/>
        <w:spacing w:line="346" w:lineRule="exact"/>
      </w:pPr>
      <w:r w:rsidRPr="001472AB">
        <w:rPr>
          <w:rtl/>
        </w:rPr>
        <w:tab/>
        <w:t>1-</w:t>
      </w:r>
      <w:r w:rsidRPr="001472AB">
        <w:rPr>
          <w:rtl/>
        </w:rPr>
        <w:tab/>
        <w:t>معلومات عامة</w:t>
      </w:r>
    </w:p>
    <w:p w14:paraId="3CE06B74" w14:textId="77777777" w:rsidR="00064D5D" w:rsidRPr="001472AB" w:rsidRDefault="00064D5D" w:rsidP="000D2200">
      <w:pPr>
        <w:pStyle w:val="H23GA"/>
        <w:spacing w:line="346" w:lineRule="exact"/>
      </w:pPr>
      <w:r w:rsidRPr="001472AB">
        <w:rPr>
          <w:rtl/>
        </w:rPr>
        <w:tab/>
      </w:r>
      <w:r w:rsidRPr="001472AB">
        <w:rPr>
          <w:rtl/>
        </w:rPr>
        <w:tab/>
        <w:t>الإجراء العاجل</w:t>
      </w:r>
    </w:p>
    <w:p w14:paraId="19AAF235" w14:textId="664DBF45" w:rsidR="00AD37DA" w:rsidRPr="00AD37DA" w:rsidRDefault="00064D5D" w:rsidP="000D2200">
      <w:pPr>
        <w:pStyle w:val="SingleTxtGA"/>
        <w:spacing w:line="346" w:lineRule="exact"/>
        <w:rPr>
          <w:color w:val="000000"/>
          <w:lang w:val="en-US"/>
        </w:rPr>
      </w:pPr>
      <w:r w:rsidRPr="001472AB">
        <w:rPr>
          <w:rtl/>
          <w:lang w:val="en-US"/>
        </w:rPr>
        <w:t>8</w:t>
      </w:r>
      <w:r w:rsidRPr="00064D5D">
        <w:rPr>
          <w:rtl/>
          <w:lang w:val="en-US"/>
        </w:rPr>
        <w:t>-</w:t>
      </w:r>
      <w:r w:rsidRPr="00064D5D">
        <w:rPr>
          <w:rtl/>
          <w:lang w:val="en-US"/>
        </w:rPr>
        <w:tab/>
      </w:r>
      <w:r w:rsidRPr="00AD37DA">
        <w:rPr>
          <w:spacing w:val="-2"/>
          <w:rtl/>
          <w:lang w:val="en-US"/>
        </w:rPr>
        <w:t xml:space="preserve">تحيط اللجنة علماً بالمعلومات التي وردت أثناء الحوار فيما يتعلق بالقضية موضوع الطلب المقدم </w:t>
      </w:r>
      <w:r w:rsidRPr="00064D5D">
        <w:rPr>
          <w:rtl/>
          <w:lang w:val="en-US"/>
        </w:rPr>
        <w:t xml:space="preserve">لاتخاذ إجراءات عاجلة والمُـحال إلى الدولة الطرف في عام </w:t>
      </w:r>
      <w:r w:rsidRPr="001472AB">
        <w:rPr>
          <w:rtl/>
          <w:lang w:val="en-US"/>
        </w:rPr>
        <w:t>202</w:t>
      </w:r>
      <w:r w:rsidR="00AD37DA" w:rsidRPr="001472AB">
        <w:rPr>
          <w:color w:val="000000"/>
          <w:rtl/>
          <w:lang w:val="en-US"/>
        </w:rPr>
        <w:t>0</w:t>
      </w:r>
      <w:r w:rsidR="00AD37DA" w:rsidRPr="00AD37DA">
        <w:rPr>
          <w:color w:val="000000"/>
          <w:rtl/>
          <w:lang w:val="en-US"/>
        </w:rPr>
        <w:t xml:space="preserve">. </w:t>
      </w:r>
      <w:r w:rsidRPr="00064D5D">
        <w:rPr>
          <w:rtl/>
          <w:lang w:val="en-US"/>
        </w:rPr>
        <w:t>بيد أن اللجنة تعرب عن أسفها</w:t>
      </w:r>
      <w:r w:rsidR="000D2200">
        <w:rPr>
          <w:rtl/>
          <w:lang w:val="en-US"/>
        </w:rPr>
        <w:t xml:space="preserve"> </w:t>
      </w:r>
      <w:r w:rsidRPr="00064D5D">
        <w:rPr>
          <w:rtl/>
          <w:lang w:val="en-US"/>
        </w:rPr>
        <w:t xml:space="preserve">لأنها لم تتلق أي رد على طلبات الحصول على معلومات في إطار هذا الإجراء، على الرغم من توجيه رسائل تذكير عديدة (المادة </w:t>
      </w:r>
      <w:r w:rsidRPr="001472AB">
        <w:rPr>
          <w:rtl/>
          <w:lang w:val="en-US"/>
        </w:rPr>
        <w:t>3</w:t>
      </w:r>
      <w:r w:rsidR="00AD37DA" w:rsidRPr="001472AB">
        <w:rPr>
          <w:color w:val="000000"/>
          <w:rtl/>
          <w:lang w:val="en-US"/>
        </w:rPr>
        <w:t>0</w:t>
      </w:r>
      <w:r w:rsidR="00AD37DA" w:rsidRPr="00AD37DA">
        <w:rPr>
          <w:color w:val="000000"/>
          <w:rtl/>
          <w:lang w:val="en-US"/>
        </w:rPr>
        <w:t>).</w:t>
      </w:r>
    </w:p>
    <w:p w14:paraId="3FD59B5E" w14:textId="4E1A95C6" w:rsidR="00064D5D" w:rsidRPr="001472AB" w:rsidRDefault="00064D5D" w:rsidP="000D2200">
      <w:pPr>
        <w:pStyle w:val="SingleTxtGA"/>
        <w:spacing w:line="346" w:lineRule="exact"/>
        <w:rPr>
          <w:b/>
          <w:bCs/>
          <w:lang w:val="en-US"/>
        </w:rPr>
      </w:pPr>
      <w:r w:rsidRPr="001472AB">
        <w:rPr>
          <w:rtl/>
          <w:lang w:val="en-US"/>
        </w:rPr>
        <w:t>9</w:t>
      </w:r>
      <w:r w:rsidRPr="00064D5D">
        <w:rPr>
          <w:rtl/>
          <w:lang w:val="en-US"/>
        </w:rPr>
        <w:t>-</w:t>
      </w:r>
      <w:r w:rsidRPr="00064D5D">
        <w:rPr>
          <w:rtl/>
          <w:lang w:val="en-US"/>
        </w:rPr>
        <w:tab/>
      </w:r>
      <w:r w:rsidRPr="001472AB">
        <w:rPr>
          <w:b/>
          <w:bCs/>
          <w:rtl/>
          <w:lang w:val="en-US"/>
        </w:rPr>
        <w:t>تحث اللجنة الدولة الطرف على تعزيز تعاونها في إطار الإجراء العاجل والرد دون إبطاء على البلاغات التي تحيلها إليها اللجنة لغرض تزويدها بمعلومات عن التدابير المتخذة من أجل البحث عن الأشخاص المفقودين والتحقيق بشأن اختفائهم. وتدعو اللجنة أيضاً الدولة</w:t>
      </w:r>
      <w:r w:rsidR="000D2200" w:rsidRPr="001472AB">
        <w:rPr>
          <w:b/>
          <w:bCs/>
          <w:rtl/>
          <w:lang w:val="en-US"/>
        </w:rPr>
        <w:t xml:space="preserve"> </w:t>
      </w:r>
      <w:r w:rsidRPr="001472AB">
        <w:rPr>
          <w:b/>
          <w:bCs/>
          <w:rtl/>
          <w:lang w:val="en-US"/>
        </w:rPr>
        <w:t>الطرف إلى نشر معلومات عن الإجراء العاجل لفائدة الجهات الفاعلة في المجتمع المدني وعامة الجمهور.</w:t>
      </w:r>
    </w:p>
    <w:p w14:paraId="00B63F5E" w14:textId="77777777" w:rsidR="00064D5D" w:rsidRPr="001472AB" w:rsidRDefault="00064D5D" w:rsidP="000D2200">
      <w:pPr>
        <w:pStyle w:val="H23GA"/>
        <w:spacing w:line="346" w:lineRule="exact"/>
      </w:pPr>
      <w:r w:rsidRPr="001472AB">
        <w:rPr>
          <w:rtl/>
        </w:rPr>
        <w:tab/>
      </w:r>
      <w:r w:rsidRPr="001472AB">
        <w:rPr>
          <w:rtl/>
        </w:rPr>
        <w:tab/>
        <w:t>البلاغات الفردية أو فيما بين الدول</w:t>
      </w:r>
    </w:p>
    <w:p w14:paraId="4074C73B" w14:textId="23A1C668" w:rsidR="00AD37DA" w:rsidRPr="00AD37DA" w:rsidRDefault="00064D5D" w:rsidP="000D2200">
      <w:pPr>
        <w:pStyle w:val="SingleTxtGA"/>
        <w:spacing w:line="346" w:lineRule="exact"/>
        <w:rPr>
          <w:color w:val="000000"/>
          <w:lang w:val="en-US"/>
        </w:rPr>
      </w:pPr>
      <w:r w:rsidRPr="001472AB">
        <w:rPr>
          <w:rtl/>
          <w:lang w:val="en-US"/>
        </w:rPr>
        <w:t>10</w:t>
      </w:r>
      <w:r w:rsidRPr="00064D5D">
        <w:rPr>
          <w:rtl/>
          <w:lang w:val="en-US"/>
        </w:rPr>
        <w:t>-</w:t>
      </w:r>
      <w:r w:rsidRPr="00064D5D">
        <w:rPr>
          <w:rtl/>
          <w:lang w:val="en-US"/>
        </w:rPr>
        <w:tab/>
        <w:t xml:space="preserve">تلاحظ اللجنة أن الدولة الطرف لم تعترف بعد باختصاص اللجنة في تلقي البلاغات الفردية </w:t>
      </w:r>
      <w:r w:rsidRPr="00AD37DA">
        <w:rPr>
          <w:spacing w:val="-2"/>
          <w:rtl/>
          <w:lang w:val="en-US"/>
        </w:rPr>
        <w:t>أو</w:t>
      </w:r>
      <w:r w:rsidR="00AD37DA" w:rsidRPr="00AD37DA">
        <w:rPr>
          <w:rFonts w:hint="cs"/>
          <w:spacing w:val="-2"/>
          <w:rtl/>
          <w:lang w:val="en-US"/>
        </w:rPr>
        <w:t> </w:t>
      </w:r>
      <w:r w:rsidRPr="00AD37DA">
        <w:rPr>
          <w:spacing w:val="-2"/>
          <w:rtl/>
          <w:lang w:val="en-US"/>
        </w:rPr>
        <w:t>فيما بين الدول والنظر فيها. غير أنها ترحب بما قيل أثناء الحوار من أن وزير الخارجية سيصدر الإعلان</w:t>
      </w:r>
      <w:r w:rsidRPr="00064D5D">
        <w:rPr>
          <w:rtl/>
          <w:lang w:val="en-US"/>
        </w:rPr>
        <w:t xml:space="preserve"> قريباً وفقاً للمادة </w:t>
      </w:r>
      <w:r w:rsidRPr="001472AB">
        <w:rPr>
          <w:rtl/>
          <w:lang w:val="en-US"/>
        </w:rPr>
        <w:t>31</w:t>
      </w:r>
      <w:r w:rsidRPr="00064D5D">
        <w:rPr>
          <w:rtl/>
          <w:lang w:val="en-US"/>
        </w:rPr>
        <w:t xml:space="preserve"> من الاتفاقية (المادتان </w:t>
      </w:r>
      <w:r w:rsidRPr="001472AB">
        <w:rPr>
          <w:rtl/>
          <w:lang w:val="en-US"/>
        </w:rPr>
        <w:t>31</w:t>
      </w:r>
      <w:r w:rsidRPr="00064D5D">
        <w:rPr>
          <w:rtl/>
          <w:lang w:val="en-US"/>
        </w:rPr>
        <w:t xml:space="preserve"> و</w:t>
      </w:r>
      <w:r w:rsidRPr="001472AB">
        <w:rPr>
          <w:rtl/>
          <w:lang w:val="en-US"/>
        </w:rPr>
        <w:t>3</w:t>
      </w:r>
      <w:r w:rsidR="00AD37DA" w:rsidRPr="001472AB">
        <w:rPr>
          <w:color w:val="000000"/>
          <w:rtl/>
          <w:lang w:val="en-US"/>
        </w:rPr>
        <w:t>2</w:t>
      </w:r>
      <w:r w:rsidR="00AD37DA" w:rsidRPr="00AD37DA">
        <w:rPr>
          <w:color w:val="000000"/>
          <w:rtl/>
          <w:lang w:val="en-US"/>
        </w:rPr>
        <w:t>).</w:t>
      </w:r>
    </w:p>
    <w:p w14:paraId="088FDBFA" w14:textId="29C8DBE4" w:rsidR="00064D5D" w:rsidRPr="001472AB" w:rsidRDefault="00064D5D" w:rsidP="000D2200">
      <w:pPr>
        <w:pStyle w:val="SingleTxtGA"/>
        <w:spacing w:line="346" w:lineRule="exact"/>
        <w:rPr>
          <w:b/>
          <w:bCs/>
          <w:lang w:val="en-US"/>
        </w:rPr>
      </w:pPr>
      <w:r w:rsidRPr="001472AB">
        <w:rPr>
          <w:rtl/>
          <w:lang w:val="en-US"/>
        </w:rPr>
        <w:t>11</w:t>
      </w:r>
      <w:r w:rsidRPr="000D2200">
        <w:rPr>
          <w:rtl/>
          <w:lang w:val="en-US"/>
        </w:rPr>
        <w:t>-</w:t>
      </w:r>
      <w:r w:rsidRPr="000D2200">
        <w:rPr>
          <w:rtl/>
          <w:lang w:val="en-US"/>
        </w:rPr>
        <w:tab/>
      </w:r>
      <w:r w:rsidRPr="001472AB">
        <w:rPr>
          <w:rFonts w:ascii="Times New Roman Bold" w:hAnsi="Times New Roman Bold"/>
          <w:b/>
          <w:bCs/>
          <w:spacing w:val="-4"/>
          <w:rtl/>
          <w:lang w:val="en-US"/>
        </w:rPr>
        <w:t>تشجع اللجنة الدولة الطرف على الاعتراف باختصاص اللجنة في تلقي البلاغات الفردية وفيما</w:t>
      </w:r>
      <w:r w:rsidR="00AD37DA" w:rsidRPr="001472AB">
        <w:rPr>
          <w:rFonts w:ascii="Times New Roman Bold" w:hAnsi="Times New Roman Bold" w:hint="cs"/>
          <w:b/>
          <w:bCs/>
          <w:spacing w:val="-4"/>
          <w:rtl/>
          <w:lang w:val="en-US"/>
        </w:rPr>
        <w:t> </w:t>
      </w:r>
      <w:r w:rsidRPr="001472AB">
        <w:rPr>
          <w:rFonts w:ascii="Times New Roman Bold" w:hAnsi="Times New Roman Bold"/>
          <w:b/>
          <w:bCs/>
          <w:spacing w:val="-4"/>
          <w:rtl/>
          <w:lang w:val="en-US"/>
        </w:rPr>
        <w:t>بين</w:t>
      </w:r>
      <w:r w:rsidRPr="001472AB">
        <w:rPr>
          <w:b/>
          <w:bCs/>
          <w:rtl/>
          <w:lang w:val="en-US"/>
        </w:rPr>
        <w:t xml:space="preserve"> الدول والنظر فيها وفقاً للمادتين 31 و32 من الاتفاقية، بغية تعزيز نظام الحماية من حالات الاختفاء</w:t>
      </w:r>
      <w:r w:rsidR="00AD37DA" w:rsidRPr="001472AB">
        <w:rPr>
          <w:rFonts w:hint="cs"/>
          <w:b/>
          <w:bCs/>
          <w:rtl/>
          <w:lang w:val="en-US"/>
        </w:rPr>
        <w:t> </w:t>
      </w:r>
      <w:r w:rsidRPr="001472AB">
        <w:rPr>
          <w:b/>
          <w:bCs/>
          <w:rtl/>
          <w:lang w:val="en-US"/>
        </w:rPr>
        <w:t>القسري.</w:t>
      </w:r>
    </w:p>
    <w:p w14:paraId="11F6BB06" w14:textId="77777777" w:rsidR="00064D5D" w:rsidRPr="001472AB" w:rsidRDefault="00064D5D" w:rsidP="000D2200">
      <w:pPr>
        <w:pStyle w:val="H23GA"/>
        <w:spacing w:line="346" w:lineRule="exact"/>
      </w:pPr>
      <w:r w:rsidRPr="001472AB">
        <w:rPr>
          <w:rtl/>
        </w:rPr>
        <w:tab/>
      </w:r>
      <w:r w:rsidRPr="001472AB">
        <w:rPr>
          <w:rtl/>
        </w:rPr>
        <w:tab/>
        <w:t>انطباق الاتفاقية</w:t>
      </w:r>
    </w:p>
    <w:p w14:paraId="1E716D34" w14:textId="250916ED" w:rsidR="00AD37DA" w:rsidRPr="00AD37DA" w:rsidRDefault="00064D5D" w:rsidP="000D2200">
      <w:pPr>
        <w:pStyle w:val="SingleTxtGA"/>
        <w:spacing w:line="346" w:lineRule="exact"/>
        <w:rPr>
          <w:color w:val="000000"/>
          <w:lang w:val="en-US"/>
        </w:rPr>
      </w:pPr>
      <w:r w:rsidRPr="001472AB">
        <w:rPr>
          <w:rtl/>
          <w:lang w:val="en-US"/>
        </w:rPr>
        <w:t>12</w:t>
      </w:r>
      <w:r w:rsidRPr="00064D5D">
        <w:rPr>
          <w:rtl/>
          <w:lang w:val="en-US"/>
        </w:rPr>
        <w:t>-</w:t>
      </w:r>
      <w:r w:rsidRPr="00064D5D">
        <w:rPr>
          <w:rtl/>
          <w:lang w:val="en-US"/>
        </w:rPr>
        <w:tab/>
        <w:t xml:space="preserve">تأسف اللجنة لعدم تسجيل أي قرار صدر عن المحاكم بشأن حالات الاختفاء القسري، وتأسف </w:t>
      </w:r>
      <w:r w:rsidRPr="00AD37DA">
        <w:rPr>
          <w:spacing w:val="-4"/>
          <w:rtl/>
          <w:lang w:val="en-US"/>
        </w:rPr>
        <w:t>لأن عدم تنفيذ الاتفاقية يعزى، وفقاً للدولة الطرف إلى أمور منها أن القضاة وغيرهم من الجهات الفاعلة القضائية</w:t>
      </w:r>
      <w:r w:rsidRPr="00064D5D">
        <w:rPr>
          <w:rtl/>
          <w:lang w:val="en-US"/>
        </w:rPr>
        <w:t xml:space="preserve"> لا يدركون وجود الاتفاقية ذاتها</w:t>
      </w:r>
      <w:r w:rsidR="00AD37DA">
        <w:rPr>
          <w:rStyle w:val="FootnoteReference"/>
          <w:szCs w:val="22"/>
          <w:rtl/>
        </w:rPr>
        <w:t>(</w:t>
      </w:r>
      <w:r w:rsidR="00AD37DA" w:rsidRPr="001472AB">
        <w:rPr>
          <w:rStyle w:val="FootnoteReference"/>
          <w:szCs w:val="22"/>
          <w:lang w:val="en-US"/>
        </w:rPr>
        <w:footnoteReference w:id="6"/>
      </w:r>
      <w:r w:rsidR="00AD37DA" w:rsidRPr="00AD37DA">
        <w:rPr>
          <w:color w:val="000000"/>
          <w:vertAlign w:val="superscript"/>
          <w:rtl/>
          <w:lang w:val="en-US"/>
        </w:rPr>
        <w:t>)</w:t>
      </w:r>
      <w:r w:rsidR="00AD37DA" w:rsidRPr="00AD37DA">
        <w:rPr>
          <w:color w:val="000000"/>
          <w:rtl/>
          <w:lang w:val="en-US"/>
        </w:rPr>
        <w:t>.</w:t>
      </w:r>
      <w:r w:rsidR="00AD37DA" w:rsidRPr="00AD37DA">
        <w:rPr>
          <w:color w:val="000000"/>
          <w:rtl/>
          <w:lang w:val="en-US"/>
        </w:rPr>
        <w:t xml:space="preserve"> </w:t>
      </w:r>
      <w:r w:rsidRPr="00064D5D">
        <w:rPr>
          <w:rtl/>
          <w:lang w:val="en-US"/>
        </w:rPr>
        <w:t xml:space="preserve">وفي هذا الصدد، تلاحظ اللجنة مع التقدير المعلومات المقدمة أثناء الحوار بشأن الجهود المبذولة للتعريف بالاتفاقية (المادة </w:t>
      </w:r>
      <w:r w:rsidRPr="001472AB">
        <w:rPr>
          <w:rtl/>
          <w:lang w:val="en-US"/>
        </w:rPr>
        <w:t>2</w:t>
      </w:r>
      <w:r w:rsidR="00AD37DA" w:rsidRPr="001472AB">
        <w:rPr>
          <w:color w:val="000000"/>
          <w:rtl/>
          <w:lang w:val="en-US"/>
        </w:rPr>
        <w:t>3</w:t>
      </w:r>
      <w:r w:rsidR="00AD37DA" w:rsidRPr="00AD37DA">
        <w:rPr>
          <w:color w:val="000000"/>
          <w:rtl/>
          <w:lang w:val="en-US"/>
        </w:rPr>
        <w:t>).</w:t>
      </w:r>
    </w:p>
    <w:p w14:paraId="3B60A908" w14:textId="00772D06" w:rsidR="00064D5D" w:rsidRPr="001472AB" w:rsidRDefault="00064D5D" w:rsidP="000D2200">
      <w:pPr>
        <w:pStyle w:val="SingleTxtGA"/>
        <w:spacing w:line="346" w:lineRule="exact"/>
        <w:rPr>
          <w:b/>
          <w:bCs/>
          <w:lang w:val="en-US"/>
        </w:rPr>
      </w:pPr>
      <w:r w:rsidRPr="001472AB">
        <w:rPr>
          <w:rtl/>
          <w:lang w:val="en-US"/>
        </w:rPr>
        <w:t>13</w:t>
      </w:r>
      <w:r w:rsidRPr="00064D5D">
        <w:rPr>
          <w:rtl/>
          <w:lang w:val="en-US"/>
        </w:rPr>
        <w:t>-</w:t>
      </w:r>
      <w:r w:rsidRPr="00064D5D">
        <w:rPr>
          <w:rtl/>
          <w:lang w:val="en-US"/>
        </w:rPr>
        <w:tab/>
      </w:r>
      <w:r w:rsidRPr="001472AB">
        <w:rPr>
          <w:rFonts w:ascii="Times New Roman Bold" w:hAnsi="Times New Roman Bold"/>
          <w:b/>
          <w:bCs/>
          <w:spacing w:val="-2"/>
          <w:rtl/>
          <w:lang w:val="en-US"/>
        </w:rPr>
        <w:t>توصي اللجنة الدولة الطرف بتعزيز جهودها الرامية إلى توفير التدريب للقضاة والمدعين العامين</w:t>
      </w:r>
      <w:r w:rsidRPr="001472AB">
        <w:rPr>
          <w:b/>
          <w:bCs/>
          <w:rtl/>
          <w:lang w:val="en-US"/>
        </w:rPr>
        <w:t xml:space="preserve"> والمحامين بشأن الاتفاقية لكي تطبقها المحاكم الوطنية وتأخذها بعين الاعتبار.</w:t>
      </w:r>
    </w:p>
    <w:p w14:paraId="3DC4B9A3" w14:textId="7E8A85A4" w:rsidR="00AD37DA" w:rsidRPr="001472AB" w:rsidRDefault="00064D5D" w:rsidP="00513467">
      <w:pPr>
        <w:pStyle w:val="H23GA"/>
        <w:rPr>
          <w:color w:val="000000"/>
        </w:rPr>
      </w:pPr>
      <w:r w:rsidRPr="001472AB">
        <w:rPr>
          <w:rtl/>
        </w:rPr>
        <w:lastRenderedPageBreak/>
        <w:tab/>
        <w:t>2-</w:t>
      </w:r>
      <w:r w:rsidRPr="001472AB">
        <w:rPr>
          <w:rtl/>
        </w:rPr>
        <w:tab/>
        <w:t xml:space="preserve">تعريف الاختفاء القسري وتجريمه (المواد من 1 إلى </w:t>
      </w:r>
      <w:r w:rsidR="00AD37DA" w:rsidRPr="001472AB">
        <w:rPr>
          <w:color w:val="000000"/>
          <w:rtl/>
        </w:rPr>
        <w:t>7</w:t>
      </w:r>
      <w:r w:rsidR="00AD37DA" w:rsidRPr="001472AB">
        <w:rPr>
          <w:rFonts w:hint="cs"/>
          <w:color w:val="000000"/>
          <w:rtl/>
        </w:rPr>
        <w:t>)</w:t>
      </w:r>
    </w:p>
    <w:p w14:paraId="1742833C" w14:textId="3F127529" w:rsidR="00064D5D" w:rsidRPr="001472AB" w:rsidRDefault="00064D5D" w:rsidP="00513467">
      <w:pPr>
        <w:pStyle w:val="H23GA"/>
      </w:pPr>
      <w:r w:rsidRPr="001472AB">
        <w:rPr>
          <w:rtl/>
        </w:rPr>
        <w:tab/>
      </w:r>
      <w:r w:rsidRPr="001472AB">
        <w:rPr>
          <w:rtl/>
        </w:rPr>
        <w:tab/>
        <w:t>المعلومات الإحصائية</w:t>
      </w:r>
    </w:p>
    <w:p w14:paraId="6E2E3AE5" w14:textId="1EAC070B" w:rsidR="00AD37DA" w:rsidRPr="00AD37DA" w:rsidRDefault="00064D5D" w:rsidP="00064D5D">
      <w:pPr>
        <w:pStyle w:val="SingleTxtGA"/>
        <w:rPr>
          <w:color w:val="000000"/>
          <w:lang w:val="en-US"/>
        </w:rPr>
      </w:pPr>
      <w:r w:rsidRPr="001472AB">
        <w:rPr>
          <w:rtl/>
          <w:lang w:val="en-US"/>
        </w:rPr>
        <w:t>14</w:t>
      </w:r>
      <w:r w:rsidRPr="00064D5D">
        <w:rPr>
          <w:rtl/>
          <w:lang w:val="en-US"/>
        </w:rPr>
        <w:t>-</w:t>
      </w:r>
      <w:r w:rsidRPr="00064D5D">
        <w:rPr>
          <w:rtl/>
          <w:lang w:val="en-US"/>
        </w:rPr>
        <w:tab/>
        <w:t xml:space="preserve">تشير اللجنة، في ردودها على قائمة المسائل، إلى أن الدولة الطرف ذكرت أنها لا تملك بيانات </w:t>
      </w:r>
      <w:r w:rsidRPr="000D2200">
        <w:rPr>
          <w:spacing w:val="-2"/>
          <w:rtl/>
          <w:lang w:val="en-US"/>
        </w:rPr>
        <w:t>إحصائية مصنّفة عن الأشخاص المفقودين</w:t>
      </w:r>
      <w:r w:rsidR="00AD37DA">
        <w:rPr>
          <w:rStyle w:val="FootnoteReference"/>
          <w:spacing w:val="-2"/>
          <w:szCs w:val="22"/>
          <w:rtl/>
        </w:rPr>
        <w:t>(</w:t>
      </w:r>
      <w:r w:rsidR="00AD37DA" w:rsidRPr="001472AB">
        <w:rPr>
          <w:rStyle w:val="FootnoteReference"/>
          <w:spacing w:val="-2"/>
          <w:szCs w:val="22"/>
          <w:lang w:val="en-US"/>
        </w:rPr>
        <w:footnoteReference w:id="7"/>
      </w:r>
      <w:r w:rsidR="00AD37DA" w:rsidRPr="00AD37DA">
        <w:rPr>
          <w:color w:val="000000"/>
          <w:spacing w:val="-2"/>
          <w:vertAlign w:val="superscript"/>
          <w:rtl/>
          <w:lang w:val="en-US"/>
        </w:rPr>
        <w:t>)</w:t>
      </w:r>
      <w:r w:rsidR="00AD37DA" w:rsidRPr="00AD37DA">
        <w:rPr>
          <w:color w:val="000000"/>
          <w:spacing w:val="-2"/>
          <w:rtl/>
          <w:lang w:val="en-US"/>
        </w:rPr>
        <w:t>.</w:t>
      </w:r>
      <w:r w:rsidR="00AD37DA" w:rsidRPr="00AD37DA">
        <w:rPr>
          <w:color w:val="000000"/>
          <w:spacing w:val="-2"/>
          <w:rtl/>
          <w:lang w:val="en-US"/>
        </w:rPr>
        <w:t xml:space="preserve"> </w:t>
      </w:r>
      <w:r w:rsidRPr="000D2200">
        <w:rPr>
          <w:spacing w:val="-2"/>
          <w:rtl/>
          <w:lang w:val="en-US"/>
        </w:rPr>
        <w:t>بيد أن الدولة الطرف ذكرت أثناء الحوار أن لديها إحصاءات</w:t>
      </w:r>
      <w:r w:rsidRPr="00064D5D">
        <w:rPr>
          <w:rtl/>
          <w:lang w:val="en-US"/>
        </w:rPr>
        <w:t xml:space="preserve"> مصنفة حسب المنطقة عن حالات الاختفاء التي تقف وراءها جماعات مسلحة. وتأسف اللجنة لعدم تلقيها هذه المعلومات (المواد </w:t>
      </w:r>
      <w:r w:rsidRPr="001472AB">
        <w:rPr>
          <w:rtl/>
          <w:lang w:val="en-US"/>
        </w:rPr>
        <w:t>1</w:t>
      </w:r>
      <w:r w:rsidRPr="00064D5D">
        <w:rPr>
          <w:rtl/>
          <w:lang w:val="en-US"/>
        </w:rPr>
        <w:t xml:space="preserve"> و</w:t>
      </w:r>
      <w:r w:rsidRPr="001472AB">
        <w:rPr>
          <w:rtl/>
          <w:lang w:val="en-US"/>
        </w:rPr>
        <w:t>2</w:t>
      </w:r>
      <w:r w:rsidRPr="00064D5D">
        <w:rPr>
          <w:rtl/>
          <w:lang w:val="en-US"/>
        </w:rPr>
        <w:t xml:space="preserve"> و</w:t>
      </w:r>
      <w:r w:rsidRPr="001472AB">
        <w:rPr>
          <w:rtl/>
          <w:lang w:val="en-US"/>
        </w:rPr>
        <w:t>3</w:t>
      </w:r>
      <w:r w:rsidRPr="00064D5D">
        <w:rPr>
          <w:rtl/>
          <w:lang w:val="en-US"/>
        </w:rPr>
        <w:t xml:space="preserve"> و</w:t>
      </w:r>
      <w:r w:rsidRPr="001472AB">
        <w:rPr>
          <w:rtl/>
          <w:lang w:val="en-US"/>
        </w:rPr>
        <w:t>12</w:t>
      </w:r>
      <w:r w:rsidRPr="00064D5D">
        <w:rPr>
          <w:rtl/>
          <w:lang w:val="en-US"/>
        </w:rPr>
        <w:t xml:space="preserve"> و</w:t>
      </w:r>
      <w:r w:rsidRPr="001472AB">
        <w:rPr>
          <w:rtl/>
          <w:lang w:val="en-US"/>
        </w:rPr>
        <w:t>2</w:t>
      </w:r>
      <w:r w:rsidR="00AD37DA" w:rsidRPr="001472AB">
        <w:rPr>
          <w:color w:val="000000"/>
          <w:rtl/>
          <w:lang w:val="en-US"/>
        </w:rPr>
        <w:t>4</w:t>
      </w:r>
      <w:r w:rsidR="00AD37DA" w:rsidRPr="00AD37DA">
        <w:rPr>
          <w:color w:val="000000"/>
          <w:rtl/>
          <w:lang w:val="en-US"/>
        </w:rPr>
        <w:t>).</w:t>
      </w:r>
    </w:p>
    <w:p w14:paraId="46D22438" w14:textId="7E9660C5" w:rsidR="00064D5D" w:rsidRPr="001472AB" w:rsidRDefault="00064D5D" w:rsidP="00064D5D">
      <w:pPr>
        <w:pStyle w:val="SingleTxtGA"/>
        <w:rPr>
          <w:rFonts w:ascii="Times New Roman Bold" w:hAnsi="Times New Roman Bold"/>
          <w:b/>
          <w:bCs/>
          <w:lang w:val="en-US"/>
        </w:rPr>
      </w:pPr>
      <w:r w:rsidRPr="001472AB">
        <w:rPr>
          <w:rtl/>
          <w:lang w:val="en-US"/>
        </w:rPr>
        <w:t>15</w:t>
      </w:r>
      <w:r w:rsidRPr="00064D5D">
        <w:rPr>
          <w:rtl/>
          <w:lang w:val="en-US"/>
        </w:rPr>
        <w:t>-</w:t>
      </w:r>
      <w:r w:rsidRPr="00064D5D">
        <w:rPr>
          <w:rtl/>
          <w:lang w:val="en-US"/>
        </w:rPr>
        <w:tab/>
      </w:r>
      <w:r w:rsidRPr="001472AB">
        <w:rPr>
          <w:rFonts w:ascii="Times New Roman Bold" w:hAnsi="Times New Roman Bold"/>
          <w:b/>
          <w:bCs/>
          <w:rtl/>
          <w:lang w:val="en-US"/>
        </w:rPr>
        <w:t>ينبغي للدولة الطرف أن تعد دون إبطاء معلومات إحصائية دقيقة ومحدثة عن الأشخاص المفقودين، تكون مصنّفة حسب الجنس والميل الجنسي والهوية الجنسانية والعمر والجنسية ومكان المنشأ والأصل العرقي أو الإثني. وينبغي أن تتضمن هذه المعلومات تاريخ الاختفاء؛ وعدد الأشخاص المفقودين الذين حدّد مكانهم، سواء أكانوا أحياء أم لا؛ وعدد الحالات التي يُدعى أن الدولة شاركت فيها، بطريقة أو</w:t>
      </w:r>
      <w:r w:rsidR="000D2200" w:rsidRPr="001472AB">
        <w:rPr>
          <w:rFonts w:ascii="Times New Roman Bold" w:hAnsi="Times New Roman Bold" w:hint="cs"/>
          <w:b/>
          <w:bCs/>
          <w:rtl/>
          <w:lang w:val="en-US"/>
        </w:rPr>
        <w:t> </w:t>
      </w:r>
      <w:r w:rsidRPr="001472AB">
        <w:rPr>
          <w:rFonts w:ascii="Times New Roman Bold" w:hAnsi="Times New Roman Bold"/>
          <w:b/>
          <w:bCs/>
          <w:rtl/>
          <w:lang w:val="en-US"/>
        </w:rPr>
        <w:t>بأخرى، بالمعنى المقصود في المادة 2 من الاتفاقية.</w:t>
      </w:r>
    </w:p>
    <w:p w14:paraId="06C45DE0" w14:textId="77777777" w:rsidR="00064D5D" w:rsidRPr="001472AB" w:rsidRDefault="00064D5D" w:rsidP="00513467">
      <w:pPr>
        <w:pStyle w:val="H23GA"/>
      </w:pPr>
      <w:r w:rsidRPr="001472AB">
        <w:rPr>
          <w:rtl/>
        </w:rPr>
        <w:tab/>
      </w:r>
      <w:r w:rsidRPr="001472AB">
        <w:rPr>
          <w:rtl/>
        </w:rPr>
        <w:tab/>
        <w:t>جريمة الاختفاء القسري</w:t>
      </w:r>
    </w:p>
    <w:p w14:paraId="0B886A94" w14:textId="2DE0D748" w:rsidR="00AD37DA" w:rsidRPr="00AD37DA" w:rsidRDefault="00064D5D" w:rsidP="00064D5D">
      <w:pPr>
        <w:pStyle w:val="SingleTxtGA"/>
        <w:rPr>
          <w:color w:val="000000"/>
          <w:lang w:val="en-US"/>
        </w:rPr>
      </w:pPr>
      <w:r w:rsidRPr="001472AB">
        <w:rPr>
          <w:rtl/>
          <w:lang w:val="en-US"/>
        </w:rPr>
        <w:t>16</w:t>
      </w:r>
      <w:r w:rsidRPr="00064D5D">
        <w:rPr>
          <w:rtl/>
          <w:lang w:val="en-US"/>
        </w:rPr>
        <w:t>-</w:t>
      </w:r>
      <w:r w:rsidRPr="00064D5D">
        <w:rPr>
          <w:rtl/>
          <w:lang w:val="en-US"/>
        </w:rPr>
        <w:tab/>
      </w:r>
      <w:r w:rsidRPr="000D2200">
        <w:rPr>
          <w:spacing w:val="-2"/>
          <w:rtl/>
          <w:lang w:val="en-US"/>
        </w:rPr>
        <w:t>يساور اللجنة القلق لأن الاختفاء القسري ما زال لا يشكل جريمة قائمة بذاتها في القانون المحلي.</w:t>
      </w:r>
      <w:r w:rsidRPr="00064D5D">
        <w:rPr>
          <w:rtl/>
          <w:lang w:val="en-US"/>
        </w:rPr>
        <w:t xml:space="preserve"> بيد أنها تلاحظ بارتياح أن مجلس الوزراء اعتمد في </w:t>
      </w:r>
      <w:r w:rsidRPr="001472AB">
        <w:rPr>
          <w:rtl/>
          <w:lang w:val="en-US"/>
        </w:rPr>
        <w:t>24</w:t>
      </w:r>
      <w:r w:rsidRPr="00064D5D">
        <w:rPr>
          <w:rtl/>
          <w:lang w:val="en-US"/>
        </w:rPr>
        <w:t xml:space="preserve"> شباط/فبراير </w:t>
      </w:r>
      <w:r w:rsidRPr="001472AB">
        <w:rPr>
          <w:rtl/>
          <w:lang w:val="en-US"/>
        </w:rPr>
        <w:t>2022</w:t>
      </w:r>
      <w:r w:rsidRPr="00064D5D">
        <w:rPr>
          <w:rtl/>
          <w:lang w:val="en-US"/>
        </w:rPr>
        <w:t xml:space="preserve"> مشروع قانون يجرم أعمال الاختفاء القسري، وهو مشروع سوف يُقدم قريباً إلى البرلمان (المواد </w:t>
      </w:r>
      <w:r w:rsidRPr="001472AB">
        <w:rPr>
          <w:rtl/>
          <w:lang w:val="en-US"/>
        </w:rPr>
        <w:t>2</w:t>
      </w:r>
      <w:r w:rsidRPr="00064D5D">
        <w:rPr>
          <w:rtl/>
          <w:lang w:val="en-US"/>
        </w:rPr>
        <w:t xml:space="preserve"> و</w:t>
      </w:r>
      <w:r w:rsidRPr="001472AB">
        <w:rPr>
          <w:rtl/>
          <w:lang w:val="en-US"/>
        </w:rPr>
        <w:t>4</w:t>
      </w:r>
      <w:r w:rsidRPr="00064D5D">
        <w:rPr>
          <w:rtl/>
          <w:lang w:val="en-US"/>
        </w:rPr>
        <w:t xml:space="preserve"> و</w:t>
      </w:r>
      <w:r w:rsidRPr="001472AB">
        <w:rPr>
          <w:rtl/>
          <w:lang w:val="en-US"/>
        </w:rPr>
        <w:t>6</w:t>
      </w:r>
      <w:r w:rsidRPr="00064D5D">
        <w:rPr>
          <w:rtl/>
          <w:lang w:val="en-US"/>
        </w:rPr>
        <w:t xml:space="preserve"> و</w:t>
      </w:r>
      <w:r w:rsidRPr="001472AB">
        <w:rPr>
          <w:rtl/>
          <w:lang w:val="en-US"/>
        </w:rPr>
        <w:t>7</w:t>
      </w:r>
      <w:r w:rsidRPr="00064D5D">
        <w:rPr>
          <w:rtl/>
          <w:lang w:val="en-US"/>
        </w:rPr>
        <w:t xml:space="preserve"> و</w:t>
      </w:r>
      <w:r w:rsidR="00AD37DA" w:rsidRPr="001472AB">
        <w:rPr>
          <w:color w:val="000000"/>
          <w:rtl/>
          <w:lang w:val="en-US"/>
        </w:rPr>
        <w:t>8</w:t>
      </w:r>
      <w:r w:rsidR="00AD37DA" w:rsidRPr="00AD37DA">
        <w:rPr>
          <w:color w:val="000000"/>
          <w:rtl/>
          <w:lang w:val="en-US"/>
        </w:rPr>
        <w:t>).</w:t>
      </w:r>
    </w:p>
    <w:p w14:paraId="059F4DB9" w14:textId="0B6D5A7A" w:rsidR="00064D5D" w:rsidRPr="001472AB" w:rsidRDefault="00064D5D" w:rsidP="00064D5D">
      <w:pPr>
        <w:pStyle w:val="SingleTxtGA"/>
        <w:rPr>
          <w:rFonts w:ascii="Times New Roman Bold" w:hAnsi="Times New Roman Bold"/>
          <w:b/>
          <w:bCs/>
          <w:lang w:val="en-US"/>
        </w:rPr>
      </w:pPr>
      <w:r w:rsidRPr="001472AB">
        <w:rPr>
          <w:rtl/>
          <w:lang w:val="en-US"/>
        </w:rPr>
        <w:t>17</w:t>
      </w:r>
      <w:r w:rsidRPr="00064D5D">
        <w:rPr>
          <w:rtl/>
          <w:lang w:val="en-US"/>
        </w:rPr>
        <w:t>-</w:t>
      </w:r>
      <w:r w:rsidRPr="00064D5D">
        <w:rPr>
          <w:rtl/>
          <w:lang w:val="en-US"/>
        </w:rPr>
        <w:tab/>
      </w:r>
      <w:r w:rsidRPr="001472AB">
        <w:rPr>
          <w:rFonts w:ascii="Times New Roman Bold" w:hAnsi="Times New Roman Bold"/>
          <w:b/>
          <w:bCs/>
          <w:rtl/>
          <w:lang w:val="en-US"/>
        </w:rPr>
        <w:t>تدعو اللجنة الدولة الطرف إلى أن تُكمل دون إبطاء إجراءات اعتماد قانون يجرم أفعال الاختفاء القسري ويتفق تماماً مع الاتفاقية، بما في ذلك إقرار فترة تقادم طويلة تتناسب والخطورة القصوى للجريمة ويبدأ سريانها بمجرد انتهاء الجريمة، مراعاة للطابع المستمر للاختفاء القسري.</w:t>
      </w:r>
    </w:p>
    <w:p w14:paraId="4B756E26" w14:textId="77777777" w:rsidR="00064D5D" w:rsidRPr="001472AB" w:rsidRDefault="00064D5D" w:rsidP="00513467">
      <w:pPr>
        <w:pStyle w:val="H23GA"/>
      </w:pPr>
      <w:r w:rsidRPr="001472AB">
        <w:rPr>
          <w:rtl/>
        </w:rPr>
        <w:tab/>
      </w:r>
      <w:r w:rsidRPr="001472AB">
        <w:rPr>
          <w:rtl/>
        </w:rPr>
        <w:tab/>
        <w:t>الأفعال التي ترتكبها جهات فاعلة غير رسمية دون مشاركة الدولة</w:t>
      </w:r>
    </w:p>
    <w:p w14:paraId="4F24B11E" w14:textId="23BD053D" w:rsidR="00AD37DA" w:rsidRPr="00AD37DA" w:rsidRDefault="00064D5D" w:rsidP="00064D5D">
      <w:pPr>
        <w:pStyle w:val="SingleTxtGA"/>
        <w:rPr>
          <w:color w:val="000000"/>
          <w:lang w:val="en-US"/>
        </w:rPr>
      </w:pPr>
      <w:r w:rsidRPr="001472AB">
        <w:rPr>
          <w:rtl/>
          <w:lang w:val="en-US"/>
        </w:rPr>
        <w:t>18</w:t>
      </w:r>
      <w:r w:rsidRPr="00064D5D">
        <w:rPr>
          <w:rtl/>
          <w:lang w:val="en-US"/>
        </w:rPr>
        <w:t>-</w:t>
      </w:r>
      <w:r w:rsidRPr="00064D5D">
        <w:rPr>
          <w:rtl/>
          <w:lang w:val="en-US"/>
        </w:rPr>
        <w:tab/>
        <w:t xml:space="preserve">تدرك اللجنة التحديات العديدة التي تواجهها الدولة الطرف نتيجة الانتهاكات الجسيمة التي ترتكبها جماعات مسلحة غير رسمية، بما في ذلك حالات الاختفاء. ومع ذلك، تأسف اللجنة لأنها لم تتلق معلومات عن التحقيقات في حالات الاختفاء هذه ونتائجها، بما في ذلك العقوبات المفروضة على الجناة، وعن المساعدة المقدمة إلى الضحايا، وعن البحث عن الأشخاص المفقودين وتحديد مواقعهم (المادة </w:t>
      </w:r>
      <w:r w:rsidR="00AD37DA" w:rsidRPr="001472AB">
        <w:rPr>
          <w:color w:val="000000"/>
          <w:rtl/>
          <w:lang w:val="en-US"/>
        </w:rPr>
        <w:t>3</w:t>
      </w:r>
      <w:r w:rsidR="00AD37DA" w:rsidRPr="00AD37DA">
        <w:rPr>
          <w:color w:val="000000"/>
          <w:rtl/>
          <w:lang w:val="en-US"/>
        </w:rPr>
        <w:t>).</w:t>
      </w:r>
    </w:p>
    <w:p w14:paraId="36B953EC" w14:textId="4DABBBB1" w:rsidR="00064D5D" w:rsidRPr="001472AB" w:rsidRDefault="00064D5D" w:rsidP="00064D5D">
      <w:pPr>
        <w:pStyle w:val="SingleTxtGA"/>
        <w:rPr>
          <w:b/>
          <w:bCs/>
          <w:lang w:val="en-US"/>
        </w:rPr>
      </w:pPr>
      <w:r w:rsidRPr="001472AB">
        <w:rPr>
          <w:rtl/>
          <w:lang w:val="en-US"/>
        </w:rPr>
        <w:t>19</w:t>
      </w:r>
      <w:r w:rsidRPr="00064D5D">
        <w:rPr>
          <w:rtl/>
          <w:lang w:val="en-US"/>
        </w:rPr>
        <w:t>-</w:t>
      </w:r>
      <w:r w:rsidRPr="00064D5D">
        <w:rPr>
          <w:rtl/>
          <w:lang w:val="en-US"/>
        </w:rPr>
        <w:tab/>
      </w:r>
      <w:r w:rsidRPr="001472AB">
        <w:rPr>
          <w:b/>
          <w:bCs/>
          <w:rtl/>
          <w:lang w:val="en-US"/>
        </w:rPr>
        <w:t xml:space="preserve">توصي اللجنة الدولة الطرف بتعزيز جهودها الرامية إلى ضمان إجراء تحقيق فوري وشامل ونزيه في الادعاءات المتعلقة بالأفعال التي تعرّفها المادة 2 من الاتفاقية والتي ترتكبها الجماعات المسلحة دون إذن أو دعم أو موافقة من موظفي الدولة، وتقديم الجناة المزعومين إلى العدالة، والحكم عليهم، في حال إدانتهم، بأحكام تتناسب وخطورة أفعالهم. وتوصي اللجنة كذلك بأن تتخذ الدولة الطرف </w:t>
      </w:r>
      <w:r w:rsidRPr="001472AB">
        <w:rPr>
          <w:rFonts w:ascii="Times New Roman Bold" w:hAnsi="Times New Roman Bold"/>
          <w:b/>
          <w:bCs/>
          <w:spacing w:val="-2"/>
          <w:rtl/>
          <w:lang w:val="en-US"/>
        </w:rPr>
        <w:t>جميع التدابير اللازمة لمساعدة الضحايا والبحث عن الأشخاص المفقودين جراء تصرفات هذه الجماعات</w:t>
      </w:r>
      <w:r w:rsidRPr="001472AB">
        <w:rPr>
          <w:b/>
          <w:bCs/>
          <w:rtl/>
          <w:lang w:val="en-US"/>
        </w:rPr>
        <w:t xml:space="preserve"> المسلحة وتحديد مكانهم ومنع هذه الأفعال.</w:t>
      </w:r>
    </w:p>
    <w:p w14:paraId="31CA782A" w14:textId="48DC890C" w:rsidR="00AD37DA" w:rsidRPr="001472AB" w:rsidRDefault="00064D5D" w:rsidP="00513467">
      <w:pPr>
        <w:pStyle w:val="H23GA"/>
        <w:rPr>
          <w:color w:val="000000"/>
        </w:rPr>
      </w:pPr>
      <w:r w:rsidRPr="001472AB">
        <w:rPr>
          <w:rtl/>
        </w:rPr>
        <w:lastRenderedPageBreak/>
        <w:tab/>
        <w:t>3-</w:t>
      </w:r>
      <w:r w:rsidRPr="001472AB">
        <w:rPr>
          <w:rtl/>
        </w:rPr>
        <w:tab/>
        <w:t>المسؤولية الجنائية والتعاون القضائي في قضايا الاختفاء القسري (المواد من 8 إلى 1</w:t>
      </w:r>
      <w:r w:rsidR="00AD37DA" w:rsidRPr="001472AB">
        <w:rPr>
          <w:color w:val="000000"/>
          <w:rtl/>
        </w:rPr>
        <w:t>5</w:t>
      </w:r>
      <w:r w:rsidR="00AD37DA" w:rsidRPr="001472AB">
        <w:rPr>
          <w:rFonts w:hint="cs"/>
          <w:color w:val="000000"/>
          <w:rtl/>
        </w:rPr>
        <w:t>)</w:t>
      </w:r>
    </w:p>
    <w:p w14:paraId="597A8C01" w14:textId="3F70B382" w:rsidR="00064D5D" w:rsidRPr="001472AB" w:rsidRDefault="00064D5D" w:rsidP="001F1FED">
      <w:pPr>
        <w:pStyle w:val="H23GA"/>
        <w:spacing w:line="350" w:lineRule="exact"/>
      </w:pPr>
      <w:r w:rsidRPr="001472AB">
        <w:rPr>
          <w:rtl/>
        </w:rPr>
        <w:tab/>
      </w:r>
      <w:r w:rsidRPr="001472AB">
        <w:rPr>
          <w:rtl/>
        </w:rPr>
        <w:tab/>
        <w:t>الولاية القضائية العسكرية</w:t>
      </w:r>
    </w:p>
    <w:p w14:paraId="4E30B508" w14:textId="5D2419EF" w:rsidR="00AD37DA" w:rsidRPr="00AD37DA" w:rsidRDefault="00064D5D" w:rsidP="001F1FED">
      <w:pPr>
        <w:pStyle w:val="SingleTxtGA"/>
        <w:spacing w:line="350" w:lineRule="exact"/>
        <w:rPr>
          <w:color w:val="000000"/>
          <w:lang w:val="en-US"/>
        </w:rPr>
      </w:pPr>
      <w:r w:rsidRPr="001472AB">
        <w:rPr>
          <w:rtl/>
          <w:lang w:val="en-US"/>
        </w:rPr>
        <w:t>20</w:t>
      </w:r>
      <w:r w:rsidRPr="00064D5D">
        <w:rPr>
          <w:rtl/>
          <w:lang w:val="en-US"/>
        </w:rPr>
        <w:t>-</w:t>
      </w:r>
      <w:r w:rsidRPr="00064D5D">
        <w:rPr>
          <w:rtl/>
          <w:lang w:val="en-US"/>
        </w:rPr>
        <w:tab/>
        <w:t xml:space="preserve">تلاحظ اللجنة أن للمحكمة العسكرية اختصاص التحقيق في حالات الاختفاء القسري عندما يرتكبها أفراد عسكريون أو تُرتكب في أثناء حالة طوارئ. وتحيط علماً بالمعلومات التي أُوردت أثناء الحوار بشأن الضمانات القضائية التي تنطبق على الولاية القضائية العسكرية، بما في ذلك تركيبتها المختلطة. بيد أن اللجنة تذكّر بأنه يجب استبعاد الولاية القضائية العسكرية في حالات الانتهاكات الجسيمة لحقوق الإنسان، بما في ذلك حالات الاختفاء القسري (المادة </w:t>
      </w:r>
      <w:r w:rsidRPr="001472AB">
        <w:rPr>
          <w:rtl/>
          <w:lang w:val="en-US"/>
        </w:rPr>
        <w:t>1</w:t>
      </w:r>
      <w:r w:rsidR="00AD37DA" w:rsidRPr="001472AB">
        <w:rPr>
          <w:color w:val="000000"/>
          <w:rtl/>
          <w:lang w:val="en-US"/>
        </w:rPr>
        <w:t>1</w:t>
      </w:r>
      <w:r w:rsidR="00AD37DA" w:rsidRPr="00AD37DA">
        <w:rPr>
          <w:color w:val="000000"/>
          <w:rtl/>
          <w:lang w:val="en-US"/>
        </w:rPr>
        <w:t>).</w:t>
      </w:r>
    </w:p>
    <w:p w14:paraId="0F9A57F0" w14:textId="00D6080A" w:rsidR="00064D5D" w:rsidRPr="001472AB" w:rsidRDefault="00064D5D" w:rsidP="001F1FED">
      <w:pPr>
        <w:pStyle w:val="SingleTxtGA"/>
        <w:spacing w:line="350" w:lineRule="exact"/>
        <w:rPr>
          <w:b/>
          <w:bCs/>
          <w:lang w:val="en-US"/>
        </w:rPr>
      </w:pPr>
      <w:r w:rsidRPr="001472AB">
        <w:rPr>
          <w:rtl/>
          <w:lang w:val="en-US"/>
        </w:rPr>
        <w:t>21</w:t>
      </w:r>
      <w:r w:rsidRPr="00064D5D">
        <w:rPr>
          <w:rtl/>
          <w:lang w:val="en-US"/>
        </w:rPr>
        <w:t>-</w:t>
      </w:r>
      <w:r w:rsidRPr="00064D5D">
        <w:rPr>
          <w:rtl/>
          <w:lang w:val="en-US"/>
        </w:rPr>
        <w:tab/>
      </w:r>
      <w:r w:rsidRPr="001472AB">
        <w:rPr>
          <w:b/>
          <w:bCs/>
          <w:rtl/>
          <w:lang w:val="en-US"/>
        </w:rPr>
        <w:t>تشير اللجنة إلى بيانها بشأن حالات الاختفاء القسري والولاية القضائية العسكرية</w:t>
      </w:r>
      <w:r w:rsidR="00AD37DA" w:rsidRPr="001472AB">
        <w:rPr>
          <w:rStyle w:val="FootnoteReference"/>
          <w:b/>
          <w:bCs/>
          <w:szCs w:val="22"/>
          <w:rtl/>
        </w:rPr>
        <w:t>(</w:t>
      </w:r>
      <w:r w:rsidR="00AD37DA" w:rsidRPr="001472AB">
        <w:rPr>
          <w:rStyle w:val="FootnoteReference"/>
          <w:b/>
          <w:bCs/>
          <w:szCs w:val="22"/>
          <w:lang w:val="en-US"/>
        </w:rPr>
        <w:footnoteReference w:id="8"/>
      </w:r>
      <w:r w:rsidR="00AD37DA" w:rsidRPr="001472AB">
        <w:rPr>
          <w:b/>
          <w:bCs/>
          <w:color w:val="000000"/>
          <w:vertAlign w:val="superscript"/>
          <w:rtl/>
          <w:lang w:val="en-US"/>
        </w:rPr>
        <w:t>)</w:t>
      </w:r>
      <w:r w:rsidR="00AD37DA" w:rsidRPr="001472AB">
        <w:rPr>
          <w:b/>
          <w:bCs/>
          <w:color w:val="000000"/>
          <w:rtl/>
          <w:lang w:val="en-US"/>
        </w:rPr>
        <w:t>،</w:t>
      </w:r>
      <w:r w:rsidR="00AD37DA" w:rsidRPr="001472AB">
        <w:rPr>
          <w:b/>
          <w:bCs/>
          <w:color w:val="000000"/>
          <w:rtl/>
          <w:lang w:val="en-US"/>
        </w:rPr>
        <w:t xml:space="preserve"> </w:t>
      </w:r>
      <w:r w:rsidRPr="001472AB">
        <w:rPr>
          <w:b/>
          <w:bCs/>
          <w:rtl/>
          <w:lang w:val="en-US"/>
        </w:rPr>
        <w:t xml:space="preserve">وتوصي </w:t>
      </w:r>
      <w:r w:rsidRPr="001472AB">
        <w:rPr>
          <w:rFonts w:ascii="Times New Roman Bold" w:hAnsi="Times New Roman Bold"/>
          <w:b/>
          <w:bCs/>
          <w:spacing w:val="-2"/>
          <w:rtl/>
          <w:lang w:val="en-US"/>
        </w:rPr>
        <w:t>الدولة الطرف باتخاذ التدابير التشريعية اللازمة لاستبعاد التحقيقات والمحاكمات المتعلقة بحالات الاختفاء</w:t>
      </w:r>
      <w:r w:rsidRPr="001472AB">
        <w:rPr>
          <w:b/>
          <w:bCs/>
          <w:rtl/>
          <w:lang w:val="en-US"/>
        </w:rPr>
        <w:t xml:space="preserve"> القسري من الولاية القضائية العسكرية في جميع الحالات.</w:t>
      </w:r>
    </w:p>
    <w:p w14:paraId="2F2C5C98" w14:textId="77777777" w:rsidR="00064D5D" w:rsidRPr="001472AB" w:rsidRDefault="00064D5D" w:rsidP="001F1FED">
      <w:pPr>
        <w:pStyle w:val="H23GA"/>
        <w:spacing w:line="350" w:lineRule="exact"/>
      </w:pPr>
      <w:r w:rsidRPr="001472AB">
        <w:rPr>
          <w:rtl/>
        </w:rPr>
        <w:tab/>
      </w:r>
      <w:r w:rsidRPr="001472AB">
        <w:rPr>
          <w:rtl/>
        </w:rPr>
        <w:tab/>
        <w:t>حماية الأشخاص المشاركين في التحقيقات</w:t>
      </w:r>
    </w:p>
    <w:p w14:paraId="319DA269" w14:textId="1388C6C1" w:rsidR="00AD37DA" w:rsidRPr="00AD37DA" w:rsidRDefault="00064D5D" w:rsidP="001F1FED">
      <w:pPr>
        <w:pStyle w:val="SingleTxtGA"/>
        <w:spacing w:line="350" w:lineRule="exact"/>
        <w:rPr>
          <w:color w:val="000000"/>
          <w:lang w:val="en-US"/>
        </w:rPr>
      </w:pPr>
      <w:r w:rsidRPr="001472AB">
        <w:rPr>
          <w:rtl/>
          <w:lang w:val="en-US"/>
        </w:rPr>
        <w:t>22</w:t>
      </w:r>
      <w:r w:rsidRPr="00064D5D">
        <w:rPr>
          <w:rtl/>
          <w:lang w:val="en-US"/>
        </w:rPr>
        <w:t>-</w:t>
      </w:r>
      <w:r w:rsidRPr="00064D5D">
        <w:rPr>
          <w:rtl/>
          <w:lang w:val="en-US"/>
        </w:rPr>
        <w:tab/>
      </w:r>
      <w:r w:rsidRPr="00AD37DA">
        <w:rPr>
          <w:spacing w:val="-4"/>
          <w:rtl/>
          <w:lang w:val="en-US"/>
        </w:rPr>
        <w:t>تحيط اللجنة علماً بتأكيد الدولة الطرف أن أفراد أسر الأشخاص المفقودين لا يواجهون خطر الانتقام</w:t>
      </w:r>
      <w:r w:rsidRPr="00064D5D">
        <w:rPr>
          <w:rtl/>
          <w:lang w:val="en-US"/>
        </w:rPr>
        <w:t xml:space="preserve"> </w:t>
      </w:r>
      <w:r w:rsidRPr="00AD37DA">
        <w:rPr>
          <w:spacing w:val="-4"/>
          <w:rtl/>
          <w:lang w:val="en-US"/>
        </w:rPr>
        <w:t>لأن الجناة لا يعرفون المختطَفين. ومع ذلك، تأسف اللجنة لأنها لم تتلق معلومات عن التدابير الملموسة المتخذة</w:t>
      </w:r>
      <w:r w:rsidRPr="00064D5D">
        <w:rPr>
          <w:rtl/>
          <w:lang w:val="en-US"/>
        </w:rPr>
        <w:t xml:space="preserve"> لضمان حماية الضحايا والشهود (المادة </w:t>
      </w:r>
      <w:r w:rsidRPr="001472AB">
        <w:rPr>
          <w:rtl/>
          <w:lang w:val="en-US"/>
        </w:rPr>
        <w:t>1</w:t>
      </w:r>
      <w:r w:rsidR="00AD37DA" w:rsidRPr="001472AB">
        <w:rPr>
          <w:color w:val="000000"/>
          <w:rtl/>
          <w:lang w:val="en-US"/>
        </w:rPr>
        <w:t>2</w:t>
      </w:r>
      <w:r w:rsidR="00AD37DA" w:rsidRPr="00AD37DA">
        <w:rPr>
          <w:color w:val="000000"/>
          <w:rtl/>
          <w:lang w:val="en-US"/>
        </w:rPr>
        <w:t>).</w:t>
      </w:r>
    </w:p>
    <w:p w14:paraId="2B0653E5" w14:textId="72F2B0DE" w:rsidR="00064D5D" w:rsidRPr="001472AB" w:rsidRDefault="00064D5D" w:rsidP="001F1FED">
      <w:pPr>
        <w:pStyle w:val="SingleTxtGA"/>
        <w:spacing w:line="350" w:lineRule="exact"/>
        <w:rPr>
          <w:b/>
          <w:bCs/>
          <w:lang w:val="en-US"/>
        </w:rPr>
      </w:pPr>
      <w:r w:rsidRPr="001472AB">
        <w:rPr>
          <w:rtl/>
          <w:lang w:val="en-US"/>
        </w:rPr>
        <w:t>23</w:t>
      </w:r>
      <w:r w:rsidRPr="00064D5D">
        <w:rPr>
          <w:rtl/>
          <w:lang w:val="en-US"/>
        </w:rPr>
        <w:t>-</w:t>
      </w:r>
      <w:r w:rsidRPr="00064D5D">
        <w:rPr>
          <w:rtl/>
          <w:lang w:val="en-US"/>
        </w:rPr>
        <w:tab/>
      </w:r>
      <w:r w:rsidRPr="001472AB">
        <w:rPr>
          <w:b/>
          <w:bCs/>
          <w:rtl/>
          <w:lang w:val="en-US"/>
        </w:rPr>
        <w:t>توصي اللجنة الدولة الطرف بإنشاء آليات، بما في ذلك برنامج منظم، لضمان الحماية الفعالة لجميع الأشخاص المشار إليهم في المادة 12(</w:t>
      </w:r>
      <w:r w:rsidR="00AD37DA" w:rsidRPr="001472AB">
        <w:rPr>
          <w:b/>
          <w:bCs/>
          <w:color w:val="000000"/>
          <w:rtl/>
          <w:lang w:val="en-US"/>
        </w:rPr>
        <w:t xml:space="preserve">1) </w:t>
      </w:r>
      <w:r w:rsidRPr="001472AB">
        <w:rPr>
          <w:b/>
          <w:bCs/>
          <w:rtl/>
          <w:lang w:val="en-US"/>
        </w:rPr>
        <w:t>من الاتفاقية من سوء المعاملة أو التخويف بسبب تقديم شكوى أو شهادة.</w:t>
      </w:r>
    </w:p>
    <w:p w14:paraId="2CCD45F8" w14:textId="77777777" w:rsidR="00064D5D" w:rsidRPr="001472AB" w:rsidRDefault="00064D5D" w:rsidP="001F1FED">
      <w:pPr>
        <w:pStyle w:val="H23GA"/>
        <w:spacing w:line="350" w:lineRule="exact"/>
      </w:pPr>
      <w:r w:rsidRPr="001472AB">
        <w:rPr>
          <w:rtl/>
        </w:rPr>
        <w:tab/>
      </w:r>
      <w:r w:rsidRPr="001472AB">
        <w:rPr>
          <w:rtl/>
        </w:rPr>
        <w:tab/>
        <w:t>ادعاءات الاختفاء القسري</w:t>
      </w:r>
    </w:p>
    <w:p w14:paraId="73D72011" w14:textId="58C30CC8" w:rsidR="00AD37DA" w:rsidRPr="00AD37DA" w:rsidRDefault="00064D5D" w:rsidP="001F1FED">
      <w:pPr>
        <w:pStyle w:val="SingleTxtGA"/>
        <w:spacing w:line="350" w:lineRule="exact"/>
        <w:rPr>
          <w:color w:val="000000"/>
          <w:spacing w:val="-4"/>
          <w:lang w:val="en-US"/>
        </w:rPr>
      </w:pPr>
      <w:r w:rsidRPr="001472AB">
        <w:rPr>
          <w:rtl/>
          <w:lang w:val="en-US"/>
        </w:rPr>
        <w:t>24</w:t>
      </w:r>
      <w:r w:rsidRPr="00064D5D">
        <w:rPr>
          <w:rtl/>
          <w:lang w:val="en-US"/>
        </w:rPr>
        <w:t>-</w:t>
      </w:r>
      <w:r w:rsidRPr="00064D5D">
        <w:rPr>
          <w:rtl/>
          <w:lang w:val="en-US"/>
        </w:rPr>
        <w:tab/>
        <w:t xml:space="preserve">يساور اللجنة القلق إزاء الادعاءات المتعلقة باختفاء أكثر من </w:t>
      </w:r>
      <w:r w:rsidRPr="001472AB">
        <w:rPr>
          <w:rtl/>
          <w:lang w:val="en-US"/>
        </w:rPr>
        <w:t>100</w:t>
      </w:r>
      <w:r w:rsidRPr="00064D5D">
        <w:rPr>
          <w:rtl/>
          <w:lang w:val="en-US"/>
        </w:rPr>
        <w:t xml:space="preserve"> شخص قسراً في الفترة من</w:t>
      </w:r>
      <w:r w:rsidR="000D2200">
        <w:rPr>
          <w:rFonts w:hint="cs"/>
          <w:rtl/>
          <w:lang w:val="en-US"/>
        </w:rPr>
        <w:t> </w:t>
      </w:r>
      <w:r w:rsidRPr="001472AB">
        <w:rPr>
          <w:rtl/>
          <w:lang w:val="en-US"/>
        </w:rPr>
        <w:t>27</w:t>
      </w:r>
      <w:r w:rsidRPr="00064D5D">
        <w:rPr>
          <w:rtl/>
          <w:lang w:val="en-US"/>
        </w:rPr>
        <w:t xml:space="preserve"> آذار/مارس إلى </w:t>
      </w:r>
      <w:r w:rsidRPr="001472AB">
        <w:rPr>
          <w:rtl/>
          <w:lang w:val="en-US"/>
        </w:rPr>
        <w:t>2</w:t>
      </w:r>
      <w:r w:rsidRPr="00064D5D">
        <w:rPr>
          <w:rtl/>
          <w:lang w:val="en-US"/>
        </w:rPr>
        <w:t xml:space="preserve"> نيسان/أبريل </w:t>
      </w:r>
      <w:r w:rsidRPr="001472AB">
        <w:rPr>
          <w:rtl/>
          <w:lang w:val="en-US"/>
        </w:rPr>
        <w:t>2020</w:t>
      </w:r>
      <w:r w:rsidRPr="00064D5D">
        <w:rPr>
          <w:rtl/>
          <w:lang w:val="en-US"/>
        </w:rPr>
        <w:t xml:space="preserve"> في مقاطعة </w:t>
      </w:r>
      <w:proofErr w:type="spellStart"/>
      <w:r w:rsidRPr="00064D5D">
        <w:rPr>
          <w:rtl/>
          <w:lang w:val="en-US"/>
        </w:rPr>
        <w:t>أيورو</w:t>
      </w:r>
      <w:proofErr w:type="spellEnd"/>
      <w:r w:rsidRPr="00064D5D">
        <w:rPr>
          <w:rtl/>
          <w:lang w:val="en-US"/>
        </w:rPr>
        <w:t xml:space="preserve"> بمنطقة </w:t>
      </w:r>
      <w:proofErr w:type="spellStart"/>
      <w:r w:rsidRPr="00064D5D">
        <w:rPr>
          <w:rtl/>
          <w:lang w:val="en-US"/>
        </w:rPr>
        <w:t>تيلابيري</w:t>
      </w:r>
      <w:proofErr w:type="spellEnd"/>
      <w:r w:rsidRPr="00064D5D">
        <w:rPr>
          <w:rtl/>
          <w:lang w:val="en-US"/>
        </w:rPr>
        <w:t xml:space="preserve">. وتحيط اللجنة علماً </w:t>
      </w:r>
      <w:r w:rsidRPr="000D2200">
        <w:rPr>
          <w:spacing w:val="-4"/>
          <w:rtl/>
          <w:lang w:val="en-US"/>
        </w:rPr>
        <w:t xml:space="preserve">بالنتائج التي خلص إليها تقرير اللجنة الوطنية لحقوق الإنسان بشأن هذه الادعاءات، بما في ذلك ما يُزعم من أن الجناة هم من أفراد قوات الدفاع والأمن، فضلاً عن تأكيدات الدولة الطرف أن دوائر مختلفة خلصت زعماً إلى أن الجناة إرهابيون استخدموا ملابس ومركبات عسكرية رسمية في حالات الاختفاء هذه. وتحيط اللجنة علماً أيضاً بما أُكد من أن تحديد هوية الجناة لن يكون ممكناً إلا بعد الانتهاء من التحقيقات الجارية أمام المحاكم العسكرية والمدنية، على الرغم من أن جميع حالات الاختفاء القسري، كما ذُكر سابقاً، ينبغي، من حيث المبدأ، أن تكون حصراً من اختصاص السلطات المدنية العادية. ويساور اللجنة القلق إزاء ادعاءات أخرى تتعلق بحالات اختفاء قسري يُزعم أن أفراداً من قوات الدفاع والأمن ارتكبوها في سياق النزاع الدائر. وعلاوة على ذلك، تأسف اللجنة لأنها لم تتلق معلومات دقيقة عن وجود آليات لاستبعاد أي شخص قد يكون متورطاً في قضية اختفاء قسري من المشاركة في التحقيق بشأنها (المواد </w:t>
      </w:r>
      <w:r w:rsidRPr="001472AB">
        <w:rPr>
          <w:spacing w:val="-4"/>
          <w:rtl/>
          <w:lang w:val="en-US"/>
        </w:rPr>
        <w:t>1</w:t>
      </w:r>
      <w:r w:rsidRPr="000D2200">
        <w:rPr>
          <w:spacing w:val="-4"/>
          <w:rtl/>
          <w:lang w:val="en-US"/>
        </w:rPr>
        <w:t xml:space="preserve"> و</w:t>
      </w:r>
      <w:r w:rsidRPr="001472AB">
        <w:rPr>
          <w:spacing w:val="-4"/>
          <w:rtl/>
          <w:lang w:val="en-US"/>
        </w:rPr>
        <w:t>11</w:t>
      </w:r>
      <w:r w:rsidRPr="000D2200">
        <w:rPr>
          <w:spacing w:val="-4"/>
          <w:rtl/>
          <w:lang w:val="en-US"/>
        </w:rPr>
        <w:t xml:space="preserve"> و</w:t>
      </w:r>
      <w:r w:rsidRPr="001472AB">
        <w:rPr>
          <w:spacing w:val="-4"/>
          <w:rtl/>
          <w:lang w:val="en-US"/>
        </w:rPr>
        <w:t>12</w:t>
      </w:r>
      <w:r w:rsidRPr="000D2200">
        <w:rPr>
          <w:spacing w:val="-4"/>
          <w:rtl/>
          <w:lang w:val="en-US"/>
        </w:rPr>
        <w:t xml:space="preserve"> و</w:t>
      </w:r>
      <w:r w:rsidRPr="001472AB">
        <w:rPr>
          <w:spacing w:val="-4"/>
          <w:rtl/>
          <w:lang w:val="en-US"/>
        </w:rPr>
        <w:t>2</w:t>
      </w:r>
      <w:r w:rsidR="00AD37DA" w:rsidRPr="001472AB">
        <w:rPr>
          <w:color w:val="000000"/>
          <w:spacing w:val="-4"/>
          <w:rtl/>
          <w:lang w:val="en-US"/>
        </w:rPr>
        <w:t>4</w:t>
      </w:r>
      <w:r w:rsidR="00AD37DA" w:rsidRPr="00AD37DA">
        <w:rPr>
          <w:color w:val="000000"/>
          <w:spacing w:val="-4"/>
          <w:rtl/>
          <w:lang w:val="en-US"/>
        </w:rPr>
        <w:t>).</w:t>
      </w:r>
    </w:p>
    <w:p w14:paraId="1A4944C3" w14:textId="1EF61AEC" w:rsidR="00064D5D" w:rsidRPr="001472AB" w:rsidRDefault="00064D5D" w:rsidP="001F1FED">
      <w:pPr>
        <w:pStyle w:val="SingleTxtGA"/>
        <w:spacing w:line="350" w:lineRule="exact"/>
        <w:rPr>
          <w:b/>
          <w:bCs/>
          <w:lang w:val="en-US"/>
        </w:rPr>
      </w:pPr>
      <w:r w:rsidRPr="001472AB">
        <w:rPr>
          <w:rtl/>
          <w:lang w:val="en-US"/>
        </w:rPr>
        <w:t>25</w:t>
      </w:r>
      <w:r w:rsidRPr="00064D5D">
        <w:rPr>
          <w:rtl/>
          <w:lang w:val="en-US"/>
        </w:rPr>
        <w:t>-</w:t>
      </w:r>
      <w:r w:rsidRPr="00064D5D">
        <w:rPr>
          <w:rtl/>
          <w:lang w:val="en-US"/>
        </w:rPr>
        <w:tab/>
      </w:r>
      <w:r w:rsidRPr="001472AB">
        <w:rPr>
          <w:b/>
          <w:bCs/>
          <w:rtl/>
          <w:lang w:val="en-US"/>
        </w:rPr>
        <w:t>توصي اللجنة الدولة الطرف بتعزيز جهودها لضمان أن تكون جميع التدابير المتخذة لمكافحة الإرهاب متفقة تماماً مع الاتفاقية، وضمان حق جميع ضحايا الاختفاء القسري في العدالة والحقيقة والجبر. وبهذا المعنى، يجب على الدولة الطرف القيام بما يلي:</w:t>
      </w:r>
    </w:p>
    <w:p w14:paraId="07DFA51D" w14:textId="493DA78F" w:rsidR="00064D5D" w:rsidRPr="001472AB" w:rsidRDefault="00513467" w:rsidP="001F1FED">
      <w:pPr>
        <w:pStyle w:val="SingleTxtGA"/>
        <w:spacing w:line="350" w:lineRule="exact"/>
        <w:rPr>
          <w:b/>
          <w:bCs/>
          <w:lang w:val="en-US"/>
        </w:rPr>
      </w:pPr>
      <w:r>
        <w:rPr>
          <w:rtl/>
          <w:lang w:val="en-US"/>
        </w:rPr>
        <w:tab/>
      </w:r>
      <w:r w:rsidR="00064D5D" w:rsidRPr="00064D5D">
        <w:rPr>
          <w:rtl/>
          <w:lang w:val="en-US"/>
        </w:rPr>
        <w:t>(أ)</w:t>
      </w:r>
      <w:r w:rsidR="00064D5D" w:rsidRPr="00064D5D">
        <w:rPr>
          <w:rtl/>
          <w:lang w:val="en-US"/>
        </w:rPr>
        <w:tab/>
      </w:r>
      <w:r w:rsidR="00064D5D" w:rsidRPr="001472AB">
        <w:rPr>
          <w:b/>
          <w:bCs/>
          <w:rtl/>
          <w:lang w:val="en-US"/>
        </w:rPr>
        <w:t xml:space="preserve">ضمان إجراء تحقيق فوري وشامل ونزيه في جميع مزاعم الاختفاء </w:t>
      </w:r>
      <w:proofErr w:type="gramStart"/>
      <w:r w:rsidR="00064D5D" w:rsidRPr="001472AB">
        <w:rPr>
          <w:b/>
          <w:bCs/>
          <w:rtl/>
          <w:lang w:val="en-US"/>
        </w:rPr>
        <w:t xml:space="preserve">القسري، </w:t>
      </w:r>
      <w:r w:rsidR="00AD37DA" w:rsidRPr="001472AB">
        <w:rPr>
          <w:rFonts w:hint="cs"/>
          <w:b/>
          <w:bCs/>
          <w:rtl/>
          <w:lang w:val="en-US"/>
        </w:rPr>
        <w:t xml:space="preserve">  </w:t>
      </w:r>
      <w:proofErr w:type="gramEnd"/>
      <w:r w:rsidR="00AD37DA" w:rsidRPr="001472AB">
        <w:rPr>
          <w:rFonts w:hint="cs"/>
          <w:b/>
          <w:bCs/>
          <w:rtl/>
          <w:lang w:val="en-US"/>
        </w:rPr>
        <w:t xml:space="preserve">        </w:t>
      </w:r>
      <w:r w:rsidR="00064D5D" w:rsidRPr="001472AB">
        <w:rPr>
          <w:b/>
          <w:bCs/>
          <w:rtl/>
          <w:lang w:val="en-US"/>
        </w:rPr>
        <w:t>ولو لم تكن ثمة شكوى جنائية رسمية، ومحاكمة الجناة والحكم عليهم بعقوبة تتناسب وخطورة أفعالهم؛</w:t>
      </w:r>
    </w:p>
    <w:p w14:paraId="29CE0CD3" w14:textId="2F53649C" w:rsidR="00064D5D" w:rsidRPr="001472AB" w:rsidRDefault="00513467" w:rsidP="00DF5FA5">
      <w:pPr>
        <w:pStyle w:val="SingleTxtGA"/>
        <w:rPr>
          <w:rFonts w:ascii="Times New Roman Bold" w:hAnsi="Times New Roman Bold"/>
          <w:b/>
          <w:bCs/>
          <w:spacing w:val="2"/>
          <w:lang w:val="en-US"/>
        </w:rPr>
      </w:pPr>
      <w:r w:rsidRPr="00DF5FA5">
        <w:rPr>
          <w:spacing w:val="2"/>
          <w:rtl/>
          <w:lang w:val="en-US"/>
        </w:rPr>
        <w:lastRenderedPageBreak/>
        <w:tab/>
      </w:r>
      <w:r w:rsidR="00064D5D" w:rsidRPr="00DF5FA5">
        <w:rPr>
          <w:spacing w:val="2"/>
          <w:rtl/>
          <w:lang w:val="en-US"/>
        </w:rPr>
        <w:t>(ب)</w:t>
      </w:r>
      <w:r w:rsidR="00064D5D" w:rsidRPr="00DF5FA5">
        <w:rPr>
          <w:spacing w:val="2"/>
          <w:rtl/>
          <w:lang w:val="en-US"/>
        </w:rPr>
        <w:tab/>
      </w:r>
      <w:r w:rsidR="00064D5D" w:rsidRPr="001472AB">
        <w:rPr>
          <w:rFonts w:ascii="Times New Roman Bold" w:hAnsi="Times New Roman Bold"/>
          <w:b/>
          <w:bCs/>
          <w:rtl/>
          <w:lang w:val="en-US"/>
        </w:rPr>
        <w:t>ضمان وقف موظفي الدولة، المشتبه في تورطهم في ارتكاب جريمة اختفاء قسري،</w:t>
      </w:r>
      <w:r w:rsidR="00064D5D" w:rsidRPr="001472AB">
        <w:rPr>
          <w:b/>
          <w:bCs/>
          <w:spacing w:val="2"/>
          <w:rtl/>
          <w:lang w:val="en-US"/>
        </w:rPr>
        <w:t xml:space="preserve"> عن </w:t>
      </w:r>
      <w:r w:rsidR="00064D5D" w:rsidRPr="001472AB">
        <w:rPr>
          <w:rFonts w:ascii="Times New Roman Bold" w:hAnsi="Times New Roman Bold"/>
          <w:b/>
          <w:bCs/>
          <w:spacing w:val="2"/>
          <w:rtl/>
          <w:lang w:val="en-US"/>
        </w:rPr>
        <w:t>العمل بمجرد بداية التحقيق وطوال مدته، دون المساس باحترام مبدأ قرينة البراءة، واستبعاد أفراد</w:t>
      </w:r>
      <w:r w:rsidR="00DF5FA5" w:rsidRPr="001472AB">
        <w:rPr>
          <w:rFonts w:ascii="Times New Roman Bold" w:hAnsi="Times New Roman Bold" w:hint="cs"/>
          <w:b/>
          <w:bCs/>
          <w:spacing w:val="2"/>
          <w:rtl/>
          <w:lang w:val="en-US"/>
        </w:rPr>
        <w:t xml:space="preserve"> </w:t>
      </w:r>
      <w:r w:rsidR="00064D5D" w:rsidRPr="001472AB">
        <w:rPr>
          <w:rFonts w:ascii="Times New Roman Bold" w:hAnsi="Times New Roman Bold"/>
          <w:b/>
          <w:bCs/>
          <w:spacing w:val="2"/>
          <w:rtl/>
          <w:lang w:val="en-US"/>
        </w:rPr>
        <w:t>قوات إنفاذ القانون، أو قوات الأمن الذين يُشتبه في أنهم شاركوا في ارتكاب الجريمة، من المشاركة في التحقيق؛</w:t>
      </w:r>
    </w:p>
    <w:p w14:paraId="60CEB279" w14:textId="4203559E" w:rsidR="00064D5D" w:rsidRPr="001472AB" w:rsidRDefault="00513467" w:rsidP="00DF5FA5">
      <w:pPr>
        <w:pStyle w:val="SingleTxtGA"/>
        <w:rPr>
          <w:b/>
          <w:bCs/>
          <w:lang w:val="en-US"/>
        </w:rPr>
      </w:pPr>
      <w:r>
        <w:rPr>
          <w:rtl/>
          <w:lang w:val="en-US"/>
        </w:rPr>
        <w:tab/>
      </w:r>
      <w:r w:rsidR="00064D5D" w:rsidRPr="00064D5D">
        <w:rPr>
          <w:rtl/>
          <w:lang w:val="en-US"/>
        </w:rPr>
        <w:t>(ج)</w:t>
      </w:r>
      <w:r w:rsidR="00064D5D" w:rsidRPr="00064D5D">
        <w:rPr>
          <w:rtl/>
          <w:lang w:val="en-US"/>
        </w:rPr>
        <w:tab/>
      </w:r>
      <w:r w:rsidR="00064D5D" w:rsidRPr="001472AB">
        <w:rPr>
          <w:b/>
          <w:bCs/>
          <w:rtl/>
          <w:lang w:val="en-US"/>
        </w:rPr>
        <w:t>تشجيع وتيسير إجراءات تقديم الشكاوى بكل أمان، والمشاركة بجدية ودون تحفظ في التحقيق مع الضحايا، بمن فيهم أقارب الشخص المفقود الذين يرغبون في ذلك؛</w:t>
      </w:r>
    </w:p>
    <w:p w14:paraId="74A1B228" w14:textId="691AE37F" w:rsidR="00064D5D" w:rsidRPr="001472AB" w:rsidRDefault="00513467" w:rsidP="00DF5FA5">
      <w:pPr>
        <w:pStyle w:val="SingleTxtGA"/>
        <w:rPr>
          <w:b/>
          <w:bCs/>
          <w:lang w:val="en-US"/>
        </w:rPr>
      </w:pPr>
      <w:r>
        <w:rPr>
          <w:rtl/>
          <w:lang w:val="en-US"/>
        </w:rPr>
        <w:tab/>
      </w:r>
      <w:r w:rsidR="00064D5D" w:rsidRPr="00064D5D">
        <w:rPr>
          <w:rtl/>
          <w:lang w:val="en-US"/>
        </w:rPr>
        <w:t>(د)</w:t>
      </w:r>
      <w:r w:rsidR="00064D5D" w:rsidRPr="00064D5D">
        <w:rPr>
          <w:rtl/>
          <w:lang w:val="en-US"/>
        </w:rPr>
        <w:tab/>
      </w:r>
      <w:r w:rsidR="00064D5D" w:rsidRPr="001472AB">
        <w:rPr>
          <w:b/>
          <w:bCs/>
          <w:rtl/>
          <w:lang w:val="en-US"/>
        </w:rPr>
        <w:t xml:space="preserve">ضمان الاحترام الكامل لحق الضحايا في معرفة الحقيقة في جميع مراحل الإجراءات، لا سيما من طريق ضمان </w:t>
      </w:r>
      <w:proofErr w:type="spellStart"/>
      <w:r w:rsidR="00064D5D" w:rsidRPr="001472AB">
        <w:rPr>
          <w:b/>
          <w:bCs/>
          <w:rtl/>
          <w:lang w:val="en-US"/>
        </w:rPr>
        <w:t>إطلاعهم</w:t>
      </w:r>
      <w:proofErr w:type="spellEnd"/>
      <w:r w:rsidR="00064D5D" w:rsidRPr="001472AB">
        <w:rPr>
          <w:b/>
          <w:bCs/>
          <w:rtl/>
          <w:lang w:val="en-US"/>
        </w:rPr>
        <w:t xml:space="preserve"> بانتظام عما تحقق من تقدم في التحقيقات ونتائجها، حتى عندما لا</w:t>
      </w:r>
      <w:r w:rsidR="00AD37DA" w:rsidRPr="001472AB">
        <w:rPr>
          <w:rFonts w:hint="cs"/>
          <w:b/>
          <w:bCs/>
          <w:rtl/>
          <w:lang w:val="en-US"/>
        </w:rPr>
        <w:t> </w:t>
      </w:r>
      <w:r w:rsidR="00064D5D" w:rsidRPr="001472AB">
        <w:rPr>
          <w:b/>
          <w:bCs/>
          <w:rtl/>
          <w:lang w:val="en-US"/>
        </w:rPr>
        <w:t>يكونون قد ادعوا بالحق المدني؛</w:t>
      </w:r>
    </w:p>
    <w:p w14:paraId="7A3C9F70" w14:textId="0D745071" w:rsidR="00064D5D" w:rsidRPr="001472AB" w:rsidRDefault="00513467" w:rsidP="00DF5FA5">
      <w:pPr>
        <w:pStyle w:val="SingleTxtGA"/>
        <w:rPr>
          <w:b/>
          <w:bCs/>
          <w:lang w:val="en-US"/>
        </w:rPr>
      </w:pPr>
      <w:r>
        <w:rPr>
          <w:rtl/>
          <w:lang w:val="en-US"/>
        </w:rPr>
        <w:tab/>
      </w:r>
      <w:r w:rsidR="00064D5D" w:rsidRPr="00064D5D">
        <w:rPr>
          <w:rtl/>
          <w:lang w:val="en-US"/>
        </w:rPr>
        <w:t>(هـ)</w:t>
      </w:r>
      <w:r w:rsidR="00064D5D" w:rsidRPr="00064D5D">
        <w:rPr>
          <w:rtl/>
          <w:lang w:val="en-US"/>
        </w:rPr>
        <w:tab/>
      </w:r>
      <w:r w:rsidR="00064D5D" w:rsidRPr="001472AB">
        <w:rPr>
          <w:b/>
          <w:bCs/>
          <w:rtl/>
          <w:lang w:val="en-US"/>
        </w:rPr>
        <w:t>اتخاذ جميع التدابير اللازمة للعثور على جميع الأشخاص ضحايا الاختفاء القسري الذين لم يتضح مصيرهم بعدُ، والإفراج عنهم والتعرف على هويتهم في حال وفاتهم، وضمان ألا تتعارض إجراءات البحث المنفذة مع المبادئ التوجيهية للجنة بشأن البحث عن الأشخاص المفقودين</w:t>
      </w:r>
      <w:r w:rsidR="00AD37DA" w:rsidRPr="001472AB">
        <w:rPr>
          <w:rStyle w:val="FootnoteReference"/>
          <w:b/>
          <w:bCs/>
          <w:szCs w:val="22"/>
          <w:rtl/>
        </w:rPr>
        <w:t>(</w:t>
      </w:r>
      <w:r w:rsidR="00AD37DA" w:rsidRPr="001472AB">
        <w:rPr>
          <w:rStyle w:val="FootnoteReference"/>
          <w:b/>
          <w:bCs/>
          <w:szCs w:val="22"/>
          <w:lang w:val="en-US"/>
        </w:rPr>
        <w:footnoteReference w:id="9"/>
      </w:r>
      <w:r w:rsidR="00AD37DA" w:rsidRPr="001472AB">
        <w:rPr>
          <w:b/>
          <w:bCs/>
          <w:color w:val="000000"/>
          <w:vertAlign w:val="superscript"/>
          <w:rtl/>
          <w:lang w:val="en-US"/>
        </w:rPr>
        <w:t>)</w:t>
      </w:r>
      <w:r w:rsidR="00AD37DA" w:rsidRPr="001472AB">
        <w:rPr>
          <w:rFonts w:hint="cs"/>
          <w:b/>
          <w:bCs/>
          <w:color w:val="000000"/>
          <w:rtl/>
          <w:lang w:val="en-US"/>
        </w:rPr>
        <w:t>؛</w:t>
      </w:r>
      <w:r w:rsidR="00AD37DA" w:rsidRPr="001472AB">
        <w:rPr>
          <w:b/>
          <w:bCs/>
          <w:color w:val="000000"/>
          <w:rtl/>
          <w:lang w:val="en-US"/>
        </w:rPr>
        <w:t xml:space="preserve"> </w:t>
      </w:r>
      <w:r w:rsidR="00064D5D" w:rsidRPr="001472AB">
        <w:rPr>
          <w:b/>
          <w:bCs/>
          <w:rtl/>
          <w:lang w:val="en-US"/>
        </w:rPr>
        <w:t>وفي هذا الصدد، توصي اللجنة أيضاً الدولة الطرف بأن تضع البروتوكولات والآليات المشار إليها في الفقرات من 196 إلى 198 من تقريرها المقدم بموجب المادة 29 (</w:t>
      </w:r>
      <w:r w:rsidR="00AD37DA" w:rsidRPr="001472AB">
        <w:rPr>
          <w:b/>
          <w:bCs/>
          <w:color w:val="000000"/>
          <w:rtl/>
          <w:lang w:val="en-US"/>
        </w:rPr>
        <w:t xml:space="preserve">1) </w:t>
      </w:r>
      <w:r w:rsidR="00064D5D" w:rsidRPr="001472AB">
        <w:rPr>
          <w:b/>
          <w:bCs/>
          <w:rtl/>
          <w:lang w:val="en-US"/>
        </w:rPr>
        <w:t>من الاتفاقية؛</w:t>
      </w:r>
    </w:p>
    <w:p w14:paraId="02BD9616" w14:textId="72F38609" w:rsidR="00064D5D" w:rsidRPr="001472AB" w:rsidRDefault="00513467" w:rsidP="00DF5FA5">
      <w:pPr>
        <w:pStyle w:val="SingleTxtGA"/>
        <w:rPr>
          <w:b/>
          <w:bCs/>
          <w:lang w:val="en-US"/>
        </w:rPr>
      </w:pPr>
      <w:r>
        <w:rPr>
          <w:rtl/>
          <w:lang w:val="en-US"/>
        </w:rPr>
        <w:tab/>
      </w:r>
      <w:r w:rsidR="00064D5D" w:rsidRPr="00064D5D">
        <w:rPr>
          <w:rtl/>
          <w:lang w:val="en-US"/>
        </w:rPr>
        <w:t>(و)</w:t>
      </w:r>
      <w:r w:rsidR="00064D5D" w:rsidRPr="00064D5D">
        <w:rPr>
          <w:rtl/>
          <w:lang w:val="en-US"/>
        </w:rPr>
        <w:tab/>
      </w:r>
      <w:r w:rsidR="00064D5D" w:rsidRPr="001472AB">
        <w:rPr>
          <w:rFonts w:ascii="Times New Roman Bold" w:hAnsi="Times New Roman Bold"/>
          <w:b/>
          <w:bCs/>
          <w:rtl/>
          <w:lang w:val="en-US"/>
        </w:rPr>
        <w:t>ضمان التنسيق والتعاون الفعالين بين جميع الجهات المعنية بالتحقيقات والبحوث، وضمان</w:t>
      </w:r>
      <w:r w:rsidR="00064D5D" w:rsidRPr="001472AB">
        <w:rPr>
          <w:b/>
          <w:bCs/>
          <w:rtl/>
          <w:lang w:val="en-US"/>
        </w:rPr>
        <w:t xml:space="preserve"> أن تتاح لها الهياكل والموارد والخبرات المالية والفنية والبشرية اللازمة للاضطلاع بمهامها بعناية</w:t>
      </w:r>
      <w:r w:rsidR="00AD37DA" w:rsidRPr="001472AB">
        <w:rPr>
          <w:rFonts w:hint="cs"/>
          <w:b/>
          <w:bCs/>
          <w:rtl/>
          <w:lang w:val="en-US"/>
        </w:rPr>
        <w:t> </w:t>
      </w:r>
      <w:r w:rsidR="00064D5D" w:rsidRPr="001472AB">
        <w:rPr>
          <w:b/>
          <w:bCs/>
          <w:rtl/>
          <w:lang w:val="en-US"/>
        </w:rPr>
        <w:t>وفعالية.</w:t>
      </w:r>
    </w:p>
    <w:p w14:paraId="3A4660E2" w14:textId="2DA6A5BA" w:rsidR="00AD37DA" w:rsidRPr="001472AB" w:rsidRDefault="00064D5D" w:rsidP="00DF5FA5">
      <w:pPr>
        <w:pStyle w:val="H23GA"/>
        <w:rPr>
          <w:color w:val="000000"/>
        </w:rPr>
      </w:pPr>
      <w:r w:rsidRPr="001472AB">
        <w:rPr>
          <w:rtl/>
        </w:rPr>
        <w:tab/>
        <w:t>4-</w:t>
      </w:r>
      <w:r w:rsidRPr="001472AB">
        <w:rPr>
          <w:rtl/>
        </w:rPr>
        <w:tab/>
        <w:t>تدابير منع الاختفاء القسري (المواد من 16 إلى 2</w:t>
      </w:r>
      <w:r w:rsidR="00AD37DA" w:rsidRPr="001472AB">
        <w:rPr>
          <w:color w:val="000000"/>
          <w:rtl/>
        </w:rPr>
        <w:t>3</w:t>
      </w:r>
      <w:r w:rsidR="00AD37DA" w:rsidRPr="001472AB">
        <w:rPr>
          <w:rFonts w:hint="cs"/>
          <w:color w:val="000000"/>
          <w:rtl/>
        </w:rPr>
        <w:t>)</w:t>
      </w:r>
    </w:p>
    <w:p w14:paraId="5575D7E4" w14:textId="38FF9BFD" w:rsidR="00064D5D" w:rsidRPr="001472AB" w:rsidRDefault="00064D5D" w:rsidP="00DF5FA5">
      <w:pPr>
        <w:pStyle w:val="H23GA"/>
      </w:pPr>
      <w:r w:rsidRPr="001472AB">
        <w:rPr>
          <w:rtl/>
        </w:rPr>
        <w:tab/>
      </w:r>
      <w:r w:rsidRPr="001472AB">
        <w:rPr>
          <w:rtl/>
        </w:rPr>
        <w:tab/>
        <w:t>عدم الإعادة القسرية وحماية المهاجرين من الاختفاء القسري</w:t>
      </w:r>
    </w:p>
    <w:p w14:paraId="6AACE2FC" w14:textId="4E267F0E" w:rsidR="00AD37DA" w:rsidRPr="00DF5FA5" w:rsidRDefault="00064D5D" w:rsidP="00DF5FA5">
      <w:pPr>
        <w:pStyle w:val="SingleTxtGA"/>
        <w:rPr>
          <w:color w:val="000000"/>
          <w:spacing w:val="2"/>
          <w:lang w:val="en-US"/>
        </w:rPr>
      </w:pPr>
      <w:r w:rsidRPr="001472AB">
        <w:rPr>
          <w:spacing w:val="2"/>
          <w:rtl/>
          <w:lang w:val="en-US"/>
        </w:rPr>
        <w:t>26</w:t>
      </w:r>
      <w:r w:rsidRPr="00DF5FA5">
        <w:rPr>
          <w:spacing w:val="2"/>
          <w:rtl/>
          <w:lang w:val="en-US"/>
        </w:rPr>
        <w:t>-</w:t>
      </w:r>
      <w:r w:rsidRPr="00DF5FA5">
        <w:rPr>
          <w:spacing w:val="2"/>
          <w:rtl/>
          <w:lang w:val="en-US"/>
        </w:rPr>
        <w:tab/>
        <w:t>يساور اللجنة القلق إزاء الادعاءات القائلة إن أفراداً أُبعدوا من النيجر في إطار إجراءات إدارية أو إجراءات تسليم المجرمين، على الرغم من وجود خطر حقيقي باحتمال تعرضهم للتعذيب أو</w:t>
      </w:r>
      <w:r w:rsidR="00DF5FA5">
        <w:rPr>
          <w:rFonts w:hint="cs"/>
          <w:spacing w:val="2"/>
          <w:rtl/>
          <w:lang w:val="en-US"/>
        </w:rPr>
        <w:t> </w:t>
      </w:r>
      <w:r w:rsidRPr="00DF5FA5">
        <w:rPr>
          <w:spacing w:val="2"/>
          <w:rtl/>
          <w:lang w:val="en-US"/>
        </w:rPr>
        <w:t>سوء المعاملة في بلد العودة</w:t>
      </w:r>
      <w:r w:rsidR="00AD37DA" w:rsidRPr="00DF5FA5">
        <w:rPr>
          <w:rStyle w:val="FootnoteReference"/>
          <w:spacing w:val="2"/>
          <w:szCs w:val="22"/>
          <w:rtl/>
        </w:rPr>
        <w:t>(</w:t>
      </w:r>
      <w:r w:rsidR="00AD37DA" w:rsidRPr="001472AB">
        <w:rPr>
          <w:rStyle w:val="FootnoteReference"/>
          <w:spacing w:val="2"/>
          <w:szCs w:val="22"/>
          <w:lang w:val="en-US"/>
        </w:rPr>
        <w:footnoteReference w:id="10"/>
      </w:r>
      <w:r w:rsidR="00AD37DA" w:rsidRPr="00DF5FA5">
        <w:rPr>
          <w:color w:val="000000"/>
          <w:spacing w:val="2"/>
          <w:vertAlign w:val="superscript"/>
          <w:rtl/>
          <w:lang w:val="en-US"/>
        </w:rPr>
        <w:t>)</w:t>
      </w:r>
      <w:r w:rsidR="00AD37DA" w:rsidRPr="00DF5FA5">
        <w:rPr>
          <w:color w:val="000000"/>
          <w:spacing w:val="2"/>
          <w:rtl/>
          <w:lang w:val="en-US"/>
        </w:rPr>
        <w:t>.</w:t>
      </w:r>
      <w:r w:rsidR="00AD37DA" w:rsidRPr="00DF5FA5">
        <w:rPr>
          <w:color w:val="000000"/>
          <w:spacing w:val="2"/>
          <w:rtl/>
          <w:lang w:val="en-US"/>
        </w:rPr>
        <w:t xml:space="preserve"> </w:t>
      </w:r>
      <w:r w:rsidRPr="00DF5FA5">
        <w:rPr>
          <w:spacing w:val="2"/>
          <w:rtl/>
          <w:lang w:val="en-US"/>
        </w:rPr>
        <w:t xml:space="preserve">ويساور اللجنة القلق أيضاً إزاء تقارير تفيد بأن بعض أحكام القانون رقم </w:t>
      </w:r>
      <w:r w:rsidRPr="001472AB">
        <w:rPr>
          <w:spacing w:val="2"/>
          <w:rtl/>
          <w:lang w:val="en-US"/>
        </w:rPr>
        <w:t>2015</w:t>
      </w:r>
      <w:r w:rsidRPr="00DF5FA5">
        <w:rPr>
          <w:spacing w:val="2"/>
          <w:rtl/>
          <w:lang w:val="en-US"/>
        </w:rPr>
        <w:t>-</w:t>
      </w:r>
      <w:r w:rsidRPr="001472AB">
        <w:rPr>
          <w:spacing w:val="2"/>
          <w:rtl/>
          <w:lang w:val="en-US"/>
        </w:rPr>
        <w:t>36</w:t>
      </w:r>
      <w:r w:rsidRPr="00DF5FA5">
        <w:rPr>
          <w:spacing w:val="2"/>
          <w:rtl/>
          <w:lang w:val="en-US"/>
        </w:rPr>
        <w:t xml:space="preserve"> الصادر في </w:t>
      </w:r>
      <w:r w:rsidRPr="001472AB">
        <w:rPr>
          <w:spacing w:val="2"/>
          <w:rtl/>
          <w:lang w:val="en-US"/>
        </w:rPr>
        <w:t>26</w:t>
      </w:r>
      <w:r w:rsidRPr="00DF5FA5">
        <w:rPr>
          <w:spacing w:val="2"/>
          <w:rtl/>
          <w:lang w:val="en-US"/>
        </w:rPr>
        <w:t xml:space="preserve"> أيار/مايو </w:t>
      </w:r>
      <w:r w:rsidRPr="001472AB">
        <w:rPr>
          <w:spacing w:val="2"/>
          <w:rtl/>
          <w:lang w:val="en-US"/>
        </w:rPr>
        <w:t>2015</w:t>
      </w:r>
      <w:r w:rsidRPr="00DF5FA5">
        <w:rPr>
          <w:spacing w:val="2"/>
          <w:rtl/>
          <w:lang w:val="en-US"/>
        </w:rPr>
        <w:t xml:space="preserve"> بشأن تهريب المهاجرين، تشجع، بسبب نهجها القمعي، المهاجرين على العيش في السرية في ظروف تعرضهم لانتهاكات عديدة قد ينطوي بعضها على خطر اختفائهم قسراً. وفي هذا الصدد، تلاحظ اللجنة بتقدير ما أفادت به الدولة الطرف من أن هذا القانون قيد التنقيح (المادة </w:t>
      </w:r>
      <w:r w:rsidRPr="001472AB">
        <w:rPr>
          <w:spacing w:val="2"/>
          <w:rtl/>
          <w:lang w:val="en-US"/>
        </w:rPr>
        <w:t>1</w:t>
      </w:r>
      <w:r w:rsidR="00AD37DA" w:rsidRPr="001472AB">
        <w:rPr>
          <w:color w:val="000000"/>
          <w:spacing w:val="2"/>
          <w:rtl/>
          <w:lang w:val="en-US"/>
        </w:rPr>
        <w:t>6</w:t>
      </w:r>
      <w:r w:rsidR="00AD37DA" w:rsidRPr="00DF5FA5">
        <w:rPr>
          <w:color w:val="000000"/>
          <w:spacing w:val="2"/>
          <w:rtl/>
          <w:lang w:val="en-US"/>
        </w:rPr>
        <w:t>).</w:t>
      </w:r>
    </w:p>
    <w:p w14:paraId="7B0D7285" w14:textId="1629DF52" w:rsidR="00064D5D" w:rsidRPr="001472AB" w:rsidRDefault="00064D5D" w:rsidP="00DF5FA5">
      <w:pPr>
        <w:pStyle w:val="SingleTxtGA"/>
        <w:rPr>
          <w:rFonts w:ascii="Times New Roman Bold" w:hAnsi="Times New Roman Bold"/>
          <w:b/>
          <w:bCs/>
          <w:spacing w:val="-2"/>
          <w:lang w:val="en-US"/>
        </w:rPr>
      </w:pPr>
      <w:r w:rsidRPr="001472AB">
        <w:rPr>
          <w:rtl/>
          <w:lang w:val="en-US"/>
        </w:rPr>
        <w:t>27</w:t>
      </w:r>
      <w:r w:rsidRPr="00064D5D">
        <w:rPr>
          <w:rtl/>
          <w:lang w:val="en-US"/>
        </w:rPr>
        <w:t>-</w:t>
      </w:r>
      <w:r w:rsidRPr="00064D5D">
        <w:rPr>
          <w:rtl/>
          <w:lang w:val="en-US"/>
        </w:rPr>
        <w:tab/>
      </w:r>
      <w:r w:rsidRPr="001472AB">
        <w:rPr>
          <w:b/>
          <w:bCs/>
          <w:rtl/>
          <w:lang w:val="en-US"/>
        </w:rPr>
        <w:t xml:space="preserve">توصي اللجنة الدولة الطرف بأن تكفل تقيدها الصارم، في جميع الظروف، بمبدأ عدم الإعادة </w:t>
      </w:r>
      <w:r w:rsidRPr="001472AB">
        <w:rPr>
          <w:rFonts w:ascii="Times New Roman Bold" w:hAnsi="Times New Roman Bold"/>
          <w:b/>
          <w:bCs/>
          <w:spacing w:val="-2"/>
          <w:rtl/>
          <w:lang w:val="en-US"/>
        </w:rPr>
        <w:t>القسرية المكرس في المادة 16(</w:t>
      </w:r>
      <w:r w:rsidR="00AD37DA" w:rsidRPr="001472AB">
        <w:rPr>
          <w:rFonts w:ascii="Times New Roman Bold" w:hAnsi="Times New Roman Bold"/>
          <w:b/>
          <w:bCs/>
          <w:color w:val="000000"/>
          <w:spacing w:val="-2"/>
          <w:rtl/>
          <w:lang w:val="en-US"/>
        </w:rPr>
        <w:t xml:space="preserve">1) </w:t>
      </w:r>
      <w:r w:rsidRPr="001472AB">
        <w:rPr>
          <w:rFonts w:ascii="Times New Roman Bold" w:hAnsi="Times New Roman Bold"/>
          <w:b/>
          <w:bCs/>
          <w:spacing w:val="-2"/>
          <w:rtl/>
          <w:lang w:val="en-US"/>
        </w:rPr>
        <w:t>من الاتفاقية. وتوصي اللجنة الدولة الطرف، بوجه خاص، بما يلي:</w:t>
      </w:r>
    </w:p>
    <w:p w14:paraId="4DEF4629" w14:textId="04D72B1A" w:rsidR="00064D5D" w:rsidRPr="001472AB" w:rsidRDefault="00513467" w:rsidP="00DF5FA5">
      <w:pPr>
        <w:pStyle w:val="SingleTxtGA"/>
        <w:rPr>
          <w:rFonts w:ascii="Times New Roman Bold" w:hAnsi="Times New Roman Bold"/>
          <w:b/>
          <w:bCs/>
          <w:lang w:val="en-US"/>
        </w:rPr>
      </w:pPr>
      <w:r w:rsidRPr="00AD37DA">
        <w:rPr>
          <w:rtl/>
          <w:lang w:val="en-US"/>
        </w:rPr>
        <w:tab/>
      </w:r>
      <w:r w:rsidR="00064D5D" w:rsidRPr="00AD37DA">
        <w:rPr>
          <w:rtl/>
          <w:lang w:val="en-US"/>
        </w:rPr>
        <w:t>(أ)</w:t>
      </w:r>
      <w:r w:rsidR="00064D5D" w:rsidRPr="00AD37DA">
        <w:rPr>
          <w:rtl/>
          <w:lang w:val="en-US"/>
        </w:rPr>
        <w:tab/>
      </w:r>
      <w:r w:rsidR="00064D5D" w:rsidRPr="001472AB">
        <w:rPr>
          <w:b/>
          <w:bCs/>
          <w:rtl/>
          <w:lang w:val="en-US"/>
        </w:rPr>
        <w:t>النظر في إدراج حكم صريح في تشريعاتها الوطني يحظر تنفيذ قرارات الترحيل أو</w:t>
      </w:r>
      <w:r w:rsidR="00AD37DA" w:rsidRPr="001472AB">
        <w:rPr>
          <w:rFonts w:hint="cs"/>
          <w:b/>
          <w:bCs/>
          <w:rtl/>
          <w:lang w:val="en-US"/>
        </w:rPr>
        <w:t> </w:t>
      </w:r>
      <w:r w:rsidR="00064D5D" w:rsidRPr="001472AB">
        <w:rPr>
          <w:b/>
          <w:bCs/>
          <w:rtl/>
          <w:lang w:val="en-US"/>
        </w:rPr>
        <w:t xml:space="preserve">الإعادة </w:t>
      </w:r>
      <w:r w:rsidR="00064D5D" w:rsidRPr="001472AB">
        <w:rPr>
          <w:rFonts w:ascii="Times New Roman Bold" w:hAnsi="Times New Roman Bold"/>
          <w:b/>
          <w:bCs/>
          <w:rtl/>
          <w:lang w:val="en-US"/>
        </w:rPr>
        <w:t>القسرية أو التسليم إذا كانت هناك أسباب وجيهة تدعو إلى اعتقاد أن الشخص يواجه خطر الاختفاء القسري؛</w:t>
      </w:r>
    </w:p>
    <w:p w14:paraId="6F6377D2" w14:textId="75902CD3" w:rsidR="00064D5D" w:rsidRPr="001472AB" w:rsidRDefault="00513467" w:rsidP="00DF5FA5">
      <w:pPr>
        <w:pStyle w:val="SingleTxtGA"/>
        <w:spacing w:line="350" w:lineRule="exact"/>
        <w:rPr>
          <w:b/>
          <w:bCs/>
          <w:lang w:val="en-US"/>
        </w:rPr>
      </w:pPr>
      <w:r>
        <w:rPr>
          <w:rtl/>
          <w:lang w:val="en-US"/>
        </w:rPr>
        <w:lastRenderedPageBreak/>
        <w:tab/>
      </w:r>
      <w:r w:rsidR="00064D5D" w:rsidRPr="00064D5D">
        <w:rPr>
          <w:rtl/>
          <w:lang w:val="en-US"/>
        </w:rPr>
        <w:t>(ب)</w:t>
      </w:r>
      <w:r w:rsidR="00064D5D" w:rsidRPr="00064D5D">
        <w:rPr>
          <w:rtl/>
          <w:lang w:val="en-US"/>
        </w:rPr>
        <w:tab/>
      </w:r>
      <w:r w:rsidR="00064D5D" w:rsidRPr="001472AB">
        <w:rPr>
          <w:rFonts w:ascii="Times New Roman Bold" w:hAnsi="Times New Roman Bold"/>
          <w:b/>
          <w:bCs/>
          <w:spacing w:val="-2"/>
          <w:rtl/>
          <w:lang w:val="en-US"/>
        </w:rPr>
        <w:t>كفالة استنفاد جميع الإجراءات قبل الشروع في الترحيل أو الإعادة القسرية أو التسليم،</w:t>
      </w:r>
      <w:r w:rsidR="00064D5D" w:rsidRPr="001472AB">
        <w:rPr>
          <w:b/>
          <w:bCs/>
          <w:rtl/>
          <w:lang w:val="en-US"/>
        </w:rPr>
        <w:t xml:space="preserve"> وإجراء تحقيق فردي شامل لتحديد ما إذا كانت هناك أسباب حقيقية تدعو إلى اعتقاد أن الشخص المعني يواجه خطر الاختفاء القسري، وإذا كانت هذه الأسباب موجودة، فالامتناع عن ترحيله أو إعادته قسراً أو تسليمه؛</w:t>
      </w:r>
    </w:p>
    <w:p w14:paraId="55F8A6D4" w14:textId="3408C887" w:rsidR="00064D5D" w:rsidRPr="001472AB" w:rsidRDefault="00513467" w:rsidP="00DF5FA5">
      <w:pPr>
        <w:pStyle w:val="SingleTxtGA"/>
        <w:spacing w:line="350" w:lineRule="exact"/>
        <w:rPr>
          <w:b/>
          <w:bCs/>
          <w:lang w:val="en-US"/>
        </w:rPr>
      </w:pPr>
      <w:r>
        <w:rPr>
          <w:rtl/>
          <w:lang w:val="en-US"/>
        </w:rPr>
        <w:tab/>
      </w:r>
      <w:r w:rsidR="00064D5D" w:rsidRPr="00064D5D">
        <w:rPr>
          <w:rtl/>
          <w:lang w:val="en-US"/>
        </w:rPr>
        <w:t>(ج)</w:t>
      </w:r>
      <w:r w:rsidR="00064D5D" w:rsidRPr="00064D5D">
        <w:rPr>
          <w:rtl/>
          <w:lang w:val="en-US"/>
        </w:rPr>
        <w:tab/>
      </w:r>
      <w:r w:rsidR="00064D5D" w:rsidRPr="001472AB">
        <w:rPr>
          <w:b/>
          <w:bCs/>
          <w:rtl/>
          <w:lang w:val="en-US"/>
        </w:rPr>
        <w:t xml:space="preserve">ضمان الأثر </w:t>
      </w:r>
      <w:proofErr w:type="spellStart"/>
      <w:r w:rsidR="00064D5D" w:rsidRPr="001472AB">
        <w:rPr>
          <w:b/>
          <w:bCs/>
          <w:rtl/>
          <w:lang w:val="en-US"/>
        </w:rPr>
        <w:t>الإيق</w:t>
      </w:r>
      <w:r w:rsidR="00AD37DA" w:rsidRPr="001472AB">
        <w:rPr>
          <w:rFonts w:hint="cs"/>
          <w:b/>
          <w:bCs/>
          <w:rtl/>
          <w:lang w:val="en-US"/>
        </w:rPr>
        <w:t>افي</w:t>
      </w:r>
      <w:proofErr w:type="spellEnd"/>
      <w:r w:rsidR="00064D5D" w:rsidRPr="001472AB">
        <w:rPr>
          <w:b/>
          <w:bCs/>
          <w:rtl/>
          <w:lang w:val="en-US"/>
        </w:rPr>
        <w:t xml:space="preserve"> للطعن في قرارات الترحيل أو الإعادة القسرية أو التسليم، في القانون والممارسة العملية.</w:t>
      </w:r>
    </w:p>
    <w:p w14:paraId="3F24F074" w14:textId="77777777" w:rsidR="00064D5D" w:rsidRPr="001472AB" w:rsidRDefault="00064D5D" w:rsidP="00DF5FA5">
      <w:pPr>
        <w:pStyle w:val="SingleTxtGA"/>
        <w:spacing w:line="350" w:lineRule="exact"/>
        <w:rPr>
          <w:b/>
          <w:bCs/>
          <w:lang w:val="en-US"/>
        </w:rPr>
      </w:pPr>
      <w:r w:rsidRPr="001472AB">
        <w:rPr>
          <w:rtl/>
          <w:lang w:val="en-US"/>
        </w:rPr>
        <w:t>28</w:t>
      </w:r>
      <w:r w:rsidRPr="00064D5D">
        <w:rPr>
          <w:rtl/>
          <w:lang w:val="en-US"/>
        </w:rPr>
        <w:t>-</w:t>
      </w:r>
      <w:r w:rsidRPr="00064D5D">
        <w:rPr>
          <w:rtl/>
          <w:lang w:val="en-US"/>
        </w:rPr>
        <w:tab/>
      </w:r>
      <w:r w:rsidRPr="001472AB">
        <w:rPr>
          <w:b/>
          <w:bCs/>
          <w:rtl/>
          <w:lang w:val="en-US"/>
        </w:rPr>
        <w:t>وتوصي اللجنة أيضاً الدولة الطرف بحماية المهاجرين من الاختفاء القسري، بما في ذلك من طريق تنقيح القانون رقم 2015-36، في ضوء المعايير الدولية ذات الصلة.</w:t>
      </w:r>
    </w:p>
    <w:p w14:paraId="07295907" w14:textId="77777777" w:rsidR="00064D5D" w:rsidRPr="001472AB" w:rsidRDefault="00064D5D" w:rsidP="00933938">
      <w:pPr>
        <w:pStyle w:val="H23GA"/>
        <w:spacing w:line="340" w:lineRule="exact"/>
      </w:pPr>
      <w:r w:rsidRPr="001472AB">
        <w:rPr>
          <w:rtl/>
        </w:rPr>
        <w:tab/>
      </w:r>
      <w:r w:rsidRPr="001472AB">
        <w:rPr>
          <w:rtl/>
        </w:rPr>
        <w:tab/>
        <w:t>الاحتجاز السري والضمانات القانونية الأساسية</w:t>
      </w:r>
    </w:p>
    <w:p w14:paraId="3A204115" w14:textId="2EC03D97" w:rsidR="00AD37DA" w:rsidRPr="00933938" w:rsidRDefault="00064D5D" w:rsidP="00933938">
      <w:pPr>
        <w:pStyle w:val="SingleTxtGA"/>
        <w:spacing w:line="340" w:lineRule="exact"/>
        <w:rPr>
          <w:color w:val="000000"/>
          <w:spacing w:val="-4"/>
          <w:lang w:val="en-US"/>
        </w:rPr>
      </w:pPr>
      <w:r w:rsidRPr="001472AB">
        <w:rPr>
          <w:spacing w:val="-4"/>
          <w:rtl/>
          <w:lang w:val="en-US"/>
        </w:rPr>
        <w:t>29</w:t>
      </w:r>
      <w:r w:rsidRPr="00933938">
        <w:rPr>
          <w:spacing w:val="-4"/>
          <w:rtl/>
          <w:lang w:val="en-US"/>
        </w:rPr>
        <w:t>-</w:t>
      </w:r>
      <w:r w:rsidRPr="00933938">
        <w:rPr>
          <w:spacing w:val="-4"/>
          <w:rtl/>
          <w:lang w:val="en-US"/>
        </w:rPr>
        <w:tab/>
        <w:t>تلاحظ اللجنة تأكيد الدولة الطرف أن الاحتجاز السري محظور في أي مكان غير الأماكن التي ينص عليها القانون</w:t>
      </w:r>
      <w:r w:rsidR="00AD37DA" w:rsidRPr="00933938">
        <w:rPr>
          <w:rStyle w:val="FootnoteReference"/>
          <w:spacing w:val="-4"/>
          <w:szCs w:val="22"/>
          <w:rtl/>
        </w:rPr>
        <w:t>(</w:t>
      </w:r>
      <w:r w:rsidR="00AD37DA" w:rsidRPr="001472AB">
        <w:rPr>
          <w:rStyle w:val="FootnoteReference"/>
          <w:spacing w:val="-4"/>
          <w:szCs w:val="22"/>
          <w:lang w:val="en-US"/>
        </w:rPr>
        <w:footnoteReference w:id="11"/>
      </w:r>
      <w:r w:rsidR="00AD37DA" w:rsidRPr="00933938">
        <w:rPr>
          <w:color w:val="000000"/>
          <w:spacing w:val="-4"/>
          <w:vertAlign w:val="superscript"/>
          <w:rtl/>
          <w:lang w:val="en-US"/>
        </w:rPr>
        <w:t>)</w:t>
      </w:r>
      <w:r w:rsidR="00AD37DA" w:rsidRPr="00933938">
        <w:rPr>
          <w:color w:val="000000"/>
          <w:spacing w:val="-4"/>
          <w:rtl/>
          <w:lang w:val="en-US"/>
        </w:rPr>
        <w:t>،</w:t>
      </w:r>
      <w:r w:rsidR="00AD37DA" w:rsidRPr="00933938">
        <w:rPr>
          <w:color w:val="000000"/>
          <w:spacing w:val="-4"/>
          <w:rtl/>
          <w:lang w:val="en-US"/>
        </w:rPr>
        <w:t xml:space="preserve"> </w:t>
      </w:r>
      <w:r w:rsidRPr="00933938">
        <w:rPr>
          <w:spacing w:val="-4"/>
          <w:rtl/>
          <w:lang w:val="en-US"/>
        </w:rPr>
        <w:t>لكنها تشعر بالقلق إزاء ادعاءات أثارتها لجنة مناهضة التعذيب تفيد بأن بعض الأفراد يحتجزون لدى الشرطة أو قبل المحاكمة في أماكن سرية لا ينص عليها القانون، مثل المديرية العامة للتوثيق والأمن الخارجي، وأكاديمية الشرطة الوطنية، وبعض الثكنات العسكرية</w:t>
      </w:r>
      <w:r w:rsidR="00AD37DA" w:rsidRPr="00933938">
        <w:rPr>
          <w:rStyle w:val="FootnoteReference"/>
          <w:spacing w:val="-4"/>
          <w:szCs w:val="22"/>
          <w:rtl/>
        </w:rPr>
        <w:t>(</w:t>
      </w:r>
      <w:r w:rsidR="00AD37DA" w:rsidRPr="001472AB">
        <w:rPr>
          <w:rStyle w:val="FootnoteReference"/>
          <w:spacing w:val="-4"/>
          <w:szCs w:val="22"/>
          <w:lang w:val="en-US"/>
        </w:rPr>
        <w:footnoteReference w:id="12"/>
      </w:r>
      <w:r w:rsidR="00AD37DA" w:rsidRPr="00933938">
        <w:rPr>
          <w:color w:val="000000"/>
          <w:spacing w:val="-4"/>
          <w:vertAlign w:val="superscript"/>
          <w:rtl/>
          <w:lang w:val="en-US"/>
        </w:rPr>
        <w:t>)</w:t>
      </w:r>
      <w:r w:rsidR="00AD37DA" w:rsidRPr="00933938">
        <w:rPr>
          <w:color w:val="000000"/>
          <w:spacing w:val="-4"/>
          <w:rtl/>
          <w:lang w:val="en-US"/>
        </w:rPr>
        <w:t>.</w:t>
      </w:r>
      <w:r w:rsidR="00AD37DA" w:rsidRPr="00933938">
        <w:rPr>
          <w:color w:val="000000"/>
          <w:spacing w:val="-4"/>
          <w:rtl/>
          <w:lang w:val="en-US"/>
        </w:rPr>
        <w:t xml:space="preserve"> </w:t>
      </w:r>
      <w:r w:rsidRPr="00933938">
        <w:rPr>
          <w:spacing w:val="-4"/>
          <w:rtl/>
          <w:lang w:val="en-US"/>
        </w:rPr>
        <w:t xml:space="preserve">ويساور اللجنة القلق أيضاً لأن قانون الإجراءات الجنائية لا يضمن حق الأشخاص المحتجزين لدى الشرطة في إبلاغ أسرهم بأنهم سلبوا </w:t>
      </w:r>
      <w:r w:rsidRPr="00933938">
        <w:rPr>
          <w:spacing w:val="-6"/>
          <w:rtl/>
          <w:lang w:val="en-US"/>
        </w:rPr>
        <w:t>حريتهم</w:t>
      </w:r>
      <w:r w:rsidR="00AD37DA" w:rsidRPr="00933938">
        <w:rPr>
          <w:rStyle w:val="FootnoteReference"/>
          <w:spacing w:val="-6"/>
          <w:szCs w:val="22"/>
          <w:rtl/>
        </w:rPr>
        <w:t>(</w:t>
      </w:r>
      <w:r w:rsidR="00AD37DA" w:rsidRPr="001472AB">
        <w:rPr>
          <w:rStyle w:val="FootnoteReference"/>
          <w:spacing w:val="-6"/>
          <w:szCs w:val="22"/>
          <w:lang w:val="en-US"/>
        </w:rPr>
        <w:footnoteReference w:id="13"/>
      </w:r>
      <w:r w:rsidR="00AD37DA" w:rsidRPr="00933938">
        <w:rPr>
          <w:color w:val="000000"/>
          <w:spacing w:val="-6"/>
          <w:vertAlign w:val="superscript"/>
          <w:rtl/>
          <w:lang w:val="en-US"/>
        </w:rPr>
        <w:t>)</w:t>
      </w:r>
      <w:r w:rsidR="00AD37DA" w:rsidRPr="00933938">
        <w:rPr>
          <w:color w:val="000000"/>
          <w:spacing w:val="-6"/>
          <w:rtl/>
          <w:lang w:val="en-US"/>
        </w:rPr>
        <w:t>.</w:t>
      </w:r>
      <w:r w:rsidR="00AD37DA" w:rsidRPr="00933938">
        <w:rPr>
          <w:color w:val="000000"/>
          <w:spacing w:val="-6"/>
          <w:rtl/>
          <w:lang w:val="en-US"/>
        </w:rPr>
        <w:t xml:space="preserve"> </w:t>
      </w:r>
      <w:r w:rsidRPr="00933938">
        <w:rPr>
          <w:spacing w:val="-6"/>
          <w:rtl/>
          <w:lang w:val="en-US"/>
        </w:rPr>
        <w:t>وتحيط اللجنة علماً بالمعلومات المتعلقة بسجلات الاحتجاز، لكنها تشعر بالقلق إزاء تقارير تفيد بوجود</w:t>
      </w:r>
      <w:r w:rsidRPr="00933938">
        <w:rPr>
          <w:spacing w:val="-4"/>
          <w:rtl/>
          <w:lang w:val="en-US"/>
        </w:rPr>
        <w:t xml:space="preserve"> أوجه قصور في حفظ سجلات الأشخاص المسلوبة حريتهم</w:t>
      </w:r>
      <w:r w:rsidR="00AD37DA" w:rsidRPr="00933938">
        <w:rPr>
          <w:rStyle w:val="FootnoteReference"/>
          <w:spacing w:val="-4"/>
          <w:szCs w:val="22"/>
          <w:rtl/>
        </w:rPr>
        <w:t>(</w:t>
      </w:r>
      <w:r w:rsidR="00AD37DA" w:rsidRPr="001472AB">
        <w:rPr>
          <w:rStyle w:val="FootnoteReference"/>
          <w:spacing w:val="-4"/>
          <w:szCs w:val="22"/>
          <w:lang w:val="en-US"/>
        </w:rPr>
        <w:footnoteReference w:id="14"/>
      </w:r>
      <w:r w:rsidR="00AD37DA" w:rsidRPr="00933938">
        <w:rPr>
          <w:color w:val="000000"/>
          <w:spacing w:val="-4"/>
          <w:vertAlign w:val="superscript"/>
          <w:rtl/>
          <w:lang w:val="en-US"/>
        </w:rPr>
        <w:t>)</w:t>
      </w:r>
      <w:r w:rsidR="00AD37DA" w:rsidRPr="00933938">
        <w:rPr>
          <w:color w:val="000000"/>
          <w:spacing w:val="-4"/>
          <w:rtl/>
          <w:lang w:val="en-US"/>
        </w:rPr>
        <w:t>.</w:t>
      </w:r>
      <w:r w:rsidR="00AD37DA" w:rsidRPr="00933938">
        <w:rPr>
          <w:color w:val="000000"/>
          <w:spacing w:val="-4"/>
          <w:rtl/>
          <w:lang w:val="en-US"/>
        </w:rPr>
        <w:t xml:space="preserve"> </w:t>
      </w:r>
      <w:r w:rsidRPr="00933938">
        <w:rPr>
          <w:spacing w:val="-4"/>
          <w:rtl/>
          <w:lang w:val="en-US"/>
        </w:rPr>
        <w:t xml:space="preserve">وتأسف اللجنة أيضاً لعدم وضوح أحكام القانون المحلي التي تنص على سبيل انتصاف بعينه وفقاً للمادة </w:t>
      </w:r>
      <w:r w:rsidRPr="001472AB">
        <w:rPr>
          <w:spacing w:val="-4"/>
          <w:rtl/>
          <w:lang w:val="en-US"/>
        </w:rPr>
        <w:t>17</w:t>
      </w:r>
      <w:r w:rsidRPr="00933938">
        <w:rPr>
          <w:spacing w:val="-4"/>
          <w:rtl/>
          <w:lang w:val="en-US"/>
        </w:rPr>
        <w:t>(</w:t>
      </w:r>
      <w:r w:rsidRPr="001472AB">
        <w:rPr>
          <w:spacing w:val="-4"/>
          <w:rtl/>
          <w:lang w:val="en-US"/>
        </w:rPr>
        <w:t>2</w:t>
      </w:r>
      <w:r w:rsidRPr="00933938">
        <w:rPr>
          <w:spacing w:val="-4"/>
          <w:rtl/>
          <w:lang w:val="en-US"/>
        </w:rPr>
        <w:t xml:space="preserve">)(و) من الاتفاقية (المواد </w:t>
      </w:r>
      <w:r w:rsidRPr="001472AB">
        <w:rPr>
          <w:spacing w:val="-4"/>
          <w:rtl/>
          <w:lang w:val="en-US"/>
        </w:rPr>
        <w:t>17</w:t>
      </w:r>
      <w:r w:rsidRPr="00933938">
        <w:rPr>
          <w:spacing w:val="-4"/>
          <w:rtl/>
          <w:lang w:val="en-US"/>
        </w:rPr>
        <w:t xml:space="preserve"> و</w:t>
      </w:r>
      <w:r w:rsidRPr="001472AB">
        <w:rPr>
          <w:spacing w:val="-4"/>
          <w:rtl/>
          <w:lang w:val="en-US"/>
        </w:rPr>
        <w:t>18</w:t>
      </w:r>
      <w:r w:rsidRPr="00933938">
        <w:rPr>
          <w:spacing w:val="-4"/>
          <w:rtl/>
          <w:lang w:val="en-US"/>
        </w:rPr>
        <w:t xml:space="preserve"> و</w:t>
      </w:r>
      <w:r w:rsidRPr="001472AB">
        <w:rPr>
          <w:spacing w:val="-4"/>
          <w:rtl/>
          <w:lang w:val="en-US"/>
        </w:rPr>
        <w:t>2</w:t>
      </w:r>
      <w:r w:rsidR="00AD37DA" w:rsidRPr="001472AB">
        <w:rPr>
          <w:color w:val="000000"/>
          <w:spacing w:val="-4"/>
          <w:rtl/>
          <w:lang w:val="en-US"/>
        </w:rPr>
        <w:t>1</w:t>
      </w:r>
      <w:r w:rsidR="00AD37DA" w:rsidRPr="00933938">
        <w:rPr>
          <w:color w:val="000000"/>
          <w:spacing w:val="-4"/>
          <w:rtl/>
          <w:lang w:val="en-US"/>
        </w:rPr>
        <w:t>).</w:t>
      </w:r>
    </w:p>
    <w:p w14:paraId="05C0FD9D" w14:textId="026D986D" w:rsidR="00064D5D" w:rsidRPr="001472AB" w:rsidRDefault="00064D5D" w:rsidP="00933938">
      <w:pPr>
        <w:pStyle w:val="SingleTxtGA"/>
        <w:spacing w:line="340" w:lineRule="exact"/>
        <w:rPr>
          <w:b/>
          <w:bCs/>
          <w:lang w:val="en-US"/>
        </w:rPr>
      </w:pPr>
      <w:r w:rsidRPr="001472AB">
        <w:rPr>
          <w:rtl/>
          <w:lang w:val="en-US"/>
        </w:rPr>
        <w:t>30</w:t>
      </w:r>
      <w:r w:rsidRPr="00064D5D">
        <w:rPr>
          <w:rtl/>
          <w:lang w:val="en-US"/>
        </w:rPr>
        <w:t>-</w:t>
      </w:r>
      <w:r w:rsidRPr="00064D5D">
        <w:rPr>
          <w:rtl/>
          <w:lang w:val="en-US"/>
        </w:rPr>
        <w:tab/>
      </w:r>
      <w:r w:rsidRPr="001472AB">
        <w:rPr>
          <w:b/>
          <w:bCs/>
          <w:rtl/>
          <w:lang w:val="en-US"/>
        </w:rPr>
        <w:t>توصي اللجنة الدولة الطرف بأن تكفل عدم إيداع أي شخص رهن الاحتجاز التام، بما في ذلك من طريق ضمان تمتع جميع الأشخاص المسلوبة حريتهم بجميع الضمانات القانونية الأساسية المنصوص عليها في المادة 17 من الاتفاقية وغيرها من صكوك حقوق الإنسان التي يُعد النيجر طرفاً فيها. وبهذا المعنى، يجب على الدولة الطرف:</w:t>
      </w:r>
    </w:p>
    <w:p w14:paraId="57CE2C34" w14:textId="5B9E27ED" w:rsidR="00064D5D" w:rsidRPr="001472AB" w:rsidRDefault="00513467" w:rsidP="00933938">
      <w:pPr>
        <w:pStyle w:val="SingleTxtGA"/>
        <w:spacing w:line="340" w:lineRule="exact"/>
        <w:rPr>
          <w:b/>
          <w:bCs/>
          <w:lang w:val="en-US"/>
        </w:rPr>
      </w:pPr>
      <w:r>
        <w:rPr>
          <w:rtl/>
          <w:lang w:val="en-US"/>
        </w:rPr>
        <w:tab/>
      </w:r>
      <w:r w:rsidR="00064D5D" w:rsidRPr="00064D5D">
        <w:rPr>
          <w:rtl/>
          <w:lang w:val="en-US"/>
        </w:rPr>
        <w:t>(أ)</w:t>
      </w:r>
      <w:r w:rsidR="00064D5D" w:rsidRPr="00064D5D">
        <w:rPr>
          <w:rtl/>
          <w:lang w:val="en-US"/>
        </w:rPr>
        <w:tab/>
      </w:r>
      <w:r w:rsidR="00064D5D" w:rsidRPr="001472AB">
        <w:rPr>
          <w:b/>
          <w:bCs/>
          <w:rtl/>
          <w:lang w:val="en-US"/>
        </w:rPr>
        <w:t>ضمان إيداع الأشخاص المسلوبة حريتهم في أماكن سلب الحرية المعترف بها رسمياً والخاضعة للرصد في جميع مراحل الإجراءات؛</w:t>
      </w:r>
    </w:p>
    <w:p w14:paraId="1B829B43" w14:textId="317A48F8" w:rsidR="00064D5D" w:rsidRPr="001472AB" w:rsidRDefault="00513467" w:rsidP="00933938">
      <w:pPr>
        <w:pStyle w:val="SingleTxtGA"/>
        <w:spacing w:line="340" w:lineRule="exact"/>
        <w:rPr>
          <w:b/>
          <w:bCs/>
          <w:lang w:val="en-US"/>
        </w:rPr>
      </w:pPr>
      <w:r>
        <w:rPr>
          <w:rtl/>
          <w:lang w:val="en-US"/>
        </w:rPr>
        <w:tab/>
      </w:r>
      <w:r w:rsidR="00064D5D" w:rsidRPr="00064D5D">
        <w:rPr>
          <w:rtl/>
          <w:lang w:val="en-US"/>
        </w:rPr>
        <w:t>(ب)</w:t>
      </w:r>
      <w:r w:rsidR="00064D5D" w:rsidRPr="00064D5D">
        <w:rPr>
          <w:rtl/>
          <w:lang w:val="en-US"/>
        </w:rPr>
        <w:tab/>
      </w:r>
      <w:r w:rsidR="00064D5D" w:rsidRPr="001472AB">
        <w:rPr>
          <w:b/>
          <w:bCs/>
          <w:rtl/>
          <w:lang w:val="en-US"/>
        </w:rPr>
        <w:t>ضمان أن يكون لكل شخص، من بداية سلبه حريته، إمكانية الاتصال الفعلي بمحام، بصرف النظر عن الجريمة المتهم بها، وإمكانية إبلاغ</w:t>
      </w:r>
      <w:r w:rsidR="000D2200" w:rsidRPr="001472AB">
        <w:rPr>
          <w:b/>
          <w:bCs/>
          <w:rtl/>
          <w:lang w:val="en-US"/>
        </w:rPr>
        <w:t xml:space="preserve"> </w:t>
      </w:r>
      <w:r w:rsidR="00064D5D" w:rsidRPr="001472AB">
        <w:rPr>
          <w:b/>
          <w:bCs/>
          <w:rtl/>
          <w:lang w:val="en-US"/>
        </w:rPr>
        <w:t>أقاربه وأي شخص آخر يختاره بذلك، وإذا كان أجنبياً، إبلاغ السلطات القنصلية لبلده فعلياً بسلبه حريته وبمكان احتجازه؛</w:t>
      </w:r>
    </w:p>
    <w:p w14:paraId="7C8B210B" w14:textId="48EEFEF5" w:rsidR="00064D5D" w:rsidRPr="001472AB" w:rsidRDefault="00513467" w:rsidP="00933938">
      <w:pPr>
        <w:pStyle w:val="SingleTxtGA"/>
        <w:spacing w:line="340" w:lineRule="exact"/>
        <w:rPr>
          <w:b/>
          <w:bCs/>
          <w:lang w:val="en-US"/>
        </w:rPr>
      </w:pPr>
      <w:r>
        <w:rPr>
          <w:rtl/>
          <w:lang w:val="en-US"/>
        </w:rPr>
        <w:tab/>
      </w:r>
      <w:r w:rsidR="00064D5D" w:rsidRPr="00064D5D">
        <w:rPr>
          <w:rtl/>
          <w:lang w:val="en-US"/>
        </w:rPr>
        <w:t>(ج)</w:t>
      </w:r>
      <w:r w:rsidR="00064D5D" w:rsidRPr="00064D5D">
        <w:rPr>
          <w:rtl/>
          <w:lang w:val="en-US"/>
        </w:rPr>
        <w:tab/>
      </w:r>
      <w:r w:rsidR="00064D5D" w:rsidRPr="001472AB">
        <w:rPr>
          <w:rFonts w:ascii="Times New Roman Bold" w:hAnsi="Times New Roman Bold"/>
          <w:b/>
          <w:bCs/>
          <w:spacing w:val="-4"/>
          <w:rtl/>
          <w:lang w:val="en-US"/>
        </w:rPr>
        <w:t>تسجيل جميع حالات سلب الحرية، منذ البداية ودون استثناء، في سجلات و/أو ملفات</w:t>
      </w:r>
      <w:r w:rsidR="00064D5D" w:rsidRPr="001472AB">
        <w:rPr>
          <w:b/>
          <w:bCs/>
          <w:rtl/>
          <w:lang w:val="en-US"/>
        </w:rPr>
        <w:t xml:space="preserve"> موحدة تحتوي على الأقل على المعلومات المطلوبة بموجب المادة 17(</w:t>
      </w:r>
      <w:r w:rsidR="00AD37DA" w:rsidRPr="001472AB">
        <w:rPr>
          <w:b/>
          <w:bCs/>
          <w:color w:val="000000"/>
          <w:rtl/>
          <w:lang w:val="en-US"/>
        </w:rPr>
        <w:t xml:space="preserve">3) </w:t>
      </w:r>
      <w:r w:rsidR="00064D5D" w:rsidRPr="001472AB">
        <w:rPr>
          <w:b/>
          <w:bCs/>
          <w:rtl/>
          <w:lang w:val="en-US"/>
        </w:rPr>
        <w:t>من الاتفاقية، وتُملأ وتُحدّث بدقة ودون إبطاء، وتخضع لعمليات تحقق منتظمة؛</w:t>
      </w:r>
    </w:p>
    <w:p w14:paraId="007F9CAF" w14:textId="59071E67" w:rsidR="00064D5D" w:rsidRPr="001472AB" w:rsidRDefault="00513467" w:rsidP="00933938">
      <w:pPr>
        <w:pStyle w:val="SingleTxtGA"/>
        <w:spacing w:line="340" w:lineRule="exact"/>
        <w:rPr>
          <w:b/>
          <w:bCs/>
          <w:lang w:val="en-US"/>
        </w:rPr>
      </w:pPr>
      <w:r>
        <w:rPr>
          <w:rtl/>
          <w:lang w:val="en-US"/>
        </w:rPr>
        <w:tab/>
      </w:r>
      <w:r w:rsidR="00064D5D" w:rsidRPr="00064D5D">
        <w:rPr>
          <w:rtl/>
          <w:lang w:val="en-US"/>
        </w:rPr>
        <w:t>(د)</w:t>
      </w:r>
      <w:r w:rsidR="00064D5D" w:rsidRPr="00064D5D">
        <w:rPr>
          <w:rtl/>
          <w:lang w:val="en-US"/>
        </w:rPr>
        <w:tab/>
      </w:r>
      <w:r w:rsidR="00064D5D" w:rsidRPr="001472AB">
        <w:rPr>
          <w:b/>
          <w:bCs/>
          <w:rtl/>
          <w:lang w:val="en-US"/>
        </w:rPr>
        <w:t>ضمان أن يكون لكل الأشخاص المسلوبة حريتهم، بمن فيهم المحتجزون لدى الشرطة، ولأي شخص له مصلحة مشروعة، في حال الاشتباه في حدوث اختفاء قسري وعجز الشخص المسلوبة حريته عن ممارسة حقه بنفسه، الحق في الطعن أمام المحكمة لاستصدار قرار دون إبطاء بشأن مشروعية سلبه حريته، وأمر بالإفراج عنه إذا كان سلب حريته غير قانوني.</w:t>
      </w:r>
    </w:p>
    <w:p w14:paraId="2D48FC2B" w14:textId="3222EAA0" w:rsidR="00AD37DA" w:rsidRPr="001472AB" w:rsidRDefault="00064D5D" w:rsidP="00513467">
      <w:pPr>
        <w:pStyle w:val="H23GA"/>
        <w:rPr>
          <w:color w:val="000000"/>
        </w:rPr>
      </w:pPr>
      <w:r w:rsidRPr="001472AB">
        <w:rPr>
          <w:rtl/>
        </w:rPr>
        <w:lastRenderedPageBreak/>
        <w:tab/>
        <w:t>5-</w:t>
      </w:r>
      <w:r w:rsidRPr="001472AB">
        <w:rPr>
          <w:rtl/>
        </w:rPr>
        <w:tab/>
        <w:t>تدابير حماية حقوق ضحايا الاختفاء القسري وضمان هذه الحقوق (المادة 2</w:t>
      </w:r>
      <w:r w:rsidR="00AD37DA" w:rsidRPr="001472AB">
        <w:rPr>
          <w:color w:val="000000"/>
          <w:rtl/>
        </w:rPr>
        <w:t>4</w:t>
      </w:r>
      <w:r w:rsidR="00AD37DA" w:rsidRPr="001472AB">
        <w:rPr>
          <w:rFonts w:hint="cs"/>
          <w:color w:val="000000"/>
          <w:rtl/>
        </w:rPr>
        <w:t>)</w:t>
      </w:r>
    </w:p>
    <w:p w14:paraId="3DA75A6E" w14:textId="63FEDA75" w:rsidR="00064D5D" w:rsidRPr="001472AB" w:rsidRDefault="00064D5D" w:rsidP="00513467">
      <w:pPr>
        <w:pStyle w:val="H23GA"/>
      </w:pPr>
      <w:r w:rsidRPr="001472AB">
        <w:rPr>
          <w:rtl/>
        </w:rPr>
        <w:tab/>
      </w:r>
      <w:r w:rsidRPr="001472AB">
        <w:rPr>
          <w:rtl/>
        </w:rPr>
        <w:tab/>
        <w:t>الحق في الجبر</w:t>
      </w:r>
    </w:p>
    <w:p w14:paraId="4E6ADFC3" w14:textId="2AF00076" w:rsidR="00AD37DA" w:rsidRPr="00AD37DA" w:rsidRDefault="00064D5D" w:rsidP="00064D5D">
      <w:pPr>
        <w:pStyle w:val="SingleTxtGA"/>
        <w:rPr>
          <w:color w:val="000000"/>
          <w:lang w:val="en-US"/>
        </w:rPr>
      </w:pPr>
      <w:r w:rsidRPr="001472AB">
        <w:rPr>
          <w:rtl/>
          <w:lang w:val="en-US"/>
        </w:rPr>
        <w:t>31</w:t>
      </w:r>
      <w:r w:rsidRPr="00064D5D">
        <w:rPr>
          <w:rtl/>
          <w:lang w:val="en-US"/>
        </w:rPr>
        <w:t>-</w:t>
      </w:r>
      <w:r w:rsidRPr="00064D5D">
        <w:rPr>
          <w:rtl/>
          <w:lang w:val="en-US"/>
        </w:rPr>
        <w:tab/>
        <w:t>يساور اللجنة القلق لأن القانون المحلي لا ينص على نظام للجبر الكامل يتفق تماماً مع المادة</w:t>
      </w:r>
      <w:r w:rsidR="00933938">
        <w:rPr>
          <w:rFonts w:hint="cs"/>
          <w:rtl/>
          <w:lang w:val="en-US"/>
        </w:rPr>
        <w:t> </w:t>
      </w:r>
      <w:r w:rsidRPr="001472AB">
        <w:rPr>
          <w:rtl/>
          <w:lang w:val="en-US"/>
        </w:rPr>
        <w:t>24</w:t>
      </w:r>
      <w:r w:rsidRPr="00064D5D">
        <w:rPr>
          <w:rtl/>
          <w:lang w:val="en-US"/>
        </w:rPr>
        <w:t>(</w:t>
      </w:r>
      <w:r w:rsidR="00AD37DA" w:rsidRPr="001472AB">
        <w:rPr>
          <w:color w:val="000000"/>
          <w:rtl/>
          <w:lang w:val="en-US"/>
        </w:rPr>
        <w:t>4</w:t>
      </w:r>
      <w:r w:rsidR="00AD37DA" w:rsidRPr="00AD37DA">
        <w:rPr>
          <w:color w:val="000000"/>
          <w:rtl/>
          <w:lang w:val="en-US"/>
        </w:rPr>
        <w:t xml:space="preserve">) </w:t>
      </w:r>
      <w:r w:rsidRPr="00064D5D">
        <w:rPr>
          <w:rtl/>
          <w:lang w:val="en-US"/>
        </w:rPr>
        <w:t>و(</w:t>
      </w:r>
      <w:r w:rsidR="00AD37DA" w:rsidRPr="001472AB">
        <w:rPr>
          <w:color w:val="000000"/>
          <w:rtl/>
          <w:lang w:val="en-US"/>
        </w:rPr>
        <w:t>5</w:t>
      </w:r>
      <w:r w:rsidR="00AD37DA" w:rsidRPr="00AD37DA">
        <w:rPr>
          <w:color w:val="000000"/>
          <w:rtl/>
          <w:lang w:val="en-US"/>
        </w:rPr>
        <w:t xml:space="preserve">) </w:t>
      </w:r>
      <w:r w:rsidRPr="00064D5D">
        <w:rPr>
          <w:rtl/>
          <w:lang w:val="en-US"/>
        </w:rPr>
        <w:t>من الاتفاقية. ويساور اللجنة القلق أيضاً لأن "الصناديق الخاصة" المخصصة لضحايا الإرهاب والاتجار بالبشر أُنشئت، لكنها لم تُفعّل بعدُ. ويساور اللجنة القلق أيضاً لأن الدولة الطرف لم</w:t>
      </w:r>
      <w:r w:rsidR="00933938">
        <w:rPr>
          <w:rFonts w:hint="cs"/>
          <w:rtl/>
          <w:lang w:val="en-US"/>
        </w:rPr>
        <w:t> </w:t>
      </w:r>
      <w:r w:rsidRPr="00064D5D">
        <w:rPr>
          <w:rtl/>
          <w:lang w:val="en-US"/>
        </w:rPr>
        <w:t xml:space="preserve">تأخذ في الحسبان فيما يبدو توصيات اللجنة الوطنية لحقوق الإنسان المتعلقة بالجبر الواجب توفيره لضحايا حالات الاختفاء القسري التي وقعت في الفترة ما بين </w:t>
      </w:r>
      <w:r w:rsidRPr="001472AB">
        <w:rPr>
          <w:rtl/>
          <w:lang w:val="en-US"/>
        </w:rPr>
        <w:t>27</w:t>
      </w:r>
      <w:r w:rsidRPr="00064D5D">
        <w:rPr>
          <w:rtl/>
          <w:lang w:val="en-US"/>
        </w:rPr>
        <w:t xml:space="preserve"> آذار/مارس و</w:t>
      </w:r>
      <w:r w:rsidRPr="001472AB">
        <w:rPr>
          <w:rtl/>
          <w:lang w:val="en-US"/>
        </w:rPr>
        <w:t>2</w:t>
      </w:r>
      <w:r w:rsidRPr="00064D5D">
        <w:rPr>
          <w:rtl/>
          <w:lang w:val="en-US"/>
        </w:rPr>
        <w:t xml:space="preserve"> نيسان/أبريل </w:t>
      </w:r>
      <w:r w:rsidRPr="001472AB">
        <w:rPr>
          <w:rtl/>
          <w:lang w:val="en-US"/>
        </w:rPr>
        <w:t>2020</w:t>
      </w:r>
      <w:r w:rsidRPr="00064D5D">
        <w:rPr>
          <w:rtl/>
          <w:lang w:val="en-US"/>
        </w:rPr>
        <w:t xml:space="preserve"> في</w:t>
      </w:r>
      <w:r w:rsidR="00933938">
        <w:rPr>
          <w:rFonts w:hint="cs"/>
          <w:rtl/>
          <w:lang w:val="en-US"/>
        </w:rPr>
        <w:t> </w:t>
      </w:r>
      <w:r w:rsidRPr="00064D5D">
        <w:rPr>
          <w:rtl/>
          <w:lang w:val="en-US"/>
        </w:rPr>
        <w:t xml:space="preserve">مقاطعة </w:t>
      </w:r>
      <w:proofErr w:type="spellStart"/>
      <w:r w:rsidRPr="00064D5D">
        <w:rPr>
          <w:rtl/>
          <w:lang w:val="en-US"/>
        </w:rPr>
        <w:t>أيورو</w:t>
      </w:r>
      <w:proofErr w:type="spellEnd"/>
      <w:r w:rsidRPr="00064D5D">
        <w:rPr>
          <w:rtl/>
          <w:lang w:val="en-US"/>
        </w:rPr>
        <w:t xml:space="preserve"> بمنطقة </w:t>
      </w:r>
      <w:proofErr w:type="spellStart"/>
      <w:r w:rsidRPr="00064D5D">
        <w:rPr>
          <w:rtl/>
          <w:lang w:val="en-US"/>
        </w:rPr>
        <w:t>تيلابيري</w:t>
      </w:r>
      <w:proofErr w:type="spellEnd"/>
      <w:r w:rsidRPr="00064D5D">
        <w:rPr>
          <w:rtl/>
          <w:lang w:val="en-US"/>
        </w:rPr>
        <w:t xml:space="preserve">، ولم تستجب إلى هذه التوصيات (المادة </w:t>
      </w:r>
      <w:r w:rsidRPr="001472AB">
        <w:rPr>
          <w:rtl/>
          <w:lang w:val="en-US"/>
        </w:rPr>
        <w:t>2</w:t>
      </w:r>
      <w:r w:rsidR="00AD37DA" w:rsidRPr="001472AB">
        <w:rPr>
          <w:color w:val="000000"/>
          <w:rtl/>
          <w:lang w:val="en-US"/>
        </w:rPr>
        <w:t>4</w:t>
      </w:r>
      <w:r w:rsidR="00AD37DA" w:rsidRPr="00AD37DA">
        <w:rPr>
          <w:color w:val="000000"/>
          <w:rtl/>
          <w:lang w:val="en-US"/>
        </w:rPr>
        <w:t>).</w:t>
      </w:r>
    </w:p>
    <w:p w14:paraId="6C20AB71" w14:textId="262ABD81" w:rsidR="00064D5D" w:rsidRPr="001472AB" w:rsidRDefault="00064D5D" w:rsidP="00064D5D">
      <w:pPr>
        <w:pStyle w:val="SingleTxtGA"/>
        <w:rPr>
          <w:b/>
          <w:bCs/>
          <w:spacing w:val="2"/>
          <w:lang w:val="en-US"/>
        </w:rPr>
      </w:pPr>
      <w:r w:rsidRPr="001472AB">
        <w:rPr>
          <w:spacing w:val="2"/>
          <w:rtl/>
          <w:lang w:val="en-US"/>
        </w:rPr>
        <w:t>32</w:t>
      </w:r>
      <w:r w:rsidRPr="00933938">
        <w:rPr>
          <w:spacing w:val="2"/>
          <w:rtl/>
          <w:lang w:val="en-US"/>
        </w:rPr>
        <w:t>-</w:t>
      </w:r>
      <w:r w:rsidRPr="00933938">
        <w:rPr>
          <w:spacing w:val="2"/>
          <w:rtl/>
          <w:lang w:val="en-US"/>
        </w:rPr>
        <w:tab/>
      </w:r>
      <w:r w:rsidRPr="001472AB">
        <w:rPr>
          <w:b/>
          <w:bCs/>
          <w:spacing w:val="2"/>
          <w:rtl/>
          <w:lang w:val="en-US"/>
        </w:rPr>
        <w:t xml:space="preserve">توصي اللجنة الدولة الطرف بأن تُدرج في تشريعاتها المحلية نظاماً شاملاً للجبر: (أ) يتفق </w:t>
      </w:r>
      <w:r w:rsidRPr="001472AB">
        <w:rPr>
          <w:rFonts w:ascii="Times New Roman Bold" w:hAnsi="Times New Roman Bold"/>
          <w:b/>
          <w:bCs/>
          <w:spacing w:val="2"/>
          <w:rtl/>
          <w:lang w:val="en-US"/>
        </w:rPr>
        <w:t>تماماً مع أحكام المادة 24(</w:t>
      </w:r>
      <w:r w:rsidR="00AD37DA" w:rsidRPr="001472AB">
        <w:rPr>
          <w:rFonts w:ascii="Times New Roman Bold" w:hAnsi="Times New Roman Bold"/>
          <w:b/>
          <w:bCs/>
          <w:color w:val="000000"/>
          <w:spacing w:val="2"/>
          <w:rtl/>
          <w:lang w:val="en-US"/>
        </w:rPr>
        <w:t xml:space="preserve">4) </w:t>
      </w:r>
      <w:r w:rsidRPr="001472AB">
        <w:rPr>
          <w:rFonts w:ascii="Times New Roman Bold" w:hAnsi="Times New Roman Bold"/>
          <w:b/>
          <w:bCs/>
          <w:spacing w:val="2"/>
          <w:rtl/>
          <w:lang w:val="en-US"/>
        </w:rPr>
        <w:t>و(</w:t>
      </w:r>
      <w:r w:rsidR="00AD37DA" w:rsidRPr="001472AB">
        <w:rPr>
          <w:rFonts w:ascii="Times New Roman Bold" w:hAnsi="Times New Roman Bold"/>
          <w:b/>
          <w:bCs/>
          <w:color w:val="000000"/>
          <w:spacing w:val="2"/>
          <w:rtl/>
          <w:lang w:val="en-US"/>
        </w:rPr>
        <w:t xml:space="preserve">5) </w:t>
      </w:r>
      <w:r w:rsidRPr="001472AB">
        <w:rPr>
          <w:rFonts w:ascii="Times New Roman Bold" w:hAnsi="Times New Roman Bold"/>
          <w:b/>
          <w:bCs/>
          <w:spacing w:val="2"/>
          <w:rtl/>
          <w:lang w:val="en-US"/>
        </w:rPr>
        <w:t>من الاتفاقية وغيرها من المعايير الدولية ذات الصلة، ويوفر من</w:t>
      </w:r>
      <w:r w:rsidR="00933938" w:rsidRPr="001472AB">
        <w:rPr>
          <w:rFonts w:ascii="Times New Roman Bold" w:hAnsi="Times New Roman Bold" w:hint="eastAsia"/>
          <w:b/>
          <w:bCs/>
          <w:spacing w:val="2"/>
          <w:rtl/>
          <w:lang w:val="en-US"/>
        </w:rPr>
        <w:t> </w:t>
      </w:r>
      <w:r w:rsidRPr="001472AB">
        <w:rPr>
          <w:rFonts w:ascii="Times New Roman Bold" w:hAnsi="Times New Roman Bold"/>
          <w:b/>
          <w:bCs/>
          <w:spacing w:val="2"/>
          <w:rtl/>
          <w:lang w:val="en-US"/>
        </w:rPr>
        <w:t>ثم</w:t>
      </w:r>
      <w:r w:rsidRPr="001472AB">
        <w:rPr>
          <w:b/>
          <w:bCs/>
          <w:spacing w:val="2"/>
          <w:rtl/>
          <w:lang w:val="en-US"/>
        </w:rPr>
        <w:t xml:space="preserve"> </w:t>
      </w:r>
      <w:r w:rsidRPr="001472AB">
        <w:rPr>
          <w:rFonts w:ascii="Times New Roman Bold" w:hAnsi="Times New Roman Bold"/>
          <w:b/>
          <w:bCs/>
          <w:spacing w:val="2"/>
          <w:rtl/>
          <w:lang w:val="en-US"/>
        </w:rPr>
        <w:t>ضمانات بعدم التكرار؛ و(ب) ينطبق حتى في حال عدم الشروع في أي إجراءات قانونية؛ و(ج)</w:t>
      </w:r>
      <w:r w:rsidR="00933938" w:rsidRPr="001472AB">
        <w:rPr>
          <w:rFonts w:ascii="Times New Roman Bold" w:hAnsi="Times New Roman Bold" w:hint="eastAsia"/>
          <w:b/>
          <w:bCs/>
          <w:spacing w:val="2"/>
          <w:rtl/>
          <w:lang w:val="en-US"/>
        </w:rPr>
        <w:t> </w:t>
      </w:r>
      <w:r w:rsidRPr="001472AB">
        <w:rPr>
          <w:rFonts w:ascii="Times New Roman Bold" w:hAnsi="Times New Roman Bold"/>
          <w:b/>
          <w:bCs/>
          <w:spacing w:val="2"/>
          <w:rtl/>
          <w:lang w:val="en-US"/>
        </w:rPr>
        <w:t>يستند إلى</w:t>
      </w:r>
      <w:r w:rsidRPr="001472AB">
        <w:rPr>
          <w:b/>
          <w:bCs/>
          <w:spacing w:val="2"/>
          <w:rtl/>
          <w:lang w:val="en-US"/>
        </w:rPr>
        <w:t xml:space="preserve"> </w:t>
      </w:r>
      <w:r w:rsidRPr="001472AB">
        <w:rPr>
          <w:rFonts w:ascii="Times New Roman Bold" w:hAnsi="Times New Roman Bold"/>
          <w:b/>
          <w:bCs/>
          <w:spacing w:val="2"/>
          <w:rtl/>
          <w:lang w:val="en-US"/>
        </w:rPr>
        <w:t>نهج متمايز يأخذ في الاعتبار الظروف الخاصة لكل ضحية، بما في ذلك الجنس، والميل الجنسي، والهوية</w:t>
      </w:r>
      <w:r w:rsidRPr="001472AB">
        <w:rPr>
          <w:b/>
          <w:bCs/>
          <w:spacing w:val="2"/>
          <w:rtl/>
          <w:lang w:val="en-US"/>
        </w:rPr>
        <w:t xml:space="preserve"> الجنسانية، والعمر، والانتماء الإثني،</w:t>
      </w:r>
      <w:r w:rsidR="000D2200" w:rsidRPr="001472AB">
        <w:rPr>
          <w:b/>
          <w:bCs/>
          <w:spacing w:val="2"/>
          <w:rtl/>
          <w:lang w:val="en-US"/>
        </w:rPr>
        <w:t xml:space="preserve"> </w:t>
      </w:r>
      <w:r w:rsidRPr="001472AB">
        <w:rPr>
          <w:b/>
          <w:bCs/>
          <w:spacing w:val="2"/>
          <w:rtl/>
          <w:lang w:val="en-US"/>
        </w:rPr>
        <w:t xml:space="preserve">والحالة الاجتماعية، والإعاقة. وتوصي اللجنة الدولة الطرف أيضاً بتشغيل الصناديق الخاصة المنشأة لضحايا الإرهاب والاتجار بالبشر. وينبغي للدولة الطرف أيضاً أن تنظر بعناية في التوصيات المتعلقة بالجبر التي قدمتها اللجنة الوطنية لحقوق الإنسان في تقريرها عن التحقيق في حالات الاختفاء القسري في </w:t>
      </w:r>
      <w:proofErr w:type="spellStart"/>
      <w:r w:rsidRPr="001472AB">
        <w:rPr>
          <w:b/>
          <w:bCs/>
          <w:spacing w:val="2"/>
          <w:rtl/>
          <w:lang w:val="en-US"/>
        </w:rPr>
        <w:t>تيلابيري</w:t>
      </w:r>
      <w:proofErr w:type="spellEnd"/>
      <w:r w:rsidRPr="001472AB">
        <w:rPr>
          <w:b/>
          <w:bCs/>
          <w:spacing w:val="2"/>
          <w:rtl/>
          <w:lang w:val="en-US"/>
        </w:rPr>
        <w:t>، وأن تقدم رداً مفصلاً في أقرب وقت ممكن.</w:t>
      </w:r>
    </w:p>
    <w:p w14:paraId="3C5E0BA2" w14:textId="77777777" w:rsidR="00064D5D" w:rsidRPr="001472AB" w:rsidRDefault="00064D5D" w:rsidP="00513467">
      <w:pPr>
        <w:pStyle w:val="H23GA"/>
      </w:pPr>
      <w:r w:rsidRPr="001472AB">
        <w:rPr>
          <w:rtl/>
        </w:rPr>
        <w:tab/>
      </w:r>
      <w:r w:rsidRPr="001472AB">
        <w:rPr>
          <w:rtl/>
        </w:rPr>
        <w:tab/>
        <w:t>حالة النساء من أفراد أسرة الشخص المفقود</w:t>
      </w:r>
    </w:p>
    <w:p w14:paraId="236AC324" w14:textId="0AE56B2D" w:rsidR="00AD37DA" w:rsidRPr="00AD37DA" w:rsidRDefault="00064D5D" w:rsidP="00064D5D">
      <w:pPr>
        <w:pStyle w:val="SingleTxtGA"/>
        <w:rPr>
          <w:color w:val="000000"/>
          <w:lang w:val="en-US"/>
        </w:rPr>
      </w:pPr>
      <w:r w:rsidRPr="001472AB">
        <w:rPr>
          <w:rtl/>
          <w:lang w:val="en-US"/>
        </w:rPr>
        <w:t>33</w:t>
      </w:r>
      <w:r w:rsidRPr="00064D5D">
        <w:rPr>
          <w:rtl/>
          <w:lang w:val="en-US"/>
        </w:rPr>
        <w:t>-</w:t>
      </w:r>
      <w:r w:rsidRPr="00064D5D">
        <w:rPr>
          <w:rtl/>
          <w:lang w:val="en-US"/>
        </w:rPr>
        <w:tab/>
        <w:t xml:space="preserve">تذكّر اللجنة بالقيود التي تعاني منها المرأة النيجرية من حيث الميراث واستفادتها من الاستحقاقات الاجتماعية، على النحو الذي أفادت به اللجنة المعنية بالقضاء على التمييز ضد المرأة، ويساورها القلق </w:t>
      </w:r>
      <w:r w:rsidRPr="00933938">
        <w:rPr>
          <w:rFonts w:ascii="Times New Roman Bold" w:hAnsi="Times New Roman Bold"/>
          <w:b/>
          <w:bCs/>
          <w:spacing w:val="-4"/>
          <w:rtl/>
          <w:lang w:val="en-US"/>
        </w:rPr>
        <w:t xml:space="preserve">إزاء الأثر السلبي المحتمل لهذه القيود على تمتع المرأة الكامل بالحقوق المكرسة في المادة </w:t>
      </w:r>
      <w:r w:rsidRPr="001472AB">
        <w:rPr>
          <w:rFonts w:ascii="Times New Roman Bold" w:hAnsi="Times New Roman Bold"/>
          <w:b/>
          <w:bCs/>
          <w:spacing w:val="-4"/>
          <w:rtl/>
          <w:lang w:val="en-US"/>
        </w:rPr>
        <w:t>24</w:t>
      </w:r>
      <w:r w:rsidRPr="00933938">
        <w:rPr>
          <w:rFonts w:ascii="Times New Roman Bold" w:hAnsi="Times New Roman Bold"/>
          <w:b/>
          <w:bCs/>
          <w:spacing w:val="-4"/>
          <w:rtl/>
          <w:lang w:val="en-US"/>
        </w:rPr>
        <w:t xml:space="preserve"> من الاتفاقية</w:t>
      </w:r>
      <w:r w:rsidRPr="00064D5D">
        <w:rPr>
          <w:rtl/>
          <w:lang w:val="en-US"/>
        </w:rPr>
        <w:t xml:space="preserve"> (المادة </w:t>
      </w:r>
      <w:r w:rsidRPr="001472AB">
        <w:rPr>
          <w:rtl/>
          <w:lang w:val="en-US"/>
        </w:rPr>
        <w:t>24</w:t>
      </w:r>
      <w:r w:rsidRPr="00064D5D">
        <w:rPr>
          <w:rtl/>
          <w:lang w:val="en-US"/>
        </w:rPr>
        <w:t>)</w:t>
      </w:r>
      <w:r w:rsidR="00AD37DA">
        <w:rPr>
          <w:rStyle w:val="FootnoteReference"/>
          <w:rtl/>
        </w:rPr>
        <w:t>(</w:t>
      </w:r>
      <w:r w:rsidR="00AD37DA" w:rsidRPr="001472AB">
        <w:rPr>
          <w:rStyle w:val="FootnoteReference"/>
          <w:lang w:val="en-US"/>
        </w:rPr>
        <w:footnoteReference w:id="15"/>
      </w:r>
      <w:r w:rsidR="00AD37DA" w:rsidRPr="00AD37DA">
        <w:rPr>
          <w:color w:val="000000"/>
          <w:vertAlign w:val="superscript"/>
          <w:rtl/>
          <w:lang w:val="en-US"/>
        </w:rPr>
        <w:t>)</w:t>
      </w:r>
      <w:r w:rsidR="00AD37DA" w:rsidRPr="00AD37DA">
        <w:rPr>
          <w:color w:val="000000"/>
          <w:rtl/>
          <w:lang w:val="en-US"/>
        </w:rPr>
        <w:t>.</w:t>
      </w:r>
    </w:p>
    <w:p w14:paraId="51975F47" w14:textId="320F4079" w:rsidR="00AD37DA" w:rsidRPr="001472AB" w:rsidRDefault="00064D5D" w:rsidP="00064D5D">
      <w:pPr>
        <w:pStyle w:val="SingleTxtGA"/>
        <w:rPr>
          <w:b/>
          <w:bCs/>
          <w:color w:val="000000"/>
          <w:lang w:val="en-US"/>
        </w:rPr>
      </w:pPr>
      <w:r w:rsidRPr="001472AB">
        <w:rPr>
          <w:rtl/>
          <w:lang w:val="en-US"/>
        </w:rPr>
        <w:t>34</w:t>
      </w:r>
      <w:r w:rsidRPr="00064D5D">
        <w:rPr>
          <w:rtl/>
          <w:lang w:val="en-US"/>
        </w:rPr>
        <w:t>-</w:t>
      </w:r>
      <w:r w:rsidRPr="00064D5D">
        <w:rPr>
          <w:rtl/>
          <w:lang w:val="en-US"/>
        </w:rPr>
        <w:tab/>
      </w:r>
      <w:r w:rsidRPr="001472AB">
        <w:rPr>
          <w:b/>
          <w:bCs/>
          <w:rtl/>
          <w:lang w:val="en-US"/>
        </w:rPr>
        <w:t>توصي اللجنة الدولة الطرف بأن تكفل تمكين جميع النساء والفتيات من أسر الأشخاص المفقودين من ممارسة جميع حقوقهن المكرسة في الاتفاقية، دون قيود، بما في ذلك الحقوق الواردة في المادة 2</w:t>
      </w:r>
      <w:r w:rsidR="00AD37DA" w:rsidRPr="001472AB">
        <w:rPr>
          <w:b/>
          <w:bCs/>
          <w:color w:val="000000"/>
          <w:rtl/>
          <w:lang w:val="en-US"/>
        </w:rPr>
        <w:t>4.</w:t>
      </w:r>
    </w:p>
    <w:p w14:paraId="574A53EC" w14:textId="372EFBC3" w:rsidR="00064D5D" w:rsidRPr="001472AB" w:rsidRDefault="00064D5D" w:rsidP="00513467">
      <w:pPr>
        <w:pStyle w:val="H23GA"/>
      </w:pPr>
      <w:r w:rsidRPr="001472AB">
        <w:rPr>
          <w:rtl/>
        </w:rPr>
        <w:tab/>
      </w:r>
      <w:r w:rsidRPr="001472AB">
        <w:rPr>
          <w:rtl/>
        </w:rPr>
        <w:tab/>
        <w:t>الحق في تكوين المنظمات والجمعيات</w:t>
      </w:r>
    </w:p>
    <w:p w14:paraId="57DDC073" w14:textId="48180816" w:rsidR="00AD37DA" w:rsidRPr="00AD37DA" w:rsidRDefault="00064D5D" w:rsidP="00064D5D">
      <w:pPr>
        <w:pStyle w:val="SingleTxtGA"/>
        <w:rPr>
          <w:color w:val="000000"/>
          <w:lang w:val="en-US"/>
        </w:rPr>
      </w:pPr>
      <w:r w:rsidRPr="001472AB">
        <w:rPr>
          <w:rtl/>
          <w:lang w:val="en-US"/>
        </w:rPr>
        <w:t>35</w:t>
      </w:r>
      <w:r w:rsidRPr="00064D5D">
        <w:rPr>
          <w:rtl/>
          <w:lang w:val="en-US"/>
        </w:rPr>
        <w:t>-</w:t>
      </w:r>
      <w:r w:rsidRPr="00064D5D">
        <w:rPr>
          <w:rtl/>
          <w:lang w:val="en-US"/>
        </w:rPr>
        <w:tab/>
        <w:t xml:space="preserve">يساور اللجنة القلق إزاء المعلومات التي قدمتها الدولة الطرف ومفادها أنه لا توجد جمعيات لضحايا الاختفاء القسري في البلد. وتلاحظ اللجنة أيضاً قلق الشواغل التي أعربت عنها هيئات منها اللجنة المعنية بحقوق </w:t>
      </w:r>
      <w:proofErr w:type="gramStart"/>
      <w:r w:rsidRPr="00064D5D">
        <w:rPr>
          <w:rtl/>
          <w:lang w:val="en-US"/>
        </w:rPr>
        <w:t>الإنسان</w:t>
      </w:r>
      <w:r w:rsidR="00AD37DA">
        <w:rPr>
          <w:vertAlign w:val="superscript"/>
          <w:rtl/>
        </w:rPr>
        <w:t>(</w:t>
      </w:r>
      <w:proofErr w:type="gramEnd"/>
      <w:r w:rsidR="00AD37DA" w:rsidRPr="001472AB">
        <w:rPr>
          <w:vertAlign w:val="superscript"/>
          <w:lang w:val="en-US"/>
        </w:rPr>
        <w:footnoteReference w:id="16"/>
      </w:r>
      <w:r w:rsidR="00AD37DA" w:rsidRPr="00AD37DA">
        <w:rPr>
          <w:color w:val="000000"/>
          <w:vertAlign w:val="superscript"/>
          <w:rtl/>
          <w:lang w:val="en-US"/>
        </w:rPr>
        <w:t>)</w:t>
      </w:r>
      <w:r w:rsidR="00AD37DA" w:rsidRPr="00AD37DA">
        <w:rPr>
          <w:color w:val="000000"/>
          <w:rtl/>
          <w:lang w:val="en-US"/>
        </w:rPr>
        <w:t>،</w:t>
      </w:r>
      <w:r w:rsidR="00AD37DA" w:rsidRPr="00AD37DA">
        <w:rPr>
          <w:color w:val="000000"/>
          <w:rtl/>
          <w:lang w:val="en-US"/>
        </w:rPr>
        <w:t xml:space="preserve"> </w:t>
      </w:r>
      <w:r w:rsidRPr="00064D5D">
        <w:rPr>
          <w:rtl/>
          <w:lang w:val="en-US"/>
        </w:rPr>
        <w:t>ومفوضة الأمم المتحدة السامية لحقوق الإنسان</w:t>
      </w:r>
      <w:r w:rsidR="00AD37DA">
        <w:rPr>
          <w:vertAlign w:val="superscript"/>
          <w:rtl/>
        </w:rPr>
        <w:t>(</w:t>
      </w:r>
      <w:r w:rsidR="00AD37DA" w:rsidRPr="001472AB">
        <w:rPr>
          <w:vertAlign w:val="superscript"/>
          <w:lang w:val="en-US"/>
        </w:rPr>
        <w:footnoteReference w:id="17"/>
      </w:r>
      <w:r w:rsidR="00AD37DA" w:rsidRPr="00AD37DA">
        <w:rPr>
          <w:color w:val="000000"/>
          <w:vertAlign w:val="superscript"/>
          <w:rtl/>
          <w:lang w:val="en-US"/>
        </w:rPr>
        <w:t>)</w:t>
      </w:r>
      <w:r w:rsidR="00AD37DA" w:rsidRPr="00AD37DA">
        <w:rPr>
          <w:color w:val="000000"/>
          <w:rtl/>
          <w:lang w:val="en-US"/>
        </w:rPr>
        <w:t>،</w:t>
      </w:r>
      <w:r w:rsidR="00AD37DA" w:rsidRPr="00AD37DA">
        <w:rPr>
          <w:color w:val="000000"/>
          <w:rtl/>
          <w:lang w:val="en-US"/>
        </w:rPr>
        <w:t xml:space="preserve"> </w:t>
      </w:r>
      <w:r w:rsidRPr="00064D5D">
        <w:rPr>
          <w:rtl/>
          <w:lang w:val="en-US"/>
        </w:rPr>
        <w:t xml:space="preserve">وكذلك المقرر الخاص </w:t>
      </w:r>
      <w:r w:rsidRPr="00064D5D">
        <w:rPr>
          <w:rtl/>
          <w:lang w:val="en-US"/>
        </w:rPr>
        <w:lastRenderedPageBreak/>
        <w:t>المعني بالحق في حرية التجمع السلمي والحق في حرية تكوين جمعيات</w:t>
      </w:r>
      <w:r w:rsidR="00AD37DA">
        <w:rPr>
          <w:vertAlign w:val="superscript"/>
          <w:rtl/>
        </w:rPr>
        <w:t>(</w:t>
      </w:r>
      <w:r w:rsidR="00AD37DA" w:rsidRPr="001472AB">
        <w:rPr>
          <w:vertAlign w:val="superscript"/>
          <w:lang w:val="en-US"/>
        </w:rPr>
        <w:footnoteReference w:id="18"/>
      </w:r>
      <w:r w:rsidR="00AD37DA" w:rsidRPr="00AD37DA">
        <w:rPr>
          <w:color w:val="000000"/>
          <w:vertAlign w:val="superscript"/>
          <w:rtl/>
          <w:lang w:val="en-US"/>
        </w:rPr>
        <w:t>)</w:t>
      </w:r>
      <w:r w:rsidR="00AD37DA" w:rsidRPr="00AD37DA">
        <w:rPr>
          <w:color w:val="000000"/>
          <w:rtl/>
          <w:lang w:val="en-US"/>
        </w:rPr>
        <w:t>،</w:t>
      </w:r>
      <w:r w:rsidR="00AD37DA" w:rsidRPr="00AD37DA">
        <w:rPr>
          <w:color w:val="000000"/>
          <w:rtl/>
          <w:lang w:val="en-US"/>
        </w:rPr>
        <w:t xml:space="preserve"> </w:t>
      </w:r>
      <w:r w:rsidRPr="00064D5D">
        <w:rPr>
          <w:rtl/>
          <w:lang w:val="en-US"/>
        </w:rPr>
        <w:t xml:space="preserve">فيما يتعلق بالقيود السارية المفروضة على حرية تكوين الجمعيات في الدولة الطرف (المادة </w:t>
      </w:r>
      <w:r w:rsidRPr="001472AB">
        <w:rPr>
          <w:rtl/>
          <w:lang w:val="en-US"/>
        </w:rPr>
        <w:t>2</w:t>
      </w:r>
      <w:r w:rsidR="00AD37DA" w:rsidRPr="001472AB">
        <w:rPr>
          <w:color w:val="000000"/>
          <w:rtl/>
          <w:lang w:val="en-US"/>
        </w:rPr>
        <w:t>4</w:t>
      </w:r>
      <w:r w:rsidR="00AD37DA" w:rsidRPr="00AD37DA">
        <w:rPr>
          <w:color w:val="000000"/>
          <w:rtl/>
          <w:lang w:val="en-US"/>
        </w:rPr>
        <w:t>).</w:t>
      </w:r>
    </w:p>
    <w:p w14:paraId="7AA69EDF" w14:textId="5D5271DF" w:rsidR="00064D5D" w:rsidRPr="001472AB" w:rsidRDefault="00064D5D" w:rsidP="00064D5D">
      <w:pPr>
        <w:pStyle w:val="SingleTxtGA"/>
        <w:rPr>
          <w:b/>
          <w:bCs/>
          <w:lang w:val="en-US"/>
        </w:rPr>
      </w:pPr>
      <w:r w:rsidRPr="001472AB">
        <w:rPr>
          <w:rtl/>
          <w:lang w:val="en-US"/>
        </w:rPr>
        <w:t>36</w:t>
      </w:r>
      <w:r w:rsidRPr="00064D5D">
        <w:rPr>
          <w:rtl/>
          <w:lang w:val="en-US"/>
        </w:rPr>
        <w:t>-</w:t>
      </w:r>
      <w:r w:rsidRPr="00064D5D">
        <w:rPr>
          <w:rtl/>
          <w:lang w:val="en-US"/>
        </w:rPr>
        <w:tab/>
      </w:r>
      <w:r w:rsidRPr="001472AB">
        <w:rPr>
          <w:b/>
          <w:bCs/>
          <w:rtl/>
          <w:lang w:val="en-US"/>
        </w:rPr>
        <w:t>توصي اللجنة الدولة الطرف باستعراض تشريعاتها المتعلقة بحرية تكوين الجمعيات لجعلها متوافقة تماماً مع المادة 24(</w:t>
      </w:r>
      <w:r w:rsidR="00AD37DA" w:rsidRPr="001472AB">
        <w:rPr>
          <w:b/>
          <w:bCs/>
          <w:color w:val="000000"/>
          <w:rtl/>
          <w:lang w:val="en-US"/>
        </w:rPr>
        <w:t xml:space="preserve">7) </w:t>
      </w:r>
      <w:r w:rsidRPr="001472AB">
        <w:rPr>
          <w:b/>
          <w:bCs/>
          <w:rtl/>
          <w:lang w:val="en-US"/>
        </w:rPr>
        <w:t>من الاتفاقية، وبتهيئة بيئة مواتية لإنشاء جمعيات مستقلة لضحايا الاختفاء القسري.</w:t>
      </w:r>
    </w:p>
    <w:p w14:paraId="6529C00E" w14:textId="3B8BE1AC" w:rsidR="00064D5D" w:rsidRPr="001472AB" w:rsidRDefault="00064D5D" w:rsidP="00513467">
      <w:pPr>
        <w:pStyle w:val="H23GA"/>
      </w:pPr>
      <w:r w:rsidRPr="001472AB">
        <w:rPr>
          <w:rtl/>
        </w:rPr>
        <w:tab/>
        <w:t>6-</w:t>
      </w:r>
      <w:r w:rsidRPr="001472AB">
        <w:rPr>
          <w:rtl/>
        </w:rPr>
        <w:tab/>
        <w:t>تدابير حماية الأطفال من الاختفاء القسري (المادة 25</w:t>
      </w:r>
      <w:r w:rsidR="00DF5FA5" w:rsidRPr="001472AB">
        <w:rPr>
          <w:rFonts w:hint="cs"/>
          <w:rtl/>
        </w:rPr>
        <w:t>)</w:t>
      </w:r>
    </w:p>
    <w:p w14:paraId="0DB9BA6C" w14:textId="77777777" w:rsidR="00064D5D" w:rsidRPr="001472AB" w:rsidRDefault="00064D5D" w:rsidP="00513467">
      <w:pPr>
        <w:pStyle w:val="H23GA"/>
      </w:pPr>
      <w:r w:rsidRPr="001472AB">
        <w:rPr>
          <w:rtl/>
        </w:rPr>
        <w:tab/>
      </w:r>
      <w:r w:rsidRPr="001472AB">
        <w:rPr>
          <w:rtl/>
        </w:rPr>
        <w:tab/>
        <w:t>انتزاع الأطفال</w:t>
      </w:r>
    </w:p>
    <w:p w14:paraId="22211F48" w14:textId="3E10F38F" w:rsidR="00AD37DA" w:rsidRPr="00AD37DA" w:rsidRDefault="00064D5D" w:rsidP="00064D5D">
      <w:pPr>
        <w:pStyle w:val="SingleTxtGA"/>
        <w:rPr>
          <w:color w:val="000000"/>
          <w:lang w:val="en-US"/>
        </w:rPr>
      </w:pPr>
      <w:r w:rsidRPr="001472AB">
        <w:rPr>
          <w:rtl/>
          <w:lang w:val="en-US"/>
        </w:rPr>
        <w:t>37</w:t>
      </w:r>
      <w:r w:rsidRPr="00064D5D">
        <w:rPr>
          <w:rtl/>
          <w:lang w:val="en-US"/>
        </w:rPr>
        <w:t>-</w:t>
      </w:r>
      <w:r w:rsidRPr="00064D5D">
        <w:rPr>
          <w:rtl/>
          <w:lang w:val="en-US"/>
        </w:rPr>
        <w:tab/>
        <w:t xml:space="preserve">تحيط اللجنة علماً بمواد القانون الجنائي المتعلقة بالجرائم والجنح المرتكبة في حق الطفل والأسرة، لا سيما المادة </w:t>
      </w:r>
      <w:r w:rsidRPr="001472AB">
        <w:rPr>
          <w:rtl/>
          <w:lang w:val="en-US"/>
        </w:rPr>
        <w:t>24</w:t>
      </w:r>
      <w:r w:rsidR="00AD37DA" w:rsidRPr="001472AB">
        <w:rPr>
          <w:color w:val="000000"/>
          <w:rtl/>
          <w:lang w:val="en-US"/>
        </w:rPr>
        <w:t>8</w:t>
      </w:r>
      <w:r w:rsidR="00AD37DA" w:rsidRPr="00AD37DA">
        <w:rPr>
          <w:color w:val="000000"/>
          <w:rtl/>
          <w:lang w:val="en-US"/>
        </w:rPr>
        <w:t xml:space="preserve">. </w:t>
      </w:r>
      <w:r w:rsidRPr="00064D5D">
        <w:rPr>
          <w:rtl/>
          <w:lang w:val="en-US"/>
        </w:rPr>
        <w:t>بيد أن اللجنة تشعر بالقلق لأن التشريعات القائمة لا تتفق تماماً مع المادة</w:t>
      </w:r>
      <w:r w:rsidR="00933938">
        <w:rPr>
          <w:rFonts w:hint="cs"/>
          <w:rtl/>
          <w:lang w:val="en-US"/>
        </w:rPr>
        <w:t> </w:t>
      </w:r>
      <w:r w:rsidRPr="001472AB">
        <w:rPr>
          <w:rtl/>
          <w:lang w:val="en-US"/>
        </w:rPr>
        <w:t>25</w:t>
      </w:r>
      <w:r w:rsidRPr="00064D5D">
        <w:rPr>
          <w:rtl/>
          <w:lang w:val="en-US"/>
        </w:rPr>
        <w:t xml:space="preserve"> من الاتفاقية. وعلاوة على ذلك، يساور اللجنة القلق لأن الدولة الطرف، فيما يسمى قضية "الرضع </w:t>
      </w:r>
      <w:r w:rsidRPr="00933938">
        <w:rPr>
          <w:spacing w:val="-4"/>
          <w:rtl/>
          <w:lang w:val="en-US"/>
        </w:rPr>
        <w:t>المستوردين"، لم تتخذ التدابير اللازمة لتحديد هوية الأطفال ضحايا الاختطاف أو الاختفاء القسري وإعادتهم</w:t>
      </w:r>
      <w:r w:rsidRPr="00064D5D">
        <w:rPr>
          <w:rtl/>
          <w:lang w:val="en-US"/>
        </w:rPr>
        <w:t xml:space="preserve"> إلى أسرهم الأصلية، بما في ذلك بالتعاون مع نيجيريا، التي هي أيضاً طرف في الاتفاقية. </w:t>
      </w:r>
      <w:r w:rsidRPr="00DF5FA5">
        <w:rPr>
          <w:spacing w:val="-2"/>
          <w:rtl/>
          <w:lang w:val="en-US"/>
        </w:rPr>
        <w:t>وتأسف اللجنة أيضاً لأنها لم تتلق معلومات عن التدابير المتخذة لمنع مخاطر انتزاع الأطفال التي قد تكون</w:t>
      </w:r>
      <w:r w:rsidRPr="00064D5D">
        <w:rPr>
          <w:rtl/>
          <w:lang w:val="en-US"/>
        </w:rPr>
        <w:t xml:space="preserve"> ناتجة عن الفساد (المادة </w:t>
      </w:r>
      <w:r w:rsidRPr="001472AB">
        <w:rPr>
          <w:rtl/>
          <w:lang w:val="en-US"/>
        </w:rPr>
        <w:t>2</w:t>
      </w:r>
      <w:r w:rsidR="00AD37DA" w:rsidRPr="001472AB">
        <w:rPr>
          <w:color w:val="000000"/>
          <w:rtl/>
          <w:lang w:val="en-US"/>
        </w:rPr>
        <w:t>5</w:t>
      </w:r>
      <w:r w:rsidR="00AD37DA" w:rsidRPr="00AD37DA">
        <w:rPr>
          <w:color w:val="000000"/>
          <w:rtl/>
          <w:lang w:val="en-US"/>
        </w:rPr>
        <w:t>).</w:t>
      </w:r>
    </w:p>
    <w:p w14:paraId="690F5F05" w14:textId="6BB9D157" w:rsidR="00064D5D" w:rsidRPr="001472AB" w:rsidRDefault="00064D5D" w:rsidP="00064D5D">
      <w:pPr>
        <w:pStyle w:val="SingleTxtGA"/>
        <w:rPr>
          <w:b/>
          <w:bCs/>
          <w:lang w:val="en-US"/>
        </w:rPr>
      </w:pPr>
      <w:r w:rsidRPr="001472AB">
        <w:rPr>
          <w:rtl/>
          <w:lang w:val="en-US"/>
        </w:rPr>
        <w:t>38</w:t>
      </w:r>
      <w:r w:rsidRPr="00064D5D">
        <w:rPr>
          <w:rtl/>
          <w:lang w:val="en-US"/>
        </w:rPr>
        <w:t>-</w:t>
      </w:r>
      <w:r w:rsidRPr="00064D5D">
        <w:rPr>
          <w:rtl/>
          <w:lang w:val="en-US"/>
        </w:rPr>
        <w:tab/>
      </w:r>
      <w:r w:rsidRPr="001472AB">
        <w:rPr>
          <w:rFonts w:ascii="Times New Roman Bold" w:hAnsi="Times New Roman Bold"/>
          <w:b/>
          <w:bCs/>
          <w:spacing w:val="-4"/>
          <w:rtl/>
          <w:lang w:val="en-US"/>
        </w:rPr>
        <w:t>توصي اللجنة الدولة الطرف بأن تجرم صراحة الأفعال المشار إليها في المادة 25 من الاتفاقية،</w:t>
      </w:r>
      <w:r w:rsidRPr="001472AB">
        <w:rPr>
          <w:b/>
          <w:bCs/>
          <w:rtl/>
          <w:lang w:val="en-US"/>
        </w:rPr>
        <w:t xml:space="preserve"> وأن تكيف تشريعاتها المحلية لجعلها متوافقة تماماً مع هذه المادة. وتوصي اللجنة الدولة الطرف أيضاً بأن تكفل منع الأفعال المشار إليها في المادة 25، وأن تبحث عن الأطفال الضحايا وتحدد هويتهم بغية إعادتهم إلى أسرهم الأصلية، وأن تلتمس التعاون قدر اللازم من بلدان المنشأ، بما فيها نيجيريا.</w:t>
      </w:r>
    </w:p>
    <w:p w14:paraId="0DBD3682" w14:textId="2CD2C15E" w:rsidR="00064D5D" w:rsidRPr="001472AB" w:rsidRDefault="00064D5D" w:rsidP="00513467">
      <w:pPr>
        <w:pStyle w:val="H1GA"/>
      </w:pPr>
      <w:r w:rsidRPr="001472AB">
        <w:rPr>
          <w:rtl/>
        </w:rPr>
        <w:tab/>
        <w:t>دال-</w:t>
      </w:r>
      <w:r w:rsidRPr="001472AB">
        <w:rPr>
          <w:rtl/>
        </w:rPr>
        <w:tab/>
        <w:t>تنفيذ الحقوق والالتزامات الناشئة عن الاتفاقية ونشرها ومتابعة تنفيذها</w:t>
      </w:r>
    </w:p>
    <w:p w14:paraId="2EE0DE16" w14:textId="77777777" w:rsidR="00064D5D" w:rsidRPr="001472AB" w:rsidRDefault="00064D5D" w:rsidP="00064D5D">
      <w:pPr>
        <w:pStyle w:val="SingleTxtGA"/>
        <w:rPr>
          <w:b/>
          <w:bCs/>
          <w:lang w:val="en-US"/>
        </w:rPr>
      </w:pPr>
      <w:r w:rsidRPr="001472AB">
        <w:rPr>
          <w:rtl/>
          <w:lang w:val="en-US"/>
        </w:rPr>
        <w:t>39</w:t>
      </w:r>
      <w:r w:rsidRPr="00064D5D">
        <w:rPr>
          <w:rtl/>
          <w:lang w:val="en-US"/>
        </w:rPr>
        <w:t>-</w:t>
      </w:r>
      <w:r w:rsidRPr="00064D5D">
        <w:rPr>
          <w:rtl/>
          <w:lang w:val="en-US"/>
        </w:rPr>
        <w:tab/>
      </w:r>
      <w:r w:rsidRPr="001472AB">
        <w:rPr>
          <w:b/>
          <w:bCs/>
          <w:rtl/>
          <w:lang w:val="en-US"/>
        </w:rPr>
        <w:t>تود اللجنة أن تشير إلى الالتزامات التي تعهدت بها الدول عندما أصبحت أطرافا في الاتفاقية، وتحث الدولة الطرف، في هذا الصدد، على ضمان أن تكون جميع التدابير التي تعتمدها متفقة تماماً مع الاتفاقية وغيرها من الصكوك الدولية ذات الصلة.</w:t>
      </w:r>
    </w:p>
    <w:p w14:paraId="03B4C910" w14:textId="05284B84" w:rsidR="00064D5D" w:rsidRPr="001472AB" w:rsidRDefault="00064D5D" w:rsidP="00064D5D">
      <w:pPr>
        <w:pStyle w:val="SingleTxtGA"/>
        <w:rPr>
          <w:b/>
          <w:bCs/>
          <w:lang w:val="en-US"/>
        </w:rPr>
      </w:pPr>
      <w:r w:rsidRPr="001472AB">
        <w:rPr>
          <w:rtl/>
          <w:lang w:val="en-US"/>
        </w:rPr>
        <w:t>40</w:t>
      </w:r>
      <w:r w:rsidRPr="00064D5D">
        <w:rPr>
          <w:rtl/>
          <w:lang w:val="en-US"/>
        </w:rPr>
        <w:t>-</w:t>
      </w:r>
      <w:r w:rsidRPr="00064D5D">
        <w:rPr>
          <w:rtl/>
          <w:lang w:val="en-US"/>
        </w:rPr>
        <w:tab/>
      </w:r>
      <w:r w:rsidRPr="001472AB">
        <w:rPr>
          <w:b/>
          <w:bCs/>
          <w:rtl/>
          <w:lang w:val="en-US"/>
        </w:rPr>
        <w:t>وتود اللجنة أن تؤكد ما للاختفاء القسري من أثر شديد القسوة على النساء والأطفال المعنيين. فالنساء اللواتي يخضعن لاختفاء قسري معرضات بوجه خاص للعنف الجنسي وغيره من أشكال العنف الجنساني. أما النساء اللائي لديهن أقارب ضحايا اختفاء قسري فمعرّضات بوجه خاص لآثار اقتصادية واجتماعية ضارة وللعنف والاضطهاد والانتقام جراء سعيهن إلى تحديد أماكن وجود أقاربهن. والأطفال ضحايا الاختفاء القسري، سواء أتعرضوا له بأنفسهم أم عانوا من عواقب اختفاء أحد أفراد أسرهم، معرضون بوجه خاص للعديد من انتهاكات حقوق الإنسان. ولهذا السبب، تشدد اللجنة بوجه خاص على ضرورة أن تراعي الدولة الطرف بصورة منهجية القضايا الجنسانية والاحتياجات الخاصة للنساء والأطفال لدى تنفيذ التوصيات الواردة في هذه الملاحظات الختامية، فضلاً عن الحقوق والالتزامات المنصوص عليها في الاتفاقية.</w:t>
      </w:r>
    </w:p>
    <w:p w14:paraId="499220D6" w14:textId="2837123A" w:rsidR="00064D5D" w:rsidRPr="001472AB" w:rsidRDefault="00064D5D" w:rsidP="00064D5D">
      <w:pPr>
        <w:pStyle w:val="SingleTxtGA"/>
        <w:rPr>
          <w:b/>
          <w:bCs/>
          <w:lang w:val="en-US"/>
        </w:rPr>
      </w:pPr>
      <w:r w:rsidRPr="001472AB">
        <w:rPr>
          <w:rtl/>
          <w:lang w:val="en-US"/>
        </w:rPr>
        <w:lastRenderedPageBreak/>
        <w:t>41</w:t>
      </w:r>
      <w:r w:rsidRPr="00064D5D">
        <w:rPr>
          <w:rtl/>
          <w:lang w:val="en-US"/>
        </w:rPr>
        <w:t>-</w:t>
      </w:r>
      <w:r w:rsidRPr="00064D5D">
        <w:rPr>
          <w:rtl/>
          <w:lang w:val="en-US"/>
        </w:rPr>
        <w:tab/>
      </w:r>
      <w:r w:rsidRPr="001472AB">
        <w:rPr>
          <w:b/>
          <w:bCs/>
          <w:rtl/>
          <w:lang w:val="en-US"/>
        </w:rPr>
        <w:t xml:space="preserve">وتشجِّع اللجنة الدولة الطرف على أن تنشر على نطاق واسع نص الاتفاقية، ونص تقريرها </w:t>
      </w:r>
      <w:r w:rsidRPr="001472AB">
        <w:rPr>
          <w:rFonts w:ascii="Times New Roman Bold" w:hAnsi="Times New Roman Bold"/>
          <w:b/>
          <w:bCs/>
          <w:spacing w:val="-2"/>
          <w:rtl/>
          <w:lang w:val="en-US"/>
        </w:rPr>
        <w:t>المقدم بموجب المادة 29(</w:t>
      </w:r>
      <w:r w:rsidR="00AD37DA" w:rsidRPr="001472AB">
        <w:rPr>
          <w:rFonts w:ascii="Times New Roman Bold" w:hAnsi="Times New Roman Bold"/>
          <w:b/>
          <w:bCs/>
          <w:spacing w:val="-2"/>
          <w:rtl/>
          <w:lang w:val="en-US"/>
        </w:rPr>
        <w:t xml:space="preserve">1) </w:t>
      </w:r>
      <w:r w:rsidRPr="001472AB">
        <w:rPr>
          <w:rFonts w:ascii="Times New Roman Bold" w:hAnsi="Times New Roman Bold"/>
          <w:b/>
          <w:bCs/>
          <w:spacing w:val="-2"/>
          <w:rtl/>
          <w:lang w:val="en-US"/>
        </w:rPr>
        <w:t>من الاتفاقية، والردود الكتا</w:t>
      </w:r>
      <w:r w:rsidRPr="001472AB">
        <w:rPr>
          <w:rFonts w:ascii="Times New Roman Bold" w:hAnsi="Times New Roman Bold" w:hint="cs"/>
          <w:b/>
          <w:bCs/>
          <w:spacing w:val="-2"/>
          <w:rtl/>
          <w:lang w:val="en-US"/>
        </w:rPr>
        <w:t>ب</w:t>
      </w:r>
      <w:r w:rsidRPr="001472AB">
        <w:rPr>
          <w:rFonts w:ascii="Times New Roman Bold" w:hAnsi="Times New Roman Bold"/>
          <w:b/>
          <w:bCs/>
          <w:spacing w:val="-2"/>
          <w:rtl/>
          <w:lang w:val="en-US"/>
        </w:rPr>
        <w:t>ية على قائمة المسائل التي أعدتها اللجنة وهذه الملاحظات الختامية، من أجل إذكاء وعي سلطاتها القضائية والتشريعية والإدارية، ومنظمات المجتمع</w:t>
      </w:r>
      <w:r w:rsidRPr="001472AB">
        <w:rPr>
          <w:b/>
          <w:bCs/>
          <w:rtl/>
          <w:lang w:val="en-US"/>
        </w:rPr>
        <w:t xml:space="preserve"> المدني، والمنظمات غير الحكومية العاملة فيها، وعامة الجمهور. وتشجِّع اللجنة الدولة الطرف أيضاً على تعزيز مشاركة المجتمع المدني في عملية تنفيذ التوصيات الواردة في هذه الملاحظات الختامية.</w:t>
      </w:r>
    </w:p>
    <w:p w14:paraId="06028A29" w14:textId="63C30553" w:rsidR="00064D5D" w:rsidRPr="001472AB" w:rsidRDefault="00064D5D" w:rsidP="00064D5D">
      <w:pPr>
        <w:pStyle w:val="SingleTxtGA"/>
        <w:rPr>
          <w:b/>
          <w:bCs/>
          <w:lang w:val="en-US"/>
        </w:rPr>
      </w:pPr>
      <w:r w:rsidRPr="001472AB">
        <w:rPr>
          <w:rtl/>
          <w:lang w:val="en-US"/>
        </w:rPr>
        <w:t>42</w:t>
      </w:r>
      <w:r w:rsidRPr="00064D5D">
        <w:rPr>
          <w:rtl/>
          <w:lang w:val="en-US"/>
        </w:rPr>
        <w:t>-</w:t>
      </w:r>
      <w:r w:rsidRPr="00064D5D">
        <w:rPr>
          <w:rtl/>
          <w:lang w:val="en-US"/>
        </w:rPr>
        <w:tab/>
      </w:r>
      <w:r w:rsidRPr="001472AB">
        <w:rPr>
          <w:b/>
          <w:bCs/>
          <w:rtl/>
          <w:lang w:val="en-US"/>
        </w:rPr>
        <w:t>وعملا بالمادة 29(</w:t>
      </w:r>
      <w:r w:rsidR="00AD37DA" w:rsidRPr="001472AB">
        <w:rPr>
          <w:b/>
          <w:bCs/>
          <w:color w:val="000000"/>
          <w:rtl/>
          <w:lang w:val="en-US"/>
        </w:rPr>
        <w:t xml:space="preserve">4) </w:t>
      </w:r>
      <w:r w:rsidRPr="001472AB">
        <w:rPr>
          <w:b/>
          <w:bCs/>
          <w:rtl/>
          <w:lang w:val="en-US"/>
        </w:rPr>
        <w:t>من الاتفاقية، وبغية تعزيز التعاون مع الدولة الطرف، تطلب اللجنة إلى الدولة الطرف أن تقدم، بحلول 8 نيسان/أبريل 2025، معلومات دقيقة ومحدثة عن تنفيذ جميع توصياتها، فضلاً عن أي معلومات جديدة تتعلق بتنفيذ الالتزامات المنصوص عليها في الاتفاقية، منذ اعتماد هذه الملاحظات الختامية. وينبغي إعداد هذه الوثيقة وفقاً للمبادئ التوجيهية المتعلقة بشكل ومضمون التقارير التي يتعين على الدول الأطراف تقديمها بموجب المادة 29 من الاتفاقية</w:t>
      </w:r>
      <w:r w:rsidR="00AD37DA" w:rsidRPr="001472AB">
        <w:rPr>
          <w:rStyle w:val="FootnoteReference"/>
          <w:b/>
          <w:bCs/>
          <w:szCs w:val="22"/>
          <w:rtl/>
        </w:rPr>
        <w:t>(</w:t>
      </w:r>
      <w:r w:rsidR="00AD37DA" w:rsidRPr="001472AB">
        <w:rPr>
          <w:rStyle w:val="FootnoteReference"/>
          <w:b/>
          <w:bCs/>
          <w:szCs w:val="22"/>
          <w:lang w:val="en-US"/>
        </w:rPr>
        <w:footnoteReference w:id="19"/>
      </w:r>
      <w:r w:rsidR="00AD37DA" w:rsidRPr="001472AB">
        <w:rPr>
          <w:b/>
          <w:bCs/>
          <w:color w:val="000000"/>
          <w:vertAlign w:val="superscript"/>
          <w:rtl/>
          <w:lang w:val="en-US"/>
        </w:rPr>
        <w:t>)</w:t>
      </w:r>
      <w:r w:rsidR="00AD37DA" w:rsidRPr="001472AB">
        <w:rPr>
          <w:b/>
          <w:bCs/>
          <w:color w:val="000000"/>
          <w:rtl/>
          <w:lang w:val="en-US"/>
        </w:rPr>
        <w:t>.</w:t>
      </w:r>
      <w:r w:rsidR="00AD37DA" w:rsidRPr="001472AB">
        <w:rPr>
          <w:b/>
          <w:bCs/>
          <w:color w:val="000000"/>
          <w:rtl/>
          <w:lang w:val="en-US"/>
        </w:rPr>
        <w:t xml:space="preserve"> </w:t>
      </w:r>
      <w:r w:rsidRPr="001472AB">
        <w:rPr>
          <w:b/>
          <w:bCs/>
          <w:rtl/>
          <w:lang w:val="en-US"/>
        </w:rPr>
        <w:t>وتشجع اللجنة الدولة الطرف على إشراك المجتمع المدني في تجميع هذه المعلومات.</w:t>
      </w:r>
    </w:p>
    <w:p w14:paraId="06CE9AAD" w14:textId="3F108151" w:rsidR="00064D5D" w:rsidRPr="00064D5D" w:rsidRDefault="00064D5D" w:rsidP="00064D5D">
      <w:pPr>
        <w:pStyle w:val="SingleTxtGA"/>
        <w:jc w:val="center"/>
        <w:rPr>
          <w:u w:val="single"/>
          <w:rtl/>
        </w:rPr>
      </w:pPr>
      <w:r>
        <w:rPr>
          <w:u w:val="single"/>
          <w:rtl/>
        </w:rPr>
        <w:tab/>
      </w:r>
      <w:r>
        <w:rPr>
          <w:u w:val="single"/>
          <w:rtl/>
        </w:rPr>
        <w:tab/>
      </w:r>
      <w:r>
        <w:rPr>
          <w:u w:val="single"/>
          <w:rtl/>
        </w:rPr>
        <w:tab/>
      </w:r>
    </w:p>
    <w:sectPr w:rsidR="00064D5D" w:rsidRPr="00064D5D" w:rsidSect="001805F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E92D6" w14:textId="77777777" w:rsidR="0038314E" w:rsidRPr="002901D9" w:rsidRDefault="0038314E" w:rsidP="00DF5E71">
      <w:pPr>
        <w:spacing w:after="60" w:line="240" w:lineRule="auto"/>
        <w:ind w:left="57"/>
        <w:rPr>
          <w:i/>
          <w:iCs/>
        </w:rPr>
      </w:pPr>
      <w:r>
        <w:rPr>
          <w:rFonts w:hint="cs"/>
          <w:i/>
          <w:iCs/>
          <w:rtl/>
        </w:rPr>
        <w:t>الحواشي</w:t>
      </w:r>
    </w:p>
  </w:endnote>
  <w:endnote w:type="continuationSeparator" w:id="0">
    <w:p w14:paraId="5AD31CA4" w14:textId="77777777" w:rsidR="0038314E" w:rsidRDefault="0038314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50821" w14:textId="4F9EA4D4" w:rsidR="008F7881" w:rsidRPr="008F7881" w:rsidRDefault="008F7881" w:rsidP="008F7881">
    <w:pPr>
      <w:pStyle w:val="Footer"/>
      <w:tabs>
        <w:tab w:val="right" w:pos="9638"/>
      </w:tabs>
      <w:rPr>
        <w:b/>
        <w:sz w:val="18"/>
        <w:lang w:val="en-US"/>
      </w:rPr>
    </w:pPr>
    <w:r>
      <w:rPr>
        <w:lang w:val="en-US"/>
      </w:rPr>
      <w:t>GE.22-06696</w:t>
    </w:r>
    <w:r>
      <w:rPr>
        <w:lang w:val="en-US"/>
      </w:rPr>
      <w:tab/>
    </w:r>
    <w:r w:rsidRPr="008F7881">
      <w:rPr>
        <w:b/>
        <w:sz w:val="18"/>
        <w:lang w:val="en-US"/>
      </w:rPr>
      <w:fldChar w:fldCharType="begin"/>
    </w:r>
    <w:r w:rsidRPr="008F7881">
      <w:rPr>
        <w:b/>
        <w:sz w:val="18"/>
        <w:lang w:val="en-US"/>
      </w:rPr>
      <w:instrText xml:space="preserve"> PAGE  \* MERGEFORMAT </w:instrText>
    </w:r>
    <w:r w:rsidRPr="008F7881">
      <w:rPr>
        <w:b/>
        <w:sz w:val="18"/>
        <w:lang w:val="en-US"/>
      </w:rPr>
      <w:fldChar w:fldCharType="separate"/>
    </w:r>
    <w:r w:rsidRPr="008F7881">
      <w:rPr>
        <w:b/>
        <w:noProof/>
        <w:sz w:val="18"/>
        <w:lang w:val="en-US"/>
      </w:rPr>
      <w:t>2</w:t>
    </w:r>
    <w:r w:rsidRPr="008F788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EADCB" w14:textId="50B1F716" w:rsidR="006959B0" w:rsidRPr="008F7881" w:rsidRDefault="008F7881" w:rsidP="008F788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GE.22-06696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3777C" w14:textId="019F9F7C" w:rsidR="00AB4F93" w:rsidRPr="008F7881" w:rsidRDefault="008F7881" w:rsidP="008F7881">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73B6B360" wp14:editId="0BC6FE5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22-06696 (A)</w:t>
    </w:r>
    <w:r>
      <w:rPr>
        <w:noProof/>
        <w:sz w:val="20"/>
        <w:lang w:val="en-US"/>
      </w:rPr>
      <w:drawing>
        <wp:anchor distT="0" distB="0" distL="114300" distR="114300" simplePos="0" relativeHeight="251660288" behindDoc="0" locked="0" layoutInCell="1" allowOverlap="1" wp14:anchorId="6A5DECA4" wp14:editId="6FAF50A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F888F" w14:textId="77777777" w:rsidR="0038314E" w:rsidRPr="002804D6" w:rsidRDefault="0038314E"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6356EF8" w14:textId="77777777" w:rsidR="0038314E" w:rsidRDefault="0038314E" w:rsidP="00656392">
      <w:pPr>
        <w:spacing w:line="240" w:lineRule="auto"/>
      </w:pPr>
      <w:r>
        <w:continuationSeparator/>
      </w:r>
    </w:p>
  </w:footnote>
  <w:footnote w:id="1">
    <w:p w14:paraId="4A5AC70E" w14:textId="082DBED7" w:rsidR="00064D5D" w:rsidRPr="00064D5D" w:rsidRDefault="00064D5D" w:rsidP="000D2200">
      <w:pPr>
        <w:pStyle w:val="FootnoteText1"/>
        <w:spacing w:line="260" w:lineRule="exact"/>
        <w:rPr>
          <w:rFonts w:hint="cs"/>
          <w:rtl/>
        </w:rPr>
      </w:pPr>
      <w:r>
        <w:rPr>
          <w:rtl/>
        </w:rPr>
        <w:t>*</w:t>
      </w:r>
      <w:r>
        <w:rPr>
          <w:rtl/>
        </w:rPr>
        <w:tab/>
      </w:r>
      <w:r w:rsidRPr="00064D5D">
        <w:rPr>
          <w:rtl/>
        </w:rPr>
        <w:t>اعتمدتها اللجنة في دورتها الثانية والعشرين (</w:t>
      </w:r>
      <w:r w:rsidRPr="001472AB">
        <w:rPr>
          <w:rtl/>
        </w:rPr>
        <w:t>28</w:t>
      </w:r>
      <w:r w:rsidRPr="00064D5D">
        <w:rPr>
          <w:rtl/>
        </w:rPr>
        <w:t xml:space="preserve"> آذار/مارس - </w:t>
      </w:r>
      <w:r w:rsidRPr="001472AB">
        <w:rPr>
          <w:rtl/>
        </w:rPr>
        <w:t>8</w:t>
      </w:r>
      <w:r w:rsidRPr="00064D5D">
        <w:rPr>
          <w:rtl/>
        </w:rPr>
        <w:t xml:space="preserve"> نيسان/أبريل </w:t>
      </w:r>
      <w:r w:rsidRPr="001472AB">
        <w:rPr>
          <w:rtl/>
        </w:rPr>
        <w:t>2022</w:t>
      </w:r>
      <w:r w:rsidR="00AD37DA" w:rsidRPr="00AD37DA">
        <w:rPr>
          <w:color w:val="000000"/>
          <w:rtl/>
        </w:rPr>
        <w:t>)</w:t>
      </w:r>
      <w:r w:rsidR="00AD37DA" w:rsidRPr="00AD37DA">
        <w:rPr>
          <w:color w:val="000000"/>
          <w:rtl/>
        </w:rPr>
        <w:t xml:space="preserve">. </w:t>
      </w:r>
    </w:p>
  </w:footnote>
  <w:footnote w:id="2">
    <w:p w14:paraId="7ED872A4" w14:textId="77777777" w:rsidR="00AD37DA" w:rsidRPr="00064D5D" w:rsidRDefault="00AD37DA" w:rsidP="00AD37DA">
      <w:pPr>
        <w:pStyle w:val="FootnoteText1"/>
        <w:spacing w:line="260" w:lineRule="exact"/>
        <w:textDirection w:val="tbRlV"/>
      </w:pPr>
      <w:r w:rsidRPr="001354B1">
        <w:rPr>
          <w:rtl/>
        </w:rPr>
        <w:t>(</w:t>
      </w:r>
      <w:r w:rsidRPr="001472AB">
        <w:rPr>
          <w:rStyle w:val="FootnoteReference"/>
          <w:vertAlign w:val="baseline"/>
        </w:rPr>
        <w:footnoteRef/>
      </w:r>
      <w:r w:rsidRPr="001354B1">
        <w:rPr>
          <w:rtl/>
        </w:rPr>
        <w:t>)</w:t>
      </w:r>
      <w:r>
        <w:tab/>
      </w:r>
      <w:hyperlink r:id="rId1" w:history="1">
        <w:r w:rsidRPr="00AD37DA">
          <w:rPr>
            <w:rStyle w:val="Hyperlink"/>
            <w:lang w:val="en-AU"/>
          </w:rPr>
          <w:t>CED/C/NER/</w:t>
        </w:r>
        <w:r w:rsidRPr="001472AB">
          <w:rPr>
            <w:rStyle w:val="Hyperlink"/>
            <w:lang w:val="en-AU"/>
          </w:rPr>
          <w:t>1</w:t>
        </w:r>
      </w:hyperlink>
      <w:r w:rsidRPr="00AD37DA">
        <w:rPr>
          <w:color w:val="000000"/>
          <w:rtl/>
        </w:rPr>
        <w:t xml:space="preserve">. </w:t>
      </w:r>
    </w:p>
  </w:footnote>
  <w:footnote w:id="3">
    <w:p w14:paraId="48292DE9" w14:textId="77777777" w:rsidR="00AD37DA" w:rsidRPr="00064D5D" w:rsidRDefault="00AD37DA" w:rsidP="00AD37DA">
      <w:pPr>
        <w:pStyle w:val="FootnoteText1"/>
        <w:spacing w:line="260" w:lineRule="exact"/>
        <w:textDirection w:val="tbRlV"/>
      </w:pPr>
      <w:r w:rsidRPr="001354B1">
        <w:rPr>
          <w:rtl/>
        </w:rPr>
        <w:t>(</w:t>
      </w:r>
      <w:r w:rsidRPr="001472AB">
        <w:rPr>
          <w:rStyle w:val="FootnoteReference"/>
          <w:vertAlign w:val="baseline"/>
        </w:rPr>
        <w:footnoteRef/>
      </w:r>
      <w:r w:rsidRPr="001354B1">
        <w:rPr>
          <w:rtl/>
        </w:rPr>
        <w:t>)</w:t>
      </w:r>
      <w:r>
        <w:tab/>
      </w:r>
      <w:hyperlink r:id="rId2" w:history="1">
        <w:r w:rsidRPr="00AD37DA">
          <w:rPr>
            <w:rStyle w:val="Hyperlink"/>
            <w:lang w:val="en-AU"/>
          </w:rPr>
          <w:t>CED/C/SR.</w:t>
        </w:r>
        <w:r w:rsidRPr="001472AB">
          <w:rPr>
            <w:rStyle w:val="Hyperlink"/>
            <w:lang w:val="en-AU"/>
          </w:rPr>
          <w:t>385</w:t>
        </w:r>
      </w:hyperlink>
      <w:r>
        <w:rPr>
          <w:rtl/>
        </w:rPr>
        <w:t xml:space="preserve"> و</w:t>
      </w:r>
      <w:hyperlink r:id="rId3" w:history="1">
        <w:r w:rsidRPr="00AD37DA">
          <w:rPr>
            <w:rStyle w:val="Hyperlink"/>
            <w:lang w:val="en-AU"/>
          </w:rPr>
          <w:t>CED/C/SR.</w:t>
        </w:r>
        <w:r w:rsidRPr="001472AB">
          <w:rPr>
            <w:rStyle w:val="Hyperlink"/>
            <w:lang w:val="en-AU"/>
          </w:rPr>
          <w:t>386</w:t>
        </w:r>
      </w:hyperlink>
      <w:r w:rsidRPr="00AD37DA">
        <w:rPr>
          <w:color w:val="000000"/>
          <w:rtl/>
        </w:rPr>
        <w:t xml:space="preserve">. </w:t>
      </w:r>
    </w:p>
  </w:footnote>
  <w:footnote w:id="4">
    <w:p w14:paraId="5CA45EE3" w14:textId="77777777" w:rsidR="00AD37DA" w:rsidRPr="00064D5D" w:rsidRDefault="00AD37DA" w:rsidP="00AD37DA">
      <w:pPr>
        <w:pStyle w:val="FootnoteText1"/>
        <w:spacing w:line="260" w:lineRule="exact"/>
        <w:textDirection w:val="tbRlV"/>
      </w:pPr>
      <w:r w:rsidRPr="001354B1">
        <w:rPr>
          <w:rtl/>
        </w:rPr>
        <w:t>(</w:t>
      </w:r>
      <w:r w:rsidRPr="001472AB">
        <w:rPr>
          <w:rStyle w:val="FootnoteReference"/>
          <w:vertAlign w:val="baseline"/>
        </w:rPr>
        <w:footnoteRef/>
      </w:r>
      <w:r w:rsidRPr="001354B1">
        <w:rPr>
          <w:rtl/>
        </w:rPr>
        <w:t>)</w:t>
      </w:r>
      <w:r>
        <w:tab/>
      </w:r>
      <w:hyperlink r:id="rId4" w:history="1">
        <w:r w:rsidRPr="00AD37DA">
          <w:rPr>
            <w:rStyle w:val="Hyperlink"/>
            <w:lang w:val="en-AU"/>
          </w:rPr>
          <w:t>CED/C/NER/RQ/</w:t>
        </w:r>
        <w:r w:rsidRPr="001472AB">
          <w:rPr>
            <w:rStyle w:val="Hyperlink"/>
            <w:lang w:val="en-AU"/>
          </w:rPr>
          <w:t>1</w:t>
        </w:r>
      </w:hyperlink>
      <w:r w:rsidRPr="00AD37DA">
        <w:rPr>
          <w:color w:val="000000"/>
          <w:rtl/>
        </w:rPr>
        <w:t xml:space="preserve">. </w:t>
      </w:r>
    </w:p>
  </w:footnote>
  <w:footnote w:id="5">
    <w:p w14:paraId="09AE02D2" w14:textId="77777777" w:rsidR="00AD37DA" w:rsidRPr="00064D5D" w:rsidRDefault="00AD37DA" w:rsidP="00AD37DA">
      <w:pPr>
        <w:pStyle w:val="FootnoteText1"/>
        <w:spacing w:line="260" w:lineRule="exact"/>
        <w:textDirection w:val="tbRlV"/>
      </w:pPr>
      <w:r w:rsidRPr="001354B1">
        <w:rPr>
          <w:rtl/>
        </w:rPr>
        <w:t>(</w:t>
      </w:r>
      <w:r w:rsidRPr="001472AB">
        <w:rPr>
          <w:rStyle w:val="FootnoteReference"/>
          <w:vertAlign w:val="baseline"/>
        </w:rPr>
        <w:footnoteRef/>
      </w:r>
      <w:r w:rsidRPr="001354B1">
        <w:rPr>
          <w:rtl/>
        </w:rPr>
        <w:t>)</w:t>
      </w:r>
      <w:r>
        <w:tab/>
      </w:r>
      <w:hyperlink r:id="rId5" w:history="1">
        <w:r w:rsidRPr="00AD37DA">
          <w:rPr>
            <w:rStyle w:val="Hyperlink"/>
            <w:lang w:val="en-AU"/>
          </w:rPr>
          <w:t>CED/C/NER/Q/</w:t>
        </w:r>
        <w:r w:rsidRPr="001472AB">
          <w:rPr>
            <w:rStyle w:val="Hyperlink"/>
            <w:lang w:val="en-AU"/>
          </w:rPr>
          <w:t>1</w:t>
        </w:r>
      </w:hyperlink>
      <w:r w:rsidRPr="00AD37DA">
        <w:rPr>
          <w:color w:val="000000"/>
          <w:rtl/>
        </w:rPr>
        <w:t xml:space="preserve">. </w:t>
      </w:r>
    </w:p>
  </w:footnote>
  <w:footnote w:id="6">
    <w:p w14:paraId="68C149BA" w14:textId="77777777" w:rsidR="00AD37DA" w:rsidRPr="00064D5D" w:rsidRDefault="00AD37DA" w:rsidP="00AD37DA">
      <w:pPr>
        <w:pStyle w:val="FootnoteText1"/>
        <w:textDirection w:val="tbRlV"/>
      </w:pPr>
      <w:r w:rsidRPr="001354B1">
        <w:rPr>
          <w:rtl/>
        </w:rPr>
        <w:t>(</w:t>
      </w:r>
      <w:r w:rsidRPr="001472AB">
        <w:rPr>
          <w:rStyle w:val="FootnoteReference"/>
          <w:vertAlign w:val="baseline"/>
        </w:rPr>
        <w:footnoteRef/>
      </w:r>
      <w:r w:rsidRPr="001354B1">
        <w:rPr>
          <w:rtl/>
        </w:rPr>
        <w:t>)</w:t>
      </w:r>
      <w:r>
        <w:tab/>
      </w:r>
      <w:hyperlink r:id="rId6" w:history="1">
        <w:r w:rsidRPr="00AD37DA">
          <w:rPr>
            <w:rStyle w:val="Hyperlink"/>
            <w:lang w:val="en-AU"/>
          </w:rPr>
          <w:t>CED/C/NER/RQ/</w:t>
        </w:r>
        <w:r w:rsidRPr="001472AB">
          <w:rPr>
            <w:rStyle w:val="Hyperlink"/>
            <w:lang w:val="en-AU"/>
          </w:rPr>
          <w:t>1</w:t>
        </w:r>
      </w:hyperlink>
      <w:r>
        <w:rPr>
          <w:rtl/>
        </w:rPr>
        <w:t xml:space="preserve">، الفقرة </w:t>
      </w:r>
      <w:r w:rsidRPr="001472AB">
        <w:rPr>
          <w:color w:val="000000"/>
          <w:rtl/>
        </w:rPr>
        <w:t>3</w:t>
      </w:r>
      <w:r w:rsidRPr="00AD37DA">
        <w:rPr>
          <w:color w:val="000000"/>
          <w:rtl/>
        </w:rPr>
        <w:t xml:space="preserve">. </w:t>
      </w:r>
    </w:p>
  </w:footnote>
  <w:footnote w:id="7">
    <w:p w14:paraId="4896F3FB" w14:textId="77777777" w:rsidR="00AD37DA" w:rsidRPr="00064D5D" w:rsidRDefault="00AD37DA" w:rsidP="00064D5D">
      <w:pPr>
        <w:pStyle w:val="FootnoteText1"/>
        <w:textDirection w:val="tbRlV"/>
      </w:pPr>
      <w:r w:rsidRPr="001354B1">
        <w:rPr>
          <w:rtl/>
        </w:rPr>
        <w:t>(</w:t>
      </w:r>
      <w:r w:rsidRPr="001472AB">
        <w:rPr>
          <w:rStyle w:val="FootnoteReference"/>
          <w:vertAlign w:val="baseline"/>
        </w:rPr>
        <w:footnoteRef/>
      </w:r>
      <w:r w:rsidRPr="001354B1">
        <w:rPr>
          <w:rtl/>
        </w:rPr>
        <w:t>)</w:t>
      </w:r>
      <w:r>
        <w:tab/>
      </w:r>
      <w:r>
        <w:rPr>
          <w:rtl/>
        </w:rPr>
        <w:t xml:space="preserve">المرجع نفسه، الفقرة </w:t>
      </w:r>
      <w:r w:rsidRPr="001472AB">
        <w:rPr>
          <w:rtl/>
        </w:rPr>
        <w:t>2</w:t>
      </w:r>
      <w:r w:rsidRPr="001472AB">
        <w:rPr>
          <w:color w:val="000000"/>
          <w:rtl/>
        </w:rPr>
        <w:t>8</w:t>
      </w:r>
      <w:r w:rsidRPr="00AD37DA">
        <w:rPr>
          <w:color w:val="000000"/>
          <w:rtl/>
        </w:rPr>
        <w:t xml:space="preserve">. </w:t>
      </w:r>
    </w:p>
  </w:footnote>
  <w:footnote w:id="8">
    <w:p w14:paraId="2DFF156A" w14:textId="77777777" w:rsidR="00AD37DA" w:rsidRPr="00064D5D" w:rsidRDefault="00AD37DA" w:rsidP="00AD37DA">
      <w:pPr>
        <w:pStyle w:val="FootnoteText1"/>
        <w:textDirection w:val="tbRlV"/>
      </w:pPr>
      <w:r w:rsidRPr="001354B1">
        <w:rPr>
          <w:rtl/>
        </w:rPr>
        <w:t>(</w:t>
      </w:r>
      <w:r w:rsidRPr="001472AB">
        <w:rPr>
          <w:rStyle w:val="FootnoteReference"/>
          <w:vertAlign w:val="baseline"/>
        </w:rPr>
        <w:footnoteRef/>
      </w:r>
      <w:r w:rsidRPr="001354B1">
        <w:rPr>
          <w:rtl/>
        </w:rPr>
        <w:t>)</w:t>
      </w:r>
      <w:r>
        <w:tab/>
      </w:r>
      <w:hyperlink r:id="rId7" w:history="1">
        <w:r w:rsidRPr="00AD37DA">
          <w:rPr>
            <w:rStyle w:val="Hyperlink"/>
            <w:lang w:val="en-AU"/>
          </w:rPr>
          <w:t>A/</w:t>
        </w:r>
        <w:r w:rsidRPr="001472AB">
          <w:rPr>
            <w:rStyle w:val="Hyperlink"/>
            <w:lang w:val="en-AU"/>
          </w:rPr>
          <w:t>70</w:t>
        </w:r>
        <w:r w:rsidRPr="00AD37DA">
          <w:rPr>
            <w:rStyle w:val="Hyperlink"/>
            <w:lang w:val="en-AU"/>
          </w:rPr>
          <w:t>/</w:t>
        </w:r>
        <w:r w:rsidRPr="001472AB">
          <w:rPr>
            <w:rStyle w:val="Hyperlink"/>
            <w:lang w:val="en-AU"/>
          </w:rPr>
          <w:t>56</w:t>
        </w:r>
      </w:hyperlink>
      <w:r>
        <w:rPr>
          <w:rtl/>
        </w:rPr>
        <w:t>، المرفق الثالث</w:t>
      </w:r>
      <w:r>
        <w:rPr>
          <w:rtl/>
        </w:rPr>
        <w:t xml:space="preserve">. </w:t>
      </w:r>
    </w:p>
  </w:footnote>
  <w:footnote w:id="9">
    <w:p w14:paraId="423EAA96" w14:textId="77777777" w:rsidR="00AD37DA" w:rsidRPr="00064D5D" w:rsidRDefault="00AD37DA" w:rsidP="00AD37DA">
      <w:pPr>
        <w:pStyle w:val="FootnoteText1"/>
        <w:textDirection w:val="tbRlV"/>
      </w:pPr>
      <w:r w:rsidRPr="001354B1">
        <w:rPr>
          <w:rtl/>
        </w:rPr>
        <w:t>(</w:t>
      </w:r>
      <w:r w:rsidRPr="001472AB">
        <w:rPr>
          <w:rStyle w:val="FootnoteReference"/>
          <w:vertAlign w:val="baseline"/>
        </w:rPr>
        <w:footnoteRef/>
      </w:r>
      <w:r w:rsidRPr="001354B1">
        <w:rPr>
          <w:rtl/>
        </w:rPr>
        <w:t>)</w:t>
      </w:r>
      <w:r>
        <w:tab/>
      </w:r>
      <w:hyperlink r:id="rId8" w:history="1">
        <w:r w:rsidRPr="00AD37DA">
          <w:rPr>
            <w:rStyle w:val="Hyperlink"/>
            <w:lang w:val="en-AU"/>
          </w:rPr>
          <w:t>CED/C/</w:t>
        </w:r>
        <w:r w:rsidRPr="001472AB">
          <w:rPr>
            <w:rStyle w:val="Hyperlink"/>
            <w:lang w:val="en-AU"/>
          </w:rPr>
          <w:t>7</w:t>
        </w:r>
      </w:hyperlink>
      <w:r w:rsidRPr="00AD37DA">
        <w:rPr>
          <w:color w:val="000000"/>
          <w:rtl/>
        </w:rPr>
        <w:t xml:space="preserve">. </w:t>
      </w:r>
    </w:p>
  </w:footnote>
  <w:footnote w:id="10">
    <w:p w14:paraId="76D298DE" w14:textId="77777777" w:rsidR="00AD37DA" w:rsidRPr="00064D5D" w:rsidRDefault="00AD37DA" w:rsidP="00AD37DA">
      <w:pPr>
        <w:pStyle w:val="FootnoteText1"/>
        <w:textDirection w:val="tbRlV"/>
      </w:pPr>
      <w:r w:rsidRPr="001354B1">
        <w:rPr>
          <w:rtl/>
        </w:rPr>
        <w:t>(</w:t>
      </w:r>
      <w:r w:rsidRPr="001472AB">
        <w:rPr>
          <w:rStyle w:val="FootnoteReference"/>
          <w:vertAlign w:val="baseline"/>
        </w:rPr>
        <w:footnoteRef/>
      </w:r>
      <w:r w:rsidRPr="001354B1">
        <w:rPr>
          <w:rtl/>
        </w:rPr>
        <w:t>)</w:t>
      </w:r>
      <w:r>
        <w:tab/>
      </w:r>
      <w:hyperlink r:id="rId9" w:history="1">
        <w:r w:rsidRPr="00AD37DA">
          <w:rPr>
            <w:rStyle w:val="Hyperlink"/>
            <w:lang w:val="en-AU"/>
          </w:rPr>
          <w:t>CAT/C/NER/CO/</w:t>
        </w:r>
        <w:r w:rsidRPr="001472AB">
          <w:rPr>
            <w:rStyle w:val="Hyperlink"/>
            <w:lang w:val="en-AU"/>
          </w:rPr>
          <w:t>1</w:t>
        </w:r>
      </w:hyperlink>
      <w:r>
        <w:rPr>
          <w:rtl/>
        </w:rPr>
        <w:t xml:space="preserve">، الفقرة </w:t>
      </w:r>
      <w:r w:rsidRPr="001472AB">
        <w:rPr>
          <w:rtl/>
        </w:rPr>
        <w:t>1</w:t>
      </w:r>
      <w:r w:rsidRPr="001472AB">
        <w:rPr>
          <w:color w:val="000000"/>
          <w:rtl/>
        </w:rPr>
        <w:t>7</w:t>
      </w:r>
      <w:r w:rsidRPr="00AD37DA">
        <w:rPr>
          <w:color w:val="000000"/>
          <w:rtl/>
        </w:rPr>
        <w:t xml:space="preserve">. </w:t>
      </w:r>
    </w:p>
  </w:footnote>
  <w:footnote w:id="11">
    <w:p w14:paraId="458E95A5" w14:textId="77777777" w:rsidR="00AD37DA" w:rsidRPr="00064D5D" w:rsidRDefault="00AD37DA" w:rsidP="00DF5FA5">
      <w:pPr>
        <w:pStyle w:val="FootnoteText1"/>
        <w:spacing w:line="260" w:lineRule="exact"/>
        <w:textDirection w:val="tbRlV"/>
      </w:pPr>
      <w:r w:rsidRPr="001354B1">
        <w:rPr>
          <w:rtl/>
        </w:rPr>
        <w:t>(</w:t>
      </w:r>
      <w:r w:rsidRPr="001472AB">
        <w:rPr>
          <w:rStyle w:val="FootnoteReference"/>
          <w:vertAlign w:val="baseline"/>
        </w:rPr>
        <w:footnoteRef/>
      </w:r>
      <w:r w:rsidRPr="001354B1">
        <w:rPr>
          <w:rtl/>
        </w:rPr>
        <w:t>)</w:t>
      </w:r>
      <w:r>
        <w:tab/>
      </w:r>
      <w:hyperlink r:id="rId10" w:history="1">
        <w:r w:rsidRPr="00AD37DA">
          <w:rPr>
            <w:rStyle w:val="Hyperlink"/>
            <w:lang w:val="en-AU"/>
          </w:rPr>
          <w:t>CED/C/NER/RQ/</w:t>
        </w:r>
        <w:r w:rsidRPr="001472AB">
          <w:rPr>
            <w:rStyle w:val="Hyperlink"/>
            <w:lang w:val="en-AU"/>
          </w:rPr>
          <w:t>1</w:t>
        </w:r>
      </w:hyperlink>
      <w:r>
        <w:rPr>
          <w:rtl/>
        </w:rPr>
        <w:t xml:space="preserve">، الفقرة </w:t>
      </w:r>
      <w:r w:rsidRPr="001472AB">
        <w:rPr>
          <w:rtl/>
        </w:rPr>
        <w:t>5</w:t>
      </w:r>
      <w:r w:rsidRPr="001472AB">
        <w:rPr>
          <w:color w:val="000000"/>
          <w:rtl/>
        </w:rPr>
        <w:t>9</w:t>
      </w:r>
      <w:r w:rsidRPr="00AD37DA">
        <w:rPr>
          <w:color w:val="000000"/>
          <w:rtl/>
        </w:rPr>
        <w:t xml:space="preserve">. </w:t>
      </w:r>
    </w:p>
  </w:footnote>
  <w:footnote w:id="12">
    <w:p w14:paraId="22B0386E" w14:textId="77777777" w:rsidR="00AD37DA" w:rsidRPr="00064D5D" w:rsidRDefault="00AD37DA" w:rsidP="00DF5FA5">
      <w:pPr>
        <w:pStyle w:val="FootnoteText1"/>
        <w:spacing w:line="260" w:lineRule="exact"/>
        <w:textDirection w:val="tbRlV"/>
      </w:pPr>
      <w:r w:rsidRPr="001354B1">
        <w:rPr>
          <w:rtl/>
        </w:rPr>
        <w:t>(</w:t>
      </w:r>
      <w:r w:rsidRPr="001472AB">
        <w:rPr>
          <w:rStyle w:val="FootnoteReference"/>
          <w:vertAlign w:val="baseline"/>
        </w:rPr>
        <w:footnoteRef/>
      </w:r>
      <w:r w:rsidRPr="001354B1">
        <w:rPr>
          <w:rtl/>
        </w:rPr>
        <w:t>)</w:t>
      </w:r>
      <w:r>
        <w:tab/>
      </w:r>
      <w:hyperlink r:id="rId11" w:history="1">
        <w:r w:rsidRPr="00AD37DA">
          <w:rPr>
            <w:rStyle w:val="Hyperlink"/>
            <w:lang w:val="en-AU"/>
          </w:rPr>
          <w:t>CAT/C/NER/CO/</w:t>
        </w:r>
        <w:r w:rsidRPr="001472AB">
          <w:rPr>
            <w:rStyle w:val="Hyperlink"/>
            <w:lang w:val="en-AU"/>
          </w:rPr>
          <w:t>1</w:t>
        </w:r>
      </w:hyperlink>
      <w:r>
        <w:rPr>
          <w:rtl/>
        </w:rPr>
        <w:t xml:space="preserve">، الفقرة </w:t>
      </w:r>
      <w:r w:rsidRPr="001472AB">
        <w:rPr>
          <w:rtl/>
        </w:rPr>
        <w:t>1</w:t>
      </w:r>
      <w:r w:rsidRPr="001472AB">
        <w:rPr>
          <w:color w:val="000000"/>
          <w:rtl/>
        </w:rPr>
        <w:t>1</w:t>
      </w:r>
      <w:r w:rsidRPr="00AD37DA">
        <w:rPr>
          <w:color w:val="000000"/>
          <w:rtl/>
        </w:rPr>
        <w:t xml:space="preserve">. </w:t>
      </w:r>
    </w:p>
  </w:footnote>
  <w:footnote w:id="13">
    <w:p w14:paraId="18B50EB2" w14:textId="77777777" w:rsidR="00AD37DA" w:rsidRPr="00064D5D" w:rsidRDefault="00AD37DA" w:rsidP="00DF5FA5">
      <w:pPr>
        <w:pStyle w:val="FootnoteText1"/>
        <w:spacing w:line="260" w:lineRule="exact"/>
        <w:textDirection w:val="tbRlV"/>
      </w:pPr>
      <w:r w:rsidRPr="001354B1">
        <w:rPr>
          <w:rtl/>
        </w:rPr>
        <w:t>(</w:t>
      </w:r>
      <w:r w:rsidRPr="001472AB">
        <w:rPr>
          <w:rStyle w:val="FootnoteReference"/>
          <w:vertAlign w:val="baseline"/>
        </w:rPr>
        <w:footnoteRef/>
      </w:r>
      <w:r w:rsidRPr="001354B1">
        <w:rPr>
          <w:rtl/>
        </w:rPr>
        <w:t>)</w:t>
      </w:r>
      <w:r>
        <w:tab/>
      </w:r>
      <w:hyperlink r:id="rId12" w:history="1">
        <w:r w:rsidRPr="00AD37DA">
          <w:rPr>
            <w:rStyle w:val="Hyperlink"/>
            <w:lang w:val="en-AU"/>
          </w:rPr>
          <w:t>CAT/OP/NER/</w:t>
        </w:r>
        <w:r w:rsidRPr="001472AB">
          <w:rPr>
            <w:rStyle w:val="Hyperlink"/>
            <w:lang w:val="en-AU"/>
          </w:rPr>
          <w:t>1</w:t>
        </w:r>
      </w:hyperlink>
      <w:r>
        <w:rPr>
          <w:rtl/>
        </w:rPr>
        <w:t xml:space="preserve">، الفقرة </w:t>
      </w:r>
      <w:r w:rsidRPr="001472AB">
        <w:rPr>
          <w:rtl/>
        </w:rPr>
        <w:t>5</w:t>
      </w:r>
      <w:r w:rsidRPr="001472AB">
        <w:rPr>
          <w:color w:val="000000"/>
          <w:rtl/>
        </w:rPr>
        <w:t>1</w:t>
      </w:r>
      <w:r w:rsidRPr="00AD37DA">
        <w:rPr>
          <w:color w:val="000000"/>
          <w:rtl/>
        </w:rPr>
        <w:t xml:space="preserve">. </w:t>
      </w:r>
    </w:p>
  </w:footnote>
  <w:footnote w:id="14">
    <w:p w14:paraId="200787D3" w14:textId="77777777" w:rsidR="00AD37DA" w:rsidRPr="00064D5D" w:rsidRDefault="00AD37DA" w:rsidP="00DF5FA5">
      <w:pPr>
        <w:pStyle w:val="FootnoteText1"/>
        <w:spacing w:line="260" w:lineRule="exact"/>
        <w:textDirection w:val="tbRlV"/>
      </w:pPr>
      <w:r w:rsidRPr="001354B1">
        <w:rPr>
          <w:rtl/>
        </w:rPr>
        <w:t>(</w:t>
      </w:r>
      <w:r w:rsidRPr="001472AB">
        <w:rPr>
          <w:rStyle w:val="FootnoteReference"/>
          <w:vertAlign w:val="baseline"/>
        </w:rPr>
        <w:footnoteRef/>
      </w:r>
      <w:r w:rsidRPr="001354B1">
        <w:rPr>
          <w:rtl/>
        </w:rPr>
        <w:t>)</w:t>
      </w:r>
      <w:r>
        <w:tab/>
      </w:r>
      <w:hyperlink r:id="rId13" w:history="1">
        <w:r w:rsidRPr="00AD37DA">
          <w:rPr>
            <w:rStyle w:val="Hyperlink"/>
            <w:lang w:val="en-AU"/>
          </w:rPr>
          <w:t>CAT/C/NER/CO/</w:t>
        </w:r>
        <w:r w:rsidRPr="001472AB">
          <w:rPr>
            <w:rStyle w:val="Hyperlink"/>
            <w:lang w:val="en-AU"/>
          </w:rPr>
          <w:t>1</w:t>
        </w:r>
      </w:hyperlink>
      <w:r>
        <w:rPr>
          <w:rtl/>
        </w:rPr>
        <w:t xml:space="preserve">، الفقرة </w:t>
      </w:r>
      <w:r w:rsidRPr="001472AB">
        <w:rPr>
          <w:rtl/>
        </w:rPr>
        <w:t>9</w:t>
      </w:r>
      <w:r>
        <w:rPr>
          <w:rtl/>
        </w:rPr>
        <w:t>؛ و</w:t>
      </w:r>
      <w:hyperlink r:id="rId14" w:history="1">
        <w:r w:rsidRPr="00AD37DA">
          <w:rPr>
            <w:rStyle w:val="Hyperlink"/>
            <w:lang w:val="en-AU"/>
          </w:rPr>
          <w:t>CAT/OP/NER/</w:t>
        </w:r>
        <w:r w:rsidRPr="001472AB">
          <w:rPr>
            <w:rStyle w:val="Hyperlink"/>
            <w:lang w:val="en-AU"/>
          </w:rPr>
          <w:t>1</w:t>
        </w:r>
      </w:hyperlink>
      <w:r>
        <w:rPr>
          <w:rtl/>
        </w:rPr>
        <w:t xml:space="preserve">، الفقرتان </w:t>
      </w:r>
      <w:r w:rsidRPr="001472AB">
        <w:rPr>
          <w:rtl/>
        </w:rPr>
        <w:t>59</w:t>
      </w:r>
      <w:r>
        <w:rPr>
          <w:rtl/>
        </w:rPr>
        <w:t xml:space="preserve"> و</w:t>
      </w:r>
      <w:r w:rsidRPr="001472AB">
        <w:rPr>
          <w:rtl/>
        </w:rPr>
        <w:t>6</w:t>
      </w:r>
      <w:r w:rsidRPr="001472AB">
        <w:rPr>
          <w:color w:val="000000"/>
          <w:rtl/>
        </w:rPr>
        <w:t>0</w:t>
      </w:r>
      <w:r w:rsidRPr="00AD37DA">
        <w:rPr>
          <w:color w:val="000000"/>
          <w:rtl/>
        </w:rPr>
        <w:t xml:space="preserve">. </w:t>
      </w:r>
    </w:p>
  </w:footnote>
  <w:footnote w:id="15">
    <w:p w14:paraId="1E4D419E" w14:textId="77777777" w:rsidR="00AD37DA" w:rsidRPr="00064D5D" w:rsidRDefault="00AD37DA" w:rsidP="00AD37DA">
      <w:pPr>
        <w:pStyle w:val="FootnoteText1"/>
        <w:textDirection w:val="tbRlV"/>
      </w:pPr>
      <w:r w:rsidRPr="001354B1">
        <w:rPr>
          <w:rtl/>
        </w:rPr>
        <w:t>(</w:t>
      </w:r>
      <w:r w:rsidRPr="001472AB">
        <w:rPr>
          <w:rStyle w:val="FootnoteReference"/>
          <w:vertAlign w:val="baseline"/>
        </w:rPr>
        <w:footnoteRef/>
      </w:r>
      <w:r w:rsidRPr="001354B1">
        <w:rPr>
          <w:rtl/>
        </w:rPr>
        <w:t>)</w:t>
      </w:r>
      <w:r>
        <w:tab/>
      </w:r>
      <w:hyperlink r:id="rId15" w:history="1">
        <w:r w:rsidRPr="00AD37DA">
          <w:rPr>
            <w:rStyle w:val="Hyperlink"/>
            <w:lang w:val="en-AU"/>
          </w:rPr>
          <w:t>CEDAW/C/NER/CO/</w:t>
        </w:r>
        <w:r w:rsidRPr="001472AB">
          <w:rPr>
            <w:rStyle w:val="Hyperlink"/>
            <w:lang w:val="en-AU"/>
          </w:rPr>
          <w:t>3</w:t>
        </w:r>
        <w:r w:rsidRPr="00AD37DA">
          <w:rPr>
            <w:rStyle w:val="Hyperlink"/>
            <w:lang w:val="en-AU"/>
          </w:rPr>
          <w:t>-</w:t>
        </w:r>
        <w:r w:rsidRPr="001472AB">
          <w:rPr>
            <w:rStyle w:val="Hyperlink"/>
            <w:lang w:val="en-AU"/>
          </w:rPr>
          <w:t>4</w:t>
        </w:r>
      </w:hyperlink>
      <w:r>
        <w:rPr>
          <w:rtl/>
        </w:rPr>
        <w:t xml:space="preserve">، الفقرة </w:t>
      </w:r>
      <w:r w:rsidRPr="001472AB">
        <w:rPr>
          <w:rtl/>
        </w:rPr>
        <w:t>3</w:t>
      </w:r>
      <w:r w:rsidRPr="001472AB">
        <w:rPr>
          <w:color w:val="000000"/>
          <w:rtl/>
        </w:rPr>
        <w:t>4</w:t>
      </w:r>
      <w:r w:rsidRPr="00AD37DA">
        <w:rPr>
          <w:color w:val="000000"/>
          <w:rtl/>
        </w:rPr>
        <w:t xml:space="preserve">. </w:t>
      </w:r>
    </w:p>
  </w:footnote>
  <w:footnote w:id="16">
    <w:p w14:paraId="614AE353" w14:textId="77777777" w:rsidR="00AD37DA" w:rsidRPr="00064D5D" w:rsidRDefault="00AD37DA" w:rsidP="00AD37DA">
      <w:pPr>
        <w:pStyle w:val="FootnoteText1"/>
        <w:textDirection w:val="tbRlV"/>
      </w:pPr>
      <w:r w:rsidRPr="001354B1">
        <w:rPr>
          <w:rtl/>
        </w:rPr>
        <w:t>(</w:t>
      </w:r>
      <w:r w:rsidRPr="001472AB">
        <w:rPr>
          <w:rStyle w:val="FootnoteReference"/>
          <w:vertAlign w:val="baseline"/>
        </w:rPr>
        <w:footnoteRef/>
      </w:r>
      <w:r w:rsidRPr="001354B1">
        <w:rPr>
          <w:rtl/>
        </w:rPr>
        <w:t>)</w:t>
      </w:r>
      <w:r>
        <w:tab/>
      </w:r>
      <w:hyperlink r:id="rId16" w:history="1">
        <w:r w:rsidRPr="00AD37DA">
          <w:rPr>
            <w:rStyle w:val="Hyperlink"/>
            <w:lang w:val="en-AU"/>
          </w:rPr>
          <w:t>CCPR/C/NER/CO/</w:t>
        </w:r>
        <w:r w:rsidRPr="001472AB">
          <w:rPr>
            <w:rStyle w:val="Hyperlink"/>
            <w:lang w:val="en-AU"/>
          </w:rPr>
          <w:t>2</w:t>
        </w:r>
      </w:hyperlink>
      <w:r>
        <w:rPr>
          <w:rtl/>
        </w:rPr>
        <w:t xml:space="preserve">، الفقرتان </w:t>
      </w:r>
      <w:r w:rsidRPr="001472AB">
        <w:rPr>
          <w:rtl/>
        </w:rPr>
        <w:t>14</w:t>
      </w:r>
      <w:r>
        <w:rPr>
          <w:rtl/>
        </w:rPr>
        <w:t xml:space="preserve"> و</w:t>
      </w:r>
      <w:r w:rsidRPr="001472AB">
        <w:rPr>
          <w:rtl/>
        </w:rPr>
        <w:t>1</w:t>
      </w:r>
      <w:r w:rsidRPr="001472AB">
        <w:rPr>
          <w:color w:val="000000"/>
          <w:rtl/>
        </w:rPr>
        <w:t>5</w:t>
      </w:r>
      <w:r w:rsidRPr="00AD37DA">
        <w:rPr>
          <w:color w:val="000000"/>
          <w:rtl/>
        </w:rPr>
        <w:t xml:space="preserve">. </w:t>
      </w:r>
    </w:p>
  </w:footnote>
  <w:footnote w:id="17">
    <w:p w14:paraId="3B9C81EC" w14:textId="77777777" w:rsidR="00AD37DA" w:rsidRPr="00064D5D" w:rsidRDefault="00AD37DA" w:rsidP="00064D5D">
      <w:pPr>
        <w:pStyle w:val="FootnoteText1"/>
        <w:textDirection w:val="tbRlV"/>
        <w:rPr>
          <w:rFonts w:hint="cs"/>
          <w:rtl/>
          <w:lang w:val="fr-CH"/>
        </w:rPr>
      </w:pPr>
      <w:r w:rsidRPr="001354B1">
        <w:rPr>
          <w:rtl/>
        </w:rPr>
        <w:t>(</w:t>
      </w:r>
      <w:r w:rsidRPr="001472AB">
        <w:rPr>
          <w:rStyle w:val="FootnoteReference"/>
          <w:vertAlign w:val="baseline"/>
        </w:rPr>
        <w:footnoteRef/>
      </w:r>
      <w:r w:rsidRPr="001354B1">
        <w:rPr>
          <w:rtl/>
        </w:rPr>
        <w:t>)</w:t>
      </w:r>
      <w:r w:rsidRPr="00513467">
        <w:tab/>
      </w:r>
      <w:r>
        <w:t>Office of the United Nations High Commissioner for Human Rights (OHCHR</w:t>
      </w:r>
      <w:proofErr w:type="gramStart"/>
      <w:r w:rsidRPr="00AD37DA">
        <w:rPr>
          <w:color w:val="000000"/>
        </w:rPr>
        <w:t>),</w:t>
      </w:r>
      <w:proofErr w:type="gramEnd"/>
      <w:r w:rsidRPr="00AD37DA">
        <w:rPr>
          <w:color w:val="000000"/>
        </w:rPr>
        <w:t xml:space="preserve"> </w:t>
      </w:r>
      <w:r>
        <w:t>“United Nations High Commissioner for Human Right</w:t>
      </w:r>
      <w:r w:rsidRPr="00AD37DA">
        <w:rPr>
          <w:color w:val="000000"/>
        </w:rPr>
        <w:t xml:space="preserve">s, </w:t>
      </w:r>
      <w:r>
        <w:t>Michelle Bachele</w:t>
      </w:r>
      <w:r w:rsidRPr="00AD37DA">
        <w:rPr>
          <w:color w:val="000000"/>
        </w:rPr>
        <w:t xml:space="preserve">t, </w:t>
      </w:r>
      <w:r>
        <w:t>concludes her official visit to the Niger (</w:t>
      </w:r>
      <w:r w:rsidRPr="001472AB">
        <w:t>2</w:t>
      </w:r>
      <w:r>
        <w:t>–</w:t>
      </w:r>
      <w:r w:rsidRPr="001472AB">
        <w:t>4</w:t>
      </w:r>
      <w:r>
        <w:t xml:space="preserve"> December)”, press releas</w:t>
      </w:r>
      <w:r w:rsidRPr="00AD37DA">
        <w:rPr>
          <w:color w:val="000000"/>
        </w:rPr>
        <w:t xml:space="preserve">e, </w:t>
      </w:r>
      <w:r w:rsidRPr="001472AB">
        <w:t>4</w:t>
      </w:r>
      <w:r>
        <w:t xml:space="preserve"> December </w:t>
      </w:r>
      <w:r w:rsidRPr="001472AB">
        <w:t>202</w:t>
      </w:r>
      <w:r w:rsidRPr="001472AB">
        <w:rPr>
          <w:color w:val="000000"/>
        </w:rPr>
        <w:t>1</w:t>
      </w:r>
      <w:r w:rsidRPr="00AD37DA">
        <w:rPr>
          <w:color w:val="000000"/>
          <w:rtl/>
          <w:lang w:val="fr-CH"/>
        </w:rPr>
        <w:t xml:space="preserve">. </w:t>
      </w:r>
    </w:p>
  </w:footnote>
  <w:footnote w:id="18">
    <w:p w14:paraId="5CFB18EB" w14:textId="77777777" w:rsidR="00AD37DA" w:rsidRPr="00513467" w:rsidRDefault="00AD37DA" w:rsidP="00064D5D">
      <w:pPr>
        <w:pStyle w:val="FootnoteText1"/>
        <w:textDirection w:val="tbRlV"/>
      </w:pPr>
      <w:r w:rsidRPr="001354B1">
        <w:rPr>
          <w:rtl/>
        </w:rPr>
        <w:t>(</w:t>
      </w:r>
      <w:r w:rsidRPr="001472AB">
        <w:rPr>
          <w:rStyle w:val="FootnoteReference"/>
          <w:vertAlign w:val="baseline"/>
        </w:rPr>
        <w:footnoteRef/>
      </w:r>
      <w:r w:rsidRPr="001354B1">
        <w:rPr>
          <w:rtl/>
        </w:rPr>
        <w:t>)</w:t>
      </w:r>
      <w:r w:rsidRPr="00513467">
        <w:tab/>
      </w:r>
      <w:r>
        <w:t>OHCH</w:t>
      </w:r>
      <w:r w:rsidRPr="00AD37DA">
        <w:rPr>
          <w:color w:val="000000"/>
        </w:rPr>
        <w:t xml:space="preserve">R, </w:t>
      </w:r>
      <w:r>
        <w:t>“P</w:t>
      </w:r>
      <w:r w:rsidRPr="00B80CC2">
        <w:t>reliminary observations of the United Nations Special Rapporteur on the right</w:t>
      </w:r>
      <w:r>
        <w:t>s</w:t>
      </w:r>
      <w:r w:rsidRPr="00B80CC2">
        <w:t xml:space="preserve"> to peaceful assembly and of associatio</w:t>
      </w:r>
      <w:r w:rsidRPr="00AD37DA">
        <w:rPr>
          <w:color w:val="000000"/>
        </w:rPr>
        <w:t xml:space="preserve">n, </w:t>
      </w:r>
      <w:r w:rsidRPr="00B80CC2">
        <w:t xml:space="preserve">Clément </w:t>
      </w:r>
      <w:proofErr w:type="spellStart"/>
      <w:r w:rsidRPr="00B80CC2">
        <w:t>Nyaletsossi</w:t>
      </w:r>
      <w:proofErr w:type="spellEnd"/>
      <w:r w:rsidRPr="00B80CC2">
        <w:t xml:space="preserve"> </w:t>
      </w:r>
      <w:proofErr w:type="spellStart"/>
      <w:r w:rsidRPr="00B80CC2">
        <w:t>Voul</w:t>
      </w:r>
      <w:r w:rsidRPr="00AD37DA">
        <w:rPr>
          <w:color w:val="000000"/>
        </w:rPr>
        <w:t>e</w:t>
      </w:r>
      <w:proofErr w:type="spellEnd"/>
      <w:r w:rsidRPr="00AD37DA">
        <w:rPr>
          <w:color w:val="000000"/>
        </w:rPr>
        <w:t xml:space="preserve">, </w:t>
      </w:r>
      <w:r w:rsidRPr="00B80CC2">
        <w:t>following his visit to</w:t>
      </w:r>
      <w:r>
        <w:t xml:space="preserve"> the</w:t>
      </w:r>
      <w:r w:rsidRPr="00B80CC2">
        <w:t xml:space="preserve"> </w:t>
      </w:r>
      <w:proofErr w:type="gramStart"/>
      <w:r w:rsidRPr="00B80CC2">
        <w:t>Niger</w:t>
      </w:r>
      <w:r>
        <w:t>”,</w:t>
      </w:r>
      <w:proofErr w:type="gramEnd"/>
      <w:r>
        <w:t xml:space="preserve"> statemen</w:t>
      </w:r>
      <w:r w:rsidRPr="00AD37DA">
        <w:rPr>
          <w:color w:val="000000"/>
        </w:rPr>
        <w:t xml:space="preserve">t, </w:t>
      </w:r>
      <w:r w:rsidRPr="001472AB">
        <w:t>16</w:t>
      </w:r>
      <w:r>
        <w:t xml:space="preserve"> December </w:t>
      </w:r>
      <w:r w:rsidRPr="001472AB">
        <w:t>202</w:t>
      </w:r>
      <w:r w:rsidRPr="001472AB">
        <w:rPr>
          <w:color w:val="000000"/>
        </w:rPr>
        <w:t>1</w:t>
      </w:r>
      <w:r w:rsidRPr="00AD37DA">
        <w:rPr>
          <w:color w:val="000000"/>
          <w:rtl/>
        </w:rPr>
        <w:t xml:space="preserve">. </w:t>
      </w:r>
    </w:p>
  </w:footnote>
  <w:footnote w:id="19">
    <w:p w14:paraId="6062C33D" w14:textId="77777777" w:rsidR="00AD37DA" w:rsidRPr="00064D5D" w:rsidRDefault="00AD37DA" w:rsidP="00AD37DA">
      <w:pPr>
        <w:pStyle w:val="FootnoteText1"/>
        <w:textDirection w:val="tbRlV"/>
      </w:pPr>
      <w:r>
        <w:rPr>
          <w:rtl/>
        </w:rPr>
        <w:tab/>
      </w:r>
      <w:r w:rsidRPr="001472AB">
        <w:footnoteRef/>
      </w:r>
      <w:r>
        <w:rPr>
          <w:rtl/>
        </w:rPr>
        <w:tab/>
      </w:r>
      <w:hyperlink r:id="rId17" w:history="1">
        <w:r w:rsidRPr="00AD37DA">
          <w:rPr>
            <w:rStyle w:val="Hyperlink"/>
            <w:lang w:val="en-AU"/>
          </w:rPr>
          <w:t>CED/C/</w:t>
        </w:r>
        <w:r w:rsidRPr="001472AB">
          <w:rPr>
            <w:rStyle w:val="Hyperlink"/>
            <w:lang w:val="en-AU"/>
          </w:rPr>
          <w:t>2</w:t>
        </w:r>
      </w:hyperlink>
      <w:r>
        <w:rPr>
          <w:rtl/>
        </w:rPr>
        <w:t xml:space="preserve">، الفقرة </w:t>
      </w:r>
      <w:r w:rsidRPr="001472AB">
        <w:rPr>
          <w:rtl/>
        </w:rPr>
        <w:t>3</w:t>
      </w:r>
      <w:r w:rsidRPr="001472AB">
        <w:rPr>
          <w:color w:val="000000"/>
          <w:rtl/>
        </w:rPr>
        <w:t>9</w:t>
      </w:r>
      <w:r w:rsidRPr="00AD37DA">
        <w:rPr>
          <w:color w:val="000000"/>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89D1E" w14:textId="1B395366" w:rsidR="008F7881" w:rsidRPr="008F7881" w:rsidRDefault="008F7881" w:rsidP="008F788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CED/C/NER/CO/1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F2F06" w14:textId="4B6A327E" w:rsidR="008F7881" w:rsidRPr="008F7881" w:rsidRDefault="008F7881" w:rsidP="008F788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CED/C/NER/CO/1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14E"/>
    <w:rsid w:val="00001E1B"/>
    <w:rsid w:val="000076D5"/>
    <w:rsid w:val="00027F2D"/>
    <w:rsid w:val="00043663"/>
    <w:rsid w:val="000505CF"/>
    <w:rsid w:val="00064D5D"/>
    <w:rsid w:val="000A1B1A"/>
    <w:rsid w:val="000D2200"/>
    <w:rsid w:val="000D701C"/>
    <w:rsid w:val="000E2A71"/>
    <w:rsid w:val="000F4E15"/>
    <w:rsid w:val="0010772C"/>
    <w:rsid w:val="001472AB"/>
    <w:rsid w:val="00160263"/>
    <w:rsid w:val="00176DB4"/>
    <w:rsid w:val="001805F9"/>
    <w:rsid w:val="00181F96"/>
    <w:rsid w:val="001A1371"/>
    <w:rsid w:val="001A5338"/>
    <w:rsid w:val="001B346A"/>
    <w:rsid w:val="001E1CAD"/>
    <w:rsid w:val="001E290D"/>
    <w:rsid w:val="001F1FED"/>
    <w:rsid w:val="002144FA"/>
    <w:rsid w:val="0021768C"/>
    <w:rsid w:val="0023469A"/>
    <w:rsid w:val="00243C8A"/>
    <w:rsid w:val="002456E8"/>
    <w:rsid w:val="00267A0E"/>
    <w:rsid w:val="002804D6"/>
    <w:rsid w:val="002901D9"/>
    <w:rsid w:val="002976C2"/>
    <w:rsid w:val="002C11AF"/>
    <w:rsid w:val="0030370F"/>
    <w:rsid w:val="00305335"/>
    <w:rsid w:val="00317B22"/>
    <w:rsid w:val="003260FF"/>
    <w:rsid w:val="00343D95"/>
    <w:rsid w:val="00374341"/>
    <w:rsid w:val="0038314E"/>
    <w:rsid w:val="003D1062"/>
    <w:rsid w:val="00420D7B"/>
    <w:rsid w:val="00450B21"/>
    <w:rsid w:val="00453B63"/>
    <w:rsid w:val="00455780"/>
    <w:rsid w:val="004A52AC"/>
    <w:rsid w:val="004B0A1C"/>
    <w:rsid w:val="004D298E"/>
    <w:rsid w:val="004E1586"/>
    <w:rsid w:val="00513467"/>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6507"/>
    <w:rsid w:val="006C104C"/>
    <w:rsid w:val="006D39EA"/>
    <w:rsid w:val="006D698E"/>
    <w:rsid w:val="00733704"/>
    <w:rsid w:val="00774AF4"/>
    <w:rsid w:val="0078071A"/>
    <w:rsid w:val="007B718D"/>
    <w:rsid w:val="007F55ED"/>
    <w:rsid w:val="00807312"/>
    <w:rsid w:val="008313E3"/>
    <w:rsid w:val="00852A9A"/>
    <w:rsid w:val="008C2897"/>
    <w:rsid w:val="008C6E7E"/>
    <w:rsid w:val="008D6989"/>
    <w:rsid w:val="008F49E1"/>
    <w:rsid w:val="008F729B"/>
    <w:rsid w:val="008F7881"/>
    <w:rsid w:val="0090370F"/>
    <w:rsid w:val="009269D2"/>
    <w:rsid w:val="009305F0"/>
    <w:rsid w:val="00933938"/>
    <w:rsid w:val="00942135"/>
    <w:rsid w:val="009521B0"/>
    <w:rsid w:val="00980103"/>
    <w:rsid w:val="0098730D"/>
    <w:rsid w:val="00987935"/>
    <w:rsid w:val="00994130"/>
    <w:rsid w:val="009A7DDA"/>
    <w:rsid w:val="009A7E9F"/>
    <w:rsid w:val="009E5018"/>
    <w:rsid w:val="009F515B"/>
    <w:rsid w:val="00A12B37"/>
    <w:rsid w:val="00A20FF4"/>
    <w:rsid w:val="00A4027E"/>
    <w:rsid w:val="00AB4F93"/>
    <w:rsid w:val="00AB6758"/>
    <w:rsid w:val="00AD37DA"/>
    <w:rsid w:val="00B13614"/>
    <w:rsid w:val="00B13763"/>
    <w:rsid w:val="00B27391"/>
    <w:rsid w:val="00B33568"/>
    <w:rsid w:val="00B40C02"/>
    <w:rsid w:val="00B477A4"/>
    <w:rsid w:val="00B54045"/>
    <w:rsid w:val="00B62784"/>
    <w:rsid w:val="00B65387"/>
    <w:rsid w:val="00BB449E"/>
    <w:rsid w:val="00BD2E35"/>
    <w:rsid w:val="00C05EA5"/>
    <w:rsid w:val="00C438D7"/>
    <w:rsid w:val="00C81B50"/>
    <w:rsid w:val="00C92253"/>
    <w:rsid w:val="00CB28F9"/>
    <w:rsid w:val="00CC276B"/>
    <w:rsid w:val="00CD1801"/>
    <w:rsid w:val="00CF7E4E"/>
    <w:rsid w:val="00D10EF1"/>
    <w:rsid w:val="00D42810"/>
    <w:rsid w:val="00D76BBB"/>
    <w:rsid w:val="00D914A7"/>
    <w:rsid w:val="00DD13C3"/>
    <w:rsid w:val="00DD596E"/>
    <w:rsid w:val="00DD621E"/>
    <w:rsid w:val="00DF0575"/>
    <w:rsid w:val="00DF5E71"/>
    <w:rsid w:val="00DF5FA5"/>
    <w:rsid w:val="00E70E04"/>
    <w:rsid w:val="00E76499"/>
    <w:rsid w:val="00E866BF"/>
    <w:rsid w:val="00EB6F59"/>
    <w:rsid w:val="00EC05A7"/>
    <w:rsid w:val="00EC4B6B"/>
    <w:rsid w:val="00EE2A27"/>
    <w:rsid w:val="00EF1EE5"/>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D8CAAAB"/>
  <w15:docId w15:val="{2078DE29-B810-47BB-92E4-73DE4588A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13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622130"/>
    <w:pPr>
      <w:bidi w:val="0"/>
      <w:outlineLvl w:val="0"/>
    </w:pPr>
  </w:style>
  <w:style w:type="paragraph" w:styleId="Heading2">
    <w:name w:val="heading 2"/>
    <w:basedOn w:val="Normal"/>
    <w:next w:val="Normal"/>
    <w:link w:val="Heading2Char"/>
    <w:uiPriority w:val="9"/>
    <w:unhideWhenUsed/>
    <w:rsid w:val="0062213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213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213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2130"/>
    <w:pPr>
      <w:keepNext/>
      <w:keepLines/>
      <w:spacing w:before="200"/>
      <w:outlineLvl w:val="4"/>
    </w:pPr>
    <w:rPr>
      <w:color w:val="243F60"/>
    </w:rPr>
  </w:style>
  <w:style w:type="paragraph" w:styleId="Heading6">
    <w:name w:val="heading 6"/>
    <w:basedOn w:val="Normal"/>
    <w:next w:val="Normal"/>
    <w:link w:val="Heading6Char"/>
    <w:uiPriority w:val="9"/>
    <w:unhideWhenUsed/>
    <w:rsid w:val="0062213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213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213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213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213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213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Ref,de nota al pie,Appel note de bas de page,number,Footnote text,Footnote symbol,SUPERS"/>
    <w:link w:val="Char2"/>
    <w:qFormat/>
    <w:rsid w:val="00622130"/>
    <w:rPr>
      <w:szCs w:val="18"/>
      <w:vertAlign w:val="superscript"/>
    </w:rPr>
  </w:style>
  <w:style w:type="paragraph" w:customStyle="1" w:styleId="HMGA">
    <w:name w:val="_ H __M_GA"/>
    <w:basedOn w:val="Normal"/>
    <w:next w:val="SingleTxtGA"/>
    <w:qFormat/>
    <w:rsid w:val="0062213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213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213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213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213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213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213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213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213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213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213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213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213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2130"/>
    <w:pPr>
      <w:numPr>
        <w:numId w:val="5"/>
      </w:numPr>
      <w:bidi w:val="0"/>
    </w:pPr>
    <w:rPr>
      <w:lang w:val="en-US"/>
    </w:rPr>
  </w:style>
  <w:style w:type="paragraph" w:customStyle="1" w:styleId="Roman1GA">
    <w:name w:val="_Roman 1_GA"/>
    <w:basedOn w:val="Bullet1GA"/>
    <w:qFormat/>
    <w:rsid w:val="00622130"/>
    <w:pPr>
      <w:numPr>
        <w:numId w:val="6"/>
      </w:numPr>
      <w:tabs>
        <w:tab w:val="clear" w:pos="2310"/>
        <w:tab w:val="left" w:pos="2486"/>
      </w:tabs>
      <w:ind w:left="2486" w:hanging="378"/>
    </w:pPr>
  </w:style>
  <w:style w:type="paragraph" w:customStyle="1" w:styleId="Roman2GA">
    <w:name w:val="_Roman 2_GA"/>
    <w:basedOn w:val="Bullet2GA"/>
    <w:qFormat/>
    <w:rsid w:val="0062213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62213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622130"/>
    <w:rPr>
      <w:rFonts w:ascii="Times New Roman" w:eastAsia="PMingLiU" w:hAnsi="Times New Roman" w:cs="Simplified Arabic"/>
      <w:sz w:val="18"/>
      <w:szCs w:val="20"/>
      <w:lang w:val="en-GB"/>
    </w:rPr>
  </w:style>
  <w:style w:type="character" w:customStyle="1" w:styleId="EndtnoteReference">
    <w:name w:val="Endtnote Reference"/>
    <w:aliases w:val="1_GA"/>
    <w:qFormat/>
    <w:rsid w:val="0062213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2130"/>
    <w:pPr>
      <w:suppressAutoHyphens/>
      <w:bidi w:val="0"/>
      <w:spacing w:line="240" w:lineRule="auto"/>
    </w:pPr>
    <w:rPr>
      <w:sz w:val="16"/>
      <w:lang w:val="en-GB"/>
    </w:rPr>
  </w:style>
  <w:style w:type="character" w:customStyle="1" w:styleId="FooterChar">
    <w:name w:val="Footer Char"/>
    <w:aliases w:val="3_GA Char,3_G Char"/>
    <w:link w:val="Footer"/>
    <w:rsid w:val="00622130"/>
    <w:rPr>
      <w:rFonts w:ascii="Times New Roman" w:eastAsia="PMingLiU" w:hAnsi="Times New Roman" w:cs="Simplified Arabic"/>
      <w:sz w:val="16"/>
      <w:lang w:val="en-GB"/>
    </w:rPr>
  </w:style>
  <w:style w:type="paragraph" w:customStyle="1" w:styleId="FootnoteText1">
    <w:name w:val="Footnote Text1"/>
    <w:aliases w:val="5_GA"/>
    <w:basedOn w:val="Normal"/>
    <w:qFormat/>
    <w:rsid w:val="0062213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213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213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622130"/>
    <w:rPr>
      <w:rFonts w:ascii="Times New Roman" w:eastAsia="PMingLiU" w:hAnsi="Times New Roman" w:cs="Simplified Arabic"/>
      <w:lang w:val="en-GB"/>
    </w:rPr>
  </w:style>
  <w:style w:type="character" w:styleId="PageNumber">
    <w:name w:val="page number"/>
    <w:aliases w:val="7_GA,7_G"/>
    <w:qFormat/>
    <w:rsid w:val="00622130"/>
    <w:rPr>
      <w:rFonts w:ascii="Times New Roman Bold" w:hAnsi="Times New Roman Bold"/>
      <w:b/>
      <w:i w:val="0"/>
      <w:sz w:val="18"/>
      <w:szCs w:val="18"/>
    </w:rPr>
  </w:style>
  <w:style w:type="paragraph" w:customStyle="1" w:styleId="XXLargeGA">
    <w:name w:val="XXLarge_GA"/>
    <w:basedOn w:val="Normal"/>
    <w:next w:val="SingleTxtGA"/>
    <w:qFormat/>
    <w:rsid w:val="0062213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2130"/>
    <w:rPr>
      <w:rFonts w:ascii="Times New Roman" w:eastAsia="PMingLiU" w:hAnsi="Times New Roman" w:cs="Simplified Arabic"/>
      <w:b/>
      <w:bCs/>
      <w:color w:val="4F81BD"/>
      <w:sz w:val="26"/>
      <w:szCs w:val="26"/>
    </w:rPr>
  </w:style>
  <w:style w:type="character" w:styleId="BookTitle">
    <w:name w:val="Book Title"/>
    <w:uiPriority w:val="33"/>
    <w:rsid w:val="00622130"/>
    <w:rPr>
      <w:b/>
      <w:bCs/>
      <w:smallCaps/>
      <w:spacing w:val="5"/>
    </w:rPr>
  </w:style>
  <w:style w:type="character" w:customStyle="1" w:styleId="Heading3Char">
    <w:name w:val="Heading 3 Char"/>
    <w:link w:val="Heading3"/>
    <w:uiPriority w:val="9"/>
    <w:rsid w:val="00622130"/>
    <w:rPr>
      <w:rFonts w:ascii="Times New Roman" w:eastAsia="PMingLiU" w:hAnsi="Times New Roman" w:cs="Simplified Arabic"/>
      <w:b/>
      <w:bCs/>
      <w:color w:val="4F81BD"/>
      <w:sz w:val="20"/>
    </w:rPr>
  </w:style>
  <w:style w:type="character" w:customStyle="1" w:styleId="Heading4Char">
    <w:name w:val="Heading 4 Char"/>
    <w:link w:val="Heading4"/>
    <w:uiPriority w:val="9"/>
    <w:rsid w:val="0062213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622130"/>
    <w:rPr>
      <w:rFonts w:ascii="Times New Roman" w:eastAsia="PMingLiU" w:hAnsi="Times New Roman" w:cs="Simplified Arabic"/>
      <w:color w:val="243F60"/>
      <w:sz w:val="20"/>
    </w:rPr>
  </w:style>
  <w:style w:type="character" w:customStyle="1" w:styleId="Heading6Char">
    <w:name w:val="Heading 6 Char"/>
    <w:link w:val="Heading6"/>
    <w:uiPriority w:val="9"/>
    <w:rsid w:val="00622130"/>
    <w:rPr>
      <w:rFonts w:ascii="Times New Roman" w:eastAsia="PMingLiU" w:hAnsi="Times New Roman" w:cs="Simplified Arabic"/>
      <w:i/>
      <w:iCs/>
      <w:color w:val="243F60"/>
      <w:sz w:val="20"/>
    </w:rPr>
  </w:style>
  <w:style w:type="character" w:customStyle="1" w:styleId="Heading7Char">
    <w:name w:val="Heading 7 Char"/>
    <w:link w:val="Heading7"/>
    <w:uiPriority w:val="9"/>
    <w:rsid w:val="00622130"/>
    <w:rPr>
      <w:rFonts w:ascii="Times New Roman" w:eastAsia="PMingLiU" w:hAnsi="Times New Roman" w:cs="Simplified Arabic"/>
      <w:i/>
      <w:iCs/>
      <w:color w:val="404040"/>
      <w:sz w:val="20"/>
    </w:rPr>
  </w:style>
  <w:style w:type="character" w:customStyle="1" w:styleId="Heading8Char">
    <w:name w:val="Heading 8 Char"/>
    <w:link w:val="Heading8"/>
    <w:uiPriority w:val="9"/>
    <w:rsid w:val="00622130"/>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62213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62213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213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622130"/>
    <w:pPr>
      <w:numPr>
        <w:ilvl w:val="1"/>
      </w:numPr>
    </w:pPr>
    <w:rPr>
      <w:i/>
      <w:iCs/>
      <w:color w:val="4F81BD"/>
      <w:spacing w:val="15"/>
      <w:sz w:val="24"/>
      <w:szCs w:val="24"/>
    </w:rPr>
  </w:style>
  <w:style w:type="character" w:customStyle="1" w:styleId="SubtitleChar">
    <w:name w:val="Subtitle Char"/>
    <w:link w:val="Subtitle"/>
    <w:uiPriority w:val="11"/>
    <w:rsid w:val="00622130"/>
    <w:rPr>
      <w:rFonts w:ascii="Times New Roman" w:eastAsia="PMingLiU" w:hAnsi="Times New Roman" w:cs="Simplified Arabic"/>
      <w:i/>
      <w:iCs/>
      <w:color w:val="4F81BD"/>
      <w:spacing w:val="15"/>
      <w:sz w:val="24"/>
      <w:szCs w:val="24"/>
    </w:rPr>
  </w:style>
  <w:style w:type="character" w:styleId="SubtleEmphasis">
    <w:name w:val="Subtle Emphasis"/>
    <w:uiPriority w:val="19"/>
    <w:rsid w:val="00622130"/>
    <w:rPr>
      <w:i/>
      <w:iCs/>
      <w:color w:val="808080"/>
    </w:rPr>
  </w:style>
  <w:style w:type="table" w:styleId="ColorfulGrid-Accent6">
    <w:name w:val="Colorful Grid Accent 6"/>
    <w:basedOn w:val="TableNormal"/>
    <w:uiPriority w:val="73"/>
    <w:rsid w:val="0062213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2130"/>
    <w:rPr>
      <w:i/>
      <w:iCs/>
    </w:rPr>
  </w:style>
  <w:style w:type="character" w:styleId="IntenseEmphasis">
    <w:name w:val="Intense Emphasis"/>
    <w:uiPriority w:val="21"/>
    <w:rsid w:val="00622130"/>
    <w:rPr>
      <w:b/>
      <w:bCs/>
      <w:i/>
      <w:iCs/>
      <w:color w:val="4F81BD"/>
    </w:rPr>
  </w:style>
  <w:style w:type="character" w:styleId="Strong">
    <w:name w:val="Strong"/>
    <w:uiPriority w:val="22"/>
    <w:rsid w:val="00622130"/>
    <w:rPr>
      <w:b/>
      <w:bCs/>
    </w:rPr>
  </w:style>
  <w:style w:type="paragraph" w:styleId="Quote">
    <w:name w:val="Quote"/>
    <w:basedOn w:val="Normal"/>
    <w:next w:val="Normal"/>
    <w:link w:val="QuoteChar"/>
    <w:uiPriority w:val="29"/>
    <w:rsid w:val="00622130"/>
    <w:rPr>
      <w:i/>
      <w:iCs/>
      <w:color w:val="000000"/>
    </w:rPr>
  </w:style>
  <w:style w:type="character" w:customStyle="1" w:styleId="QuoteChar">
    <w:name w:val="Quote Char"/>
    <w:link w:val="Quote"/>
    <w:uiPriority w:val="29"/>
    <w:rsid w:val="0062213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62213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2130"/>
    <w:rPr>
      <w:rFonts w:ascii="Times New Roman" w:eastAsia="PMingLiU" w:hAnsi="Times New Roman" w:cs="Simplified Arabic"/>
      <w:b/>
      <w:bCs/>
      <w:i/>
      <w:iCs/>
      <w:color w:val="4F81BD"/>
      <w:sz w:val="20"/>
    </w:rPr>
  </w:style>
  <w:style w:type="character" w:styleId="SubtleReference">
    <w:name w:val="Subtle Reference"/>
    <w:uiPriority w:val="31"/>
    <w:rsid w:val="00622130"/>
    <w:rPr>
      <w:smallCaps/>
      <w:color w:val="C0504D"/>
      <w:u w:val="single"/>
    </w:rPr>
  </w:style>
  <w:style w:type="character" w:styleId="IntenseReference">
    <w:name w:val="Intense Reference"/>
    <w:uiPriority w:val="32"/>
    <w:rsid w:val="00622130"/>
    <w:rPr>
      <w:b/>
      <w:bCs/>
      <w:smallCaps/>
      <w:color w:val="C0504D"/>
      <w:spacing w:val="5"/>
      <w:u w:val="single"/>
    </w:rPr>
  </w:style>
  <w:style w:type="paragraph" w:styleId="ListParagraph">
    <w:name w:val="List Paragraph"/>
    <w:basedOn w:val="Normal"/>
    <w:uiPriority w:val="34"/>
    <w:rsid w:val="00622130"/>
    <w:pPr>
      <w:ind w:left="720"/>
      <w:contextualSpacing/>
    </w:pPr>
  </w:style>
  <w:style w:type="table" w:styleId="MediumShading1-Accent4">
    <w:name w:val="Medium Shading 1 Accent 4"/>
    <w:basedOn w:val="TableNormal"/>
    <w:uiPriority w:val="63"/>
    <w:rsid w:val="0062213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2130"/>
    <w:rPr>
      <w:rFonts w:eastAsia="MS Mincho"/>
      <w:sz w:val="18"/>
      <w:vertAlign w:val="superscript"/>
    </w:rPr>
  </w:style>
  <w:style w:type="table" w:styleId="TableGrid">
    <w:name w:val="Table Grid"/>
    <w:basedOn w:val="TableNormal"/>
    <w:rsid w:val="0062213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2130"/>
    <w:pPr>
      <w:spacing w:line="240" w:lineRule="auto"/>
    </w:pPr>
    <w:rPr>
      <w:sz w:val="16"/>
      <w:szCs w:val="16"/>
    </w:rPr>
  </w:style>
  <w:style w:type="character" w:customStyle="1" w:styleId="BalloonTextChar">
    <w:name w:val="Balloon Text Char"/>
    <w:link w:val="BalloonText"/>
    <w:uiPriority w:val="99"/>
    <w:semiHidden/>
    <w:rsid w:val="00622130"/>
    <w:rPr>
      <w:rFonts w:ascii="Times New Roman" w:eastAsia="PMingLiU" w:hAnsi="Times New Roman" w:cs="Simplified Arabic"/>
      <w:sz w:val="16"/>
      <w:szCs w:val="16"/>
    </w:rPr>
  </w:style>
  <w:style w:type="character" w:styleId="Hyperlink">
    <w:name w:val="Hyperlink"/>
    <w:uiPriority w:val="99"/>
    <w:unhideWhenUsed/>
    <w:rsid w:val="00622130"/>
    <w:rPr>
      <w:color w:val="0000FF"/>
      <w:u w:val="none"/>
    </w:rPr>
  </w:style>
  <w:style w:type="paragraph" w:styleId="TOC1">
    <w:name w:val="toc 1"/>
    <w:basedOn w:val="Normal"/>
    <w:link w:val="TOC1Char"/>
    <w:autoRedefine/>
    <w:uiPriority w:val="39"/>
    <w:unhideWhenUsed/>
    <w:rsid w:val="0062213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213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213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213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213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213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213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213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62213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213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622130"/>
    <w:rPr>
      <w:color w:val="605E5C"/>
      <w:shd w:val="clear" w:color="auto" w:fill="E1DFDD"/>
    </w:rPr>
  </w:style>
  <w:style w:type="character" w:customStyle="1" w:styleId="TOC1Char">
    <w:name w:val="TOC 1 Char"/>
    <w:basedOn w:val="DefaultParagraphFont"/>
    <w:link w:val="TOC1"/>
    <w:uiPriority w:val="39"/>
    <w:rsid w:val="0062213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62213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62213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62213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62213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622130"/>
    <w:rPr>
      <w:rFonts w:ascii="Times New Roman" w:eastAsia="PMingLiU" w:hAnsi="Times New Roman" w:cs="Simplified Arabic"/>
      <w:sz w:val="20"/>
      <w:szCs w:val="20"/>
      <w:lang w:val="en-GB"/>
    </w:rPr>
  </w:style>
  <w:style w:type="paragraph" w:customStyle="1" w:styleId="SessionDate">
    <w:name w:val="Session_Date"/>
    <w:basedOn w:val="Normal"/>
    <w:qFormat/>
    <w:rsid w:val="00622130"/>
    <w:pPr>
      <w:spacing w:before="240" w:after="240" w:line="460" w:lineRule="exact"/>
      <w:ind w:left="1247"/>
    </w:pPr>
    <w:rPr>
      <w:b/>
      <w:bCs/>
      <w:sz w:val="32"/>
      <w:szCs w:val="44"/>
    </w:rPr>
  </w:style>
  <w:style w:type="paragraph" w:customStyle="1" w:styleId="SessionNumber">
    <w:name w:val="Session_Number"/>
    <w:basedOn w:val="Normal"/>
    <w:qFormat/>
    <w:rsid w:val="00622130"/>
    <w:pPr>
      <w:spacing w:line="480" w:lineRule="exact"/>
      <w:ind w:left="1247"/>
    </w:pPr>
    <w:rPr>
      <w:b/>
      <w:bCs/>
      <w:sz w:val="28"/>
      <w:szCs w:val="38"/>
    </w:rPr>
  </w:style>
  <w:style w:type="paragraph" w:customStyle="1" w:styleId="CityandYear">
    <w:name w:val="City and Year"/>
    <w:basedOn w:val="SingleTxtGA"/>
    <w:qFormat/>
    <w:rsid w:val="00622130"/>
    <w:pPr>
      <w:spacing w:line="480" w:lineRule="exact"/>
    </w:pPr>
    <w:rPr>
      <w:b/>
      <w:bCs/>
      <w:sz w:val="30"/>
      <w:szCs w:val="38"/>
      <w:lang w:eastAsia="ar-SA"/>
    </w:rPr>
  </w:style>
  <w:style w:type="paragraph" w:customStyle="1" w:styleId="NormalA">
    <w:name w:val="Normal_A"/>
    <w:basedOn w:val="Normal"/>
    <w:qFormat/>
    <w:rsid w:val="00622130"/>
  </w:style>
  <w:style w:type="paragraph" w:customStyle="1" w:styleId="H1G">
    <w:name w:val="_ H_1_G"/>
    <w:basedOn w:val="Normal"/>
    <w:next w:val="Normal"/>
    <w:qFormat/>
    <w:rsid w:val="0062213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213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213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213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213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213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2130"/>
    <w:rPr>
      <w:sz w:val="44"/>
      <w:szCs w:val="44"/>
      <w:lang w:val="en-US" w:bidi="ar-DZ"/>
    </w:rPr>
  </w:style>
  <w:style w:type="paragraph" w:customStyle="1" w:styleId="FootnoteGA0">
    <w:name w:val="Footnote_GA"/>
    <w:basedOn w:val="Normal"/>
    <w:qFormat/>
    <w:rsid w:val="0062213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213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2130"/>
    <w:pPr>
      <w:spacing w:line="440" w:lineRule="exact"/>
    </w:pPr>
    <w:rPr>
      <w:spacing w:val="-2"/>
      <w:sz w:val="28"/>
      <w:szCs w:val="36"/>
    </w:rPr>
  </w:style>
  <w:style w:type="character" w:styleId="CommentReference">
    <w:name w:val="annotation reference"/>
    <w:uiPriority w:val="99"/>
    <w:semiHidden/>
    <w:rsid w:val="00622130"/>
    <w:rPr>
      <w:sz w:val="6"/>
      <w:szCs w:val="9"/>
    </w:rPr>
  </w:style>
  <w:style w:type="paragraph" w:customStyle="1" w:styleId="HM">
    <w:name w:val="_ H __M"/>
    <w:basedOn w:val="HCh"/>
    <w:next w:val="Normal"/>
    <w:qFormat/>
    <w:rsid w:val="00622130"/>
    <w:pPr>
      <w:suppressAutoHyphens/>
      <w:spacing w:line="520" w:lineRule="exact"/>
    </w:pPr>
    <w:rPr>
      <w:spacing w:val="-3"/>
      <w:sz w:val="34"/>
      <w:szCs w:val="48"/>
    </w:rPr>
  </w:style>
  <w:style w:type="paragraph" w:customStyle="1" w:styleId="SingleTxt">
    <w:name w:val="__Single Txt"/>
    <w:basedOn w:val="Normal"/>
    <w:qFormat/>
    <w:rsid w:val="0062213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2130"/>
    <w:pPr>
      <w:suppressAutoHyphens/>
      <w:spacing w:line="360" w:lineRule="exact"/>
      <w:outlineLvl w:val="1"/>
    </w:pPr>
    <w:rPr>
      <w:spacing w:val="2"/>
      <w:sz w:val="20"/>
      <w:szCs w:val="28"/>
    </w:rPr>
  </w:style>
  <w:style w:type="paragraph" w:customStyle="1" w:styleId="H4">
    <w:name w:val="_ H_4"/>
    <w:basedOn w:val="Normal"/>
    <w:next w:val="Normal"/>
    <w:qFormat/>
    <w:rsid w:val="00622130"/>
    <w:pPr>
      <w:keepNext/>
      <w:keepLines/>
      <w:spacing w:after="120" w:line="360" w:lineRule="exact"/>
      <w:outlineLvl w:val="3"/>
    </w:pPr>
    <w:rPr>
      <w:i/>
      <w:iCs/>
      <w:kern w:val="14"/>
      <w:szCs w:val="28"/>
    </w:rPr>
  </w:style>
  <w:style w:type="paragraph" w:customStyle="1" w:styleId="H56">
    <w:name w:val="_ H_5/6"/>
    <w:basedOn w:val="Normal"/>
    <w:next w:val="Normal"/>
    <w:qFormat/>
    <w:rsid w:val="00622130"/>
    <w:pPr>
      <w:keepNext/>
      <w:keepLines/>
      <w:spacing w:after="120" w:line="360" w:lineRule="exact"/>
      <w:outlineLvl w:val="4"/>
    </w:pPr>
    <w:rPr>
      <w:kern w:val="14"/>
      <w:szCs w:val="28"/>
    </w:rPr>
  </w:style>
  <w:style w:type="paragraph" w:customStyle="1" w:styleId="DualTxt">
    <w:name w:val="__Dual Txt"/>
    <w:basedOn w:val="Normal"/>
    <w:qFormat/>
    <w:rsid w:val="0062213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213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213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2130"/>
    <w:pPr>
      <w:spacing w:after="120" w:line="440" w:lineRule="exact"/>
      <w:jc w:val="center"/>
    </w:pPr>
    <w:rPr>
      <w:b/>
      <w:bCs/>
      <w:sz w:val="25"/>
      <w:szCs w:val="38"/>
    </w:rPr>
  </w:style>
  <w:style w:type="paragraph" w:customStyle="1" w:styleId="JH1">
    <w:name w:val="J_H_1"/>
    <w:basedOn w:val="JCH"/>
    <w:qFormat/>
    <w:rsid w:val="00622130"/>
    <w:pPr>
      <w:spacing w:line="420" w:lineRule="exact"/>
    </w:pPr>
    <w:rPr>
      <w:sz w:val="23"/>
      <w:szCs w:val="34"/>
    </w:rPr>
  </w:style>
  <w:style w:type="paragraph" w:customStyle="1" w:styleId="JH2">
    <w:name w:val="J_H_2"/>
    <w:basedOn w:val="JH1"/>
    <w:qFormat/>
    <w:rsid w:val="00622130"/>
    <w:pPr>
      <w:spacing w:line="400" w:lineRule="exact"/>
    </w:pPr>
    <w:rPr>
      <w:sz w:val="20"/>
      <w:szCs w:val="30"/>
    </w:rPr>
  </w:style>
  <w:style w:type="paragraph" w:customStyle="1" w:styleId="JSmall">
    <w:name w:val="J_Small"/>
    <w:basedOn w:val="JSingleTxt"/>
    <w:next w:val="JSingleTxt"/>
    <w:qFormat/>
    <w:rsid w:val="0062213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2130"/>
    <w:pPr>
      <w:tabs>
        <w:tab w:val="right" w:leader="dot" w:pos="360"/>
      </w:tabs>
      <w:spacing w:line="310" w:lineRule="exact"/>
      <w:jc w:val="right"/>
    </w:pPr>
    <w:rPr>
      <w:spacing w:val="5"/>
      <w:w w:val="104"/>
      <w:kern w:val="14"/>
      <w:sz w:val="17"/>
      <w:szCs w:val="25"/>
    </w:rPr>
  </w:style>
  <w:style w:type="character" w:styleId="LineNumber">
    <w:name w:val="line number"/>
    <w:qFormat/>
    <w:rsid w:val="00622130"/>
    <w:rPr>
      <w:sz w:val="14"/>
      <w:szCs w:val="16"/>
    </w:rPr>
  </w:style>
  <w:style w:type="paragraph" w:customStyle="1" w:styleId="SmallX">
    <w:name w:val="SmallX"/>
    <w:basedOn w:val="Small"/>
    <w:next w:val="Normal"/>
    <w:qFormat/>
    <w:rsid w:val="00622130"/>
    <w:pPr>
      <w:spacing w:line="240" w:lineRule="exact"/>
    </w:pPr>
    <w:rPr>
      <w:spacing w:val="6"/>
      <w:w w:val="106"/>
      <w:sz w:val="14"/>
      <w:szCs w:val="21"/>
    </w:rPr>
  </w:style>
  <w:style w:type="paragraph" w:customStyle="1" w:styleId="XLarge">
    <w:name w:val="XLarge"/>
    <w:basedOn w:val="HM"/>
    <w:qFormat/>
    <w:rsid w:val="00622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2130"/>
    <w:pPr>
      <w:spacing w:line="820" w:lineRule="exact"/>
    </w:pPr>
    <w:rPr>
      <w:spacing w:val="-8"/>
      <w:w w:val="96"/>
      <w:sz w:val="57"/>
      <w:szCs w:val="86"/>
    </w:rPr>
  </w:style>
  <w:style w:type="paragraph" w:customStyle="1" w:styleId="Distribution">
    <w:name w:val="Distribu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213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622130"/>
    <w:pPr>
      <w:tabs>
        <w:tab w:val="left" w:pos="662"/>
        <w:tab w:val="left" w:pos="1267"/>
        <w:tab w:val="left" w:pos="1987"/>
        <w:tab w:val="left" w:pos="2650"/>
      </w:tabs>
      <w:spacing w:after="0"/>
      <w:ind w:left="662" w:hanging="662"/>
    </w:pPr>
  </w:style>
  <w:style w:type="paragraph" w:customStyle="1" w:styleId="Committee">
    <w:name w:val="Committee"/>
    <w:basedOn w:val="H1"/>
    <w:qFormat/>
    <w:rsid w:val="00622130"/>
    <w:pPr>
      <w:tabs>
        <w:tab w:val="left" w:pos="662"/>
        <w:tab w:val="left" w:pos="1267"/>
        <w:tab w:val="left" w:pos="1987"/>
        <w:tab w:val="left" w:pos="2650"/>
      </w:tabs>
      <w:ind w:right="1264"/>
    </w:pPr>
  </w:style>
  <w:style w:type="paragraph" w:customStyle="1" w:styleId="AgendaItemNormal">
    <w:name w:val="Agenda_Item_Normal"/>
    <w:next w:val="Normal"/>
    <w:qFormat/>
    <w:rsid w:val="0062213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62213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213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213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2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2130"/>
    <w:rPr>
      <w:i w:val="0"/>
      <w:color w:val="0000FF"/>
      <w:u w:val="none"/>
    </w:rPr>
  </w:style>
  <w:style w:type="paragraph" w:customStyle="1" w:styleId="Bullet1">
    <w:name w:val="Bullet 1"/>
    <w:basedOn w:val="Normal"/>
    <w:qFormat/>
    <w:rsid w:val="0062213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2130"/>
    <w:pPr>
      <w:numPr>
        <w:numId w:val="14"/>
      </w:numPr>
      <w:spacing w:after="120" w:line="360" w:lineRule="exact"/>
      <w:ind w:right="1264"/>
    </w:pPr>
    <w:rPr>
      <w:kern w:val="14"/>
      <w:szCs w:val="28"/>
    </w:rPr>
  </w:style>
  <w:style w:type="paragraph" w:customStyle="1" w:styleId="Bullet3">
    <w:name w:val="Bullet 3"/>
    <w:basedOn w:val="SingleTxt"/>
    <w:qFormat/>
    <w:rsid w:val="0062213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2130"/>
    <w:pPr>
      <w:ind w:right="5760"/>
      <w:outlineLvl w:val="1"/>
    </w:pPr>
    <w:rPr>
      <w:spacing w:val="2"/>
      <w:sz w:val="20"/>
      <w:szCs w:val="28"/>
    </w:rPr>
  </w:style>
  <w:style w:type="paragraph" w:customStyle="1" w:styleId="STitleM">
    <w:name w:val="S_Title_M"/>
    <w:basedOn w:val="Normal"/>
    <w:next w:val="Normal"/>
    <w:qFormat/>
    <w:rsid w:val="0062213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2130"/>
    <w:pPr>
      <w:spacing w:line="600" w:lineRule="exact"/>
      <w:ind w:left="1267" w:right="1267"/>
    </w:pPr>
    <w:rPr>
      <w:w w:val="103"/>
      <w:sz w:val="60"/>
      <w:szCs w:val="60"/>
    </w:rPr>
  </w:style>
  <w:style w:type="paragraph" w:customStyle="1" w:styleId="STitleL">
    <w:name w:val="S_Title_L"/>
    <w:basedOn w:val="XLarge"/>
    <w:next w:val="Normal"/>
    <w:qFormat/>
    <w:rsid w:val="00622130"/>
    <w:rPr>
      <w:spacing w:val="-8"/>
      <w:w w:val="96"/>
      <w:sz w:val="57"/>
    </w:rPr>
  </w:style>
  <w:style w:type="paragraph" w:styleId="CommentText">
    <w:name w:val="annotation text"/>
    <w:basedOn w:val="Normal"/>
    <w:link w:val="CommentTextChar"/>
    <w:uiPriority w:val="99"/>
    <w:semiHidden/>
    <w:unhideWhenUsed/>
    <w:rsid w:val="00622130"/>
    <w:pPr>
      <w:spacing w:line="240" w:lineRule="auto"/>
    </w:pPr>
    <w:rPr>
      <w:kern w:val="14"/>
    </w:rPr>
  </w:style>
  <w:style w:type="character" w:customStyle="1" w:styleId="CommentTextChar">
    <w:name w:val="Comment Text Char"/>
    <w:basedOn w:val="DefaultParagraphFont"/>
    <w:link w:val="CommentText"/>
    <w:uiPriority w:val="99"/>
    <w:semiHidden/>
    <w:rsid w:val="0062213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622130"/>
    <w:rPr>
      <w:b/>
      <w:bCs/>
    </w:rPr>
  </w:style>
  <w:style w:type="character" w:customStyle="1" w:styleId="CommentSubjectChar">
    <w:name w:val="Comment Subject Char"/>
    <w:basedOn w:val="CommentTextChar"/>
    <w:link w:val="CommentSubject"/>
    <w:uiPriority w:val="99"/>
    <w:semiHidden/>
    <w:rsid w:val="00622130"/>
    <w:rPr>
      <w:rFonts w:ascii="Times New Roman" w:eastAsia="PMingLiU" w:hAnsi="Times New Roman" w:cs="Simplified Arabic"/>
      <w:b/>
      <w:bCs/>
      <w:kern w:val="14"/>
      <w:sz w:val="20"/>
    </w:rPr>
  </w:style>
  <w:style w:type="paragraph" w:customStyle="1" w:styleId="Bullet1G">
    <w:name w:val="_Bullet 1_G"/>
    <w:basedOn w:val="Normal"/>
    <w:qFormat/>
    <w:rsid w:val="00622130"/>
    <w:pPr>
      <w:numPr>
        <w:numId w:val="16"/>
      </w:numPr>
      <w:bidi w:val="0"/>
      <w:spacing w:after="120"/>
      <w:ind w:right="1134"/>
      <w:jc w:val="both"/>
    </w:pPr>
    <w:rPr>
      <w:sz w:val="22"/>
    </w:rPr>
  </w:style>
  <w:style w:type="character" w:customStyle="1" w:styleId="SingleTxtGChar">
    <w:name w:val="_ Single Txt_G Char"/>
    <w:link w:val="SingleTxtG"/>
    <w:rsid w:val="00622130"/>
    <w:rPr>
      <w:rFonts w:ascii="Times New Roman" w:eastAsia="PMingLiU" w:hAnsi="Times New Roman" w:cs="Simplified Arabic"/>
      <w:sz w:val="20"/>
      <w:szCs w:val="20"/>
      <w:lang w:val="en-GB"/>
    </w:rPr>
  </w:style>
  <w:style w:type="paragraph" w:customStyle="1" w:styleId="Preparedby">
    <w:name w:val="Prepared by:"/>
    <w:basedOn w:val="H23GA"/>
    <w:qFormat/>
    <w:rsid w:val="00622130"/>
    <w:rPr>
      <w:sz w:val="32"/>
      <w:szCs w:val="32"/>
    </w:rPr>
  </w:style>
  <w:style w:type="paragraph" w:customStyle="1" w:styleId="ParaNoG">
    <w:name w:val="_ParaNo._G"/>
    <w:basedOn w:val="SingleTxtG"/>
    <w:rsid w:val="0062213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213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213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213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2130"/>
    <w:pPr>
      <w:spacing w:after="0" w:line="240" w:lineRule="auto"/>
    </w:pPr>
    <w:rPr>
      <w:rFonts w:eastAsiaTheme="minorEastAsia"/>
      <w:sz w:val="24"/>
      <w:szCs w:val="24"/>
      <w:lang w:val="fr-FR" w:eastAsia="fr-FR"/>
    </w:rPr>
  </w:style>
  <w:style w:type="paragraph" w:customStyle="1" w:styleId="Default">
    <w:name w:val="Default"/>
    <w:semiHidden/>
    <w:rsid w:val="0062213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2130"/>
  </w:style>
  <w:style w:type="character" w:customStyle="1" w:styleId="preferred">
    <w:name w:val="preferred"/>
    <w:basedOn w:val="DefaultParagraphFont"/>
    <w:rsid w:val="00622130"/>
  </w:style>
  <w:style w:type="character" w:customStyle="1" w:styleId="admitted">
    <w:name w:val="admitted"/>
    <w:basedOn w:val="DefaultParagraphFont"/>
    <w:rsid w:val="00622130"/>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622130"/>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C/7" TargetMode="External"/><Relationship Id="rId13" Type="http://schemas.openxmlformats.org/officeDocument/2006/relationships/hyperlink" Target="https://undocs.org/ar/CAT/C/NER/CO/1" TargetMode="External"/><Relationship Id="rId3" Type="http://schemas.openxmlformats.org/officeDocument/2006/relationships/hyperlink" Target="https://undocs.org/ar/CED/C/SR.386" TargetMode="External"/><Relationship Id="rId7" Type="http://schemas.openxmlformats.org/officeDocument/2006/relationships/hyperlink" Target="https://undocs.org/ar/A/70/56" TargetMode="External"/><Relationship Id="rId12" Type="http://schemas.openxmlformats.org/officeDocument/2006/relationships/hyperlink" Target="https://undocs.org/ar/CAT/OP/NER/1" TargetMode="External"/><Relationship Id="rId17" Type="http://schemas.openxmlformats.org/officeDocument/2006/relationships/hyperlink" Target="https://undocs.org/ar/CED/C/2" TargetMode="External"/><Relationship Id="rId2" Type="http://schemas.openxmlformats.org/officeDocument/2006/relationships/hyperlink" Target="https://undocs.org/ar/CED/C/SR.385" TargetMode="External"/><Relationship Id="rId16" Type="http://schemas.openxmlformats.org/officeDocument/2006/relationships/hyperlink" Target="https://undocs.org/ar/CCPR/C/NER/CO/2" TargetMode="External"/><Relationship Id="rId1" Type="http://schemas.openxmlformats.org/officeDocument/2006/relationships/hyperlink" Target="https://undocs.org/ar/CED/C/NER/1" TargetMode="External"/><Relationship Id="rId6" Type="http://schemas.openxmlformats.org/officeDocument/2006/relationships/hyperlink" Target="https://undocs.org/ar/CED/C/NER/RQ/1" TargetMode="External"/><Relationship Id="rId11" Type="http://schemas.openxmlformats.org/officeDocument/2006/relationships/hyperlink" Target="https://undocs.org/ar/CAT/C/NER/CO/1" TargetMode="External"/><Relationship Id="rId5" Type="http://schemas.openxmlformats.org/officeDocument/2006/relationships/hyperlink" Target="https://undocs.org/ar/CED/C/NER/Q/1" TargetMode="External"/><Relationship Id="rId15" Type="http://schemas.openxmlformats.org/officeDocument/2006/relationships/hyperlink" Target="https://undocs.org/ar/CEDAW/C/NER/CO/3-4" TargetMode="External"/><Relationship Id="rId10" Type="http://schemas.openxmlformats.org/officeDocument/2006/relationships/hyperlink" Target="https://undocs.org/ar/CED/C/NER/RQ/1" TargetMode="External"/><Relationship Id="rId4" Type="http://schemas.openxmlformats.org/officeDocument/2006/relationships/hyperlink" Target="https://undocs.org/ar/CED/C/NER/RQ/1" TargetMode="External"/><Relationship Id="rId9" Type="http://schemas.openxmlformats.org/officeDocument/2006/relationships/hyperlink" Target="https://undocs.org/ar/CAT/C/NER/CO/1" TargetMode="External"/><Relationship Id="rId14" Type="http://schemas.openxmlformats.org/officeDocument/2006/relationships/hyperlink" Target="https://undocs.org/ar/CAT/OP/NE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2330</Words>
  <Characters>17294</Characters>
  <Application>Microsoft Office Word</Application>
  <DocSecurity>0</DocSecurity>
  <Lines>1729</Lines>
  <Paragraphs>1090</Paragraphs>
  <ScaleCrop>false</ScaleCrop>
  <HeadingPairs>
    <vt:vector size="2" baseType="variant">
      <vt:variant>
        <vt:lpstr>Title</vt:lpstr>
      </vt:variant>
      <vt:variant>
        <vt:i4>1</vt:i4>
      </vt:variant>
    </vt:vector>
  </HeadingPairs>
  <TitlesOfParts>
    <vt:vector size="1" baseType="lpstr">
      <vt:lpstr>CED/C/NER/CO/1</vt:lpstr>
    </vt:vector>
  </TitlesOfParts>
  <Company>DCM</Company>
  <LinksUpToDate>false</LinksUpToDate>
  <CharactersWithSpaces>18534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CED/C/NER/CO/1</dc:title>
  <dc:subject>GE.2206696(A)</dc:subject>
  <dc:creator>Gamal MAHMOUD - ABEL10</dc:creator>
  <cp:keywords>GE.2233560(A)</cp:keywords>
  <dc:description>Distr.: General_x000d_
5 May 2022_x000d_
Original: French</dc:description>
  <cp:lastModifiedBy>Gamal Mohamed Abdelhamid Mahmoud</cp:lastModifiedBy>
  <cp:revision>2</cp:revision>
  <dcterms:created xsi:type="dcterms:W3CDTF">2022-06-07T12:35:00Z</dcterms:created>
  <dcterms:modified xsi:type="dcterms:W3CDTF">2022-06-07T12:35:00Z</dcterms:modified>
</cp:coreProperties>
</file>