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7F4F4E" w:rsidRDefault="007F4F4E" w:rsidP="00EB00E9">
            <w:pPr>
              <w:bidi w:val="0"/>
              <w:spacing w:after="20"/>
              <w:jc w:val="left"/>
              <w:rPr>
                <w:sz w:val="40"/>
                <w:szCs w:val="20"/>
              </w:rPr>
            </w:pPr>
            <w:r w:rsidRPr="007F4F4E">
              <w:rPr>
                <w:sz w:val="40"/>
                <w:szCs w:val="20"/>
              </w:rPr>
              <w:t>CED</w:t>
            </w:r>
            <w:r w:rsidRPr="007F4F4E">
              <w:t>/C/SR.79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827BA1" w:rsidP="000D03B7">
            <w:pPr>
              <w:spacing w:before="60" w:line="640" w:lineRule="exact"/>
              <w:jc w:val="left"/>
              <w:rPr>
                <w:rFonts w:hint="cs"/>
                <w:szCs w:val="60"/>
                <w:rtl/>
              </w:rPr>
            </w:pPr>
            <w:r>
              <w:rPr>
                <w:rFonts w:hint="cs"/>
                <w:b/>
                <w:bCs/>
                <w:sz w:val="52"/>
                <w:szCs w:val="52"/>
                <w:rtl/>
              </w:rPr>
              <w:t>الاتفاقية الدوليـة لحماي</w:t>
            </w:r>
            <w:r w:rsidRPr="003B303E">
              <w:rPr>
                <w:rFonts w:hint="cs"/>
                <w:b/>
                <w:bCs/>
                <w:sz w:val="52"/>
                <w:szCs w:val="52"/>
                <w:rtl/>
              </w:rPr>
              <w:t xml:space="preserve">ة جميع </w:t>
            </w:r>
            <w:r w:rsidRPr="000656AC">
              <w:rPr>
                <w:rFonts w:hint="cs"/>
                <w:b/>
                <w:bCs/>
                <w:sz w:val="50"/>
                <w:szCs w:val="50"/>
                <w:rtl/>
              </w:rPr>
              <w:t>الأشخاص من الاختفاء القسري</w:t>
            </w:r>
          </w:p>
        </w:tc>
        <w:tc>
          <w:tcPr>
            <w:tcW w:w="3612" w:type="dxa"/>
            <w:tcBorders>
              <w:top w:val="single" w:sz="4" w:space="0" w:color="auto"/>
              <w:bottom w:val="single" w:sz="12" w:space="0" w:color="auto"/>
            </w:tcBorders>
          </w:tcPr>
          <w:p w:rsidR="00364831" w:rsidRDefault="00364831" w:rsidP="005E349F">
            <w:pPr>
              <w:bidi w:val="0"/>
              <w:spacing w:before="240" w:line="240" w:lineRule="exact"/>
            </w:pPr>
            <w:r>
              <w:t xml:space="preserve">Distr.: </w:t>
            </w:r>
            <w:r w:rsidR="005E349F">
              <w:t>General</w:t>
            </w:r>
          </w:p>
          <w:p w:rsidR="005E349F" w:rsidRDefault="000156F1" w:rsidP="00364831">
            <w:pPr>
              <w:bidi w:val="0"/>
              <w:jc w:val="left"/>
            </w:pPr>
            <w:r>
              <w:t>7 April 2014</w:t>
            </w:r>
          </w:p>
          <w:p w:rsidR="000E0996" w:rsidRDefault="000E0996" w:rsidP="000E0996">
            <w:pPr>
              <w:bidi w:val="0"/>
              <w:jc w:val="left"/>
            </w:pPr>
            <w:r>
              <w:t>Arabic</w:t>
            </w:r>
          </w:p>
          <w:p w:rsidR="00257225" w:rsidRPr="008B4BC6" w:rsidRDefault="00364831" w:rsidP="005E349F">
            <w:pPr>
              <w:bidi w:val="0"/>
              <w:jc w:val="left"/>
            </w:pPr>
            <w:r>
              <w:t>Original:</w:t>
            </w:r>
            <w:r w:rsidR="00B7349E">
              <w:t xml:space="preserve"> English</w:t>
            </w:r>
            <w:r>
              <w:t xml:space="preserve"> </w:t>
            </w:r>
          </w:p>
        </w:tc>
      </w:tr>
    </w:tbl>
    <w:p w:rsidR="005E349F" w:rsidRDefault="005E349F" w:rsidP="00AF0809">
      <w:pPr>
        <w:spacing w:before="120" w:line="380" w:lineRule="exact"/>
        <w:jc w:val="left"/>
        <w:rPr>
          <w:rFonts w:hint="cs"/>
          <w:b/>
          <w:bCs/>
          <w:sz w:val="36"/>
          <w:szCs w:val="36"/>
          <w:rtl/>
          <w:lang w:val="fr-CH"/>
        </w:rPr>
      </w:pPr>
      <w:r w:rsidRPr="003E1417">
        <w:rPr>
          <w:b/>
          <w:bCs/>
          <w:sz w:val="36"/>
          <w:szCs w:val="36"/>
          <w:rtl/>
          <w:lang w:val="fr-CH"/>
        </w:rPr>
        <w:t xml:space="preserve">اللجنة المعنية </w:t>
      </w:r>
      <w:r w:rsidR="00AF0809">
        <w:rPr>
          <w:rFonts w:hint="cs"/>
          <w:b/>
          <w:bCs/>
          <w:sz w:val="36"/>
          <w:szCs w:val="36"/>
          <w:rtl/>
          <w:lang w:val="fr-CH"/>
        </w:rPr>
        <w:t>بحالات الاختفاء القسري</w:t>
      </w:r>
    </w:p>
    <w:p w:rsidR="00E440ED" w:rsidRPr="00E440ED" w:rsidRDefault="00E440ED" w:rsidP="00E440ED">
      <w:pPr>
        <w:spacing w:line="380" w:lineRule="exact"/>
        <w:rPr>
          <w:rFonts w:hint="cs"/>
          <w:b/>
          <w:bCs/>
          <w:rtl/>
        </w:rPr>
      </w:pPr>
      <w:r w:rsidRPr="00E440ED">
        <w:rPr>
          <w:rFonts w:hint="cs"/>
          <w:b/>
          <w:bCs/>
          <w:rtl/>
        </w:rPr>
        <w:t>الدورة السادسة</w:t>
      </w:r>
    </w:p>
    <w:p w:rsidR="00E440ED" w:rsidRPr="00E440ED" w:rsidRDefault="00E440ED" w:rsidP="007C59FE">
      <w:pPr>
        <w:pStyle w:val="SingleTxtGA"/>
        <w:spacing w:before="120" w:after="0"/>
        <w:ind w:left="0" w:right="0"/>
        <w:rPr>
          <w:rFonts w:hint="cs"/>
          <w:b/>
          <w:bCs/>
          <w:rtl/>
          <w:lang w:val="fr-CH"/>
        </w:rPr>
      </w:pPr>
      <w:r w:rsidRPr="00E440ED">
        <w:rPr>
          <w:rFonts w:hint="cs"/>
          <w:b/>
          <w:bCs/>
          <w:rtl/>
          <w:lang w:val="fr-CH"/>
        </w:rPr>
        <w:t>محضر موجز للجزء الأول (العلني)</w:t>
      </w:r>
      <w:r w:rsidR="007C59FE" w:rsidRPr="007C59FE">
        <w:rPr>
          <w:rStyle w:val="FootnoteReference"/>
          <w:b w:val="0"/>
          <w:bCs/>
          <w:sz w:val="20"/>
          <w:vertAlign w:val="baseline"/>
          <w:rtl/>
          <w:lang w:val="fr-CH"/>
        </w:rPr>
        <w:footnoteReference w:customMarkFollows="1" w:id="1"/>
        <w:t>*</w:t>
      </w:r>
      <w:r w:rsidRPr="00E440ED">
        <w:rPr>
          <w:rFonts w:hint="cs"/>
          <w:b/>
          <w:bCs/>
          <w:rtl/>
          <w:lang w:val="fr-CH"/>
        </w:rPr>
        <w:t xml:space="preserve"> من الجلسة التاسعة والسبعين</w:t>
      </w:r>
    </w:p>
    <w:p w:rsidR="00E440ED" w:rsidRDefault="00E440ED" w:rsidP="00E440ED">
      <w:pPr>
        <w:pStyle w:val="SingleTxtGA"/>
        <w:spacing w:after="0"/>
        <w:ind w:left="0" w:right="0"/>
        <w:rPr>
          <w:rFonts w:hint="cs"/>
          <w:rtl/>
          <w:lang w:val="fr-CH"/>
        </w:rPr>
      </w:pPr>
      <w:r>
        <w:rPr>
          <w:rFonts w:hint="cs"/>
          <w:rtl/>
          <w:lang w:val="fr-CH"/>
        </w:rPr>
        <w:t>المعقودة في قصر ويلسون، جنيف، يوم الاثنين</w:t>
      </w:r>
      <w:r w:rsidR="003C7203">
        <w:rPr>
          <w:rFonts w:hint="cs"/>
          <w:rtl/>
          <w:lang w:val="fr-CH"/>
        </w:rPr>
        <w:t>،</w:t>
      </w:r>
      <w:r>
        <w:rPr>
          <w:rFonts w:hint="cs"/>
          <w:rtl/>
          <w:lang w:val="fr-CH"/>
        </w:rPr>
        <w:t xml:space="preserve"> 17 آذار/مارس 2014، الساعة 00/10</w:t>
      </w:r>
    </w:p>
    <w:p w:rsidR="00E440ED" w:rsidRDefault="00E440ED" w:rsidP="00143D6F">
      <w:pPr>
        <w:tabs>
          <w:tab w:val="left" w:pos="1239"/>
        </w:tabs>
        <w:spacing w:before="360" w:line="380" w:lineRule="exact"/>
        <w:rPr>
          <w:rFonts w:hint="cs"/>
          <w:rtl/>
          <w:lang w:val="fr-CH"/>
        </w:rPr>
      </w:pPr>
      <w:r w:rsidRPr="00E440ED">
        <w:rPr>
          <w:rFonts w:ascii="Traditional Arabic" w:hAnsi="Traditional Arabic" w:hint="cs"/>
          <w:i/>
          <w:iCs/>
          <w:sz w:val="30"/>
          <w:rtl/>
        </w:rPr>
        <w:t>الرئيس</w:t>
      </w:r>
      <w:r w:rsidRPr="00D412DD">
        <w:rPr>
          <w:rFonts w:hint="cs"/>
          <w:i/>
          <w:iCs/>
          <w:rtl/>
          <w:lang w:val="fr-CH"/>
        </w:rPr>
        <w:t>:</w:t>
      </w:r>
      <w:r>
        <w:rPr>
          <w:rtl/>
          <w:lang w:val="fr-CH"/>
        </w:rPr>
        <w:tab/>
      </w:r>
      <w:r>
        <w:rPr>
          <w:rFonts w:hint="cs"/>
          <w:rtl/>
          <w:lang w:val="fr-CH"/>
        </w:rPr>
        <w:t xml:space="preserve">السيد </w:t>
      </w:r>
      <w:r w:rsidRPr="00E440ED">
        <w:rPr>
          <w:rFonts w:ascii="Traditional Arabic" w:hAnsi="Traditional Arabic" w:hint="cs"/>
          <w:b/>
          <w:bCs/>
          <w:sz w:val="30"/>
          <w:rtl/>
        </w:rPr>
        <w:t>ديكو</w:t>
      </w:r>
    </w:p>
    <w:p w:rsidR="00E440ED" w:rsidRPr="00263FAC" w:rsidRDefault="00E440ED" w:rsidP="00263FAC">
      <w:pPr>
        <w:spacing w:before="360" w:line="360" w:lineRule="exact"/>
        <w:rPr>
          <w:rFonts w:hint="cs"/>
          <w:sz w:val="36"/>
          <w:szCs w:val="36"/>
          <w:rtl/>
        </w:rPr>
      </w:pPr>
      <w:r w:rsidRPr="00263FAC">
        <w:rPr>
          <w:rFonts w:hint="cs"/>
          <w:sz w:val="36"/>
          <w:szCs w:val="36"/>
          <w:rtl/>
        </w:rPr>
        <w:t>المحتويات</w:t>
      </w:r>
    </w:p>
    <w:p w:rsidR="00E440ED" w:rsidRDefault="00E440ED" w:rsidP="00697DAA">
      <w:pPr>
        <w:pStyle w:val="SingleTxtGA"/>
        <w:ind w:left="680"/>
        <w:rPr>
          <w:rFonts w:hint="cs"/>
          <w:rtl/>
          <w:lang w:val="fr-CH"/>
        </w:rPr>
      </w:pPr>
      <w:r>
        <w:rPr>
          <w:rFonts w:hint="cs"/>
          <w:rtl/>
          <w:lang w:val="fr-CH"/>
        </w:rPr>
        <w:t xml:space="preserve">افتتاح </w:t>
      </w:r>
      <w:r w:rsidRPr="005551D2">
        <w:rPr>
          <w:rFonts w:hint="cs"/>
          <w:rtl/>
        </w:rPr>
        <w:t>ا</w:t>
      </w:r>
      <w:r>
        <w:rPr>
          <w:rFonts w:hint="cs"/>
          <w:rtl/>
          <w:lang w:val="fr-CH"/>
        </w:rPr>
        <w:t>لدورة</w:t>
      </w:r>
    </w:p>
    <w:p w:rsidR="00E440ED" w:rsidRDefault="00E440ED" w:rsidP="00697DAA">
      <w:pPr>
        <w:pStyle w:val="SingleTxtGA"/>
        <w:ind w:left="680"/>
        <w:rPr>
          <w:rFonts w:hint="cs"/>
          <w:rtl/>
          <w:lang w:val="fr-CH"/>
        </w:rPr>
      </w:pPr>
      <w:r>
        <w:rPr>
          <w:rFonts w:hint="cs"/>
          <w:rtl/>
          <w:lang w:val="fr-CH"/>
        </w:rPr>
        <w:t xml:space="preserve">بيان ممثل مفوضة الأمم المتحدة السامية لحقوق الإنسان </w:t>
      </w:r>
    </w:p>
    <w:p w:rsidR="00E440ED" w:rsidRDefault="00E440ED" w:rsidP="00697DAA">
      <w:pPr>
        <w:pStyle w:val="SingleTxtGA"/>
        <w:ind w:left="680"/>
        <w:rPr>
          <w:rFonts w:hint="cs"/>
          <w:rtl/>
          <w:lang w:val="fr-CH"/>
        </w:rPr>
      </w:pPr>
      <w:r>
        <w:rPr>
          <w:rFonts w:hint="cs"/>
          <w:rtl/>
          <w:lang w:val="fr-CH"/>
        </w:rPr>
        <w:t>إقرار جدول الأعمال</w:t>
      </w:r>
    </w:p>
    <w:p w:rsidR="00E440ED" w:rsidRDefault="00E440ED" w:rsidP="00697DAA">
      <w:pPr>
        <w:pStyle w:val="SingleTxtGA"/>
        <w:ind w:left="680"/>
        <w:rPr>
          <w:rFonts w:hint="cs"/>
          <w:rtl/>
          <w:lang w:val="fr-CH"/>
        </w:rPr>
      </w:pPr>
      <w:r>
        <w:rPr>
          <w:rFonts w:hint="cs"/>
          <w:rtl/>
          <w:lang w:val="fr-CH"/>
        </w:rPr>
        <w:t>الوقوف لمدة دقيقة مع التزام الصمت إحياءً لذكرى ضحايا الاختفاء القسري</w:t>
      </w:r>
    </w:p>
    <w:p w:rsidR="00E440ED" w:rsidRPr="007C59FE" w:rsidRDefault="00E440ED" w:rsidP="007C59FE">
      <w:pPr>
        <w:pStyle w:val="SingleTxtGA"/>
        <w:rPr>
          <w:rFonts w:hint="cs"/>
          <w:i/>
          <w:iCs/>
          <w:rtl/>
          <w:lang w:val="fr-CH"/>
        </w:rPr>
      </w:pPr>
      <w:r>
        <w:rPr>
          <w:rtl/>
          <w:lang w:val="fr-CH"/>
        </w:rPr>
        <w:br w:type="page"/>
      </w:r>
      <w:r w:rsidRPr="007C59FE">
        <w:rPr>
          <w:rFonts w:hint="cs"/>
          <w:i/>
          <w:iCs/>
          <w:rtl/>
          <w:lang w:val="fr-CH"/>
        </w:rPr>
        <w:t xml:space="preserve">افتُتحت الجلسة الساعة 05/10. </w:t>
      </w:r>
    </w:p>
    <w:p w:rsidR="00E440ED" w:rsidRDefault="007C59FE" w:rsidP="007C59FE">
      <w:pPr>
        <w:pStyle w:val="H23GA"/>
        <w:rPr>
          <w:rFonts w:hint="cs"/>
          <w:rtl/>
          <w:lang w:val="fr-CH"/>
        </w:rPr>
      </w:pPr>
      <w:r>
        <w:rPr>
          <w:rFonts w:hint="cs"/>
          <w:rtl/>
          <w:lang w:val="fr-CH"/>
        </w:rPr>
        <w:tab/>
      </w:r>
      <w:r>
        <w:rPr>
          <w:rFonts w:hint="cs"/>
          <w:rtl/>
          <w:lang w:val="fr-CH"/>
        </w:rPr>
        <w:tab/>
      </w:r>
      <w:r w:rsidR="00E440ED">
        <w:rPr>
          <w:rFonts w:hint="cs"/>
          <w:rtl/>
          <w:lang w:val="fr-CH"/>
        </w:rPr>
        <w:t>افتتاح الدورة</w:t>
      </w:r>
    </w:p>
    <w:p w:rsidR="00E440ED" w:rsidRDefault="00E440ED" w:rsidP="007C59FE">
      <w:pPr>
        <w:pStyle w:val="SingleTxtGA"/>
        <w:rPr>
          <w:rFonts w:hint="cs"/>
          <w:rtl/>
          <w:lang w:val="fr-CH"/>
        </w:rPr>
      </w:pPr>
      <w:r>
        <w:rPr>
          <w:rFonts w:hint="cs"/>
          <w:rtl/>
          <w:lang w:val="fr-CH"/>
        </w:rPr>
        <w:t>1-</w:t>
      </w:r>
      <w:r>
        <w:rPr>
          <w:rFonts w:hint="cs"/>
          <w:rtl/>
          <w:lang w:val="fr-CH"/>
        </w:rPr>
        <w:tab/>
        <w:t xml:space="preserve">أعلن </w:t>
      </w:r>
      <w:r w:rsidRPr="00AF2B2F">
        <w:rPr>
          <w:rFonts w:hint="cs"/>
          <w:b/>
          <w:bCs/>
          <w:rtl/>
          <w:lang w:val="fr-CH"/>
        </w:rPr>
        <w:t>الرئيس</w:t>
      </w:r>
      <w:r>
        <w:rPr>
          <w:rFonts w:hint="cs"/>
          <w:rtl/>
          <w:lang w:val="fr-CH"/>
        </w:rPr>
        <w:t xml:space="preserve"> افتتاح الدورة السادسة للجنة المعنية بالاختفاء القسري. </w:t>
      </w:r>
    </w:p>
    <w:p w:rsidR="00E440ED" w:rsidRDefault="007C59FE" w:rsidP="007C59FE">
      <w:pPr>
        <w:pStyle w:val="H23GA"/>
        <w:rPr>
          <w:rFonts w:hint="cs"/>
          <w:rtl/>
          <w:lang w:val="fr-CH"/>
        </w:rPr>
      </w:pPr>
      <w:r>
        <w:rPr>
          <w:rFonts w:hint="cs"/>
          <w:rtl/>
          <w:lang w:val="fr-CH"/>
        </w:rPr>
        <w:tab/>
      </w:r>
      <w:r>
        <w:rPr>
          <w:rFonts w:hint="cs"/>
          <w:rtl/>
          <w:lang w:val="fr-CH"/>
        </w:rPr>
        <w:tab/>
      </w:r>
      <w:r w:rsidR="00E440ED">
        <w:rPr>
          <w:rFonts w:hint="cs"/>
          <w:rtl/>
          <w:lang w:val="fr-CH"/>
        </w:rPr>
        <w:t>بيان ممثل مفوضة الأمم المتحدة السامية لحقوق الإنسان</w:t>
      </w:r>
    </w:p>
    <w:p w:rsidR="00E440ED" w:rsidRDefault="00E440ED" w:rsidP="007C59FE">
      <w:pPr>
        <w:pStyle w:val="SingleTxtGA"/>
        <w:rPr>
          <w:rFonts w:hint="cs"/>
          <w:rtl/>
          <w:lang w:val="fr-CH"/>
        </w:rPr>
      </w:pPr>
      <w:r>
        <w:rPr>
          <w:rFonts w:hint="cs"/>
          <w:rtl/>
          <w:lang w:val="fr-CH"/>
        </w:rPr>
        <w:t>2-</w:t>
      </w:r>
      <w:r>
        <w:rPr>
          <w:rFonts w:hint="cs"/>
          <w:rtl/>
          <w:lang w:val="fr-CH"/>
        </w:rPr>
        <w:tab/>
      </w:r>
      <w:r>
        <w:rPr>
          <w:rFonts w:hint="cs"/>
          <w:b/>
          <w:bCs/>
          <w:rtl/>
          <w:lang w:val="fr-CH"/>
        </w:rPr>
        <w:t xml:space="preserve">السيد سلامة </w:t>
      </w:r>
      <w:r>
        <w:rPr>
          <w:rFonts w:hint="cs"/>
          <w:rtl/>
          <w:lang w:val="fr-CH"/>
        </w:rPr>
        <w:t xml:space="preserve">(مدير شعبة معاهدات حقوق الإنسان، مفوضية الأمم المتحدة السامية لحقوق الإنسان (المفوضية السامية لحقوق الإنسان)، تكلم باسم مفوضة الأمم المتحدة السامية لحقوق الإنسان مهنئاً اللجنة على جهودها الناجحة لتجنب أي تراكم في عملها ولتنسيق أساليب عملها مع أساليب عمل هيئات المعاهدات الأخرى. </w:t>
      </w:r>
    </w:p>
    <w:p w:rsidR="00E440ED" w:rsidRDefault="00E440ED" w:rsidP="006E6131">
      <w:pPr>
        <w:pStyle w:val="SingleTxtGA"/>
        <w:rPr>
          <w:rFonts w:hint="cs"/>
          <w:rtl/>
          <w:lang w:val="fr-CH"/>
        </w:rPr>
      </w:pPr>
      <w:r>
        <w:rPr>
          <w:rFonts w:hint="cs"/>
          <w:rtl/>
          <w:lang w:val="fr-CH"/>
        </w:rPr>
        <w:t>3-</w:t>
      </w:r>
      <w:r>
        <w:rPr>
          <w:rFonts w:hint="cs"/>
          <w:rtl/>
          <w:lang w:val="fr-CH"/>
        </w:rPr>
        <w:tab/>
        <w:t>وأشار، فيما يتعلق بالعملية الحكومية الدولية المعنية بتدعيم أداء نظام هيئات</w:t>
      </w:r>
      <w:r w:rsidR="006E6131">
        <w:rPr>
          <w:rFonts w:hint="cs"/>
          <w:rtl/>
          <w:lang w:val="fr-CH"/>
        </w:rPr>
        <w:t xml:space="preserve"> </w:t>
      </w:r>
      <w:r>
        <w:rPr>
          <w:rFonts w:hint="cs"/>
          <w:rtl/>
          <w:lang w:val="fr-CH"/>
        </w:rPr>
        <w:t>المعاهدات، إلى أن رئيس اللجنة أدى دوراً مهماً في الجلسة غير الرسمية للرؤساء والميسرين، التي عُقدت</w:t>
      </w:r>
      <w:r w:rsidRPr="00DD43E6">
        <w:rPr>
          <w:rFonts w:hint="cs"/>
          <w:rtl/>
          <w:lang w:val="fr-CH"/>
        </w:rPr>
        <w:t xml:space="preserve"> </w:t>
      </w:r>
      <w:r>
        <w:rPr>
          <w:rFonts w:hint="cs"/>
          <w:rtl/>
          <w:lang w:val="fr-CH"/>
        </w:rPr>
        <w:t>في نيويورك قبل بضعة أيام من المشاورات الختامية بشأن هذه العملية مع الدول الأعضاء في الأمم المتحدة. وأشار أيضاً إلى إعداد بيان موضوعي مشترك في ذلك الاجتماع كان له أثر على تلك المشاورات. وقال إن نتيجة هذه العملية، بعد عامين من المفاوضات المكثفة، كانت ناجحة حتى ذلك الوقت، وإن الدور المباشر الذي أداه رؤساء هيئات المعاهدات في هذه العملية يحظى بتقدير عالٍ من المفوضة السامية. وأضاف أن المشاركة الفعالة من جانب الخبراء المستقلين في المفاوضات الحكومية الدولية غير مسبوقة، وأنها قوبلت في بادئ الأمر بمقاومة من عدد من الدول الأعضاء التي فهمت وقدَّرت في نهاية الأمر الرؤى الداخلية القيّمة التي يستطيع ا الرؤساء تقديمها</w:t>
      </w:r>
      <w:r w:rsidR="006E6131">
        <w:rPr>
          <w:rFonts w:hint="cs"/>
          <w:rtl/>
          <w:lang w:val="fr-CH"/>
        </w:rPr>
        <w:t xml:space="preserve"> </w:t>
      </w:r>
      <w:r>
        <w:rPr>
          <w:rFonts w:hint="cs"/>
          <w:rtl/>
          <w:lang w:val="fr-CH"/>
        </w:rPr>
        <w:t>بشأن التحديات الفعلية التي يواجهها نظام هيئات المعاهدات. وأوضح أن المشاورات أبرزت أيضاً الحاجة إلى تخصيص مزيد من الوقت للتفاعل مع الدول،</w:t>
      </w:r>
      <w:r w:rsidR="006E6131">
        <w:rPr>
          <w:rFonts w:hint="cs"/>
          <w:rtl/>
          <w:lang w:val="fr-CH"/>
        </w:rPr>
        <w:t xml:space="preserve"> </w:t>
      </w:r>
      <w:r>
        <w:rPr>
          <w:rFonts w:hint="cs"/>
          <w:rtl/>
          <w:lang w:val="fr-CH"/>
        </w:rPr>
        <w:t>وأن ذلك الجانب من العملية انعكس على النحو</w:t>
      </w:r>
      <w:r w:rsidR="006E6131">
        <w:rPr>
          <w:rFonts w:hint="cs"/>
          <w:rtl/>
          <w:lang w:val="fr-CH"/>
        </w:rPr>
        <w:t xml:space="preserve"> </w:t>
      </w:r>
      <w:r>
        <w:rPr>
          <w:rFonts w:hint="cs"/>
          <w:rtl/>
          <w:lang w:val="fr-CH"/>
        </w:rPr>
        <w:t>الواجب في مشروع القرار الذي أُعد بشأن تدعيم وتعزيز فعالية أداء نظام هيئات</w:t>
      </w:r>
      <w:r w:rsidR="006E6131">
        <w:rPr>
          <w:rFonts w:hint="cs"/>
          <w:rtl/>
          <w:lang w:val="fr-CH"/>
        </w:rPr>
        <w:t xml:space="preserve"> </w:t>
      </w:r>
      <w:r>
        <w:rPr>
          <w:rFonts w:hint="cs"/>
          <w:rtl/>
          <w:lang w:val="fr-CH"/>
        </w:rPr>
        <w:t>معاهدات حقوق الإنسان (</w:t>
      </w:r>
      <w:r>
        <w:rPr>
          <w:lang w:val="fr-CH"/>
        </w:rPr>
        <w:t>A/66/L.37</w:t>
      </w:r>
      <w:r w:rsidR="005206E6">
        <w:rPr>
          <w:rFonts w:hint="cs"/>
          <w:rtl/>
          <w:lang w:val="fr-CH"/>
        </w:rPr>
        <w:t>).</w:t>
      </w:r>
    </w:p>
    <w:p w:rsidR="00E440ED" w:rsidRDefault="00E440ED" w:rsidP="005206E6">
      <w:pPr>
        <w:pStyle w:val="SingleTxtGA"/>
        <w:rPr>
          <w:rFonts w:hint="cs"/>
          <w:rtl/>
          <w:lang w:val="fr-CH"/>
        </w:rPr>
      </w:pPr>
      <w:r>
        <w:rPr>
          <w:rFonts w:hint="cs"/>
          <w:rtl/>
          <w:lang w:val="fr-CH"/>
        </w:rPr>
        <w:t>4-</w:t>
      </w:r>
      <w:r>
        <w:rPr>
          <w:rFonts w:hint="cs"/>
          <w:rtl/>
          <w:lang w:val="fr-CH"/>
        </w:rPr>
        <w:tab/>
        <w:t>وأضاف أن المفوضة السامية لحقوق الإنسان تعلق أهمية خاصة على "معادلة بوزنان" التي تمكن الرؤساء من اتخاذ قرارات بشأن أساليب العمل والإجراءات المشتركة في نظام هيئات المعاهدات، والتي سبق أن نوقشت واتُفق عليها في إطار كل لجنة. وقال إن هذه المعادلة تحقق توازناً بين الاستقلالية والوحدة في إطار نظام هيئات المعاهدات، وستطبقها جميع هيئات المعاهدات ما لم تتنصل منها لجنة معينة بعد ذلك. وأشار إضافة إلى ذلك، إلى أن رؤساء اللجان بادروا على نحو فعال، وفي توقيت مناسب، إلى وضع معايير للسلوك في أديس</w:t>
      </w:r>
      <w:r w:rsidR="005206E6">
        <w:rPr>
          <w:rFonts w:hint="eastAsia"/>
          <w:rtl/>
          <w:lang w:val="fr-CH"/>
        </w:rPr>
        <w:t> </w:t>
      </w:r>
      <w:r>
        <w:rPr>
          <w:rFonts w:hint="cs"/>
          <w:rtl/>
          <w:lang w:val="fr-CH"/>
        </w:rPr>
        <w:t xml:space="preserve">أبابا في عام 2011، مما حال دون اعتماد الجمعية العامة لمدونة سلوك كانت ستُطبق بعد ذلك على هيئات المعاهدات. </w:t>
      </w:r>
    </w:p>
    <w:p w:rsidR="00E440ED" w:rsidRDefault="00E440ED" w:rsidP="006E6131">
      <w:pPr>
        <w:pStyle w:val="SingleTxtGA"/>
        <w:rPr>
          <w:rFonts w:hint="cs"/>
          <w:rtl/>
          <w:lang w:val="fr-CH"/>
        </w:rPr>
      </w:pPr>
      <w:r>
        <w:rPr>
          <w:rFonts w:hint="cs"/>
          <w:rtl/>
          <w:lang w:val="fr-CH"/>
        </w:rPr>
        <w:t>5-</w:t>
      </w:r>
      <w:r>
        <w:rPr>
          <w:rFonts w:hint="cs"/>
          <w:rtl/>
          <w:lang w:val="fr-CH"/>
        </w:rPr>
        <w:tab/>
        <w:t>وبيّن أن مشروع القرار يتضمن أيضاً المبادئ الخمسة الرئيسية التي حُددت في اجتماع رؤساء هيئات معاهدات حقوق الإنسان في أيار/م</w:t>
      </w:r>
      <w:r w:rsidR="00AF2B2F">
        <w:rPr>
          <w:rFonts w:hint="cs"/>
          <w:rtl/>
          <w:lang w:val="fr-CH"/>
        </w:rPr>
        <w:t xml:space="preserve">ايو 2013، ويلمِّح إلى فكرة وضع جدول زمني </w:t>
      </w:r>
      <w:r>
        <w:rPr>
          <w:rFonts w:hint="cs"/>
          <w:rtl/>
          <w:lang w:val="fr-CH"/>
        </w:rPr>
        <w:t>شامل لالتزامات الدول الأطراف المتعلقة بتقديم التقارير. وقال إن مشروع القرار قيد نظر اللجنة الاستشارية لشؤون الإدارة والميزانية وإنه سيُحال إلى اللجنة الخامسة التابعة للجمعية العامة. ودعا إلى البت في أمر اتخاذ القرار في المستقبل القريب، مشيراً إلى أن أي حصيلة إيجابية ستؤدي إلى</w:t>
      </w:r>
      <w:r w:rsidR="006E6131">
        <w:rPr>
          <w:rFonts w:hint="cs"/>
          <w:rtl/>
          <w:lang w:val="fr-CH"/>
        </w:rPr>
        <w:t xml:space="preserve"> </w:t>
      </w:r>
      <w:r>
        <w:rPr>
          <w:rFonts w:hint="cs"/>
          <w:rtl/>
          <w:lang w:val="fr-CH"/>
        </w:rPr>
        <w:t xml:space="preserve">أسابيع عمل ووظائف إضافية وإلى قبول الدول الأعضاء لأساليب عمل مبسطة والاعتراف بالدور المحوري للرؤساء. </w:t>
      </w:r>
    </w:p>
    <w:p w:rsidR="00E440ED" w:rsidRDefault="00E440ED" w:rsidP="006E6131">
      <w:pPr>
        <w:pStyle w:val="SingleTxtGA"/>
        <w:rPr>
          <w:rFonts w:hint="cs"/>
          <w:rtl/>
          <w:lang w:val="fr-CH"/>
        </w:rPr>
      </w:pPr>
      <w:r>
        <w:rPr>
          <w:rFonts w:hint="cs"/>
          <w:rtl/>
          <w:lang w:val="fr-CH"/>
        </w:rPr>
        <w:t>6-</w:t>
      </w:r>
      <w:r>
        <w:rPr>
          <w:rFonts w:hint="cs"/>
          <w:rtl/>
          <w:lang w:val="fr-CH"/>
        </w:rPr>
        <w:tab/>
        <w:t>وقال إن المفوضية السامية لحقوق الإنسان نظمت، بعد الدورة السابقة للجنة، حلقة عمل في تونس، في تشرين الثاني/نوفمبر 2013، بشأن إجراءات تقديم التقارير إلى اللجنة، وذلك بالتعاون مع المنظمة الدولية للفرانكفونية. وأضاف أن الأمانة تعاونت أيضاً مع</w:t>
      </w:r>
      <w:r w:rsidR="006E6131">
        <w:rPr>
          <w:rFonts w:hint="cs"/>
          <w:rtl/>
          <w:lang w:val="fr-CH"/>
        </w:rPr>
        <w:t xml:space="preserve"> </w:t>
      </w:r>
      <w:r>
        <w:rPr>
          <w:rFonts w:hint="cs"/>
          <w:rtl/>
          <w:lang w:val="fr-CH"/>
        </w:rPr>
        <w:t xml:space="preserve">قسم الاتصالات التابع للمفوضية السامية لحقوق الإنسان من أجل التوعية بعمل اللجنة. ورحب بانضمام موظف إعلامي إلى العاملين في القسم. </w:t>
      </w:r>
    </w:p>
    <w:p w:rsidR="00E440ED" w:rsidRDefault="00E440ED" w:rsidP="007C59FE">
      <w:pPr>
        <w:pStyle w:val="SingleTxtGA"/>
        <w:rPr>
          <w:rFonts w:hint="cs"/>
          <w:rtl/>
          <w:lang w:val="fr-CH"/>
        </w:rPr>
      </w:pPr>
      <w:r>
        <w:rPr>
          <w:rFonts w:hint="cs"/>
          <w:rtl/>
          <w:lang w:val="fr-CH"/>
        </w:rPr>
        <w:t>7-</w:t>
      </w:r>
      <w:r>
        <w:rPr>
          <w:rFonts w:hint="cs"/>
          <w:rtl/>
          <w:lang w:val="fr-CH"/>
        </w:rPr>
        <w:tab/>
        <w:t>وأشاد باللجنة لالتزا</w:t>
      </w:r>
      <w:r w:rsidR="00CB03DE">
        <w:rPr>
          <w:rFonts w:hint="cs"/>
          <w:rtl/>
          <w:lang w:val="fr-CH"/>
        </w:rPr>
        <w:t>مها بتعزيز التعاون مع الآليات و</w:t>
      </w:r>
      <w:r>
        <w:rPr>
          <w:rFonts w:hint="cs"/>
          <w:rtl/>
          <w:lang w:val="fr-CH"/>
        </w:rPr>
        <w:t xml:space="preserve">الصكوك الأخرى، وتعهد بأن تواصل شعبة معاهدات حقوق الإنسان دعم اللجنة في أعمالها المقبلة. </w:t>
      </w:r>
    </w:p>
    <w:p w:rsidR="00E440ED" w:rsidRDefault="00E440ED" w:rsidP="006E6131">
      <w:pPr>
        <w:pStyle w:val="SingleTxtGA"/>
        <w:rPr>
          <w:rFonts w:hint="cs"/>
          <w:rtl/>
          <w:lang w:val="fr-CH"/>
        </w:rPr>
      </w:pPr>
      <w:r>
        <w:rPr>
          <w:rFonts w:hint="cs"/>
          <w:rtl/>
          <w:lang w:val="fr-CH"/>
        </w:rPr>
        <w:t>8-</w:t>
      </w:r>
      <w:r>
        <w:rPr>
          <w:rFonts w:hint="cs"/>
          <w:rtl/>
          <w:lang w:val="fr-CH"/>
        </w:rPr>
        <w:tab/>
        <w:t>الرئيس</w:t>
      </w:r>
      <w:r w:rsidR="006E6131">
        <w:rPr>
          <w:rFonts w:hint="cs"/>
          <w:rtl/>
          <w:lang w:val="fr-CH"/>
        </w:rPr>
        <w:t xml:space="preserve"> </w:t>
      </w:r>
      <w:r>
        <w:rPr>
          <w:rFonts w:hint="cs"/>
          <w:rtl/>
          <w:lang w:val="fr-CH"/>
        </w:rPr>
        <w:t>أعرب عن ضرورة حث جميع الدول الأعضاء في الأمم المتحدة التي لم توقع وتصدق بعد على الاتفاقية على القيام بذلك. وأشار إلى أن تصديق كل من البرتغال وليسوتو مؤخراً على الاتفاقية رفع عدد الدول الأطراف</w:t>
      </w:r>
      <w:r w:rsidR="006E6131">
        <w:rPr>
          <w:rFonts w:hint="cs"/>
          <w:rtl/>
          <w:lang w:val="fr-CH"/>
        </w:rPr>
        <w:t xml:space="preserve"> </w:t>
      </w:r>
      <w:r>
        <w:rPr>
          <w:rFonts w:hint="cs"/>
          <w:rtl/>
          <w:lang w:val="fr-CH"/>
        </w:rPr>
        <w:t>فيها إلى 42 دولة. وأعرب عن أمله في أن يزداد</w:t>
      </w:r>
      <w:r w:rsidR="006E6131">
        <w:rPr>
          <w:rFonts w:hint="cs"/>
          <w:rtl/>
          <w:lang w:val="fr-CH"/>
        </w:rPr>
        <w:t xml:space="preserve"> </w:t>
      </w:r>
      <w:r>
        <w:rPr>
          <w:rFonts w:hint="cs"/>
          <w:rtl/>
          <w:lang w:val="fr-CH"/>
        </w:rPr>
        <w:t xml:space="preserve">ذلك العدد في الأشهر القادمة، وأن يكرر الأمين العام دعوة الدول الأعضاء، في الدورة التالية للجمعية العامة، إلى التصديق على الاتفاقية. ولاحظ في هذا الصدد، أن مجموعة أصدقاء الاتفاقية والتحالف العالمي لمكافحة حالات الاختفاء القسري يشجعان التصديق الشامل على الاتفاقية. ونوه بالدور المتميز الذي تؤديه المنظمات غير الحكومية في التوعية الميدانية بمسألة الاختفاء القسري. </w:t>
      </w:r>
    </w:p>
    <w:p w:rsidR="00E440ED" w:rsidRDefault="00E440ED" w:rsidP="006E6131">
      <w:pPr>
        <w:pStyle w:val="SingleTxtGA"/>
        <w:rPr>
          <w:rFonts w:hint="cs"/>
          <w:rtl/>
          <w:lang w:val="fr-CH"/>
        </w:rPr>
      </w:pPr>
      <w:r>
        <w:rPr>
          <w:rFonts w:hint="cs"/>
          <w:rtl/>
          <w:lang w:val="fr-CH"/>
        </w:rPr>
        <w:t>9-</w:t>
      </w:r>
      <w:r>
        <w:rPr>
          <w:rFonts w:hint="cs"/>
          <w:rtl/>
          <w:lang w:val="fr-CH"/>
        </w:rPr>
        <w:tab/>
        <w:t>وفي سياق استعداد اللجنة للنظر في تقريري ألمانيا وهولندا، أشار إلى أن 12 تقريراً فقط قُدمت حتى ذلك الوقت من جملة 30 تقريراً</w:t>
      </w:r>
      <w:r w:rsidR="006E6131">
        <w:rPr>
          <w:rFonts w:hint="cs"/>
          <w:rtl/>
          <w:lang w:val="fr-CH"/>
        </w:rPr>
        <w:t xml:space="preserve"> </w:t>
      </w:r>
      <w:r>
        <w:rPr>
          <w:rFonts w:hint="cs"/>
          <w:rtl/>
          <w:lang w:val="fr-CH"/>
        </w:rPr>
        <w:t>يجب على الدول الأطراف تقديمها بموجب الفقرة 1 من المادة 29 من الاتفاقية. وقال إن ذلك يثير قلقاً خاصاً في حالة الدول الأطراف التي تواجه ادعاءات خطيرة تتعلق بحالات اختفاء قسري. وقال إن الوقت الذي تستغرقه الدول الأطراف للرد،</w:t>
      </w:r>
      <w:r w:rsidR="006E6131">
        <w:rPr>
          <w:rFonts w:hint="cs"/>
          <w:rtl/>
          <w:lang w:val="fr-CH"/>
        </w:rPr>
        <w:t xml:space="preserve"> </w:t>
      </w:r>
      <w:r>
        <w:rPr>
          <w:rFonts w:hint="cs"/>
          <w:rtl/>
          <w:lang w:val="fr-CH"/>
        </w:rPr>
        <w:t>بموجب المادة 30، على طلبات اللجنة بشأن</w:t>
      </w:r>
      <w:r w:rsidR="006E6131">
        <w:rPr>
          <w:rFonts w:hint="cs"/>
          <w:rtl/>
          <w:lang w:val="fr-CH"/>
        </w:rPr>
        <w:t xml:space="preserve"> </w:t>
      </w:r>
      <w:r>
        <w:rPr>
          <w:rFonts w:hint="cs"/>
          <w:rtl/>
          <w:lang w:val="fr-CH"/>
        </w:rPr>
        <w:t xml:space="preserve">اتخاذ إجراءات عاجلة، يثير أيضاً القلق. </w:t>
      </w:r>
    </w:p>
    <w:p w:rsidR="00E440ED" w:rsidRDefault="00E440ED" w:rsidP="006E6131">
      <w:pPr>
        <w:pStyle w:val="SingleTxtGA"/>
        <w:rPr>
          <w:rFonts w:hint="cs"/>
          <w:rtl/>
          <w:lang w:val="fr-CH"/>
        </w:rPr>
      </w:pPr>
      <w:r>
        <w:rPr>
          <w:rFonts w:hint="cs"/>
          <w:rtl/>
          <w:lang w:val="fr-CH"/>
        </w:rPr>
        <w:t>10-</w:t>
      </w:r>
      <w:r>
        <w:rPr>
          <w:rFonts w:hint="cs"/>
          <w:rtl/>
          <w:lang w:val="fr-CH"/>
        </w:rPr>
        <w:tab/>
        <w:t>وأشار إلى أن الدورة الحالية ستركز بشكل خاص على مسألتي</w:t>
      </w:r>
      <w:r w:rsidR="006E6131">
        <w:rPr>
          <w:rFonts w:hint="cs"/>
          <w:rtl/>
          <w:lang w:val="fr-CH"/>
        </w:rPr>
        <w:t xml:space="preserve"> </w:t>
      </w:r>
      <w:r>
        <w:rPr>
          <w:rFonts w:hint="cs"/>
          <w:rtl/>
          <w:lang w:val="fr-CH"/>
        </w:rPr>
        <w:t xml:space="preserve">حالات الاختفاء القسري والقضاء العسكري، وأشار كذلك إلى عقد نقاش للنظر في جملة أمور منها المبادئ المنظمة لإقامة العدل عن طريق المحاكم العسكرية، التي اعتمدتها اللجنة الفرعية السابقة لتعزيز وحماية حقوق الإنسان. </w:t>
      </w:r>
    </w:p>
    <w:p w:rsidR="00E440ED" w:rsidRDefault="00E440ED" w:rsidP="00CA6B05">
      <w:pPr>
        <w:pStyle w:val="SingleTxtGA"/>
        <w:rPr>
          <w:rFonts w:hint="cs"/>
          <w:rtl/>
          <w:lang w:val="fr-CH"/>
        </w:rPr>
      </w:pPr>
      <w:r>
        <w:rPr>
          <w:rFonts w:hint="cs"/>
          <w:rtl/>
          <w:lang w:val="fr-CH"/>
        </w:rPr>
        <w:t>11-</w:t>
      </w:r>
      <w:r>
        <w:rPr>
          <w:rFonts w:hint="cs"/>
          <w:rtl/>
          <w:lang w:val="fr-CH"/>
        </w:rPr>
        <w:tab/>
        <w:t>وذكر أن مشروع القرار المتعلق بتعزيز نظام هيئات المعاهدات لم يُنظر بعد من جانب اللجنة الخامسة، ولذلك أشارت المشاورات التي جرت مؤخراً في نيويورك إلى تحقيق نتيجة إيجابية على الأرجح. وقال إن اللجنة أدمجت بالفعل مبادئ أديس أبابا التوجيهية في نظامها الداخلي وتطبقها بدقة، لا سيما فيما يتعلق باستقلالية ونزاهة الخبراء الأعضاء فيها. ومع ذلك، ينبغي أن تسترشد اللجنة في المقام الأول وفي جميع الأوقات بقانونها الأساسي، وهو الاتفاقية. وأضاف أنه ينبغي أن تعقد اللجنة دورات أطول، لضمان مواصلة</w:t>
      </w:r>
      <w:r w:rsidR="006E6131">
        <w:rPr>
          <w:rFonts w:hint="cs"/>
          <w:rtl/>
          <w:lang w:val="fr-CH"/>
        </w:rPr>
        <w:t xml:space="preserve"> </w:t>
      </w:r>
      <w:r w:rsidR="00912F93">
        <w:rPr>
          <w:rFonts w:hint="cs"/>
          <w:rtl/>
          <w:lang w:val="fr-CH"/>
        </w:rPr>
        <w:t>عملها بأقصى درجة من الفعالية و</w:t>
      </w:r>
      <w:r>
        <w:rPr>
          <w:rFonts w:hint="cs"/>
          <w:rtl/>
          <w:lang w:val="fr-CH"/>
        </w:rPr>
        <w:t>منع أي تراكم في أعمالها،</w:t>
      </w:r>
      <w:r w:rsidR="006E6131">
        <w:rPr>
          <w:rFonts w:hint="cs"/>
          <w:rtl/>
          <w:lang w:val="fr-CH"/>
        </w:rPr>
        <w:t xml:space="preserve"> </w:t>
      </w:r>
      <w:r>
        <w:rPr>
          <w:rFonts w:hint="cs"/>
          <w:rtl/>
          <w:lang w:val="fr-CH"/>
        </w:rPr>
        <w:t>مؤكداً أن الترشيد وتوفير التكاليف لا</w:t>
      </w:r>
      <w:r w:rsidR="00CA6B05">
        <w:rPr>
          <w:rFonts w:hint="eastAsia"/>
          <w:rtl/>
          <w:lang w:val="fr-CH"/>
        </w:rPr>
        <w:t> </w:t>
      </w:r>
      <w:r>
        <w:rPr>
          <w:rFonts w:hint="cs"/>
          <w:rtl/>
          <w:lang w:val="fr-CH"/>
        </w:rPr>
        <w:t xml:space="preserve">ينبغي أن يكون على حساب حقوق الإنسان، لا سيما حقوق الضحايا. </w:t>
      </w:r>
    </w:p>
    <w:p w:rsidR="00E440ED" w:rsidRPr="0083405A" w:rsidRDefault="007C59FE" w:rsidP="007C59FE">
      <w:pPr>
        <w:pStyle w:val="H23GA"/>
        <w:rPr>
          <w:rFonts w:hint="cs"/>
          <w:b w:val="0"/>
          <w:bCs w:val="0"/>
          <w:rtl/>
          <w:lang w:val="fr-CH"/>
        </w:rPr>
      </w:pPr>
      <w:r>
        <w:rPr>
          <w:rFonts w:hint="cs"/>
          <w:rtl/>
          <w:lang w:val="fr-CH"/>
        </w:rPr>
        <w:tab/>
      </w:r>
      <w:r>
        <w:rPr>
          <w:rFonts w:hint="cs"/>
          <w:rtl/>
          <w:lang w:val="fr-CH"/>
        </w:rPr>
        <w:tab/>
      </w:r>
      <w:r w:rsidR="00E440ED">
        <w:rPr>
          <w:rFonts w:hint="cs"/>
          <w:rtl/>
          <w:lang w:val="fr-CH"/>
        </w:rPr>
        <w:t xml:space="preserve">إقرار جدول الأعمال </w:t>
      </w:r>
      <w:r w:rsidR="00E440ED" w:rsidRPr="0083405A">
        <w:rPr>
          <w:rFonts w:hint="cs"/>
          <w:b w:val="0"/>
          <w:bCs w:val="0"/>
          <w:rtl/>
          <w:lang w:val="fr-CH"/>
        </w:rPr>
        <w:t>(</w:t>
      </w:r>
      <w:r w:rsidR="00E440ED" w:rsidRPr="0083405A">
        <w:rPr>
          <w:b w:val="0"/>
          <w:bCs w:val="0"/>
          <w:lang w:val="fr-CH"/>
        </w:rPr>
        <w:t>CED/C/6/1</w:t>
      </w:r>
      <w:r w:rsidR="00E440ED" w:rsidRPr="0083405A">
        <w:rPr>
          <w:rFonts w:hint="cs"/>
          <w:b w:val="0"/>
          <w:bCs w:val="0"/>
          <w:rtl/>
          <w:lang w:val="fr-CH"/>
        </w:rPr>
        <w:t>)</w:t>
      </w:r>
    </w:p>
    <w:p w:rsidR="00E440ED" w:rsidRPr="0083405A" w:rsidRDefault="00E440ED" w:rsidP="007C59FE">
      <w:pPr>
        <w:pStyle w:val="SingleTxtGA"/>
        <w:rPr>
          <w:rFonts w:hint="cs"/>
          <w:i/>
          <w:iCs/>
          <w:rtl/>
          <w:lang w:val="fr-CH"/>
        </w:rPr>
      </w:pPr>
      <w:r>
        <w:rPr>
          <w:rFonts w:hint="cs"/>
          <w:rtl/>
          <w:lang w:val="fr-CH"/>
        </w:rPr>
        <w:t>12-</w:t>
      </w:r>
      <w:r>
        <w:rPr>
          <w:rFonts w:hint="cs"/>
          <w:rtl/>
          <w:lang w:val="fr-CH"/>
        </w:rPr>
        <w:tab/>
      </w:r>
      <w:r w:rsidRPr="0083405A">
        <w:rPr>
          <w:rFonts w:hint="cs"/>
          <w:i/>
          <w:iCs/>
          <w:rtl/>
          <w:lang w:val="fr-CH"/>
        </w:rPr>
        <w:t>أُقر جدول الأعمال (</w:t>
      </w:r>
      <w:r w:rsidRPr="0083405A">
        <w:rPr>
          <w:i/>
          <w:iCs/>
          <w:lang w:val="fr-CH"/>
        </w:rPr>
        <w:t>CED/C/6/1</w:t>
      </w:r>
      <w:r w:rsidRPr="0083405A">
        <w:rPr>
          <w:rFonts w:hint="cs"/>
          <w:i/>
          <w:iCs/>
          <w:rtl/>
          <w:lang w:val="fr-CH"/>
        </w:rPr>
        <w:t xml:space="preserve">). </w:t>
      </w:r>
    </w:p>
    <w:p w:rsidR="00E440ED" w:rsidRDefault="007C59FE" w:rsidP="007C59FE">
      <w:pPr>
        <w:pStyle w:val="H23GA"/>
        <w:rPr>
          <w:rFonts w:hint="cs"/>
          <w:rtl/>
          <w:lang w:val="fr-CH"/>
        </w:rPr>
      </w:pPr>
      <w:r>
        <w:rPr>
          <w:rFonts w:hint="cs"/>
          <w:rtl/>
          <w:lang w:val="fr-CH"/>
        </w:rPr>
        <w:tab/>
      </w:r>
      <w:r>
        <w:rPr>
          <w:rFonts w:hint="cs"/>
          <w:rtl/>
          <w:lang w:val="fr-CH"/>
        </w:rPr>
        <w:tab/>
      </w:r>
      <w:r w:rsidR="00E440ED">
        <w:rPr>
          <w:rFonts w:hint="cs"/>
          <w:rtl/>
          <w:lang w:val="fr-CH"/>
        </w:rPr>
        <w:t>الوقوف لمدة دقيقة مع التزام الصمت إحياءً لذكرى ضحايا الاختفاء القسري</w:t>
      </w:r>
    </w:p>
    <w:p w:rsidR="00E440ED" w:rsidRPr="0083405A" w:rsidRDefault="00E440ED" w:rsidP="007C59FE">
      <w:pPr>
        <w:pStyle w:val="SingleTxtGA"/>
        <w:rPr>
          <w:rFonts w:hint="cs"/>
          <w:i/>
          <w:iCs/>
          <w:rtl/>
          <w:lang w:val="fr-CH"/>
        </w:rPr>
      </w:pPr>
      <w:r>
        <w:rPr>
          <w:rFonts w:hint="cs"/>
          <w:rtl/>
          <w:lang w:val="fr-CH"/>
        </w:rPr>
        <w:t>13-</w:t>
      </w:r>
      <w:r>
        <w:rPr>
          <w:rFonts w:hint="cs"/>
          <w:rtl/>
          <w:lang w:val="fr-CH"/>
        </w:rPr>
        <w:tab/>
      </w:r>
      <w:r w:rsidRPr="0083405A">
        <w:rPr>
          <w:rFonts w:hint="cs"/>
          <w:i/>
          <w:iCs/>
          <w:rtl/>
          <w:lang w:val="fr-CH"/>
        </w:rPr>
        <w:t xml:space="preserve">بناءً على دعوة من الرئيس، وقف أعضاء اللجنة لمدة دقيقة مع التزام الصمت إحياءً لذكرى ضحايا الاختفاء القسري. </w:t>
      </w:r>
    </w:p>
    <w:p w:rsidR="0083405A" w:rsidRPr="007C59FE" w:rsidRDefault="00E440ED" w:rsidP="0083405A">
      <w:pPr>
        <w:pStyle w:val="SingleTxtGA"/>
        <w:rPr>
          <w:rFonts w:hint="cs"/>
          <w:i/>
          <w:iCs/>
          <w:rtl/>
          <w:lang w:val="fr-CH"/>
        </w:rPr>
      </w:pPr>
      <w:r w:rsidRPr="007C59FE">
        <w:rPr>
          <w:rFonts w:hint="cs"/>
          <w:i/>
          <w:iCs/>
          <w:rtl/>
          <w:lang w:val="fr-CH"/>
        </w:rPr>
        <w:t>رُفع الجزء الأول (العلني) من الجلسة الساعة 35/10.</w:t>
      </w:r>
    </w:p>
    <w:sectPr w:rsidR="0083405A" w:rsidRPr="007C59F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A8B" w:rsidRPr="00FE6865" w:rsidRDefault="003A2A8B" w:rsidP="00FE6865">
      <w:pPr>
        <w:pStyle w:val="Footer"/>
      </w:pPr>
    </w:p>
  </w:endnote>
  <w:endnote w:type="continuationSeparator" w:id="0">
    <w:p w:rsidR="003A2A8B" w:rsidRDefault="003A2A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0E9" w:rsidRPr="00EB00E9" w:rsidRDefault="00EB00E9" w:rsidP="007F4F4E">
    <w:pPr>
      <w:pStyle w:val="Footer"/>
      <w:tabs>
        <w:tab w:val="right" w:pos="9598"/>
      </w:tabs>
    </w:pPr>
    <w:r w:rsidRPr="007F4F4E">
      <w:t>GE.</w:t>
    </w:r>
    <w:r w:rsidR="007F4F4E" w:rsidRPr="007F4F4E">
      <w:t>14</w:t>
    </w:r>
    <w:r w:rsidRPr="007F4F4E">
      <w:t>-</w:t>
    </w:r>
    <w:r w:rsidR="007F4F4E" w:rsidRPr="007F4F4E">
      <w:t>41708</w:t>
    </w:r>
    <w:r w:rsidRPr="007F4F4E">
      <w:tab/>
    </w:r>
    <w:r w:rsidRPr="007F4F4E">
      <w:rPr>
        <w:b/>
        <w:sz w:val="18"/>
      </w:rPr>
      <w:fldChar w:fldCharType="begin"/>
    </w:r>
    <w:r w:rsidRPr="007F4F4E">
      <w:rPr>
        <w:b/>
        <w:sz w:val="18"/>
      </w:rPr>
      <w:instrText xml:space="preserve"> PAGE  \* MERGEFORMAT </w:instrText>
    </w:r>
    <w:r w:rsidRPr="007F4F4E">
      <w:rPr>
        <w:b/>
        <w:sz w:val="18"/>
      </w:rPr>
      <w:fldChar w:fldCharType="separate"/>
    </w:r>
    <w:r w:rsidR="00D148B4">
      <w:rPr>
        <w:b/>
        <w:noProof/>
        <w:sz w:val="18"/>
      </w:rPr>
      <w:t>2</w:t>
    </w:r>
    <w:r w:rsidRPr="007F4F4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0E9" w:rsidRPr="00EB00E9" w:rsidRDefault="00EB00E9" w:rsidP="007F4F4E">
    <w:pPr>
      <w:pStyle w:val="Footer"/>
      <w:tabs>
        <w:tab w:val="right" w:pos="9598"/>
      </w:tabs>
      <w:rPr>
        <w:b/>
        <w:sz w:val="18"/>
      </w:rPr>
    </w:pPr>
    <w:r w:rsidRPr="007F4F4E">
      <w:rPr>
        <w:b/>
        <w:sz w:val="18"/>
      </w:rPr>
      <w:fldChar w:fldCharType="begin"/>
    </w:r>
    <w:r w:rsidRPr="007F4F4E">
      <w:rPr>
        <w:b/>
        <w:sz w:val="18"/>
      </w:rPr>
      <w:instrText xml:space="preserve"> PAGE  \* MERGEFORMAT </w:instrText>
    </w:r>
    <w:r w:rsidRPr="007F4F4E">
      <w:rPr>
        <w:b/>
        <w:sz w:val="18"/>
      </w:rPr>
      <w:fldChar w:fldCharType="separate"/>
    </w:r>
    <w:r w:rsidR="00D148B4">
      <w:rPr>
        <w:b/>
        <w:noProof/>
        <w:sz w:val="18"/>
      </w:rPr>
      <w:t>3</w:t>
    </w:r>
    <w:r w:rsidRPr="007F4F4E">
      <w:rPr>
        <w:b/>
        <w:sz w:val="18"/>
      </w:rPr>
      <w:fldChar w:fldCharType="end"/>
    </w:r>
    <w:r w:rsidRPr="007F4F4E">
      <w:rPr>
        <w:b/>
        <w:sz w:val="18"/>
      </w:rPr>
      <w:tab/>
    </w:r>
    <w:r w:rsidRPr="007F4F4E">
      <w:t>GE.</w:t>
    </w:r>
    <w:r w:rsidR="007F4F4E" w:rsidRPr="007F4F4E">
      <w:t>14</w:t>
    </w:r>
    <w:r w:rsidRPr="007F4F4E">
      <w:t>-</w:t>
    </w:r>
    <w:r w:rsidR="007F4F4E" w:rsidRPr="007F4F4E">
      <w:t>41708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3A3" w:rsidRDefault="00BA43A3" w:rsidP="00BA43A3">
    <w:pPr>
      <w:pBdr>
        <w:top w:val="single" w:sz="4" w:space="1" w:color="auto"/>
      </w:pBdr>
      <w:spacing w:line="60" w:lineRule="exact"/>
      <w:rPr>
        <w:rFonts w:ascii="Traditional Arabic" w:hAnsi="Traditional Arabic" w:hint="cs"/>
        <w:sz w:val="18"/>
        <w:szCs w:val="26"/>
        <w:rtl/>
      </w:rPr>
    </w:pPr>
  </w:p>
  <w:p w:rsidR="00BA43A3" w:rsidRPr="00BA43A3" w:rsidRDefault="00BA43A3" w:rsidP="003A40AE">
    <w:pPr>
      <w:pStyle w:val="footnoteText0"/>
      <w:tabs>
        <w:tab w:val="clear" w:pos="1021"/>
        <w:tab w:val="left" w:pos="1738"/>
        <w:tab w:val="left" w:pos="2041"/>
      </w:tabs>
      <w:ind w:firstLine="0"/>
      <w:rPr>
        <w:rFonts w:hint="cs"/>
        <w:rtl/>
        <w:lang/>
      </w:rPr>
    </w:pPr>
    <w:r w:rsidRPr="00BA43A3">
      <w:rPr>
        <w:rFonts w:hint="cs"/>
        <w:rtl/>
        <w:lang/>
      </w:rPr>
      <w:tab/>
      <w:t xml:space="preserve">هذا المحضر قابل للتصويب. </w:t>
    </w:r>
  </w:p>
  <w:p w:rsidR="00BA43A3" w:rsidRDefault="005E7A7C" w:rsidP="003A40AE">
    <w:pPr>
      <w:pStyle w:val="footnoteText0"/>
      <w:tabs>
        <w:tab w:val="clear" w:pos="1021"/>
        <w:tab w:val="left" w:pos="1738"/>
        <w:tab w:val="left" w:pos="2041"/>
      </w:tabs>
      <w:ind w:firstLine="0"/>
      <w:rPr>
        <w:rFonts w:hint="cs"/>
        <w:rtl/>
      </w:rPr>
    </w:pPr>
    <w:r>
      <w:rPr>
        <w:rFonts w:hint="cs"/>
        <w:rtl/>
        <w:lang/>
      </w:rPr>
      <w:tab/>
    </w:r>
    <w:r w:rsidR="00BA43A3" w:rsidRPr="00BA43A3">
      <w:rPr>
        <w:rFonts w:hint="cs"/>
        <w:rtl/>
        <w:lang/>
      </w:rPr>
      <w:t xml:space="preserve">وينبغي تقديم التصويبات بإحدى لغات العمل، وعرضها في مذكرة وإدراجها في نسخة من المحضر. وينبغي إرسال هذه التصويبات في </w:t>
    </w:r>
    <w:r w:rsidR="00BA43A3" w:rsidRPr="00BA43A3">
      <w:rPr>
        <w:rFonts w:hint="cs"/>
        <w:i/>
        <w:iCs/>
        <w:rtl/>
        <w:lang/>
      </w:rPr>
      <w:t>غضون أسبوع من تاريخ هذه الوثيقة</w:t>
    </w:r>
    <w:r w:rsidR="00BA43A3" w:rsidRPr="00BA43A3">
      <w:rPr>
        <w:rFonts w:hint="cs"/>
        <w:rtl/>
        <w:lang/>
      </w:rPr>
      <w:t xml:space="preserve"> إلى وحدة تحرير الوثائق: </w:t>
    </w:r>
    <w:r w:rsidR="00BA43A3" w:rsidRPr="00BA43A3">
      <w:rPr>
        <w:lang/>
      </w:rPr>
      <w:t>Editing Unit, room E.5106, Palais Wilson, Geneva</w:t>
    </w:r>
    <w:r w:rsidR="007C59FE">
      <w:rPr>
        <w:rFonts w:hint="cs"/>
        <w:rtl/>
        <w:lang/>
      </w:rPr>
      <w:t>.</w:t>
    </w:r>
  </w:p>
  <w:p w:rsidR="00C8586A" w:rsidRPr="00BA43A3" w:rsidRDefault="00C8586A" w:rsidP="003A40AE">
    <w:pPr>
      <w:pStyle w:val="footnoteText0"/>
      <w:tabs>
        <w:tab w:val="clear" w:pos="1021"/>
        <w:tab w:val="left" w:pos="1738"/>
        <w:tab w:val="left" w:pos="2041"/>
      </w:tabs>
      <w:ind w:firstLine="0"/>
      <w:rPr>
        <w:rFonts w:hint="cs"/>
        <w:rtl/>
      </w:rPr>
    </w:pPr>
    <w:r w:rsidRPr="00C8586A">
      <w:rPr>
        <w:rtl/>
      </w:rPr>
      <w:tab/>
    </w:r>
    <w:r w:rsidRPr="00C8586A">
      <w:rPr>
        <w:rFonts w:hint="cs"/>
        <w:rtl/>
      </w:rPr>
      <w:t>وستُدمج أية تصويبات لمحاضر الجلسات العلنية للجنة في هذه الدورة في وثيقة تصويب واحدة تصدر بُعيد نهاية الدورة.</w:t>
    </w:r>
  </w:p>
  <w:p w:rsidR="00BA43A3" w:rsidRPr="00BA43A3" w:rsidRDefault="00BA43A3" w:rsidP="00BA43A3">
    <w:pPr>
      <w:pStyle w:val="Footer"/>
      <w:jc w:val="right"/>
      <w:rPr>
        <w:lang w:val="en-US"/>
      </w:rPr>
    </w:pPr>
  </w:p>
  <w:p w:rsidR="00A10B05" w:rsidRDefault="00BA43A3" w:rsidP="00BA43A3">
    <w:pPr>
      <w:pStyle w:val="Footer"/>
      <w:jc w:val="right"/>
      <w:rPr>
        <w:rFonts w:hint="cs"/>
      </w:rPr>
    </w:pPr>
    <w:r w:rsidRPr="007F4F4E">
      <w:rPr>
        <w:sz w:val="20"/>
      </w:rPr>
      <w:t xml:space="preserve"> </w:t>
    </w:r>
    <w:r w:rsidR="00EB00E9" w:rsidRPr="007F4F4E">
      <w:rPr>
        <w:sz w:val="20"/>
      </w:rPr>
      <w:t>(A)   GE.</w:t>
    </w:r>
    <w:r w:rsidR="00A10B05" w:rsidRPr="007F4F4E">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sidR="000E0996" w:rsidRPr="007F4F4E">
      <w:rPr>
        <w:sz w:val="20"/>
      </w:rPr>
      <w:t>14-41708    020414    070414</w:t>
    </w:r>
    <w:r w:rsidR="00D148B4">
      <w:br/>
    </w:r>
    <w:r w:rsidR="00D148B4" w:rsidRPr="00D148B4">
      <w:rPr>
        <w:rFonts w:ascii="C39T30Lfz" w:hAnsi="C39T30Lfz"/>
        <w:sz w:val="56"/>
      </w:rPr>
      <w:t></w:t>
    </w:r>
    <w:r w:rsidR="00D148B4" w:rsidRPr="00D148B4">
      <w:rPr>
        <w:rFonts w:ascii="C39T30Lfz" w:hAnsi="C39T30Lfz"/>
        <w:sz w:val="56"/>
      </w:rPr>
      <w:t></w:t>
    </w:r>
    <w:r w:rsidR="00D148B4" w:rsidRPr="00D148B4">
      <w:rPr>
        <w:rFonts w:ascii="C39T30Lfz" w:hAnsi="C39T30Lfz"/>
        <w:sz w:val="56"/>
      </w:rPr>
      <w:t></w:t>
    </w:r>
    <w:r w:rsidR="00D148B4" w:rsidRPr="00D148B4">
      <w:rPr>
        <w:rFonts w:ascii="C39T30Lfz" w:hAnsi="C39T30Lfz"/>
        <w:sz w:val="56"/>
      </w:rPr>
      <w:t></w:t>
    </w:r>
    <w:r w:rsidR="00D148B4" w:rsidRPr="00D148B4">
      <w:rPr>
        <w:rFonts w:ascii="C39T30Lfz" w:hAnsi="C39T30Lfz"/>
        <w:sz w:val="56"/>
      </w:rPr>
      <w:t></w:t>
    </w:r>
    <w:r w:rsidR="00D148B4" w:rsidRPr="00D148B4">
      <w:rPr>
        <w:rFonts w:ascii="C39T30Lfz" w:hAnsi="C39T30Lfz"/>
        <w:sz w:val="56"/>
      </w:rPr>
      <w:t></w:t>
    </w:r>
    <w:r w:rsidR="00D148B4" w:rsidRPr="00D148B4">
      <w:rPr>
        <w:rFonts w:ascii="C39T30Lfz" w:hAnsi="C39T30Lfz"/>
        <w:sz w:val="56"/>
      </w:rPr>
      <w:t></w:t>
    </w:r>
    <w:r w:rsidR="00D148B4" w:rsidRPr="00D148B4">
      <w:rPr>
        <w:rFonts w:ascii="C39T30Lfz" w:hAnsi="C39T30Lfz"/>
        <w:sz w:val="56"/>
      </w:rPr>
      <w:t></w:t>
    </w:r>
    <w:r w:rsidR="00D148B4" w:rsidRPr="00D148B4">
      <w:rPr>
        <w:rFonts w:ascii="C39T30Lfz" w:hAnsi="C39T30Lfz"/>
        <w:sz w:val="56"/>
      </w:rPr>
      <w:t></w:t>
    </w:r>
    <w:r w:rsidR="00D148B4">
      <w:rPr>
        <w:noProof/>
        <w:lang w:val="en-US"/>
      </w:rPr>
      <w:pict>
        <v:shape id="_x0000_s2054" type="#_x0000_t75" style="position:absolute;left:0;text-align:left;margin-left:.05pt;margin-top:0;width:50.25pt;height:50.25pt;z-index:2;mso-position-horizontal-relative:text;mso-position-vertical-relative:text" o:allowincell="f">
          <v:imagedata r:id="rId2" o:title="SR"/>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A8B" w:rsidRDefault="003A2A8B" w:rsidP="00834FF4">
      <w:pPr>
        <w:pStyle w:val="Footer"/>
        <w:bidi/>
        <w:spacing w:after="80" w:line="200" w:lineRule="exact"/>
        <w:ind w:left="680"/>
      </w:pPr>
      <w:r>
        <w:rPr>
          <w:rFonts w:hint="cs"/>
          <w:rtl/>
        </w:rPr>
        <w:t>__________</w:t>
      </w:r>
    </w:p>
  </w:footnote>
  <w:footnote w:type="continuationSeparator" w:id="0">
    <w:p w:rsidR="003A2A8B" w:rsidRDefault="003A2A8B" w:rsidP="00834FF4">
      <w:pPr>
        <w:pStyle w:val="Footer"/>
        <w:bidi/>
        <w:spacing w:after="80" w:line="200" w:lineRule="exact"/>
        <w:ind w:left="680"/>
      </w:pPr>
      <w:r>
        <w:rPr>
          <w:rFonts w:hint="cs"/>
          <w:rtl/>
        </w:rPr>
        <w:t>__________</w:t>
      </w:r>
    </w:p>
  </w:footnote>
  <w:footnote w:id="1">
    <w:p w:rsidR="007C59FE" w:rsidRPr="007C59FE" w:rsidRDefault="007C59FE" w:rsidP="003A40AE">
      <w:pPr>
        <w:pStyle w:val="footnoteText0"/>
        <w:spacing w:after="240"/>
        <w:rPr>
          <w:rFonts w:hint="cs"/>
          <w:rtl/>
        </w:rPr>
      </w:pPr>
      <w:r>
        <w:rPr>
          <w:rtl/>
        </w:rPr>
        <w:tab/>
      </w:r>
      <w:r w:rsidRPr="007C59FE">
        <w:rPr>
          <w:rStyle w:val="FootnoteReference"/>
          <w:sz w:val="20"/>
          <w:vertAlign w:val="baseline"/>
          <w:rtl/>
        </w:rPr>
        <w:t>*</w:t>
      </w:r>
      <w:r>
        <w:rPr>
          <w:rtl/>
        </w:rPr>
        <w:tab/>
      </w:r>
      <w:r w:rsidR="00E440ED" w:rsidRPr="007C59FE">
        <w:rPr>
          <w:rFonts w:hint="cs"/>
          <w:rtl/>
        </w:rPr>
        <w:t xml:space="preserve">يصدر المحضر الموجز للجزء الثاني (المغلق) من الجلسة بوصفه الوثيقة </w:t>
      </w:r>
      <w:r w:rsidR="00E440ED" w:rsidRPr="007C59FE">
        <w:rPr>
          <w:lang w:val="fr-CH"/>
        </w:rPr>
        <w:t>CED/C/SR.79/Add.1</w:t>
      </w:r>
      <w:r w:rsidR="00E440ED" w:rsidRPr="007C59FE">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0E9" w:rsidRPr="00EB00E9" w:rsidRDefault="007F4F4E" w:rsidP="007F4F4E">
    <w:pPr>
      <w:pStyle w:val="Header"/>
      <w:jc w:val="right"/>
    </w:pPr>
    <w:r w:rsidRPr="007F4F4E">
      <w:t>CED/C/SR.79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B05" w:rsidRPr="00EB00E9" w:rsidRDefault="007F4F4E" w:rsidP="007F4F4E">
    <w:pPr>
      <w:pStyle w:val="Header"/>
      <w:jc w:val="left"/>
    </w:pPr>
    <w:r w:rsidRPr="007F4F4E">
      <w:t>CED/C/SR.79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B05" w:rsidRDefault="00A10B05" w:rsidP="005B46D9">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0996"/>
    <w:rsid w:val="000156F1"/>
    <w:rsid w:val="00015FCC"/>
    <w:rsid w:val="00040E25"/>
    <w:rsid w:val="00042149"/>
    <w:rsid w:val="000448E5"/>
    <w:rsid w:val="000556A0"/>
    <w:rsid w:val="000648EA"/>
    <w:rsid w:val="000771C2"/>
    <w:rsid w:val="000957C8"/>
    <w:rsid w:val="00097049"/>
    <w:rsid w:val="000A04D5"/>
    <w:rsid w:val="000B52F2"/>
    <w:rsid w:val="000B6425"/>
    <w:rsid w:val="000D0362"/>
    <w:rsid w:val="000D03B7"/>
    <w:rsid w:val="000D0EAE"/>
    <w:rsid w:val="000D1746"/>
    <w:rsid w:val="000D5380"/>
    <w:rsid w:val="000D6654"/>
    <w:rsid w:val="000E0996"/>
    <w:rsid w:val="000E103D"/>
    <w:rsid w:val="000F0264"/>
    <w:rsid w:val="000F2EBF"/>
    <w:rsid w:val="000F3A9F"/>
    <w:rsid w:val="000F5FF6"/>
    <w:rsid w:val="001022B5"/>
    <w:rsid w:val="00113FA5"/>
    <w:rsid w:val="0013475B"/>
    <w:rsid w:val="00143D6F"/>
    <w:rsid w:val="001455A0"/>
    <w:rsid w:val="00151D30"/>
    <w:rsid w:val="001602A3"/>
    <w:rsid w:val="001939BF"/>
    <w:rsid w:val="001A5161"/>
    <w:rsid w:val="001A60BD"/>
    <w:rsid w:val="001D118B"/>
    <w:rsid w:val="001D4EAA"/>
    <w:rsid w:val="001E4755"/>
    <w:rsid w:val="001F3195"/>
    <w:rsid w:val="00205EDC"/>
    <w:rsid w:val="00217712"/>
    <w:rsid w:val="002225D3"/>
    <w:rsid w:val="002244FB"/>
    <w:rsid w:val="00232277"/>
    <w:rsid w:val="0023736D"/>
    <w:rsid w:val="00257225"/>
    <w:rsid w:val="00263FAC"/>
    <w:rsid w:val="0028633C"/>
    <w:rsid w:val="00290020"/>
    <w:rsid w:val="002906D6"/>
    <w:rsid w:val="002D007D"/>
    <w:rsid w:val="00310160"/>
    <w:rsid w:val="00341A8C"/>
    <w:rsid w:val="003519E6"/>
    <w:rsid w:val="00364831"/>
    <w:rsid w:val="003749D0"/>
    <w:rsid w:val="003A2A8B"/>
    <w:rsid w:val="003A40AE"/>
    <w:rsid w:val="003B4356"/>
    <w:rsid w:val="003B47BC"/>
    <w:rsid w:val="003C7203"/>
    <w:rsid w:val="003F08A8"/>
    <w:rsid w:val="00405F41"/>
    <w:rsid w:val="004168F9"/>
    <w:rsid w:val="00422FB2"/>
    <w:rsid w:val="004250E3"/>
    <w:rsid w:val="00425CDF"/>
    <w:rsid w:val="004578C9"/>
    <w:rsid w:val="00460CB7"/>
    <w:rsid w:val="00472A81"/>
    <w:rsid w:val="004A20A6"/>
    <w:rsid w:val="004B2C92"/>
    <w:rsid w:val="004D1C3A"/>
    <w:rsid w:val="004D6A3A"/>
    <w:rsid w:val="004E1E9C"/>
    <w:rsid w:val="004F4AD7"/>
    <w:rsid w:val="004F5479"/>
    <w:rsid w:val="004F591B"/>
    <w:rsid w:val="005206E6"/>
    <w:rsid w:val="0053001E"/>
    <w:rsid w:val="005551D2"/>
    <w:rsid w:val="00557CD3"/>
    <w:rsid w:val="00571432"/>
    <w:rsid w:val="005732A2"/>
    <w:rsid w:val="005762A5"/>
    <w:rsid w:val="00590BA3"/>
    <w:rsid w:val="005A0ED8"/>
    <w:rsid w:val="005B46D9"/>
    <w:rsid w:val="005B7AE0"/>
    <w:rsid w:val="005D58C5"/>
    <w:rsid w:val="005D6832"/>
    <w:rsid w:val="005E349F"/>
    <w:rsid w:val="005E7A7C"/>
    <w:rsid w:val="005F146F"/>
    <w:rsid w:val="005F71B6"/>
    <w:rsid w:val="00604249"/>
    <w:rsid w:val="006267B2"/>
    <w:rsid w:val="00642315"/>
    <w:rsid w:val="00651093"/>
    <w:rsid w:val="00652494"/>
    <w:rsid w:val="00654786"/>
    <w:rsid w:val="00660FD4"/>
    <w:rsid w:val="0068571D"/>
    <w:rsid w:val="00697DAA"/>
    <w:rsid w:val="006A1661"/>
    <w:rsid w:val="006A4425"/>
    <w:rsid w:val="006B00A4"/>
    <w:rsid w:val="006B4669"/>
    <w:rsid w:val="006B545C"/>
    <w:rsid w:val="006D4CA6"/>
    <w:rsid w:val="006E6131"/>
    <w:rsid w:val="006F6BF8"/>
    <w:rsid w:val="00707BDF"/>
    <w:rsid w:val="00710727"/>
    <w:rsid w:val="00715F45"/>
    <w:rsid w:val="00722737"/>
    <w:rsid w:val="00731815"/>
    <w:rsid w:val="00731B84"/>
    <w:rsid w:val="00734AE7"/>
    <w:rsid w:val="00746B65"/>
    <w:rsid w:val="0076775A"/>
    <w:rsid w:val="007836F4"/>
    <w:rsid w:val="0079344E"/>
    <w:rsid w:val="00796941"/>
    <w:rsid w:val="007B3A21"/>
    <w:rsid w:val="007C59FE"/>
    <w:rsid w:val="007D73DC"/>
    <w:rsid w:val="007E197F"/>
    <w:rsid w:val="007F4F4E"/>
    <w:rsid w:val="007F68C4"/>
    <w:rsid w:val="00805CF9"/>
    <w:rsid w:val="008153DE"/>
    <w:rsid w:val="00827BA1"/>
    <w:rsid w:val="00830966"/>
    <w:rsid w:val="0083405A"/>
    <w:rsid w:val="00834FF4"/>
    <w:rsid w:val="008438B0"/>
    <w:rsid w:val="00852A10"/>
    <w:rsid w:val="00862634"/>
    <w:rsid w:val="00866C59"/>
    <w:rsid w:val="00877306"/>
    <w:rsid w:val="00877449"/>
    <w:rsid w:val="008954A9"/>
    <w:rsid w:val="00897360"/>
    <w:rsid w:val="008A6242"/>
    <w:rsid w:val="008B3034"/>
    <w:rsid w:val="008B4BC6"/>
    <w:rsid w:val="008C69C2"/>
    <w:rsid w:val="00901E57"/>
    <w:rsid w:val="009070DF"/>
    <w:rsid w:val="00912F93"/>
    <w:rsid w:val="00922026"/>
    <w:rsid w:val="00935F0E"/>
    <w:rsid w:val="0095208F"/>
    <w:rsid w:val="00977B3F"/>
    <w:rsid w:val="009814AE"/>
    <w:rsid w:val="00982C9B"/>
    <w:rsid w:val="0098705B"/>
    <w:rsid w:val="009901D3"/>
    <w:rsid w:val="00996BBE"/>
    <w:rsid w:val="009B2C03"/>
    <w:rsid w:val="009C7025"/>
    <w:rsid w:val="009C7C07"/>
    <w:rsid w:val="009D1DD5"/>
    <w:rsid w:val="009F722C"/>
    <w:rsid w:val="00A10B05"/>
    <w:rsid w:val="00A26157"/>
    <w:rsid w:val="00A265C3"/>
    <w:rsid w:val="00A43F9A"/>
    <w:rsid w:val="00A53F38"/>
    <w:rsid w:val="00A543D4"/>
    <w:rsid w:val="00A6228A"/>
    <w:rsid w:val="00A7064C"/>
    <w:rsid w:val="00AA1660"/>
    <w:rsid w:val="00AA2E0E"/>
    <w:rsid w:val="00AD0014"/>
    <w:rsid w:val="00AD4CF2"/>
    <w:rsid w:val="00AE3298"/>
    <w:rsid w:val="00AF0809"/>
    <w:rsid w:val="00AF0BBA"/>
    <w:rsid w:val="00AF2B2F"/>
    <w:rsid w:val="00B21C41"/>
    <w:rsid w:val="00B23D4C"/>
    <w:rsid w:val="00B25BBD"/>
    <w:rsid w:val="00B30468"/>
    <w:rsid w:val="00B44E31"/>
    <w:rsid w:val="00B527CC"/>
    <w:rsid w:val="00B729C8"/>
    <w:rsid w:val="00B7349E"/>
    <w:rsid w:val="00BA43A3"/>
    <w:rsid w:val="00BA4F7E"/>
    <w:rsid w:val="00BB2C41"/>
    <w:rsid w:val="00BB5E24"/>
    <w:rsid w:val="00BC55C8"/>
    <w:rsid w:val="00BC5C10"/>
    <w:rsid w:val="00BE2964"/>
    <w:rsid w:val="00C11CE5"/>
    <w:rsid w:val="00C21623"/>
    <w:rsid w:val="00C24FBD"/>
    <w:rsid w:val="00C2733C"/>
    <w:rsid w:val="00C45946"/>
    <w:rsid w:val="00C464A0"/>
    <w:rsid w:val="00C473BA"/>
    <w:rsid w:val="00C5707F"/>
    <w:rsid w:val="00C611ED"/>
    <w:rsid w:val="00C6490A"/>
    <w:rsid w:val="00C64FE1"/>
    <w:rsid w:val="00C7320B"/>
    <w:rsid w:val="00C74296"/>
    <w:rsid w:val="00C8345E"/>
    <w:rsid w:val="00C8586A"/>
    <w:rsid w:val="00CA5F7C"/>
    <w:rsid w:val="00CA6B05"/>
    <w:rsid w:val="00CB03DE"/>
    <w:rsid w:val="00CF307E"/>
    <w:rsid w:val="00D0261C"/>
    <w:rsid w:val="00D148B4"/>
    <w:rsid w:val="00D23155"/>
    <w:rsid w:val="00D51067"/>
    <w:rsid w:val="00D75657"/>
    <w:rsid w:val="00D817D8"/>
    <w:rsid w:val="00D960AD"/>
    <w:rsid w:val="00DA0E0E"/>
    <w:rsid w:val="00DA6989"/>
    <w:rsid w:val="00DB0C39"/>
    <w:rsid w:val="00DB6C86"/>
    <w:rsid w:val="00DB7679"/>
    <w:rsid w:val="00DF1702"/>
    <w:rsid w:val="00DF4DD8"/>
    <w:rsid w:val="00DF668E"/>
    <w:rsid w:val="00E04826"/>
    <w:rsid w:val="00E05DA7"/>
    <w:rsid w:val="00E14D2B"/>
    <w:rsid w:val="00E20DBA"/>
    <w:rsid w:val="00E37C23"/>
    <w:rsid w:val="00E440ED"/>
    <w:rsid w:val="00E6524A"/>
    <w:rsid w:val="00E660D6"/>
    <w:rsid w:val="00E771AB"/>
    <w:rsid w:val="00EA796F"/>
    <w:rsid w:val="00EB00E9"/>
    <w:rsid w:val="00EB077B"/>
    <w:rsid w:val="00EC50B9"/>
    <w:rsid w:val="00ED124C"/>
    <w:rsid w:val="00ED26A0"/>
    <w:rsid w:val="00F1727A"/>
    <w:rsid w:val="00F251CC"/>
    <w:rsid w:val="00F34764"/>
    <w:rsid w:val="00F54E3C"/>
    <w:rsid w:val="00F7225E"/>
    <w:rsid w:val="00F874BD"/>
    <w:rsid w:val="00F87FCC"/>
    <w:rsid w:val="00FB1D0B"/>
    <w:rsid w:val="00FE55A3"/>
    <w:rsid w:val="00FE6865"/>
    <w:rsid w:val="00FF60E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00E9"/>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53001E"/>
    <w:rPr>
      <w:color w:val="FF0000"/>
      <w:lang w:val="fr-CH"/>
    </w:rPr>
  </w:style>
  <w:style w:type="character" w:customStyle="1" w:styleId="BlueFont">
    <w:name w:val="Blue_Font"/>
    <w:basedOn w:val="DefaultParagraphFont"/>
    <w:rsid w:val="0053001E"/>
    <w:rPr>
      <w:color w:val="0000FF"/>
      <w:kern w:val="16"/>
    </w:rPr>
  </w:style>
  <w:style w:type="paragraph" w:styleId="BalloonText">
    <w:name w:val="Balloon Text"/>
    <w:basedOn w:val="Normal"/>
    <w:semiHidden/>
    <w:rsid w:val="00C464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886</Words>
  <Characters>5055</Characters>
  <Application>Microsoft Office Outlook</Application>
  <DocSecurity>4</DocSecurity>
  <Lines>42</Lines>
  <Paragraphs>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CED/C/SR.79</vt:lpstr>
      <vt:lpstr>CED/C/SR.79</vt:lpstr>
    </vt:vector>
  </TitlesOfParts>
  <Company>CSD</Company>
  <LinksUpToDate>false</LinksUpToDate>
  <CharactersWithSpaces>5930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CED/C/SR.79</dc:title>
  <dc:subject>KAMEL, SALIH</dc:subject>
  <dc:creator>SAYED</dc:creator>
  <cp:keywords/>
  <dc:description/>
  <cp:lastModifiedBy>TPS</cp:lastModifiedBy>
  <cp:revision>2</cp:revision>
  <cp:lastPrinted>2014-04-07T10:23:00Z</cp:lastPrinted>
  <dcterms:created xsi:type="dcterms:W3CDTF">2014-04-08T08:50:00Z</dcterms:created>
  <dcterms:modified xsi:type="dcterms:W3CDTF">2014-04-08T08:50:00Z</dcterms:modified>
</cp:coreProperties>
</file>