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40769">
        <w:trPr>
          <w:trHeight w:hRule="exact" w:val="851"/>
        </w:trPr>
        <w:tc>
          <w:tcPr>
            <w:tcW w:w="1280" w:type="dxa"/>
            <w:tcBorders>
              <w:bottom w:val="single" w:sz="4" w:space="0" w:color="auto"/>
            </w:tcBorders>
          </w:tcPr>
          <w:p w:rsidR="00F40769" w:rsidRDefault="00F40769">
            <w:pPr>
              <w:rPr>
                <w:rFonts w:hint="eastAsia"/>
              </w:rPr>
            </w:pPr>
          </w:p>
        </w:tc>
        <w:tc>
          <w:tcPr>
            <w:tcW w:w="2273" w:type="dxa"/>
            <w:tcBorders>
              <w:bottom w:val="single" w:sz="4" w:space="0" w:color="auto"/>
            </w:tcBorders>
            <w:vAlign w:val="bottom"/>
          </w:tcPr>
          <w:p w:rsidR="00F40769" w:rsidRDefault="00F4076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40769" w:rsidRDefault="00F40769">
            <w:pPr>
              <w:spacing w:line="240" w:lineRule="atLeast"/>
              <w:jc w:val="right"/>
              <w:rPr>
                <w:szCs w:val="21"/>
              </w:rPr>
            </w:pPr>
            <w:r>
              <w:rPr>
                <w:rFonts w:hint="eastAsia"/>
                <w:sz w:val="40"/>
                <w:szCs w:val="40"/>
              </w:rPr>
              <w:t>CCPR</w:t>
            </w:r>
            <w:r>
              <w:rPr>
                <w:sz w:val="20"/>
              </w:rPr>
              <w:t>/</w:t>
            </w:r>
            <w:r>
              <w:rPr>
                <w:sz w:val="20"/>
                <w:lang w:val="fr-FR"/>
              </w:rPr>
              <w:t>C/EST/CO/3</w:t>
            </w:r>
          </w:p>
        </w:tc>
      </w:tr>
      <w:tr w:rsidR="00F40769">
        <w:trPr>
          <w:trHeight w:hRule="exact" w:val="2835"/>
        </w:trPr>
        <w:tc>
          <w:tcPr>
            <w:tcW w:w="1280" w:type="dxa"/>
            <w:tcBorders>
              <w:top w:val="single" w:sz="4" w:space="0" w:color="auto"/>
              <w:bottom w:val="single" w:sz="12" w:space="0" w:color="auto"/>
            </w:tcBorders>
          </w:tcPr>
          <w:p w:rsidR="00F40769" w:rsidRDefault="00F40769">
            <w:pPr>
              <w:spacing w:line="120" w:lineRule="atLeast"/>
              <w:rPr>
                <w:sz w:val="10"/>
                <w:szCs w:val="10"/>
              </w:rPr>
            </w:pPr>
          </w:p>
          <w:p w:rsidR="00F40769" w:rsidRDefault="00F4076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40769" w:rsidRDefault="00F40769">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F40769" w:rsidRDefault="00F40769">
            <w:pPr>
              <w:spacing w:before="240" w:line="240" w:lineRule="atLeast"/>
              <w:rPr>
                <w:rFonts w:hint="eastAsia"/>
                <w:sz w:val="20"/>
              </w:rPr>
            </w:pPr>
            <w:r>
              <w:rPr>
                <w:sz w:val="20"/>
              </w:rPr>
              <w:t xml:space="preserve">Distr.: </w:t>
            </w:r>
            <w:r>
              <w:t>General</w:t>
            </w:r>
          </w:p>
          <w:p w:rsidR="00F40769" w:rsidRDefault="00F40769">
            <w:pPr>
              <w:spacing w:line="240" w:lineRule="atLeast"/>
              <w:rPr>
                <w:rFonts w:hint="eastAsia"/>
                <w:sz w:val="20"/>
              </w:rPr>
            </w:pPr>
            <w:r>
              <w:rPr>
                <w:rFonts w:hint="eastAsia"/>
                <w:sz w:val="20"/>
              </w:rPr>
              <w:t xml:space="preserve">4 </w:t>
            </w:r>
            <w:r>
              <w:rPr>
                <w:sz w:val="20"/>
              </w:rPr>
              <w:t>August 20</w:t>
            </w:r>
            <w:r>
              <w:rPr>
                <w:rFonts w:hint="eastAsia"/>
                <w:sz w:val="20"/>
              </w:rPr>
              <w:t>10</w:t>
            </w:r>
          </w:p>
          <w:p w:rsidR="00F40769" w:rsidRDefault="00F40769">
            <w:pPr>
              <w:spacing w:line="240" w:lineRule="atLeast"/>
              <w:rPr>
                <w:sz w:val="20"/>
              </w:rPr>
            </w:pPr>
            <w:r>
              <w:rPr>
                <w:sz w:val="20"/>
              </w:rPr>
              <w:t xml:space="preserve">Chinese </w:t>
            </w:r>
          </w:p>
          <w:p w:rsidR="00F40769" w:rsidRDefault="00F40769">
            <w:pPr>
              <w:spacing w:line="240" w:lineRule="atLeast"/>
              <w:rPr>
                <w:rFonts w:hint="eastAsia"/>
                <w:sz w:val="20"/>
              </w:rPr>
            </w:pPr>
            <w:r>
              <w:rPr>
                <w:sz w:val="20"/>
              </w:rPr>
              <w:t>Original: English</w:t>
            </w:r>
          </w:p>
        </w:tc>
      </w:tr>
    </w:tbl>
    <w:p w:rsidR="00F40769" w:rsidRDefault="00F40769">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F40769" w:rsidRDefault="00F40769">
      <w:pPr>
        <w:rPr>
          <w:rFonts w:ascii="Time New Roman" w:eastAsia="SimHei" w:hAnsi="Time New Roman" w:hint="eastAsia"/>
        </w:rPr>
      </w:pPr>
      <w:r>
        <w:rPr>
          <w:rFonts w:ascii="Time New Roman" w:eastAsia="SimHei" w:hAnsi="Time New Roman" w:hint="eastAsia"/>
        </w:rPr>
        <w:t>第九十九届会议</w:t>
      </w:r>
    </w:p>
    <w:p w:rsidR="00F40769" w:rsidRDefault="00F40769">
      <w:pPr>
        <w:rPr>
          <w:rFonts w:hint="eastAsia"/>
          <w:snapToGrid/>
        </w:rPr>
      </w:pPr>
      <w:r>
        <w:rPr>
          <w:rFonts w:hint="eastAsia"/>
          <w:snapToGrid/>
        </w:rPr>
        <w:t>2010</w:t>
      </w:r>
      <w:r>
        <w:rPr>
          <w:rFonts w:hint="eastAsia"/>
          <w:snapToGrid/>
        </w:rPr>
        <w:t>年</w:t>
      </w:r>
      <w:r>
        <w:rPr>
          <w:rFonts w:hint="eastAsia"/>
          <w:snapToGrid/>
        </w:rPr>
        <w:t>7</w:t>
      </w:r>
      <w:r>
        <w:rPr>
          <w:rFonts w:hint="eastAsia"/>
          <w:snapToGrid/>
        </w:rPr>
        <w:t>月</w:t>
      </w:r>
      <w:r>
        <w:rPr>
          <w:rFonts w:hint="eastAsia"/>
          <w:snapToGrid/>
        </w:rPr>
        <w:t>12</w:t>
      </w:r>
      <w:r>
        <w:rPr>
          <w:rFonts w:hint="eastAsia"/>
          <w:snapToGrid/>
        </w:rPr>
        <w:t>日至</w:t>
      </w:r>
      <w:r>
        <w:rPr>
          <w:rFonts w:hint="eastAsia"/>
          <w:snapToGrid/>
        </w:rPr>
        <w:t>30</w:t>
      </w:r>
      <w:r>
        <w:rPr>
          <w:rFonts w:hint="eastAsia"/>
          <w:snapToGrid/>
        </w:rPr>
        <w:t>日，日内瓦</w:t>
      </w:r>
    </w:p>
    <w:p w:rsidR="00F40769" w:rsidRDefault="00F40769">
      <w:pPr>
        <w:pStyle w:val="HChGC"/>
      </w:pPr>
      <w:r>
        <w:tab/>
      </w:r>
      <w:r>
        <w:tab/>
      </w:r>
      <w:r>
        <w:rPr>
          <w:rFonts w:hint="eastAsia"/>
        </w:rPr>
        <w:t>审议缔约国根据《公约》第四十条提交的报告</w:t>
      </w:r>
    </w:p>
    <w:p w:rsidR="00F40769" w:rsidRDefault="00F40769">
      <w:pPr>
        <w:pStyle w:val="H1GC"/>
        <w:rPr>
          <w:rFonts w:hint="eastAsia"/>
        </w:rPr>
      </w:pPr>
      <w:r>
        <w:tab/>
      </w:r>
      <w:r>
        <w:tab/>
      </w:r>
      <w:r>
        <w:rPr>
          <w:rFonts w:hint="eastAsia"/>
        </w:rPr>
        <w:t>人权事务委员会的结论性意见</w:t>
      </w:r>
    </w:p>
    <w:p w:rsidR="00F40769" w:rsidRDefault="00F40769">
      <w:pPr>
        <w:pStyle w:val="HChGC"/>
        <w:rPr>
          <w:rFonts w:hint="eastAsia"/>
        </w:rPr>
      </w:pPr>
      <w:r>
        <w:rPr>
          <w:rFonts w:hint="eastAsia"/>
        </w:rPr>
        <w:tab/>
      </w:r>
      <w:r>
        <w:rPr>
          <w:rFonts w:hint="eastAsia"/>
        </w:rPr>
        <w:tab/>
      </w:r>
      <w:r>
        <w:rPr>
          <w:rFonts w:hint="eastAsia"/>
        </w:rPr>
        <w:t>爱沙尼亚</w:t>
      </w:r>
    </w:p>
    <w:p w:rsidR="00F40769" w:rsidRDefault="00F40769">
      <w:pPr>
        <w:pStyle w:val="SingleTxtGC"/>
        <w:rPr>
          <w:rFonts w:hint="eastAsia"/>
        </w:rPr>
      </w:pPr>
      <w:r>
        <w:rPr>
          <w:rFonts w:hint="eastAsia"/>
        </w:rPr>
        <w:t xml:space="preserve">1.  </w:t>
      </w:r>
      <w:r>
        <w:rPr>
          <w:rFonts w:hint="eastAsia"/>
        </w:rPr>
        <w:t>委员会在</w:t>
      </w:r>
      <w:r>
        <w:rPr>
          <w:rFonts w:hint="eastAsia"/>
        </w:rPr>
        <w:t>2010</w:t>
      </w:r>
      <w:r>
        <w:rPr>
          <w:rFonts w:hint="eastAsia"/>
        </w:rPr>
        <w:t>年</w:t>
      </w:r>
      <w:r>
        <w:rPr>
          <w:rFonts w:hint="eastAsia"/>
        </w:rPr>
        <w:t>7</w:t>
      </w:r>
      <w:r>
        <w:rPr>
          <w:rFonts w:hint="eastAsia"/>
        </w:rPr>
        <w:t>月</w:t>
      </w:r>
      <w:r>
        <w:rPr>
          <w:rFonts w:hint="eastAsia"/>
        </w:rPr>
        <w:t>12</w:t>
      </w:r>
      <w:r>
        <w:rPr>
          <w:rFonts w:hint="eastAsia"/>
        </w:rPr>
        <w:t>日和</w:t>
      </w:r>
      <w:r>
        <w:rPr>
          <w:rFonts w:hint="eastAsia"/>
        </w:rPr>
        <w:t>13</w:t>
      </w:r>
      <w:r>
        <w:rPr>
          <w:rFonts w:hint="eastAsia"/>
        </w:rPr>
        <w:t>日举行的第</w:t>
      </w:r>
      <w:r>
        <w:rPr>
          <w:rFonts w:hint="eastAsia"/>
        </w:rPr>
        <w:t>2715</w:t>
      </w:r>
      <w:r>
        <w:rPr>
          <w:rFonts w:hint="eastAsia"/>
        </w:rPr>
        <w:t>次和第</w:t>
      </w:r>
      <w:r>
        <w:rPr>
          <w:rFonts w:hint="eastAsia"/>
        </w:rPr>
        <w:t>2716</w:t>
      </w:r>
      <w:r>
        <w:rPr>
          <w:rFonts w:hint="eastAsia"/>
        </w:rPr>
        <w:t>次会议</w:t>
      </w:r>
      <w:r>
        <w:rPr>
          <w:rFonts w:hint="eastAsia"/>
        </w:rPr>
        <w:t>(CCPR/C/SR.2715</w:t>
      </w:r>
      <w:r>
        <w:rPr>
          <w:rFonts w:hint="eastAsia"/>
        </w:rPr>
        <w:t>和</w:t>
      </w:r>
      <w:r>
        <w:rPr>
          <w:rFonts w:hint="eastAsia"/>
        </w:rPr>
        <w:t>CCPR/C/SR.2716)</w:t>
      </w:r>
      <w:r>
        <w:rPr>
          <w:rFonts w:hint="eastAsia"/>
        </w:rPr>
        <w:t>上审议了爱沙尼亚提交的第三次定期报告</w:t>
      </w:r>
      <w:r>
        <w:rPr>
          <w:rFonts w:hint="eastAsia"/>
        </w:rPr>
        <w:t xml:space="preserve"> (CCPR/C/EST/3)</w:t>
      </w:r>
      <w:r>
        <w:rPr>
          <w:rFonts w:hint="eastAsia"/>
        </w:rPr>
        <w:t>，并在</w:t>
      </w:r>
      <w:r>
        <w:rPr>
          <w:rFonts w:hint="eastAsia"/>
        </w:rPr>
        <w:t>2010</w:t>
      </w:r>
      <w:r>
        <w:rPr>
          <w:rFonts w:hint="eastAsia"/>
        </w:rPr>
        <w:t>年</w:t>
      </w:r>
      <w:r>
        <w:rPr>
          <w:rFonts w:hint="eastAsia"/>
        </w:rPr>
        <w:t>7</w:t>
      </w:r>
      <w:r>
        <w:rPr>
          <w:rFonts w:hint="eastAsia"/>
        </w:rPr>
        <w:t>月</w:t>
      </w:r>
      <w:r>
        <w:rPr>
          <w:rFonts w:hint="eastAsia"/>
        </w:rPr>
        <w:t>27</w:t>
      </w:r>
      <w:r>
        <w:rPr>
          <w:rFonts w:hint="eastAsia"/>
        </w:rPr>
        <w:t>日举行的第</w:t>
      </w:r>
      <w:r>
        <w:rPr>
          <w:rFonts w:hint="eastAsia"/>
        </w:rPr>
        <w:t>2736</w:t>
      </w:r>
      <w:r>
        <w:rPr>
          <w:rFonts w:hint="eastAsia"/>
        </w:rPr>
        <w:t>次会议</w:t>
      </w:r>
      <w:r>
        <w:rPr>
          <w:rFonts w:hint="eastAsia"/>
        </w:rPr>
        <w:t>(CCPR/C/SR. 2736)</w:t>
      </w:r>
      <w:r>
        <w:rPr>
          <w:rFonts w:hint="eastAsia"/>
        </w:rPr>
        <w:t>上通过了以下结论性意见。</w:t>
      </w:r>
    </w:p>
    <w:p w:rsidR="00F40769" w:rsidRDefault="00F40769">
      <w:pPr>
        <w:pStyle w:val="H1GC"/>
        <w:rPr>
          <w:rFonts w:hint="eastAsia"/>
        </w:rPr>
      </w:pPr>
      <w:r>
        <w:rPr>
          <w:rFonts w:hint="eastAsia"/>
        </w:rPr>
        <w:tab/>
        <w:t>A.</w:t>
      </w:r>
      <w:r>
        <w:rPr>
          <w:rFonts w:hint="eastAsia"/>
        </w:rPr>
        <w:tab/>
      </w:r>
      <w:r>
        <w:rPr>
          <w:rFonts w:hint="eastAsia"/>
        </w:rPr>
        <w:t>导言</w:t>
      </w:r>
    </w:p>
    <w:p w:rsidR="00F40769" w:rsidRDefault="00F40769">
      <w:pPr>
        <w:pStyle w:val="SingleTxtGC"/>
        <w:rPr>
          <w:rFonts w:hint="eastAsia"/>
        </w:rPr>
      </w:pPr>
      <w:r>
        <w:rPr>
          <w:rFonts w:hint="eastAsia"/>
        </w:rPr>
        <w:t xml:space="preserve">2.  </w:t>
      </w:r>
      <w:r>
        <w:rPr>
          <w:rFonts w:hint="eastAsia"/>
        </w:rPr>
        <w:t>委员会欢迎爱沙尼亚及时提交第三次定期报告，并表示赞赏委员会与代表团进行了建设性对话。它还欢迎缔约国详细通报了它为进一步执行《公约》而采取的措施和即将出台的计划。委员会还感谢缔约国在回答委员会书面问题之前提交的书面答复，以及代表团口头和书面提供的详细补充资料。</w:t>
      </w:r>
    </w:p>
    <w:p w:rsidR="00F40769" w:rsidRDefault="00F40769">
      <w:pPr>
        <w:pStyle w:val="H1GC"/>
        <w:rPr>
          <w:rFonts w:hint="eastAsia"/>
        </w:rPr>
      </w:pPr>
      <w:r>
        <w:rPr>
          <w:rFonts w:hint="eastAsia"/>
        </w:rPr>
        <w:tab/>
        <w:t>B.</w:t>
      </w:r>
      <w:r>
        <w:rPr>
          <w:rFonts w:hint="eastAsia"/>
        </w:rPr>
        <w:tab/>
      </w:r>
      <w:r>
        <w:rPr>
          <w:rFonts w:hint="eastAsia"/>
        </w:rPr>
        <w:t>积极方面</w:t>
      </w:r>
    </w:p>
    <w:p w:rsidR="00F40769" w:rsidRDefault="00F40769">
      <w:pPr>
        <w:pStyle w:val="SingleTxtGC"/>
        <w:rPr>
          <w:rFonts w:hint="eastAsia"/>
        </w:rPr>
      </w:pPr>
      <w:r>
        <w:rPr>
          <w:rFonts w:hint="eastAsia"/>
        </w:rPr>
        <w:t xml:space="preserve">3.  </w:t>
      </w:r>
      <w:r>
        <w:rPr>
          <w:rFonts w:hint="eastAsia"/>
        </w:rPr>
        <w:t>委员会注意到缔约国持续努力保护人权，欢迎缔约国采取了以下立法和其他措施：</w:t>
      </w:r>
    </w:p>
    <w:p w:rsidR="00F40769" w:rsidRDefault="00F40769">
      <w:pPr>
        <w:pStyle w:val="SingleTxtGC"/>
        <w:rPr>
          <w:rFonts w:hint="eastAsia"/>
        </w:rPr>
      </w:pPr>
      <w:r>
        <w:rPr>
          <w:rFonts w:hint="eastAsia"/>
        </w:rPr>
        <w:tab/>
        <w:t>(a)</w:t>
      </w:r>
      <w:r>
        <w:rPr>
          <w:rFonts w:hint="eastAsia"/>
        </w:rPr>
        <w:tab/>
      </w:r>
      <w:r>
        <w:rPr>
          <w:rFonts w:hint="eastAsia"/>
        </w:rPr>
        <w:t>通过了新的《刑事诉讼法》，</w:t>
      </w:r>
      <w:r>
        <w:rPr>
          <w:rFonts w:hint="eastAsia"/>
        </w:rPr>
        <w:t>2004</w:t>
      </w:r>
      <w:r>
        <w:rPr>
          <w:rFonts w:hint="eastAsia"/>
        </w:rPr>
        <w:t>年生效；</w:t>
      </w:r>
    </w:p>
    <w:p w:rsidR="00F40769" w:rsidRDefault="00F40769">
      <w:pPr>
        <w:pStyle w:val="SingleTxtGC"/>
        <w:rPr>
          <w:rFonts w:hint="eastAsia"/>
        </w:rPr>
      </w:pPr>
      <w:r>
        <w:rPr>
          <w:rFonts w:hint="eastAsia"/>
        </w:rPr>
        <w:tab/>
        <w:t>(b)</w:t>
      </w:r>
      <w:r>
        <w:rPr>
          <w:rFonts w:hint="eastAsia"/>
        </w:rPr>
        <w:tab/>
      </w:r>
      <w:r>
        <w:rPr>
          <w:rFonts w:hint="eastAsia"/>
        </w:rPr>
        <w:t>通过了《受害者支助法》，</w:t>
      </w:r>
      <w:r>
        <w:rPr>
          <w:rFonts w:hint="eastAsia"/>
        </w:rPr>
        <w:t>2004</w:t>
      </w:r>
      <w:r>
        <w:rPr>
          <w:rFonts w:hint="eastAsia"/>
        </w:rPr>
        <w:t>年生效；</w:t>
      </w:r>
    </w:p>
    <w:p w:rsidR="00F40769" w:rsidRPr="00F40769" w:rsidRDefault="00F40769">
      <w:pPr>
        <w:pStyle w:val="SingleTxtGC"/>
        <w:rPr>
          <w:rFonts w:hint="eastAsia"/>
          <w:spacing w:val="-6"/>
        </w:rPr>
      </w:pPr>
      <w:r>
        <w:rPr>
          <w:rFonts w:hint="eastAsia"/>
        </w:rPr>
        <w:tab/>
        <w:t>(c)</w:t>
      </w:r>
      <w:r>
        <w:rPr>
          <w:rFonts w:hint="eastAsia"/>
        </w:rPr>
        <w:tab/>
      </w:r>
      <w:r w:rsidRPr="00F40769">
        <w:rPr>
          <w:rFonts w:hint="eastAsia"/>
          <w:spacing w:val="-6"/>
        </w:rPr>
        <w:t>修订《刑法》</w:t>
      </w:r>
      <w:r w:rsidRPr="00F40769">
        <w:rPr>
          <w:rFonts w:hint="eastAsia"/>
          <w:spacing w:val="-6"/>
        </w:rPr>
        <w:t>(</w:t>
      </w:r>
      <w:r w:rsidRPr="00F40769">
        <w:rPr>
          <w:rFonts w:hint="eastAsia"/>
          <w:spacing w:val="-6"/>
        </w:rPr>
        <w:t>第</w:t>
      </w:r>
      <w:r w:rsidRPr="00F40769">
        <w:rPr>
          <w:rFonts w:hint="eastAsia"/>
          <w:spacing w:val="-6"/>
        </w:rPr>
        <w:t>133</w:t>
      </w:r>
      <w:r w:rsidRPr="00F40769">
        <w:rPr>
          <w:rFonts w:hint="eastAsia"/>
          <w:spacing w:val="-6"/>
        </w:rPr>
        <w:t>条</w:t>
      </w:r>
      <w:r w:rsidRPr="00F40769">
        <w:rPr>
          <w:rFonts w:hint="eastAsia"/>
          <w:spacing w:val="-6"/>
        </w:rPr>
        <w:t>)</w:t>
      </w:r>
      <w:r w:rsidRPr="00F40769">
        <w:rPr>
          <w:rFonts w:hint="eastAsia"/>
          <w:spacing w:val="-6"/>
        </w:rPr>
        <w:t>，修正案</w:t>
      </w:r>
      <w:r w:rsidRPr="00F40769">
        <w:rPr>
          <w:rFonts w:hint="eastAsia"/>
          <w:spacing w:val="-6"/>
        </w:rPr>
        <w:t>2007</w:t>
      </w:r>
      <w:r w:rsidRPr="00F40769">
        <w:rPr>
          <w:rFonts w:hint="eastAsia"/>
          <w:spacing w:val="-6"/>
        </w:rPr>
        <w:t>年生效，改进了奴役内容的定义；</w:t>
      </w:r>
    </w:p>
    <w:p w:rsidR="00F40769" w:rsidRDefault="00F40769">
      <w:pPr>
        <w:pStyle w:val="SingleTxtGC"/>
        <w:rPr>
          <w:rFonts w:hint="eastAsia"/>
        </w:rPr>
      </w:pPr>
      <w:r>
        <w:rPr>
          <w:rFonts w:hint="eastAsia"/>
        </w:rPr>
        <w:tab/>
        <w:t>(d)</w:t>
      </w:r>
      <w:r>
        <w:rPr>
          <w:rFonts w:hint="eastAsia"/>
        </w:rPr>
        <w:tab/>
      </w:r>
      <w:r>
        <w:rPr>
          <w:rFonts w:hint="eastAsia"/>
        </w:rPr>
        <w:t>修订了《警察法》和相关立法，</w:t>
      </w:r>
      <w:r>
        <w:rPr>
          <w:rFonts w:hint="eastAsia"/>
        </w:rPr>
        <w:t>2008</w:t>
      </w:r>
      <w:r>
        <w:rPr>
          <w:rFonts w:hint="eastAsia"/>
        </w:rPr>
        <w:t>年生效；</w:t>
      </w:r>
    </w:p>
    <w:p w:rsidR="00F40769" w:rsidRDefault="00F40769">
      <w:pPr>
        <w:pStyle w:val="SingleTxtGC"/>
        <w:rPr>
          <w:rFonts w:hint="eastAsia"/>
        </w:rPr>
      </w:pPr>
      <w:r>
        <w:rPr>
          <w:rFonts w:hint="eastAsia"/>
        </w:rPr>
        <w:tab/>
        <w:t>(e)</w:t>
      </w:r>
      <w:r>
        <w:rPr>
          <w:rFonts w:hint="eastAsia"/>
        </w:rPr>
        <w:tab/>
      </w:r>
      <w:r>
        <w:rPr>
          <w:rFonts w:hint="eastAsia"/>
        </w:rPr>
        <w:t>通过了《监禁法》；</w:t>
      </w:r>
    </w:p>
    <w:p w:rsidR="00F40769" w:rsidRDefault="00F40769">
      <w:pPr>
        <w:pStyle w:val="SingleTxtGC"/>
        <w:rPr>
          <w:rFonts w:hint="eastAsia"/>
        </w:rPr>
      </w:pPr>
      <w:r>
        <w:rPr>
          <w:rFonts w:hint="eastAsia"/>
        </w:rPr>
        <w:tab/>
        <w:t>(f)</w:t>
      </w:r>
      <w:r>
        <w:rPr>
          <w:rFonts w:hint="eastAsia"/>
        </w:rPr>
        <w:tab/>
      </w:r>
      <w:r>
        <w:rPr>
          <w:rFonts w:hint="eastAsia"/>
        </w:rPr>
        <w:t>通过了《国家法律援助法》，</w:t>
      </w:r>
      <w:r>
        <w:rPr>
          <w:rFonts w:hint="eastAsia"/>
        </w:rPr>
        <w:t>2005</w:t>
      </w:r>
      <w:r>
        <w:rPr>
          <w:rFonts w:hint="eastAsia"/>
        </w:rPr>
        <w:t>年生效；</w:t>
      </w:r>
    </w:p>
    <w:p w:rsidR="00F40769" w:rsidRDefault="00F40769">
      <w:pPr>
        <w:pStyle w:val="SingleTxtGC"/>
        <w:rPr>
          <w:rFonts w:hint="eastAsia"/>
        </w:rPr>
      </w:pPr>
      <w:r>
        <w:rPr>
          <w:rFonts w:hint="eastAsia"/>
        </w:rPr>
        <w:tab/>
        <w:t>(g)</w:t>
      </w:r>
      <w:r>
        <w:rPr>
          <w:rFonts w:hint="eastAsia"/>
        </w:rPr>
        <w:tab/>
      </w:r>
      <w:r>
        <w:rPr>
          <w:rFonts w:hint="eastAsia"/>
        </w:rPr>
        <w:t>通过了新的《执行程序法》，</w:t>
      </w:r>
      <w:r>
        <w:rPr>
          <w:rFonts w:hint="eastAsia"/>
        </w:rPr>
        <w:t>2010</w:t>
      </w:r>
      <w:r>
        <w:rPr>
          <w:rFonts w:hint="eastAsia"/>
        </w:rPr>
        <w:t>年生效；</w:t>
      </w:r>
    </w:p>
    <w:p w:rsidR="00F40769" w:rsidRDefault="00F40769">
      <w:pPr>
        <w:pStyle w:val="SingleTxtGC"/>
        <w:rPr>
          <w:rFonts w:hint="eastAsia"/>
        </w:rPr>
      </w:pPr>
      <w:r>
        <w:rPr>
          <w:rFonts w:hint="eastAsia"/>
        </w:rPr>
        <w:tab/>
        <w:t>(h)</w:t>
      </w:r>
      <w:r>
        <w:rPr>
          <w:rFonts w:hint="eastAsia"/>
        </w:rPr>
        <w:tab/>
      </w:r>
      <w:r>
        <w:rPr>
          <w:rFonts w:hint="eastAsia"/>
        </w:rPr>
        <w:t>任命了司法总监，作为国家预防酷刑机制。</w:t>
      </w:r>
    </w:p>
    <w:p w:rsidR="00F40769" w:rsidRDefault="00F40769">
      <w:pPr>
        <w:pStyle w:val="SingleTxtGC"/>
        <w:rPr>
          <w:rFonts w:hint="eastAsia"/>
        </w:rPr>
      </w:pPr>
      <w:r>
        <w:rPr>
          <w:rFonts w:hint="eastAsia"/>
        </w:rPr>
        <w:t xml:space="preserve">4.  </w:t>
      </w:r>
      <w:r>
        <w:rPr>
          <w:rFonts w:hint="eastAsia"/>
        </w:rPr>
        <w:t>委员会还欢迎缔约国批准和加入以下文书：</w:t>
      </w:r>
    </w:p>
    <w:p w:rsidR="00F40769" w:rsidRDefault="00F40769">
      <w:pPr>
        <w:pStyle w:val="SingleTxtGC"/>
        <w:rPr>
          <w:rFonts w:hint="eastAsia"/>
        </w:rPr>
      </w:pPr>
      <w:r>
        <w:rPr>
          <w:rFonts w:hint="eastAsia"/>
        </w:rPr>
        <w:tab/>
        <w:t>(a)</w:t>
      </w:r>
      <w:r>
        <w:rPr>
          <w:rFonts w:hint="eastAsia"/>
        </w:rPr>
        <w:tab/>
      </w:r>
      <w:r>
        <w:rPr>
          <w:rFonts w:hint="eastAsia"/>
        </w:rPr>
        <w:t>《公民权利和政治权利国际公约第二任择议定书》，目的是废除死刑，</w:t>
      </w:r>
      <w:r>
        <w:rPr>
          <w:rFonts w:hint="eastAsia"/>
        </w:rPr>
        <w:t>2004</w:t>
      </w:r>
      <w:r>
        <w:rPr>
          <w:rFonts w:hint="eastAsia"/>
        </w:rPr>
        <w:t>年对该国生效；</w:t>
      </w:r>
    </w:p>
    <w:p w:rsidR="00F40769" w:rsidRDefault="00F40769">
      <w:pPr>
        <w:pStyle w:val="SingleTxtGC"/>
        <w:rPr>
          <w:rFonts w:hint="eastAsia"/>
        </w:rPr>
      </w:pPr>
      <w:r>
        <w:rPr>
          <w:rFonts w:hint="eastAsia"/>
        </w:rPr>
        <w:tab/>
        <w:t>(b)</w:t>
      </w:r>
      <w:r>
        <w:rPr>
          <w:rFonts w:hint="eastAsia"/>
        </w:rPr>
        <w:tab/>
      </w:r>
      <w:r>
        <w:rPr>
          <w:rFonts w:hint="eastAsia"/>
        </w:rPr>
        <w:t>《联合国打击跨国有组织犯罪公约关于预防、禁止和惩治贩卖人口特别是妇女和儿童行为的议定书》，</w:t>
      </w:r>
      <w:r>
        <w:rPr>
          <w:rFonts w:hint="eastAsia"/>
        </w:rPr>
        <w:t>2004</w:t>
      </w:r>
      <w:r>
        <w:rPr>
          <w:rFonts w:hint="eastAsia"/>
        </w:rPr>
        <w:t>年对该国生效；</w:t>
      </w:r>
    </w:p>
    <w:p w:rsidR="00F40769" w:rsidRDefault="00F40769">
      <w:pPr>
        <w:pStyle w:val="SingleTxtGC"/>
        <w:rPr>
          <w:rFonts w:hint="eastAsia"/>
        </w:rPr>
      </w:pPr>
      <w:r>
        <w:rPr>
          <w:rFonts w:hint="eastAsia"/>
        </w:rPr>
        <w:tab/>
        <w:t>(c)</w:t>
      </w:r>
      <w:r>
        <w:rPr>
          <w:rFonts w:hint="eastAsia"/>
        </w:rPr>
        <w:tab/>
      </w:r>
      <w:r>
        <w:rPr>
          <w:rFonts w:hint="eastAsia"/>
        </w:rPr>
        <w:t>《儿童权利公约关于买卖儿童、儿童卖淫和儿童色情制品问题的任择议定书》，</w:t>
      </w:r>
      <w:r>
        <w:rPr>
          <w:rFonts w:hint="eastAsia"/>
        </w:rPr>
        <w:t>2004</w:t>
      </w:r>
      <w:r>
        <w:rPr>
          <w:rFonts w:hint="eastAsia"/>
        </w:rPr>
        <w:t>年</w:t>
      </w:r>
      <w:r>
        <w:rPr>
          <w:rFonts w:hint="eastAsia"/>
        </w:rPr>
        <w:t>9</w:t>
      </w:r>
      <w:r>
        <w:rPr>
          <w:rFonts w:hint="eastAsia"/>
        </w:rPr>
        <w:t>月对该国生效；</w:t>
      </w:r>
    </w:p>
    <w:p w:rsidR="00F40769" w:rsidRDefault="00F40769">
      <w:pPr>
        <w:pStyle w:val="SingleTxtGC"/>
        <w:rPr>
          <w:rFonts w:hint="eastAsia"/>
        </w:rPr>
      </w:pPr>
      <w:r>
        <w:rPr>
          <w:rFonts w:hint="eastAsia"/>
        </w:rPr>
        <w:tab/>
        <w:t>(d)</w:t>
      </w:r>
      <w:r>
        <w:rPr>
          <w:rFonts w:hint="eastAsia"/>
        </w:rPr>
        <w:tab/>
      </w:r>
      <w:r>
        <w:rPr>
          <w:rFonts w:hint="eastAsia"/>
        </w:rPr>
        <w:t>《联合国打击跨国有组织犯罪公约关于打击陆、海、空偷运移民的补充议定书》，</w:t>
      </w:r>
      <w:r>
        <w:rPr>
          <w:rFonts w:hint="eastAsia"/>
        </w:rPr>
        <w:t>2004</w:t>
      </w:r>
      <w:r>
        <w:rPr>
          <w:rFonts w:hint="eastAsia"/>
        </w:rPr>
        <w:t>年</w:t>
      </w:r>
      <w:r>
        <w:rPr>
          <w:rFonts w:hint="eastAsia"/>
        </w:rPr>
        <w:t>6</w:t>
      </w:r>
      <w:r>
        <w:rPr>
          <w:rFonts w:hint="eastAsia"/>
        </w:rPr>
        <w:t>月对该国生效；</w:t>
      </w:r>
    </w:p>
    <w:p w:rsidR="00F40769" w:rsidRDefault="00F40769">
      <w:pPr>
        <w:pStyle w:val="SingleTxtGC"/>
        <w:rPr>
          <w:rFonts w:hint="eastAsia"/>
        </w:rPr>
      </w:pPr>
      <w:r>
        <w:rPr>
          <w:rFonts w:hint="eastAsia"/>
        </w:rPr>
        <w:tab/>
        <w:t>(e)</w:t>
      </w:r>
      <w:r>
        <w:rPr>
          <w:rFonts w:hint="eastAsia"/>
        </w:rPr>
        <w:tab/>
      </w:r>
      <w:r>
        <w:rPr>
          <w:rFonts w:hint="eastAsia"/>
        </w:rPr>
        <w:t>《禁止酷刑和其他残忍、不人道或有辱人格的待遇或处罚公约任择议定书》，</w:t>
      </w:r>
      <w:r>
        <w:rPr>
          <w:rFonts w:hint="eastAsia"/>
        </w:rPr>
        <w:t>2007</w:t>
      </w:r>
      <w:r>
        <w:rPr>
          <w:rFonts w:hint="eastAsia"/>
        </w:rPr>
        <w:t>年对该国生效。</w:t>
      </w:r>
    </w:p>
    <w:p w:rsidR="00F40769" w:rsidRDefault="00F40769">
      <w:pPr>
        <w:pStyle w:val="H1GC"/>
        <w:rPr>
          <w:rFonts w:hint="eastAsia"/>
        </w:rPr>
      </w:pPr>
      <w:r>
        <w:rPr>
          <w:rFonts w:hint="eastAsia"/>
        </w:rPr>
        <w:tab/>
        <w:t>C.</w:t>
      </w:r>
      <w:r>
        <w:rPr>
          <w:rFonts w:hint="eastAsia"/>
        </w:rPr>
        <w:tab/>
      </w:r>
      <w:r>
        <w:rPr>
          <w:rFonts w:hint="eastAsia"/>
        </w:rPr>
        <w:t>主要关注的问题和建议</w:t>
      </w:r>
    </w:p>
    <w:p w:rsidR="00F40769" w:rsidRDefault="00F40769">
      <w:pPr>
        <w:pStyle w:val="SingleTxtGC"/>
        <w:rPr>
          <w:rFonts w:hint="eastAsia"/>
        </w:rPr>
      </w:pPr>
      <w:r>
        <w:rPr>
          <w:rFonts w:hint="eastAsia"/>
        </w:rPr>
        <w:t xml:space="preserve">5.  </w:t>
      </w:r>
      <w:r>
        <w:rPr>
          <w:rFonts w:hint="eastAsia"/>
        </w:rPr>
        <w:t>委员会注意到缔约国说明了司法总监的权责、任务和职能，但关切这一机构没有遵照促进和保护人权国家机构地位的原则</w:t>
      </w:r>
      <w:r>
        <w:rPr>
          <w:rFonts w:hint="eastAsia"/>
        </w:rPr>
        <w:t>(</w:t>
      </w:r>
      <w:r>
        <w:rPr>
          <w:rFonts w:hint="eastAsia"/>
        </w:rPr>
        <w:t>即《巴黎原则》，大会第</w:t>
      </w:r>
      <w:r>
        <w:rPr>
          <w:rFonts w:hint="eastAsia"/>
        </w:rPr>
        <w:t>48/134</w:t>
      </w:r>
      <w:r>
        <w:rPr>
          <w:rFonts w:hint="eastAsia"/>
        </w:rPr>
        <w:t>号决议</w:t>
      </w:r>
      <w:r>
        <w:rPr>
          <w:rFonts w:hint="eastAsia"/>
        </w:rPr>
        <w:t>)</w:t>
      </w:r>
      <w:r>
        <w:rPr>
          <w:rFonts w:hint="eastAsia"/>
        </w:rPr>
        <w:t>，充分地参与促进和保护人权活动，特别是没有充分发挥协调机构的作用和推动国家机构与民间团体之间的充分合作</w:t>
      </w:r>
      <w:r>
        <w:rPr>
          <w:rFonts w:hint="eastAsia"/>
        </w:rPr>
        <w:t>(</w:t>
      </w:r>
      <w:r>
        <w:rPr>
          <w:rFonts w:hint="eastAsia"/>
        </w:rPr>
        <w:t>第二条</w:t>
      </w:r>
      <w:r>
        <w:rPr>
          <w:rFonts w:hint="eastAsia"/>
        </w:rPr>
        <w:t>)</w:t>
      </w:r>
      <w:r>
        <w:rPr>
          <w:rFonts w:hint="eastAsia"/>
        </w:rPr>
        <w:t>。</w:t>
      </w:r>
    </w:p>
    <w:p w:rsidR="00F40769" w:rsidRDefault="00F40769">
      <w:pPr>
        <w:pStyle w:val="SingleTxtGC"/>
        <w:rPr>
          <w:rFonts w:eastAsia="SimHei" w:hint="eastAsia"/>
        </w:rPr>
      </w:pPr>
      <w:r>
        <w:rPr>
          <w:rFonts w:eastAsia="SimHei" w:hint="eastAsia"/>
        </w:rPr>
        <w:t>缔约国应该授予司法总监更大的权力，以便遵照《巴黎原则》，更充分地促进和保护所有人权，或通过其他手段实现这一目标，并考虑到《禁止酷刑和其他残忍、不人道或有辱人格的待遇或处罚公约》对国家预防机制的要求。</w:t>
      </w:r>
    </w:p>
    <w:p w:rsidR="00F40769" w:rsidRDefault="00F40769">
      <w:pPr>
        <w:pStyle w:val="SingleTxtGC"/>
        <w:rPr>
          <w:rFonts w:hint="eastAsia"/>
        </w:rPr>
      </w:pPr>
      <w:r>
        <w:rPr>
          <w:rFonts w:hint="eastAsia"/>
        </w:rPr>
        <w:t xml:space="preserve">6.  </w:t>
      </w:r>
      <w:r>
        <w:rPr>
          <w:rFonts w:hint="eastAsia"/>
        </w:rPr>
        <w:t>委员会欢迎缔约国</w:t>
      </w:r>
      <w:r>
        <w:rPr>
          <w:rFonts w:hint="eastAsia"/>
        </w:rPr>
        <w:t>2004</w:t>
      </w:r>
      <w:r>
        <w:rPr>
          <w:rFonts w:hint="eastAsia"/>
        </w:rPr>
        <w:t>年通过旨在反对对妇女的歧视的《性别平等法》和</w:t>
      </w:r>
      <w:r>
        <w:rPr>
          <w:rFonts w:hint="eastAsia"/>
        </w:rPr>
        <w:t>2008</w:t>
      </w:r>
      <w:r>
        <w:rPr>
          <w:rFonts w:hint="eastAsia"/>
        </w:rPr>
        <w:t>年通过的《平等待遇法》，但关切缔约国境内对妇女的普遍歧视，特别是在劳动力市场中男女收入差距约为</w:t>
      </w:r>
      <w:r>
        <w:rPr>
          <w:rFonts w:hint="eastAsia"/>
        </w:rPr>
        <w:t>40%</w:t>
      </w:r>
      <w:r>
        <w:rPr>
          <w:rFonts w:hint="eastAsia"/>
        </w:rPr>
        <w:t>。它还关切司法总监与性别平等和平等待遇事务专员之间在处理歧视申诉方面权责重叠，可能影响两个机构在性别平等领域的效力。委员会还关切性别平等和平等待遇事务专员办公室缺乏人力和财力，而且缔约国尚未建立性别平等理事会</w:t>
      </w:r>
      <w:r>
        <w:rPr>
          <w:rFonts w:hint="eastAsia"/>
        </w:rPr>
        <w:t>(</w:t>
      </w:r>
      <w:r>
        <w:rPr>
          <w:rFonts w:hint="eastAsia"/>
        </w:rPr>
        <w:t>第三条</w:t>
      </w:r>
      <w:r>
        <w:rPr>
          <w:rFonts w:hint="eastAsia"/>
        </w:rPr>
        <w:t>)</w:t>
      </w:r>
      <w:r>
        <w:rPr>
          <w:rFonts w:hint="eastAsia"/>
        </w:rPr>
        <w:t>。</w:t>
      </w:r>
    </w:p>
    <w:p w:rsidR="00F40769" w:rsidRDefault="00F40769">
      <w:pPr>
        <w:pStyle w:val="SingleTxtGC"/>
        <w:rPr>
          <w:rFonts w:eastAsia="SimHei" w:hint="eastAsia"/>
        </w:rPr>
      </w:pPr>
      <w:r>
        <w:rPr>
          <w:rFonts w:eastAsia="SimHei" w:hint="eastAsia"/>
        </w:rPr>
        <w:t>缔约国应采取适当措施：</w:t>
      </w:r>
    </w:p>
    <w:p w:rsidR="00F40769" w:rsidRDefault="00F40769">
      <w:pPr>
        <w:pStyle w:val="SingleTxtGC"/>
        <w:rPr>
          <w:rFonts w:eastAsia="SimHei" w:hint="eastAsia"/>
        </w:rPr>
      </w:pPr>
      <w:r>
        <w:rPr>
          <w:rFonts w:eastAsia="SimHei" w:hint="eastAsia"/>
        </w:rPr>
        <w:tab/>
        <w:t>(a)</w:t>
      </w:r>
      <w:r>
        <w:rPr>
          <w:rFonts w:eastAsia="SimHei" w:hint="eastAsia"/>
        </w:rPr>
        <w:tab/>
      </w:r>
      <w:r>
        <w:rPr>
          <w:rFonts w:eastAsia="SimHei" w:hint="eastAsia"/>
        </w:rPr>
        <w:t>确保《性别平等法》和《平等待遇法》的有效执行，特别是男女之间同工同酬原则的有效执行；</w:t>
      </w:r>
    </w:p>
    <w:p w:rsidR="00F40769" w:rsidRDefault="00F40769">
      <w:pPr>
        <w:pStyle w:val="SingleTxtGC"/>
        <w:rPr>
          <w:rFonts w:eastAsia="SimHei" w:hint="eastAsia"/>
        </w:rPr>
      </w:pPr>
      <w:r>
        <w:rPr>
          <w:rFonts w:eastAsia="SimHei" w:hint="eastAsia"/>
        </w:rPr>
        <w:tab/>
        <w:t>(b)</w:t>
      </w:r>
      <w:r>
        <w:rPr>
          <w:rFonts w:eastAsia="SimHei" w:hint="eastAsia"/>
        </w:rPr>
        <w:tab/>
      </w:r>
      <w:r>
        <w:rPr>
          <w:rFonts w:eastAsia="SimHei" w:hint="eastAsia"/>
        </w:rPr>
        <w:t>开展提高意识运动，消除劳动力市场和人民中的性别偏见：</w:t>
      </w:r>
    </w:p>
    <w:p w:rsidR="00F40769" w:rsidRDefault="00F40769">
      <w:pPr>
        <w:pStyle w:val="SingleTxtGC"/>
        <w:rPr>
          <w:rFonts w:eastAsia="SimHei" w:hint="eastAsia"/>
        </w:rPr>
      </w:pPr>
      <w:r>
        <w:rPr>
          <w:rFonts w:eastAsia="SimHei" w:hint="eastAsia"/>
        </w:rPr>
        <w:tab/>
        <w:t>(c)</w:t>
      </w:r>
      <w:r>
        <w:rPr>
          <w:rFonts w:eastAsia="SimHei" w:hint="eastAsia"/>
        </w:rPr>
        <w:tab/>
      </w:r>
      <w:r>
        <w:rPr>
          <w:rFonts w:eastAsia="SimHei" w:hint="eastAsia"/>
        </w:rPr>
        <w:t>确保向司法总监和性别平等和平等待遇事务专员办公室提交申诉制度的有效性，说明各自的作用；</w:t>
      </w:r>
    </w:p>
    <w:p w:rsidR="00F40769" w:rsidRDefault="00F40769">
      <w:pPr>
        <w:pStyle w:val="SingleTxtGC"/>
        <w:rPr>
          <w:rFonts w:eastAsia="SimHei" w:hint="eastAsia"/>
        </w:rPr>
      </w:pPr>
      <w:r>
        <w:rPr>
          <w:rFonts w:eastAsia="SimHei" w:hint="eastAsia"/>
        </w:rPr>
        <w:tab/>
        <w:t>(d)</w:t>
      </w:r>
      <w:r>
        <w:rPr>
          <w:rFonts w:eastAsia="SimHei" w:hint="eastAsia"/>
        </w:rPr>
        <w:tab/>
      </w:r>
      <w:r>
        <w:rPr>
          <w:rFonts w:eastAsia="SimHei" w:hint="eastAsia"/>
        </w:rPr>
        <w:t>加强性别平等和平等待遇事务专员办公室的效力，向其提供充分的人力和财力；</w:t>
      </w:r>
    </w:p>
    <w:p w:rsidR="00F40769" w:rsidRDefault="00F40769">
      <w:pPr>
        <w:pStyle w:val="SingleTxtGC"/>
        <w:rPr>
          <w:rFonts w:eastAsia="SimHei" w:hint="eastAsia"/>
        </w:rPr>
      </w:pPr>
      <w:r>
        <w:rPr>
          <w:rFonts w:eastAsia="SimHei" w:hint="eastAsia"/>
        </w:rPr>
        <w:tab/>
        <w:t>(e)</w:t>
      </w:r>
      <w:r>
        <w:rPr>
          <w:rFonts w:eastAsia="SimHei" w:hint="eastAsia"/>
        </w:rPr>
        <w:tab/>
      </w:r>
      <w:r>
        <w:rPr>
          <w:rFonts w:eastAsia="SimHei" w:hint="eastAsia"/>
        </w:rPr>
        <w:t>按《性别平等法》的设想，建立性别平等理事会。</w:t>
      </w:r>
    </w:p>
    <w:p w:rsidR="00F40769" w:rsidRDefault="00F40769">
      <w:pPr>
        <w:pStyle w:val="SingleTxtGC"/>
        <w:rPr>
          <w:rFonts w:hint="eastAsia"/>
        </w:rPr>
      </w:pPr>
      <w:r>
        <w:rPr>
          <w:rFonts w:hint="eastAsia"/>
        </w:rPr>
        <w:t xml:space="preserve">7.  </w:t>
      </w:r>
      <w:r>
        <w:rPr>
          <w:rFonts w:hint="eastAsia"/>
        </w:rPr>
        <w:t>委员会关切缔约国《刑法》</w:t>
      </w:r>
      <w:r>
        <w:rPr>
          <w:rFonts w:hint="eastAsia"/>
        </w:rPr>
        <w:t>(</w:t>
      </w:r>
      <w:r>
        <w:rPr>
          <w:rFonts w:hint="eastAsia"/>
        </w:rPr>
        <w:t>第</w:t>
      </w:r>
      <w:r>
        <w:rPr>
          <w:rFonts w:hint="eastAsia"/>
        </w:rPr>
        <w:t>122</w:t>
      </w:r>
      <w:r>
        <w:rPr>
          <w:rFonts w:hint="eastAsia"/>
        </w:rPr>
        <w:t>条</w:t>
      </w:r>
      <w:r>
        <w:rPr>
          <w:rFonts w:hint="eastAsia"/>
        </w:rPr>
        <w:t>)</w:t>
      </w:r>
      <w:r>
        <w:rPr>
          <w:rFonts w:hint="eastAsia"/>
        </w:rPr>
        <w:t>所载定义过于狭窄，不符合《禁止酷刑和其他残忍、不人道或有辱人格的待遇或处罚公约》第一条定义的规定，也不符合《公约》第七条</w:t>
      </w:r>
      <w:r>
        <w:rPr>
          <w:rFonts w:hint="eastAsia"/>
        </w:rPr>
        <w:t>(</w:t>
      </w:r>
      <w:r>
        <w:rPr>
          <w:rFonts w:hint="eastAsia"/>
        </w:rPr>
        <w:t>第七条</w:t>
      </w:r>
      <w:r>
        <w:rPr>
          <w:rFonts w:hint="eastAsia"/>
        </w:rPr>
        <w:t>)</w:t>
      </w:r>
      <w:r>
        <w:rPr>
          <w:rFonts w:hint="eastAsia"/>
        </w:rPr>
        <w:t>。</w:t>
      </w:r>
    </w:p>
    <w:p w:rsidR="00F40769" w:rsidRDefault="00F40769">
      <w:pPr>
        <w:pStyle w:val="SingleTxtGC"/>
        <w:rPr>
          <w:rFonts w:eastAsia="SimHei" w:hint="eastAsia"/>
        </w:rPr>
      </w:pPr>
      <w:r>
        <w:rPr>
          <w:rFonts w:eastAsia="SimHei" w:hint="eastAsia"/>
        </w:rPr>
        <w:t>缔约国应修订《刑法》，确保充分遵守关于禁止酷刑的国际规范，特别是《公约》第七条。</w:t>
      </w:r>
    </w:p>
    <w:p w:rsidR="00F40769" w:rsidRDefault="00F40769">
      <w:pPr>
        <w:pStyle w:val="SingleTxtGC"/>
        <w:rPr>
          <w:rFonts w:hint="eastAsia"/>
        </w:rPr>
      </w:pPr>
      <w:r>
        <w:rPr>
          <w:rFonts w:hint="eastAsia"/>
        </w:rPr>
        <w:t xml:space="preserve">8.  </w:t>
      </w:r>
      <w:r>
        <w:rPr>
          <w:rFonts w:hint="eastAsia"/>
        </w:rPr>
        <w:t>委员会关切缔约国不准备采取措施，也不准备考虑对</w:t>
      </w:r>
      <w:r>
        <w:rPr>
          <w:rFonts w:hint="eastAsia"/>
        </w:rPr>
        <w:t>2007</w:t>
      </w:r>
      <w:r>
        <w:rPr>
          <w:rFonts w:hint="eastAsia"/>
        </w:rPr>
        <w:t>年“青铜之夜事件”后被剥夺自由者给予集体赔偿，而只是处理个人索赔</w:t>
      </w:r>
      <w:r>
        <w:rPr>
          <w:rFonts w:hint="eastAsia"/>
        </w:rPr>
        <w:t>(</w:t>
      </w:r>
      <w:r>
        <w:rPr>
          <w:rFonts w:hint="eastAsia"/>
        </w:rPr>
        <w:t>第七条和第十四条</w:t>
      </w:r>
      <w:r>
        <w:rPr>
          <w:rFonts w:hint="eastAsia"/>
        </w:rPr>
        <w:t>)</w:t>
      </w:r>
      <w:r>
        <w:rPr>
          <w:rFonts w:hint="eastAsia"/>
        </w:rPr>
        <w:t>。</w:t>
      </w:r>
    </w:p>
    <w:p w:rsidR="00F40769" w:rsidRDefault="00F40769">
      <w:pPr>
        <w:pStyle w:val="SingleTxtGC"/>
        <w:rPr>
          <w:rFonts w:eastAsia="SimHei" w:hint="eastAsia"/>
        </w:rPr>
      </w:pPr>
      <w:r>
        <w:rPr>
          <w:rFonts w:eastAsia="SimHei" w:hint="eastAsia"/>
        </w:rPr>
        <w:t>缔约国应决定对</w:t>
      </w:r>
      <w:r>
        <w:rPr>
          <w:rFonts w:eastAsia="SimHei" w:hint="eastAsia"/>
        </w:rPr>
        <w:t>2007</w:t>
      </w:r>
      <w:r>
        <w:rPr>
          <w:rFonts w:eastAsia="SimHei" w:hint="eastAsia"/>
        </w:rPr>
        <w:t>年“青铜之夜事件”后被剥夺自由者给予何种集体赔偿。</w:t>
      </w:r>
    </w:p>
    <w:p w:rsidR="00F40769" w:rsidRDefault="00F40769">
      <w:pPr>
        <w:pStyle w:val="SingleTxtGC"/>
        <w:rPr>
          <w:rFonts w:hint="eastAsia"/>
        </w:rPr>
      </w:pPr>
      <w:r>
        <w:rPr>
          <w:rFonts w:hint="eastAsia"/>
        </w:rPr>
        <w:t xml:space="preserve">9.  </w:t>
      </w:r>
      <w:r>
        <w:rPr>
          <w:rFonts w:hint="eastAsia"/>
        </w:rPr>
        <w:t>委员会注意到缔约国努力打击贩运妇女和女童活动，特别是制定了</w:t>
      </w:r>
      <w:r>
        <w:rPr>
          <w:rFonts w:hint="eastAsia"/>
        </w:rPr>
        <w:t>2006-2009</w:t>
      </w:r>
      <w:r>
        <w:rPr>
          <w:rFonts w:hint="eastAsia"/>
        </w:rPr>
        <w:t>年打击人口贩运发展计划，但关切这一现象在缔约国一直存在</w:t>
      </w:r>
      <w:r>
        <w:rPr>
          <w:rFonts w:hint="eastAsia"/>
        </w:rPr>
        <w:t>(</w:t>
      </w:r>
      <w:r>
        <w:rPr>
          <w:rFonts w:hint="eastAsia"/>
        </w:rPr>
        <w:t>第八条</w:t>
      </w:r>
      <w:r>
        <w:rPr>
          <w:rFonts w:hint="eastAsia"/>
        </w:rPr>
        <w:t>)</w:t>
      </w:r>
      <w:r>
        <w:rPr>
          <w:rFonts w:hint="eastAsia"/>
        </w:rPr>
        <w:t>。</w:t>
      </w:r>
    </w:p>
    <w:p w:rsidR="00F40769" w:rsidRDefault="00F40769">
      <w:pPr>
        <w:pStyle w:val="SingleTxtGC"/>
        <w:rPr>
          <w:rFonts w:eastAsia="SimHei" w:hint="eastAsia"/>
        </w:rPr>
      </w:pPr>
      <w:r>
        <w:rPr>
          <w:rFonts w:eastAsia="SimHei" w:hint="eastAsia"/>
        </w:rPr>
        <w:t>缔约国应该：</w:t>
      </w:r>
    </w:p>
    <w:p w:rsidR="00F40769" w:rsidRDefault="00F40769">
      <w:pPr>
        <w:pStyle w:val="SingleTxtGC"/>
        <w:rPr>
          <w:rFonts w:eastAsia="SimHei" w:hint="eastAsia"/>
        </w:rPr>
      </w:pPr>
      <w:r>
        <w:rPr>
          <w:rFonts w:eastAsia="SimHei" w:hint="eastAsia"/>
        </w:rPr>
        <w:tab/>
        <w:t>(a)</w:t>
      </w:r>
      <w:r>
        <w:rPr>
          <w:rFonts w:eastAsia="SimHei" w:hint="eastAsia"/>
        </w:rPr>
        <w:tab/>
      </w:r>
      <w:r>
        <w:rPr>
          <w:rFonts w:eastAsia="SimHei" w:hint="eastAsia"/>
        </w:rPr>
        <w:t>更加努力地解决妇女和女童贩运问题，包括通过《</w:t>
      </w:r>
      <w:r>
        <w:rPr>
          <w:rFonts w:eastAsia="SimHei" w:hint="eastAsia"/>
        </w:rPr>
        <w:t>2010</w:t>
      </w:r>
      <w:r>
        <w:rPr>
          <w:rFonts w:eastAsia="SimHei" w:hint="eastAsia"/>
        </w:rPr>
        <w:t>－</w:t>
      </w:r>
      <w:r>
        <w:rPr>
          <w:rFonts w:eastAsia="SimHei" w:hint="eastAsia"/>
        </w:rPr>
        <w:t>2014</w:t>
      </w:r>
      <w:r>
        <w:rPr>
          <w:rFonts w:eastAsia="SimHei" w:hint="eastAsia"/>
        </w:rPr>
        <w:t>年减少暴力计划》来实现这一目标；</w:t>
      </w:r>
    </w:p>
    <w:p w:rsidR="00F40769" w:rsidRDefault="00F40769">
      <w:pPr>
        <w:pStyle w:val="SingleTxtGC"/>
        <w:rPr>
          <w:rFonts w:eastAsia="SimHei" w:hint="eastAsia"/>
        </w:rPr>
      </w:pPr>
      <w:r>
        <w:rPr>
          <w:rFonts w:eastAsia="SimHei" w:hint="eastAsia"/>
        </w:rPr>
        <w:tab/>
        <w:t>(b)</w:t>
      </w:r>
      <w:r>
        <w:rPr>
          <w:rFonts w:eastAsia="SimHei" w:hint="eastAsia"/>
        </w:rPr>
        <w:tab/>
      </w:r>
      <w:r>
        <w:rPr>
          <w:rFonts w:eastAsia="SimHei" w:hint="eastAsia"/>
        </w:rPr>
        <w:t>对有关责任者进行起诉、判刑和惩治；</w:t>
      </w:r>
    </w:p>
    <w:p w:rsidR="00F40769" w:rsidRDefault="00F40769">
      <w:pPr>
        <w:pStyle w:val="SingleTxtGC"/>
        <w:rPr>
          <w:rFonts w:eastAsia="SimHei" w:hint="eastAsia"/>
        </w:rPr>
      </w:pPr>
      <w:r>
        <w:rPr>
          <w:rFonts w:eastAsia="SimHei" w:hint="eastAsia"/>
        </w:rPr>
        <w:tab/>
        <w:t>(c)</w:t>
      </w:r>
      <w:r>
        <w:rPr>
          <w:rFonts w:eastAsia="SimHei" w:hint="eastAsia"/>
        </w:rPr>
        <w:tab/>
      </w:r>
      <w:r>
        <w:rPr>
          <w:rFonts w:eastAsia="SimHei" w:hint="eastAsia"/>
        </w:rPr>
        <w:t>通过有关修正案，在司法部正起草的刑法中列入有关贩运问题的专门条款；</w:t>
      </w:r>
    </w:p>
    <w:p w:rsidR="00F40769" w:rsidRDefault="00F40769">
      <w:pPr>
        <w:pStyle w:val="SingleTxtGC"/>
        <w:rPr>
          <w:rFonts w:eastAsia="SimHei" w:hint="eastAsia"/>
        </w:rPr>
      </w:pPr>
      <w:r>
        <w:rPr>
          <w:rFonts w:eastAsia="SimHei" w:hint="eastAsia"/>
        </w:rPr>
        <w:tab/>
        <w:t>(d)</w:t>
      </w:r>
      <w:r>
        <w:rPr>
          <w:rFonts w:eastAsia="SimHei" w:hint="eastAsia"/>
        </w:rPr>
        <w:tab/>
      </w:r>
      <w:r>
        <w:rPr>
          <w:rFonts w:eastAsia="SimHei" w:hint="eastAsia"/>
        </w:rPr>
        <w:t>增加这一问题的国际合作。</w:t>
      </w:r>
    </w:p>
    <w:p w:rsidR="00F40769" w:rsidRDefault="00F40769">
      <w:pPr>
        <w:pStyle w:val="SingleTxtGC"/>
        <w:rPr>
          <w:rFonts w:hint="eastAsia"/>
        </w:rPr>
      </w:pPr>
      <w:r>
        <w:rPr>
          <w:rFonts w:hint="eastAsia"/>
        </w:rPr>
        <w:t xml:space="preserve">10.  </w:t>
      </w:r>
      <w:r>
        <w:rPr>
          <w:rFonts w:hint="eastAsia"/>
        </w:rPr>
        <w:t>委员会表示关切的是，同性性伙伴中的非公民进入缔约国受到移民配额限制，即使这一伙伴关系已在国外得到正式承认，其伙伴已在缔约国定居</w:t>
      </w:r>
      <w:r>
        <w:rPr>
          <w:rFonts w:hint="eastAsia"/>
        </w:rPr>
        <w:t>(</w:t>
      </w:r>
      <w:r>
        <w:rPr>
          <w:rFonts w:hint="eastAsia"/>
        </w:rPr>
        <w:t>第二、十二、十七、二十三和二十六条</w:t>
      </w:r>
      <w:r>
        <w:rPr>
          <w:rFonts w:hint="eastAsia"/>
        </w:rPr>
        <w:t>)</w:t>
      </w:r>
      <w:r>
        <w:rPr>
          <w:rFonts w:hint="eastAsia"/>
        </w:rPr>
        <w:t>。</w:t>
      </w:r>
    </w:p>
    <w:p w:rsidR="00F40769" w:rsidRDefault="00F40769">
      <w:pPr>
        <w:pStyle w:val="SingleTxtGC"/>
        <w:rPr>
          <w:rFonts w:eastAsia="SimHei" w:hint="eastAsia"/>
        </w:rPr>
      </w:pPr>
      <w:r>
        <w:rPr>
          <w:rFonts w:eastAsia="SimHei" w:hint="eastAsia"/>
        </w:rPr>
        <w:t>缔约国应该审查其立法和惯例，扩大同性性伙伴关系中个人的权利，当同性性伙伴一方已在缔约国居住，应给予不是公民的另一方以居住许可。</w:t>
      </w:r>
    </w:p>
    <w:p w:rsidR="00F40769" w:rsidRDefault="00F40769">
      <w:pPr>
        <w:pStyle w:val="SingleTxtGC"/>
        <w:rPr>
          <w:rFonts w:hint="eastAsia"/>
        </w:rPr>
      </w:pPr>
      <w:r>
        <w:rPr>
          <w:rFonts w:hint="eastAsia"/>
        </w:rPr>
        <w:t xml:space="preserve">11.  </w:t>
      </w:r>
      <w:r>
        <w:rPr>
          <w:rFonts w:hint="eastAsia"/>
        </w:rPr>
        <w:t>委员会注意到个人的庇护申请被驳回后可以向行政法庭提出上诉，但仍关切的是，根据《给予外国人国际保护法》，上诉期不具有暂停驱逐的效应</w:t>
      </w:r>
      <w:r>
        <w:rPr>
          <w:rFonts w:hint="eastAsia"/>
        </w:rPr>
        <w:t>(</w:t>
      </w:r>
      <w:r>
        <w:rPr>
          <w:rFonts w:hint="eastAsia"/>
        </w:rPr>
        <w:t>第二条和第十三条</w:t>
      </w:r>
      <w:r>
        <w:rPr>
          <w:rFonts w:hint="eastAsia"/>
        </w:rPr>
        <w:t>)</w:t>
      </w:r>
      <w:r>
        <w:rPr>
          <w:rFonts w:hint="eastAsia"/>
        </w:rPr>
        <w:t>。</w:t>
      </w:r>
    </w:p>
    <w:p w:rsidR="00F40769" w:rsidRDefault="00F40769">
      <w:pPr>
        <w:pStyle w:val="SingleTxtGC"/>
        <w:rPr>
          <w:rFonts w:eastAsia="SimHei" w:hint="eastAsia"/>
        </w:rPr>
      </w:pPr>
      <w:r>
        <w:rPr>
          <w:rFonts w:eastAsia="SimHei" w:hint="eastAsia"/>
        </w:rPr>
        <w:t>委员会重申，它曾建议，宣布庇护申请不予受理的决定不应该取消上诉期的暂停驱逐效应。</w:t>
      </w:r>
    </w:p>
    <w:p w:rsidR="00F40769" w:rsidRDefault="00F40769">
      <w:pPr>
        <w:pStyle w:val="SingleTxtGC"/>
        <w:rPr>
          <w:rFonts w:hint="eastAsia"/>
        </w:rPr>
      </w:pPr>
      <w:r>
        <w:rPr>
          <w:rFonts w:hint="eastAsia"/>
        </w:rPr>
        <w:t xml:space="preserve">12.  </w:t>
      </w:r>
      <w:r>
        <w:rPr>
          <w:rFonts w:hint="eastAsia"/>
        </w:rPr>
        <w:t>委员会关切的是，当心智残障人员被起诉时，其或其法定监护人常常被剥夺充分了解刑事诉讼和指控权、公平审判权以及适足和有效的法律援助权。委员会还关切被任命评估患者是否需要继续接受强制性措施的专家应来自患者所在的同一所医院</w:t>
      </w:r>
      <w:r>
        <w:rPr>
          <w:rFonts w:hint="eastAsia"/>
        </w:rPr>
        <w:t>(</w:t>
      </w:r>
      <w:r>
        <w:rPr>
          <w:rFonts w:hint="eastAsia"/>
        </w:rPr>
        <w:t>第十四条</w:t>
      </w:r>
      <w:r>
        <w:rPr>
          <w:rFonts w:hint="eastAsia"/>
        </w:rPr>
        <w:t>)</w:t>
      </w:r>
      <w:r>
        <w:rPr>
          <w:rFonts w:hint="eastAsia"/>
        </w:rPr>
        <w:t>。</w:t>
      </w:r>
    </w:p>
    <w:p w:rsidR="00F40769" w:rsidRDefault="00F40769">
      <w:pPr>
        <w:pStyle w:val="SingleTxtGC"/>
        <w:rPr>
          <w:rFonts w:eastAsia="SimHei" w:hint="eastAsia"/>
        </w:rPr>
      </w:pPr>
      <w:r>
        <w:rPr>
          <w:rFonts w:eastAsia="SimHei" w:hint="eastAsia"/>
        </w:rPr>
        <w:t>缔约国应保证在心智残障人员被起诉时酌情向其或其监护人充分告知对其的刑事诉讼和指控，并保障他们享有公平审判权以及充分有效的法律辩护援助权。还应该确保被任命评估患者是否需要继续接受强制性待遇的专家应该是公正的。而且，缔约国应对法官和律师进行培训，让他们了解在法院接受审判的心智残障人员应该享有的权利。</w:t>
      </w:r>
    </w:p>
    <w:p w:rsidR="00F40769" w:rsidRDefault="00F40769">
      <w:pPr>
        <w:pStyle w:val="SingleTxtGC"/>
        <w:rPr>
          <w:rFonts w:hint="eastAsia"/>
        </w:rPr>
      </w:pPr>
      <w:r>
        <w:rPr>
          <w:rFonts w:hint="eastAsia"/>
        </w:rPr>
        <w:t xml:space="preserve">13.  </w:t>
      </w:r>
      <w:r>
        <w:rPr>
          <w:rFonts w:hint="eastAsia"/>
        </w:rPr>
        <w:t>委员会注意到《刑事诉讼法》在减少刑事诉讼时间方面有了改进，但仍然关切对在押者没有特别的刑事诉讼规定</w:t>
      </w:r>
      <w:r>
        <w:rPr>
          <w:rFonts w:hint="eastAsia"/>
        </w:rPr>
        <w:t>(</w:t>
      </w:r>
      <w:r>
        <w:rPr>
          <w:rFonts w:hint="eastAsia"/>
        </w:rPr>
        <w:t>第十四条</w:t>
      </w:r>
      <w:r>
        <w:rPr>
          <w:rFonts w:hint="eastAsia"/>
        </w:rPr>
        <w:t>)</w:t>
      </w:r>
      <w:r>
        <w:rPr>
          <w:rFonts w:hint="eastAsia"/>
        </w:rPr>
        <w:t>。</w:t>
      </w:r>
    </w:p>
    <w:p w:rsidR="00F40769" w:rsidRDefault="00F40769">
      <w:pPr>
        <w:pStyle w:val="SingleTxtGC"/>
        <w:rPr>
          <w:rFonts w:eastAsia="SimHei" w:hint="eastAsia"/>
        </w:rPr>
      </w:pPr>
      <w:r>
        <w:rPr>
          <w:rFonts w:eastAsia="SimHei" w:hint="eastAsia"/>
        </w:rPr>
        <w:t>缔约国应审查其《刑事诉讼法》，列入有关需要加速对在押被告的审理程序的条款。</w:t>
      </w:r>
    </w:p>
    <w:p w:rsidR="00F40769" w:rsidRDefault="00F40769">
      <w:pPr>
        <w:pStyle w:val="SingleTxtGC"/>
        <w:rPr>
          <w:rFonts w:hint="eastAsia"/>
        </w:rPr>
      </w:pPr>
      <w:r>
        <w:rPr>
          <w:rFonts w:hint="eastAsia"/>
        </w:rPr>
        <w:t xml:space="preserve">14.  </w:t>
      </w:r>
      <w:r>
        <w:rPr>
          <w:rFonts w:hint="eastAsia"/>
        </w:rPr>
        <w:t>委员会关切的是，过去几年获得批准的兵役替代役申请很少</w:t>
      </w:r>
      <w:r>
        <w:rPr>
          <w:rFonts w:hint="eastAsia"/>
        </w:rPr>
        <w:t>(2007</w:t>
      </w:r>
      <w:r>
        <w:rPr>
          <w:rFonts w:hint="eastAsia"/>
        </w:rPr>
        <w:t>年收到</w:t>
      </w:r>
      <w:r>
        <w:rPr>
          <w:rFonts w:hint="eastAsia"/>
        </w:rPr>
        <w:t>64</w:t>
      </w:r>
      <w:r>
        <w:rPr>
          <w:rFonts w:hint="eastAsia"/>
        </w:rPr>
        <w:t>件，批准</w:t>
      </w:r>
      <w:r>
        <w:rPr>
          <w:rFonts w:hint="eastAsia"/>
        </w:rPr>
        <w:t>11</w:t>
      </w:r>
      <w:r>
        <w:rPr>
          <w:rFonts w:hint="eastAsia"/>
        </w:rPr>
        <w:t>件；</w:t>
      </w:r>
      <w:r>
        <w:rPr>
          <w:rFonts w:hint="eastAsia"/>
        </w:rPr>
        <w:t>2008</w:t>
      </w:r>
      <w:r>
        <w:rPr>
          <w:rFonts w:hint="eastAsia"/>
        </w:rPr>
        <w:t>年收到</w:t>
      </w:r>
      <w:r>
        <w:rPr>
          <w:rFonts w:hint="eastAsia"/>
        </w:rPr>
        <w:t>68</w:t>
      </w:r>
      <w:r>
        <w:rPr>
          <w:rFonts w:hint="eastAsia"/>
        </w:rPr>
        <w:t>件，批准</w:t>
      </w:r>
      <w:r>
        <w:rPr>
          <w:rFonts w:hint="eastAsia"/>
        </w:rPr>
        <w:t>14</w:t>
      </w:r>
      <w:r>
        <w:rPr>
          <w:rFonts w:hint="eastAsia"/>
        </w:rPr>
        <w:t>件；</w:t>
      </w:r>
      <w:r>
        <w:rPr>
          <w:rFonts w:hint="eastAsia"/>
        </w:rPr>
        <w:t>2009</w:t>
      </w:r>
      <w:r>
        <w:rPr>
          <w:rFonts w:hint="eastAsia"/>
        </w:rPr>
        <w:t>年收到</w:t>
      </w:r>
      <w:r>
        <w:rPr>
          <w:rFonts w:hint="eastAsia"/>
        </w:rPr>
        <w:t>53</w:t>
      </w:r>
      <w:r>
        <w:rPr>
          <w:rFonts w:hint="eastAsia"/>
        </w:rPr>
        <w:t>件，批准</w:t>
      </w:r>
      <w:r>
        <w:rPr>
          <w:rFonts w:hint="eastAsia"/>
        </w:rPr>
        <w:t>32</w:t>
      </w:r>
      <w:r>
        <w:rPr>
          <w:rFonts w:hint="eastAsia"/>
        </w:rPr>
        <w:t>件</w:t>
      </w:r>
      <w:r>
        <w:rPr>
          <w:rFonts w:hint="eastAsia"/>
        </w:rPr>
        <w:t>)</w:t>
      </w:r>
      <w:r>
        <w:rPr>
          <w:rFonts w:hint="eastAsia"/>
        </w:rPr>
        <w:t>。它还关切接受或驳回替代役申请都没有明确的理由</w:t>
      </w:r>
      <w:r>
        <w:rPr>
          <w:rFonts w:hint="eastAsia"/>
        </w:rPr>
        <w:t>(</w:t>
      </w:r>
      <w:r>
        <w:rPr>
          <w:rFonts w:hint="eastAsia"/>
        </w:rPr>
        <w:t>第十八条和第二十六条</w:t>
      </w:r>
      <w:r>
        <w:rPr>
          <w:rFonts w:hint="eastAsia"/>
        </w:rPr>
        <w:t>)</w:t>
      </w:r>
      <w:r>
        <w:rPr>
          <w:rFonts w:hint="eastAsia"/>
        </w:rPr>
        <w:t>。</w:t>
      </w:r>
    </w:p>
    <w:p w:rsidR="00F40769" w:rsidRDefault="00F40769">
      <w:pPr>
        <w:pStyle w:val="SingleTxtGC"/>
        <w:rPr>
          <w:rFonts w:eastAsia="SimHei" w:hint="eastAsia"/>
        </w:rPr>
      </w:pPr>
      <w:r>
        <w:rPr>
          <w:rFonts w:eastAsia="SimHei" w:hint="eastAsia"/>
        </w:rPr>
        <w:t>缔约国应说明接受或驳回兵役替代役申请的理由，并采取有关措施确保出于良心拒服兵役的权利。</w:t>
      </w:r>
    </w:p>
    <w:p w:rsidR="00F40769" w:rsidRDefault="00F40769">
      <w:pPr>
        <w:pStyle w:val="SingleTxtGC"/>
        <w:rPr>
          <w:rFonts w:hint="eastAsia"/>
        </w:rPr>
      </w:pPr>
      <w:r>
        <w:rPr>
          <w:rFonts w:hint="eastAsia"/>
        </w:rPr>
        <w:t xml:space="preserve">15.  </w:t>
      </w:r>
      <w:r>
        <w:rPr>
          <w:rFonts w:hint="eastAsia"/>
        </w:rPr>
        <w:t>委员会注意到提交议会的现行《公务员法》包括了限制获准罢工的公务员人数的规定，但关切的是不行使公共权力的公务员也无法充分享受罢工权</w:t>
      </w:r>
      <w:r>
        <w:rPr>
          <w:rFonts w:hint="eastAsia"/>
        </w:rPr>
        <w:t>(</w:t>
      </w:r>
      <w:r>
        <w:rPr>
          <w:rFonts w:hint="eastAsia"/>
        </w:rPr>
        <w:t>第二十二条</w:t>
      </w:r>
      <w:r>
        <w:rPr>
          <w:rFonts w:hint="eastAsia"/>
        </w:rPr>
        <w:t>)</w:t>
      </w:r>
      <w:r>
        <w:rPr>
          <w:rFonts w:hint="eastAsia"/>
        </w:rPr>
        <w:t>。</w:t>
      </w:r>
    </w:p>
    <w:p w:rsidR="00F40769" w:rsidRDefault="00F40769">
      <w:pPr>
        <w:pStyle w:val="SingleTxtGC"/>
        <w:rPr>
          <w:rFonts w:eastAsia="SimHei" w:hint="eastAsia"/>
        </w:rPr>
      </w:pPr>
      <w:r>
        <w:rPr>
          <w:rFonts w:eastAsia="SimHei" w:hint="eastAsia"/>
        </w:rPr>
        <w:t>缔约国应在立法中确保只有有限的公务员被剥夺罢工权。</w:t>
      </w:r>
    </w:p>
    <w:p w:rsidR="00F40769" w:rsidRDefault="00F40769">
      <w:pPr>
        <w:pStyle w:val="SingleTxtGC"/>
        <w:rPr>
          <w:rFonts w:hint="eastAsia"/>
        </w:rPr>
      </w:pPr>
      <w:r>
        <w:rPr>
          <w:rFonts w:hint="eastAsia"/>
        </w:rPr>
        <w:t xml:space="preserve">16.  </w:t>
      </w:r>
      <w:r>
        <w:rPr>
          <w:rFonts w:hint="eastAsia"/>
          <w:spacing w:val="-4"/>
        </w:rPr>
        <w:t>委员会注意到缔约国执行《</w:t>
      </w:r>
      <w:r>
        <w:rPr>
          <w:rFonts w:hint="eastAsia"/>
          <w:spacing w:val="-4"/>
        </w:rPr>
        <w:t>2000</w:t>
      </w:r>
      <w:r>
        <w:rPr>
          <w:rFonts w:hint="eastAsia"/>
          <w:spacing w:val="-4"/>
        </w:rPr>
        <w:t>－</w:t>
      </w:r>
      <w:r>
        <w:rPr>
          <w:rFonts w:hint="eastAsia"/>
          <w:spacing w:val="-4"/>
        </w:rPr>
        <w:t>2007</w:t>
      </w:r>
      <w:r>
        <w:rPr>
          <w:rFonts w:hint="eastAsia"/>
          <w:spacing w:val="-4"/>
        </w:rPr>
        <w:t>年爱沙尼亚一体化计划》和《</w:t>
      </w:r>
      <w:r>
        <w:rPr>
          <w:rFonts w:hint="eastAsia"/>
          <w:spacing w:val="-4"/>
        </w:rPr>
        <w:t>2008</w:t>
      </w:r>
      <w:r>
        <w:rPr>
          <w:rFonts w:hint="eastAsia"/>
          <w:spacing w:val="-4"/>
        </w:rPr>
        <w:t>－</w:t>
      </w:r>
      <w:r>
        <w:rPr>
          <w:rFonts w:hint="eastAsia"/>
          <w:spacing w:val="-4"/>
        </w:rPr>
        <w:t>2013</w:t>
      </w:r>
      <w:r>
        <w:rPr>
          <w:rFonts w:hint="eastAsia"/>
          <w:spacing w:val="-4"/>
        </w:rPr>
        <w:t>年爱沙尼亚一体化计划》</w:t>
      </w:r>
      <w:r>
        <w:rPr>
          <w:rFonts w:hint="eastAsia"/>
        </w:rPr>
        <w:t>，但关切的是，爱沙尼亚语言资格要求继续影响讲俄语的少数群体的就业和收入水平，包括在私营部门。委员会还关切国家和公共机构对讲俄语的少数群体的信任和信赖在减少</w:t>
      </w:r>
      <w:r>
        <w:rPr>
          <w:rFonts w:hint="eastAsia"/>
        </w:rPr>
        <w:t>(</w:t>
      </w:r>
      <w:r>
        <w:rPr>
          <w:rFonts w:hint="eastAsia"/>
        </w:rPr>
        <w:t>第二十六和第二十七条</w:t>
      </w:r>
      <w:r>
        <w:rPr>
          <w:rFonts w:hint="eastAsia"/>
        </w:rPr>
        <w:t>)</w:t>
      </w:r>
      <w:r>
        <w:rPr>
          <w:rFonts w:hint="eastAsia"/>
        </w:rPr>
        <w:t>。</w:t>
      </w:r>
    </w:p>
    <w:p w:rsidR="00F40769" w:rsidRDefault="00F40769">
      <w:pPr>
        <w:pStyle w:val="SingleTxtGC"/>
        <w:rPr>
          <w:rFonts w:eastAsia="SimHei" w:hint="eastAsia"/>
        </w:rPr>
      </w:pPr>
      <w:r>
        <w:rPr>
          <w:rFonts w:eastAsia="SimHei" w:hint="eastAsia"/>
        </w:rPr>
        <w:t>缔约国应采取措施，将讲俄语的少数群体纳入劳动力市场，包括为他们举办专业和语言培训。还应该采取措施，增加国家和公共机构对讲俄语的少数群体的信任和信赖。</w:t>
      </w:r>
    </w:p>
    <w:p w:rsidR="00F40769" w:rsidRDefault="00F40769">
      <w:pPr>
        <w:pStyle w:val="SingleTxtGC"/>
        <w:rPr>
          <w:rFonts w:hint="eastAsia"/>
        </w:rPr>
      </w:pPr>
      <w:r>
        <w:rPr>
          <w:rFonts w:hint="eastAsia"/>
        </w:rPr>
        <w:t xml:space="preserve">17.  </w:t>
      </w:r>
      <w:r>
        <w:rPr>
          <w:rFonts w:hint="eastAsia"/>
        </w:rPr>
        <w:t>委员会表示关切的是，缔约国没有广泛传播有关《公约》的信息、其结论性意见和缔约国提交的报告，包括没有在检察官、法官和律师广泛传播这些信息。它还关切缔约国与非政府组织之间的有限关系，在起草提交委员会的报告时，没有与非政府组织进行充分磋商</w:t>
      </w:r>
      <w:r>
        <w:rPr>
          <w:rFonts w:hint="eastAsia"/>
        </w:rPr>
        <w:t>(</w:t>
      </w:r>
      <w:r>
        <w:rPr>
          <w:rFonts w:hint="eastAsia"/>
        </w:rPr>
        <w:t>第二条</w:t>
      </w:r>
      <w:r>
        <w:rPr>
          <w:rFonts w:hint="eastAsia"/>
        </w:rPr>
        <w:t>)</w:t>
      </w:r>
      <w:r>
        <w:rPr>
          <w:rFonts w:hint="eastAsia"/>
        </w:rPr>
        <w:t>。</w:t>
      </w:r>
    </w:p>
    <w:p w:rsidR="00F40769" w:rsidRDefault="002B1551">
      <w:pPr>
        <w:pStyle w:val="SingleTxtGC"/>
        <w:rPr>
          <w:rFonts w:eastAsia="SimHei" w:hint="eastAsia"/>
        </w:rPr>
      </w:pPr>
      <w:r>
        <w:rPr>
          <w:rFonts w:eastAsia="SimHei"/>
        </w:rPr>
        <w:br w:type="page"/>
      </w:r>
      <w:r w:rsidR="00F40769">
        <w:rPr>
          <w:rFonts w:eastAsia="SimHei" w:hint="eastAsia"/>
        </w:rPr>
        <w:t>缔约国应采取一些适当措施，以爱沙尼亚文和俄文散发《公约》，并充分利用缔约国在信息技术方面的能力广泛散发所通过的结论性意见和提交委员会的报告。它还应该对检察官、法官和律师进行《公约》培训，加强与非政府组织的关系，并在起草提交委员会的定期报告过程中与它们进行协商。</w:t>
      </w:r>
    </w:p>
    <w:p w:rsidR="00F40769" w:rsidRDefault="00F40769">
      <w:pPr>
        <w:pStyle w:val="SingleTxtGC"/>
        <w:rPr>
          <w:rFonts w:hint="eastAsia"/>
        </w:rPr>
      </w:pPr>
      <w:r>
        <w:rPr>
          <w:rFonts w:hint="eastAsia"/>
        </w:rPr>
        <w:t xml:space="preserve">18.  </w:t>
      </w:r>
      <w:r>
        <w:rPr>
          <w:rFonts w:hint="eastAsia"/>
        </w:rPr>
        <w:t>根据委员会议事规则第</w:t>
      </w:r>
      <w:r>
        <w:rPr>
          <w:rFonts w:hint="eastAsia"/>
        </w:rPr>
        <w:t>71</w:t>
      </w:r>
      <w:r>
        <w:rPr>
          <w:rFonts w:hint="eastAsia"/>
        </w:rPr>
        <w:t>条第</w:t>
      </w:r>
      <w:r>
        <w:rPr>
          <w:rFonts w:hint="eastAsia"/>
        </w:rPr>
        <w:t>5</w:t>
      </w:r>
      <w:r>
        <w:rPr>
          <w:rFonts w:hint="eastAsia"/>
        </w:rPr>
        <w:t>款，委员会应在一年内提供资料说明现况和以上第</w:t>
      </w:r>
      <w:r>
        <w:rPr>
          <w:rFonts w:hint="eastAsia"/>
        </w:rPr>
        <w:t>5</w:t>
      </w:r>
      <w:r>
        <w:rPr>
          <w:rFonts w:hint="eastAsia"/>
        </w:rPr>
        <w:t>段和第</w:t>
      </w:r>
      <w:r>
        <w:rPr>
          <w:rFonts w:hint="eastAsia"/>
        </w:rPr>
        <w:t>6</w:t>
      </w:r>
      <w:r>
        <w:rPr>
          <w:rFonts w:hint="eastAsia"/>
        </w:rPr>
        <w:t>段所载委员会建议的执行情况。</w:t>
      </w:r>
    </w:p>
    <w:p w:rsidR="00F40769" w:rsidRDefault="00F40769">
      <w:pPr>
        <w:pStyle w:val="SingleTxtGC"/>
        <w:rPr>
          <w:rFonts w:hint="eastAsia"/>
        </w:rPr>
      </w:pPr>
      <w:r>
        <w:rPr>
          <w:rFonts w:hint="eastAsia"/>
        </w:rPr>
        <w:t xml:space="preserve">19.  </w:t>
      </w:r>
      <w:r>
        <w:rPr>
          <w:rFonts w:hint="eastAsia"/>
        </w:rPr>
        <w:t>委员会请缔约国在应于</w:t>
      </w:r>
      <w:r>
        <w:rPr>
          <w:rFonts w:hint="eastAsia"/>
        </w:rPr>
        <w:t>2015</w:t>
      </w:r>
      <w:r>
        <w:rPr>
          <w:rFonts w:hint="eastAsia"/>
        </w:rPr>
        <w:t>年</w:t>
      </w:r>
      <w:r>
        <w:rPr>
          <w:rFonts w:hint="eastAsia"/>
        </w:rPr>
        <w:t>7</w:t>
      </w:r>
      <w:r>
        <w:rPr>
          <w:rFonts w:hint="eastAsia"/>
        </w:rPr>
        <w:t>月</w:t>
      </w:r>
      <w:r>
        <w:rPr>
          <w:rFonts w:hint="eastAsia"/>
        </w:rPr>
        <w:t>30</w:t>
      </w:r>
      <w:r>
        <w:rPr>
          <w:rFonts w:hint="eastAsia"/>
        </w:rPr>
        <w:t>日之前提交的下一份定期报告中说明为执行其他建议和遵守整个《公约》所采取的行动。</w:t>
      </w:r>
    </w:p>
    <w:p w:rsidR="002B1551" w:rsidRDefault="002B1551">
      <w:pPr>
        <w:pStyle w:val="SingleTxtGC"/>
        <w:rPr>
          <w:rFonts w:hint="eastAsia"/>
        </w:rPr>
      </w:pPr>
    </w:p>
    <w:p w:rsidR="00F40769" w:rsidRDefault="00F4076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40769" w:rsidRDefault="00F40769">
      <w:pPr>
        <w:pStyle w:val="SingleTxtGC"/>
        <w:rPr>
          <w:rFonts w:hint="eastAsia"/>
        </w:rPr>
      </w:pPr>
    </w:p>
    <w:p w:rsidR="002B1551" w:rsidRDefault="002B1551">
      <w:pPr>
        <w:pStyle w:val="SingleTxtGC"/>
        <w:rPr>
          <w:rFonts w:hint="eastAsia"/>
        </w:rPr>
      </w:pPr>
    </w:p>
    <w:sectPr w:rsidR="002B155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769" w:rsidRDefault="00F40769">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F40769" w:rsidRDefault="00F40769">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769" w:rsidRDefault="00F40769">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2B1551">
      <w:rPr>
        <w:rStyle w:val="PageNumber"/>
        <w:noProof/>
      </w:rPr>
      <w:t>4</w:t>
    </w:r>
    <w:r>
      <w:rPr>
        <w:rStyle w:val="PageNumber"/>
      </w:rPr>
      <w:fldChar w:fldCharType="end"/>
    </w:r>
    <w:r>
      <w:rPr>
        <w:rStyle w:val="PageNumber"/>
        <w:rFonts w:eastAsia="SimSun" w:hint="eastAsia"/>
        <w:lang w:eastAsia="zh-CN"/>
      </w:rPr>
      <w:tab/>
    </w:r>
    <w:r>
      <w:rPr>
        <w:rFonts w:eastAsia="SimSun"/>
      </w:rPr>
      <w:t>GE.10-44135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769" w:rsidRDefault="00F40769">
    <w:pPr>
      <w:pStyle w:val="Footer"/>
      <w:tabs>
        <w:tab w:val="right" w:pos="9639"/>
      </w:tabs>
    </w:pPr>
    <w:r>
      <w:rPr>
        <w:rFonts w:eastAsia="SimSun"/>
      </w:rPr>
      <w:t>GE.10-44135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43B77">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769" w:rsidRDefault="00F4076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44135</w:t>
    </w:r>
    <w:r>
      <w:rPr>
        <w:rFonts w:eastAsia="SimSun"/>
        <w:sz w:val="20"/>
        <w:lang w:eastAsia="zh-CN"/>
      </w:rPr>
      <w:t xml:space="preserve"> (C)</w:t>
    </w:r>
    <w:r>
      <w:rPr>
        <w:rFonts w:eastAsia="SimSun"/>
        <w:sz w:val="20"/>
        <w:lang w:eastAsia="zh-CN"/>
      </w:rPr>
      <w:tab/>
    </w:r>
    <w:r>
      <w:rPr>
        <w:rFonts w:eastAsia="SimSun" w:hint="eastAsia"/>
        <w:sz w:val="20"/>
        <w:lang w:eastAsia="zh-CN"/>
      </w:rPr>
      <w:t>180810</w:t>
    </w:r>
    <w:r>
      <w:rPr>
        <w:rFonts w:eastAsia="SimSun"/>
        <w:sz w:val="20"/>
        <w:lang w:eastAsia="zh-CN"/>
      </w:rPr>
      <w:tab/>
    </w:r>
    <w:r>
      <w:rPr>
        <w:rFonts w:eastAsia="SimSun" w:hint="eastAsia"/>
        <w:sz w:val="20"/>
        <w:lang w:eastAsia="zh-CN"/>
      </w:rPr>
      <w:t>200810</w:t>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769" w:rsidRDefault="00F40769">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40769" w:rsidRDefault="00F40769">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769" w:rsidRDefault="00F40769">
    <w:pPr>
      <w:pStyle w:val="Header"/>
    </w:pPr>
    <w:r>
      <w:t>CCPR/C/EST/CO/3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769" w:rsidRDefault="00F40769">
    <w:pPr>
      <w:pStyle w:val="Header"/>
      <w:jc w:val="right"/>
    </w:pPr>
    <w:r>
      <w:t>CCPR/C/EST/CO/3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769" w:rsidRDefault="00F4076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2"/>
  </w:num>
  <w:num w:numId="13">
    <w:abstractNumId w:val="15"/>
  </w:num>
  <w:num w:numId="14">
    <w:abstractNumId w:val="11"/>
  </w:num>
  <w:num w:numId="15">
    <w:abstractNumId w:val="12"/>
  </w:num>
  <w:num w:numId="16">
    <w:abstractNumId w:val="20"/>
  </w:num>
  <w:num w:numId="17">
    <w:abstractNumId w:val="11"/>
  </w:num>
  <w:num w:numId="18">
    <w:abstractNumId w:val="11"/>
  </w:num>
  <w:num w:numId="19">
    <w:abstractNumId w:val="20"/>
  </w:num>
  <w:num w:numId="20">
    <w:abstractNumId w:val="12"/>
  </w:num>
  <w:num w:numId="21">
    <w:abstractNumId w:val="12"/>
  </w:num>
  <w:num w:numId="22">
    <w:abstractNumId w:val="17"/>
  </w:num>
  <w:num w:numId="23">
    <w:abstractNumId w:val="10"/>
  </w:num>
  <w:num w:numId="24">
    <w:abstractNumId w:val="14"/>
  </w:num>
  <w:num w:numId="25">
    <w:abstractNumId w:val="19"/>
  </w:num>
  <w:num w:numId="26">
    <w:abstractNumId w:val="16"/>
  </w:num>
  <w:num w:numId="27">
    <w:abstractNumId w:val="13"/>
  </w:num>
  <w:num w:numId="28">
    <w:abstractNumId w:val="17"/>
  </w:num>
  <w:num w:numId="29">
    <w:abstractNumId w:val="10"/>
  </w:num>
  <w:num w:numId="30">
    <w:abstractNumId w:val="14"/>
  </w:num>
  <w:num w:numId="31">
    <w:abstractNumId w:val="21"/>
  </w:num>
  <w:num w:numId="32">
    <w:abstractNumId w:val="19"/>
  </w:num>
  <w:num w:numId="33">
    <w:abstractNumId w:val="16"/>
  </w:num>
  <w:num w:numId="34">
    <w:abstractNumId w:val="13"/>
  </w:num>
  <w:num w:numId="35">
    <w:abstractNumId w:val="17"/>
  </w:num>
  <w:num w:numId="36">
    <w:abstractNumId w:val="10"/>
  </w:num>
  <w:num w:numId="37">
    <w:abstractNumId w:val="14"/>
  </w:num>
  <w:num w:numId="38">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0769"/>
    <w:rsid w:val="00143B77"/>
    <w:rsid w:val="002B1551"/>
    <w:rsid w:val="00F407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pPr>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8"/>
      </w:numPr>
      <w:spacing w:after="120"/>
      <w:ind w:right="1134"/>
    </w:pPr>
  </w:style>
  <w:style w:type="paragraph" w:customStyle="1" w:styleId="Bullet2GC">
    <w:name w:val="_Bullet 2_GC"/>
    <w:basedOn w:val="Normal"/>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Pr>
      <w:rFonts w:eastAsia="SimSun"/>
      <w:snapToGrid w:val="0"/>
      <w:sz w:val="21"/>
      <w:lang w:val="en-US" w:eastAsia="zh-CN" w:bidi="ar-SA"/>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5</Pages>
  <Words>551</Words>
  <Characters>3145</Characters>
  <Application>Microsoft Office Word</Application>
  <DocSecurity>4</DocSecurity>
  <Lines>26</Lines>
  <Paragraphs>7</Paragraphs>
  <ScaleCrop>false</ScaleCrop>
  <Company>CSD</Company>
  <LinksUpToDate>false</LinksUpToDate>
  <CharactersWithSpaces>3689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YANGW</dc:creator>
  <cp:keywords/>
  <dc:description/>
  <cp:lastModifiedBy>TIAN</cp:lastModifiedBy>
  <cp:revision>2</cp:revision>
  <cp:lastPrinted>2010-08-19T13:47:00Z</cp:lastPrinted>
  <dcterms:created xsi:type="dcterms:W3CDTF">2010-08-20T13:26:00Z</dcterms:created>
  <dcterms:modified xsi:type="dcterms:W3CDTF">2010-08-20T13:26:00Z</dcterms:modified>
</cp:coreProperties>
</file>