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CD04FC" w14:paraId="4D865B01" w14:textId="77777777" w:rsidTr="00AB5EFE">
        <w:trPr>
          <w:trHeight w:hRule="exact" w:val="851"/>
        </w:trPr>
        <w:tc>
          <w:tcPr>
            <w:tcW w:w="1276" w:type="dxa"/>
            <w:tcBorders>
              <w:bottom w:val="single" w:sz="4" w:space="0" w:color="auto"/>
            </w:tcBorders>
          </w:tcPr>
          <w:p w14:paraId="51373498" w14:textId="77777777" w:rsidR="002E0D40" w:rsidRPr="00DB58B5" w:rsidRDefault="002E0D40" w:rsidP="00AB5EFE"/>
        </w:tc>
        <w:tc>
          <w:tcPr>
            <w:tcW w:w="2268" w:type="dxa"/>
            <w:tcBorders>
              <w:bottom w:val="single" w:sz="4" w:space="0" w:color="auto"/>
            </w:tcBorders>
            <w:vAlign w:val="bottom"/>
          </w:tcPr>
          <w:p w14:paraId="4DE97C97" w14:textId="77777777"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5D90BD" w14:textId="455BAFC4" w:rsidR="002E0D40" w:rsidRPr="00C2694B" w:rsidRDefault="00A84B86" w:rsidP="00A84B86">
            <w:pPr>
              <w:jc w:val="right"/>
              <w:rPr>
                <w:lang w:val="en-GB"/>
              </w:rPr>
            </w:pPr>
            <w:r w:rsidRPr="00C2694B">
              <w:rPr>
                <w:sz w:val="40"/>
                <w:lang w:val="en-GB"/>
              </w:rPr>
              <w:t>CERD</w:t>
            </w:r>
            <w:r w:rsidRPr="00C2694B">
              <w:rPr>
                <w:lang w:val="en-GB"/>
              </w:rPr>
              <w:t>/C/DJI/CO/1-2</w:t>
            </w:r>
          </w:p>
        </w:tc>
      </w:tr>
      <w:tr w:rsidR="002E0D40" w:rsidRPr="00DB58B5" w14:paraId="66F5D14B" w14:textId="77777777" w:rsidTr="00AB5EFE">
        <w:trPr>
          <w:trHeight w:hRule="exact" w:val="2835"/>
        </w:trPr>
        <w:tc>
          <w:tcPr>
            <w:tcW w:w="1276" w:type="dxa"/>
            <w:tcBorders>
              <w:top w:val="single" w:sz="4" w:space="0" w:color="auto"/>
              <w:bottom w:val="single" w:sz="12" w:space="0" w:color="auto"/>
            </w:tcBorders>
          </w:tcPr>
          <w:p w14:paraId="365E25FB" w14:textId="77777777" w:rsidR="002E0D40" w:rsidRPr="00DB58B5" w:rsidRDefault="000F654A" w:rsidP="00AB5EFE">
            <w:pPr>
              <w:spacing w:before="120"/>
              <w:jc w:val="center"/>
            </w:pPr>
            <w:r>
              <w:rPr>
                <w:noProof/>
                <w:lang w:eastAsia="fr-CH"/>
              </w:rPr>
              <w:drawing>
                <wp:inline distT="0" distB="0" distL="0" distR="0" wp14:anchorId="5456CB13" wp14:editId="20B982C1">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E3E83F" w14:textId="77777777"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6519F77" w14:textId="6972D422" w:rsidR="002E0D40" w:rsidRDefault="00A84B86" w:rsidP="00A84B86">
            <w:pPr>
              <w:spacing w:before="240" w:line="240" w:lineRule="exact"/>
            </w:pPr>
            <w:r>
              <w:t xml:space="preserve">Distr. </w:t>
            </w:r>
            <w:r w:rsidR="0024085A">
              <w:t>général</w:t>
            </w:r>
            <w:r w:rsidR="000B30EA">
              <w:t>e</w:t>
            </w:r>
          </w:p>
          <w:p w14:paraId="445F6542" w14:textId="45C28B86" w:rsidR="00A84B86" w:rsidRDefault="00E07312" w:rsidP="00A84B86">
            <w:pPr>
              <w:spacing w:line="240" w:lineRule="exact"/>
            </w:pPr>
            <w:r>
              <w:t>1</w:t>
            </w:r>
            <w:r w:rsidR="002B7885">
              <w:t>5</w:t>
            </w:r>
            <w:r w:rsidR="000B30EA">
              <w:t xml:space="preserve"> septembre</w:t>
            </w:r>
            <w:r w:rsidR="00A84B86">
              <w:t xml:space="preserve"> 2017</w:t>
            </w:r>
          </w:p>
          <w:p w14:paraId="1ABC6454" w14:textId="77777777" w:rsidR="00A84B86" w:rsidRDefault="00A84B86" w:rsidP="00A84B86">
            <w:pPr>
              <w:spacing w:line="240" w:lineRule="exact"/>
            </w:pPr>
          </w:p>
          <w:p w14:paraId="4861ABB4" w14:textId="6FD0947D" w:rsidR="00A84B86" w:rsidRDefault="00A84B86" w:rsidP="00A84B86">
            <w:pPr>
              <w:spacing w:line="240" w:lineRule="exact"/>
            </w:pPr>
            <w:r>
              <w:t>Original</w:t>
            </w:r>
            <w:r w:rsidR="000B30EA">
              <w:t> </w:t>
            </w:r>
            <w:r>
              <w:t>: français</w:t>
            </w:r>
          </w:p>
          <w:p w14:paraId="6604F347" w14:textId="5AEF0FD3" w:rsidR="00E23680" w:rsidRPr="00DB58B5" w:rsidRDefault="00E23680" w:rsidP="00A84B86">
            <w:pPr>
              <w:spacing w:line="240" w:lineRule="exact"/>
            </w:pPr>
          </w:p>
        </w:tc>
      </w:tr>
    </w:tbl>
    <w:p w14:paraId="7F6B16AA" w14:textId="4962A8CA" w:rsidR="0078670C" w:rsidRPr="00C56102" w:rsidRDefault="0078670C" w:rsidP="0078670C">
      <w:pPr>
        <w:spacing w:before="120"/>
        <w:rPr>
          <w:b/>
          <w:sz w:val="24"/>
          <w:szCs w:val="24"/>
        </w:rPr>
      </w:pPr>
      <w:r w:rsidRPr="00C56102">
        <w:rPr>
          <w:b/>
          <w:sz w:val="24"/>
          <w:szCs w:val="24"/>
        </w:rPr>
        <w:t>Comité pour l’élimination de la discrimination raciale</w:t>
      </w:r>
    </w:p>
    <w:p w14:paraId="01622371" w14:textId="7DA14153" w:rsidR="00E23680" w:rsidRPr="00B7485C" w:rsidRDefault="00E23680" w:rsidP="00B6313D">
      <w:pPr>
        <w:pStyle w:val="HChG"/>
      </w:pPr>
      <w:r w:rsidRPr="001F3FDF">
        <w:tab/>
      </w:r>
      <w:r>
        <w:tab/>
      </w:r>
      <w:r w:rsidRPr="000D2D65">
        <w:t xml:space="preserve">Observations finales concernant </w:t>
      </w:r>
      <w:r w:rsidR="00C2694B">
        <w:rPr>
          <w:lang w:val="fr-FR"/>
        </w:rPr>
        <w:t>le</w:t>
      </w:r>
      <w:r w:rsidR="001610DF">
        <w:rPr>
          <w:lang w:val="fr-FR"/>
        </w:rPr>
        <w:t xml:space="preserve"> rapport d</w:t>
      </w:r>
      <w:r w:rsidR="00B47F33">
        <w:rPr>
          <w:lang w:val="fr-FR"/>
        </w:rPr>
        <w:t>e</w:t>
      </w:r>
      <w:r w:rsidR="001610DF">
        <w:rPr>
          <w:lang w:val="fr-FR"/>
        </w:rPr>
        <w:t xml:space="preserve"> Djibouti valant rapport initial</w:t>
      </w:r>
      <w:r w:rsidR="00C2694B">
        <w:rPr>
          <w:lang w:val="fr-FR"/>
        </w:rPr>
        <w:t xml:space="preserve"> </w:t>
      </w:r>
      <w:r w:rsidR="001610DF">
        <w:rPr>
          <w:lang w:val="fr-FR"/>
        </w:rPr>
        <w:t>et deuxième</w:t>
      </w:r>
      <w:r w:rsidR="00C2694B">
        <w:rPr>
          <w:lang w:val="fr-FR"/>
        </w:rPr>
        <w:t xml:space="preserve"> rapport périodique</w:t>
      </w:r>
      <w:r w:rsidR="0024085A" w:rsidRPr="00B6313D">
        <w:rPr>
          <w:b w:val="0"/>
          <w:sz w:val="20"/>
        </w:rPr>
        <w:footnoteReference w:customMarkFollows="1" w:id="2"/>
        <w:t>*</w:t>
      </w:r>
      <w:r w:rsidR="00457044">
        <w:rPr>
          <w:sz w:val="20"/>
        </w:rPr>
        <w:t xml:space="preserve"> </w:t>
      </w:r>
    </w:p>
    <w:p w14:paraId="2CF65808" w14:textId="5A0C4166" w:rsidR="00743382" w:rsidRPr="009717AE" w:rsidRDefault="00317EEB" w:rsidP="00B6313D">
      <w:pPr>
        <w:pStyle w:val="SingleTxtG"/>
      </w:pPr>
      <w:r w:rsidRPr="009717AE">
        <w:t>1.</w:t>
      </w:r>
      <w:r w:rsidRPr="009717AE">
        <w:tab/>
      </w:r>
      <w:r w:rsidR="001610DF">
        <w:t>Le Comité a examiné le</w:t>
      </w:r>
      <w:r w:rsidR="00743382" w:rsidRPr="00EF504E">
        <w:t xml:space="preserve"> </w:t>
      </w:r>
      <w:r w:rsidR="006E22C2">
        <w:t xml:space="preserve">rapport de Djibouti valant </w:t>
      </w:r>
      <w:r w:rsidR="001610DF">
        <w:t>rapport initial et deuxième rapport périodique</w:t>
      </w:r>
      <w:r w:rsidR="00743382" w:rsidRPr="00EF504E">
        <w:t xml:space="preserve"> (CERD/C/</w:t>
      </w:r>
      <w:r w:rsidR="00743382">
        <w:t>DJI</w:t>
      </w:r>
      <w:r w:rsidR="00743382" w:rsidRPr="00EF504E">
        <w:t>/1</w:t>
      </w:r>
      <w:r w:rsidR="00743382">
        <w:t>-2</w:t>
      </w:r>
      <w:r w:rsidR="00743382" w:rsidRPr="00EF504E">
        <w:t xml:space="preserve">) à ses </w:t>
      </w:r>
      <w:r w:rsidR="00C2694B" w:rsidRPr="00470444">
        <w:t>2</w:t>
      </w:r>
      <w:r w:rsidR="00C2694B">
        <w:t>560</w:t>
      </w:r>
      <w:r w:rsidR="00C2694B" w:rsidRPr="009C33CA">
        <w:rPr>
          <w:vertAlign w:val="superscript"/>
        </w:rPr>
        <w:t>e</w:t>
      </w:r>
      <w:r w:rsidR="00C2694B" w:rsidRPr="009C33CA">
        <w:t xml:space="preserve"> et 2</w:t>
      </w:r>
      <w:r w:rsidR="00C2694B">
        <w:t>561</w:t>
      </w:r>
      <w:r w:rsidR="00C2694B" w:rsidRPr="009C33CA">
        <w:rPr>
          <w:vertAlign w:val="superscript"/>
        </w:rPr>
        <w:t>e</w:t>
      </w:r>
      <w:r w:rsidR="00C2694B" w:rsidRPr="009C33CA">
        <w:t xml:space="preserve"> </w:t>
      </w:r>
      <w:r w:rsidR="00743382" w:rsidRPr="00EF504E">
        <w:t xml:space="preserve">séances (voir </w:t>
      </w:r>
      <w:r w:rsidR="00C2694B" w:rsidRPr="00E30726">
        <w:t>CERD/C/SR.2</w:t>
      </w:r>
      <w:r w:rsidR="00C2694B">
        <w:t>560</w:t>
      </w:r>
      <w:r w:rsidR="00C2694B" w:rsidRPr="00E30726">
        <w:t xml:space="preserve"> et 2</w:t>
      </w:r>
      <w:r w:rsidR="00C2694B">
        <w:t>561</w:t>
      </w:r>
      <w:r w:rsidR="00743382" w:rsidRPr="00EF504E">
        <w:t xml:space="preserve">), les </w:t>
      </w:r>
      <w:r w:rsidR="00C2694B">
        <w:t>9</w:t>
      </w:r>
      <w:r w:rsidR="00743382" w:rsidRPr="00EF504E">
        <w:t xml:space="preserve"> et</w:t>
      </w:r>
      <w:r w:rsidR="00C2694B">
        <w:t xml:space="preserve"> 10</w:t>
      </w:r>
      <w:r w:rsidR="00743382" w:rsidRPr="00EF504E">
        <w:t xml:space="preserve"> </w:t>
      </w:r>
      <w:r w:rsidR="00C2694B">
        <w:t>août</w:t>
      </w:r>
      <w:r w:rsidR="00D70A4A">
        <w:t xml:space="preserve"> 2017</w:t>
      </w:r>
      <w:r w:rsidR="00743382" w:rsidRPr="00EF504E">
        <w:t xml:space="preserve">. </w:t>
      </w:r>
      <w:r w:rsidR="00743382" w:rsidRPr="00ED3894">
        <w:t xml:space="preserve">À sa </w:t>
      </w:r>
      <w:r w:rsidR="00C2694B" w:rsidRPr="00470444">
        <w:t>2</w:t>
      </w:r>
      <w:r w:rsidR="00C2694B">
        <w:t>574</w:t>
      </w:r>
      <w:r w:rsidR="00C2694B" w:rsidRPr="009C33CA">
        <w:rPr>
          <w:vertAlign w:val="superscript"/>
        </w:rPr>
        <w:t>e</w:t>
      </w:r>
      <w:r w:rsidR="00C2694B" w:rsidRPr="00470444">
        <w:t xml:space="preserve"> séance</w:t>
      </w:r>
      <w:r w:rsidR="00C2694B" w:rsidRPr="00E30726">
        <w:t xml:space="preserve">, le </w:t>
      </w:r>
      <w:r w:rsidR="00C2694B">
        <w:t>18 août</w:t>
      </w:r>
      <w:r w:rsidR="00C2694B" w:rsidRPr="00E30726">
        <w:t xml:space="preserve"> 201</w:t>
      </w:r>
      <w:r w:rsidR="00C2694B">
        <w:t>7</w:t>
      </w:r>
      <w:r w:rsidR="00743382" w:rsidRPr="00ED3894">
        <w:t xml:space="preserve">, il a </w:t>
      </w:r>
      <w:r w:rsidR="00743382" w:rsidRPr="009717AE">
        <w:t xml:space="preserve">adopté les présentes observations finales. </w:t>
      </w:r>
    </w:p>
    <w:p w14:paraId="019BE44E" w14:textId="2335DEB1" w:rsidR="00743382" w:rsidRPr="009717AE" w:rsidRDefault="00743382" w:rsidP="00743382">
      <w:pPr>
        <w:pStyle w:val="H1G"/>
      </w:pPr>
      <w:r w:rsidRPr="009717AE">
        <w:tab/>
        <w:t>A.</w:t>
      </w:r>
      <w:r w:rsidRPr="009717AE">
        <w:tab/>
        <w:t>Introduction</w:t>
      </w:r>
    </w:p>
    <w:p w14:paraId="5492488F" w14:textId="599B49BC" w:rsidR="003D409A" w:rsidRPr="009717AE" w:rsidRDefault="00317EEB" w:rsidP="00B6313D">
      <w:pPr>
        <w:pStyle w:val="SingleTxtG"/>
      </w:pPr>
      <w:r w:rsidRPr="009717AE">
        <w:t>2.</w:t>
      </w:r>
      <w:r w:rsidRPr="009717AE">
        <w:tab/>
      </w:r>
      <w:r w:rsidR="00C2694B" w:rsidRPr="009717AE">
        <w:t xml:space="preserve">Le Comité se félicite de la présentation, en un seul document, </w:t>
      </w:r>
      <w:r w:rsidR="009717AE">
        <w:t>du</w:t>
      </w:r>
      <w:r w:rsidR="00C2694B" w:rsidRPr="009717AE">
        <w:t xml:space="preserve"> rapport initial et</w:t>
      </w:r>
      <w:r w:rsidR="001610DF">
        <w:t xml:space="preserve"> </w:t>
      </w:r>
      <w:r w:rsidR="009E2326">
        <w:t>du</w:t>
      </w:r>
      <w:r w:rsidR="001610DF">
        <w:t xml:space="preserve"> deuxième rapport périodique</w:t>
      </w:r>
      <w:r w:rsidR="00C2694B" w:rsidRPr="009717AE">
        <w:t xml:space="preserve"> de l’État partie.</w:t>
      </w:r>
      <w:r w:rsidR="00772610" w:rsidRPr="009717AE">
        <w:t xml:space="preserve"> </w:t>
      </w:r>
      <w:r w:rsidR="001610DF" w:rsidRPr="001610DF">
        <w:t>Il note que le rapport n’a pa</w:t>
      </w:r>
      <w:r w:rsidR="001610DF">
        <w:t>s été présenté dans les délais</w:t>
      </w:r>
      <w:r w:rsidR="00D40A70">
        <w:t>.</w:t>
      </w:r>
      <w:r w:rsidR="001610DF">
        <w:t xml:space="preserve"> </w:t>
      </w:r>
      <w:r w:rsidR="00D40A70">
        <w:t>Le Comité note aussi</w:t>
      </w:r>
      <w:r w:rsidR="001610DF">
        <w:t xml:space="preserve"> que</w:t>
      </w:r>
      <w:r w:rsidR="003D409A" w:rsidRPr="009717AE">
        <w:t xml:space="preserve"> le</w:t>
      </w:r>
      <w:r w:rsidR="00D40A70">
        <w:t xml:space="preserve"> </w:t>
      </w:r>
      <w:r w:rsidR="003D409A" w:rsidRPr="009717AE">
        <w:t>rapport ne contient pas suffisamment d’informations sur l’application concrète de la Convention et n</w:t>
      </w:r>
      <w:r w:rsidR="00D40A70">
        <w:t>’</w:t>
      </w:r>
      <w:r w:rsidR="003D409A" w:rsidRPr="009717AE">
        <w:t>e</w:t>
      </w:r>
      <w:r w:rsidR="00D40A70">
        <w:t>st pas pleinement conforme</w:t>
      </w:r>
      <w:r w:rsidR="003D409A" w:rsidRPr="009717AE">
        <w:t xml:space="preserve"> aux directives pour l’établissement </w:t>
      </w:r>
      <w:r w:rsidR="005A33B1">
        <w:t>du document se rapportant</w:t>
      </w:r>
      <w:r w:rsidR="003D409A" w:rsidRPr="009717AE">
        <w:t xml:space="preserve"> spécifiquement </w:t>
      </w:r>
      <w:r w:rsidR="005A33B1">
        <w:t xml:space="preserve">à </w:t>
      </w:r>
      <w:r w:rsidR="003D409A" w:rsidRPr="009717AE">
        <w:t xml:space="preserve">la </w:t>
      </w:r>
      <w:r w:rsidR="003D409A" w:rsidRPr="00212F43">
        <w:t>Convention</w:t>
      </w:r>
      <w:r w:rsidR="003C58BF" w:rsidRPr="009C418F">
        <w:t xml:space="preserve"> </w:t>
      </w:r>
      <w:r w:rsidR="00212F43" w:rsidRPr="00B6313D">
        <w:rPr>
          <w:bCs/>
          <w:lang w:eastAsia="en-GB"/>
        </w:rPr>
        <w:t>sur l’élimination de toutes les formes de discrimination raciale présenté par les États parties conformément au paragraphe 1 de l’article 9 de la Convention</w:t>
      </w:r>
      <w:r w:rsidR="00212F43">
        <w:rPr>
          <w:b/>
          <w:bCs/>
          <w:lang w:eastAsia="en-GB"/>
        </w:rPr>
        <w:t xml:space="preserve"> </w:t>
      </w:r>
      <w:r w:rsidR="003C58BF">
        <w:t>(CERD/C/2007/1)</w:t>
      </w:r>
      <w:r w:rsidR="001610DF">
        <w:t>.</w:t>
      </w:r>
      <w:r w:rsidR="00F47698">
        <w:t xml:space="preserve"> </w:t>
      </w:r>
    </w:p>
    <w:p w14:paraId="0AF66B56" w14:textId="3DDE328E" w:rsidR="00C2694B" w:rsidRDefault="00317EEB" w:rsidP="00B6313D">
      <w:pPr>
        <w:pStyle w:val="SingleTxtG"/>
      </w:pPr>
      <w:r>
        <w:t>3.</w:t>
      </w:r>
      <w:r>
        <w:tab/>
      </w:r>
      <w:r w:rsidR="00C2694B" w:rsidRPr="009717AE">
        <w:t>Le Comité remercie la délégation pour les informations orales fournies durant l’examen du rapport et souligne</w:t>
      </w:r>
      <w:r w:rsidR="0008533B">
        <w:t xml:space="preserve"> qu’il est </w:t>
      </w:r>
      <w:r w:rsidR="00C2694B" w:rsidRPr="009717AE">
        <w:t>importan</w:t>
      </w:r>
      <w:r w:rsidR="0008533B">
        <w:t>t</w:t>
      </w:r>
      <w:r w:rsidR="00C2694B" w:rsidRPr="009717AE">
        <w:t xml:space="preserve"> d</w:t>
      </w:r>
      <w:r w:rsidR="0008533B">
        <w:t>e maintenir</w:t>
      </w:r>
      <w:r w:rsidR="00C2694B" w:rsidRPr="009717AE">
        <w:t xml:space="preserve"> un dialogue constructif dans la mise en œuvre de la Convention.</w:t>
      </w:r>
    </w:p>
    <w:p w14:paraId="2A806D41" w14:textId="753B3595" w:rsidR="00743382" w:rsidRDefault="00743382" w:rsidP="00743382">
      <w:pPr>
        <w:pStyle w:val="H1G"/>
      </w:pPr>
      <w:r>
        <w:tab/>
        <w:t>B.</w:t>
      </w:r>
      <w:r>
        <w:tab/>
      </w:r>
      <w:r w:rsidR="00BA0216">
        <w:t>Aspects positifs</w:t>
      </w:r>
    </w:p>
    <w:p w14:paraId="1BEC1422" w14:textId="6543041A" w:rsidR="00743382" w:rsidRDefault="00317EEB" w:rsidP="00B6313D">
      <w:pPr>
        <w:pStyle w:val="SingleTxtG"/>
      </w:pPr>
      <w:r>
        <w:t>4.</w:t>
      </w:r>
      <w:r>
        <w:tab/>
      </w:r>
      <w:r w:rsidR="00743382" w:rsidRPr="00711825">
        <w:t>Le Comité salue les mesures législatives et politiques ci-après prises par l’État partie</w:t>
      </w:r>
      <w:r w:rsidR="009E2326">
        <w:t xml:space="preserve"> qui contribuent à la mise en œuvre de la Convention</w:t>
      </w:r>
      <w:r w:rsidR="007D5466">
        <w:t> </w:t>
      </w:r>
      <w:r w:rsidR="00743382" w:rsidRPr="00711825">
        <w:t xml:space="preserve">: </w:t>
      </w:r>
    </w:p>
    <w:p w14:paraId="4ACD14B3" w14:textId="65EDEB1D" w:rsidR="009E2326" w:rsidRDefault="00317EEB" w:rsidP="00B6313D">
      <w:pPr>
        <w:pStyle w:val="SingleTxtG"/>
        <w:ind w:firstLine="567"/>
      </w:pPr>
      <w:r>
        <w:t>a)</w:t>
      </w:r>
      <w:r>
        <w:tab/>
      </w:r>
      <w:r w:rsidR="009E2326">
        <w:t>L’élévation de l’institution du Médiateur au rang constitutionnel en 2010 ;</w:t>
      </w:r>
    </w:p>
    <w:p w14:paraId="389FE148" w14:textId="3BC4AB5D" w:rsidR="003B5625" w:rsidRDefault="00317EEB" w:rsidP="00B6313D">
      <w:pPr>
        <w:pStyle w:val="SingleTxtG"/>
        <w:ind w:firstLine="567"/>
      </w:pPr>
      <w:r>
        <w:t>b)</w:t>
      </w:r>
      <w:r>
        <w:tab/>
      </w:r>
      <w:r w:rsidR="003B5625">
        <w:t xml:space="preserve">La </w:t>
      </w:r>
      <w:r w:rsidR="008D5C2F">
        <w:t>r</w:t>
      </w:r>
      <w:r w:rsidR="003B5625">
        <w:t>é</w:t>
      </w:r>
      <w:r w:rsidR="008D5C2F">
        <w:t xml:space="preserve">forme </w:t>
      </w:r>
      <w:r w:rsidR="009F6714">
        <w:t xml:space="preserve">du </w:t>
      </w:r>
      <w:r w:rsidR="008D5C2F">
        <w:t xml:space="preserve">système </w:t>
      </w:r>
      <w:r w:rsidR="00FB40FD">
        <w:t>judiciaire</w:t>
      </w:r>
      <w:r w:rsidR="003B5625">
        <w:t xml:space="preserve"> </w:t>
      </w:r>
      <w:r w:rsidR="00E8191A">
        <w:t xml:space="preserve">menée </w:t>
      </w:r>
      <w:r w:rsidR="004D769F">
        <w:t>entre 2000</w:t>
      </w:r>
      <w:r w:rsidR="00E8191A">
        <w:t xml:space="preserve"> et </w:t>
      </w:r>
      <w:r w:rsidR="004D769F">
        <w:t>2010</w:t>
      </w:r>
      <w:r w:rsidR="00E8191A">
        <w:t xml:space="preserve">, </w:t>
      </w:r>
      <w:r w:rsidR="004D769F">
        <w:t>y compris</w:t>
      </w:r>
      <w:r w:rsidR="00E8191A">
        <w:t> :</w:t>
      </w:r>
    </w:p>
    <w:p w14:paraId="68926138" w14:textId="2717F8F3" w:rsidR="003B5625" w:rsidRDefault="00B17A3B" w:rsidP="00B6313D">
      <w:pPr>
        <w:pStyle w:val="SingleTxtG"/>
        <w:ind w:left="1701"/>
      </w:pPr>
      <w:r w:rsidRPr="00B6313D">
        <w:t>i)</w:t>
      </w:r>
      <w:r w:rsidRPr="00B6313D">
        <w:tab/>
      </w:r>
      <w:r w:rsidR="00317EEB">
        <w:t>L</w:t>
      </w:r>
      <w:r w:rsidR="003B5625">
        <w:t>’établissement des</w:t>
      </w:r>
      <w:r w:rsidR="00E65260">
        <w:t xml:space="preserve"> juridictions</w:t>
      </w:r>
      <w:r w:rsidR="00DA059B">
        <w:t xml:space="preserve"> d</w:t>
      </w:r>
      <w:r w:rsidR="003C58BF">
        <w:t>u</w:t>
      </w:r>
      <w:r w:rsidR="00DA059B">
        <w:t xml:space="preserve"> statut personnel</w:t>
      </w:r>
      <w:r w:rsidR="004D769F">
        <w:t> ;</w:t>
      </w:r>
      <w:r w:rsidR="003B5625">
        <w:t xml:space="preserve"> </w:t>
      </w:r>
    </w:p>
    <w:p w14:paraId="52A887EB" w14:textId="34EDBF9E" w:rsidR="004D769F" w:rsidRDefault="00B17A3B" w:rsidP="00B6313D">
      <w:pPr>
        <w:pStyle w:val="SingleTxtG"/>
        <w:ind w:left="1701"/>
      </w:pPr>
      <w:r w:rsidRPr="00B6313D">
        <w:t>ii)</w:t>
      </w:r>
      <w:r w:rsidRPr="00B6313D">
        <w:tab/>
      </w:r>
      <w:r w:rsidR="00317EEB">
        <w:t>L</w:t>
      </w:r>
      <w:r w:rsidR="004D769F">
        <w:t>’établissement des juridictions pou</w:t>
      </w:r>
      <w:r w:rsidR="00DA059B">
        <w:t xml:space="preserve">r les </w:t>
      </w:r>
      <w:r w:rsidR="00E65260">
        <w:t>mineurs</w:t>
      </w:r>
      <w:r w:rsidR="004D769F">
        <w:t> ;</w:t>
      </w:r>
      <w:r w:rsidR="00DA059B">
        <w:t xml:space="preserve"> </w:t>
      </w:r>
    </w:p>
    <w:p w14:paraId="267335C3" w14:textId="37BAEFB5" w:rsidR="00E65260" w:rsidRDefault="00B17A3B" w:rsidP="00B6313D">
      <w:pPr>
        <w:pStyle w:val="SingleTxtG"/>
        <w:ind w:left="1701"/>
      </w:pPr>
      <w:r>
        <w:t>iii)</w:t>
      </w:r>
      <w:r>
        <w:tab/>
      </w:r>
      <w:r w:rsidR="00317EEB">
        <w:t>L</w:t>
      </w:r>
      <w:r w:rsidR="00B42569">
        <w:t xml:space="preserve">es mesures </w:t>
      </w:r>
      <w:r w:rsidR="009F1EDF">
        <w:t>d’audiences foraines ;</w:t>
      </w:r>
    </w:p>
    <w:p w14:paraId="2CE24931" w14:textId="6385F8FC" w:rsidR="009F1EDF" w:rsidRDefault="00B17A3B" w:rsidP="00B6313D">
      <w:pPr>
        <w:pStyle w:val="SingleTxtG"/>
        <w:ind w:left="1701"/>
      </w:pPr>
      <w:r w:rsidRPr="00B6313D">
        <w:t>iv)</w:t>
      </w:r>
      <w:r w:rsidRPr="00B6313D">
        <w:tab/>
      </w:r>
      <w:r w:rsidR="00317EEB">
        <w:t>L</w:t>
      </w:r>
      <w:r w:rsidR="009F1EDF">
        <w:t>’augmentation d</w:t>
      </w:r>
      <w:r w:rsidR="00B42569">
        <w:t>u</w:t>
      </w:r>
      <w:r w:rsidR="009F1EDF">
        <w:t xml:space="preserve"> </w:t>
      </w:r>
      <w:r w:rsidR="00B42569">
        <w:t>nombre</w:t>
      </w:r>
      <w:r w:rsidR="00B20D45">
        <w:t xml:space="preserve"> </w:t>
      </w:r>
      <w:r w:rsidR="009F1EDF">
        <w:t>de magistrats.</w:t>
      </w:r>
    </w:p>
    <w:p w14:paraId="001E9DFE" w14:textId="0780DDFD" w:rsidR="00DE377C" w:rsidRDefault="00317EEB" w:rsidP="00B6313D">
      <w:pPr>
        <w:pStyle w:val="SingleTxtG"/>
        <w:ind w:firstLine="567"/>
      </w:pPr>
      <w:r>
        <w:t>c)</w:t>
      </w:r>
      <w:r>
        <w:tab/>
      </w:r>
      <w:r w:rsidR="00DE377C">
        <w:t>La réforme de l’aide juridictionnelle en 2011 ;</w:t>
      </w:r>
    </w:p>
    <w:p w14:paraId="319FCDCD" w14:textId="15F99A46" w:rsidR="00DE377C" w:rsidRDefault="00317EEB" w:rsidP="00B6313D">
      <w:pPr>
        <w:pStyle w:val="SingleTxtG"/>
        <w:ind w:firstLine="567"/>
      </w:pPr>
      <w:r>
        <w:t>d)</w:t>
      </w:r>
      <w:r>
        <w:tab/>
      </w:r>
      <w:r w:rsidR="009E2326">
        <w:t>L</w:t>
      </w:r>
      <w:r w:rsidR="009E2326" w:rsidRPr="00D51086">
        <w:t xml:space="preserve">a création d’un service d’accueil et d’information au sein du Ministère de la justice </w:t>
      </w:r>
      <w:r w:rsidR="009E2326">
        <w:t>en 2012 </w:t>
      </w:r>
      <w:r w:rsidR="00DE377C">
        <w:t xml:space="preserve">; </w:t>
      </w:r>
    </w:p>
    <w:p w14:paraId="5AA6F19D" w14:textId="6A533A89" w:rsidR="00DE377C" w:rsidRDefault="00317EEB" w:rsidP="00B6313D">
      <w:pPr>
        <w:pStyle w:val="SingleTxtG"/>
        <w:ind w:firstLine="567"/>
      </w:pPr>
      <w:r>
        <w:lastRenderedPageBreak/>
        <w:t>e)</w:t>
      </w:r>
      <w:r>
        <w:tab/>
      </w:r>
      <w:r w:rsidR="00DE377C">
        <w:t>L’adoption de la loi relative à la cybercriminalité en 2014 ;</w:t>
      </w:r>
    </w:p>
    <w:p w14:paraId="518FE87B" w14:textId="1464E505" w:rsidR="00D51086" w:rsidRDefault="00317EEB" w:rsidP="00B6313D">
      <w:pPr>
        <w:pStyle w:val="SingleTxtG"/>
        <w:ind w:firstLine="567"/>
      </w:pPr>
      <w:r>
        <w:t>f)</w:t>
      </w:r>
      <w:r>
        <w:tab/>
      </w:r>
      <w:r w:rsidR="009E2326" w:rsidRPr="00816C0D">
        <w:t>La loi n</w:t>
      </w:r>
      <w:r w:rsidR="00C6366D" w:rsidRPr="00B6313D">
        <w:rPr>
          <w:vertAlign w:val="superscript"/>
        </w:rPr>
        <w:t>o</w:t>
      </w:r>
      <w:r w:rsidR="00C6366D">
        <w:t> </w:t>
      </w:r>
      <w:r w:rsidR="009E2326" w:rsidRPr="00816C0D">
        <w:t>133 de 2016 portant sur la lutte contre la traite des personnes et le trafic illicite de migrants</w:t>
      </w:r>
      <w:r w:rsidR="009E2326">
        <w:t> ;</w:t>
      </w:r>
    </w:p>
    <w:p w14:paraId="18D6855C" w14:textId="7DB2A38A" w:rsidR="009E2326" w:rsidRDefault="00317EEB" w:rsidP="00B6313D">
      <w:pPr>
        <w:pStyle w:val="SingleTxtG"/>
        <w:ind w:firstLine="567"/>
      </w:pPr>
      <w:r>
        <w:t>g)</w:t>
      </w:r>
      <w:r>
        <w:tab/>
      </w:r>
      <w:r w:rsidR="009E2326">
        <w:t xml:space="preserve">L’adoption en 2002 d’un Code de la </w:t>
      </w:r>
      <w:r w:rsidR="00F8634E">
        <w:t>f</w:t>
      </w:r>
      <w:r w:rsidR="009E2326">
        <w:t>amille ;</w:t>
      </w:r>
    </w:p>
    <w:p w14:paraId="78C6E99E" w14:textId="4243F317" w:rsidR="009E2326" w:rsidRDefault="00317EEB" w:rsidP="00B6313D">
      <w:pPr>
        <w:pStyle w:val="SingleTxtG"/>
        <w:ind w:firstLine="567"/>
      </w:pPr>
      <w:r>
        <w:t>h)</w:t>
      </w:r>
      <w:r>
        <w:tab/>
      </w:r>
      <w:r w:rsidR="009E2326">
        <w:t>La loi d’orientation du système éducatif djiboutien adopté</w:t>
      </w:r>
      <w:r w:rsidR="003C58BF">
        <w:t>e</w:t>
      </w:r>
      <w:r w:rsidR="009E2326">
        <w:t xml:space="preserve"> en 2000 ;</w:t>
      </w:r>
    </w:p>
    <w:p w14:paraId="01FD5261" w14:textId="27DAE70A" w:rsidR="00E65260" w:rsidRDefault="00317EEB" w:rsidP="00B6313D">
      <w:pPr>
        <w:pStyle w:val="SingleTxtG"/>
        <w:ind w:firstLine="567"/>
      </w:pPr>
      <w:r>
        <w:t>i)</w:t>
      </w:r>
      <w:r>
        <w:tab/>
      </w:r>
      <w:r w:rsidR="00CF7020">
        <w:t>La mise en place d’un système d’</w:t>
      </w:r>
      <w:r w:rsidR="00AF2F41">
        <w:t>a</w:t>
      </w:r>
      <w:r w:rsidR="00CF7020">
        <w:t xml:space="preserve">ssurance </w:t>
      </w:r>
      <w:r w:rsidR="00AF2F41">
        <w:t>m</w:t>
      </w:r>
      <w:r w:rsidR="00CF7020">
        <w:t xml:space="preserve">aladie </w:t>
      </w:r>
      <w:r w:rsidR="00AF2F41">
        <w:t>u</w:t>
      </w:r>
      <w:r w:rsidR="00CF7020">
        <w:t>niverselle en 2014</w:t>
      </w:r>
      <w:r w:rsidR="009E2326">
        <w:t>.</w:t>
      </w:r>
      <w:r w:rsidR="00D51086">
        <w:t xml:space="preserve"> </w:t>
      </w:r>
    </w:p>
    <w:p w14:paraId="6E4E1001" w14:textId="67E98206" w:rsidR="00C2694B" w:rsidRPr="008D5C2F" w:rsidRDefault="00317EEB" w:rsidP="00B6313D">
      <w:pPr>
        <w:pStyle w:val="SingleTxtG"/>
      </w:pPr>
      <w:r w:rsidRPr="008D5C2F">
        <w:t>5.</w:t>
      </w:r>
      <w:r w:rsidRPr="008D5C2F">
        <w:tab/>
      </w:r>
      <w:r w:rsidR="00C2694B" w:rsidRPr="008D5C2F">
        <w:t>Le Comité note avec satisfaction</w:t>
      </w:r>
      <w:r w:rsidR="004D769F">
        <w:t xml:space="preserve"> </w:t>
      </w:r>
      <w:r w:rsidR="00AF2F41">
        <w:t xml:space="preserve">l’adhésion </w:t>
      </w:r>
      <w:r w:rsidR="004D769F">
        <w:t xml:space="preserve">par l’État partie </w:t>
      </w:r>
      <w:r w:rsidR="009F1EDF">
        <w:t xml:space="preserve">à plusieurs </w:t>
      </w:r>
      <w:r w:rsidR="00214238">
        <w:t xml:space="preserve">instruments </w:t>
      </w:r>
      <w:r w:rsidR="009F1EDF">
        <w:t xml:space="preserve">fondamentaux </w:t>
      </w:r>
      <w:r w:rsidR="00214238">
        <w:t xml:space="preserve">relatifs aux </w:t>
      </w:r>
      <w:r w:rsidR="009F1EDF">
        <w:t>droits de l’homme</w:t>
      </w:r>
      <w:r w:rsidR="00784489">
        <w:t>.</w:t>
      </w:r>
      <w:r w:rsidR="009F1EDF">
        <w:t xml:space="preserve"> </w:t>
      </w:r>
    </w:p>
    <w:p w14:paraId="43C8DC1E" w14:textId="77777777" w:rsidR="00D70A4A" w:rsidRDefault="00D70A4A" w:rsidP="00D70A4A">
      <w:pPr>
        <w:pStyle w:val="H1G"/>
      </w:pPr>
      <w:r>
        <w:tab/>
        <w:t>C.</w:t>
      </w:r>
      <w:r>
        <w:tab/>
        <w:t>Préoccupations et recommandations</w:t>
      </w:r>
    </w:p>
    <w:p w14:paraId="0BB14F15" w14:textId="042E0B55" w:rsidR="00D70A4A" w:rsidRPr="00CE49C5" w:rsidRDefault="00D70A4A" w:rsidP="00D70A4A">
      <w:pPr>
        <w:pStyle w:val="H23G"/>
        <w:rPr>
          <w:lang w:eastAsia="en-GB"/>
        </w:rPr>
      </w:pPr>
      <w:r>
        <w:rPr>
          <w:lang w:eastAsia="en-GB"/>
        </w:rPr>
        <w:tab/>
      </w:r>
      <w:r>
        <w:rPr>
          <w:lang w:eastAsia="en-GB"/>
        </w:rPr>
        <w:tab/>
      </w:r>
      <w:r w:rsidR="00B842CF">
        <w:rPr>
          <w:lang w:eastAsia="en-GB"/>
        </w:rPr>
        <w:t>Collecte</w:t>
      </w:r>
      <w:r w:rsidR="00B842CF" w:rsidRPr="00CE49C5">
        <w:rPr>
          <w:lang w:eastAsia="en-GB"/>
        </w:rPr>
        <w:t xml:space="preserve"> </w:t>
      </w:r>
      <w:r w:rsidRPr="00CE49C5">
        <w:rPr>
          <w:lang w:eastAsia="en-GB"/>
        </w:rPr>
        <w:t>de données</w:t>
      </w:r>
    </w:p>
    <w:p w14:paraId="2C33867D" w14:textId="3FB7C605" w:rsidR="00F47698" w:rsidRPr="00F47698" w:rsidRDefault="00317EEB" w:rsidP="00B6313D">
      <w:pPr>
        <w:pStyle w:val="SingleTxtG"/>
        <w:rPr>
          <w:lang w:eastAsia="en-GB"/>
        </w:rPr>
      </w:pPr>
      <w:r w:rsidRPr="00F47698">
        <w:rPr>
          <w:lang w:eastAsia="en-GB"/>
        </w:rPr>
        <w:t>6.</w:t>
      </w:r>
      <w:r w:rsidRPr="00F47698">
        <w:rPr>
          <w:lang w:eastAsia="en-GB"/>
        </w:rPr>
        <w:tab/>
      </w:r>
      <w:r w:rsidR="00F47698" w:rsidRPr="00F47698">
        <w:t xml:space="preserve">Le Comité prend </w:t>
      </w:r>
      <w:r w:rsidR="00F47698">
        <w:t xml:space="preserve">note des explications fournies par </w:t>
      </w:r>
      <w:r w:rsidR="006E68B5">
        <w:t xml:space="preserve">l’État </w:t>
      </w:r>
      <w:r w:rsidR="00F47698">
        <w:t xml:space="preserve">partie </w:t>
      </w:r>
      <w:r w:rsidR="00F47698" w:rsidRPr="00F47698">
        <w:t>sur les raisons qui</w:t>
      </w:r>
      <w:r w:rsidR="00F47698" w:rsidRPr="00F47698">
        <w:rPr>
          <w:lang w:eastAsia="en-GB"/>
        </w:rPr>
        <w:t xml:space="preserve"> l’empêchent de collecter les données renvoyant à l’appartenance ethnique des personnes compos</w:t>
      </w:r>
      <w:r w:rsidR="00F47698">
        <w:rPr>
          <w:lang w:eastAsia="en-GB"/>
        </w:rPr>
        <w:t xml:space="preserve">ant sa population, notamment </w:t>
      </w:r>
      <w:r w:rsidR="003E453B">
        <w:t xml:space="preserve">pour </w:t>
      </w:r>
      <w:r w:rsidR="009561E2" w:rsidRPr="005916A2">
        <w:t xml:space="preserve">éviter </w:t>
      </w:r>
      <w:r w:rsidR="003E453B">
        <w:t>l’</w:t>
      </w:r>
      <w:r w:rsidR="009561E2" w:rsidRPr="005916A2">
        <w:t>exploitation tendancieuse de ces informations</w:t>
      </w:r>
      <w:r w:rsidR="00F47698" w:rsidRPr="00F47698">
        <w:rPr>
          <w:lang w:eastAsia="en-GB"/>
        </w:rPr>
        <w:t>. Néanmoins, le Comité regrette l’absence, dans le rapport de l’État partie, de données statistique</w:t>
      </w:r>
      <w:r w:rsidR="00F47698">
        <w:rPr>
          <w:lang w:eastAsia="en-GB"/>
        </w:rPr>
        <w:t xml:space="preserve">s et socioéconomiques sur les </w:t>
      </w:r>
      <w:r w:rsidR="00F47698" w:rsidRPr="00F47698">
        <w:rPr>
          <w:lang w:eastAsia="en-GB"/>
        </w:rPr>
        <w:t xml:space="preserve">groupes </w:t>
      </w:r>
      <w:r w:rsidR="00F47698">
        <w:rPr>
          <w:lang w:eastAsia="en-GB"/>
        </w:rPr>
        <w:t>ethnique</w:t>
      </w:r>
      <w:r w:rsidR="009E2326">
        <w:rPr>
          <w:lang w:eastAsia="en-GB"/>
        </w:rPr>
        <w:t>s</w:t>
      </w:r>
      <w:r w:rsidR="00F47698">
        <w:rPr>
          <w:lang w:eastAsia="en-GB"/>
        </w:rPr>
        <w:t xml:space="preserve"> du pays</w:t>
      </w:r>
      <w:r w:rsidR="00F47698" w:rsidRPr="00F47698">
        <w:rPr>
          <w:lang w:eastAsia="en-GB"/>
        </w:rPr>
        <w:t xml:space="preserve"> ainsi que sur les non-ressortissants résidant sur </w:t>
      </w:r>
      <w:r w:rsidR="003641CE">
        <w:rPr>
          <w:lang w:eastAsia="en-GB"/>
        </w:rPr>
        <w:t xml:space="preserve">son </w:t>
      </w:r>
      <w:r w:rsidR="003E453B">
        <w:rPr>
          <w:lang w:eastAsia="en-GB"/>
        </w:rPr>
        <w:t>territoire (art.</w:t>
      </w:r>
      <w:r w:rsidR="00BB554C">
        <w:rPr>
          <w:lang w:eastAsia="en-GB"/>
        </w:rPr>
        <w:t> </w:t>
      </w:r>
      <w:r w:rsidR="003E453B">
        <w:rPr>
          <w:lang w:eastAsia="en-GB"/>
        </w:rPr>
        <w:t>1).</w:t>
      </w:r>
    </w:p>
    <w:p w14:paraId="4FBB232E" w14:textId="3CEE22CE" w:rsidR="006152C7" w:rsidRPr="006152C7" w:rsidRDefault="00317EEB" w:rsidP="00B6313D">
      <w:pPr>
        <w:pStyle w:val="SingleTxtG"/>
        <w:rPr>
          <w:b/>
          <w:bCs/>
          <w:lang w:eastAsia="en-GB"/>
        </w:rPr>
      </w:pPr>
      <w:r w:rsidRPr="006152C7">
        <w:rPr>
          <w:bCs/>
          <w:lang w:eastAsia="en-GB"/>
        </w:rPr>
        <w:t>7.</w:t>
      </w:r>
      <w:r w:rsidRPr="006152C7">
        <w:rPr>
          <w:bCs/>
          <w:lang w:eastAsia="en-GB"/>
        </w:rPr>
        <w:tab/>
      </w:r>
      <w:r w:rsidR="009F6714">
        <w:rPr>
          <w:b/>
          <w:bCs/>
          <w:lang w:eastAsia="en-GB"/>
        </w:rPr>
        <w:t>À la lumière de s</w:t>
      </w:r>
      <w:r w:rsidR="003E453B">
        <w:rPr>
          <w:b/>
          <w:bCs/>
          <w:lang w:eastAsia="en-GB"/>
        </w:rPr>
        <w:t>es</w:t>
      </w:r>
      <w:r w:rsidR="009F6714">
        <w:rPr>
          <w:b/>
          <w:bCs/>
          <w:lang w:eastAsia="en-GB"/>
        </w:rPr>
        <w:t xml:space="preserve"> recommandation</w:t>
      </w:r>
      <w:r w:rsidR="003E453B">
        <w:rPr>
          <w:b/>
          <w:bCs/>
          <w:lang w:eastAsia="en-GB"/>
        </w:rPr>
        <w:t>s</w:t>
      </w:r>
      <w:r w:rsidR="009F6714">
        <w:rPr>
          <w:b/>
          <w:bCs/>
          <w:lang w:eastAsia="en-GB"/>
        </w:rPr>
        <w:t xml:space="preserve"> générale</w:t>
      </w:r>
      <w:r w:rsidR="003E453B">
        <w:rPr>
          <w:b/>
          <w:bCs/>
          <w:lang w:eastAsia="en-GB"/>
        </w:rPr>
        <w:t>s</w:t>
      </w:r>
      <w:r w:rsidR="00F47698" w:rsidRPr="006152C7">
        <w:rPr>
          <w:b/>
          <w:bCs/>
          <w:lang w:eastAsia="en-GB"/>
        </w:rPr>
        <w:t xml:space="preserve"> </w:t>
      </w:r>
      <w:r w:rsidR="00BB554C" w:rsidRPr="006152C7">
        <w:rPr>
          <w:b/>
          <w:bCs/>
          <w:lang w:eastAsia="en-GB"/>
        </w:rPr>
        <w:t>n</w:t>
      </w:r>
      <w:r w:rsidR="00BB554C" w:rsidRPr="00B6313D">
        <w:rPr>
          <w:b/>
          <w:bCs/>
          <w:vertAlign w:val="superscript"/>
          <w:lang w:eastAsia="en-GB"/>
        </w:rPr>
        <w:t>o</w:t>
      </w:r>
      <w:r w:rsidR="00BB554C">
        <w:rPr>
          <w:b/>
          <w:bCs/>
          <w:lang w:eastAsia="en-GB"/>
        </w:rPr>
        <w:t> </w:t>
      </w:r>
      <w:r w:rsidR="00F47698" w:rsidRPr="006152C7">
        <w:rPr>
          <w:b/>
          <w:bCs/>
          <w:lang w:eastAsia="en-GB"/>
        </w:rPr>
        <w:t xml:space="preserve">8 (1990) </w:t>
      </w:r>
      <w:r w:rsidR="00EA0BCD">
        <w:rPr>
          <w:b/>
          <w:bCs/>
          <w:lang w:eastAsia="en-GB"/>
        </w:rPr>
        <w:t>concernant</w:t>
      </w:r>
      <w:r w:rsidR="00F47698" w:rsidRPr="006152C7">
        <w:rPr>
          <w:b/>
          <w:bCs/>
          <w:lang w:eastAsia="en-GB"/>
        </w:rPr>
        <w:t xml:space="preserve"> l’interprétation et l’application des paragraphes</w:t>
      </w:r>
      <w:r w:rsidR="006312DB">
        <w:rPr>
          <w:b/>
          <w:bCs/>
          <w:lang w:eastAsia="en-GB"/>
        </w:rPr>
        <w:t> </w:t>
      </w:r>
      <w:r w:rsidR="00F47698" w:rsidRPr="006152C7">
        <w:rPr>
          <w:b/>
          <w:bCs/>
          <w:lang w:eastAsia="en-GB"/>
        </w:rPr>
        <w:t xml:space="preserve">1 et 4 de l’article premier de la Convention et </w:t>
      </w:r>
      <w:r w:rsidR="00BB554C" w:rsidRPr="006152C7">
        <w:rPr>
          <w:b/>
          <w:bCs/>
          <w:lang w:eastAsia="en-GB"/>
        </w:rPr>
        <w:t>n</w:t>
      </w:r>
      <w:r w:rsidR="00BB554C" w:rsidRPr="00B6313D">
        <w:rPr>
          <w:b/>
          <w:bCs/>
          <w:vertAlign w:val="superscript"/>
          <w:lang w:eastAsia="en-GB"/>
        </w:rPr>
        <w:t>o</w:t>
      </w:r>
      <w:r w:rsidR="00BB554C">
        <w:rPr>
          <w:b/>
          <w:bCs/>
          <w:lang w:eastAsia="en-GB"/>
        </w:rPr>
        <w:t> </w:t>
      </w:r>
      <w:r w:rsidR="00F47698" w:rsidRPr="006152C7">
        <w:rPr>
          <w:b/>
          <w:bCs/>
          <w:lang w:eastAsia="en-GB"/>
        </w:rPr>
        <w:t xml:space="preserve">30 (2004) concernant la discrimination contre les non-ressortissants, ainsi que des paragraphes 10 à 12 de ses directives pour l’établissement du document se rapportant spécifiquement à la Convention, et se référant à l’objectif de développement durable </w:t>
      </w:r>
      <w:r w:rsidR="001F4AB0" w:rsidRPr="006152C7">
        <w:rPr>
          <w:b/>
          <w:bCs/>
          <w:lang w:eastAsia="en-GB"/>
        </w:rPr>
        <w:t>n</w:t>
      </w:r>
      <w:r w:rsidR="001F4AB0" w:rsidRPr="00B6313D">
        <w:rPr>
          <w:b/>
          <w:bCs/>
          <w:vertAlign w:val="superscript"/>
          <w:lang w:eastAsia="en-GB"/>
        </w:rPr>
        <w:t>o</w:t>
      </w:r>
      <w:r w:rsidR="001F4AB0">
        <w:rPr>
          <w:b/>
          <w:bCs/>
          <w:lang w:eastAsia="en-GB"/>
        </w:rPr>
        <w:t> </w:t>
      </w:r>
      <w:r w:rsidR="00F47698" w:rsidRPr="006152C7">
        <w:rPr>
          <w:b/>
          <w:bCs/>
          <w:lang w:eastAsia="en-GB"/>
        </w:rPr>
        <w:t>17, le Comité recommande à l’État partie de lui communiquer toutes données</w:t>
      </w:r>
      <w:r w:rsidR="009F1EDF">
        <w:rPr>
          <w:b/>
          <w:bCs/>
          <w:lang w:eastAsia="en-GB"/>
        </w:rPr>
        <w:t xml:space="preserve"> relatives </w:t>
      </w:r>
      <w:r w:rsidR="00550503">
        <w:rPr>
          <w:b/>
          <w:bCs/>
          <w:lang w:eastAsia="en-GB"/>
        </w:rPr>
        <w:t xml:space="preserve">à la </w:t>
      </w:r>
      <w:r w:rsidR="00B20D45">
        <w:rPr>
          <w:b/>
          <w:bCs/>
          <w:lang w:eastAsia="en-GB"/>
        </w:rPr>
        <w:t xml:space="preserve">population </w:t>
      </w:r>
      <w:r w:rsidR="004A6333" w:rsidRPr="006152C7">
        <w:rPr>
          <w:b/>
          <w:bCs/>
          <w:lang w:eastAsia="en-GB"/>
        </w:rPr>
        <w:t>du pays</w:t>
      </w:r>
      <w:r w:rsidR="00F47698" w:rsidRPr="006152C7">
        <w:rPr>
          <w:b/>
          <w:bCs/>
          <w:lang w:eastAsia="en-GB"/>
        </w:rPr>
        <w:t xml:space="preserve"> ainsi qu</w:t>
      </w:r>
      <w:r w:rsidR="007D6E11">
        <w:rPr>
          <w:b/>
          <w:bCs/>
          <w:lang w:eastAsia="en-GB"/>
        </w:rPr>
        <w:t>’aux</w:t>
      </w:r>
      <w:r w:rsidR="00F47698" w:rsidRPr="006152C7">
        <w:rPr>
          <w:b/>
          <w:bCs/>
          <w:lang w:eastAsia="en-GB"/>
        </w:rPr>
        <w:t xml:space="preserve"> non-ressortissants qui vivent sur son territoire, ventilées par sexe et par nationalité, afin que le Comité puisse évaluer dans quelle mesure ces groupes jouissent de leurs droits prévus par la Convention, à égalité avec le reste de la population.</w:t>
      </w:r>
      <w:r w:rsidR="006152C7" w:rsidRPr="006152C7">
        <w:rPr>
          <w:b/>
          <w:bCs/>
          <w:lang w:val="fr-FR" w:eastAsia="en-GB"/>
        </w:rPr>
        <w:t xml:space="preserve"> </w:t>
      </w:r>
      <w:r w:rsidR="006152C7">
        <w:rPr>
          <w:b/>
          <w:bCs/>
          <w:lang w:val="fr-FR" w:eastAsia="en-GB"/>
        </w:rPr>
        <w:t>Lors de la compilation de données, l</w:t>
      </w:r>
      <w:r w:rsidR="006152C7" w:rsidRPr="006152C7">
        <w:rPr>
          <w:b/>
          <w:bCs/>
          <w:lang w:val="fr-FR" w:eastAsia="en-GB"/>
        </w:rPr>
        <w:t xml:space="preserve">e Comité recommande </w:t>
      </w:r>
      <w:r w:rsidR="006152C7">
        <w:rPr>
          <w:b/>
          <w:bCs/>
          <w:lang w:val="fr-FR" w:eastAsia="en-GB"/>
        </w:rPr>
        <w:t>que</w:t>
      </w:r>
      <w:r w:rsidR="006152C7" w:rsidRPr="006152C7">
        <w:rPr>
          <w:b/>
          <w:bCs/>
          <w:lang w:val="fr-FR" w:eastAsia="en-GB"/>
        </w:rPr>
        <w:t xml:space="preserve"> l</w:t>
      </w:r>
      <w:r w:rsidR="001F4AB0">
        <w:rPr>
          <w:b/>
          <w:bCs/>
          <w:lang w:val="fr-FR" w:eastAsia="en-GB"/>
        </w:rPr>
        <w:t>’</w:t>
      </w:r>
      <w:r w:rsidR="006152C7" w:rsidRPr="006152C7">
        <w:rPr>
          <w:b/>
          <w:bCs/>
          <w:lang w:val="fr-FR" w:eastAsia="en-GB"/>
        </w:rPr>
        <w:t>État partie prenne en considération la note d</w:t>
      </w:r>
      <w:r w:rsidR="001F4AB0">
        <w:rPr>
          <w:b/>
          <w:bCs/>
          <w:lang w:val="fr-FR" w:eastAsia="en-GB"/>
        </w:rPr>
        <w:t>’</w:t>
      </w:r>
      <w:r w:rsidR="006152C7" w:rsidRPr="006152C7">
        <w:rPr>
          <w:b/>
          <w:bCs/>
          <w:lang w:val="fr-FR" w:eastAsia="en-GB"/>
        </w:rPr>
        <w:t>orientation du H</w:t>
      </w:r>
      <w:r w:rsidR="00073268">
        <w:rPr>
          <w:b/>
          <w:bCs/>
          <w:lang w:val="fr-FR" w:eastAsia="en-GB"/>
        </w:rPr>
        <w:t>aut-Commissariat aux droits de l’homme</w:t>
      </w:r>
      <w:r w:rsidR="006152C7" w:rsidRPr="006152C7">
        <w:rPr>
          <w:b/>
          <w:bCs/>
          <w:lang w:val="fr-FR" w:eastAsia="en-GB"/>
        </w:rPr>
        <w:t xml:space="preserve"> sur une approche </w:t>
      </w:r>
      <w:r w:rsidR="00693500">
        <w:rPr>
          <w:b/>
          <w:bCs/>
          <w:lang w:val="fr-FR" w:eastAsia="en-GB"/>
        </w:rPr>
        <w:t xml:space="preserve">des données </w:t>
      </w:r>
      <w:r w:rsidR="006152C7" w:rsidRPr="006152C7">
        <w:rPr>
          <w:b/>
          <w:bCs/>
          <w:lang w:val="fr-FR" w:eastAsia="en-GB"/>
        </w:rPr>
        <w:t>fondée sur le</w:t>
      </w:r>
      <w:r w:rsidR="006152C7">
        <w:rPr>
          <w:b/>
          <w:bCs/>
          <w:lang w:val="fr-FR" w:eastAsia="en-GB"/>
        </w:rPr>
        <w:t>s droits de l</w:t>
      </w:r>
      <w:r w:rsidR="0092506C">
        <w:rPr>
          <w:b/>
          <w:bCs/>
          <w:lang w:val="fr-FR" w:eastAsia="en-GB"/>
        </w:rPr>
        <w:t>’</w:t>
      </w:r>
      <w:r w:rsidR="006152C7">
        <w:rPr>
          <w:b/>
          <w:bCs/>
          <w:lang w:val="fr-FR" w:eastAsia="en-GB"/>
        </w:rPr>
        <w:t>homme</w:t>
      </w:r>
      <w:r w:rsidR="005A33B1" w:rsidRPr="00B6313D">
        <w:rPr>
          <w:rStyle w:val="Appelnotedebasdep"/>
          <w:bCs/>
          <w:lang w:eastAsia="en-GB"/>
        </w:rPr>
        <w:footnoteReference w:id="3"/>
      </w:r>
      <w:r w:rsidR="006152C7">
        <w:rPr>
          <w:b/>
          <w:bCs/>
          <w:lang w:eastAsia="en-GB"/>
        </w:rPr>
        <w:t>.</w:t>
      </w:r>
    </w:p>
    <w:p w14:paraId="59417746" w14:textId="77777777" w:rsidR="00C2694B" w:rsidRDefault="00F01E83" w:rsidP="00F01E83">
      <w:pPr>
        <w:pStyle w:val="H23G"/>
      </w:pPr>
      <w:r>
        <w:tab/>
      </w:r>
      <w:r>
        <w:tab/>
      </w:r>
      <w:r w:rsidR="009E2326">
        <w:t xml:space="preserve">Définition de la discrimination raciale </w:t>
      </w:r>
    </w:p>
    <w:p w14:paraId="3F8990EC" w14:textId="25823390" w:rsidR="008D5C2F" w:rsidRDefault="00317EEB" w:rsidP="00B6313D">
      <w:pPr>
        <w:pStyle w:val="SingleTxtG"/>
      </w:pPr>
      <w:r>
        <w:t>8.</w:t>
      </w:r>
      <w:r>
        <w:tab/>
      </w:r>
      <w:r w:rsidR="00BB218A">
        <w:t xml:space="preserve">Le Comité </w:t>
      </w:r>
      <w:r w:rsidR="009E2326">
        <w:t>relève</w:t>
      </w:r>
      <w:r w:rsidR="00BB218A">
        <w:t xml:space="preserve"> que </w:t>
      </w:r>
      <w:r w:rsidR="00AD6828">
        <w:t xml:space="preserve">l’article 1 de la </w:t>
      </w:r>
      <w:r w:rsidR="00E4537C">
        <w:t>Constitution et l’article 390 du</w:t>
      </w:r>
      <w:r w:rsidR="008D5C2F">
        <w:t xml:space="preserve"> Code pénal de l’État partie contien</w:t>
      </w:r>
      <w:r w:rsidR="006152C7">
        <w:t>nen</w:t>
      </w:r>
      <w:r w:rsidR="008D5C2F">
        <w:t>t des éléments de définition de la discrimination raciale. Néanmoins, le Comité est préoccupé par l’absence dans la législation de l’État partie d’une définition spécifique de la discrimination raciale qui soit pleine</w:t>
      </w:r>
      <w:r w:rsidR="002E4A31">
        <w:t>ment</w:t>
      </w:r>
      <w:r w:rsidR="008D5C2F">
        <w:t xml:space="preserve"> conform</w:t>
      </w:r>
      <w:r w:rsidR="002E4A31">
        <w:t>e à</w:t>
      </w:r>
      <w:r w:rsidR="008D5C2F">
        <w:t xml:space="preserve"> l’article </w:t>
      </w:r>
      <w:r w:rsidR="00073268">
        <w:t xml:space="preserve">premier </w:t>
      </w:r>
      <w:r w:rsidR="00BB218A">
        <w:t>de la Convention</w:t>
      </w:r>
      <w:r w:rsidR="008D5C2F">
        <w:t xml:space="preserve"> (art. 1).</w:t>
      </w:r>
    </w:p>
    <w:p w14:paraId="1B897512" w14:textId="52DB513C" w:rsidR="00C2694B" w:rsidRDefault="00317EEB" w:rsidP="00B6313D">
      <w:pPr>
        <w:pStyle w:val="SingleTxtG"/>
        <w:rPr>
          <w:b/>
          <w:bCs/>
        </w:rPr>
      </w:pPr>
      <w:r>
        <w:rPr>
          <w:bCs/>
        </w:rPr>
        <w:t>9.</w:t>
      </w:r>
      <w:r>
        <w:rPr>
          <w:bCs/>
        </w:rPr>
        <w:tab/>
      </w:r>
      <w:r w:rsidR="008D5C2F" w:rsidRPr="008D5C2F">
        <w:rPr>
          <w:b/>
          <w:bCs/>
        </w:rPr>
        <w:t xml:space="preserve">Le Comité recommande à l’État partie d’inclure dans sa législation une définition de la discrimination raciale conforme à l’article </w:t>
      </w:r>
      <w:r w:rsidR="00073268">
        <w:rPr>
          <w:b/>
          <w:bCs/>
        </w:rPr>
        <w:t>premier</w:t>
      </w:r>
      <w:r w:rsidR="00073268" w:rsidRPr="008D5C2F">
        <w:rPr>
          <w:b/>
          <w:bCs/>
        </w:rPr>
        <w:t xml:space="preserve"> </w:t>
      </w:r>
      <w:r w:rsidR="008D5C2F" w:rsidRPr="008D5C2F">
        <w:rPr>
          <w:b/>
          <w:bCs/>
        </w:rPr>
        <w:t>de la Convention</w:t>
      </w:r>
      <w:r w:rsidR="009E2326">
        <w:rPr>
          <w:b/>
          <w:bCs/>
        </w:rPr>
        <w:t xml:space="preserve"> et incriminant </w:t>
      </w:r>
      <w:r w:rsidR="0036726B">
        <w:rPr>
          <w:b/>
          <w:bCs/>
        </w:rPr>
        <w:t xml:space="preserve">cette </w:t>
      </w:r>
      <w:r w:rsidR="009E2326">
        <w:rPr>
          <w:b/>
          <w:bCs/>
        </w:rPr>
        <w:t>discrimination</w:t>
      </w:r>
      <w:r w:rsidR="008D5C2F">
        <w:rPr>
          <w:b/>
          <w:bCs/>
        </w:rPr>
        <w:t>.</w:t>
      </w:r>
    </w:p>
    <w:p w14:paraId="0FD85692" w14:textId="1CFBBF25" w:rsidR="00C2694B" w:rsidRDefault="00F01E83" w:rsidP="00B6313D">
      <w:pPr>
        <w:pStyle w:val="H23G"/>
        <w:ind w:left="0" w:firstLine="0"/>
      </w:pPr>
      <w:r>
        <w:tab/>
      </w:r>
      <w:r>
        <w:tab/>
      </w:r>
      <w:r w:rsidR="00C2694B">
        <w:t>L</w:t>
      </w:r>
      <w:r w:rsidR="00C2694B" w:rsidRPr="00CA7832">
        <w:t xml:space="preserve">a Commission nationale des droits de l’homme </w:t>
      </w:r>
    </w:p>
    <w:p w14:paraId="797DDE33" w14:textId="00E0C044" w:rsidR="006968D2" w:rsidRPr="006968D2" w:rsidRDefault="00317EEB" w:rsidP="00B6313D">
      <w:pPr>
        <w:pStyle w:val="SingleTxtG"/>
      </w:pPr>
      <w:r w:rsidRPr="006968D2">
        <w:t>10.</w:t>
      </w:r>
      <w:r w:rsidRPr="006968D2">
        <w:tab/>
      </w:r>
      <w:r w:rsidR="006968D2" w:rsidRPr="006968D2">
        <w:t>Le Comité prend note de l</w:t>
      </w:r>
      <w:r w:rsidR="00E13485">
        <w:t>’inform</w:t>
      </w:r>
      <w:r w:rsidR="006968D2" w:rsidRPr="006968D2">
        <w:t>a</w:t>
      </w:r>
      <w:r w:rsidR="00E13485">
        <w:t>tion fourni</w:t>
      </w:r>
      <w:r w:rsidR="00550503">
        <w:t>e</w:t>
      </w:r>
      <w:r w:rsidR="00E13485">
        <w:t xml:space="preserve"> par la délégation concernant une</w:t>
      </w:r>
      <w:r w:rsidR="00DA059B">
        <w:t xml:space="preserve"> r</w:t>
      </w:r>
      <w:r w:rsidR="007F23BB">
        <w:t>é</w:t>
      </w:r>
      <w:r w:rsidR="00DA059B">
        <w:t xml:space="preserve">forme </w:t>
      </w:r>
      <w:r w:rsidR="007F23BB">
        <w:t xml:space="preserve">de la Commission nationale des droits de l’homme visant à la doter des ressources </w:t>
      </w:r>
      <w:r w:rsidR="00C20CBE">
        <w:t xml:space="preserve">financières </w:t>
      </w:r>
      <w:r w:rsidR="007F23BB">
        <w:t xml:space="preserve">et </w:t>
      </w:r>
      <w:r w:rsidR="00C20CBE">
        <w:t>humaines</w:t>
      </w:r>
      <w:r w:rsidR="007F23BB">
        <w:t xml:space="preserve"> nécessaires</w:t>
      </w:r>
      <w:r w:rsidR="00E13485">
        <w:t xml:space="preserve"> </w:t>
      </w:r>
      <w:r w:rsidR="00C20CBE">
        <w:t xml:space="preserve">à </w:t>
      </w:r>
      <w:r w:rsidR="00E13485">
        <w:t>son fonctionnement</w:t>
      </w:r>
      <w:r w:rsidR="00C20CBE">
        <w:t xml:space="preserve"> </w:t>
      </w:r>
      <w:r w:rsidR="006968D2" w:rsidRPr="006968D2">
        <w:t>(art.</w:t>
      </w:r>
      <w:r w:rsidR="00BB554C">
        <w:t> </w:t>
      </w:r>
      <w:r w:rsidR="006968D2" w:rsidRPr="006968D2">
        <w:t>2).</w:t>
      </w:r>
    </w:p>
    <w:p w14:paraId="6CC24F73" w14:textId="0CC24400" w:rsidR="006968D2" w:rsidRDefault="00317EEB" w:rsidP="00B6313D">
      <w:pPr>
        <w:pStyle w:val="SingleTxtG"/>
        <w:rPr>
          <w:b/>
        </w:rPr>
      </w:pPr>
      <w:r>
        <w:t>11.</w:t>
      </w:r>
      <w:r>
        <w:tab/>
      </w:r>
      <w:r w:rsidR="00703A0F" w:rsidRPr="00B6313D">
        <w:rPr>
          <w:b/>
        </w:rPr>
        <w:t xml:space="preserve">Prenant en considération sa </w:t>
      </w:r>
      <w:r w:rsidR="00F41E13">
        <w:rPr>
          <w:b/>
        </w:rPr>
        <w:t>r</w:t>
      </w:r>
      <w:r w:rsidR="00703A0F" w:rsidRPr="00B6313D">
        <w:rPr>
          <w:b/>
        </w:rPr>
        <w:t>ecommandation générale n</w:t>
      </w:r>
      <w:r w:rsidR="00BB554C" w:rsidRPr="00B6313D">
        <w:rPr>
          <w:b/>
          <w:vertAlign w:val="superscript"/>
        </w:rPr>
        <w:t>o</w:t>
      </w:r>
      <w:r w:rsidR="00BB554C">
        <w:rPr>
          <w:b/>
        </w:rPr>
        <w:t> </w:t>
      </w:r>
      <w:r w:rsidR="00703A0F" w:rsidRPr="00B6313D">
        <w:rPr>
          <w:b/>
        </w:rPr>
        <w:t>17 (1993) concernant la cr</w:t>
      </w:r>
      <w:r w:rsidR="00B47F33">
        <w:rPr>
          <w:b/>
        </w:rPr>
        <w:t>é</w:t>
      </w:r>
      <w:r w:rsidR="00703A0F" w:rsidRPr="00B6313D">
        <w:rPr>
          <w:b/>
        </w:rPr>
        <w:t xml:space="preserve">ation d’organismes nationaux pour faciliter l’application de la Convention, </w:t>
      </w:r>
      <w:r w:rsidR="00703A0F">
        <w:rPr>
          <w:b/>
        </w:rPr>
        <w:t>l</w:t>
      </w:r>
      <w:r w:rsidR="00703A0F" w:rsidRPr="006968D2">
        <w:rPr>
          <w:b/>
        </w:rPr>
        <w:t xml:space="preserve">e </w:t>
      </w:r>
      <w:r w:rsidR="006968D2" w:rsidRPr="006968D2">
        <w:rPr>
          <w:b/>
        </w:rPr>
        <w:t xml:space="preserve">Comité recommande à l’État partie de </w:t>
      </w:r>
      <w:r w:rsidR="007F23BB">
        <w:rPr>
          <w:b/>
        </w:rPr>
        <w:t>prendre toutes les mesures nécessaire</w:t>
      </w:r>
      <w:r w:rsidR="009F1EDF">
        <w:rPr>
          <w:b/>
        </w:rPr>
        <w:t>s</w:t>
      </w:r>
      <w:r w:rsidR="007F23BB">
        <w:rPr>
          <w:b/>
        </w:rPr>
        <w:t xml:space="preserve"> pour garantir l’</w:t>
      </w:r>
      <w:r w:rsidR="009F6714">
        <w:rPr>
          <w:b/>
        </w:rPr>
        <w:t xml:space="preserve">indépendance </w:t>
      </w:r>
      <w:r w:rsidR="007F23BB">
        <w:rPr>
          <w:b/>
        </w:rPr>
        <w:t xml:space="preserve">de </w:t>
      </w:r>
      <w:r w:rsidR="006968D2" w:rsidRPr="006968D2">
        <w:rPr>
          <w:b/>
        </w:rPr>
        <w:t>la Commission nationale des droits de l’homme</w:t>
      </w:r>
      <w:r w:rsidR="0061177E">
        <w:rPr>
          <w:b/>
        </w:rPr>
        <w:t>,</w:t>
      </w:r>
      <w:r w:rsidR="006968D2" w:rsidRPr="006968D2">
        <w:rPr>
          <w:b/>
        </w:rPr>
        <w:t xml:space="preserve"> </w:t>
      </w:r>
      <w:r w:rsidR="006968D2" w:rsidRPr="006968D2">
        <w:rPr>
          <w:b/>
        </w:rPr>
        <w:lastRenderedPageBreak/>
        <w:t xml:space="preserve">conformément aux Principes </w:t>
      </w:r>
      <w:r w:rsidR="0061177E">
        <w:rPr>
          <w:b/>
        </w:rPr>
        <w:t>concernant</w:t>
      </w:r>
      <w:r w:rsidR="00CA30FD" w:rsidRPr="006968D2">
        <w:rPr>
          <w:b/>
        </w:rPr>
        <w:t xml:space="preserve"> </w:t>
      </w:r>
      <w:r w:rsidR="006968D2" w:rsidRPr="006968D2">
        <w:rPr>
          <w:b/>
        </w:rPr>
        <w:t xml:space="preserve">le statut des institutions nationales pour la promotion et la protection des droits de l’homme (Principes de Paris). Il recommande également </w:t>
      </w:r>
      <w:r w:rsidR="00C20CBE">
        <w:rPr>
          <w:b/>
        </w:rPr>
        <w:t xml:space="preserve">que tout soit mis en œuvre pour que la Commission nationale des droits de l’homme obtienne son accréditation </w:t>
      </w:r>
      <w:r w:rsidR="00550503">
        <w:rPr>
          <w:b/>
        </w:rPr>
        <w:t xml:space="preserve">au </w:t>
      </w:r>
      <w:r w:rsidR="00C20CBE">
        <w:rPr>
          <w:b/>
        </w:rPr>
        <w:t xml:space="preserve">statut A </w:t>
      </w:r>
      <w:r w:rsidR="006968D2" w:rsidRPr="006968D2">
        <w:rPr>
          <w:b/>
        </w:rPr>
        <w:t>auprès du Comité international de coordination des institutions nationales pour la promotion et la protection des droits de l’homme.</w:t>
      </w:r>
    </w:p>
    <w:p w14:paraId="376C17A1" w14:textId="091D7346" w:rsidR="00B20D45" w:rsidRPr="00AD42B0" w:rsidRDefault="00457044" w:rsidP="00B6313D">
      <w:pPr>
        <w:pStyle w:val="H23G"/>
      </w:pPr>
      <w:r>
        <w:tab/>
      </w:r>
      <w:r>
        <w:tab/>
      </w:r>
      <w:r w:rsidR="00B20D45" w:rsidRPr="00B20D45">
        <w:t xml:space="preserve">Société civile </w:t>
      </w:r>
    </w:p>
    <w:p w14:paraId="48D339C1" w14:textId="7399EDF1" w:rsidR="00B20D45" w:rsidRPr="00B6313D" w:rsidRDefault="00317EEB" w:rsidP="00B6313D">
      <w:pPr>
        <w:pStyle w:val="SingleTxtG"/>
      </w:pPr>
      <w:r w:rsidRPr="00B20D45">
        <w:t>12.</w:t>
      </w:r>
      <w:r w:rsidRPr="00B20D45">
        <w:tab/>
      </w:r>
      <w:r w:rsidR="00B20D45" w:rsidRPr="00B6313D">
        <w:t>Le Comité est préoccupé par le fait que les organisations non gouvernementales ne lui ont pas adressé de renseignements sur les efforts déployés par l’État partie pour mettre en œuvre la Convention et les difficultés rencontrées (art.</w:t>
      </w:r>
      <w:r w:rsidR="00BB554C" w:rsidRPr="00B6313D">
        <w:t> </w:t>
      </w:r>
      <w:r w:rsidR="00B20D45" w:rsidRPr="00B6313D">
        <w:t xml:space="preserve">2). </w:t>
      </w:r>
    </w:p>
    <w:p w14:paraId="6A5B78C7" w14:textId="015159CC" w:rsidR="00B20D45" w:rsidRPr="00B20D45" w:rsidRDefault="00317EEB" w:rsidP="00B6313D">
      <w:pPr>
        <w:pStyle w:val="SingleTxtG"/>
        <w:rPr>
          <w:b/>
        </w:rPr>
      </w:pPr>
      <w:r w:rsidRPr="00B20D45">
        <w:t>13.</w:t>
      </w:r>
      <w:r w:rsidRPr="00B20D45">
        <w:tab/>
      </w:r>
      <w:r w:rsidR="00B20D45" w:rsidRPr="00B20D45">
        <w:rPr>
          <w:b/>
        </w:rPr>
        <w:t xml:space="preserve">Le Comité souligne l’importance qu’il attache aux rapports soumis par les </w:t>
      </w:r>
      <w:r w:rsidR="001B6705">
        <w:rPr>
          <w:b/>
        </w:rPr>
        <w:t>organisations non gouvernementales</w:t>
      </w:r>
      <w:r w:rsidR="00B20D45" w:rsidRPr="00B20D45">
        <w:rPr>
          <w:b/>
        </w:rPr>
        <w:t>, qui participent à l’enrichissement du dialogue entre le Comité et la délégation de l’État partie à l’occasion des examens des rapports de l’</w:t>
      </w:r>
      <w:r w:rsidR="006E68B5">
        <w:rPr>
          <w:b/>
        </w:rPr>
        <w:t>É</w:t>
      </w:r>
      <w:r w:rsidR="00B20D45" w:rsidRPr="00B20D45">
        <w:rPr>
          <w:b/>
        </w:rPr>
        <w:t>tat partie. Il recommande à l’État partie de consulter les organisations de la société civile actives dans le domaine de la protection des droits de l’homme, en particulier dans la lutte c</w:t>
      </w:r>
      <w:r w:rsidR="00550503">
        <w:rPr>
          <w:b/>
        </w:rPr>
        <w:t>ontre la discrimination raciale</w:t>
      </w:r>
      <w:r w:rsidR="00BB2126">
        <w:rPr>
          <w:b/>
        </w:rPr>
        <w:t>,</w:t>
      </w:r>
      <w:r w:rsidR="00B20D45" w:rsidRPr="00B20D45">
        <w:rPr>
          <w:b/>
        </w:rPr>
        <w:t xml:space="preserve"> et </w:t>
      </w:r>
      <w:r w:rsidR="00550503">
        <w:rPr>
          <w:b/>
        </w:rPr>
        <w:t>d’</w:t>
      </w:r>
      <w:r w:rsidR="00B20D45" w:rsidRPr="00B20D45">
        <w:rPr>
          <w:b/>
        </w:rPr>
        <w:t xml:space="preserve">élargir ses échanges avec elles dans le cadre de l’élaboration de son prochain rapport périodique. </w:t>
      </w:r>
    </w:p>
    <w:p w14:paraId="63803B9F" w14:textId="61886260" w:rsidR="00C2694B" w:rsidRPr="00B6313D" w:rsidRDefault="006312DB">
      <w:pPr>
        <w:pStyle w:val="H23G"/>
      </w:pPr>
      <w:r>
        <w:tab/>
      </w:r>
      <w:r w:rsidR="00C2694B">
        <w:rPr>
          <w:lang w:eastAsia="en-GB"/>
        </w:rPr>
        <w:tab/>
      </w:r>
      <w:r w:rsidR="00C2694B" w:rsidRPr="00B075C5">
        <w:rPr>
          <w:lang w:eastAsia="en-GB"/>
        </w:rPr>
        <w:t>Compatibilité de la législation pénale avec l’article 4 de la Convention</w:t>
      </w:r>
    </w:p>
    <w:p w14:paraId="497C2C7C" w14:textId="716110D5" w:rsidR="008D5C2F" w:rsidRDefault="00317EEB" w:rsidP="00B6313D">
      <w:pPr>
        <w:pStyle w:val="SingleTxtG"/>
        <w:rPr>
          <w:lang w:eastAsia="en-GB"/>
        </w:rPr>
      </w:pPr>
      <w:r>
        <w:rPr>
          <w:lang w:eastAsia="en-GB"/>
        </w:rPr>
        <w:t>14.</w:t>
      </w:r>
      <w:r>
        <w:rPr>
          <w:lang w:eastAsia="en-GB"/>
        </w:rPr>
        <w:tab/>
      </w:r>
      <w:r w:rsidR="008D5C2F">
        <w:rPr>
          <w:lang w:eastAsia="en-GB"/>
        </w:rPr>
        <w:t xml:space="preserve">Le Comité </w:t>
      </w:r>
      <w:r w:rsidR="00B20D45">
        <w:rPr>
          <w:lang w:eastAsia="en-GB"/>
        </w:rPr>
        <w:t xml:space="preserve">relève avec préoccupation </w:t>
      </w:r>
      <w:r w:rsidR="008D5C2F">
        <w:rPr>
          <w:lang w:eastAsia="en-GB"/>
        </w:rPr>
        <w:t>que si certaines dispositions de la législation de l’État partie prévoient des incriminations relatives à certains faits se rapportant à la discrimination raciale,</w:t>
      </w:r>
      <w:r w:rsidR="00E13485">
        <w:rPr>
          <w:lang w:eastAsia="en-GB"/>
        </w:rPr>
        <w:t xml:space="preserve"> notamment </w:t>
      </w:r>
      <w:r w:rsidR="00052F53">
        <w:rPr>
          <w:lang w:eastAsia="en-GB"/>
        </w:rPr>
        <w:t>l</w:t>
      </w:r>
      <w:r w:rsidR="00E13485" w:rsidRPr="00E13485">
        <w:rPr>
          <w:lang w:eastAsia="en-GB"/>
        </w:rPr>
        <w:t>’art</w:t>
      </w:r>
      <w:r w:rsidR="00E13485">
        <w:rPr>
          <w:lang w:eastAsia="en-GB"/>
        </w:rPr>
        <w:t xml:space="preserve">icle 6 de la Constitution, </w:t>
      </w:r>
      <w:r w:rsidR="00E13485" w:rsidRPr="00E13485">
        <w:rPr>
          <w:lang w:eastAsia="en-GB"/>
        </w:rPr>
        <w:t>l</w:t>
      </w:r>
      <w:r w:rsidR="00052F53">
        <w:rPr>
          <w:lang w:eastAsia="en-GB"/>
        </w:rPr>
        <w:t>’article</w:t>
      </w:r>
      <w:r w:rsidR="009F71FE">
        <w:rPr>
          <w:lang w:eastAsia="en-GB"/>
        </w:rPr>
        <w:t> </w:t>
      </w:r>
      <w:r w:rsidR="00052F53">
        <w:rPr>
          <w:lang w:eastAsia="en-GB"/>
        </w:rPr>
        <w:t>4 de l</w:t>
      </w:r>
      <w:r w:rsidR="00E13485" w:rsidRPr="00E13485">
        <w:rPr>
          <w:lang w:eastAsia="en-GB"/>
        </w:rPr>
        <w:t xml:space="preserve">a loi </w:t>
      </w:r>
      <w:r w:rsidR="00DC3CB3" w:rsidRPr="00E13485">
        <w:rPr>
          <w:lang w:eastAsia="en-GB"/>
        </w:rPr>
        <w:t>n</w:t>
      </w:r>
      <w:r w:rsidR="00DC3CB3" w:rsidRPr="00B6313D">
        <w:rPr>
          <w:vertAlign w:val="superscript"/>
          <w:lang w:eastAsia="en-GB"/>
        </w:rPr>
        <w:t>o</w:t>
      </w:r>
      <w:r w:rsidR="00DC3CB3">
        <w:rPr>
          <w:lang w:eastAsia="en-GB"/>
        </w:rPr>
        <w:t> </w:t>
      </w:r>
      <w:r w:rsidR="003C23DD">
        <w:rPr>
          <w:lang w:eastAsia="en-GB"/>
        </w:rPr>
        <w:t>1/AN/92/2e L du 15 </w:t>
      </w:r>
      <w:r w:rsidR="00E13485" w:rsidRPr="00E13485">
        <w:rPr>
          <w:lang w:eastAsia="en-GB"/>
        </w:rPr>
        <w:t xml:space="preserve">septembre 1992 relative aux partis politiques en République de Djibouti </w:t>
      </w:r>
      <w:r w:rsidR="00E13485">
        <w:rPr>
          <w:lang w:eastAsia="en-GB"/>
        </w:rPr>
        <w:t>et l</w:t>
      </w:r>
      <w:r w:rsidR="00E13485" w:rsidRPr="00E13485">
        <w:rPr>
          <w:lang w:eastAsia="en-GB"/>
        </w:rPr>
        <w:t>a loi de 2014 relative à la cybercriminalité</w:t>
      </w:r>
      <w:r w:rsidR="00E13485">
        <w:rPr>
          <w:lang w:eastAsia="en-GB"/>
        </w:rPr>
        <w:t>,</w:t>
      </w:r>
      <w:r w:rsidR="00E13485" w:rsidRPr="00E13485">
        <w:rPr>
          <w:lang w:eastAsia="en-GB"/>
        </w:rPr>
        <w:t xml:space="preserve"> </w:t>
      </w:r>
      <w:r w:rsidR="008D5C2F">
        <w:rPr>
          <w:lang w:eastAsia="en-GB"/>
        </w:rPr>
        <w:t>elles ne comportent pas tous les éléments contenus à l’article 4 de la Convention et ne sont donc pas en conformité avec celui-ci (art.</w:t>
      </w:r>
      <w:r w:rsidR="00BB554C">
        <w:rPr>
          <w:lang w:eastAsia="en-GB"/>
        </w:rPr>
        <w:t> </w:t>
      </w:r>
      <w:r w:rsidR="008D5C2F">
        <w:rPr>
          <w:lang w:eastAsia="en-GB"/>
        </w:rPr>
        <w:t>4).</w:t>
      </w:r>
    </w:p>
    <w:p w14:paraId="3BC37633" w14:textId="60289C58" w:rsidR="00E24425" w:rsidRDefault="00317EEB" w:rsidP="00B6313D">
      <w:pPr>
        <w:pStyle w:val="SingleTxtG"/>
        <w:rPr>
          <w:b/>
          <w:lang w:eastAsia="en-GB"/>
        </w:rPr>
      </w:pPr>
      <w:r>
        <w:rPr>
          <w:lang w:eastAsia="en-GB"/>
        </w:rPr>
        <w:t>15.</w:t>
      </w:r>
      <w:r>
        <w:rPr>
          <w:lang w:eastAsia="en-GB"/>
        </w:rPr>
        <w:tab/>
      </w:r>
      <w:r w:rsidR="008D5C2F" w:rsidRPr="00E13485">
        <w:rPr>
          <w:b/>
          <w:lang w:eastAsia="en-GB"/>
        </w:rPr>
        <w:t xml:space="preserve">Rappelant ses recommandations générales </w:t>
      </w:r>
      <w:r w:rsidR="00706061" w:rsidRPr="00E13485">
        <w:rPr>
          <w:b/>
          <w:lang w:eastAsia="en-GB"/>
        </w:rPr>
        <w:t>n</w:t>
      </w:r>
      <w:r w:rsidR="00706061" w:rsidRPr="00B6313D">
        <w:rPr>
          <w:b/>
          <w:vertAlign w:val="superscript"/>
          <w:lang w:eastAsia="en-GB"/>
        </w:rPr>
        <w:t>o</w:t>
      </w:r>
      <w:r w:rsidR="00706061">
        <w:rPr>
          <w:b/>
          <w:lang w:eastAsia="en-GB"/>
        </w:rPr>
        <w:t> </w:t>
      </w:r>
      <w:r w:rsidR="008D5C2F" w:rsidRPr="00E13485">
        <w:rPr>
          <w:b/>
          <w:lang w:eastAsia="en-GB"/>
        </w:rPr>
        <w:t xml:space="preserve">1 (1972) concernant les obligations des États parties, </w:t>
      </w:r>
      <w:r w:rsidR="00706061" w:rsidRPr="00E13485">
        <w:rPr>
          <w:b/>
          <w:lang w:eastAsia="en-GB"/>
        </w:rPr>
        <w:t>n</w:t>
      </w:r>
      <w:r w:rsidR="00706061" w:rsidRPr="00B6313D">
        <w:rPr>
          <w:b/>
          <w:vertAlign w:val="superscript"/>
          <w:lang w:eastAsia="en-GB"/>
        </w:rPr>
        <w:t>o</w:t>
      </w:r>
      <w:r w:rsidR="00706061">
        <w:rPr>
          <w:b/>
          <w:lang w:eastAsia="en-GB"/>
        </w:rPr>
        <w:t> </w:t>
      </w:r>
      <w:r w:rsidR="008D5C2F" w:rsidRPr="00E13485">
        <w:rPr>
          <w:b/>
          <w:lang w:eastAsia="en-GB"/>
        </w:rPr>
        <w:t xml:space="preserve">7 (1985) concernant l’application de l’article 4 de la Convention et </w:t>
      </w:r>
      <w:r w:rsidR="00706061" w:rsidRPr="00E13485">
        <w:rPr>
          <w:b/>
          <w:lang w:eastAsia="en-GB"/>
        </w:rPr>
        <w:t>n</w:t>
      </w:r>
      <w:r w:rsidR="00706061" w:rsidRPr="00B6313D">
        <w:rPr>
          <w:b/>
          <w:vertAlign w:val="superscript"/>
          <w:lang w:eastAsia="en-GB"/>
        </w:rPr>
        <w:t>o</w:t>
      </w:r>
      <w:r w:rsidR="00706061">
        <w:rPr>
          <w:b/>
          <w:lang w:eastAsia="en-GB"/>
        </w:rPr>
        <w:t> </w:t>
      </w:r>
      <w:r w:rsidR="008D5C2F" w:rsidRPr="00E13485">
        <w:rPr>
          <w:b/>
          <w:lang w:eastAsia="en-GB"/>
        </w:rPr>
        <w:t>15 (1993) concernant l’article 4 de la Convention selon lesquelles les dispositions de</w:t>
      </w:r>
      <w:r w:rsidR="008F3FDB">
        <w:rPr>
          <w:b/>
          <w:lang w:eastAsia="en-GB"/>
        </w:rPr>
        <w:t xml:space="preserve"> l’article </w:t>
      </w:r>
      <w:r w:rsidR="00E24425" w:rsidRPr="00E13485">
        <w:rPr>
          <w:b/>
          <w:lang w:eastAsia="en-GB"/>
        </w:rPr>
        <w:t>4 sont de nature impérative et préventive,</w:t>
      </w:r>
      <w:r w:rsidR="00C20CBE">
        <w:rPr>
          <w:b/>
          <w:lang w:eastAsia="en-GB"/>
        </w:rPr>
        <w:t xml:space="preserve"> ainsi que sa recommandation générale </w:t>
      </w:r>
      <w:r w:rsidR="00706061">
        <w:rPr>
          <w:b/>
          <w:lang w:eastAsia="en-GB"/>
        </w:rPr>
        <w:t>n</w:t>
      </w:r>
      <w:r w:rsidR="00706061" w:rsidRPr="00B6313D">
        <w:rPr>
          <w:b/>
          <w:vertAlign w:val="superscript"/>
          <w:lang w:eastAsia="en-GB"/>
        </w:rPr>
        <w:t>o</w:t>
      </w:r>
      <w:r w:rsidR="00706061">
        <w:rPr>
          <w:b/>
          <w:lang w:eastAsia="en-GB"/>
        </w:rPr>
        <w:t> </w:t>
      </w:r>
      <w:r w:rsidR="00C20CBE">
        <w:rPr>
          <w:b/>
          <w:lang w:eastAsia="en-GB"/>
        </w:rPr>
        <w:t xml:space="preserve">35 (2013) relative à la lutte contre les discours de haine raciale, </w:t>
      </w:r>
      <w:r w:rsidR="00E24425" w:rsidRPr="00E13485">
        <w:rPr>
          <w:b/>
          <w:lang w:eastAsia="en-GB"/>
        </w:rPr>
        <w:t>le Comité recommande à l’État partie d’amender sa législation actuelle afin d’y introduire des dispositions qui donnent plein effet à tous les éléments prévus à l’article 4 de la Convention.</w:t>
      </w:r>
      <w:r w:rsidR="00C20CBE">
        <w:rPr>
          <w:b/>
          <w:lang w:eastAsia="en-GB"/>
        </w:rPr>
        <w:t xml:space="preserve"> </w:t>
      </w:r>
      <w:r w:rsidR="006E68B5">
        <w:rPr>
          <w:b/>
          <w:lang w:eastAsia="en-GB"/>
        </w:rPr>
        <w:t xml:space="preserve">L’État </w:t>
      </w:r>
      <w:r w:rsidR="00C20CBE">
        <w:rPr>
          <w:b/>
          <w:lang w:eastAsia="en-GB"/>
        </w:rPr>
        <w:t>partie devra donne</w:t>
      </w:r>
      <w:r w:rsidR="009F1EDF">
        <w:rPr>
          <w:b/>
          <w:lang w:eastAsia="en-GB"/>
        </w:rPr>
        <w:t>r</w:t>
      </w:r>
      <w:r w:rsidR="00C20CBE">
        <w:rPr>
          <w:b/>
          <w:lang w:eastAsia="en-GB"/>
        </w:rPr>
        <w:t xml:space="preserve"> suite à cet</w:t>
      </w:r>
      <w:r w:rsidR="00D06079">
        <w:rPr>
          <w:b/>
          <w:lang w:eastAsia="en-GB"/>
        </w:rPr>
        <w:t xml:space="preserve"> amendement</w:t>
      </w:r>
      <w:r w:rsidR="00AE4694">
        <w:rPr>
          <w:b/>
          <w:lang w:eastAsia="en-GB"/>
        </w:rPr>
        <w:t xml:space="preserve"> notamment</w:t>
      </w:r>
      <w:r w:rsidR="00FB055F">
        <w:rPr>
          <w:b/>
          <w:lang w:eastAsia="en-GB"/>
        </w:rPr>
        <w:t xml:space="preserve"> par</w:t>
      </w:r>
      <w:r w:rsidR="00C20CBE">
        <w:rPr>
          <w:b/>
          <w:lang w:eastAsia="en-GB"/>
        </w:rPr>
        <w:t xml:space="preserve"> </w:t>
      </w:r>
      <w:r w:rsidR="00B42569">
        <w:rPr>
          <w:b/>
          <w:lang w:eastAsia="en-GB"/>
        </w:rPr>
        <w:t xml:space="preserve">la </w:t>
      </w:r>
      <w:r w:rsidR="00C20CBE">
        <w:rPr>
          <w:b/>
          <w:lang w:eastAsia="en-GB"/>
        </w:rPr>
        <w:t>poursuite</w:t>
      </w:r>
      <w:r w:rsidR="00B42569">
        <w:rPr>
          <w:b/>
          <w:lang w:eastAsia="en-GB"/>
        </w:rPr>
        <w:t xml:space="preserve"> et la répression </w:t>
      </w:r>
      <w:r w:rsidR="00FB055F">
        <w:rPr>
          <w:b/>
          <w:lang w:eastAsia="en-GB"/>
        </w:rPr>
        <w:t>d</w:t>
      </w:r>
      <w:r w:rsidR="00C20CBE">
        <w:rPr>
          <w:b/>
          <w:lang w:eastAsia="en-GB"/>
        </w:rPr>
        <w:t>es auteurs d’infractions motivées par la haine et le discours haineux afin de décourager la p</w:t>
      </w:r>
      <w:r w:rsidR="00784489">
        <w:rPr>
          <w:b/>
          <w:lang w:eastAsia="en-GB"/>
        </w:rPr>
        <w:t>erpétration</w:t>
      </w:r>
      <w:r w:rsidR="00C20CBE">
        <w:rPr>
          <w:b/>
          <w:lang w:eastAsia="en-GB"/>
        </w:rPr>
        <w:t xml:space="preserve"> de nouvelles infractions et de prévenir l’impunité.</w:t>
      </w:r>
    </w:p>
    <w:p w14:paraId="42128598" w14:textId="3C56BF54" w:rsidR="00C2694B" w:rsidRPr="00457044" w:rsidRDefault="00457044">
      <w:pPr>
        <w:pStyle w:val="H23G"/>
      </w:pPr>
      <w:r>
        <w:rPr>
          <w:lang w:eastAsia="en-GB"/>
        </w:rPr>
        <w:tab/>
      </w:r>
      <w:r w:rsidR="00F01E83">
        <w:tab/>
      </w:r>
      <w:r w:rsidR="00C2694B" w:rsidRPr="00293E92">
        <w:t>Participation des minorités à la vi</w:t>
      </w:r>
      <w:r w:rsidR="00E13485">
        <w:t>e politique et publique</w:t>
      </w:r>
    </w:p>
    <w:p w14:paraId="5B9BF8A6" w14:textId="071C44A7" w:rsidR="00C2694B" w:rsidRDefault="00317EEB" w:rsidP="00B6313D">
      <w:pPr>
        <w:pStyle w:val="SingleTxtG"/>
        <w:rPr>
          <w:lang w:eastAsia="en-GB"/>
        </w:rPr>
      </w:pPr>
      <w:r>
        <w:rPr>
          <w:lang w:eastAsia="en-GB"/>
        </w:rPr>
        <w:t>16.</w:t>
      </w:r>
      <w:r>
        <w:rPr>
          <w:lang w:eastAsia="en-GB"/>
        </w:rPr>
        <w:tab/>
      </w:r>
      <w:r w:rsidR="00C2694B">
        <w:rPr>
          <w:lang w:eastAsia="en-GB"/>
        </w:rPr>
        <w:t xml:space="preserve">Le Comité prend note des explications fournies </w:t>
      </w:r>
      <w:r w:rsidR="001A6161">
        <w:rPr>
          <w:lang w:eastAsia="en-GB"/>
        </w:rPr>
        <w:t xml:space="preserve">par l’État partie </w:t>
      </w:r>
      <w:r w:rsidR="001A6161" w:rsidRPr="00E3397A">
        <w:rPr>
          <w:lang w:eastAsia="en-GB"/>
        </w:rPr>
        <w:t>sur la répartition des sièges entre les communautés et les régions à l’Assemblée nationale</w:t>
      </w:r>
      <w:r w:rsidR="001A6161">
        <w:rPr>
          <w:lang w:eastAsia="en-GB"/>
        </w:rPr>
        <w:t xml:space="preserve"> selon une règle non</w:t>
      </w:r>
      <w:r w:rsidR="0050698B">
        <w:rPr>
          <w:lang w:eastAsia="en-GB"/>
        </w:rPr>
        <w:t xml:space="preserve"> </w:t>
      </w:r>
      <w:r w:rsidR="001A6161">
        <w:rPr>
          <w:lang w:eastAsia="en-GB"/>
        </w:rPr>
        <w:t xml:space="preserve">écrite </w:t>
      </w:r>
      <w:r w:rsidR="00CE460F">
        <w:rPr>
          <w:lang w:eastAsia="en-GB"/>
        </w:rPr>
        <w:t>qui bénéficie du soutien de tous les partis politiques.</w:t>
      </w:r>
      <w:r w:rsidR="001A6161">
        <w:rPr>
          <w:lang w:eastAsia="en-GB"/>
        </w:rPr>
        <w:t xml:space="preserve"> </w:t>
      </w:r>
      <w:r w:rsidR="00CE460F">
        <w:rPr>
          <w:lang w:eastAsia="en-GB"/>
        </w:rPr>
        <w:t>Néanmoins, le Comité</w:t>
      </w:r>
      <w:r w:rsidR="00C2694B">
        <w:rPr>
          <w:lang w:eastAsia="en-GB"/>
        </w:rPr>
        <w:t xml:space="preserve"> </w:t>
      </w:r>
      <w:r w:rsidR="007C50CB">
        <w:rPr>
          <w:lang w:eastAsia="en-GB"/>
        </w:rPr>
        <w:t xml:space="preserve">est </w:t>
      </w:r>
      <w:r w:rsidR="00487E52">
        <w:rPr>
          <w:lang w:eastAsia="en-GB"/>
        </w:rPr>
        <w:t>inquiet</w:t>
      </w:r>
      <w:r w:rsidR="009F6714">
        <w:rPr>
          <w:lang w:eastAsia="en-GB"/>
        </w:rPr>
        <w:t xml:space="preserve"> q</w:t>
      </w:r>
      <w:r w:rsidR="007C50CB">
        <w:rPr>
          <w:lang w:eastAsia="en-GB"/>
        </w:rPr>
        <w:t xml:space="preserve">ue cette règle ne soit pas </w:t>
      </w:r>
      <w:r w:rsidR="00023C86">
        <w:rPr>
          <w:lang w:eastAsia="en-GB"/>
        </w:rPr>
        <w:t>suffisante</w:t>
      </w:r>
      <w:r w:rsidR="007C50CB">
        <w:rPr>
          <w:lang w:eastAsia="en-GB"/>
        </w:rPr>
        <w:t xml:space="preserve"> pour </w:t>
      </w:r>
      <w:r w:rsidR="00741EB2">
        <w:rPr>
          <w:lang w:eastAsia="en-GB"/>
        </w:rPr>
        <w:t>faire en sorte</w:t>
      </w:r>
      <w:r w:rsidR="00023C86">
        <w:rPr>
          <w:lang w:eastAsia="en-GB"/>
        </w:rPr>
        <w:t xml:space="preserve"> </w:t>
      </w:r>
      <w:r w:rsidR="007C50CB" w:rsidRPr="00023C86">
        <w:rPr>
          <w:lang w:eastAsia="en-GB"/>
        </w:rPr>
        <w:t xml:space="preserve">que tous les </w:t>
      </w:r>
      <w:r w:rsidR="00023C86">
        <w:rPr>
          <w:lang w:eastAsia="en-GB"/>
        </w:rPr>
        <w:t xml:space="preserve">groupes ethniques, </w:t>
      </w:r>
      <w:r w:rsidR="00C1324D">
        <w:rPr>
          <w:lang w:eastAsia="en-GB"/>
        </w:rPr>
        <w:t>plus particulièrement</w:t>
      </w:r>
      <w:r w:rsidR="00023C86">
        <w:rPr>
          <w:lang w:eastAsia="en-GB"/>
        </w:rPr>
        <w:t xml:space="preserve"> les </w:t>
      </w:r>
      <w:r w:rsidR="00745DDF">
        <w:rPr>
          <w:lang w:eastAsia="en-GB"/>
        </w:rPr>
        <w:t xml:space="preserve">groupes </w:t>
      </w:r>
      <w:r w:rsidR="00F119A3">
        <w:rPr>
          <w:lang w:eastAsia="en-GB"/>
        </w:rPr>
        <w:t>minoritaires</w:t>
      </w:r>
      <w:r w:rsidR="00AE4694">
        <w:rPr>
          <w:lang w:eastAsia="en-GB"/>
        </w:rPr>
        <w:t xml:space="preserve"> et marginalisé</w:t>
      </w:r>
      <w:r w:rsidR="00C1324D">
        <w:rPr>
          <w:lang w:eastAsia="en-GB"/>
        </w:rPr>
        <w:t>s,</w:t>
      </w:r>
      <w:r w:rsidR="00023C86">
        <w:rPr>
          <w:lang w:eastAsia="en-GB"/>
        </w:rPr>
        <w:t xml:space="preserve"> </w:t>
      </w:r>
      <w:r w:rsidR="007C50CB" w:rsidRPr="00023C86">
        <w:rPr>
          <w:lang w:eastAsia="en-GB"/>
        </w:rPr>
        <w:t>soient représentés dans les organes de décisio</w:t>
      </w:r>
      <w:r w:rsidR="007C50CB">
        <w:rPr>
          <w:lang w:eastAsia="en-GB"/>
        </w:rPr>
        <w:t xml:space="preserve">n de </w:t>
      </w:r>
      <w:r w:rsidR="006E68B5">
        <w:rPr>
          <w:lang w:eastAsia="en-GB"/>
        </w:rPr>
        <w:t xml:space="preserve">l’État </w:t>
      </w:r>
      <w:r w:rsidR="007C50CB">
        <w:rPr>
          <w:lang w:eastAsia="en-GB"/>
        </w:rPr>
        <w:t xml:space="preserve">partie </w:t>
      </w:r>
      <w:r w:rsidR="00C2694B">
        <w:rPr>
          <w:lang w:eastAsia="en-GB"/>
        </w:rPr>
        <w:t>(art. </w:t>
      </w:r>
      <w:r w:rsidR="00AE36C5">
        <w:rPr>
          <w:lang w:eastAsia="en-GB"/>
        </w:rPr>
        <w:t xml:space="preserve">2 et </w:t>
      </w:r>
      <w:r w:rsidR="00C2694B">
        <w:rPr>
          <w:lang w:eastAsia="en-GB"/>
        </w:rPr>
        <w:t>5).</w:t>
      </w:r>
      <w:r w:rsidR="00F53978">
        <w:rPr>
          <w:lang w:eastAsia="en-GB"/>
        </w:rPr>
        <w:t xml:space="preserve"> </w:t>
      </w:r>
    </w:p>
    <w:p w14:paraId="099EEFBE" w14:textId="61B52F7E" w:rsidR="00C2694B" w:rsidRDefault="00317EEB" w:rsidP="00B6313D">
      <w:pPr>
        <w:pStyle w:val="SingleTxtG"/>
        <w:rPr>
          <w:b/>
          <w:lang w:eastAsia="en-GB"/>
        </w:rPr>
      </w:pPr>
      <w:r>
        <w:rPr>
          <w:lang w:eastAsia="en-GB"/>
        </w:rPr>
        <w:t>17.</w:t>
      </w:r>
      <w:r>
        <w:rPr>
          <w:lang w:eastAsia="en-GB"/>
        </w:rPr>
        <w:tab/>
      </w:r>
      <w:r w:rsidR="007C50CB" w:rsidRPr="007C50CB">
        <w:rPr>
          <w:b/>
          <w:lang w:eastAsia="en-GB"/>
        </w:rPr>
        <w:t>L</w:t>
      </w:r>
      <w:r w:rsidR="00C2694B" w:rsidRPr="007C50CB">
        <w:rPr>
          <w:b/>
          <w:lang w:eastAsia="en-GB"/>
        </w:rPr>
        <w:t>e Comité recommande à l’État partie d</w:t>
      </w:r>
      <w:r w:rsidR="007C50CB" w:rsidRPr="007C50CB">
        <w:rPr>
          <w:b/>
          <w:lang w:eastAsia="en-GB"/>
        </w:rPr>
        <w:t>’adopter des garanties législatives afin d’assurer une représentation équitable de toutes les communautés et régions dans les organes de décision de l’État partie</w:t>
      </w:r>
      <w:r w:rsidR="007C50CB" w:rsidRPr="00023C86">
        <w:rPr>
          <w:b/>
          <w:lang w:eastAsia="en-GB"/>
        </w:rPr>
        <w:t xml:space="preserve">. </w:t>
      </w:r>
      <w:r w:rsidR="00E73518" w:rsidRPr="00023C86">
        <w:rPr>
          <w:b/>
          <w:lang w:eastAsia="en-GB"/>
        </w:rPr>
        <w:t>En outre, l</w:t>
      </w:r>
      <w:r w:rsidR="007C50CB" w:rsidRPr="00023C86">
        <w:rPr>
          <w:b/>
          <w:lang w:eastAsia="en-GB"/>
        </w:rPr>
        <w:t xml:space="preserve">e Comité </w:t>
      </w:r>
      <w:r w:rsidR="00E73518" w:rsidRPr="00023C86">
        <w:rPr>
          <w:b/>
          <w:lang w:eastAsia="en-GB"/>
        </w:rPr>
        <w:t xml:space="preserve">recommande que </w:t>
      </w:r>
      <w:r w:rsidR="006E68B5" w:rsidRPr="00023C86">
        <w:rPr>
          <w:b/>
          <w:lang w:eastAsia="en-GB"/>
        </w:rPr>
        <w:t>l’</w:t>
      </w:r>
      <w:r w:rsidR="006E68B5">
        <w:rPr>
          <w:b/>
          <w:lang w:eastAsia="en-GB"/>
        </w:rPr>
        <w:t>É</w:t>
      </w:r>
      <w:r w:rsidR="006E68B5" w:rsidRPr="00023C86">
        <w:rPr>
          <w:b/>
          <w:lang w:eastAsia="en-GB"/>
        </w:rPr>
        <w:t xml:space="preserve">tat </w:t>
      </w:r>
      <w:r w:rsidR="00E73518" w:rsidRPr="00023C86">
        <w:rPr>
          <w:b/>
          <w:lang w:eastAsia="en-GB"/>
        </w:rPr>
        <w:t>partie met</w:t>
      </w:r>
      <w:r w:rsidR="009F6714" w:rsidRPr="00023C86">
        <w:rPr>
          <w:b/>
          <w:lang w:eastAsia="en-GB"/>
        </w:rPr>
        <w:t>te</w:t>
      </w:r>
      <w:r w:rsidR="00E73518" w:rsidRPr="00023C86">
        <w:rPr>
          <w:b/>
          <w:lang w:eastAsia="en-GB"/>
        </w:rPr>
        <w:t xml:space="preserve"> en place</w:t>
      </w:r>
      <w:r w:rsidR="007C50CB" w:rsidRPr="00023C86">
        <w:rPr>
          <w:lang w:eastAsia="en-GB"/>
        </w:rPr>
        <w:t xml:space="preserve"> </w:t>
      </w:r>
      <w:r w:rsidR="007C50CB" w:rsidRPr="00023C86">
        <w:rPr>
          <w:b/>
          <w:lang w:eastAsia="en-GB"/>
        </w:rPr>
        <w:t xml:space="preserve">des mesures </w:t>
      </w:r>
      <w:r w:rsidR="00C2694B" w:rsidRPr="00023C86">
        <w:rPr>
          <w:b/>
          <w:lang w:eastAsia="en-GB"/>
        </w:rPr>
        <w:t>spéciales afin de faciliter l’intégration effective de</w:t>
      </w:r>
      <w:r w:rsidR="007C50CB" w:rsidRPr="00023C86">
        <w:rPr>
          <w:b/>
          <w:lang w:eastAsia="en-GB"/>
        </w:rPr>
        <w:t xml:space="preserve"> tous</w:t>
      </w:r>
      <w:r w:rsidR="00023C86">
        <w:rPr>
          <w:b/>
          <w:lang w:eastAsia="en-GB"/>
        </w:rPr>
        <w:t xml:space="preserve"> les</w:t>
      </w:r>
      <w:r w:rsidR="007C50CB" w:rsidRPr="00023C86">
        <w:rPr>
          <w:b/>
          <w:lang w:eastAsia="en-GB"/>
        </w:rPr>
        <w:t xml:space="preserve"> </w:t>
      </w:r>
      <w:r w:rsidR="00023C86">
        <w:rPr>
          <w:b/>
          <w:lang w:eastAsia="en-GB"/>
        </w:rPr>
        <w:t xml:space="preserve">groupes ethniques, </w:t>
      </w:r>
      <w:r w:rsidR="00C1324D">
        <w:rPr>
          <w:b/>
          <w:lang w:eastAsia="en-GB"/>
        </w:rPr>
        <w:t>plus particulièrement</w:t>
      </w:r>
      <w:r w:rsidR="00023C86">
        <w:rPr>
          <w:b/>
          <w:lang w:eastAsia="en-GB"/>
        </w:rPr>
        <w:t xml:space="preserve"> les </w:t>
      </w:r>
      <w:r w:rsidR="00745DDF">
        <w:rPr>
          <w:b/>
          <w:lang w:eastAsia="en-GB"/>
        </w:rPr>
        <w:t>groupes minoritaires</w:t>
      </w:r>
      <w:r w:rsidR="00C1324D">
        <w:rPr>
          <w:b/>
          <w:lang w:eastAsia="en-GB"/>
        </w:rPr>
        <w:t xml:space="preserve"> et marginalisés</w:t>
      </w:r>
      <w:r w:rsidR="00023C86">
        <w:rPr>
          <w:b/>
          <w:lang w:eastAsia="en-GB"/>
        </w:rPr>
        <w:t xml:space="preserve">, </w:t>
      </w:r>
      <w:r w:rsidR="00C2694B" w:rsidRPr="00023C86">
        <w:rPr>
          <w:b/>
          <w:lang w:eastAsia="en-GB"/>
        </w:rPr>
        <w:t>dans les affaires politiques et publiques</w:t>
      </w:r>
      <w:r w:rsidR="00EA5D7A">
        <w:rPr>
          <w:b/>
          <w:lang w:eastAsia="en-GB"/>
        </w:rPr>
        <w:t>,</w:t>
      </w:r>
      <w:r w:rsidR="00C2694B" w:rsidRPr="00023C86">
        <w:rPr>
          <w:b/>
          <w:lang w:eastAsia="en-GB"/>
        </w:rPr>
        <w:t xml:space="preserve"> </w:t>
      </w:r>
      <w:r w:rsidR="00E04BA6">
        <w:rPr>
          <w:b/>
          <w:lang w:eastAsia="en-GB"/>
        </w:rPr>
        <w:t xml:space="preserve">en </w:t>
      </w:r>
      <w:r w:rsidR="00550503">
        <w:rPr>
          <w:b/>
          <w:lang w:eastAsia="en-GB"/>
        </w:rPr>
        <w:t>leur assur</w:t>
      </w:r>
      <w:r w:rsidR="00E04BA6">
        <w:rPr>
          <w:b/>
          <w:lang w:eastAsia="en-GB"/>
        </w:rPr>
        <w:t>ant notamment</w:t>
      </w:r>
      <w:r w:rsidR="00550503">
        <w:rPr>
          <w:b/>
          <w:lang w:eastAsia="en-GB"/>
        </w:rPr>
        <w:t xml:space="preserve"> un accès </w:t>
      </w:r>
      <w:r w:rsidR="00C2694B" w:rsidRPr="00023C86">
        <w:rPr>
          <w:b/>
          <w:lang w:eastAsia="en-GB"/>
        </w:rPr>
        <w:t>à des postes</w:t>
      </w:r>
      <w:r w:rsidR="00550503">
        <w:rPr>
          <w:b/>
          <w:lang w:eastAsia="en-GB"/>
        </w:rPr>
        <w:t xml:space="preserve"> de responsabilité</w:t>
      </w:r>
      <w:r w:rsidR="009F1EDF">
        <w:rPr>
          <w:b/>
          <w:lang w:eastAsia="en-GB"/>
        </w:rPr>
        <w:t xml:space="preserve"> </w:t>
      </w:r>
      <w:r w:rsidR="00C2694B" w:rsidRPr="00023C86">
        <w:rPr>
          <w:b/>
          <w:lang w:eastAsia="en-GB"/>
        </w:rPr>
        <w:t>au sein des administrations, de la police, de l’armée et des assemblées élues.</w:t>
      </w:r>
      <w:r w:rsidR="007001DE">
        <w:rPr>
          <w:b/>
          <w:lang w:eastAsia="en-GB"/>
        </w:rPr>
        <w:t xml:space="preserve"> </w:t>
      </w:r>
      <w:r w:rsidR="008664E5">
        <w:rPr>
          <w:b/>
          <w:lang w:eastAsia="en-GB"/>
        </w:rPr>
        <w:t>L’</w:t>
      </w:r>
      <w:r w:rsidR="006E68B5">
        <w:rPr>
          <w:b/>
          <w:lang w:eastAsia="en-GB"/>
        </w:rPr>
        <w:t>É</w:t>
      </w:r>
      <w:r w:rsidR="008664E5">
        <w:rPr>
          <w:b/>
          <w:lang w:eastAsia="en-GB"/>
        </w:rPr>
        <w:t xml:space="preserve">tat partie devra accorder une attention particulière aux femmes appartenant </w:t>
      </w:r>
      <w:r w:rsidR="007001DE">
        <w:rPr>
          <w:b/>
          <w:lang w:eastAsia="en-GB"/>
        </w:rPr>
        <w:t>à</w:t>
      </w:r>
      <w:r w:rsidR="008664E5">
        <w:rPr>
          <w:b/>
          <w:lang w:eastAsia="en-GB"/>
        </w:rPr>
        <w:t xml:space="preserve"> ces groupes minoritaires. </w:t>
      </w:r>
    </w:p>
    <w:p w14:paraId="4DED3FBC" w14:textId="7EEBDBF2" w:rsidR="00C2694B" w:rsidRPr="00457044" w:rsidRDefault="00457044" w:rsidP="00B6313D">
      <w:pPr>
        <w:pStyle w:val="H23G"/>
      </w:pPr>
      <w:r>
        <w:rPr>
          <w:lang w:eastAsia="en-GB"/>
        </w:rPr>
        <w:lastRenderedPageBreak/>
        <w:tab/>
      </w:r>
      <w:r>
        <w:rPr>
          <w:lang w:eastAsia="en-GB"/>
        </w:rPr>
        <w:tab/>
      </w:r>
      <w:r w:rsidR="00C2694B" w:rsidRPr="00E72C70">
        <w:t xml:space="preserve">Droits économiques, sociaux et culturels des </w:t>
      </w:r>
      <w:r w:rsidR="00932FCC">
        <w:t xml:space="preserve">nomades </w:t>
      </w:r>
      <w:r w:rsidR="00C2694B" w:rsidRPr="00E72C70">
        <w:t>et a</w:t>
      </w:r>
      <w:r w:rsidR="00C2694B">
        <w:t xml:space="preserve">utres groupes vulnérables </w:t>
      </w:r>
    </w:p>
    <w:p w14:paraId="21B2FE6B" w14:textId="55CB909D" w:rsidR="005E399D" w:rsidRDefault="00317EEB" w:rsidP="00B6313D">
      <w:pPr>
        <w:pStyle w:val="SingleTxtG"/>
      </w:pPr>
      <w:r>
        <w:t>18.</w:t>
      </w:r>
      <w:r>
        <w:tab/>
      </w:r>
      <w:r w:rsidR="005E399D">
        <w:t xml:space="preserve">Le Comité prend note des </w:t>
      </w:r>
      <w:r w:rsidR="00176CCE">
        <w:t>renseignements</w:t>
      </w:r>
      <w:r w:rsidR="005E399D">
        <w:t xml:space="preserve"> </w:t>
      </w:r>
      <w:r w:rsidR="00176CCE">
        <w:t>fournis</w:t>
      </w:r>
      <w:r w:rsidR="005E399D">
        <w:t xml:space="preserve"> par l’État partie sur la jouissance des droits économiques, sociaux et culturels par la population vivant sur son territ</w:t>
      </w:r>
      <w:r w:rsidR="00CF37E9">
        <w:t>oire</w:t>
      </w:r>
      <w:r w:rsidR="007C08EF">
        <w:t>,</w:t>
      </w:r>
      <w:r w:rsidR="000E5070">
        <w:t xml:space="preserve"> </w:t>
      </w:r>
      <w:r w:rsidR="00745DDF">
        <w:t>en particulier</w:t>
      </w:r>
      <w:r w:rsidR="000E5070">
        <w:t xml:space="preserve"> </w:t>
      </w:r>
      <w:r w:rsidR="00AE36C5">
        <w:t>sur</w:t>
      </w:r>
      <w:r w:rsidR="000E5070">
        <w:t xml:space="preserve"> </w:t>
      </w:r>
      <w:r w:rsidR="00C019A9">
        <w:t>la mise en place d’un système d’</w:t>
      </w:r>
      <w:r w:rsidR="007C08EF">
        <w:t>a</w:t>
      </w:r>
      <w:r w:rsidR="00C019A9">
        <w:t xml:space="preserve">ssurance </w:t>
      </w:r>
      <w:r w:rsidR="007C08EF">
        <w:t>m</w:t>
      </w:r>
      <w:r w:rsidR="00C019A9">
        <w:t xml:space="preserve">aladie </w:t>
      </w:r>
      <w:r w:rsidR="007C08EF">
        <w:t>u</w:t>
      </w:r>
      <w:r w:rsidR="00C019A9">
        <w:t xml:space="preserve">niverselle, </w:t>
      </w:r>
      <w:r w:rsidR="007A0145">
        <w:t xml:space="preserve">sur </w:t>
      </w:r>
      <w:r w:rsidR="00C019A9">
        <w:t xml:space="preserve">la présence </w:t>
      </w:r>
      <w:r w:rsidR="00AE36C5">
        <w:t>d</w:t>
      </w:r>
      <w:r w:rsidR="007A0145">
        <w:t>’</w:t>
      </w:r>
      <w:r w:rsidR="000E5070" w:rsidRPr="00E72C70">
        <w:t>équipes de santé mobiles</w:t>
      </w:r>
      <w:r w:rsidR="00AE36C5">
        <w:t xml:space="preserve"> et </w:t>
      </w:r>
      <w:r w:rsidR="007A0145">
        <w:t xml:space="preserve">sur </w:t>
      </w:r>
      <w:r w:rsidR="00052F53">
        <w:t>l’</w:t>
      </w:r>
      <w:r w:rsidR="00AE36C5">
        <w:t>enseignement</w:t>
      </w:r>
      <w:r w:rsidR="00052F53">
        <w:t xml:space="preserve"> fondamental </w:t>
      </w:r>
      <w:r w:rsidR="007A0145">
        <w:t xml:space="preserve">qui </w:t>
      </w:r>
      <w:r w:rsidR="00052F53">
        <w:t>est</w:t>
      </w:r>
      <w:r w:rsidR="00AE36C5">
        <w:t xml:space="preserve"> obligatoire pour les enfants âgés de 6 à 16 ans</w:t>
      </w:r>
      <w:r w:rsidR="00176CCE">
        <w:t>.</w:t>
      </w:r>
      <w:r w:rsidR="000E5070">
        <w:t xml:space="preserve"> </w:t>
      </w:r>
      <w:r w:rsidR="00CF37E9">
        <w:t>Néanmoins, le Comité est préoccupé par</w:t>
      </w:r>
      <w:r w:rsidR="000E5070">
        <w:t xml:space="preserve"> </w:t>
      </w:r>
      <w:r w:rsidR="009F6714">
        <w:t>l’</w:t>
      </w:r>
      <w:r w:rsidR="000E5070">
        <w:t xml:space="preserve">information </w:t>
      </w:r>
      <w:r w:rsidR="00745DDF">
        <w:t>selon laquelle</w:t>
      </w:r>
      <w:r w:rsidR="000E5070">
        <w:t xml:space="preserve"> </w:t>
      </w:r>
      <w:r w:rsidR="000E5070" w:rsidRPr="000E5070">
        <w:rPr>
          <w:lang w:val="fr-FR"/>
        </w:rPr>
        <w:t xml:space="preserve">les nomades, les migrants et les personnes vivant dans </w:t>
      </w:r>
      <w:r w:rsidR="007A0145">
        <w:rPr>
          <w:lang w:val="fr-FR"/>
        </w:rPr>
        <w:t>d</w:t>
      </w:r>
      <w:r w:rsidR="000E5070" w:rsidRPr="000E5070">
        <w:rPr>
          <w:lang w:val="fr-FR"/>
        </w:rPr>
        <w:t>es zones rurales</w:t>
      </w:r>
      <w:r w:rsidR="00BA1840">
        <w:rPr>
          <w:lang w:val="fr-FR"/>
        </w:rPr>
        <w:t xml:space="preserve"> et </w:t>
      </w:r>
      <w:r w:rsidR="007A0145">
        <w:rPr>
          <w:lang w:val="fr-FR"/>
        </w:rPr>
        <w:t xml:space="preserve">des </w:t>
      </w:r>
      <w:r w:rsidR="00BA1840">
        <w:rPr>
          <w:lang w:val="fr-FR"/>
        </w:rPr>
        <w:t>zones reculé</w:t>
      </w:r>
      <w:r w:rsidR="00C1324D">
        <w:rPr>
          <w:lang w:val="fr-FR"/>
        </w:rPr>
        <w:t>e</w:t>
      </w:r>
      <w:r w:rsidR="00BA1840">
        <w:rPr>
          <w:lang w:val="fr-FR"/>
        </w:rPr>
        <w:t>s</w:t>
      </w:r>
      <w:r w:rsidR="00BA1840" w:rsidRPr="000E5070">
        <w:rPr>
          <w:lang w:val="fr-FR"/>
        </w:rPr>
        <w:t xml:space="preserve"> ont</w:t>
      </w:r>
      <w:r w:rsidR="000E5070" w:rsidRPr="000E5070">
        <w:rPr>
          <w:lang w:val="fr-FR"/>
        </w:rPr>
        <w:t xml:space="preserve"> un accès plus limité à l</w:t>
      </w:r>
      <w:r w:rsidR="0085563F">
        <w:rPr>
          <w:lang w:val="fr-FR"/>
        </w:rPr>
        <w:t>’</w:t>
      </w:r>
      <w:r w:rsidR="000E5070" w:rsidRPr="000E5070">
        <w:rPr>
          <w:lang w:val="fr-FR"/>
        </w:rPr>
        <w:t>eau, à l</w:t>
      </w:r>
      <w:r w:rsidR="0085563F">
        <w:rPr>
          <w:lang w:val="fr-FR"/>
        </w:rPr>
        <w:t>’</w:t>
      </w:r>
      <w:r w:rsidR="000E5070" w:rsidRPr="000E5070">
        <w:rPr>
          <w:lang w:val="fr-FR"/>
        </w:rPr>
        <w:t>éducation et à la santé</w:t>
      </w:r>
      <w:r w:rsidR="00C019A9">
        <w:rPr>
          <w:lang w:val="fr-FR"/>
        </w:rPr>
        <w:t xml:space="preserve"> (art.</w:t>
      </w:r>
      <w:r w:rsidR="00BB554C">
        <w:rPr>
          <w:lang w:val="fr-FR"/>
        </w:rPr>
        <w:t> </w:t>
      </w:r>
      <w:r w:rsidR="00C019A9">
        <w:rPr>
          <w:lang w:val="fr-FR"/>
        </w:rPr>
        <w:t xml:space="preserve">2 et </w:t>
      </w:r>
      <w:r w:rsidR="000E5070" w:rsidRPr="000E5070">
        <w:rPr>
          <w:lang w:val="fr-FR"/>
        </w:rPr>
        <w:t>5).</w:t>
      </w:r>
    </w:p>
    <w:p w14:paraId="6AD710A8" w14:textId="7652F5D1" w:rsidR="005E399D" w:rsidRDefault="00317EEB" w:rsidP="00B6313D">
      <w:pPr>
        <w:pStyle w:val="SingleTxtG"/>
        <w:rPr>
          <w:b/>
        </w:rPr>
      </w:pPr>
      <w:r>
        <w:t>19.</w:t>
      </w:r>
      <w:r>
        <w:tab/>
      </w:r>
      <w:r w:rsidR="000E5070" w:rsidRPr="009C33CA">
        <w:rPr>
          <w:b/>
          <w:bCs/>
          <w:lang w:eastAsia="en-GB"/>
        </w:rPr>
        <w:t>Rappelant sa recommandation générale n</w:t>
      </w:r>
      <w:r w:rsidR="000E5070" w:rsidRPr="009C33CA">
        <w:rPr>
          <w:b/>
          <w:bCs/>
          <w:vertAlign w:val="superscript"/>
          <w:lang w:eastAsia="en-GB"/>
        </w:rPr>
        <w:t>o</w:t>
      </w:r>
      <w:r w:rsidR="000E5070" w:rsidRPr="009C33CA">
        <w:rPr>
          <w:b/>
          <w:bCs/>
          <w:lang w:eastAsia="en-GB"/>
        </w:rPr>
        <w:t xml:space="preserve"> 32 (2009) sur la signification et </w:t>
      </w:r>
      <w:r w:rsidR="00FC544F">
        <w:rPr>
          <w:b/>
          <w:bCs/>
          <w:lang w:eastAsia="en-GB"/>
        </w:rPr>
        <w:t xml:space="preserve">la </w:t>
      </w:r>
      <w:r w:rsidR="000E5070" w:rsidRPr="009C33CA">
        <w:rPr>
          <w:b/>
          <w:bCs/>
          <w:lang w:eastAsia="en-GB"/>
        </w:rPr>
        <w:t>portée des mesures spéciales dans la Convention internationale sur</w:t>
      </w:r>
      <w:r w:rsidR="000E5070" w:rsidRPr="004B5CB8">
        <w:rPr>
          <w:lang w:eastAsia="en-GB"/>
        </w:rPr>
        <w:t xml:space="preserve"> </w:t>
      </w:r>
      <w:r w:rsidR="000E5070" w:rsidRPr="009C33CA">
        <w:rPr>
          <w:b/>
          <w:bCs/>
          <w:lang w:eastAsia="en-GB"/>
        </w:rPr>
        <w:t xml:space="preserve">l’élimination de toutes les formes de </w:t>
      </w:r>
      <w:r w:rsidR="000E5070" w:rsidRPr="004B5CB8">
        <w:rPr>
          <w:b/>
        </w:rPr>
        <w:t>discrimination</w:t>
      </w:r>
      <w:r w:rsidR="000E5070" w:rsidRPr="009C33CA">
        <w:rPr>
          <w:b/>
          <w:bCs/>
          <w:lang w:eastAsia="en-GB"/>
        </w:rPr>
        <w:t xml:space="preserve"> raciale</w:t>
      </w:r>
      <w:r w:rsidR="000E5070" w:rsidRPr="0097114B">
        <w:rPr>
          <w:b/>
          <w:bCs/>
          <w:lang w:eastAsia="en-GB"/>
        </w:rPr>
        <w:t>, le Comité recommande à</w:t>
      </w:r>
      <w:r w:rsidR="000E5070" w:rsidRPr="0097114B">
        <w:rPr>
          <w:lang w:eastAsia="en-GB"/>
        </w:rPr>
        <w:t xml:space="preserve"> </w:t>
      </w:r>
      <w:r w:rsidR="000E5070" w:rsidRPr="0097114B">
        <w:rPr>
          <w:b/>
          <w:bCs/>
          <w:lang w:eastAsia="en-GB"/>
        </w:rPr>
        <w:t xml:space="preserve">l’État partie de prendre </w:t>
      </w:r>
      <w:r w:rsidR="00550503">
        <w:rPr>
          <w:b/>
          <w:bCs/>
          <w:lang w:eastAsia="en-GB"/>
        </w:rPr>
        <w:t>d</w:t>
      </w:r>
      <w:r w:rsidR="000E5070" w:rsidRPr="0097114B">
        <w:rPr>
          <w:b/>
          <w:bCs/>
          <w:lang w:eastAsia="en-GB"/>
        </w:rPr>
        <w:t>es mesures spéciales</w:t>
      </w:r>
      <w:r w:rsidR="005E399D" w:rsidRPr="005E399D">
        <w:rPr>
          <w:b/>
        </w:rPr>
        <w:t xml:space="preserve"> afin d’éviter la marginalisation de certains groupes ethniques ou de certaines régions et de veiller à leur inclusion dans la mise en </w:t>
      </w:r>
      <w:r w:rsidR="005E399D">
        <w:rPr>
          <w:b/>
        </w:rPr>
        <w:t>œuvre</w:t>
      </w:r>
      <w:r w:rsidR="005E399D" w:rsidRPr="005E399D">
        <w:rPr>
          <w:b/>
        </w:rPr>
        <w:t xml:space="preserve"> de ses politiques et programmes de développement, notamment ceux liés aux services de base</w:t>
      </w:r>
      <w:r w:rsidR="005E399D">
        <w:rPr>
          <w:b/>
        </w:rPr>
        <w:t>.</w:t>
      </w:r>
    </w:p>
    <w:p w14:paraId="39511AF2" w14:textId="67AD4809" w:rsidR="00FE4DB6" w:rsidRDefault="00457044" w:rsidP="00B6313D">
      <w:pPr>
        <w:pStyle w:val="H23G"/>
      </w:pPr>
      <w:r>
        <w:tab/>
      </w:r>
      <w:r>
        <w:tab/>
      </w:r>
      <w:r w:rsidR="00FE4DB6">
        <w:t>Pratiques traditionnelles préjudiciables</w:t>
      </w:r>
    </w:p>
    <w:p w14:paraId="778385EF" w14:textId="0B5B238E" w:rsidR="00FE4DB6" w:rsidRPr="00B6313D" w:rsidRDefault="00317EEB" w:rsidP="00B6313D">
      <w:pPr>
        <w:pStyle w:val="SingleTxtG"/>
        <w:rPr>
          <w:b/>
        </w:rPr>
      </w:pPr>
      <w:r w:rsidRPr="00FE4DB6">
        <w:t>20.</w:t>
      </w:r>
      <w:r w:rsidRPr="00FE4DB6">
        <w:tab/>
      </w:r>
      <w:r w:rsidR="00FE4DB6">
        <w:t xml:space="preserve">Le Comité constate que les pratiques traditionnelles revêtent souvent un caractère général dans le pays en raison de la religion musulmane partagée par la quasi-totalité de la population. Il s’inquiète tout particulièrement </w:t>
      </w:r>
      <w:r w:rsidR="002C10E6">
        <w:t>d</w:t>
      </w:r>
      <w:r w:rsidR="00FE4DB6">
        <w:t>es pratiques néfastes telles que les mariages précoces et les mutilations génitales féminines</w:t>
      </w:r>
      <w:r w:rsidR="002C10E6">
        <w:t>,</w:t>
      </w:r>
      <w:r w:rsidR="00FE4DB6">
        <w:t xml:space="preserve"> malgré leur interdiction respectivement par le Code de la </w:t>
      </w:r>
      <w:r w:rsidR="00F8634E">
        <w:t>f</w:t>
      </w:r>
      <w:r w:rsidR="00FE4DB6">
        <w:t xml:space="preserve">amille et le Code </w:t>
      </w:r>
      <w:r w:rsidR="00F8634E">
        <w:t>p</w:t>
      </w:r>
      <w:r w:rsidR="00FE4DB6">
        <w:t>énal. Le Comité est préoccupé par l’enracinement de ces pratiques</w:t>
      </w:r>
      <w:r w:rsidR="005A390C">
        <w:t>,</w:t>
      </w:r>
      <w:r w:rsidR="00920EE1">
        <w:t xml:space="preserve"> notamment</w:t>
      </w:r>
      <w:r w:rsidR="00FE4DB6">
        <w:t xml:space="preserve"> dans les zones rurales et nomades. </w:t>
      </w:r>
    </w:p>
    <w:p w14:paraId="0BB621BB" w14:textId="054C2260" w:rsidR="00FE4DB6" w:rsidRDefault="00317EEB" w:rsidP="00B6313D">
      <w:pPr>
        <w:pStyle w:val="SingleTxtG"/>
        <w:rPr>
          <w:b/>
        </w:rPr>
      </w:pPr>
      <w:r>
        <w:t>21.</w:t>
      </w:r>
      <w:r>
        <w:tab/>
      </w:r>
      <w:r w:rsidR="00FE4DB6">
        <w:rPr>
          <w:b/>
        </w:rPr>
        <w:t>Le Comité recommande à l’</w:t>
      </w:r>
      <w:r w:rsidR="00E64791">
        <w:rPr>
          <w:b/>
        </w:rPr>
        <w:t>É</w:t>
      </w:r>
      <w:r w:rsidR="00FE4DB6">
        <w:rPr>
          <w:b/>
        </w:rPr>
        <w:t>tat partie de renforcer son mécanisme de sensibilisation incluant les autorités religieuses et coutumières de ces régions. Il</w:t>
      </w:r>
      <w:r w:rsidR="009F71FE">
        <w:rPr>
          <w:b/>
        </w:rPr>
        <w:t> </w:t>
      </w:r>
      <w:r w:rsidR="00FE4DB6">
        <w:rPr>
          <w:b/>
        </w:rPr>
        <w:t>l’invite à appliquer dans toute sa rigueur</w:t>
      </w:r>
      <w:r w:rsidR="008F3FDB">
        <w:rPr>
          <w:b/>
        </w:rPr>
        <w:t xml:space="preserve"> l’article </w:t>
      </w:r>
      <w:r w:rsidR="00FE4DB6">
        <w:rPr>
          <w:b/>
        </w:rPr>
        <w:t xml:space="preserve">333 de son Code </w:t>
      </w:r>
      <w:r w:rsidR="00E64791">
        <w:rPr>
          <w:b/>
        </w:rPr>
        <w:t>p</w:t>
      </w:r>
      <w:r w:rsidR="00FE4DB6">
        <w:rPr>
          <w:b/>
        </w:rPr>
        <w:t xml:space="preserve">énal afin de soustraire </w:t>
      </w:r>
      <w:r w:rsidR="00023F25">
        <w:rPr>
          <w:b/>
        </w:rPr>
        <w:t>les filles et les femmes de ces zones à ces pratiques préjudiciables. Les victimes devraient être</w:t>
      </w:r>
      <w:r w:rsidR="00B20D45">
        <w:rPr>
          <w:b/>
        </w:rPr>
        <w:t xml:space="preserve"> encouragée</w:t>
      </w:r>
      <w:r w:rsidR="00023F25">
        <w:rPr>
          <w:b/>
        </w:rPr>
        <w:t>s à porter plainte et assistées sur les plans juridique, moral et psychologique.</w:t>
      </w:r>
    </w:p>
    <w:p w14:paraId="4C16A7AD" w14:textId="451B79E5" w:rsidR="00C2694B" w:rsidRPr="009F71FE" w:rsidRDefault="00F01E83">
      <w:pPr>
        <w:pStyle w:val="H23G"/>
      </w:pPr>
      <w:r>
        <w:tab/>
      </w:r>
      <w:r>
        <w:tab/>
      </w:r>
      <w:r w:rsidR="00C2694B" w:rsidRPr="00B075C5">
        <w:t>Situation des réfugiés et demandeurs d’asile</w:t>
      </w:r>
    </w:p>
    <w:p w14:paraId="1C2B86D2" w14:textId="3A8CCDA9" w:rsidR="00900D07" w:rsidRDefault="00317EEB" w:rsidP="00B6313D">
      <w:pPr>
        <w:pStyle w:val="SingleTxtG"/>
        <w:rPr>
          <w:lang w:eastAsia="en-GB"/>
        </w:rPr>
      </w:pPr>
      <w:r>
        <w:rPr>
          <w:lang w:eastAsia="en-GB"/>
        </w:rPr>
        <w:t>22.</w:t>
      </w:r>
      <w:r>
        <w:rPr>
          <w:lang w:eastAsia="en-GB"/>
        </w:rPr>
        <w:tab/>
      </w:r>
      <w:r w:rsidR="00107794">
        <w:t xml:space="preserve">Le Comité </w:t>
      </w:r>
      <w:r w:rsidR="00660813">
        <w:t xml:space="preserve">constate avec </w:t>
      </w:r>
      <w:r w:rsidR="00495D74">
        <w:t xml:space="preserve">satisfaction </w:t>
      </w:r>
      <w:r w:rsidR="00660813">
        <w:t>l</w:t>
      </w:r>
      <w:r w:rsidR="00107794">
        <w:t>es efforts entrepris par l’État partie pour accueillir un nombre important de réfugiés sur son territoire</w:t>
      </w:r>
      <w:r w:rsidR="000E5070">
        <w:t>. Néanmoins</w:t>
      </w:r>
      <w:r w:rsidR="00C2694B" w:rsidRPr="00B075C5">
        <w:rPr>
          <w:lang w:eastAsia="en-GB"/>
        </w:rPr>
        <w:t xml:space="preserve">, </w:t>
      </w:r>
      <w:r w:rsidR="00DB2109">
        <w:rPr>
          <w:lang w:eastAsia="en-GB"/>
        </w:rPr>
        <w:t>il</w:t>
      </w:r>
      <w:r w:rsidR="00C2694B" w:rsidRPr="00B075C5">
        <w:rPr>
          <w:lang w:eastAsia="en-GB"/>
        </w:rPr>
        <w:t xml:space="preserve"> est préo</w:t>
      </w:r>
      <w:r w:rsidR="00C2694B">
        <w:rPr>
          <w:lang w:eastAsia="en-GB"/>
        </w:rPr>
        <w:t xml:space="preserve">ccupé par </w:t>
      </w:r>
      <w:r w:rsidR="00900D07">
        <w:rPr>
          <w:lang w:eastAsia="en-GB"/>
        </w:rPr>
        <w:t>la lenteur de la procédure</w:t>
      </w:r>
      <w:r w:rsidR="005D1CFD">
        <w:rPr>
          <w:lang w:eastAsia="en-GB"/>
        </w:rPr>
        <w:t xml:space="preserve"> de demande</w:t>
      </w:r>
      <w:r w:rsidR="00900D07">
        <w:rPr>
          <w:lang w:eastAsia="en-GB"/>
        </w:rPr>
        <w:t xml:space="preserve"> d’asile</w:t>
      </w:r>
      <w:r w:rsidR="00A856C9">
        <w:rPr>
          <w:lang w:eastAsia="en-GB"/>
        </w:rPr>
        <w:t xml:space="preserve"> pouvant entra</w:t>
      </w:r>
      <w:r w:rsidR="00495D74">
        <w:rPr>
          <w:lang w:eastAsia="en-GB"/>
        </w:rPr>
        <w:t>î</w:t>
      </w:r>
      <w:r w:rsidR="00A856C9">
        <w:rPr>
          <w:lang w:eastAsia="en-GB"/>
        </w:rPr>
        <w:t>ner l’expulsion, voire le refoulement en violation des règles internationales</w:t>
      </w:r>
      <w:r w:rsidR="00900D07">
        <w:rPr>
          <w:lang w:eastAsia="en-GB"/>
        </w:rPr>
        <w:t xml:space="preserve">. En outre, le Comité </w:t>
      </w:r>
      <w:r w:rsidR="00660813">
        <w:rPr>
          <w:lang w:eastAsia="en-GB"/>
        </w:rPr>
        <w:t>s’inquiète de</w:t>
      </w:r>
      <w:r w:rsidR="00900D07">
        <w:rPr>
          <w:lang w:eastAsia="en-GB"/>
        </w:rPr>
        <w:t xml:space="preserve"> </w:t>
      </w:r>
      <w:r w:rsidR="009F6714">
        <w:rPr>
          <w:lang w:eastAsia="en-GB"/>
        </w:rPr>
        <w:t>l’</w:t>
      </w:r>
      <w:r w:rsidR="00900D07">
        <w:rPr>
          <w:lang w:eastAsia="en-GB"/>
        </w:rPr>
        <w:t>information faisant cas de violences contre des femmes</w:t>
      </w:r>
      <w:r w:rsidR="00176CCE">
        <w:rPr>
          <w:lang w:eastAsia="en-GB"/>
        </w:rPr>
        <w:t xml:space="preserve"> et des enfants</w:t>
      </w:r>
      <w:r w:rsidR="00E13485">
        <w:rPr>
          <w:lang w:eastAsia="en-GB"/>
        </w:rPr>
        <w:t xml:space="preserve"> dans les camps de réfugiés (art.</w:t>
      </w:r>
      <w:r w:rsidR="00977E51">
        <w:rPr>
          <w:lang w:eastAsia="en-GB"/>
        </w:rPr>
        <w:t> </w:t>
      </w:r>
      <w:r w:rsidR="00E13485">
        <w:rPr>
          <w:lang w:eastAsia="en-GB"/>
        </w:rPr>
        <w:t>5).</w:t>
      </w:r>
    </w:p>
    <w:p w14:paraId="4CDFDA24" w14:textId="03F0D4F9" w:rsidR="00C2694B" w:rsidRPr="00E13485" w:rsidRDefault="00317EEB" w:rsidP="00B6313D">
      <w:pPr>
        <w:pStyle w:val="SingleTxtG"/>
      </w:pPr>
      <w:r w:rsidRPr="00E13485">
        <w:t>23.</w:t>
      </w:r>
      <w:r w:rsidRPr="00E13485">
        <w:tab/>
      </w:r>
      <w:r w:rsidR="00F41E13" w:rsidRPr="00B6313D">
        <w:rPr>
          <w:b/>
        </w:rPr>
        <w:t>À</w:t>
      </w:r>
      <w:r w:rsidR="00703A0F" w:rsidRPr="00B6313D">
        <w:rPr>
          <w:b/>
          <w:lang w:eastAsia="en-GB"/>
        </w:rPr>
        <w:t xml:space="preserve"> la lumière de sa </w:t>
      </w:r>
      <w:r w:rsidR="00F41E13">
        <w:rPr>
          <w:b/>
          <w:lang w:eastAsia="en-GB"/>
        </w:rPr>
        <w:t>r</w:t>
      </w:r>
      <w:r w:rsidR="00703A0F" w:rsidRPr="00B6313D">
        <w:rPr>
          <w:b/>
          <w:lang w:eastAsia="en-GB"/>
        </w:rPr>
        <w:t xml:space="preserve">ecommandation générale </w:t>
      </w:r>
      <w:r w:rsidR="00F41E13">
        <w:rPr>
          <w:b/>
          <w:lang w:eastAsia="en-GB"/>
        </w:rPr>
        <w:t>n</w:t>
      </w:r>
      <w:r w:rsidR="00F41E13" w:rsidRPr="00B6313D">
        <w:rPr>
          <w:b/>
          <w:vertAlign w:val="superscript"/>
          <w:lang w:eastAsia="en-GB"/>
        </w:rPr>
        <w:t>o</w:t>
      </w:r>
      <w:r w:rsidR="00F41E13">
        <w:rPr>
          <w:b/>
          <w:lang w:eastAsia="en-GB"/>
        </w:rPr>
        <w:t> </w:t>
      </w:r>
      <w:r w:rsidR="00703A0F" w:rsidRPr="00B6313D">
        <w:rPr>
          <w:b/>
          <w:lang w:eastAsia="en-GB"/>
        </w:rPr>
        <w:t>22 (1996) concernant l’article 5 et les réfugiés et personnes déplacées</w:t>
      </w:r>
      <w:r w:rsidR="00703A0F">
        <w:rPr>
          <w:b/>
          <w:lang w:eastAsia="en-GB"/>
        </w:rPr>
        <w:t>,</w:t>
      </w:r>
      <w:r w:rsidR="00703A0F" w:rsidRPr="00B6313D">
        <w:rPr>
          <w:b/>
          <w:lang w:eastAsia="en-GB"/>
        </w:rPr>
        <w:t xml:space="preserve"> </w:t>
      </w:r>
      <w:r w:rsidR="00703A0F">
        <w:rPr>
          <w:b/>
          <w:lang w:eastAsia="en-GB"/>
        </w:rPr>
        <w:t>l</w:t>
      </w:r>
      <w:r w:rsidR="00C2694B" w:rsidRPr="00900D07">
        <w:rPr>
          <w:b/>
          <w:lang w:eastAsia="en-GB"/>
        </w:rPr>
        <w:t>e Comité recommande à l’État partie de prendre les mesures nécessaires pour</w:t>
      </w:r>
      <w:r w:rsidR="00F41E13">
        <w:rPr>
          <w:b/>
          <w:lang w:eastAsia="en-GB"/>
        </w:rPr>
        <w:t xml:space="preserve"> </w:t>
      </w:r>
      <w:r w:rsidR="00D51086" w:rsidRPr="00900D07">
        <w:rPr>
          <w:b/>
          <w:lang w:eastAsia="en-GB"/>
        </w:rPr>
        <w:t>accélérer le traitement des demandes d’</w:t>
      </w:r>
      <w:r w:rsidR="00A856C9" w:rsidRPr="00900D07">
        <w:rPr>
          <w:b/>
          <w:lang w:eastAsia="en-GB"/>
        </w:rPr>
        <w:t>asile</w:t>
      </w:r>
      <w:r w:rsidR="00A856C9">
        <w:rPr>
          <w:b/>
          <w:lang w:eastAsia="en-GB"/>
        </w:rPr>
        <w:t xml:space="preserve"> et de veiller </w:t>
      </w:r>
      <w:r w:rsidR="005D1CFD">
        <w:rPr>
          <w:b/>
          <w:lang w:eastAsia="en-GB"/>
        </w:rPr>
        <w:t>à</w:t>
      </w:r>
      <w:r w:rsidR="00A856C9">
        <w:rPr>
          <w:b/>
          <w:lang w:eastAsia="en-GB"/>
        </w:rPr>
        <w:t xml:space="preserve"> ce que</w:t>
      </w:r>
      <w:r w:rsidR="00D26E3A">
        <w:rPr>
          <w:b/>
          <w:lang w:eastAsia="en-GB"/>
        </w:rPr>
        <w:t xml:space="preserve"> la voie d</w:t>
      </w:r>
      <w:r w:rsidR="00037604">
        <w:rPr>
          <w:b/>
          <w:lang w:eastAsia="en-GB"/>
        </w:rPr>
        <w:t>e recours en</w:t>
      </w:r>
      <w:r w:rsidR="00D26E3A">
        <w:rPr>
          <w:b/>
          <w:lang w:eastAsia="en-GB"/>
        </w:rPr>
        <w:t xml:space="preserve"> </w:t>
      </w:r>
      <w:r w:rsidR="00A856C9">
        <w:rPr>
          <w:b/>
          <w:lang w:eastAsia="en-GB"/>
        </w:rPr>
        <w:t xml:space="preserve">appel soit possible contre </w:t>
      </w:r>
      <w:r w:rsidR="005D1CFD">
        <w:rPr>
          <w:b/>
          <w:lang w:eastAsia="en-GB"/>
        </w:rPr>
        <w:t xml:space="preserve">les </w:t>
      </w:r>
      <w:r w:rsidR="00037604">
        <w:rPr>
          <w:b/>
          <w:lang w:eastAsia="en-GB"/>
        </w:rPr>
        <w:t>décisions</w:t>
      </w:r>
      <w:r w:rsidR="00A856C9">
        <w:rPr>
          <w:b/>
          <w:lang w:eastAsia="en-GB"/>
        </w:rPr>
        <w:t xml:space="preserve"> d’expulsion et qu</w:t>
      </w:r>
      <w:r w:rsidR="005D1CFD">
        <w:rPr>
          <w:b/>
          <w:lang w:eastAsia="en-GB"/>
        </w:rPr>
        <w:t xml:space="preserve">’il n’y </w:t>
      </w:r>
      <w:r w:rsidR="00920EE1">
        <w:rPr>
          <w:b/>
          <w:lang w:eastAsia="en-GB"/>
        </w:rPr>
        <w:t>ait</w:t>
      </w:r>
      <w:r w:rsidR="005D1CFD">
        <w:rPr>
          <w:b/>
          <w:lang w:eastAsia="en-GB"/>
        </w:rPr>
        <w:t xml:space="preserve"> pas de</w:t>
      </w:r>
      <w:r w:rsidR="00A856C9">
        <w:rPr>
          <w:b/>
          <w:lang w:eastAsia="en-GB"/>
        </w:rPr>
        <w:t xml:space="preserve"> refoulemen</w:t>
      </w:r>
      <w:r w:rsidR="005D1CFD">
        <w:rPr>
          <w:b/>
          <w:lang w:eastAsia="en-GB"/>
        </w:rPr>
        <w:t>ts</w:t>
      </w:r>
      <w:r w:rsidR="00900D07" w:rsidRPr="00900D07">
        <w:rPr>
          <w:b/>
          <w:lang w:eastAsia="en-GB"/>
        </w:rPr>
        <w:t xml:space="preserve">. </w:t>
      </w:r>
      <w:r w:rsidR="00900D07">
        <w:rPr>
          <w:b/>
          <w:lang w:eastAsia="en-GB"/>
        </w:rPr>
        <w:t xml:space="preserve">Il recommande </w:t>
      </w:r>
      <w:r w:rsidR="00660813">
        <w:rPr>
          <w:b/>
          <w:lang w:eastAsia="en-GB"/>
        </w:rPr>
        <w:t>également</w:t>
      </w:r>
      <w:r w:rsidR="00900D07">
        <w:rPr>
          <w:b/>
          <w:lang w:eastAsia="en-GB"/>
        </w:rPr>
        <w:t xml:space="preserve"> </w:t>
      </w:r>
      <w:r w:rsidR="00660813">
        <w:rPr>
          <w:b/>
          <w:lang w:eastAsia="en-GB"/>
        </w:rPr>
        <w:t xml:space="preserve">à </w:t>
      </w:r>
      <w:r w:rsidR="00E64791">
        <w:rPr>
          <w:b/>
          <w:lang w:eastAsia="en-GB"/>
        </w:rPr>
        <w:t xml:space="preserve">l’État </w:t>
      </w:r>
      <w:r w:rsidR="00900D07">
        <w:rPr>
          <w:b/>
          <w:lang w:eastAsia="en-GB"/>
        </w:rPr>
        <w:t>partie</w:t>
      </w:r>
      <w:r w:rsidR="00B930BB">
        <w:rPr>
          <w:b/>
          <w:lang w:eastAsia="en-GB"/>
        </w:rPr>
        <w:t xml:space="preserve"> de</w:t>
      </w:r>
      <w:r w:rsidR="00900D07">
        <w:rPr>
          <w:b/>
          <w:lang w:eastAsia="en-GB"/>
        </w:rPr>
        <w:t xml:space="preserve"> </w:t>
      </w:r>
      <w:r w:rsidR="00660813">
        <w:rPr>
          <w:b/>
          <w:lang w:eastAsia="en-GB"/>
        </w:rPr>
        <w:t xml:space="preserve">prendre </w:t>
      </w:r>
      <w:r w:rsidR="00B930BB">
        <w:rPr>
          <w:b/>
          <w:lang w:eastAsia="en-GB"/>
        </w:rPr>
        <w:t>d</w:t>
      </w:r>
      <w:r w:rsidR="00660813">
        <w:rPr>
          <w:b/>
          <w:lang w:eastAsia="en-GB"/>
        </w:rPr>
        <w:t>es mesures destinées à</w:t>
      </w:r>
      <w:r w:rsidR="00C2694B" w:rsidRPr="00900D07">
        <w:rPr>
          <w:b/>
        </w:rPr>
        <w:t xml:space="preserve"> réduire la surpopulation et la promiscuité qui favorisent la violence sexue</w:t>
      </w:r>
      <w:r w:rsidR="00900D07">
        <w:rPr>
          <w:b/>
        </w:rPr>
        <w:t>lle et les abus sur les enfants</w:t>
      </w:r>
      <w:r w:rsidR="00660813">
        <w:rPr>
          <w:b/>
        </w:rPr>
        <w:t xml:space="preserve"> dans </w:t>
      </w:r>
      <w:r w:rsidR="00925195">
        <w:rPr>
          <w:b/>
        </w:rPr>
        <w:t>l</w:t>
      </w:r>
      <w:r w:rsidR="00660813">
        <w:rPr>
          <w:b/>
        </w:rPr>
        <w:t>es camps</w:t>
      </w:r>
      <w:r w:rsidR="00925195">
        <w:rPr>
          <w:b/>
        </w:rPr>
        <w:t xml:space="preserve"> de réfugiés</w:t>
      </w:r>
      <w:r w:rsidR="00A856C9">
        <w:rPr>
          <w:b/>
        </w:rPr>
        <w:t xml:space="preserve"> ainsi que des mesures de renforcement de la sécurité et </w:t>
      </w:r>
      <w:r w:rsidR="003E0226">
        <w:rPr>
          <w:b/>
        </w:rPr>
        <w:t>d’</w:t>
      </w:r>
      <w:r w:rsidR="00A856C9">
        <w:rPr>
          <w:b/>
        </w:rPr>
        <w:t>assistance juridique aux victimes de</w:t>
      </w:r>
      <w:r w:rsidR="007001DE">
        <w:rPr>
          <w:b/>
        </w:rPr>
        <w:t xml:space="preserve"> sévices.</w:t>
      </w:r>
    </w:p>
    <w:p w14:paraId="42C0653A" w14:textId="6C563A20" w:rsidR="00E13485" w:rsidRDefault="00F01E83" w:rsidP="00F01E83">
      <w:pPr>
        <w:pStyle w:val="H23G"/>
      </w:pPr>
      <w:r>
        <w:tab/>
      </w:r>
      <w:r>
        <w:tab/>
      </w:r>
      <w:r w:rsidR="00E13485">
        <w:t xml:space="preserve">Promotion des langues </w:t>
      </w:r>
      <w:r w:rsidR="00BD35BC">
        <w:t xml:space="preserve">somali </w:t>
      </w:r>
      <w:r w:rsidR="00E13485">
        <w:t xml:space="preserve">et </w:t>
      </w:r>
      <w:r w:rsidR="00BD35BC">
        <w:t xml:space="preserve">afar </w:t>
      </w:r>
    </w:p>
    <w:p w14:paraId="69F84D37" w14:textId="4E30EA42" w:rsidR="00E13485" w:rsidRPr="00487E52" w:rsidRDefault="00317EEB" w:rsidP="00B6313D">
      <w:pPr>
        <w:pStyle w:val="SingleTxtG"/>
      </w:pPr>
      <w:r w:rsidRPr="00487E52">
        <w:t>24.</w:t>
      </w:r>
      <w:r w:rsidRPr="00487E52">
        <w:tab/>
      </w:r>
      <w:r w:rsidR="00E13485" w:rsidRPr="00487E52">
        <w:t xml:space="preserve">Le Comité </w:t>
      </w:r>
      <w:r w:rsidR="00D14CD5">
        <w:t>accueille avec intérêt</w:t>
      </w:r>
      <w:r w:rsidR="00E13485" w:rsidRPr="00487E52">
        <w:t xml:space="preserve"> </w:t>
      </w:r>
      <w:r w:rsidR="00FE6955">
        <w:t>l</w:t>
      </w:r>
      <w:r w:rsidR="00E13485" w:rsidRPr="00487E52">
        <w:t xml:space="preserve">es renseignements fournis par l’État partie sur les mesures prises en vue de promouvoir la langue et la culture </w:t>
      </w:r>
      <w:r w:rsidR="00BD35BC">
        <w:t>s</w:t>
      </w:r>
      <w:r w:rsidR="001A2D2E">
        <w:t>omali</w:t>
      </w:r>
      <w:r w:rsidR="00C574F6">
        <w:t>e</w:t>
      </w:r>
      <w:r w:rsidR="008870C4">
        <w:t>s</w:t>
      </w:r>
      <w:r w:rsidR="00E13485" w:rsidRPr="00487E52">
        <w:t xml:space="preserve"> et </w:t>
      </w:r>
      <w:r w:rsidR="00BD35BC">
        <w:t>a</w:t>
      </w:r>
      <w:r w:rsidR="00E13485" w:rsidRPr="00487E52">
        <w:t>far</w:t>
      </w:r>
      <w:r w:rsidR="008870C4">
        <w:t>s</w:t>
      </w:r>
      <w:r w:rsidR="00EE2708">
        <w:t>,</w:t>
      </w:r>
      <w:r w:rsidR="00E13485" w:rsidRPr="00487E52">
        <w:t xml:space="preserve"> ainsi que sur le renforcement des capacités de l’Institut des langues du Centre d’étude</w:t>
      </w:r>
      <w:r w:rsidR="00FE6955">
        <w:t>s</w:t>
      </w:r>
      <w:r w:rsidR="00E13485" w:rsidRPr="00487E52">
        <w:t xml:space="preserve"> et de recherche de Djibouti. Le Comité est cependant préoccupé par le fait que ces langues ne sont toujours pas </w:t>
      </w:r>
      <w:r w:rsidR="00E13485" w:rsidRPr="00487E52">
        <w:rPr>
          <w:bCs/>
        </w:rPr>
        <w:t>incorporées dans les programmes scolaires</w:t>
      </w:r>
      <w:r w:rsidR="00BA1840">
        <w:rPr>
          <w:bCs/>
        </w:rPr>
        <w:t xml:space="preserve"> ni dans l’administration et la justice</w:t>
      </w:r>
      <w:r w:rsidR="00E13485" w:rsidRPr="00487E52">
        <w:t xml:space="preserve"> (art.</w:t>
      </w:r>
      <w:r w:rsidR="00BB554C">
        <w:t> </w:t>
      </w:r>
      <w:r w:rsidR="00E13485" w:rsidRPr="00487E52">
        <w:t>5).</w:t>
      </w:r>
    </w:p>
    <w:p w14:paraId="75B72D70" w14:textId="1678BA0C" w:rsidR="00E13485" w:rsidRPr="00E13485" w:rsidRDefault="00317EEB" w:rsidP="00B6313D">
      <w:pPr>
        <w:pStyle w:val="SingleTxtG"/>
        <w:keepLines/>
      </w:pPr>
      <w:r w:rsidRPr="00E13485">
        <w:lastRenderedPageBreak/>
        <w:t>25.</w:t>
      </w:r>
      <w:r w:rsidRPr="00E13485">
        <w:tab/>
      </w:r>
      <w:r w:rsidR="00E13485" w:rsidRPr="001A2D2E">
        <w:rPr>
          <w:b/>
          <w:bCs/>
        </w:rPr>
        <w:t>Le Comité encourage l’État partie</w:t>
      </w:r>
      <w:r w:rsidR="00523BD3">
        <w:rPr>
          <w:b/>
          <w:bCs/>
        </w:rPr>
        <w:t xml:space="preserve"> </w:t>
      </w:r>
      <w:r w:rsidR="00B930BB">
        <w:rPr>
          <w:b/>
          <w:bCs/>
        </w:rPr>
        <w:t>à</w:t>
      </w:r>
      <w:r w:rsidR="00523BD3">
        <w:rPr>
          <w:b/>
          <w:bCs/>
        </w:rPr>
        <w:t xml:space="preserve"> </w:t>
      </w:r>
      <w:r w:rsidR="00207091">
        <w:rPr>
          <w:b/>
          <w:bCs/>
        </w:rPr>
        <w:t>permettre aux</w:t>
      </w:r>
      <w:r w:rsidR="00523BD3">
        <w:rPr>
          <w:b/>
          <w:bCs/>
        </w:rPr>
        <w:t xml:space="preserve"> langues</w:t>
      </w:r>
      <w:r w:rsidR="00E13485" w:rsidRPr="001A2D2E">
        <w:rPr>
          <w:b/>
          <w:bCs/>
        </w:rPr>
        <w:t xml:space="preserve"> </w:t>
      </w:r>
      <w:r w:rsidR="00207091">
        <w:rPr>
          <w:b/>
          <w:bCs/>
        </w:rPr>
        <w:t>s</w:t>
      </w:r>
      <w:r w:rsidR="00207091" w:rsidRPr="001A2D2E">
        <w:rPr>
          <w:b/>
          <w:bCs/>
        </w:rPr>
        <w:t xml:space="preserve">omali </w:t>
      </w:r>
      <w:r w:rsidR="00E13485" w:rsidRPr="001A2D2E">
        <w:rPr>
          <w:b/>
          <w:bCs/>
        </w:rPr>
        <w:t xml:space="preserve">et </w:t>
      </w:r>
      <w:r w:rsidR="00207091">
        <w:rPr>
          <w:b/>
          <w:bCs/>
        </w:rPr>
        <w:t>a</w:t>
      </w:r>
      <w:r w:rsidR="00207091" w:rsidRPr="001A2D2E">
        <w:rPr>
          <w:b/>
          <w:bCs/>
        </w:rPr>
        <w:t>far</w:t>
      </w:r>
      <w:r w:rsidR="00207091">
        <w:rPr>
          <w:b/>
          <w:bCs/>
        </w:rPr>
        <w:t xml:space="preserve"> d’accéder </w:t>
      </w:r>
      <w:r w:rsidR="00523BD3">
        <w:rPr>
          <w:b/>
          <w:bCs/>
        </w:rPr>
        <w:t>à la sphère publique</w:t>
      </w:r>
      <w:r w:rsidR="001A2D2E" w:rsidRPr="001A2D2E">
        <w:rPr>
          <w:b/>
        </w:rPr>
        <w:t xml:space="preserve"> telle que l’administration </w:t>
      </w:r>
      <w:r w:rsidR="001A2D2E">
        <w:rPr>
          <w:b/>
        </w:rPr>
        <w:t>et</w:t>
      </w:r>
      <w:r w:rsidR="001A2D2E" w:rsidRPr="001A2D2E">
        <w:rPr>
          <w:b/>
        </w:rPr>
        <w:t xml:space="preserve"> </w:t>
      </w:r>
      <w:r w:rsidR="00BA1840">
        <w:rPr>
          <w:b/>
        </w:rPr>
        <w:t>la justice</w:t>
      </w:r>
      <w:r w:rsidR="00E13485" w:rsidRPr="001A2D2E">
        <w:rPr>
          <w:b/>
          <w:bCs/>
        </w:rPr>
        <w:t xml:space="preserve">. </w:t>
      </w:r>
      <w:r w:rsidR="001A2D2E" w:rsidRPr="001A2D2E">
        <w:rPr>
          <w:b/>
          <w:bCs/>
        </w:rPr>
        <w:t>En outre, le Comité encourage l</w:t>
      </w:r>
      <w:r w:rsidR="00207091">
        <w:rPr>
          <w:b/>
          <w:bCs/>
        </w:rPr>
        <w:t>’</w:t>
      </w:r>
      <w:r w:rsidR="001A2D2E" w:rsidRPr="001A2D2E">
        <w:rPr>
          <w:b/>
          <w:bCs/>
        </w:rPr>
        <w:t>État partie à veiller à ce qu</w:t>
      </w:r>
      <w:r w:rsidR="00207091">
        <w:rPr>
          <w:b/>
          <w:bCs/>
        </w:rPr>
        <w:t>e ces langues</w:t>
      </w:r>
      <w:r w:rsidR="001A2D2E" w:rsidRPr="001A2D2E">
        <w:rPr>
          <w:b/>
          <w:bCs/>
        </w:rPr>
        <w:t xml:space="preserve"> soient </w:t>
      </w:r>
      <w:r w:rsidR="00523BD3">
        <w:rPr>
          <w:b/>
          <w:bCs/>
        </w:rPr>
        <w:t xml:space="preserve">progressivement </w:t>
      </w:r>
      <w:r w:rsidR="001A2D2E" w:rsidRPr="001A2D2E">
        <w:rPr>
          <w:b/>
          <w:bCs/>
        </w:rPr>
        <w:t>intégré</w:t>
      </w:r>
      <w:r w:rsidR="001A2D2E">
        <w:rPr>
          <w:b/>
          <w:bCs/>
        </w:rPr>
        <w:t>e</w:t>
      </w:r>
      <w:r w:rsidR="001A2D2E" w:rsidRPr="001A2D2E">
        <w:rPr>
          <w:b/>
          <w:bCs/>
        </w:rPr>
        <w:t>s dans les programmes scolaires.</w:t>
      </w:r>
    </w:p>
    <w:p w14:paraId="0F572890" w14:textId="77777777" w:rsidR="00E13485" w:rsidRPr="00D51086" w:rsidRDefault="00F01E83" w:rsidP="00F01E83">
      <w:pPr>
        <w:pStyle w:val="H23G"/>
        <w:rPr>
          <w:lang w:val="fr-FR"/>
        </w:rPr>
      </w:pPr>
      <w:r>
        <w:rPr>
          <w:lang w:val="fr-FR"/>
        </w:rPr>
        <w:tab/>
      </w:r>
      <w:r>
        <w:rPr>
          <w:lang w:val="fr-FR"/>
        </w:rPr>
        <w:tab/>
      </w:r>
      <w:r w:rsidR="00E13485" w:rsidRPr="00D51086">
        <w:rPr>
          <w:lang w:val="fr-FR"/>
        </w:rPr>
        <w:t>Traite des êtres humains</w:t>
      </w:r>
    </w:p>
    <w:p w14:paraId="1DBBCDFE" w14:textId="51702500" w:rsidR="00E13485" w:rsidRPr="001A2D2E" w:rsidRDefault="00317EEB" w:rsidP="00B6313D">
      <w:pPr>
        <w:pStyle w:val="SingleTxtG"/>
        <w:rPr>
          <w:lang w:val="fr-FR"/>
        </w:rPr>
      </w:pPr>
      <w:r w:rsidRPr="001A2D2E">
        <w:rPr>
          <w:lang w:val="fr-FR"/>
        </w:rPr>
        <w:t>26.</w:t>
      </w:r>
      <w:r w:rsidRPr="001A2D2E">
        <w:rPr>
          <w:lang w:val="fr-FR"/>
        </w:rPr>
        <w:tab/>
      </w:r>
      <w:r w:rsidR="00E13485" w:rsidRPr="001A2D2E">
        <w:rPr>
          <w:lang w:val="fr-FR"/>
        </w:rPr>
        <w:t xml:space="preserve">Tout en prenant </w:t>
      </w:r>
      <w:r w:rsidR="00057D71">
        <w:rPr>
          <w:lang w:val="fr-FR"/>
        </w:rPr>
        <w:t>acte</w:t>
      </w:r>
      <w:r w:rsidR="00E13485" w:rsidRPr="001A2D2E">
        <w:rPr>
          <w:lang w:val="fr-FR"/>
        </w:rPr>
        <w:t xml:space="preserve"> de </w:t>
      </w:r>
      <w:r w:rsidR="00052F53">
        <w:t>l</w:t>
      </w:r>
      <w:r w:rsidR="00816C0D" w:rsidRPr="001A2D2E">
        <w:t>a loi n</w:t>
      </w:r>
      <w:r w:rsidR="0087625E" w:rsidRPr="00B6313D">
        <w:rPr>
          <w:vertAlign w:val="superscript"/>
        </w:rPr>
        <w:t>o</w:t>
      </w:r>
      <w:r w:rsidR="0087625E">
        <w:t> </w:t>
      </w:r>
      <w:r w:rsidR="00816C0D" w:rsidRPr="001A2D2E">
        <w:t>133 de 2016 portant sur la lutte contre la traite des personnes et le trafic illicite de migrants</w:t>
      </w:r>
      <w:r w:rsidR="00E13485" w:rsidRPr="001A2D2E">
        <w:rPr>
          <w:lang w:val="fr-FR"/>
        </w:rPr>
        <w:t xml:space="preserve">, le Comité </w:t>
      </w:r>
      <w:r w:rsidR="00057D71">
        <w:rPr>
          <w:lang w:val="fr-FR"/>
        </w:rPr>
        <w:t>est vivement</w:t>
      </w:r>
      <w:r w:rsidR="00E13485" w:rsidRPr="001A2D2E">
        <w:rPr>
          <w:lang w:val="fr-FR"/>
        </w:rPr>
        <w:t xml:space="preserve"> préoccupé par</w:t>
      </w:r>
      <w:r w:rsidR="00B930BB">
        <w:rPr>
          <w:lang w:val="fr-FR"/>
        </w:rPr>
        <w:t xml:space="preserve"> le fait que</w:t>
      </w:r>
      <w:r w:rsidR="00E13485" w:rsidRPr="001A2D2E">
        <w:rPr>
          <w:lang w:val="fr-FR"/>
        </w:rPr>
        <w:t xml:space="preserve"> </w:t>
      </w:r>
      <w:r w:rsidR="00E64791" w:rsidRPr="001A2D2E">
        <w:rPr>
          <w:lang w:val="fr-FR"/>
        </w:rPr>
        <w:t>l’</w:t>
      </w:r>
      <w:r w:rsidR="00E64791">
        <w:rPr>
          <w:lang w:val="fr-FR"/>
        </w:rPr>
        <w:t>É</w:t>
      </w:r>
      <w:r w:rsidR="00E64791" w:rsidRPr="001A2D2E">
        <w:rPr>
          <w:lang w:val="fr-FR"/>
        </w:rPr>
        <w:t xml:space="preserve">tat </w:t>
      </w:r>
      <w:r w:rsidR="00E13485" w:rsidRPr="001A2D2E">
        <w:rPr>
          <w:lang w:val="fr-FR"/>
        </w:rPr>
        <w:t>partie</w:t>
      </w:r>
      <w:r w:rsidR="00057D71">
        <w:rPr>
          <w:lang w:val="fr-FR"/>
        </w:rPr>
        <w:t xml:space="preserve"> est</w:t>
      </w:r>
      <w:r w:rsidR="00E13485" w:rsidRPr="001A2D2E">
        <w:rPr>
          <w:lang w:val="fr-FR"/>
        </w:rPr>
        <w:t xml:space="preserve"> devenu une plaque tournante de la traite, dont les victimes sont le plus souvent des femmes et des enfants étrangers</w:t>
      </w:r>
      <w:r w:rsidR="00E13485" w:rsidRPr="00B6313D">
        <w:rPr>
          <w:lang w:val="fr-FR"/>
        </w:rPr>
        <w:t xml:space="preserve"> </w:t>
      </w:r>
      <w:r w:rsidR="00E13485" w:rsidRPr="001A2D2E">
        <w:rPr>
          <w:lang w:val="fr-FR"/>
        </w:rPr>
        <w:t>(art.</w:t>
      </w:r>
      <w:r w:rsidR="00BB554C">
        <w:rPr>
          <w:lang w:val="fr-FR"/>
        </w:rPr>
        <w:t> </w:t>
      </w:r>
      <w:r w:rsidR="00E13485" w:rsidRPr="001A2D2E">
        <w:rPr>
          <w:lang w:val="fr-FR"/>
        </w:rPr>
        <w:t xml:space="preserve">5 et 6). </w:t>
      </w:r>
    </w:p>
    <w:p w14:paraId="48DA4D29" w14:textId="5F445071" w:rsidR="00E13485" w:rsidRPr="00D51086" w:rsidRDefault="00317EEB" w:rsidP="00B6313D">
      <w:pPr>
        <w:pStyle w:val="SingleTxtG"/>
        <w:rPr>
          <w:b/>
          <w:lang w:val="fr-FR"/>
        </w:rPr>
      </w:pPr>
      <w:r w:rsidRPr="00D51086">
        <w:rPr>
          <w:lang w:val="fr-FR"/>
        </w:rPr>
        <w:t>27.</w:t>
      </w:r>
      <w:r w:rsidRPr="00D51086">
        <w:rPr>
          <w:lang w:val="fr-FR"/>
        </w:rPr>
        <w:tab/>
      </w:r>
      <w:r w:rsidR="00E13485" w:rsidRPr="00D51086">
        <w:rPr>
          <w:b/>
          <w:lang w:val="fr-FR"/>
        </w:rPr>
        <w:t>Le Comité recommande à l’État partie de prendre toutes les mesures nécessaires pour non seulement punir les auteurs de traite des êtres humains mais également fournir aux victimes</w:t>
      </w:r>
      <w:r w:rsidR="005F0777">
        <w:rPr>
          <w:b/>
          <w:lang w:val="fr-FR"/>
        </w:rPr>
        <w:t>,</w:t>
      </w:r>
      <w:r w:rsidR="00E13485" w:rsidRPr="00D51086">
        <w:rPr>
          <w:b/>
          <w:lang w:val="fr-FR"/>
        </w:rPr>
        <w:t xml:space="preserve"> </w:t>
      </w:r>
      <w:r w:rsidR="005F0777" w:rsidRPr="00D51086">
        <w:rPr>
          <w:b/>
          <w:lang w:val="fr-FR"/>
        </w:rPr>
        <w:t>en particulier aux non-ressortissants sans titre de séjour régulier</w:t>
      </w:r>
      <w:r w:rsidR="005F0777">
        <w:rPr>
          <w:b/>
          <w:lang w:val="fr-FR"/>
        </w:rPr>
        <w:t xml:space="preserve">, </w:t>
      </w:r>
      <w:r w:rsidR="00E13485" w:rsidRPr="00D51086">
        <w:rPr>
          <w:b/>
          <w:lang w:val="fr-FR"/>
        </w:rPr>
        <w:t>une protection légale et institutionnelle</w:t>
      </w:r>
      <w:r w:rsidR="005F0777">
        <w:rPr>
          <w:b/>
          <w:lang w:val="fr-FR"/>
        </w:rPr>
        <w:t xml:space="preserve"> </w:t>
      </w:r>
      <w:r w:rsidR="00BA1840">
        <w:rPr>
          <w:b/>
          <w:lang w:val="fr-FR"/>
        </w:rPr>
        <w:t xml:space="preserve">et leur assurer une </w:t>
      </w:r>
      <w:r w:rsidR="00F00E45">
        <w:rPr>
          <w:b/>
          <w:lang w:val="fr-FR"/>
        </w:rPr>
        <w:t>réparation</w:t>
      </w:r>
      <w:r w:rsidR="00BA1840">
        <w:rPr>
          <w:b/>
          <w:lang w:val="fr-FR"/>
        </w:rPr>
        <w:t xml:space="preserve"> adéquate.</w:t>
      </w:r>
    </w:p>
    <w:p w14:paraId="118495AF" w14:textId="545A404C" w:rsidR="00C2694B" w:rsidRPr="00457044" w:rsidRDefault="00457044">
      <w:pPr>
        <w:pStyle w:val="H23G"/>
      </w:pPr>
      <w:r>
        <w:tab/>
      </w:r>
      <w:r>
        <w:tab/>
      </w:r>
      <w:r w:rsidR="00C2694B">
        <w:t xml:space="preserve">Accès </w:t>
      </w:r>
      <w:r w:rsidR="00BA1840">
        <w:t xml:space="preserve">à la justice </w:t>
      </w:r>
      <w:r w:rsidR="00C2694B">
        <w:t>et f</w:t>
      </w:r>
      <w:r w:rsidR="00C2694B" w:rsidRPr="00C55CAA">
        <w:t>ourniture des données relativ</w:t>
      </w:r>
      <w:r w:rsidR="00C331E6">
        <w:t>es à l’application de l’article </w:t>
      </w:r>
      <w:r w:rsidR="00C2694B" w:rsidRPr="00C55CAA">
        <w:t>6</w:t>
      </w:r>
      <w:r w:rsidR="00C2694B">
        <w:t xml:space="preserve"> </w:t>
      </w:r>
    </w:p>
    <w:p w14:paraId="266F07C2" w14:textId="157DAD1F" w:rsidR="005E399D" w:rsidRDefault="00317EEB" w:rsidP="00B6313D">
      <w:pPr>
        <w:pStyle w:val="SingleTxtG"/>
        <w:rPr>
          <w:lang w:eastAsia="en-GB"/>
        </w:rPr>
      </w:pPr>
      <w:r>
        <w:rPr>
          <w:lang w:eastAsia="en-GB"/>
        </w:rPr>
        <w:t>28.</w:t>
      </w:r>
      <w:r>
        <w:rPr>
          <w:lang w:eastAsia="en-GB"/>
        </w:rPr>
        <w:tab/>
      </w:r>
      <w:r w:rsidR="005E399D" w:rsidRPr="0083092F">
        <w:t xml:space="preserve">Le Comité </w:t>
      </w:r>
      <w:r w:rsidR="00057D71">
        <w:t>constate avec regret</w:t>
      </w:r>
      <w:r w:rsidR="005E399D" w:rsidRPr="0083092F">
        <w:t xml:space="preserve"> que l’État partie ne lui a pas fourni de données sur les plaintes, les poursuites, les sanctions et les réparations relatives</w:t>
      </w:r>
      <w:r w:rsidR="005E399D" w:rsidRPr="009C33CA">
        <w:rPr>
          <w:lang w:eastAsia="en-GB"/>
        </w:rPr>
        <w:t xml:space="preserve"> aux cas de discrimination raciale</w:t>
      </w:r>
      <w:r w:rsidR="00E34BCC">
        <w:rPr>
          <w:lang w:eastAsia="en-GB"/>
        </w:rPr>
        <w:t xml:space="preserve"> </w:t>
      </w:r>
      <w:r w:rsidR="00C24BD8">
        <w:rPr>
          <w:lang w:eastAsia="en-GB"/>
        </w:rPr>
        <w:t xml:space="preserve">dont sont saisis </w:t>
      </w:r>
      <w:r w:rsidR="00E34BCC">
        <w:rPr>
          <w:lang w:eastAsia="en-GB"/>
        </w:rPr>
        <w:t>les</w:t>
      </w:r>
      <w:r w:rsidR="005E399D">
        <w:rPr>
          <w:lang w:eastAsia="en-GB"/>
        </w:rPr>
        <w:t xml:space="preserve"> tribunaux</w:t>
      </w:r>
      <w:r w:rsidR="00E34BCC">
        <w:rPr>
          <w:lang w:eastAsia="en-GB"/>
        </w:rPr>
        <w:t xml:space="preserve">, </w:t>
      </w:r>
      <w:r w:rsidR="005E399D">
        <w:rPr>
          <w:lang w:eastAsia="en-GB"/>
        </w:rPr>
        <w:t xml:space="preserve">la Commission nationale des droits de l’homme </w:t>
      </w:r>
      <w:r w:rsidR="00E34BCC">
        <w:rPr>
          <w:lang w:eastAsia="en-GB"/>
        </w:rPr>
        <w:t>ou</w:t>
      </w:r>
      <w:r w:rsidR="005E399D">
        <w:rPr>
          <w:lang w:eastAsia="en-GB"/>
        </w:rPr>
        <w:t xml:space="preserve"> </w:t>
      </w:r>
      <w:r w:rsidR="00E34BCC">
        <w:rPr>
          <w:lang w:eastAsia="en-GB"/>
        </w:rPr>
        <w:t>le</w:t>
      </w:r>
      <w:r w:rsidR="005E399D">
        <w:rPr>
          <w:lang w:eastAsia="en-GB"/>
        </w:rPr>
        <w:t xml:space="preserve"> Médiateur (art.</w:t>
      </w:r>
      <w:r w:rsidR="00BB554C">
        <w:rPr>
          <w:lang w:eastAsia="en-GB"/>
        </w:rPr>
        <w:t> </w:t>
      </w:r>
      <w:r w:rsidR="005E399D">
        <w:rPr>
          <w:lang w:eastAsia="en-GB"/>
        </w:rPr>
        <w:t>6).</w:t>
      </w:r>
    </w:p>
    <w:p w14:paraId="0C896543" w14:textId="1AB4A0BF" w:rsidR="00C2694B" w:rsidRDefault="00317EEB" w:rsidP="00B6313D">
      <w:pPr>
        <w:pStyle w:val="SingleTxtG"/>
        <w:rPr>
          <w:b/>
          <w:bCs/>
          <w:lang w:eastAsia="en-GB"/>
        </w:rPr>
      </w:pPr>
      <w:r>
        <w:rPr>
          <w:bCs/>
          <w:lang w:eastAsia="en-GB"/>
        </w:rPr>
        <w:t>29.</w:t>
      </w:r>
      <w:r>
        <w:rPr>
          <w:bCs/>
          <w:lang w:eastAsia="en-GB"/>
        </w:rPr>
        <w:tab/>
      </w:r>
      <w:r w:rsidR="005E399D" w:rsidRPr="005E399D">
        <w:rPr>
          <w:b/>
          <w:bCs/>
          <w:lang w:eastAsia="en-GB"/>
        </w:rPr>
        <w:t xml:space="preserve">Se référant à sa recommandation générale </w:t>
      </w:r>
      <w:r w:rsidR="00BB554C" w:rsidRPr="005E399D">
        <w:rPr>
          <w:b/>
          <w:bCs/>
          <w:lang w:eastAsia="en-GB"/>
        </w:rPr>
        <w:t>n</w:t>
      </w:r>
      <w:r w:rsidR="00BB554C" w:rsidRPr="00B6313D">
        <w:rPr>
          <w:b/>
          <w:bCs/>
          <w:vertAlign w:val="superscript"/>
          <w:lang w:eastAsia="en-GB"/>
        </w:rPr>
        <w:t>o</w:t>
      </w:r>
      <w:r w:rsidR="00BB554C">
        <w:rPr>
          <w:b/>
          <w:bCs/>
          <w:lang w:eastAsia="en-GB"/>
        </w:rPr>
        <w:t> </w:t>
      </w:r>
      <w:r w:rsidR="005E399D" w:rsidRPr="005E399D">
        <w:rPr>
          <w:b/>
          <w:bCs/>
          <w:lang w:eastAsia="en-GB"/>
        </w:rPr>
        <w:t xml:space="preserve">31 (2005) concernant la discrimination raciale dans l’administration et le fonctionnement du système de justice pénale, le Comité rappelle à l’État partie que l’absence de plaintes et d’actions en justice engagées par les victimes de discrimination raciale peut révéler une absence de législation spécifique pertinente, une mauvaise connaissance des recours juridiques existants, une volonté insuffisante de la part des autorités de poursuivre les auteurs de tels actes, une absence de confiance dans le système pénal ou la peur de représailles </w:t>
      </w:r>
      <w:r w:rsidR="00E56138">
        <w:rPr>
          <w:b/>
          <w:bCs/>
          <w:lang w:eastAsia="en-GB"/>
        </w:rPr>
        <w:t>contre</w:t>
      </w:r>
      <w:r w:rsidR="00E56138" w:rsidRPr="005E399D">
        <w:rPr>
          <w:b/>
          <w:bCs/>
          <w:lang w:eastAsia="en-GB"/>
        </w:rPr>
        <w:t xml:space="preserve"> </w:t>
      </w:r>
      <w:r w:rsidR="005E399D" w:rsidRPr="005E399D">
        <w:rPr>
          <w:b/>
          <w:bCs/>
          <w:lang w:eastAsia="en-GB"/>
        </w:rPr>
        <w:t xml:space="preserve">les victimes. Le Comité demande à l’État partie de </w:t>
      </w:r>
      <w:r w:rsidR="00F00E45">
        <w:rPr>
          <w:b/>
          <w:bCs/>
          <w:lang w:eastAsia="en-GB"/>
        </w:rPr>
        <w:t xml:space="preserve">fournir des statistiques sur les plaintes reçues, </w:t>
      </w:r>
      <w:r w:rsidR="00037604">
        <w:rPr>
          <w:b/>
          <w:bCs/>
          <w:lang w:eastAsia="en-GB"/>
        </w:rPr>
        <w:t>les poursuites engagées, les sanctions contre les auteurs de ces infractions ainsi que les réparations accordées aux victimes. Enfin, le Comité demande à l’</w:t>
      </w:r>
      <w:r w:rsidR="00E64791">
        <w:rPr>
          <w:b/>
          <w:bCs/>
          <w:lang w:eastAsia="en-GB"/>
        </w:rPr>
        <w:t>É</w:t>
      </w:r>
      <w:r w:rsidR="00037604">
        <w:rPr>
          <w:b/>
          <w:bCs/>
          <w:lang w:eastAsia="en-GB"/>
        </w:rPr>
        <w:t>tat partie d’intégrer dans s</w:t>
      </w:r>
      <w:r w:rsidR="005E399D" w:rsidRPr="005E399D">
        <w:rPr>
          <w:b/>
          <w:bCs/>
          <w:lang w:eastAsia="en-GB"/>
        </w:rPr>
        <w:t>a législation nationale des dispositions appropriées et de faire en sorte que le public, notamment les populations vivant dans des camps de réfugiés, les populations nomades ou semi-nomades ainsi que les populations des zones rurales connaissent leurs droits, y compris tous les recours juridiques en matière de discrimination raciale.</w:t>
      </w:r>
    </w:p>
    <w:p w14:paraId="74FF58D2" w14:textId="3DC0F6CB" w:rsidR="00C2694B" w:rsidRDefault="00F01E83" w:rsidP="00F01E83">
      <w:pPr>
        <w:pStyle w:val="H23G"/>
      </w:pPr>
      <w:r>
        <w:tab/>
      </w:r>
      <w:r>
        <w:tab/>
      </w:r>
      <w:r w:rsidR="00C2694B">
        <w:t>É</w:t>
      </w:r>
      <w:r w:rsidR="00C2694B" w:rsidRPr="001843CF">
        <w:t xml:space="preserve">ducation </w:t>
      </w:r>
      <w:r w:rsidR="00BA1840">
        <w:t xml:space="preserve">aux droits de l’homme pour </w:t>
      </w:r>
      <w:r w:rsidR="00C2694B">
        <w:t xml:space="preserve">lutter contre les préjugés et </w:t>
      </w:r>
      <w:r w:rsidR="00176CCE">
        <w:t>promouvoir la</w:t>
      </w:r>
      <w:r w:rsidR="00457044">
        <w:t> </w:t>
      </w:r>
      <w:r w:rsidR="00176CCE">
        <w:t>compréhension</w:t>
      </w:r>
    </w:p>
    <w:p w14:paraId="18C58EFA" w14:textId="07F492E7" w:rsidR="00916E2F" w:rsidRPr="00916E2F" w:rsidRDefault="00317EEB" w:rsidP="00B6313D">
      <w:pPr>
        <w:pStyle w:val="SingleTxtG"/>
      </w:pPr>
      <w:r>
        <w:t>30.</w:t>
      </w:r>
      <w:r>
        <w:tab/>
      </w:r>
      <w:r w:rsidR="003D409A" w:rsidRPr="00916E2F">
        <w:t xml:space="preserve">Le Comité </w:t>
      </w:r>
      <w:r w:rsidR="00981F2D">
        <w:t>prend note de l’information fourni</w:t>
      </w:r>
      <w:r w:rsidR="00FE6955">
        <w:t>e</w:t>
      </w:r>
      <w:r w:rsidR="00981F2D">
        <w:t xml:space="preserve"> par la délégation</w:t>
      </w:r>
      <w:r w:rsidR="00A856C9">
        <w:t xml:space="preserve"> concernant </w:t>
      </w:r>
      <w:r w:rsidR="00981F2D" w:rsidRPr="008429A2">
        <w:t xml:space="preserve">un </w:t>
      </w:r>
      <w:r w:rsidR="00F95C55" w:rsidRPr="00B6313D">
        <w:rPr>
          <w:i/>
        </w:rPr>
        <w:t>Master</w:t>
      </w:r>
      <w:r w:rsidR="00F95C55" w:rsidRPr="008429A2">
        <w:t xml:space="preserve"> </w:t>
      </w:r>
      <w:r w:rsidR="00A856C9">
        <w:t>en</w:t>
      </w:r>
      <w:r w:rsidR="00A856C9" w:rsidRPr="008429A2">
        <w:t xml:space="preserve"> </w:t>
      </w:r>
      <w:r w:rsidR="00981F2D" w:rsidRPr="008429A2">
        <w:t xml:space="preserve">droits de l’homme </w:t>
      </w:r>
      <w:r w:rsidR="00981F2D">
        <w:t>à</w:t>
      </w:r>
      <w:r w:rsidR="00981F2D" w:rsidRPr="008429A2">
        <w:t xml:space="preserve"> l’université</w:t>
      </w:r>
      <w:r w:rsidR="00981F2D">
        <w:t xml:space="preserve"> et</w:t>
      </w:r>
      <w:r w:rsidR="00981F2D" w:rsidRPr="008429A2">
        <w:t xml:space="preserve"> un module sur les droits de l’homme au niveau du collège</w:t>
      </w:r>
      <w:r w:rsidR="00981F2D">
        <w:t xml:space="preserve">. Néanmoins, </w:t>
      </w:r>
      <w:r w:rsidR="00C203FC">
        <w:t>il</w:t>
      </w:r>
      <w:r w:rsidR="00981F2D">
        <w:t xml:space="preserve"> est inquiet</w:t>
      </w:r>
      <w:r w:rsidR="007E65FD">
        <w:t xml:space="preserve"> de</w:t>
      </w:r>
      <w:r w:rsidR="00981F2D">
        <w:t xml:space="preserve"> l’absence </w:t>
      </w:r>
      <w:r w:rsidR="007E65FD">
        <w:t xml:space="preserve">dans </w:t>
      </w:r>
      <w:r w:rsidR="00E64791">
        <w:t xml:space="preserve">l’État </w:t>
      </w:r>
      <w:r w:rsidR="007E65FD">
        <w:t xml:space="preserve">partie d’une </w:t>
      </w:r>
      <w:r w:rsidR="003D409A" w:rsidRPr="00916E2F">
        <w:t>éducation aux droits de l’homme</w:t>
      </w:r>
      <w:r w:rsidR="00C019A9">
        <w:t xml:space="preserve"> pour les </w:t>
      </w:r>
      <w:r w:rsidR="007E65FD">
        <w:t>enseignants</w:t>
      </w:r>
      <w:r w:rsidR="004E540A">
        <w:t>,</w:t>
      </w:r>
      <w:r w:rsidR="00EC6805">
        <w:t xml:space="preserve"> l</w:t>
      </w:r>
      <w:r w:rsidR="00C019A9" w:rsidRPr="00C019A9">
        <w:t>es responsables de l’application des lois</w:t>
      </w:r>
      <w:r w:rsidR="00EC6805">
        <w:t xml:space="preserve"> et les militaires</w:t>
      </w:r>
      <w:r w:rsidR="00A15D99">
        <w:t xml:space="preserve">. </w:t>
      </w:r>
      <w:r w:rsidR="00981F2D">
        <w:t>En outre</w:t>
      </w:r>
      <w:r w:rsidR="00D17AF1">
        <w:t>,</w:t>
      </w:r>
      <w:r w:rsidR="00981F2D">
        <w:t xml:space="preserve"> l</w:t>
      </w:r>
      <w:r w:rsidR="00A15D99">
        <w:t>e Comité</w:t>
      </w:r>
      <w:r w:rsidR="007E65FD">
        <w:t xml:space="preserve"> est préoccupé par l’absence de</w:t>
      </w:r>
      <w:r w:rsidR="00A15D99">
        <w:t xml:space="preserve"> mesures visant </w:t>
      </w:r>
      <w:r w:rsidR="00C203FC">
        <w:t xml:space="preserve">à favoriser </w:t>
      </w:r>
      <w:r w:rsidR="00A15D99">
        <w:t>le dialogue et</w:t>
      </w:r>
      <w:r w:rsidR="007E65FD">
        <w:t xml:space="preserve"> la</w:t>
      </w:r>
      <w:r w:rsidR="00A15D99">
        <w:t xml:space="preserve"> réconciliation entre </w:t>
      </w:r>
      <w:r w:rsidR="00A15D99" w:rsidRPr="00A15D99">
        <w:t xml:space="preserve">les différents groupes ethniques et en particulier entre les </w:t>
      </w:r>
      <w:r w:rsidR="00A15D99">
        <w:t xml:space="preserve">Afars et les Somalis-Issas </w:t>
      </w:r>
      <w:r w:rsidR="003D409A" w:rsidRPr="00916E2F">
        <w:t>(art.</w:t>
      </w:r>
      <w:r w:rsidR="00FB0581">
        <w:t> </w:t>
      </w:r>
      <w:r w:rsidR="003D409A" w:rsidRPr="00916E2F">
        <w:t>7).</w:t>
      </w:r>
      <w:r w:rsidR="00916E2F" w:rsidRPr="00916E2F">
        <w:t xml:space="preserve"> </w:t>
      </w:r>
    </w:p>
    <w:p w14:paraId="6E0ACA69" w14:textId="4CB455D9" w:rsidR="00EC6805" w:rsidRDefault="00317EEB" w:rsidP="00B6313D">
      <w:pPr>
        <w:pStyle w:val="SingleTxtG"/>
        <w:rPr>
          <w:b/>
        </w:rPr>
      </w:pPr>
      <w:r>
        <w:t>31.</w:t>
      </w:r>
      <w:r>
        <w:tab/>
      </w:r>
      <w:r w:rsidR="003D409A" w:rsidRPr="00916E2F">
        <w:rPr>
          <w:b/>
        </w:rPr>
        <w:t>Le Comité recommande</w:t>
      </w:r>
      <w:r w:rsidR="007E65FD">
        <w:rPr>
          <w:b/>
        </w:rPr>
        <w:t xml:space="preserve"> que</w:t>
      </w:r>
      <w:r w:rsidR="00B842CF">
        <w:rPr>
          <w:b/>
        </w:rPr>
        <w:t> :</w:t>
      </w:r>
    </w:p>
    <w:p w14:paraId="2F041AD4" w14:textId="00863B88" w:rsidR="00EC6805" w:rsidRDefault="00317EEB" w:rsidP="00B6313D">
      <w:pPr>
        <w:pStyle w:val="SingleTxtG"/>
        <w:ind w:firstLine="567"/>
        <w:rPr>
          <w:b/>
        </w:rPr>
      </w:pPr>
      <w:r>
        <w:rPr>
          <w:b/>
        </w:rPr>
        <w:t>a)</w:t>
      </w:r>
      <w:r>
        <w:rPr>
          <w:b/>
        </w:rPr>
        <w:tab/>
      </w:r>
      <w:r w:rsidR="00B842CF">
        <w:rPr>
          <w:b/>
        </w:rPr>
        <w:t xml:space="preserve">L’éducation </w:t>
      </w:r>
      <w:r w:rsidR="00B930BB">
        <w:rPr>
          <w:b/>
        </w:rPr>
        <w:t>aux</w:t>
      </w:r>
      <w:r w:rsidR="007E65FD">
        <w:rPr>
          <w:b/>
        </w:rPr>
        <w:t xml:space="preserve"> droits de l’homme</w:t>
      </w:r>
      <w:r w:rsidR="00B930BB">
        <w:rPr>
          <w:b/>
        </w:rPr>
        <w:t>, y compris la Convention,</w:t>
      </w:r>
      <w:r w:rsidR="007E65FD">
        <w:rPr>
          <w:b/>
        </w:rPr>
        <w:t xml:space="preserve"> soit incluse dans </w:t>
      </w:r>
      <w:r w:rsidR="00B930BB">
        <w:rPr>
          <w:b/>
        </w:rPr>
        <w:t>la formation</w:t>
      </w:r>
      <w:r w:rsidR="007E65FD">
        <w:rPr>
          <w:b/>
        </w:rPr>
        <w:t xml:space="preserve"> des enseignants</w:t>
      </w:r>
      <w:r w:rsidR="004E540A">
        <w:rPr>
          <w:b/>
        </w:rPr>
        <w:t>,</w:t>
      </w:r>
      <w:r w:rsidR="00EC6805">
        <w:rPr>
          <w:b/>
        </w:rPr>
        <w:t xml:space="preserve"> </w:t>
      </w:r>
      <w:r w:rsidR="003D409A" w:rsidRPr="00916E2F">
        <w:rPr>
          <w:b/>
        </w:rPr>
        <w:t>des responsables de l’application des lois</w:t>
      </w:r>
      <w:r w:rsidR="00A856C9">
        <w:rPr>
          <w:b/>
        </w:rPr>
        <w:t xml:space="preserve"> et des militaires</w:t>
      </w:r>
      <w:r w:rsidR="00B842CF">
        <w:rPr>
          <w:b/>
        </w:rPr>
        <w:t> ;</w:t>
      </w:r>
      <w:r w:rsidR="00916E2F">
        <w:rPr>
          <w:b/>
        </w:rPr>
        <w:t xml:space="preserve"> </w:t>
      </w:r>
    </w:p>
    <w:p w14:paraId="4B85F415" w14:textId="64FE968E" w:rsidR="00D2618A" w:rsidRPr="00EC6805" w:rsidRDefault="00317EEB" w:rsidP="00B6313D">
      <w:pPr>
        <w:pStyle w:val="SingleTxtG"/>
        <w:ind w:firstLine="567"/>
        <w:rPr>
          <w:b/>
        </w:rPr>
      </w:pPr>
      <w:r w:rsidRPr="00EC6805">
        <w:rPr>
          <w:b/>
        </w:rPr>
        <w:t>b)</w:t>
      </w:r>
      <w:r w:rsidRPr="00EC6805">
        <w:rPr>
          <w:b/>
        </w:rPr>
        <w:tab/>
      </w:r>
      <w:r w:rsidR="00B842CF">
        <w:rPr>
          <w:b/>
        </w:rPr>
        <w:t>L</w:t>
      </w:r>
      <w:r w:rsidR="00A15D99" w:rsidRPr="00EC6805">
        <w:rPr>
          <w:b/>
        </w:rPr>
        <w:t>’</w:t>
      </w:r>
      <w:r w:rsidR="007803B1">
        <w:rPr>
          <w:b/>
        </w:rPr>
        <w:t>É</w:t>
      </w:r>
      <w:r w:rsidR="00A15D99" w:rsidRPr="00EC6805">
        <w:rPr>
          <w:b/>
        </w:rPr>
        <w:t>tat partie prenne des m</w:t>
      </w:r>
      <w:r w:rsidR="00D2618A" w:rsidRPr="00EC6805">
        <w:rPr>
          <w:b/>
        </w:rPr>
        <w:t xml:space="preserve">esures pour favoriser la </w:t>
      </w:r>
      <w:r w:rsidR="00BF2541" w:rsidRPr="00752061">
        <w:rPr>
          <w:b/>
        </w:rPr>
        <w:t>réconciliation</w:t>
      </w:r>
      <w:r w:rsidR="007E65FD" w:rsidRPr="00B42569">
        <w:rPr>
          <w:b/>
        </w:rPr>
        <w:t xml:space="preserve"> nationale</w:t>
      </w:r>
      <w:r w:rsidR="00AF0C7B">
        <w:rPr>
          <w:b/>
        </w:rPr>
        <w:t>,</w:t>
      </w:r>
      <w:r w:rsidR="007E65FD" w:rsidRPr="00B42569">
        <w:rPr>
          <w:b/>
        </w:rPr>
        <w:t xml:space="preserve"> </w:t>
      </w:r>
      <w:r w:rsidR="007E65FD" w:rsidRPr="00037604">
        <w:rPr>
          <w:b/>
        </w:rPr>
        <w:t>en particulier</w:t>
      </w:r>
      <w:r w:rsidR="00176CCE" w:rsidRPr="00037604">
        <w:rPr>
          <w:b/>
        </w:rPr>
        <w:t xml:space="preserve"> </w:t>
      </w:r>
      <w:r w:rsidR="00D2618A" w:rsidRPr="00037604">
        <w:rPr>
          <w:b/>
        </w:rPr>
        <w:t xml:space="preserve">entre les </w:t>
      </w:r>
      <w:r w:rsidR="000C4593" w:rsidRPr="00037604">
        <w:rPr>
          <w:b/>
        </w:rPr>
        <w:t>A</w:t>
      </w:r>
      <w:r w:rsidR="00D2618A" w:rsidRPr="00037604">
        <w:rPr>
          <w:b/>
        </w:rPr>
        <w:t xml:space="preserve">fars et les </w:t>
      </w:r>
      <w:r w:rsidR="000C4593">
        <w:rPr>
          <w:b/>
        </w:rPr>
        <w:t>S</w:t>
      </w:r>
      <w:r w:rsidR="000C4593" w:rsidRPr="00EC6805">
        <w:rPr>
          <w:b/>
        </w:rPr>
        <w:t>omalis</w:t>
      </w:r>
      <w:r w:rsidR="00BF2541" w:rsidRPr="00EC6805">
        <w:rPr>
          <w:b/>
        </w:rPr>
        <w:t>-</w:t>
      </w:r>
      <w:r w:rsidR="000C4593">
        <w:rPr>
          <w:b/>
        </w:rPr>
        <w:t>I</w:t>
      </w:r>
      <w:r w:rsidR="000C4593" w:rsidRPr="00EC6805">
        <w:rPr>
          <w:b/>
        </w:rPr>
        <w:t>ssas</w:t>
      </w:r>
      <w:r w:rsidR="00A15D99" w:rsidRPr="00EC6805">
        <w:rPr>
          <w:b/>
        </w:rPr>
        <w:t>.</w:t>
      </w:r>
      <w:r w:rsidR="007001DE" w:rsidRPr="00EC6805">
        <w:rPr>
          <w:b/>
        </w:rPr>
        <w:t xml:space="preserve"> </w:t>
      </w:r>
      <w:r w:rsidR="00A856C9" w:rsidRPr="00EC6805">
        <w:rPr>
          <w:b/>
        </w:rPr>
        <w:t>L’</w:t>
      </w:r>
      <w:r w:rsidR="007803B1">
        <w:rPr>
          <w:b/>
        </w:rPr>
        <w:t>É</w:t>
      </w:r>
      <w:r w:rsidR="007001DE" w:rsidRPr="00EC6805">
        <w:rPr>
          <w:b/>
        </w:rPr>
        <w:t>tat partie devra préalablement solder le passif</w:t>
      </w:r>
      <w:r w:rsidR="00A856C9" w:rsidRPr="00EC6805">
        <w:rPr>
          <w:b/>
        </w:rPr>
        <w:t xml:space="preserve"> du conflit interne en mettant fin </w:t>
      </w:r>
      <w:r w:rsidR="00EC6805" w:rsidRPr="00EC6805">
        <w:rPr>
          <w:b/>
        </w:rPr>
        <w:t>à</w:t>
      </w:r>
      <w:r w:rsidR="00A856C9" w:rsidRPr="00EC6805">
        <w:rPr>
          <w:b/>
        </w:rPr>
        <w:t xml:space="preserve"> l’impunité dont ont joui certains militaires qui ont perpétré des viols systématiques et organis</w:t>
      </w:r>
      <w:r w:rsidR="00234BC7">
        <w:rPr>
          <w:b/>
        </w:rPr>
        <w:t>é</w:t>
      </w:r>
      <w:r w:rsidR="00A856C9" w:rsidRPr="00EC6805">
        <w:rPr>
          <w:b/>
        </w:rPr>
        <w:t xml:space="preserve">s contre des femmes </w:t>
      </w:r>
      <w:r w:rsidR="007803B1">
        <w:rPr>
          <w:b/>
        </w:rPr>
        <w:t>a</w:t>
      </w:r>
      <w:r w:rsidR="00A856C9" w:rsidRPr="00EC6805">
        <w:rPr>
          <w:b/>
        </w:rPr>
        <w:t xml:space="preserve">fars pendant et après le conflit. </w:t>
      </w:r>
    </w:p>
    <w:p w14:paraId="6CF1A4E4" w14:textId="77777777" w:rsidR="00D70A4A" w:rsidRPr="006C42B4" w:rsidRDefault="00D70A4A" w:rsidP="00D70A4A">
      <w:pPr>
        <w:pStyle w:val="H1G"/>
      </w:pPr>
      <w:r>
        <w:lastRenderedPageBreak/>
        <w:tab/>
        <w:t>D.</w:t>
      </w:r>
      <w:r>
        <w:tab/>
      </w:r>
      <w:r w:rsidRPr="006C42B4">
        <w:t xml:space="preserve">Autres recommandations </w:t>
      </w:r>
    </w:p>
    <w:p w14:paraId="0D4FA1D0" w14:textId="77777777" w:rsidR="00D70A4A" w:rsidRPr="00BB747D" w:rsidRDefault="00D70A4A" w:rsidP="00D70A4A">
      <w:pPr>
        <w:pStyle w:val="H23G"/>
      </w:pPr>
      <w:r>
        <w:tab/>
      </w:r>
      <w:r>
        <w:tab/>
      </w:r>
      <w:r w:rsidRPr="00BB747D">
        <w:t>Ratification d’autres instruments</w:t>
      </w:r>
    </w:p>
    <w:p w14:paraId="42FF5A17" w14:textId="3B963371" w:rsidR="00D70A4A" w:rsidRPr="00D70A4A" w:rsidRDefault="00317EEB" w:rsidP="00B6313D">
      <w:pPr>
        <w:pStyle w:val="SingleTxtG"/>
        <w:rPr>
          <w:b/>
        </w:rPr>
      </w:pPr>
      <w:r w:rsidRPr="00D70A4A">
        <w:t>32.</w:t>
      </w:r>
      <w:r w:rsidRPr="00D70A4A">
        <w:tab/>
      </w:r>
      <w:r w:rsidR="00D70A4A" w:rsidRPr="00916E2F">
        <w:rPr>
          <w:b/>
        </w:rPr>
        <w:t>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w:t>
      </w:r>
      <w:r w:rsidR="00D70A4A" w:rsidRPr="00916E2F">
        <w:rPr>
          <w:b/>
          <w:bCs/>
        </w:rPr>
        <w:t xml:space="preserve"> et des membres de leur famille.</w:t>
      </w:r>
      <w:r w:rsidR="00D70A4A" w:rsidRPr="00D70A4A">
        <w:rPr>
          <w:b/>
          <w:bCs/>
        </w:rPr>
        <w:t xml:space="preserve"> </w:t>
      </w:r>
    </w:p>
    <w:p w14:paraId="593000AA" w14:textId="77777777" w:rsidR="00D70A4A" w:rsidRPr="00BB747D" w:rsidRDefault="00D70A4A" w:rsidP="00D70A4A">
      <w:pPr>
        <w:pStyle w:val="H23G"/>
      </w:pPr>
      <w:r w:rsidRPr="00BB747D">
        <w:tab/>
      </w:r>
      <w:r w:rsidRPr="00BB747D">
        <w:tab/>
        <w:t>Suite donnée à la Déclaration et au Programme d’action de Durban</w:t>
      </w:r>
    </w:p>
    <w:p w14:paraId="21967192" w14:textId="79458E59" w:rsidR="00D70A4A" w:rsidRPr="00BB747D" w:rsidRDefault="00317EEB" w:rsidP="00B6313D">
      <w:pPr>
        <w:pStyle w:val="SingleTxtG"/>
      </w:pPr>
      <w:r w:rsidRPr="00BB747D">
        <w:t>33.</w:t>
      </w:r>
      <w:r w:rsidRPr="00BB747D">
        <w:tab/>
      </w:r>
      <w:r w:rsidR="00D70A4A" w:rsidRPr="00BB747D">
        <w:rPr>
          <w:b/>
          <w:bCs/>
        </w:rPr>
        <w:t xml:space="preserve">À la lumière de sa </w:t>
      </w:r>
      <w:r w:rsidR="00D414CD">
        <w:rPr>
          <w:b/>
          <w:bCs/>
        </w:rPr>
        <w:t>r</w:t>
      </w:r>
      <w:r w:rsidR="00D414CD" w:rsidRPr="00BB747D">
        <w:rPr>
          <w:b/>
          <w:bCs/>
        </w:rPr>
        <w:t xml:space="preserve">ecommandation </w:t>
      </w:r>
      <w:r w:rsidR="00D70A4A" w:rsidRPr="00BB747D">
        <w:rPr>
          <w:b/>
          <w:bCs/>
        </w:rPr>
        <w:t xml:space="preserve">générale </w:t>
      </w:r>
      <w:r w:rsidR="00D414CD" w:rsidRPr="00BB747D">
        <w:rPr>
          <w:b/>
          <w:bCs/>
        </w:rPr>
        <w:t>n</w:t>
      </w:r>
      <w:r w:rsidR="00D414CD" w:rsidRPr="00B6313D">
        <w:rPr>
          <w:b/>
          <w:bCs/>
          <w:vertAlign w:val="superscript"/>
        </w:rPr>
        <w:t>o</w:t>
      </w:r>
      <w:r w:rsidR="00D414CD">
        <w:rPr>
          <w:b/>
          <w:bCs/>
        </w:rPr>
        <w:t> </w:t>
      </w:r>
      <w:r w:rsidR="00D70A4A" w:rsidRPr="00BB747D">
        <w:rPr>
          <w:b/>
          <w:bCs/>
        </w:rPr>
        <w:t xml:space="preserve">33 (2009) </w:t>
      </w:r>
      <w:r w:rsidR="0039230F">
        <w:rPr>
          <w:b/>
          <w:bCs/>
        </w:rPr>
        <w:t>concernant</w:t>
      </w:r>
      <w:r w:rsidR="0039230F" w:rsidRPr="00BB747D">
        <w:rPr>
          <w:b/>
          <w:bCs/>
        </w:rPr>
        <w:t xml:space="preserve"> </w:t>
      </w:r>
      <w:r w:rsidR="00D70A4A" w:rsidRPr="00BB747D">
        <w:rPr>
          <w:b/>
          <w:bCs/>
        </w:rPr>
        <w:t xml:space="preserve">le suivi de la Conférence </w:t>
      </w:r>
      <w:r w:rsidR="00D70A4A" w:rsidRPr="00BB747D">
        <w:rPr>
          <w:b/>
        </w:rPr>
        <w:t>d’examen de Durban, le Comité recommande à l’État partie de donner effet à</w:t>
      </w:r>
      <w:r w:rsidR="00D70A4A" w:rsidRPr="00BB747D">
        <w:t xml:space="preserve"> </w:t>
      </w:r>
      <w:r w:rsidR="00D70A4A" w:rsidRPr="00BB747D">
        <w:rPr>
          <w:b/>
        </w:rPr>
        <w:t>la</w:t>
      </w:r>
      <w:r w:rsidR="00D70A4A" w:rsidRPr="00BB747D">
        <w:rPr>
          <w:b/>
          <w:bCs/>
        </w:rPr>
        <w:t xml:space="preserve">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r w:rsidR="00D70A4A" w:rsidRPr="00BB747D">
        <w:t xml:space="preserve">. </w:t>
      </w:r>
    </w:p>
    <w:p w14:paraId="238FB287" w14:textId="77777777" w:rsidR="00D70A4A" w:rsidRPr="00BB747D" w:rsidRDefault="00D70A4A" w:rsidP="00D70A4A">
      <w:pPr>
        <w:pStyle w:val="H23G"/>
      </w:pPr>
      <w:r w:rsidRPr="00BB747D">
        <w:tab/>
      </w:r>
      <w:r w:rsidRPr="00BB747D">
        <w:tab/>
        <w:t>Décennie internationale des personnes d’ascendance africaine</w:t>
      </w:r>
    </w:p>
    <w:p w14:paraId="5AC09944" w14:textId="58B6F377" w:rsidR="00D70A4A" w:rsidRPr="00BB747D" w:rsidRDefault="00317EEB" w:rsidP="00B6313D">
      <w:pPr>
        <w:pStyle w:val="SingleTxtG"/>
      </w:pPr>
      <w:r w:rsidRPr="00BB747D">
        <w:t>34.</w:t>
      </w:r>
      <w:r w:rsidRPr="00BB747D">
        <w:tab/>
      </w:r>
      <w:r w:rsidR="00D70A4A" w:rsidRPr="00BB747D">
        <w:rPr>
          <w:b/>
          <w:bCs/>
        </w:rPr>
        <w:t>À la lumière de la résolution 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w:t>
      </w:r>
      <w:r w:rsidR="00D70A4A" w:rsidRPr="00B6313D">
        <w:rPr>
          <w:b/>
        </w:rPr>
        <w:t xml:space="preserve">. </w:t>
      </w:r>
      <w:r w:rsidR="0066764B">
        <w:rPr>
          <w:b/>
          <w:bCs/>
        </w:rPr>
        <w:t>Il lui</w:t>
      </w:r>
      <w:r w:rsidR="00D70A4A" w:rsidRPr="00BB747D">
        <w:rPr>
          <w:b/>
          <w:bCs/>
        </w:rPr>
        <w:t xml:space="preserve"> demande d’inclure dans son prochain rapport des renseignements précis sur les mesures concrètes qu’il aura </w:t>
      </w:r>
      <w:r w:rsidR="0066764B">
        <w:rPr>
          <w:b/>
          <w:bCs/>
        </w:rPr>
        <w:t>prises</w:t>
      </w:r>
      <w:r w:rsidR="0066764B" w:rsidRPr="00BB747D">
        <w:rPr>
          <w:b/>
          <w:bCs/>
        </w:rPr>
        <w:t xml:space="preserve"> </w:t>
      </w:r>
      <w:r w:rsidR="00D70A4A" w:rsidRPr="00BB747D">
        <w:rPr>
          <w:b/>
          <w:bCs/>
        </w:rPr>
        <w:t xml:space="preserve">dans ce cadre, compte tenu de sa </w:t>
      </w:r>
      <w:r w:rsidR="00D414CD">
        <w:rPr>
          <w:b/>
          <w:bCs/>
        </w:rPr>
        <w:t>r</w:t>
      </w:r>
      <w:r w:rsidR="00D414CD" w:rsidRPr="00BB747D">
        <w:rPr>
          <w:b/>
          <w:bCs/>
        </w:rPr>
        <w:t xml:space="preserve">ecommandation </w:t>
      </w:r>
      <w:r w:rsidR="00D70A4A" w:rsidRPr="00BB747D">
        <w:rPr>
          <w:b/>
          <w:bCs/>
        </w:rPr>
        <w:t xml:space="preserve">générale </w:t>
      </w:r>
      <w:r w:rsidR="00D414CD" w:rsidRPr="00BB747D">
        <w:rPr>
          <w:b/>
          <w:bCs/>
        </w:rPr>
        <w:t>n</w:t>
      </w:r>
      <w:r w:rsidR="00D414CD" w:rsidRPr="00B6313D">
        <w:rPr>
          <w:b/>
          <w:bCs/>
          <w:vertAlign w:val="superscript"/>
        </w:rPr>
        <w:t>o</w:t>
      </w:r>
      <w:r w:rsidR="00D414CD">
        <w:rPr>
          <w:b/>
          <w:bCs/>
        </w:rPr>
        <w:t> </w:t>
      </w:r>
      <w:r w:rsidR="00D70A4A" w:rsidRPr="00BB747D">
        <w:rPr>
          <w:b/>
          <w:bCs/>
        </w:rPr>
        <w:t xml:space="preserve">34 (2011) sur la discrimination raciale </w:t>
      </w:r>
      <w:r w:rsidR="00E83BE7">
        <w:rPr>
          <w:b/>
          <w:bCs/>
        </w:rPr>
        <w:t>à l’égard d</w:t>
      </w:r>
      <w:r w:rsidR="00D70A4A" w:rsidRPr="00BB747D">
        <w:rPr>
          <w:b/>
          <w:bCs/>
        </w:rPr>
        <w:t xml:space="preserve">es personnes d’ascendance africaine. </w:t>
      </w:r>
    </w:p>
    <w:p w14:paraId="29C4B6B2" w14:textId="77777777" w:rsidR="00D70A4A" w:rsidRPr="00BB747D" w:rsidRDefault="00D70A4A" w:rsidP="00D70A4A">
      <w:pPr>
        <w:pStyle w:val="H23G"/>
      </w:pPr>
      <w:r w:rsidRPr="00BB747D">
        <w:tab/>
      </w:r>
      <w:r w:rsidRPr="00BB747D">
        <w:tab/>
        <w:t>Consultations avec la société civile</w:t>
      </w:r>
    </w:p>
    <w:p w14:paraId="7AA1A134" w14:textId="2AAECC1D" w:rsidR="00D70A4A" w:rsidRPr="00BB747D" w:rsidRDefault="00317EEB" w:rsidP="00B6313D">
      <w:pPr>
        <w:pStyle w:val="SingleTxtG"/>
      </w:pPr>
      <w:r w:rsidRPr="00BB747D">
        <w:t>35.</w:t>
      </w:r>
      <w:r w:rsidRPr="00BB747D">
        <w:tab/>
      </w:r>
      <w:r w:rsidR="00D70A4A" w:rsidRPr="00BB747D">
        <w:rPr>
          <w:b/>
        </w:rPr>
        <w:t>Le</w:t>
      </w:r>
      <w:r w:rsidR="00D70A4A" w:rsidRPr="00BB747D">
        <w:rPr>
          <w:b/>
          <w:bCs/>
        </w:rPr>
        <w:t xml:space="preserve"> Comité recommande à l’État partie de </w:t>
      </w:r>
      <w:r w:rsidR="00703A0F">
        <w:rPr>
          <w:b/>
          <w:bCs/>
        </w:rPr>
        <w:t xml:space="preserve">s’engager dans un </w:t>
      </w:r>
      <w:r w:rsidR="00D70A4A" w:rsidRPr="00BB747D">
        <w:rPr>
          <w:b/>
          <w:bCs/>
        </w:rPr>
        <w:t>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r w:rsidR="00D70A4A" w:rsidRPr="00BB747D">
        <w:t xml:space="preserve">. </w:t>
      </w:r>
    </w:p>
    <w:p w14:paraId="25B2403A" w14:textId="77777777" w:rsidR="00D70A4A" w:rsidRPr="00BB747D" w:rsidRDefault="00D70A4A" w:rsidP="00D70A4A">
      <w:pPr>
        <w:pStyle w:val="H23G"/>
      </w:pPr>
      <w:r w:rsidRPr="00BB747D">
        <w:tab/>
      </w:r>
      <w:r w:rsidRPr="00BB747D">
        <w:tab/>
      </w:r>
      <w:r w:rsidRPr="00176CCE">
        <w:t>Amendement à l’article 8 de la Convention</w:t>
      </w:r>
    </w:p>
    <w:p w14:paraId="4256C01F" w14:textId="0ED92BD6" w:rsidR="00D70A4A" w:rsidRPr="00BB747D" w:rsidRDefault="00317EEB" w:rsidP="00B6313D">
      <w:pPr>
        <w:pStyle w:val="SingleTxtG"/>
      </w:pPr>
      <w:r w:rsidRPr="00BB747D">
        <w:t>36.</w:t>
      </w:r>
      <w:r w:rsidRPr="00BB747D">
        <w:tab/>
      </w:r>
      <w:r w:rsidR="00D70A4A" w:rsidRPr="00BB747D">
        <w:rPr>
          <w:b/>
          <w:bCs/>
        </w:rPr>
        <w:t xml:space="preserve">Le Comité recommande à l’État partie de ratifier l’amendement au paragraphe 6 de l’article 8 de la Convention, adopté le 15 janvier 1992 à la quatorzième </w:t>
      </w:r>
      <w:r w:rsidR="00067651">
        <w:rPr>
          <w:b/>
          <w:bCs/>
        </w:rPr>
        <w:t>r</w:t>
      </w:r>
      <w:r w:rsidR="00D70A4A" w:rsidRPr="00BB747D">
        <w:rPr>
          <w:b/>
          <w:bCs/>
        </w:rPr>
        <w:t xml:space="preserve">éunion des </w:t>
      </w:r>
      <w:r w:rsidR="00D70A4A" w:rsidRPr="00BB747D">
        <w:rPr>
          <w:b/>
        </w:rPr>
        <w:t>États</w:t>
      </w:r>
      <w:r w:rsidR="00D70A4A" w:rsidRPr="00BB747D">
        <w:rPr>
          <w:b/>
          <w:bCs/>
        </w:rPr>
        <w:t xml:space="preserve"> parties à la Convention et approuvé par l’Assemblée générale dans sa résolution 47/111</w:t>
      </w:r>
      <w:r w:rsidR="00D70A4A" w:rsidRPr="00BB747D">
        <w:t xml:space="preserve">. </w:t>
      </w:r>
    </w:p>
    <w:p w14:paraId="151530F1" w14:textId="77777777" w:rsidR="00D70A4A" w:rsidRPr="00BB747D" w:rsidRDefault="00D70A4A" w:rsidP="00D70A4A">
      <w:pPr>
        <w:pStyle w:val="H23G"/>
      </w:pPr>
      <w:r>
        <w:tab/>
      </w:r>
      <w:r>
        <w:tab/>
      </w:r>
      <w:r w:rsidRPr="009717AE">
        <w:t>Document de base commun</w:t>
      </w:r>
    </w:p>
    <w:p w14:paraId="6903528F" w14:textId="0B0A997F" w:rsidR="00D70A4A" w:rsidRPr="00BB747D" w:rsidRDefault="00317EEB" w:rsidP="00B6313D">
      <w:pPr>
        <w:pStyle w:val="SingleTxtG"/>
      </w:pPr>
      <w:r w:rsidRPr="00BB747D">
        <w:t>37.</w:t>
      </w:r>
      <w:r w:rsidRPr="00BB747D">
        <w:tab/>
      </w:r>
      <w:r w:rsidR="00D70A4A" w:rsidRPr="00BB747D">
        <w:rPr>
          <w:b/>
          <w:bCs/>
        </w:rPr>
        <w:t xml:space="preserve">Le Comité encourage </w:t>
      </w:r>
      <w:r w:rsidR="007803B1" w:rsidRPr="00BB747D">
        <w:rPr>
          <w:b/>
          <w:bCs/>
        </w:rPr>
        <w:t>l’</w:t>
      </w:r>
      <w:r w:rsidR="007803B1">
        <w:rPr>
          <w:b/>
          <w:bCs/>
        </w:rPr>
        <w:t>É</w:t>
      </w:r>
      <w:r w:rsidR="007803B1" w:rsidRPr="00BB747D">
        <w:rPr>
          <w:b/>
          <w:bCs/>
        </w:rPr>
        <w:t xml:space="preserve">tat </w:t>
      </w:r>
      <w:r w:rsidR="00D70A4A" w:rsidRPr="00BB747D">
        <w:rPr>
          <w:b/>
          <w:bCs/>
        </w:rPr>
        <w:t>partie à soumettre une version actualisée de son document de base</w:t>
      </w:r>
      <w:r w:rsidR="009B412D">
        <w:rPr>
          <w:b/>
          <w:bCs/>
        </w:rPr>
        <w:t>,</w:t>
      </w:r>
      <w:r w:rsidR="00D70A4A" w:rsidRPr="00BB747D">
        <w:rPr>
          <w:b/>
          <w:bCs/>
        </w:rPr>
        <w:t xml:space="preserve"> qui date de </w:t>
      </w:r>
      <w:r w:rsidR="009717AE">
        <w:rPr>
          <w:b/>
          <w:bCs/>
        </w:rPr>
        <w:t>2010</w:t>
      </w:r>
      <w:r w:rsidR="009B412D">
        <w:rPr>
          <w:b/>
          <w:bCs/>
        </w:rPr>
        <w:t>,</w:t>
      </w:r>
      <w:r w:rsidR="00D70A4A" w:rsidRPr="00BB747D">
        <w:rPr>
          <w:b/>
          <w:bCs/>
        </w:rPr>
        <w:t xml:space="preserve"> conformément aux directives harmonisées </w:t>
      </w:r>
      <w:r w:rsidR="006567AE">
        <w:rPr>
          <w:b/>
          <w:bCs/>
        </w:rPr>
        <w:t>concernant</w:t>
      </w:r>
      <w:r w:rsidR="006567AE" w:rsidRPr="00BB747D">
        <w:rPr>
          <w:b/>
          <w:bCs/>
        </w:rPr>
        <w:t xml:space="preserve"> </w:t>
      </w:r>
      <w:r w:rsidR="00D70A4A" w:rsidRPr="00BB747D">
        <w:rPr>
          <w:b/>
          <w:bCs/>
        </w:rPr>
        <w:t xml:space="preserve">l’établissement des rapports </w:t>
      </w:r>
      <w:r w:rsidR="006567AE">
        <w:rPr>
          <w:b/>
          <w:bCs/>
        </w:rPr>
        <w:t xml:space="preserve">destinés aux organes créés </w:t>
      </w:r>
      <w:r w:rsidR="00D70A4A" w:rsidRPr="00BB747D">
        <w:rPr>
          <w:b/>
          <w:bCs/>
        </w:rPr>
        <w:t>en vertu d</w:t>
      </w:r>
      <w:r w:rsidR="006567AE">
        <w:rPr>
          <w:b/>
          <w:bCs/>
        </w:rPr>
        <w:t>’</w:t>
      </w:r>
      <w:r w:rsidR="00D70A4A" w:rsidRPr="00BB747D">
        <w:rPr>
          <w:b/>
          <w:bCs/>
        </w:rPr>
        <w:t xml:space="preserve">instruments internationaux relatifs aux droits de l’homme, en particulier celles qui </w:t>
      </w:r>
      <w:r w:rsidR="00A75CFD">
        <w:rPr>
          <w:b/>
          <w:bCs/>
        </w:rPr>
        <w:t>concernent</w:t>
      </w:r>
      <w:r w:rsidR="00A75CFD" w:rsidRPr="00BB747D">
        <w:rPr>
          <w:b/>
          <w:bCs/>
        </w:rPr>
        <w:t xml:space="preserve"> </w:t>
      </w:r>
      <w:r w:rsidR="00D70A4A" w:rsidRPr="00BB747D">
        <w:rPr>
          <w:b/>
          <w:bCs/>
        </w:rPr>
        <w:t xml:space="preserve">le document de base commun, adoptées par la cinquième </w:t>
      </w:r>
      <w:r w:rsidR="0058334A">
        <w:rPr>
          <w:b/>
          <w:bCs/>
        </w:rPr>
        <w:t>r</w:t>
      </w:r>
      <w:r w:rsidR="0058334A" w:rsidRPr="00BB747D">
        <w:rPr>
          <w:b/>
          <w:bCs/>
        </w:rPr>
        <w:t xml:space="preserve">éunion </w:t>
      </w:r>
      <w:r w:rsidR="00D70A4A" w:rsidRPr="00BB747D">
        <w:rPr>
          <w:b/>
          <w:bCs/>
        </w:rPr>
        <w:t>intercomités des organes créés en vertu d’instruments internationaux relatifs aux droits de l’homme tenue en juin 2006 (HRI/GEN/2/Rev.6, chap.</w:t>
      </w:r>
      <w:r w:rsidR="009F71FE">
        <w:rPr>
          <w:b/>
          <w:bCs/>
        </w:rPr>
        <w:t> </w:t>
      </w:r>
      <w:r w:rsidR="00D70A4A" w:rsidRPr="00BB747D">
        <w:rPr>
          <w:b/>
          <w:bCs/>
        </w:rPr>
        <w:t xml:space="preserve">I). </w:t>
      </w:r>
      <w:r w:rsidR="007803B1">
        <w:rPr>
          <w:b/>
          <w:bCs/>
        </w:rPr>
        <w:t>À</w:t>
      </w:r>
      <w:r w:rsidR="00D70A4A" w:rsidRPr="00BB747D">
        <w:rPr>
          <w:b/>
          <w:bCs/>
        </w:rPr>
        <w:t xml:space="preserve"> la lumière de la résolution 68/268 de l’Assemblée générale, le Comité </w:t>
      </w:r>
      <w:r w:rsidR="00DF4263">
        <w:rPr>
          <w:b/>
          <w:bCs/>
        </w:rPr>
        <w:t>demande instamment à</w:t>
      </w:r>
      <w:r w:rsidR="00DF4263" w:rsidRPr="00BB747D">
        <w:rPr>
          <w:b/>
          <w:bCs/>
        </w:rPr>
        <w:t xml:space="preserve"> </w:t>
      </w:r>
      <w:r w:rsidR="007803B1" w:rsidRPr="00BB747D">
        <w:rPr>
          <w:b/>
          <w:bCs/>
        </w:rPr>
        <w:t>l’</w:t>
      </w:r>
      <w:r w:rsidR="007803B1">
        <w:rPr>
          <w:b/>
          <w:bCs/>
        </w:rPr>
        <w:t>É</w:t>
      </w:r>
      <w:r w:rsidR="007803B1" w:rsidRPr="00BB747D">
        <w:rPr>
          <w:b/>
          <w:bCs/>
        </w:rPr>
        <w:t xml:space="preserve">tat </w:t>
      </w:r>
      <w:r w:rsidR="00D70A4A" w:rsidRPr="00BB747D">
        <w:rPr>
          <w:b/>
          <w:bCs/>
        </w:rPr>
        <w:t xml:space="preserve">partie </w:t>
      </w:r>
      <w:r w:rsidR="00067651">
        <w:rPr>
          <w:b/>
          <w:bCs/>
        </w:rPr>
        <w:t>de</w:t>
      </w:r>
      <w:r w:rsidR="00D70A4A" w:rsidRPr="00BB747D">
        <w:rPr>
          <w:b/>
          <w:bCs/>
        </w:rPr>
        <w:t xml:space="preserve"> </w:t>
      </w:r>
      <w:r w:rsidR="00067651" w:rsidRPr="00BB747D">
        <w:rPr>
          <w:b/>
          <w:bCs/>
        </w:rPr>
        <w:t>respect</w:t>
      </w:r>
      <w:r w:rsidR="00067651">
        <w:rPr>
          <w:b/>
          <w:bCs/>
        </w:rPr>
        <w:t>er</w:t>
      </w:r>
      <w:r w:rsidR="00067651" w:rsidRPr="00BB747D">
        <w:rPr>
          <w:b/>
          <w:bCs/>
        </w:rPr>
        <w:t xml:space="preserve"> </w:t>
      </w:r>
      <w:r w:rsidR="00D70A4A" w:rsidRPr="00BB747D">
        <w:rPr>
          <w:b/>
          <w:bCs/>
        </w:rPr>
        <w:t>la limite de 42</w:t>
      </w:r>
      <w:r w:rsidR="007803B1">
        <w:rPr>
          <w:b/>
          <w:bCs/>
        </w:rPr>
        <w:t> </w:t>
      </w:r>
      <w:r w:rsidR="00D70A4A" w:rsidRPr="00BB747D">
        <w:rPr>
          <w:b/>
          <w:bCs/>
        </w:rPr>
        <w:t>400 mots</w:t>
      </w:r>
      <w:r w:rsidR="00067651">
        <w:rPr>
          <w:b/>
          <w:bCs/>
        </w:rPr>
        <w:t xml:space="preserve"> fixée pour ce document.</w:t>
      </w:r>
    </w:p>
    <w:p w14:paraId="3F831CF4" w14:textId="77777777" w:rsidR="00D70A4A" w:rsidRPr="00BB747D" w:rsidRDefault="00D70A4A" w:rsidP="00D70A4A">
      <w:pPr>
        <w:pStyle w:val="H23G"/>
      </w:pPr>
      <w:r w:rsidRPr="00BB747D">
        <w:lastRenderedPageBreak/>
        <w:tab/>
      </w:r>
      <w:r w:rsidRPr="00BB747D">
        <w:tab/>
        <w:t>Suite donnée aux présentes observations finales</w:t>
      </w:r>
    </w:p>
    <w:p w14:paraId="23FA90CA" w14:textId="57A0CBCF" w:rsidR="00D70A4A" w:rsidRPr="00BB747D" w:rsidRDefault="00317EEB" w:rsidP="00B6313D">
      <w:pPr>
        <w:pStyle w:val="SingleTxtG"/>
      </w:pPr>
      <w:r w:rsidRPr="00BB747D">
        <w:t>38.</w:t>
      </w:r>
      <w:r w:rsidRPr="00BB747D">
        <w:tab/>
      </w:r>
      <w:r w:rsidR="00D70A4A" w:rsidRPr="00BB747D">
        <w:rPr>
          <w:b/>
        </w:rPr>
        <w:t>Conformément</w:t>
      </w:r>
      <w:r w:rsidR="00D70A4A" w:rsidRPr="00BB747D">
        <w:rPr>
          <w:b/>
          <w:bCs/>
        </w:rPr>
        <w:t xml:space="preserve"> au paragraphe 1 de l’article 9 de la Convention et à l’article 65 de son </w:t>
      </w:r>
      <w:r w:rsidR="00716EF5">
        <w:rPr>
          <w:b/>
          <w:bCs/>
        </w:rPr>
        <w:t>r</w:t>
      </w:r>
      <w:r w:rsidR="00D70A4A" w:rsidRPr="00BB747D">
        <w:rPr>
          <w:b/>
          <w:bCs/>
        </w:rPr>
        <w:t xml:space="preserve">èglement intérieur, le Comité demande à l’État partie de fournir, dans un délai d’un an à compter de l’adoption des présentes observations finales, des renseignements sur la </w:t>
      </w:r>
      <w:r w:rsidR="00D70A4A" w:rsidRPr="00F119A3">
        <w:rPr>
          <w:b/>
          <w:bCs/>
        </w:rPr>
        <w:t xml:space="preserve">suite qu’il aura donnée aux recommandations figurant dans les paragraphes </w:t>
      </w:r>
      <w:r w:rsidR="00FE6955" w:rsidRPr="00F119A3">
        <w:rPr>
          <w:b/>
          <w:bCs/>
        </w:rPr>
        <w:t>1</w:t>
      </w:r>
      <w:r w:rsidR="00FE6955">
        <w:rPr>
          <w:b/>
          <w:bCs/>
        </w:rPr>
        <w:t>1</w:t>
      </w:r>
      <w:r w:rsidR="00716EF5">
        <w:rPr>
          <w:b/>
          <w:bCs/>
        </w:rPr>
        <w:t>,</w:t>
      </w:r>
      <w:r w:rsidR="00D70A4A" w:rsidRPr="00F119A3">
        <w:rPr>
          <w:b/>
          <w:bCs/>
        </w:rPr>
        <w:t xml:space="preserve"> </w:t>
      </w:r>
      <w:r w:rsidR="00F119A3" w:rsidRPr="00F119A3">
        <w:rPr>
          <w:b/>
          <w:bCs/>
        </w:rPr>
        <w:t>2</w:t>
      </w:r>
      <w:r w:rsidR="00FE6955">
        <w:rPr>
          <w:b/>
          <w:bCs/>
        </w:rPr>
        <w:t>3</w:t>
      </w:r>
      <w:r w:rsidR="00F119A3">
        <w:rPr>
          <w:b/>
          <w:bCs/>
        </w:rPr>
        <w:t xml:space="preserve"> et 2</w:t>
      </w:r>
      <w:r w:rsidR="00FE6955">
        <w:rPr>
          <w:b/>
          <w:bCs/>
        </w:rPr>
        <w:t>7</w:t>
      </w:r>
      <w:r w:rsidR="00D70A4A" w:rsidRPr="00F119A3">
        <w:rPr>
          <w:b/>
          <w:bCs/>
        </w:rPr>
        <w:t>.</w:t>
      </w:r>
    </w:p>
    <w:p w14:paraId="5E91482F" w14:textId="77777777" w:rsidR="00D70A4A" w:rsidRPr="00BB747D" w:rsidRDefault="00D70A4A" w:rsidP="00D70A4A">
      <w:pPr>
        <w:pStyle w:val="H23G"/>
      </w:pPr>
      <w:r w:rsidRPr="00BB747D">
        <w:tab/>
      </w:r>
      <w:r w:rsidRPr="00BB747D">
        <w:tab/>
        <w:t>Paragraphes d’importance particulière</w:t>
      </w:r>
    </w:p>
    <w:p w14:paraId="068B12C3" w14:textId="4EB7BA36" w:rsidR="00D70A4A" w:rsidRPr="00BB747D" w:rsidRDefault="00317EEB" w:rsidP="00B6313D">
      <w:pPr>
        <w:pStyle w:val="SingleTxtG"/>
      </w:pPr>
      <w:r w:rsidRPr="00BB747D">
        <w:t>39.</w:t>
      </w:r>
      <w:r w:rsidRPr="00BB747D">
        <w:tab/>
      </w:r>
      <w:r w:rsidR="00D70A4A" w:rsidRPr="00BB48CB">
        <w:rPr>
          <w:b/>
          <w:bCs/>
        </w:rPr>
        <w:t xml:space="preserve">Le Comité souhaite aussi appeler l’attention de l’État partie sur l’importance particulière des recommandations figurant dans les paragraphes </w:t>
      </w:r>
      <w:r w:rsidR="00F119A3" w:rsidRPr="00BB48CB">
        <w:rPr>
          <w:b/>
          <w:bCs/>
        </w:rPr>
        <w:t>7</w:t>
      </w:r>
      <w:r w:rsidR="00D70A4A" w:rsidRPr="00BB48CB">
        <w:rPr>
          <w:b/>
          <w:bCs/>
        </w:rPr>
        <w:t xml:space="preserve">, </w:t>
      </w:r>
      <w:r w:rsidR="00F119A3" w:rsidRPr="00BB48CB">
        <w:rPr>
          <w:b/>
          <w:bCs/>
        </w:rPr>
        <w:t>9</w:t>
      </w:r>
      <w:r w:rsidR="00D70A4A" w:rsidRPr="00BB48CB">
        <w:rPr>
          <w:b/>
          <w:bCs/>
        </w:rPr>
        <w:t xml:space="preserve">, </w:t>
      </w:r>
      <w:r w:rsidR="00F119A3" w:rsidRPr="00BB48CB">
        <w:rPr>
          <w:b/>
          <w:bCs/>
        </w:rPr>
        <w:t>1</w:t>
      </w:r>
      <w:r w:rsidR="00BB48CB">
        <w:rPr>
          <w:b/>
          <w:bCs/>
        </w:rPr>
        <w:t>7</w:t>
      </w:r>
      <w:r w:rsidR="00752061">
        <w:rPr>
          <w:b/>
          <w:bCs/>
        </w:rPr>
        <w:t>,</w:t>
      </w:r>
      <w:r w:rsidR="00D70A4A" w:rsidRPr="00BB48CB">
        <w:rPr>
          <w:b/>
          <w:bCs/>
        </w:rPr>
        <w:t xml:space="preserve"> </w:t>
      </w:r>
      <w:r w:rsidR="00BB48CB">
        <w:rPr>
          <w:b/>
          <w:bCs/>
        </w:rPr>
        <w:t>19</w:t>
      </w:r>
      <w:r w:rsidR="00752061" w:rsidRPr="00752061">
        <w:rPr>
          <w:b/>
          <w:bCs/>
        </w:rPr>
        <w:t xml:space="preserve"> </w:t>
      </w:r>
      <w:r w:rsidR="00752061" w:rsidRPr="00BB48CB">
        <w:rPr>
          <w:b/>
          <w:bCs/>
        </w:rPr>
        <w:t>et</w:t>
      </w:r>
      <w:r w:rsidR="00752061">
        <w:rPr>
          <w:b/>
          <w:bCs/>
        </w:rPr>
        <w:t xml:space="preserve"> 31</w:t>
      </w:r>
      <w:r w:rsidR="00AA76D4">
        <w:rPr>
          <w:b/>
          <w:bCs/>
        </w:rPr>
        <w:t>,</w:t>
      </w:r>
      <w:r w:rsidR="00D70A4A" w:rsidRPr="00BB48CB">
        <w:rPr>
          <w:b/>
          <w:bCs/>
        </w:rPr>
        <w:t xml:space="preserve"> et lui demande de faire figurer dans son prochain rapport périodique des renseignements détaillés sur les mesures concrètes qu’il aura prises pour y donner suite.</w:t>
      </w:r>
      <w:r w:rsidR="00D70A4A" w:rsidRPr="00BB747D">
        <w:rPr>
          <w:b/>
          <w:bCs/>
        </w:rPr>
        <w:t xml:space="preserve"> </w:t>
      </w:r>
    </w:p>
    <w:p w14:paraId="205B7498" w14:textId="5B750756" w:rsidR="00D70A4A" w:rsidRPr="00BB747D" w:rsidRDefault="00D70A4A" w:rsidP="00D70A4A">
      <w:pPr>
        <w:pStyle w:val="H23G"/>
      </w:pPr>
      <w:r w:rsidRPr="00BB747D">
        <w:tab/>
      </w:r>
      <w:r w:rsidRPr="00BB747D">
        <w:tab/>
        <w:t>Diffusion d’information</w:t>
      </w:r>
    </w:p>
    <w:p w14:paraId="6F94B612" w14:textId="3AF80466" w:rsidR="00D70A4A" w:rsidRPr="00BB747D" w:rsidRDefault="00317EEB" w:rsidP="00B6313D">
      <w:pPr>
        <w:pStyle w:val="SingleTxtG"/>
        <w:rPr>
          <w:b/>
        </w:rPr>
      </w:pPr>
      <w:r w:rsidRPr="00BB747D">
        <w:t>40.</w:t>
      </w:r>
      <w:r w:rsidRPr="00BB747D">
        <w:tab/>
      </w:r>
      <w:r w:rsidR="00D70A4A" w:rsidRPr="00BB747D">
        <w:rPr>
          <w:b/>
          <w:bCs/>
        </w:rPr>
        <w:t xml:space="preserve">Le Comité recommande à l’État partie de mettre ses rapports à la disposition du public dès leur </w:t>
      </w:r>
      <w:r w:rsidR="00D70A4A" w:rsidRPr="00BB747D">
        <w:rPr>
          <w:b/>
        </w:rPr>
        <w:t>soumission</w:t>
      </w:r>
      <w:r w:rsidR="00D70A4A" w:rsidRPr="00BB747D">
        <w:rPr>
          <w:b/>
          <w:bCs/>
        </w:rPr>
        <w:t xml:space="preserve"> et de diffuser également les observations finales du Comité qui s’y rapportent dans les langues officielles et les autres langues couramment uti</w:t>
      </w:r>
      <w:r w:rsidR="00F91A49">
        <w:rPr>
          <w:b/>
          <w:bCs/>
        </w:rPr>
        <w:t>lisées, selon qu’il conviendra</w:t>
      </w:r>
      <w:r w:rsidR="00B31F42">
        <w:rPr>
          <w:b/>
          <w:bCs/>
        </w:rPr>
        <w:t>.</w:t>
      </w:r>
    </w:p>
    <w:p w14:paraId="3719BBFD" w14:textId="77777777" w:rsidR="00D70A4A" w:rsidRPr="00BB747D" w:rsidRDefault="00D70A4A" w:rsidP="00F01E83">
      <w:pPr>
        <w:pStyle w:val="H23G"/>
      </w:pPr>
      <w:r w:rsidRPr="00BB747D">
        <w:tab/>
      </w:r>
      <w:r w:rsidRPr="00BB747D">
        <w:tab/>
        <w:t>Élaboration du prochain rapport périodique</w:t>
      </w:r>
    </w:p>
    <w:p w14:paraId="714D9EAA" w14:textId="51807247" w:rsidR="00D70A4A" w:rsidRDefault="00317EEB" w:rsidP="00B6313D">
      <w:pPr>
        <w:pStyle w:val="SingleTxtG"/>
        <w:rPr>
          <w:b/>
        </w:rPr>
      </w:pPr>
      <w:r>
        <w:t>41.</w:t>
      </w:r>
      <w:r>
        <w:tab/>
      </w:r>
      <w:r w:rsidR="00D70A4A" w:rsidRPr="0096496F">
        <w:rPr>
          <w:b/>
        </w:rPr>
        <w:t>Le Comité recommande à l’État partie de soumettre s</w:t>
      </w:r>
      <w:r w:rsidR="00DF4263">
        <w:rPr>
          <w:b/>
        </w:rPr>
        <w:t>on</w:t>
      </w:r>
      <w:r w:rsidR="00D70A4A" w:rsidRPr="0096496F">
        <w:rPr>
          <w:b/>
        </w:rPr>
        <w:t xml:space="preserve"> </w:t>
      </w:r>
      <w:r w:rsidR="00DF4263">
        <w:rPr>
          <w:b/>
        </w:rPr>
        <w:t xml:space="preserve">rapport valant </w:t>
      </w:r>
      <w:r w:rsidR="005C6A9B">
        <w:rPr>
          <w:b/>
        </w:rPr>
        <w:t>troisième</w:t>
      </w:r>
      <w:r w:rsidR="00D70A4A" w:rsidRPr="0096496F">
        <w:rPr>
          <w:b/>
        </w:rPr>
        <w:t xml:space="preserve"> </w:t>
      </w:r>
      <w:r w:rsidR="0096496F" w:rsidRPr="0096496F">
        <w:rPr>
          <w:b/>
        </w:rPr>
        <w:t xml:space="preserve">et </w:t>
      </w:r>
      <w:r w:rsidR="005C6A9B">
        <w:rPr>
          <w:b/>
        </w:rPr>
        <w:t>quatrième</w:t>
      </w:r>
      <w:r w:rsidR="0096496F" w:rsidRPr="0096496F">
        <w:rPr>
          <w:b/>
        </w:rPr>
        <w:t xml:space="preserve"> </w:t>
      </w:r>
      <w:r w:rsidR="00D70A4A" w:rsidRPr="0096496F">
        <w:rPr>
          <w:b/>
        </w:rPr>
        <w:t xml:space="preserve">rapports périodiques d’ici au </w:t>
      </w:r>
      <w:r w:rsidR="0096496F" w:rsidRPr="00B6313D">
        <w:rPr>
          <w:b/>
        </w:rPr>
        <w:t>30 octobre 2020</w:t>
      </w:r>
      <w:r w:rsidR="00D70A4A" w:rsidRPr="00B6313D">
        <w:rPr>
          <w:b/>
        </w:rPr>
        <w:t>,</w:t>
      </w:r>
      <w:r w:rsidR="00D70A4A" w:rsidRPr="00D70A4A">
        <w:rPr>
          <w:b/>
        </w:rPr>
        <w:t xml:space="preserve"> en tenant compte des directives pour l’établissement du document se rapportant spécifiquement à la Convention adoptées par le Comité à sa soixante et onzième session et en traitant de tous les points soulevés dans les présentes observations finales. À la lumière de la résolution 68/268 de l’Assemblée générale, le Comité demande instamment à l’État partie de respecter la limite de 21</w:t>
      </w:r>
      <w:r w:rsidR="005C6A9B">
        <w:rPr>
          <w:b/>
        </w:rPr>
        <w:t> </w:t>
      </w:r>
      <w:r w:rsidR="00D70A4A" w:rsidRPr="00D70A4A">
        <w:rPr>
          <w:b/>
        </w:rPr>
        <w:t>200 mots fixée pour les rapports périodiques.</w:t>
      </w:r>
    </w:p>
    <w:p w14:paraId="49CCE415" w14:textId="77777777" w:rsidR="00CA2DD4" w:rsidRPr="00B6313D" w:rsidRDefault="00CA2DD4" w:rsidP="00CA2DD4">
      <w:pPr>
        <w:pStyle w:val="SingleTxtG"/>
        <w:spacing w:before="240" w:after="0"/>
        <w:jc w:val="center"/>
        <w:rPr>
          <w:u w:val="single"/>
        </w:rPr>
      </w:pPr>
      <w:bookmarkStart w:id="0" w:name="_GoBack"/>
      <w:bookmarkEnd w:id="0"/>
      <w:r w:rsidRPr="00B6313D">
        <w:rPr>
          <w:u w:val="single"/>
        </w:rPr>
        <w:tab/>
      </w:r>
      <w:r w:rsidRPr="00B6313D">
        <w:rPr>
          <w:u w:val="single"/>
        </w:rPr>
        <w:tab/>
      </w:r>
      <w:r w:rsidRPr="00B6313D">
        <w:rPr>
          <w:u w:val="single"/>
        </w:rPr>
        <w:tab/>
      </w:r>
    </w:p>
    <w:sectPr w:rsidR="00CA2DD4" w:rsidRPr="00B6313D" w:rsidSect="00B6313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5AD1C" w14:textId="77777777" w:rsidR="00A84B86" w:rsidRDefault="00A84B86"/>
  </w:endnote>
  <w:endnote w:type="continuationSeparator" w:id="0">
    <w:p w14:paraId="7F5AD923" w14:textId="77777777" w:rsidR="00A84B86" w:rsidRDefault="00A84B86"/>
  </w:endnote>
  <w:endnote w:type="continuationNotice" w:id="1">
    <w:p w14:paraId="1D4EB2F7" w14:textId="77777777" w:rsidR="00A84B86" w:rsidRDefault="00A84B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DejaVu Sans"/>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2487A" w14:textId="42289F15" w:rsidR="00A84B86" w:rsidRPr="00A84B86" w:rsidRDefault="00A84B86" w:rsidP="00A84B86">
    <w:pPr>
      <w:pStyle w:val="Pieddepage"/>
      <w:tabs>
        <w:tab w:val="right" w:pos="9638"/>
      </w:tabs>
      <w:rPr>
        <w:sz w:val="18"/>
      </w:rPr>
    </w:pPr>
    <w:r w:rsidRPr="00A84B86">
      <w:rPr>
        <w:b/>
        <w:sz w:val="18"/>
      </w:rPr>
      <w:fldChar w:fldCharType="begin"/>
    </w:r>
    <w:r w:rsidRPr="00A84B86">
      <w:rPr>
        <w:b/>
        <w:sz w:val="18"/>
      </w:rPr>
      <w:instrText xml:space="preserve"> PAGE  \* MERGEFORMAT </w:instrText>
    </w:r>
    <w:r w:rsidRPr="00A84B86">
      <w:rPr>
        <w:b/>
        <w:sz w:val="18"/>
      </w:rPr>
      <w:fldChar w:fldCharType="separate"/>
    </w:r>
    <w:r w:rsidR="0021567A">
      <w:rPr>
        <w:b/>
        <w:noProof/>
        <w:sz w:val="18"/>
      </w:rPr>
      <w:t>6</w:t>
    </w:r>
    <w:r w:rsidRPr="00A84B8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1CD13" w14:textId="5F2491DE" w:rsidR="00A84B86" w:rsidRPr="00A84B86" w:rsidRDefault="00A84B86" w:rsidP="00A84B86">
    <w:pPr>
      <w:pStyle w:val="Pieddepage"/>
      <w:tabs>
        <w:tab w:val="right" w:pos="9638"/>
      </w:tabs>
      <w:rPr>
        <w:b/>
        <w:sz w:val="18"/>
      </w:rPr>
    </w:pPr>
    <w:r>
      <w:tab/>
    </w:r>
    <w:r w:rsidRPr="00A84B86">
      <w:rPr>
        <w:b/>
        <w:sz w:val="18"/>
      </w:rPr>
      <w:fldChar w:fldCharType="begin"/>
    </w:r>
    <w:r w:rsidRPr="00A84B86">
      <w:rPr>
        <w:b/>
        <w:sz w:val="18"/>
      </w:rPr>
      <w:instrText xml:space="preserve"> PAGE  \* MERGEFORMAT </w:instrText>
    </w:r>
    <w:r w:rsidRPr="00A84B86">
      <w:rPr>
        <w:b/>
        <w:sz w:val="18"/>
      </w:rPr>
      <w:fldChar w:fldCharType="separate"/>
    </w:r>
    <w:r w:rsidR="0021567A">
      <w:rPr>
        <w:b/>
        <w:noProof/>
        <w:sz w:val="18"/>
      </w:rPr>
      <w:t>7</w:t>
    </w:r>
    <w:r w:rsidRPr="00A84B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F5A57" w14:textId="7E42E27F" w:rsidR="00300D67" w:rsidRPr="00300D67" w:rsidRDefault="00300D67">
    <w:pPr>
      <w:pStyle w:val="Pieddepage"/>
      <w:rPr>
        <w:rFonts w:ascii="C39T30Lfz" w:hAnsi="C39T30Lfz"/>
        <w:sz w:val="56"/>
      </w:rPr>
    </w:pPr>
    <w:r>
      <w:rPr>
        <w:noProof/>
        <w:lang w:eastAsia="fr-CH"/>
      </w:rPr>
      <w:drawing>
        <wp:anchor distT="0" distB="0" distL="114300" distR="114300" simplePos="0" relativeHeight="251660800" behindDoc="0" locked="0" layoutInCell="1" allowOverlap="0" wp14:anchorId="7AF94FA2" wp14:editId="4083BBDC">
          <wp:simplePos x="0" y="0"/>
          <wp:positionH relativeFrom="margin">
            <wp:posOffset>4326964</wp:posOffset>
          </wp:positionH>
          <wp:positionV relativeFrom="margin">
            <wp:posOffset>9224122</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7728" behindDoc="0" locked="0" layoutInCell="1" allowOverlap="1" wp14:anchorId="44B3501B" wp14:editId="6B387681">
          <wp:simplePos x="0" y="0"/>
          <wp:positionH relativeFrom="column">
            <wp:posOffset>5480423</wp:posOffset>
          </wp:positionH>
          <wp:positionV relativeFrom="paragraph">
            <wp:posOffset>0</wp:posOffset>
          </wp:positionV>
          <wp:extent cx="638175" cy="638175"/>
          <wp:effectExtent l="0" t="0" r="9525" b="9525"/>
          <wp:wrapNone/>
          <wp:docPr id="1" name="Image 1" descr="https://undocs.org/m2/QRCode.ashx?DS=CERD/C/DJI/CO/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CO/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w:t>
    </w:r>
    <w:r>
      <w:rPr>
        <w:sz w:val="20"/>
      </w:rPr>
      <w:t>5988</w:t>
    </w:r>
    <w:r>
      <w:rPr>
        <w:sz w:val="20"/>
      </w:rPr>
      <w:t xml:space="preserve">  (F)</w:t>
    </w:r>
    <w:r w:rsidRPr="00300D67">
      <w:rPr>
        <w:noProof/>
        <w:lang w:eastAsia="fr-CH"/>
      </w:rPr>
      <w:t xml:space="preserve"> </w:t>
    </w:r>
    <w:r>
      <w:br/>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r w:rsidRPr="00300D6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E0256" w14:textId="77777777" w:rsidR="00A84B86" w:rsidRPr="00D27D5E" w:rsidRDefault="00A84B86" w:rsidP="00D27D5E">
      <w:pPr>
        <w:tabs>
          <w:tab w:val="right" w:pos="2155"/>
        </w:tabs>
        <w:spacing w:after="80"/>
        <w:ind w:left="680"/>
        <w:rPr>
          <w:u w:val="single"/>
        </w:rPr>
      </w:pPr>
      <w:r>
        <w:rPr>
          <w:u w:val="single"/>
        </w:rPr>
        <w:tab/>
      </w:r>
    </w:p>
  </w:footnote>
  <w:footnote w:type="continuationSeparator" w:id="0">
    <w:p w14:paraId="18631DD1" w14:textId="77777777" w:rsidR="00A84B86" w:rsidRPr="00AA7FE7" w:rsidRDefault="00A84B86" w:rsidP="00AA7FE7">
      <w:pPr>
        <w:tabs>
          <w:tab w:val="right" w:pos="2155"/>
        </w:tabs>
        <w:spacing w:after="80"/>
        <w:ind w:left="680"/>
        <w:rPr>
          <w:u w:val="single"/>
        </w:rPr>
      </w:pPr>
      <w:r w:rsidRPr="00AA7FE7">
        <w:rPr>
          <w:u w:val="single"/>
        </w:rPr>
        <w:tab/>
      </w:r>
    </w:p>
  </w:footnote>
  <w:footnote w:type="continuationNotice" w:id="1">
    <w:p w14:paraId="7BB34D50" w14:textId="77777777" w:rsidR="00A84B86" w:rsidRDefault="00A84B86"/>
  </w:footnote>
  <w:footnote w:id="2">
    <w:p w14:paraId="2D6E99AE" w14:textId="2EB1F5DF" w:rsidR="0024085A" w:rsidRPr="006A20DD" w:rsidRDefault="0024085A" w:rsidP="00300D67">
      <w:pPr>
        <w:pStyle w:val="Notedebasdepage"/>
        <w:spacing w:after="240"/>
      </w:pPr>
      <w:r w:rsidRPr="00B6313D">
        <w:rPr>
          <w:rStyle w:val="Appelnotedebasdep"/>
          <w:sz w:val="20"/>
        </w:rPr>
        <w:tab/>
      </w:r>
      <w:r w:rsidRPr="00B6313D">
        <w:rPr>
          <w:rStyle w:val="Appelnotedebasdep"/>
          <w:sz w:val="20"/>
          <w:vertAlign w:val="baseline"/>
        </w:rPr>
        <w:t>*</w:t>
      </w:r>
      <w:r w:rsidRPr="006312DB">
        <w:rPr>
          <w:rStyle w:val="Appelnotedebasdep"/>
          <w:sz w:val="20"/>
        </w:rPr>
        <w:tab/>
      </w:r>
      <w:r w:rsidRPr="00B6313D">
        <w:t>Adoptées par le Comité à sa quatre-vingt</w:t>
      </w:r>
      <w:r w:rsidR="00B17A3B">
        <w:t>-</w:t>
      </w:r>
      <w:r w:rsidRPr="00B6313D">
        <w:t>treizième session (</w:t>
      </w:r>
      <w:r w:rsidRPr="00B6313D">
        <w:rPr>
          <w:lang w:val="fr-FR"/>
        </w:rPr>
        <w:t>31 juillet</w:t>
      </w:r>
      <w:r w:rsidR="00C6366D">
        <w:rPr>
          <w:lang w:val="fr-FR"/>
        </w:rPr>
        <w:t>-</w:t>
      </w:r>
      <w:r w:rsidR="00996942">
        <w:rPr>
          <w:lang w:val="fr-FR"/>
        </w:rPr>
        <w:t>25 aoû</w:t>
      </w:r>
      <w:r w:rsidRPr="00B6313D">
        <w:rPr>
          <w:lang w:val="fr-FR"/>
        </w:rPr>
        <w:t>t 2017</w:t>
      </w:r>
      <w:r w:rsidRPr="00B6313D">
        <w:t>).</w:t>
      </w:r>
      <w:r w:rsidRPr="006A20DD">
        <w:t xml:space="preserve"> </w:t>
      </w:r>
    </w:p>
  </w:footnote>
  <w:footnote w:id="3">
    <w:p w14:paraId="58539FBB" w14:textId="5E8254EC" w:rsidR="005A33B1" w:rsidRPr="00B6313D" w:rsidRDefault="007F7176">
      <w:pPr>
        <w:pStyle w:val="Notedebasdepage"/>
        <w:rPr>
          <w:lang w:val="fr-FR"/>
        </w:rPr>
      </w:pPr>
      <w:r>
        <w:tab/>
      </w:r>
      <w:r w:rsidR="005A33B1">
        <w:rPr>
          <w:rStyle w:val="Appelnotedebasdep"/>
        </w:rPr>
        <w:footnoteRef/>
      </w:r>
      <w:r>
        <w:tab/>
      </w:r>
      <w:r w:rsidR="005A33B1">
        <w:rPr>
          <w:lang w:val="fr-FR"/>
        </w:rPr>
        <w:t xml:space="preserve">Voir </w:t>
      </w:r>
      <w:r w:rsidR="005A33B1" w:rsidRPr="005A33B1">
        <w:rPr>
          <w:lang w:val="fr-FR"/>
        </w:rPr>
        <w:t>http://www.ohchr.org/Documents/Issues/HRIndicators/GuidanceNoteonApproachtoData.pdf</w:t>
      </w:r>
      <w:r w:rsidR="005A33B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2BC9F" w14:textId="3BA93CF1" w:rsidR="00A84B86" w:rsidRPr="00A84B86" w:rsidRDefault="002B7885">
    <w:pPr>
      <w:pStyle w:val="En-tte"/>
    </w:pPr>
    <w:fldSimple w:instr=" TITLE  \* MERGEFORMAT ">
      <w:r w:rsidR="00EF5BFF">
        <w:t>CERD/C/DJI/CO/</w:t>
      </w:r>
      <w:r w:rsidR="001E1CD0">
        <w:t>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7F0DD" w14:textId="6693C32A" w:rsidR="00A84B86" w:rsidRPr="00A84B86" w:rsidRDefault="002B7885" w:rsidP="00A84B86">
    <w:pPr>
      <w:pStyle w:val="En-tte"/>
      <w:jc w:val="right"/>
    </w:pPr>
    <w:fldSimple w:instr=" TITLE  \* MERGEFORMAT ">
      <w:r w:rsidR="00EF5BFF">
        <w:t>CERD/C/DJI/CO/</w:t>
      </w:r>
      <w:r w:rsidR="001E1CD0">
        <w:t>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4CDA"/>
    <w:multiLevelType w:val="hybridMultilevel"/>
    <w:tmpl w:val="108295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88577A0"/>
    <w:multiLevelType w:val="hybridMultilevel"/>
    <w:tmpl w:val="2926228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CEC63C8"/>
    <w:multiLevelType w:val="hybridMultilevel"/>
    <w:tmpl w:val="0FE06E5C"/>
    <w:lvl w:ilvl="0" w:tplc="742A129E">
      <w:start w:val="5"/>
      <w:numFmt w:val="decimal"/>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E6651A"/>
    <w:multiLevelType w:val="hybridMultilevel"/>
    <w:tmpl w:val="A65A621C"/>
    <w:lvl w:ilvl="0" w:tplc="5D087C4E">
      <w:start w:val="5"/>
      <w:numFmt w:val="decimal"/>
      <w:lvlText w:val="%1."/>
      <w:lvlJc w:val="left"/>
      <w:pPr>
        <w:ind w:left="3555"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45120EF"/>
    <w:multiLevelType w:val="hybridMultilevel"/>
    <w:tmpl w:val="5D9A52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044414"/>
    <w:multiLevelType w:val="hybridMultilevel"/>
    <w:tmpl w:val="A08C9B9E"/>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205C2641"/>
    <w:multiLevelType w:val="hybridMultilevel"/>
    <w:tmpl w:val="B538CAC8"/>
    <w:lvl w:ilvl="0" w:tplc="742A129E">
      <w:start w:val="5"/>
      <w:numFmt w:val="decimal"/>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28962FCD"/>
    <w:multiLevelType w:val="hybridMultilevel"/>
    <w:tmpl w:val="743450AE"/>
    <w:lvl w:ilvl="0" w:tplc="948E89EA">
      <w:start w:val="2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A275E4A"/>
    <w:multiLevelType w:val="hybridMultilevel"/>
    <w:tmpl w:val="3D0C690A"/>
    <w:lvl w:ilvl="0" w:tplc="5D087C4E">
      <w:start w:val="5"/>
      <w:numFmt w:val="decimal"/>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F635F"/>
    <w:multiLevelType w:val="hybridMultilevel"/>
    <w:tmpl w:val="3B9888B0"/>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C380CE7"/>
    <w:multiLevelType w:val="hybridMultilevel"/>
    <w:tmpl w:val="34EA446A"/>
    <w:lvl w:ilvl="0" w:tplc="832E191A">
      <w:start w:val="18"/>
      <w:numFmt w:val="decimal"/>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53ABA"/>
    <w:multiLevelType w:val="hybridMultilevel"/>
    <w:tmpl w:val="866EB4B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9909E0"/>
    <w:multiLevelType w:val="hybridMultilevel"/>
    <w:tmpl w:val="066CBC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36149EC"/>
    <w:multiLevelType w:val="hybridMultilevel"/>
    <w:tmpl w:val="2F0E84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34222C61"/>
    <w:multiLevelType w:val="hybridMultilevel"/>
    <w:tmpl w:val="A58EBB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4DC2A13"/>
    <w:multiLevelType w:val="hybridMultilevel"/>
    <w:tmpl w:val="C7BE69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52B0228"/>
    <w:multiLevelType w:val="hybridMultilevel"/>
    <w:tmpl w:val="B08434A8"/>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5F66370"/>
    <w:multiLevelType w:val="hybridMultilevel"/>
    <w:tmpl w:val="BDD4F4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F8362D"/>
    <w:multiLevelType w:val="hybridMultilevel"/>
    <w:tmpl w:val="4086A4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459A58A9"/>
    <w:multiLevelType w:val="hybridMultilevel"/>
    <w:tmpl w:val="AD262FF4"/>
    <w:lvl w:ilvl="0" w:tplc="C8948472">
      <w:start w:val="1"/>
      <w:numFmt w:val="decimal"/>
      <w:lvlText w:val="%1)"/>
      <w:lvlJc w:val="left"/>
      <w:pPr>
        <w:ind w:left="2838" w:hanging="57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2" w15:restartNumberingAfterBreak="0">
    <w:nsid w:val="474B5273"/>
    <w:multiLevelType w:val="hybridMultilevel"/>
    <w:tmpl w:val="BC7C6C52"/>
    <w:lvl w:ilvl="0" w:tplc="08090017">
      <w:start w:val="1"/>
      <w:numFmt w:val="lowerLetter"/>
      <w:lvlText w:val="%1)"/>
      <w:lvlJc w:val="left"/>
      <w:pPr>
        <w:ind w:left="2421" w:hanging="360"/>
      </w:pPr>
    </w:lvl>
    <w:lvl w:ilvl="1" w:tplc="08090011">
      <w:start w:val="1"/>
      <w:numFmt w:val="decimal"/>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493D7CB9"/>
    <w:multiLevelType w:val="hybridMultilevel"/>
    <w:tmpl w:val="F2F0710A"/>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DEA5AB8"/>
    <w:multiLevelType w:val="hybridMultilevel"/>
    <w:tmpl w:val="4E7E9FF4"/>
    <w:lvl w:ilvl="0" w:tplc="51ACA854">
      <w:start w:val="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24024C6"/>
    <w:multiLevelType w:val="hybridMultilevel"/>
    <w:tmpl w:val="C8C8550A"/>
    <w:lvl w:ilvl="0" w:tplc="5A70FC3A">
      <w:start w:val="1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5C80EBF"/>
    <w:multiLevelType w:val="hybridMultilevel"/>
    <w:tmpl w:val="DCEE41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DBD5C0A"/>
    <w:multiLevelType w:val="hybridMultilevel"/>
    <w:tmpl w:val="7E9A760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E3977C4"/>
    <w:multiLevelType w:val="hybridMultilevel"/>
    <w:tmpl w:val="DC289BDC"/>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0515231"/>
    <w:multiLevelType w:val="hybridMultilevel"/>
    <w:tmpl w:val="51B0208C"/>
    <w:lvl w:ilvl="0" w:tplc="C652BB12">
      <w:start w:val="2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1CB77B3"/>
    <w:multiLevelType w:val="hybridMultilevel"/>
    <w:tmpl w:val="4336C7D8"/>
    <w:lvl w:ilvl="0" w:tplc="9D4A9258">
      <w:start w:val="1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2D43B8B"/>
    <w:multiLevelType w:val="hybridMultilevel"/>
    <w:tmpl w:val="C5B8AB0E"/>
    <w:lvl w:ilvl="0" w:tplc="6E90E3B8">
      <w:start w:val="20"/>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242771"/>
    <w:multiLevelType w:val="hybridMultilevel"/>
    <w:tmpl w:val="25F474BC"/>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38E7CE8"/>
    <w:multiLevelType w:val="hybridMultilevel"/>
    <w:tmpl w:val="68DA0DFE"/>
    <w:lvl w:ilvl="0" w:tplc="832E191A">
      <w:start w:val="18"/>
      <w:numFmt w:val="decimal"/>
      <w:lvlText w:val="%1."/>
      <w:lvlJc w:val="left"/>
      <w:pPr>
        <w:ind w:left="3555"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66D2049"/>
    <w:multiLevelType w:val="hybridMultilevel"/>
    <w:tmpl w:val="C570EA62"/>
    <w:lvl w:ilvl="0" w:tplc="9D4A9258">
      <w:start w:val="1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8E90549"/>
    <w:multiLevelType w:val="hybridMultilevel"/>
    <w:tmpl w:val="D16E1620"/>
    <w:lvl w:ilvl="0" w:tplc="832E191A">
      <w:start w:val="18"/>
      <w:numFmt w:val="decimal"/>
      <w:lvlText w:val="%1."/>
      <w:lvlJc w:val="left"/>
      <w:pPr>
        <w:ind w:left="3555" w:hanging="360"/>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BE457DC"/>
    <w:multiLevelType w:val="hybridMultilevel"/>
    <w:tmpl w:val="C19063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6D1E6105"/>
    <w:multiLevelType w:val="hybridMultilevel"/>
    <w:tmpl w:val="89AC00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E5208F5"/>
    <w:multiLevelType w:val="hybridMultilevel"/>
    <w:tmpl w:val="25F474BC"/>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6F1A1784"/>
    <w:multiLevelType w:val="hybridMultilevel"/>
    <w:tmpl w:val="88D849D6"/>
    <w:lvl w:ilvl="0" w:tplc="0409001B">
      <w:start w:val="1"/>
      <w:numFmt w:val="lowerRoman"/>
      <w:lvlText w:val="%1."/>
      <w:lvlJc w:val="right"/>
      <w:pPr>
        <w:ind w:left="2988" w:hanging="360"/>
      </w:pPr>
    </w:lvl>
    <w:lvl w:ilvl="1" w:tplc="04090019" w:tentative="1">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41" w15:restartNumberingAfterBreak="0">
    <w:nsid w:val="746F2A79"/>
    <w:multiLevelType w:val="hybridMultilevel"/>
    <w:tmpl w:val="C1D47542"/>
    <w:lvl w:ilvl="0" w:tplc="F042C4CC">
      <w:start w:val="2"/>
      <w:numFmt w:val="decimal"/>
      <w:lvlText w:val="%1."/>
      <w:lvlJc w:val="left"/>
      <w:pPr>
        <w:ind w:left="1900" w:hanging="360"/>
      </w:pPr>
      <w:rPr>
        <w:rFonts w:hint="default"/>
      </w:rPr>
    </w:lvl>
    <w:lvl w:ilvl="1" w:tplc="08090019" w:tentative="1">
      <w:start w:val="1"/>
      <w:numFmt w:val="lowerLetter"/>
      <w:lvlText w:val="%2."/>
      <w:lvlJc w:val="left"/>
      <w:pPr>
        <w:ind w:left="2620" w:hanging="360"/>
      </w:pPr>
    </w:lvl>
    <w:lvl w:ilvl="2" w:tplc="0809001B" w:tentative="1">
      <w:start w:val="1"/>
      <w:numFmt w:val="lowerRoman"/>
      <w:lvlText w:val="%3."/>
      <w:lvlJc w:val="right"/>
      <w:pPr>
        <w:ind w:left="3340" w:hanging="180"/>
      </w:pPr>
    </w:lvl>
    <w:lvl w:ilvl="3" w:tplc="0809000F" w:tentative="1">
      <w:start w:val="1"/>
      <w:numFmt w:val="decimal"/>
      <w:lvlText w:val="%4."/>
      <w:lvlJc w:val="left"/>
      <w:pPr>
        <w:ind w:left="4060" w:hanging="360"/>
      </w:pPr>
    </w:lvl>
    <w:lvl w:ilvl="4" w:tplc="08090019" w:tentative="1">
      <w:start w:val="1"/>
      <w:numFmt w:val="lowerLetter"/>
      <w:lvlText w:val="%5."/>
      <w:lvlJc w:val="left"/>
      <w:pPr>
        <w:ind w:left="4780" w:hanging="360"/>
      </w:pPr>
    </w:lvl>
    <w:lvl w:ilvl="5" w:tplc="0809001B" w:tentative="1">
      <w:start w:val="1"/>
      <w:numFmt w:val="lowerRoman"/>
      <w:lvlText w:val="%6."/>
      <w:lvlJc w:val="right"/>
      <w:pPr>
        <w:ind w:left="5500" w:hanging="180"/>
      </w:pPr>
    </w:lvl>
    <w:lvl w:ilvl="6" w:tplc="0809000F" w:tentative="1">
      <w:start w:val="1"/>
      <w:numFmt w:val="decimal"/>
      <w:lvlText w:val="%7."/>
      <w:lvlJc w:val="left"/>
      <w:pPr>
        <w:ind w:left="6220" w:hanging="360"/>
      </w:pPr>
    </w:lvl>
    <w:lvl w:ilvl="7" w:tplc="08090019" w:tentative="1">
      <w:start w:val="1"/>
      <w:numFmt w:val="lowerLetter"/>
      <w:lvlText w:val="%8."/>
      <w:lvlJc w:val="left"/>
      <w:pPr>
        <w:ind w:left="6940" w:hanging="360"/>
      </w:pPr>
    </w:lvl>
    <w:lvl w:ilvl="8" w:tplc="0809001B" w:tentative="1">
      <w:start w:val="1"/>
      <w:numFmt w:val="lowerRoman"/>
      <w:lvlText w:val="%9."/>
      <w:lvlJc w:val="right"/>
      <w:pPr>
        <w:ind w:left="7660" w:hanging="180"/>
      </w:pPr>
    </w:lvl>
  </w:abstractNum>
  <w:abstractNum w:abstractNumId="42" w15:restartNumberingAfterBreak="0">
    <w:nsid w:val="76A849BF"/>
    <w:multiLevelType w:val="hybridMultilevel"/>
    <w:tmpl w:val="268ADF3E"/>
    <w:lvl w:ilvl="0" w:tplc="742A129E">
      <w:start w:val="5"/>
      <w:numFmt w:val="decimal"/>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3" w15:restartNumberingAfterBreak="0">
    <w:nsid w:val="777A4396"/>
    <w:multiLevelType w:val="hybridMultilevel"/>
    <w:tmpl w:val="5AC8FE36"/>
    <w:lvl w:ilvl="0" w:tplc="505C6684">
      <w:start w:val="8"/>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A100F50"/>
    <w:multiLevelType w:val="hybridMultilevel"/>
    <w:tmpl w:val="226617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5" w15:restartNumberingAfterBreak="0">
    <w:nsid w:val="7A444E87"/>
    <w:multiLevelType w:val="hybridMultilevel"/>
    <w:tmpl w:val="C67037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5"/>
  </w:num>
  <w:num w:numId="2">
    <w:abstractNumId w:val="19"/>
  </w:num>
  <w:num w:numId="3">
    <w:abstractNumId w:val="3"/>
  </w:num>
  <w:num w:numId="4">
    <w:abstractNumId w:val="17"/>
  </w:num>
  <w:num w:numId="5">
    <w:abstractNumId w:val="28"/>
  </w:num>
  <w:num w:numId="6">
    <w:abstractNumId w:val="41"/>
  </w:num>
  <w:num w:numId="7">
    <w:abstractNumId w:val="29"/>
  </w:num>
  <w:num w:numId="8">
    <w:abstractNumId w:val="5"/>
  </w:num>
  <w:num w:numId="9">
    <w:abstractNumId w:val="45"/>
  </w:num>
  <w:num w:numId="10">
    <w:abstractNumId w:val="6"/>
  </w:num>
  <w:num w:numId="11">
    <w:abstractNumId w:val="27"/>
  </w:num>
  <w:num w:numId="12">
    <w:abstractNumId w:val="32"/>
  </w:num>
  <w:num w:numId="13">
    <w:abstractNumId w:val="39"/>
  </w:num>
  <w:num w:numId="14">
    <w:abstractNumId w:val="11"/>
  </w:num>
  <w:num w:numId="15">
    <w:abstractNumId w:val="16"/>
  </w:num>
  <w:num w:numId="16">
    <w:abstractNumId w:val="44"/>
  </w:num>
  <w:num w:numId="17">
    <w:abstractNumId w:val="15"/>
  </w:num>
  <w:num w:numId="18">
    <w:abstractNumId w:val="33"/>
  </w:num>
  <w:num w:numId="19">
    <w:abstractNumId w:val="36"/>
  </w:num>
  <w:num w:numId="20">
    <w:abstractNumId w:val="10"/>
  </w:num>
  <w:num w:numId="21">
    <w:abstractNumId w:val="13"/>
  </w:num>
  <w:num w:numId="22">
    <w:abstractNumId w:val="26"/>
  </w:num>
  <w:num w:numId="23">
    <w:abstractNumId w:val="9"/>
  </w:num>
  <w:num w:numId="24">
    <w:abstractNumId w:val="37"/>
  </w:num>
  <w:num w:numId="25">
    <w:abstractNumId w:val="18"/>
  </w:num>
  <w:num w:numId="26">
    <w:abstractNumId w:val="4"/>
  </w:num>
  <w:num w:numId="27">
    <w:abstractNumId w:val="14"/>
  </w:num>
  <w:num w:numId="28">
    <w:abstractNumId w:val="20"/>
  </w:num>
  <w:num w:numId="29">
    <w:abstractNumId w:val="8"/>
  </w:num>
  <w:num w:numId="30">
    <w:abstractNumId w:val="23"/>
  </w:num>
  <w:num w:numId="31">
    <w:abstractNumId w:val="24"/>
  </w:num>
  <w:num w:numId="32">
    <w:abstractNumId w:val="34"/>
  </w:num>
  <w:num w:numId="33">
    <w:abstractNumId w:val="43"/>
  </w:num>
  <w:num w:numId="34">
    <w:abstractNumId w:val="42"/>
  </w:num>
  <w:num w:numId="35">
    <w:abstractNumId w:val="2"/>
  </w:num>
  <w:num w:numId="36">
    <w:abstractNumId w:val="7"/>
  </w:num>
  <w:num w:numId="37">
    <w:abstractNumId w:val="25"/>
  </w:num>
  <w:num w:numId="38">
    <w:abstractNumId w:val="30"/>
  </w:num>
  <w:num w:numId="39">
    <w:abstractNumId w:val="31"/>
  </w:num>
  <w:num w:numId="40">
    <w:abstractNumId w:val="0"/>
  </w:num>
  <w:num w:numId="41">
    <w:abstractNumId w:val="12"/>
  </w:num>
  <w:num w:numId="42">
    <w:abstractNumId w:val="38"/>
  </w:num>
  <w:num w:numId="43">
    <w:abstractNumId w:val="22"/>
  </w:num>
  <w:num w:numId="44">
    <w:abstractNumId w:val="1"/>
  </w:num>
  <w:num w:numId="45">
    <w:abstractNumId w:val="40"/>
  </w:num>
  <w:num w:numId="46">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57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86"/>
    <w:rsid w:val="0000044C"/>
    <w:rsid w:val="0000439E"/>
    <w:rsid w:val="00004A9A"/>
    <w:rsid w:val="00016AC5"/>
    <w:rsid w:val="00016E1B"/>
    <w:rsid w:val="00023248"/>
    <w:rsid w:val="00023C86"/>
    <w:rsid w:val="00023F25"/>
    <w:rsid w:val="000248DF"/>
    <w:rsid w:val="00026018"/>
    <w:rsid w:val="00034107"/>
    <w:rsid w:val="00037604"/>
    <w:rsid w:val="0004074B"/>
    <w:rsid w:val="00041606"/>
    <w:rsid w:val="000453AA"/>
    <w:rsid w:val="000464F8"/>
    <w:rsid w:val="00052629"/>
    <w:rsid w:val="00052F53"/>
    <w:rsid w:val="00054609"/>
    <w:rsid w:val="00057D71"/>
    <w:rsid w:val="00067651"/>
    <w:rsid w:val="00073268"/>
    <w:rsid w:val="00080E78"/>
    <w:rsid w:val="00084F62"/>
    <w:rsid w:val="0008533B"/>
    <w:rsid w:val="0009693A"/>
    <w:rsid w:val="000A5112"/>
    <w:rsid w:val="000A6F55"/>
    <w:rsid w:val="000B23A1"/>
    <w:rsid w:val="000B30EA"/>
    <w:rsid w:val="000B54F5"/>
    <w:rsid w:val="000B7679"/>
    <w:rsid w:val="000B7C55"/>
    <w:rsid w:val="000C4593"/>
    <w:rsid w:val="000D2978"/>
    <w:rsid w:val="000E3D7F"/>
    <w:rsid w:val="000E5070"/>
    <w:rsid w:val="000E7579"/>
    <w:rsid w:val="000F41F2"/>
    <w:rsid w:val="000F4DF6"/>
    <w:rsid w:val="000F654A"/>
    <w:rsid w:val="00106729"/>
    <w:rsid w:val="00107794"/>
    <w:rsid w:val="001107C5"/>
    <w:rsid w:val="001122E7"/>
    <w:rsid w:val="001231AD"/>
    <w:rsid w:val="00124AE4"/>
    <w:rsid w:val="001310C6"/>
    <w:rsid w:val="00132CB9"/>
    <w:rsid w:val="00133B93"/>
    <w:rsid w:val="00137FC5"/>
    <w:rsid w:val="00141084"/>
    <w:rsid w:val="001416B7"/>
    <w:rsid w:val="001450E6"/>
    <w:rsid w:val="00150465"/>
    <w:rsid w:val="00155DE1"/>
    <w:rsid w:val="00160540"/>
    <w:rsid w:val="001610DF"/>
    <w:rsid w:val="00162003"/>
    <w:rsid w:val="001676C9"/>
    <w:rsid w:val="001743DB"/>
    <w:rsid w:val="00174831"/>
    <w:rsid w:val="00174A02"/>
    <w:rsid w:val="00176CCE"/>
    <w:rsid w:val="00183D53"/>
    <w:rsid w:val="001840B2"/>
    <w:rsid w:val="00192EEB"/>
    <w:rsid w:val="00196292"/>
    <w:rsid w:val="00197832"/>
    <w:rsid w:val="001A20FB"/>
    <w:rsid w:val="001A2D2E"/>
    <w:rsid w:val="001A4583"/>
    <w:rsid w:val="001A6161"/>
    <w:rsid w:val="001B3867"/>
    <w:rsid w:val="001B50C6"/>
    <w:rsid w:val="001B6705"/>
    <w:rsid w:val="001C522E"/>
    <w:rsid w:val="001C5303"/>
    <w:rsid w:val="001D72C5"/>
    <w:rsid w:val="001D7F8A"/>
    <w:rsid w:val="001E1CD0"/>
    <w:rsid w:val="001E3FEB"/>
    <w:rsid w:val="001E4A02"/>
    <w:rsid w:val="001F4AB0"/>
    <w:rsid w:val="001F74C7"/>
    <w:rsid w:val="00204BC1"/>
    <w:rsid w:val="00205D37"/>
    <w:rsid w:val="00206D99"/>
    <w:rsid w:val="00207091"/>
    <w:rsid w:val="00212F43"/>
    <w:rsid w:val="00212FB1"/>
    <w:rsid w:val="00214238"/>
    <w:rsid w:val="002151B0"/>
    <w:rsid w:val="0021567A"/>
    <w:rsid w:val="002156DA"/>
    <w:rsid w:val="00215874"/>
    <w:rsid w:val="00222017"/>
    <w:rsid w:val="00225A8C"/>
    <w:rsid w:val="00232A63"/>
    <w:rsid w:val="00234BC7"/>
    <w:rsid w:val="0024085A"/>
    <w:rsid w:val="00242899"/>
    <w:rsid w:val="00250204"/>
    <w:rsid w:val="00256BFC"/>
    <w:rsid w:val="002626D4"/>
    <w:rsid w:val="002659F1"/>
    <w:rsid w:val="00265CD7"/>
    <w:rsid w:val="0027025C"/>
    <w:rsid w:val="00285D3B"/>
    <w:rsid w:val="00285EF2"/>
    <w:rsid w:val="0028604F"/>
    <w:rsid w:val="00287E79"/>
    <w:rsid w:val="002928F9"/>
    <w:rsid w:val="0029448D"/>
    <w:rsid w:val="002A5D07"/>
    <w:rsid w:val="002B7885"/>
    <w:rsid w:val="002C0440"/>
    <w:rsid w:val="002C10E6"/>
    <w:rsid w:val="002C4300"/>
    <w:rsid w:val="002D0E29"/>
    <w:rsid w:val="002D3F03"/>
    <w:rsid w:val="002D7E6B"/>
    <w:rsid w:val="002E0CCB"/>
    <w:rsid w:val="002E0D40"/>
    <w:rsid w:val="002E4A31"/>
    <w:rsid w:val="002E5B0C"/>
    <w:rsid w:val="002F610D"/>
    <w:rsid w:val="00300293"/>
    <w:rsid w:val="00300D06"/>
    <w:rsid w:val="00300D67"/>
    <w:rsid w:val="003016B7"/>
    <w:rsid w:val="00317EEB"/>
    <w:rsid w:val="003202DC"/>
    <w:rsid w:val="00323F5A"/>
    <w:rsid w:val="0033494B"/>
    <w:rsid w:val="00335175"/>
    <w:rsid w:val="00335B79"/>
    <w:rsid w:val="003515AA"/>
    <w:rsid w:val="00357987"/>
    <w:rsid w:val="003641CE"/>
    <w:rsid w:val="0036726B"/>
    <w:rsid w:val="00370B61"/>
    <w:rsid w:val="00374106"/>
    <w:rsid w:val="00374CA0"/>
    <w:rsid w:val="00382113"/>
    <w:rsid w:val="0039230F"/>
    <w:rsid w:val="00395D9B"/>
    <w:rsid w:val="003976D5"/>
    <w:rsid w:val="003A1144"/>
    <w:rsid w:val="003A54B1"/>
    <w:rsid w:val="003A7660"/>
    <w:rsid w:val="003B535A"/>
    <w:rsid w:val="003B5625"/>
    <w:rsid w:val="003C23DD"/>
    <w:rsid w:val="003C491A"/>
    <w:rsid w:val="003C58BF"/>
    <w:rsid w:val="003D3666"/>
    <w:rsid w:val="003D409A"/>
    <w:rsid w:val="003D6C68"/>
    <w:rsid w:val="003E0226"/>
    <w:rsid w:val="003E076E"/>
    <w:rsid w:val="003E453B"/>
    <w:rsid w:val="003E6505"/>
    <w:rsid w:val="004031FF"/>
    <w:rsid w:val="00403FB9"/>
    <w:rsid w:val="0040513E"/>
    <w:rsid w:val="004159D0"/>
    <w:rsid w:val="00416473"/>
    <w:rsid w:val="004241A7"/>
    <w:rsid w:val="00425F88"/>
    <w:rsid w:val="0042654F"/>
    <w:rsid w:val="00427C90"/>
    <w:rsid w:val="004311B8"/>
    <w:rsid w:val="0044742C"/>
    <w:rsid w:val="00453E3F"/>
    <w:rsid w:val="00457044"/>
    <w:rsid w:val="004606B3"/>
    <w:rsid w:val="00467004"/>
    <w:rsid w:val="00470146"/>
    <w:rsid w:val="00472145"/>
    <w:rsid w:val="00477140"/>
    <w:rsid w:val="004816CD"/>
    <w:rsid w:val="00485B36"/>
    <w:rsid w:val="0048698B"/>
    <w:rsid w:val="00487E52"/>
    <w:rsid w:val="00495D74"/>
    <w:rsid w:val="004A341F"/>
    <w:rsid w:val="004A6333"/>
    <w:rsid w:val="004A6354"/>
    <w:rsid w:val="004B2B6D"/>
    <w:rsid w:val="004B6F15"/>
    <w:rsid w:val="004B775B"/>
    <w:rsid w:val="004C357A"/>
    <w:rsid w:val="004C6400"/>
    <w:rsid w:val="004D769F"/>
    <w:rsid w:val="004E0C34"/>
    <w:rsid w:val="004E222B"/>
    <w:rsid w:val="004E540A"/>
    <w:rsid w:val="004F1342"/>
    <w:rsid w:val="004F36F9"/>
    <w:rsid w:val="00503D1E"/>
    <w:rsid w:val="0050569F"/>
    <w:rsid w:val="00505D46"/>
    <w:rsid w:val="0050698B"/>
    <w:rsid w:val="00511D5B"/>
    <w:rsid w:val="00513E4A"/>
    <w:rsid w:val="0052112B"/>
    <w:rsid w:val="00522338"/>
    <w:rsid w:val="00523BD3"/>
    <w:rsid w:val="00524B9B"/>
    <w:rsid w:val="00532C39"/>
    <w:rsid w:val="00534C17"/>
    <w:rsid w:val="00540389"/>
    <w:rsid w:val="00540869"/>
    <w:rsid w:val="005409B3"/>
    <w:rsid w:val="00543D5E"/>
    <w:rsid w:val="00545804"/>
    <w:rsid w:val="00550503"/>
    <w:rsid w:val="00550715"/>
    <w:rsid w:val="00550927"/>
    <w:rsid w:val="005566B7"/>
    <w:rsid w:val="00571F41"/>
    <w:rsid w:val="0057483D"/>
    <w:rsid w:val="00575015"/>
    <w:rsid w:val="00580ED2"/>
    <w:rsid w:val="00582F3A"/>
    <w:rsid w:val="0058334A"/>
    <w:rsid w:val="00591FA2"/>
    <w:rsid w:val="00593658"/>
    <w:rsid w:val="005A33B1"/>
    <w:rsid w:val="005A390C"/>
    <w:rsid w:val="005B4A0A"/>
    <w:rsid w:val="005B5A4D"/>
    <w:rsid w:val="005B7390"/>
    <w:rsid w:val="005C29BB"/>
    <w:rsid w:val="005C6A9B"/>
    <w:rsid w:val="005D0FC7"/>
    <w:rsid w:val="005D1CFD"/>
    <w:rsid w:val="005E04AE"/>
    <w:rsid w:val="005E399D"/>
    <w:rsid w:val="005E5D1F"/>
    <w:rsid w:val="005E7E59"/>
    <w:rsid w:val="005F0777"/>
    <w:rsid w:val="006034FC"/>
    <w:rsid w:val="00604191"/>
    <w:rsid w:val="0061177E"/>
    <w:rsid w:val="00611D43"/>
    <w:rsid w:val="00612D48"/>
    <w:rsid w:val="006152C7"/>
    <w:rsid w:val="00616B45"/>
    <w:rsid w:val="00620B19"/>
    <w:rsid w:val="00630D9B"/>
    <w:rsid w:val="006312DB"/>
    <w:rsid w:val="00631953"/>
    <w:rsid w:val="006414A4"/>
    <w:rsid w:val="006439EC"/>
    <w:rsid w:val="00651822"/>
    <w:rsid w:val="00652DC1"/>
    <w:rsid w:val="006567AE"/>
    <w:rsid w:val="00657120"/>
    <w:rsid w:val="00660813"/>
    <w:rsid w:val="00662369"/>
    <w:rsid w:val="0066764B"/>
    <w:rsid w:val="00681047"/>
    <w:rsid w:val="00683B9B"/>
    <w:rsid w:val="006842B0"/>
    <w:rsid w:val="0068642F"/>
    <w:rsid w:val="00687825"/>
    <w:rsid w:val="00693500"/>
    <w:rsid w:val="00693E16"/>
    <w:rsid w:val="00694E3F"/>
    <w:rsid w:val="006959DE"/>
    <w:rsid w:val="006968D2"/>
    <w:rsid w:val="006A038A"/>
    <w:rsid w:val="006B0B4E"/>
    <w:rsid w:val="006B1ADA"/>
    <w:rsid w:val="006B4590"/>
    <w:rsid w:val="006C1183"/>
    <w:rsid w:val="006C1841"/>
    <w:rsid w:val="006C2767"/>
    <w:rsid w:val="006C340C"/>
    <w:rsid w:val="006D1078"/>
    <w:rsid w:val="006D6B96"/>
    <w:rsid w:val="006D7B0B"/>
    <w:rsid w:val="006E22C2"/>
    <w:rsid w:val="006E3F31"/>
    <w:rsid w:val="006E68B5"/>
    <w:rsid w:val="006E6AE5"/>
    <w:rsid w:val="006F39E4"/>
    <w:rsid w:val="006F7A90"/>
    <w:rsid w:val="007001DE"/>
    <w:rsid w:val="00700A73"/>
    <w:rsid w:val="0070347C"/>
    <w:rsid w:val="00703A0F"/>
    <w:rsid w:val="00704F40"/>
    <w:rsid w:val="00706061"/>
    <w:rsid w:val="00706F1D"/>
    <w:rsid w:val="00716EF5"/>
    <w:rsid w:val="007176C1"/>
    <w:rsid w:val="007231EF"/>
    <w:rsid w:val="0073018D"/>
    <w:rsid w:val="00741EB2"/>
    <w:rsid w:val="00742A54"/>
    <w:rsid w:val="00743382"/>
    <w:rsid w:val="00745C73"/>
    <w:rsid w:val="00745D5B"/>
    <w:rsid w:val="00745DDF"/>
    <w:rsid w:val="0075156D"/>
    <w:rsid w:val="00752061"/>
    <w:rsid w:val="00756872"/>
    <w:rsid w:val="00761FDD"/>
    <w:rsid w:val="00767E20"/>
    <w:rsid w:val="00772610"/>
    <w:rsid w:val="007803B1"/>
    <w:rsid w:val="00782B82"/>
    <w:rsid w:val="00784489"/>
    <w:rsid w:val="0078670C"/>
    <w:rsid w:val="0079337D"/>
    <w:rsid w:val="00795CE2"/>
    <w:rsid w:val="007A0145"/>
    <w:rsid w:val="007C08EF"/>
    <w:rsid w:val="007C307C"/>
    <w:rsid w:val="007C38A5"/>
    <w:rsid w:val="007C50CB"/>
    <w:rsid w:val="007C54BD"/>
    <w:rsid w:val="007C64F0"/>
    <w:rsid w:val="007D3553"/>
    <w:rsid w:val="007D5466"/>
    <w:rsid w:val="007D68DA"/>
    <w:rsid w:val="007D6E11"/>
    <w:rsid w:val="007E06A1"/>
    <w:rsid w:val="007E0BE7"/>
    <w:rsid w:val="007E0E3B"/>
    <w:rsid w:val="007E65FD"/>
    <w:rsid w:val="007F23BB"/>
    <w:rsid w:val="007F55CB"/>
    <w:rsid w:val="007F7176"/>
    <w:rsid w:val="0080153C"/>
    <w:rsid w:val="00802F05"/>
    <w:rsid w:val="00810500"/>
    <w:rsid w:val="00810EBD"/>
    <w:rsid w:val="00812EA0"/>
    <w:rsid w:val="00816C0D"/>
    <w:rsid w:val="00817AB4"/>
    <w:rsid w:val="00820032"/>
    <w:rsid w:val="00830925"/>
    <w:rsid w:val="00831777"/>
    <w:rsid w:val="00833B37"/>
    <w:rsid w:val="00835FD7"/>
    <w:rsid w:val="008373FA"/>
    <w:rsid w:val="00837894"/>
    <w:rsid w:val="0084397A"/>
    <w:rsid w:val="00844750"/>
    <w:rsid w:val="00854407"/>
    <w:rsid w:val="0085563F"/>
    <w:rsid w:val="008664E5"/>
    <w:rsid w:val="008747F5"/>
    <w:rsid w:val="00875396"/>
    <w:rsid w:val="0087625E"/>
    <w:rsid w:val="008870C4"/>
    <w:rsid w:val="00891143"/>
    <w:rsid w:val="0089654A"/>
    <w:rsid w:val="008B44C4"/>
    <w:rsid w:val="008B7445"/>
    <w:rsid w:val="008C2EB9"/>
    <w:rsid w:val="008D2259"/>
    <w:rsid w:val="008D3CF5"/>
    <w:rsid w:val="008D5C2F"/>
    <w:rsid w:val="008E3EF1"/>
    <w:rsid w:val="008E457D"/>
    <w:rsid w:val="008E7FAE"/>
    <w:rsid w:val="008F2C97"/>
    <w:rsid w:val="008F3FDB"/>
    <w:rsid w:val="00900D07"/>
    <w:rsid w:val="00911BF7"/>
    <w:rsid w:val="00916E2F"/>
    <w:rsid w:val="00920EE1"/>
    <w:rsid w:val="0092506C"/>
    <w:rsid w:val="00925195"/>
    <w:rsid w:val="00932FCC"/>
    <w:rsid w:val="009449CD"/>
    <w:rsid w:val="0094614B"/>
    <w:rsid w:val="009561E2"/>
    <w:rsid w:val="00957059"/>
    <w:rsid w:val="00960EBC"/>
    <w:rsid w:val="0096496F"/>
    <w:rsid w:val="00964B95"/>
    <w:rsid w:val="009655CD"/>
    <w:rsid w:val="0097114B"/>
    <w:rsid w:val="009717AE"/>
    <w:rsid w:val="00973304"/>
    <w:rsid w:val="00977E51"/>
    <w:rsid w:val="00977EC8"/>
    <w:rsid w:val="00981F2D"/>
    <w:rsid w:val="00991304"/>
    <w:rsid w:val="00994C98"/>
    <w:rsid w:val="00996942"/>
    <w:rsid w:val="009A4179"/>
    <w:rsid w:val="009B412D"/>
    <w:rsid w:val="009B5212"/>
    <w:rsid w:val="009B69BC"/>
    <w:rsid w:val="009B6E16"/>
    <w:rsid w:val="009C123E"/>
    <w:rsid w:val="009C17F5"/>
    <w:rsid w:val="009C418F"/>
    <w:rsid w:val="009D3A8C"/>
    <w:rsid w:val="009E1884"/>
    <w:rsid w:val="009E2208"/>
    <w:rsid w:val="009E2326"/>
    <w:rsid w:val="009E2420"/>
    <w:rsid w:val="009E3CAE"/>
    <w:rsid w:val="009E7956"/>
    <w:rsid w:val="009F1EDF"/>
    <w:rsid w:val="009F6714"/>
    <w:rsid w:val="009F709A"/>
    <w:rsid w:val="009F71FE"/>
    <w:rsid w:val="00A06333"/>
    <w:rsid w:val="00A07888"/>
    <w:rsid w:val="00A079A8"/>
    <w:rsid w:val="00A15D99"/>
    <w:rsid w:val="00A16523"/>
    <w:rsid w:val="00A2492E"/>
    <w:rsid w:val="00A255AC"/>
    <w:rsid w:val="00A30A16"/>
    <w:rsid w:val="00A30BB7"/>
    <w:rsid w:val="00A4533E"/>
    <w:rsid w:val="00A46D42"/>
    <w:rsid w:val="00A47550"/>
    <w:rsid w:val="00A47B96"/>
    <w:rsid w:val="00A57F9A"/>
    <w:rsid w:val="00A615D1"/>
    <w:rsid w:val="00A66E16"/>
    <w:rsid w:val="00A67E3B"/>
    <w:rsid w:val="00A70039"/>
    <w:rsid w:val="00A70E43"/>
    <w:rsid w:val="00A75CFD"/>
    <w:rsid w:val="00A804DD"/>
    <w:rsid w:val="00A82B6C"/>
    <w:rsid w:val="00A84B86"/>
    <w:rsid w:val="00A856C9"/>
    <w:rsid w:val="00A91EDC"/>
    <w:rsid w:val="00A96EB5"/>
    <w:rsid w:val="00AA4E6A"/>
    <w:rsid w:val="00AA6A27"/>
    <w:rsid w:val="00AA76D4"/>
    <w:rsid w:val="00AA7FE7"/>
    <w:rsid w:val="00AB3173"/>
    <w:rsid w:val="00AB4078"/>
    <w:rsid w:val="00AB5EFE"/>
    <w:rsid w:val="00AB6986"/>
    <w:rsid w:val="00AB698B"/>
    <w:rsid w:val="00AC01AA"/>
    <w:rsid w:val="00AC2369"/>
    <w:rsid w:val="00AC4282"/>
    <w:rsid w:val="00AC461A"/>
    <w:rsid w:val="00AC5B23"/>
    <w:rsid w:val="00AC67A1"/>
    <w:rsid w:val="00AC7977"/>
    <w:rsid w:val="00AD134C"/>
    <w:rsid w:val="00AD42B0"/>
    <w:rsid w:val="00AD6828"/>
    <w:rsid w:val="00AE352C"/>
    <w:rsid w:val="00AE36C5"/>
    <w:rsid w:val="00AE4694"/>
    <w:rsid w:val="00AE7336"/>
    <w:rsid w:val="00AF0C7B"/>
    <w:rsid w:val="00AF2F41"/>
    <w:rsid w:val="00AF4D56"/>
    <w:rsid w:val="00B0001E"/>
    <w:rsid w:val="00B048EC"/>
    <w:rsid w:val="00B0652D"/>
    <w:rsid w:val="00B16DCC"/>
    <w:rsid w:val="00B17A3B"/>
    <w:rsid w:val="00B20D45"/>
    <w:rsid w:val="00B219FD"/>
    <w:rsid w:val="00B26C71"/>
    <w:rsid w:val="00B31506"/>
    <w:rsid w:val="00B31F42"/>
    <w:rsid w:val="00B32E2D"/>
    <w:rsid w:val="00B42569"/>
    <w:rsid w:val="00B43276"/>
    <w:rsid w:val="00B44C04"/>
    <w:rsid w:val="00B45E96"/>
    <w:rsid w:val="00B47F33"/>
    <w:rsid w:val="00B53877"/>
    <w:rsid w:val="00B57797"/>
    <w:rsid w:val="00B608EF"/>
    <w:rsid w:val="00B61990"/>
    <w:rsid w:val="00B62200"/>
    <w:rsid w:val="00B63095"/>
    <w:rsid w:val="00B6313D"/>
    <w:rsid w:val="00B6669C"/>
    <w:rsid w:val="00B71AA6"/>
    <w:rsid w:val="00B767FF"/>
    <w:rsid w:val="00B842CF"/>
    <w:rsid w:val="00B85FFC"/>
    <w:rsid w:val="00B930BB"/>
    <w:rsid w:val="00B93FDA"/>
    <w:rsid w:val="00B963A8"/>
    <w:rsid w:val="00B96FDA"/>
    <w:rsid w:val="00BA0216"/>
    <w:rsid w:val="00BA1840"/>
    <w:rsid w:val="00BA2FDB"/>
    <w:rsid w:val="00BB01CF"/>
    <w:rsid w:val="00BB2126"/>
    <w:rsid w:val="00BB218A"/>
    <w:rsid w:val="00BB48CB"/>
    <w:rsid w:val="00BB554C"/>
    <w:rsid w:val="00BC2B75"/>
    <w:rsid w:val="00BC7683"/>
    <w:rsid w:val="00BD2027"/>
    <w:rsid w:val="00BD35BC"/>
    <w:rsid w:val="00BD4D52"/>
    <w:rsid w:val="00BE7D96"/>
    <w:rsid w:val="00BF0556"/>
    <w:rsid w:val="00BF2325"/>
    <w:rsid w:val="00BF2541"/>
    <w:rsid w:val="00C01484"/>
    <w:rsid w:val="00C019A9"/>
    <w:rsid w:val="00C03431"/>
    <w:rsid w:val="00C035F6"/>
    <w:rsid w:val="00C046CC"/>
    <w:rsid w:val="00C1324D"/>
    <w:rsid w:val="00C1519C"/>
    <w:rsid w:val="00C203FC"/>
    <w:rsid w:val="00C20490"/>
    <w:rsid w:val="00C20CBE"/>
    <w:rsid w:val="00C2422A"/>
    <w:rsid w:val="00C24BD8"/>
    <w:rsid w:val="00C261F8"/>
    <w:rsid w:val="00C2694B"/>
    <w:rsid w:val="00C33100"/>
    <w:rsid w:val="00C331E6"/>
    <w:rsid w:val="00C51E11"/>
    <w:rsid w:val="00C52AE6"/>
    <w:rsid w:val="00C52B2C"/>
    <w:rsid w:val="00C56992"/>
    <w:rsid w:val="00C574F6"/>
    <w:rsid w:val="00C62731"/>
    <w:rsid w:val="00C62E57"/>
    <w:rsid w:val="00C6366D"/>
    <w:rsid w:val="00C7132A"/>
    <w:rsid w:val="00C770DA"/>
    <w:rsid w:val="00C83922"/>
    <w:rsid w:val="00CA2DD4"/>
    <w:rsid w:val="00CA30FD"/>
    <w:rsid w:val="00CA4AAD"/>
    <w:rsid w:val="00CB4749"/>
    <w:rsid w:val="00CB73EE"/>
    <w:rsid w:val="00CC3520"/>
    <w:rsid w:val="00CC7B29"/>
    <w:rsid w:val="00CD04FC"/>
    <w:rsid w:val="00CD1A71"/>
    <w:rsid w:val="00CD1FBB"/>
    <w:rsid w:val="00CD1FC0"/>
    <w:rsid w:val="00CD49CB"/>
    <w:rsid w:val="00CE460F"/>
    <w:rsid w:val="00CE49C5"/>
    <w:rsid w:val="00CE6930"/>
    <w:rsid w:val="00CE7A6C"/>
    <w:rsid w:val="00CF37E9"/>
    <w:rsid w:val="00CF5BE5"/>
    <w:rsid w:val="00CF7020"/>
    <w:rsid w:val="00D016B5"/>
    <w:rsid w:val="00D034F1"/>
    <w:rsid w:val="00D06079"/>
    <w:rsid w:val="00D12E95"/>
    <w:rsid w:val="00D14CD5"/>
    <w:rsid w:val="00D17AF1"/>
    <w:rsid w:val="00D2618A"/>
    <w:rsid w:val="00D26E3A"/>
    <w:rsid w:val="00D27D5E"/>
    <w:rsid w:val="00D37345"/>
    <w:rsid w:val="00D400BE"/>
    <w:rsid w:val="00D403E7"/>
    <w:rsid w:val="00D40A70"/>
    <w:rsid w:val="00D414CD"/>
    <w:rsid w:val="00D455C5"/>
    <w:rsid w:val="00D50613"/>
    <w:rsid w:val="00D51086"/>
    <w:rsid w:val="00D510D0"/>
    <w:rsid w:val="00D53570"/>
    <w:rsid w:val="00D54AB3"/>
    <w:rsid w:val="00D54DF9"/>
    <w:rsid w:val="00D6091C"/>
    <w:rsid w:val="00D65381"/>
    <w:rsid w:val="00D66CCD"/>
    <w:rsid w:val="00D70A4A"/>
    <w:rsid w:val="00D849FC"/>
    <w:rsid w:val="00D91218"/>
    <w:rsid w:val="00D94418"/>
    <w:rsid w:val="00DA059B"/>
    <w:rsid w:val="00DA778A"/>
    <w:rsid w:val="00DB2109"/>
    <w:rsid w:val="00DC156C"/>
    <w:rsid w:val="00DC3CB3"/>
    <w:rsid w:val="00DC4359"/>
    <w:rsid w:val="00DC5EDC"/>
    <w:rsid w:val="00DD0610"/>
    <w:rsid w:val="00DD45D4"/>
    <w:rsid w:val="00DD6AD7"/>
    <w:rsid w:val="00DD7783"/>
    <w:rsid w:val="00DE377C"/>
    <w:rsid w:val="00DE3CDA"/>
    <w:rsid w:val="00DE6D90"/>
    <w:rsid w:val="00DF002F"/>
    <w:rsid w:val="00DF3721"/>
    <w:rsid w:val="00DF4263"/>
    <w:rsid w:val="00DF5AA0"/>
    <w:rsid w:val="00E0244D"/>
    <w:rsid w:val="00E03205"/>
    <w:rsid w:val="00E03724"/>
    <w:rsid w:val="00E04BA6"/>
    <w:rsid w:val="00E07312"/>
    <w:rsid w:val="00E116D1"/>
    <w:rsid w:val="00E13485"/>
    <w:rsid w:val="00E13CA8"/>
    <w:rsid w:val="00E1518A"/>
    <w:rsid w:val="00E23680"/>
    <w:rsid w:val="00E24425"/>
    <w:rsid w:val="00E270FC"/>
    <w:rsid w:val="00E3397A"/>
    <w:rsid w:val="00E34BCC"/>
    <w:rsid w:val="00E41DA3"/>
    <w:rsid w:val="00E42D5E"/>
    <w:rsid w:val="00E438A7"/>
    <w:rsid w:val="00E4537C"/>
    <w:rsid w:val="00E56138"/>
    <w:rsid w:val="00E5669F"/>
    <w:rsid w:val="00E64791"/>
    <w:rsid w:val="00E65260"/>
    <w:rsid w:val="00E73518"/>
    <w:rsid w:val="00E8191A"/>
    <w:rsid w:val="00E81E94"/>
    <w:rsid w:val="00E82607"/>
    <w:rsid w:val="00E83BE7"/>
    <w:rsid w:val="00E8567E"/>
    <w:rsid w:val="00E95697"/>
    <w:rsid w:val="00EA0BCD"/>
    <w:rsid w:val="00EA1873"/>
    <w:rsid w:val="00EA5D7A"/>
    <w:rsid w:val="00EA6AC8"/>
    <w:rsid w:val="00EA7E5A"/>
    <w:rsid w:val="00EB5C11"/>
    <w:rsid w:val="00EC5A42"/>
    <w:rsid w:val="00EC611D"/>
    <w:rsid w:val="00EC63AA"/>
    <w:rsid w:val="00EC6805"/>
    <w:rsid w:val="00ED07AE"/>
    <w:rsid w:val="00ED4540"/>
    <w:rsid w:val="00EE0644"/>
    <w:rsid w:val="00EE2708"/>
    <w:rsid w:val="00EE3D18"/>
    <w:rsid w:val="00EE69E8"/>
    <w:rsid w:val="00EF0881"/>
    <w:rsid w:val="00EF516F"/>
    <w:rsid w:val="00EF5BFF"/>
    <w:rsid w:val="00EF7002"/>
    <w:rsid w:val="00F00E45"/>
    <w:rsid w:val="00F018CC"/>
    <w:rsid w:val="00F01E83"/>
    <w:rsid w:val="00F026C2"/>
    <w:rsid w:val="00F05199"/>
    <w:rsid w:val="00F119A3"/>
    <w:rsid w:val="00F20FB6"/>
    <w:rsid w:val="00F25254"/>
    <w:rsid w:val="00F336B0"/>
    <w:rsid w:val="00F37CB8"/>
    <w:rsid w:val="00F40325"/>
    <w:rsid w:val="00F41780"/>
    <w:rsid w:val="00F41E13"/>
    <w:rsid w:val="00F462B9"/>
    <w:rsid w:val="00F47698"/>
    <w:rsid w:val="00F51DEA"/>
    <w:rsid w:val="00F53978"/>
    <w:rsid w:val="00F542A0"/>
    <w:rsid w:val="00F629D1"/>
    <w:rsid w:val="00F63BC6"/>
    <w:rsid w:val="00F6692A"/>
    <w:rsid w:val="00F73103"/>
    <w:rsid w:val="00F736E5"/>
    <w:rsid w:val="00F75FCE"/>
    <w:rsid w:val="00F84F94"/>
    <w:rsid w:val="00F8634E"/>
    <w:rsid w:val="00F90A3F"/>
    <w:rsid w:val="00F91A49"/>
    <w:rsid w:val="00F921D8"/>
    <w:rsid w:val="00F95B4E"/>
    <w:rsid w:val="00F95C55"/>
    <w:rsid w:val="00FA5A79"/>
    <w:rsid w:val="00FB055F"/>
    <w:rsid w:val="00FB0581"/>
    <w:rsid w:val="00FB0BFE"/>
    <w:rsid w:val="00FB40FD"/>
    <w:rsid w:val="00FB4C51"/>
    <w:rsid w:val="00FB62F5"/>
    <w:rsid w:val="00FC1BD6"/>
    <w:rsid w:val="00FC544F"/>
    <w:rsid w:val="00FD512B"/>
    <w:rsid w:val="00FE4AF2"/>
    <w:rsid w:val="00FE4DB6"/>
    <w:rsid w:val="00FE6955"/>
    <w:rsid w:val="00FF1307"/>
    <w:rsid w:val="00FF1DBD"/>
    <w:rsid w:val="00FF28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oNotEmbedSmartTags/>
  <w:decimalSymbol w:val=","/>
  <w:listSeparator w:val=";"/>
  <w14:docId w14:val="0B7CA884"/>
  <w15:docId w15:val="{3FE5C010-353C-4B3E-B16D-FE7863D8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
    <w:basedOn w:val="Normal"/>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paragraph" w:customStyle="1" w:styleId="ParNoG">
    <w:name w:val="_ParNo_G"/>
    <w:basedOn w:val="SingleTxtG"/>
    <w:qFormat/>
    <w:rsid w:val="00ED4540"/>
    <w:pPr>
      <w:numPr>
        <w:numId w:val="3"/>
      </w:numPr>
      <w:kinsoku w:val="0"/>
      <w:overflowPunct w:val="0"/>
      <w:autoSpaceDE w:val="0"/>
      <w:autoSpaceDN w:val="0"/>
      <w:adjustRightInd w:val="0"/>
      <w:snapToGrid w:val="0"/>
    </w:pPr>
  </w:style>
  <w:style w:type="character" w:customStyle="1" w:styleId="HChGChar">
    <w:name w:val="_ H _Ch_G Char"/>
    <w:link w:val="HChG"/>
    <w:rsid w:val="00E23680"/>
    <w:rPr>
      <w:b/>
      <w:sz w:val="28"/>
      <w:lang w:val="fr-CH" w:eastAsia="en-US"/>
    </w:rPr>
  </w:style>
  <w:style w:type="character" w:customStyle="1" w:styleId="SingleTxtGChar">
    <w:name w:val="_ Single Txt_G Char"/>
    <w:link w:val="SingleTxtG"/>
    <w:locked/>
    <w:rsid w:val="00743382"/>
    <w:rPr>
      <w:lang w:val="fr-CH" w:eastAsia="en-US"/>
    </w:rPr>
  </w:style>
  <w:style w:type="paragraph" w:styleId="Paragraphedeliste">
    <w:name w:val="List Paragraph"/>
    <w:basedOn w:val="Normal"/>
    <w:uiPriority w:val="34"/>
    <w:semiHidden/>
    <w:qFormat/>
    <w:rsid w:val="00C2694B"/>
    <w:pPr>
      <w:ind w:left="720"/>
      <w:contextualSpacing/>
    </w:pPr>
  </w:style>
  <w:style w:type="character" w:styleId="Marquedecommentaire">
    <w:name w:val="annotation reference"/>
    <w:basedOn w:val="Policepardfaut"/>
    <w:semiHidden/>
    <w:rsid w:val="008D5C2F"/>
    <w:rPr>
      <w:sz w:val="16"/>
      <w:szCs w:val="16"/>
    </w:rPr>
  </w:style>
  <w:style w:type="paragraph" w:styleId="Commentaire">
    <w:name w:val="annotation text"/>
    <w:basedOn w:val="Normal"/>
    <w:link w:val="CommentaireCar"/>
    <w:semiHidden/>
    <w:rsid w:val="008D5C2F"/>
    <w:pPr>
      <w:spacing w:line="240" w:lineRule="auto"/>
    </w:pPr>
  </w:style>
  <w:style w:type="character" w:customStyle="1" w:styleId="CommentaireCar">
    <w:name w:val="Commentaire Car"/>
    <w:basedOn w:val="Policepardfaut"/>
    <w:link w:val="Commentaire"/>
    <w:semiHidden/>
    <w:rsid w:val="008D5C2F"/>
    <w:rPr>
      <w:lang w:val="fr-CH" w:eastAsia="en-US"/>
    </w:rPr>
  </w:style>
  <w:style w:type="paragraph" w:styleId="Objetducommentaire">
    <w:name w:val="annotation subject"/>
    <w:basedOn w:val="Commentaire"/>
    <w:next w:val="Commentaire"/>
    <w:link w:val="ObjetducommentaireCar"/>
    <w:semiHidden/>
    <w:rsid w:val="008D5C2F"/>
    <w:rPr>
      <w:b/>
      <w:bCs/>
    </w:rPr>
  </w:style>
  <w:style w:type="character" w:customStyle="1" w:styleId="ObjetducommentaireCar">
    <w:name w:val="Objet du commentaire Car"/>
    <w:basedOn w:val="CommentaireCar"/>
    <w:link w:val="Objetducommentaire"/>
    <w:semiHidden/>
    <w:rsid w:val="008D5C2F"/>
    <w:rPr>
      <w:b/>
      <w:bCs/>
      <w:lang w:val="fr-CH" w:eastAsia="en-US"/>
    </w:rPr>
  </w:style>
  <w:style w:type="character" w:customStyle="1" w:styleId="NotedefinCar">
    <w:name w:val="Note de fin Car"/>
    <w:aliases w:val="2_G Car"/>
    <w:link w:val="Notedefin"/>
    <w:rsid w:val="00D51086"/>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595580">
      <w:bodyDiv w:val="1"/>
      <w:marLeft w:val="0"/>
      <w:marRight w:val="0"/>
      <w:marTop w:val="0"/>
      <w:marBottom w:val="0"/>
      <w:divBdr>
        <w:top w:val="none" w:sz="0" w:space="0" w:color="auto"/>
        <w:left w:val="none" w:sz="0" w:space="0" w:color="auto"/>
        <w:bottom w:val="none" w:sz="0" w:space="0" w:color="auto"/>
        <w:right w:val="none" w:sz="0" w:space="0" w:color="auto"/>
      </w:divBdr>
      <w:divsChild>
        <w:div w:id="1157844111">
          <w:marLeft w:val="0"/>
          <w:marRight w:val="0"/>
          <w:marTop w:val="0"/>
          <w:marBottom w:val="0"/>
          <w:divBdr>
            <w:top w:val="none" w:sz="0" w:space="0" w:color="auto"/>
            <w:left w:val="none" w:sz="0" w:space="0" w:color="auto"/>
            <w:bottom w:val="none" w:sz="0" w:space="0" w:color="auto"/>
            <w:right w:val="none" w:sz="0" w:space="0" w:color="auto"/>
          </w:divBdr>
        </w:div>
        <w:div w:id="717820498">
          <w:marLeft w:val="0"/>
          <w:marRight w:val="0"/>
          <w:marTop w:val="0"/>
          <w:marBottom w:val="0"/>
          <w:divBdr>
            <w:top w:val="none" w:sz="0" w:space="0" w:color="auto"/>
            <w:left w:val="none" w:sz="0" w:space="0" w:color="auto"/>
            <w:bottom w:val="none" w:sz="0" w:space="0" w:color="auto"/>
            <w:right w:val="none" w:sz="0" w:space="0" w:color="auto"/>
          </w:divBdr>
        </w:div>
        <w:div w:id="1803383699">
          <w:marLeft w:val="0"/>
          <w:marRight w:val="0"/>
          <w:marTop w:val="0"/>
          <w:marBottom w:val="0"/>
          <w:divBdr>
            <w:top w:val="none" w:sz="0" w:space="0" w:color="auto"/>
            <w:left w:val="none" w:sz="0" w:space="0" w:color="auto"/>
            <w:bottom w:val="none" w:sz="0" w:space="0" w:color="auto"/>
            <w:right w:val="none" w:sz="0" w:space="0" w:color="auto"/>
          </w:divBdr>
        </w:div>
        <w:div w:id="1751347699">
          <w:marLeft w:val="0"/>
          <w:marRight w:val="0"/>
          <w:marTop w:val="0"/>
          <w:marBottom w:val="0"/>
          <w:divBdr>
            <w:top w:val="none" w:sz="0" w:space="0" w:color="auto"/>
            <w:left w:val="none" w:sz="0" w:space="0" w:color="auto"/>
            <w:bottom w:val="none" w:sz="0" w:space="0" w:color="auto"/>
            <w:right w:val="none" w:sz="0" w:space="0" w:color="auto"/>
          </w:divBdr>
        </w:div>
        <w:div w:id="467355446">
          <w:marLeft w:val="0"/>
          <w:marRight w:val="0"/>
          <w:marTop w:val="0"/>
          <w:marBottom w:val="0"/>
          <w:divBdr>
            <w:top w:val="none" w:sz="0" w:space="0" w:color="auto"/>
            <w:left w:val="none" w:sz="0" w:space="0" w:color="auto"/>
            <w:bottom w:val="none" w:sz="0" w:space="0" w:color="auto"/>
            <w:right w:val="none" w:sz="0" w:space="0" w:color="auto"/>
          </w:divBdr>
        </w:div>
      </w:divsChild>
    </w:div>
    <w:div w:id="564070542">
      <w:bodyDiv w:val="1"/>
      <w:marLeft w:val="0"/>
      <w:marRight w:val="0"/>
      <w:marTop w:val="0"/>
      <w:marBottom w:val="0"/>
      <w:divBdr>
        <w:top w:val="none" w:sz="0" w:space="0" w:color="auto"/>
        <w:left w:val="none" w:sz="0" w:space="0" w:color="auto"/>
        <w:bottom w:val="none" w:sz="0" w:space="0" w:color="auto"/>
        <w:right w:val="none" w:sz="0" w:space="0" w:color="auto"/>
      </w:divBdr>
      <w:divsChild>
        <w:div w:id="935210275">
          <w:marLeft w:val="0"/>
          <w:marRight w:val="0"/>
          <w:marTop w:val="0"/>
          <w:marBottom w:val="0"/>
          <w:divBdr>
            <w:top w:val="none" w:sz="0" w:space="0" w:color="auto"/>
            <w:left w:val="none" w:sz="0" w:space="0" w:color="auto"/>
            <w:bottom w:val="none" w:sz="0" w:space="0" w:color="auto"/>
            <w:right w:val="none" w:sz="0" w:space="0" w:color="auto"/>
          </w:divBdr>
          <w:divsChild>
            <w:div w:id="2033722315">
              <w:marLeft w:val="0"/>
              <w:marRight w:val="0"/>
              <w:marTop w:val="0"/>
              <w:marBottom w:val="0"/>
              <w:divBdr>
                <w:top w:val="none" w:sz="0" w:space="0" w:color="auto"/>
                <w:left w:val="none" w:sz="0" w:space="0" w:color="auto"/>
                <w:bottom w:val="none" w:sz="0" w:space="0" w:color="auto"/>
                <w:right w:val="none" w:sz="0" w:space="0" w:color="auto"/>
              </w:divBdr>
              <w:divsChild>
                <w:div w:id="1956448823">
                  <w:marLeft w:val="0"/>
                  <w:marRight w:val="0"/>
                  <w:marTop w:val="0"/>
                  <w:marBottom w:val="0"/>
                  <w:divBdr>
                    <w:top w:val="none" w:sz="0" w:space="0" w:color="auto"/>
                    <w:left w:val="none" w:sz="0" w:space="0" w:color="auto"/>
                    <w:bottom w:val="none" w:sz="0" w:space="0" w:color="auto"/>
                    <w:right w:val="none" w:sz="0" w:space="0" w:color="auto"/>
                  </w:divBdr>
                  <w:divsChild>
                    <w:div w:id="1744376029">
                      <w:marLeft w:val="0"/>
                      <w:marRight w:val="0"/>
                      <w:marTop w:val="0"/>
                      <w:marBottom w:val="0"/>
                      <w:divBdr>
                        <w:top w:val="none" w:sz="0" w:space="0" w:color="auto"/>
                        <w:left w:val="none" w:sz="0" w:space="0" w:color="auto"/>
                        <w:bottom w:val="none" w:sz="0" w:space="0" w:color="auto"/>
                        <w:right w:val="none" w:sz="0" w:space="0" w:color="auto"/>
                      </w:divBdr>
                      <w:divsChild>
                        <w:div w:id="2002541107">
                          <w:marLeft w:val="0"/>
                          <w:marRight w:val="0"/>
                          <w:marTop w:val="0"/>
                          <w:marBottom w:val="0"/>
                          <w:divBdr>
                            <w:top w:val="none" w:sz="0" w:space="0" w:color="auto"/>
                            <w:left w:val="none" w:sz="0" w:space="0" w:color="auto"/>
                            <w:bottom w:val="none" w:sz="0" w:space="0" w:color="auto"/>
                            <w:right w:val="none" w:sz="0" w:space="0" w:color="auto"/>
                          </w:divBdr>
                          <w:divsChild>
                            <w:div w:id="571474543">
                              <w:marLeft w:val="0"/>
                              <w:marRight w:val="0"/>
                              <w:marTop w:val="0"/>
                              <w:marBottom w:val="0"/>
                              <w:divBdr>
                                <w:top w:val="none" w:sz="0" w:space="0" w:color="auto"/>
                                <w:left w:val="none" w:sz="0" w:space="0" w:color="auto"/>
                                <w:bottom w:val="none" w:sz="0" w:space="0" w:color="auto"/>
                                <w:right w:val="none" w:sz="0" w:space="0" w:color="auto"/>
                              </w:divBdr>
                              <w:divsChild>
                                <w:div w:id="1255044829">
                                  <w:marLeft w:val="0"/>
                                  <w:marRight w:val="0"/>
                                  <w:marTop w:val="0"/>
                                  <w:marBottom w:val="0"/>
                                  <w:divBdr>
                                    <w:top w:val="none" w:sz="0" w:space="0" w:color="auto"/>
                                    <w:left w:val="none" w:sz="0" w:space="0" w:color="auto"/>
                                    <w:bottom w:val="none" w:sz="0" w:space="0" w:color="auto"/>
                                    <w:right w:val="none" w:sz="0" w:space="0" w:color="auto"/>
                                  </w:divBdr>
                                  <w:divsChild>
                                    <w:div w:id="1865172445">
                                      <w:marLeft w:val="60"/>
                                      <w:marRight w:val="0"/>
                                      <w:marTop w:val="0"/>
                                      <w:marBottom w:val="0"/>
                                      <w:divBdr>
                                        <w:top w:val="none" w:sz="0" w:space="0" w:color="auto"/>
                                        <w:left w:val="none" w:sz="0" w:space="0" w:color="auto"/>
                                        <w:bottom w:val="none" w:sz="0" w:space="0" w:color="auto"/>
                                        <w:right w:val="none" w:sz="0" w:space="0" w:color="auto"/>
                                      </w:divBdr>
                                      <w:divsChild>
                                        <w:div w:id="432213156">
                                          <w:marLeft w:val="0"/>
                                          <w:marRight w:val="0"/>
                                          <w:marTop w:val="0"/>
                                          <w:marBottom w:val="0"/>
                                          <w:divBdr>
                                            <w:top w:val="none" w:sz="0" w:space="0" w:color="auto"/>
                                            <w:left w:val="none" w:sz="0" w:space="0" w:color="auto"/>
                                            <w:bottom w:val="none" w:sz="0" w:space="0" w:color="auto"/>
                                            <w:right w:val="none" w:sz="0" w:space="0" w:color="auto"/>
                                          </w:divBdr>
                                          <w:divsChild>
                                            <w:div w:id="1278492143">
                                              <w:marLeft w:val="0"/>
                                              <w:marRight w:val="0"/>
                                              <w:marTop w:val="0"/>
                                              <w:marBottom w:val="120"/>
                                              <w:divBdr>
                                                <w:top w:val="single" w:sz="6" w:space="0" w:color="F5F5F5"/>
                                                <w:left w:val="single" w:sz="6" w:space="0" w:color="F5F5F5"/>
                                                <w:bottom w:val="single" w:sz="6" w:space="0" w:color="F5F5F5"/>
                                                <w:right w:val="single" w:sz="6" w:space="0" w:color="F5F5F5"/>
                                              </w:divBdr>
                                              <w:divsChild>
                                                <w:div w:id="416093888">
                                                  <w:marLeft w:val="0"/>
                                                  <w:marRight w:val="0"/>
                                                  <w:marTop w:val="0"/>
                                                  <w:marBottom w:val="0"/>
                                                  <w:divBdr>
                                                    <w:top w:val="none" w:sz="0" w:space="0" w:color="auto"/>
                                                    <w:left w:val="none" w:sz="0" w:space="0" w:color="auto"/>
                                                    <w:bottom w:val="none" w:sz="0" w:space="0" w:color="auto"/>
                                                    <w:right w:val="none" w:sz="0" w:space="0" w:color="auto"/>
                                                  </w:divBdr>
                                                  <w:divsChild>
                                                    <w:div w:id="20218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5199593">
      <w:bodyDiv w:val="1"/>
      <w:marLeft w:val="0"/>
      <w:marRight w:val="0"/>
      <w:marTop w:val="0"/>
      <w:marBottom w:val="0"/>
      <w:divBdr>
        <w:top w:val="none" w:sz="0" w:space="0" w:color="auto"/>
        <w:left w:val="none" w:sz="0" w:space="0" w:color="auto"/>
        <w:bottom w:val="none" w:sz="0" w:space="0" w:color="auto"/>
        <w:right w:val="none" w:sz="0" w:space="0" w:color="auto"/>
      </w:divBdr>
      <w:divsChild>
        <w:div w:id="693506311">
          <w:marLeft w:val="0"/>
          <w:marRight w:val="0"/>
          <w:marTop w:val="0"/>
          <w:marBottom w:val="0"/>
          <w:divBdr>
            <w:top w:val="none" w:sz="0" w:space="0" w:color="auto"/>
            <w:left w:val="none" w:sz="0" w:space="0" w:color="auto"/>
            <w:bottom w:val="none" w:sz="0" w:space="0" w:color="auto"/>
            <w:right w:val="none" w:sz="0" w:space="0" w:color="auto"/>
          </w:divBdr>
          <w:divsChild>
            <w:div w:id="869802214">
              <w:marLeft w:val="0"/>
              <w:marRight w:val="0"/>
              <w:marTop w:val="0"/>
              <w:marBottom w:val="0"/>
              <w:divBdr>
                <w:top w:val="none" w:sz="0" w:space="0" w:color="auto"/>
                <w:left w:val="none" w:sz="0" w:space="0" w:color="auto"/>
                <w:bottom w:val="none" w:sz="0" w:space="0" w:color="auto"/>
                <w:right w:val="none" w:sz="0" w:space="0" w:color="auto"/>
              </w:divBdr>
              <w:divsChild>
                <w:div w:id="695928363">
                  <w:marLeft w:val="0"/>
                  <w:marRight w:val="0"/>
                  <w:marTop w:val="0"/>
                  <w:marBottom w:val="0"/>
                  <w:divBdr>
                    <w:top w:val="none" w:sz="0" w:space="0" w:color="auto"/>
                    <w:left w:val="none" w:sz="0" w:space="0" w:color="auto"/>
                    <w:bottom w:val="none" w:sz="0" w:space="0" w:color="auto"/>
                    <w:right w:val="none" w:sz="0" w:space="0" w:color="auto"/>
                  </w:divBdr>
                  <w:divsChild>
                    <w:div w:id="1960640653">
                      <w:marLeft w:val="0"/>
                      <w:marRight w:val="0"/>
                      <w:marTop w:val="0"/>
                      <w:marBottom w:val="0"/>
                      <w:divBdr>
                        <w:top w:val="none" w:sz="0" w:space="0" w:color="auto"/>
                        <w:left w:val="none" w:sz="0" w:space="0" w:color="auto"/>
                        <w:bottom w:val="none" w:sz="0" w:space="0" w:color="auto"/>
                        <w:right w:val="none" w:sz="0" w:space="0" w:color="auto"/>
                      </w:divBdr>
                      <w:divsChild>
                        <w:div w:id="523400453">
                          <w:marLeft w:val="0"/>
                          <w:marRight w:val="0"/>
                          <w:marTop w:val="0"/>
                          <w:marBottom w:val="0"/>
                          <w:divBdr>
                            <w:top w:val="none" w:sz="0" w:space="0" w:color="auto"/>
                            <w:left w:val="none" w:sz="0" w:space="0" w:color="auto"/>
                            <w:bottom w:val="none" w:sz="0" w:space="0" w:color="auto"/>
                            <w:right w:val="none" w:sz="0" w:space="0" w:color="auto"/>
                          </w:divBdr>
                          <w:divsChild>
                            <w:div w:id="633222008">
                              <w:marLeft w:val="0"/>
                              <w:marRight w:val="0"/>
                              <w:marTop w:val="0"/>
                              <w:marBottom w:val="0"/>
                              <w:divBdr>
                                <w:top w:val="none" w:sz="0" w:space="0" w:color="auto"/>
                                <w:left w:val="none" w:sz="0" w:space="0" w:color="auto"/>
                                <w:bottom w:val="none" w:sz="0" w:space="0" w:color="auto"/>
                                <w:right w:val="none" w:sz="0" w:space="0" w:color="auto"/>
                              </w:divBdr>
                              <w:divsChild>
                                <w:div w:id="1235242120">
                                  <w:marLeft w:val="0"/>
                                  <w:marRight w:val="0"/>
                                  <w:marTop w:val="0"/>
                                  <w:marBottom w:val="0"/>
                                  <w:divBdr>
                                    <w:top w:val="none" w:sz="0" w:space="0" w:color="auto"/>
                                    <w:left w:val="none" w:sz="0" w:space="0" w:color="auto"/>
                                    <w:bottom w:val="none" w:sz="0" w:space="0" w:color="auto"/>
                                    <w:right w:val="none" w:sz="0" w:space="0" w:color="auto"/>
                                  </w:divBdr>
                                  <w:divsChild>
                                    <w:div w:id="1696685595">
                                      <w:marLeft w:val="60"/>
                                      <w:marRight w:val="0"/>
                                      <w:marTop w:val="0"/>
                                      <w:marBottom w:val="0"/>
                                      <w:divBdr>
                                        <w:top w:val="none" w:sz="0" w:space="0" w:color="auto"/>
                                        <w:left w:val="none" w:sz="0" w:space="0" w:color="auto"/>
                                        <w:bottom w:val="none" w:sz="0" w:space="0" w:color="auto"/>
                                        <w:right w:val="none" w:sz="0" w:space="0" w:color="auto"/>
                                      </w:divBdr>
                                      <w:divsChild>
                                        <w:div w:id="412749454">
                                          <w:marLeft w:val="0"/>
                                          <w:marRight w:val="0"/>
                                          <w:marTop w:val="0"/>
                                          <w:marBottom w:val="0"/>
                                          <w:divBdr>
                                            <w:top w:val="none" w:sz="0" w:space="0" w:color="auto"/>
                                            <w:left w:val="none" w:sz="0" w:space="0" w:color="auto"/>
                                            <w:bottom w:val="none" w:sz="0" w:space="0" w:color="auto"/>
                                            <w:right w:val="none" w:sz="0" w:space="0" w:color="auto"/>
                                          </w:divBdr>
                                          <w:divsChild>
                                            <w:div w:id="1029065831">
                                              <w:marLeft w:val="0"/>
                                              <w:marRight w:val="0"/>
                                              <w:marTop w:val="0"/>
                                              <w:marBottom w:val="120"/>
                                              <w:divBdr>
                                                <w:top w:val="single" w:sz="6" w:space="0" w:color="F5F5F5"/>
                                                <w:left w:val="single" w:sz="6" w:space="0" w:color="F5F5F5"/>
                                                <w:bottom w:val="single" w:sz="6" w:space="0" w:color="F5F5F5"/>
                                                <w:right w:val="single" w:sz="6" w:space="0" w:color="F5F5F5"/>
                                              </w:divBdr>
                                              <w:divsChild>
                                                <w:div w:id="492912909">
                                                  <w:marLeft w:val="0"/>
                                                  <w:marRight w:val="0"/>
                                                  <w:marTop w:val="0"/>
                                                  <w:marBottom w:val="0"/>
                                                  <w:divBdr>
                                                    <w:top w:val="none" w:sz="0" w:space="0" w:color="auto"/>
                                                    <w:left w:val="none" w:sz="0" w:space="0" w:color="auto"/>
                                                    <w:bottom w:val="none" w:sz="0" w:space="0" w:color="auto"/>
                                                    <w:right w:val="none" w:sz="0" w:space="0" w:color="auto"/>
                                                  </w:divBdr>
                                                  <w:divsChild>
                                                    <w:div w:id="14619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102173">
      <w:bodyDiv w:val="1"/>
      <w:marLeft w:val="0"/>
      <w:marRight w:val="0"/>
      <w:marTop w:val="0"/>
      <w:marBottom w:val="0"/>
      <w:divBdr>
        <w:top w:val="none" w:sz="0" w:space="0" w:color="auto"/>
        <w:left w:val="none" w:sz="0" w:space="0" w:color="auto"/>
        <w:bottom w:val="none" w:sz="0" w:space="0" w:color="auto"/>
        <w:right w:val="none" w:sz="0" w:space="0" w:color="auto"/>
      </w:divBdr>
      <w:divsChild>
        <w:div w:id="2103602616">
          <w:marLeft w:val="0"/>
          <w:marRight w:val="0"/>
          <w:marTop w:val="0"/>
          <w:marBottom w:val="0"/>
          <w:divBdr>
            <w:top w:val="none" w:sz="0" w:space="0" w:color="auto"/>
            <w:left w:val="none" w:sz="0" w:space="0" w:color="auto"/>
            <w:bottom w:val="none" w:sz="0" w:space="0" w:color="auto"/>
            <w:right w:val="none" w:sz="0" w:space="0" w:color="auto"/>
          </w:divBdr>
          <w:divsChild>
            <w:div w:id="1335910787">
              <w:marLeft w:val="0"/>
              <w:marRight w:val="0"/>
              <w:marTop w:val="0"/>
              <w:marBottom w:val="0"/>
              <w:divBdr>
                <w:top w:val="none" w:sz="0" w:space="0" w:color="auto"/>
                <w:left w:val="none" w:sz="0" w:space="0" w:color="auto"/>
                <w:bottom w:val="none" w:sz="0" w:space="0" w:color="auto"/>
                <w:right w:val="none" w:sz="0" w:space="0" w:color="auto"/>
              </w:divBdr>
              <w:divsChild>
                <w:div w:id="545870269">
                  <w:marLeft w:val="0"/>
                  <w:marRight w:val="0"/>
                  <w:marTop w:val="0"/>
                  <w:marBottom w:val="0"/>
                  <w:divBdr>
                    <w:top w:val="none" w:sz="0" w:space="0" w:color="auto"/>
                    <w:left w:val="none" w:sz="0" w:space="0" w:color="auto"/>
                    <w:bottom w:val="none" w:sz="0" w:space="0" w:color="auto"/>
                    <w:right w:val="none" w:sz="0" w:space="0" w:color="auto"/>
                  </w:divBdr>
                  <w:divsChild>
                    <w:div w:id="2087141545">
                      <w:marLeft w:val="0"/>
                      <w:marRight w:val="0"/>
                      <w:marTop w:val="0"/>
                      <w:marBottom w:val="0"/>
                      <w:divBdr>
                        <w:top w:val="none" w:sz="0" w:space="0" w:color="auto"/>
                        <w:left w:val="none" w:sz="0" w:space="0" w:color="auto"/>
                        <w:bottom w:val="none" w:sz="0" w:space="0" w:color="auto"/>
                        <w:right w:val="none" w:sz="0" w:space="0" w:color="auto"/>
                      </w:divBdr>
                      <w:divsChild>
                        <w:div w:id="1564104473">
                          <w:marLeft w:val="0"/>
                          <w:marRight w:val="0"/>
                          <w:marTop w:val="0"/>
                          <w:marBottom w:val="0"/>
                          <w:divBdr>
                            <w:top w:val="none" w:sz="0" w:space="0" w:color="auto"/>
                            <w:left w:val="none" w:sz="0" w:space="0" w:color="auto"/>
                            <w:bottom w:val="none" w:sz="0" w:space="0" w:color="auto"/>
                            <w:right w:val="none" w:sz="0" w:space="0" w:color="auto"/>
                          </w:divBdr>
                          <w:divsChild>
                            <w:div w:id="822351893">
                              <w:marLeft w:val="0"/>
                              <w:marRight w:val="0"/>
                              <w:marTop w:val="0"/>
                              <w:marBottom w:val="0"/>
                              <w:divBdr>
                                <w:top w:val="none" w:sz="0" w:space="0" w:color="auto"/>
                                <w:left w:val="none" w:sz="0" w:space="0" w:color="auto"/>
                                <w:bottom w:val="none" w:sz="0" w:space="0" w:color="auto"/>
                                <w:right w:val="none" w:sz="0" w:space="0" w:color="auto"/>
                              </w:divBdr>
                              <w:divsChild>
                                <w:div w:id="1305546090">
                                  <w:marLeft w:val="0"/>
                                  <w:marRight w:val="0"/>
                                  <w:marTop w:val="0"/>
                                  <w:marBottom w:val="0"/>
                                  <w:divBdr>
                                    <w:top w:val="none" w:sz="0" w:space="0" w:color="auto"/>
                                    <w:left w:val="none" w:sz="0" w:space="0" w:color="auto"/>
                                    <w:bottom w:val="none" w:sz="0" w:space="0" w:color="auto"/>
                                    <w:right w:val="none" w:sz="0" w:space="0" w:color="auto"/>
                                  </w:divBdr>
                                  <w:divsChild>
                                    <w:div w:id="807943044">
                                      <w:marLeft w:val="60"/>
                                      <w:marRight w:val="0"/>
                                      <w:marTop w:val="0"/>
                                      <w:marBottom w:val="0"/>
                                      <w:divBdr>
                                        <w:top w:val="none" w:sz="0" w:space="0" w:color="auto"/>
                                        <w:left w:val="none" w:sz="0" w:space="0" w:color="auto"/>
                                        <w:bottom w:val="none" w:sz="0" w:space="0" w:color="auto"/>
                                        <w:right w:val="none" w:sz="0" w:space="0" w:color="auto"/>
                                      </w:divBdr>
                                      <w:divsChild>
                                        <w:div w:id="1632781121">
                                          <w:marLeft w:val="0"/>
                                          <w:marRight w:val="0"/>
                                          <w:marTop w:val="0"/>
                                          <w:marBottom w:val="0"/>
                                          <w:divBdr>
                                            <w:top w:val="none" w:sz="0" w:space="0" w:color="auto"/>
                                            <w:left w:val="none" w:sz="0" w:space="0" w:color="auto"/>
                                            <w:bottom w:val="none" w:sz="0" w:space="0" w:color="auto"/>
                                            <w:right w:val="none" w:sz="0" w:space="0" w:color="auto"/>
                                          </w:divBdr>
                                          <w:divsChild>
                                            <w:div w:id="1292320705">
                                              <w:marLeft w:val="0"/>
                                              <w:marRight w:val="0"/>
                                              <w:marTop w:val="0"/>
                                              <w:marBottom w:val="120"/>
                                              <w:divBdr>
                                                <w:top w:val="single" w:sz="6" w:space="0" w:color="F5F5F5"/>
                                                <w:left w:val="single" w:sz="6" w:space="0" w:color="F5F5F5"/>
                                                <w:bottom w:val="single" w:sz="6" w:space="0" w:color="F5F5F5"/>
                                                <w:right w:val="single" w:sz="6" w:space="0" w:color="F5F5F5"/>
                                              </w:divBdr>
                                              <w:divsChild>
                                                <w:div w:id="2112313005">
                                                  <w:marLeft w:val="0"/>
                                                  <w:marRight w:val="0"/>
                                                  <w:marTop w:val="0"/>
                                                  <w:marBottom w:val="0"/>
                                                  <w:divBdr>
                                                    <w:top w:val="none" w:sz="0" w:space="0" w:color="auto"/>
                                                    <w:left w:val="none" w:sz="0" w:space="0" w:color="auto"/>
                                                    <w:bottom w:val="none" w:sz="0" w:space="0" w:color="auto"/>
                                                    <w:right w:val="none" w:sz="0" w:space="0" w:color="auto"/>
                                                  </w:divBdr>
                                                  <w:divsChild>
                                                    <w:div w:id="29637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5312C-4DDA-4B6B-B37E-12DC85EC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CERD_F.dotm</Template>
  <TotalTime>0</TotalTime>
  <Pages>7</Pages>
  <Words>3571</Words>
  <Characters>19037</Characters>
  <Application>Microsoft Office Word</Application>
  <DocSecurity>0</DocSecurity>
  <Lines>284</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CERD/C/DJI/CO/R.1-2</vt:lpstr>
      <vt:lpstr>CERD/C/DJI/CO/R.1-2</vt:lpstr>
    </vt:vector>
  </TitlesOfParts>
  <Company>CSD</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CERD/C/DJI/CO/1-2</dc:title>
  <dc:subject>qrcode</dc:subject>
  <dc:creator>dvx</dc:creator>
  <cp:keywords/>
  <dc:description/>
  <cp:lastModifiedBy>Christine DEVOUASSOUX</cp:lastModifiedBy>
  <cp:revision>2</cp:revision>
  <cp:lastPrinted>2017-09-05T09:35:00Z</cp:lastPrinted>
  <dcterms:created xsi:type="dcterms:W3CDTF">2017-09-21T10:32:00Z</dcterms:created>
  <dcterms:modified xsi:type="dcterms:W3CDTF">2017-09-21T10:32:00Z</dcterms:modified>
</cp:coreProperties>
</file>