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04866"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E/C.12/PRY/3</w:t>
      </w:r>
      <w:r>
        <w:rPr>
          <w:lang w:val="es-ES_tradnl"/>
        </w:rPr>
        <w:br/>
        <w:t>26 de febrero de 2007</w:t>
      </w:r>
    </w:p>
    <w:p w:rsidR="00000000" w:rsidRDefault="00000000">
      <w:pPr>
        <w:spacing w:after="720"/>
        <w:ind w:left="6838"/>
        <w:rPr>
          <w:lang w:val="es-ES_tradnl"/>
        </w:rPr>
      </w:pPr>
      <w:r>
        <w:rPr>
          <w:lang w:val="es-ES_tradnl"/>
        </w:rPr>
        <w:t>Original:  ESPAÑOL</w:t>
      </w:r>
    </w:p>
    <w:p w:rsidR="00000000" w:rsidRDefault="00000000">
      <w:pPr>
        <w:tabs>
          <w:tab w:val="left" w:pos="6240"/>
        </w:tabs>
        <w:spacing w:after="1080"/>
        <w:rPr>
          <w:lang w:val="es-ES_tradnl"/>
        </w:rPr>
      </w:pPr>
      <w:r>
        <w:rPr>
          <w:lang w:val="es-ES_tradnl"/>
        </w:rPr>
        <w:t>Período sustantivo de sesiones de 2007</w:t>
      </w:r>
    </w:p>
    <w:p w:rsidR="00000000" w:rsidRDefault="00000000">
      <w:pPr>
        <w:tabs>
          <w:tab w:val="left" w:pos="6240"/>
        </w:tabs>
        <w:spacing w:after="360"/>
        <w:jc w:val="center"/>
        <w:rPr>
          <w:b/>
          <w:bCs/>
          <w:lang w:val="es-ES_tradnl"/>
        </w:rPr>
      </w:pPr>
      <w:r>
        <w:rPr>
          <w:b/>
          <w:bCs/>
          <w:lang w:val="es-ES_tradnl"/>
        </w:rPr>
        <w:t>APLICACIÓN DEL PACTO INTERNACIONAL DE DERECHOS</w:t>
      </w:r>
      <w:r>
        <w:rPr>
          <w:b/>
          <w:bCs/>
          <w:lang w:val="es-ES_tradnl"/>
        </w:rPr>
        <w:br/>
        <w:t xml:space="preserve">ECONÓMICOS, SOCIALES Y CULTURALES </w:t>
      </w:r>
    </w:p>
    <w:p w:rsidR="00000000" w:rsidRDefault="00000000">
      <w:pPr>
        <w:tabs>
          <w:tab w:val="left" w:pos="6240"/>
        </w:tabs>
        <w:spacing w:after="480"/>
        <w:jc w:val="center"/>
        <w:rPr>
          <w:b/>
          <w:bCs/>
          <w:lang w:val="es-ES_tradnl"/>
        </w:rPr>
      </w:pPr>
      <w:r>
        <w:rPr>
          <w:b/>
          <w:bCs/>
          <w:lang w:val="es-ES_tradnl"/>
        </w:rPr>
        <w:t>Segundos y terceros informes  periódicos que deben presentar los</w:t>
      </w:r>
      <w:r>
        <w:rPr>
          <w:b/>
          <w:bCs/>
          <w:lang w:val="es-ES_tradnl"/>
        </w:rPr>
        <w:br/>
        <w:t>Estados Partes de conformidad con los artículos 16 y 17 del Pacto</w:t>
      </w:r>
    </w:p>
    <w:p w:rsidR="00000000" w:rsidRDefault="00000000">
      <w:pPr>
        <w:tabs>
          <w:tab w:val="left" w:pos="6240"/>
        </w:tabs>
        <w:spacing w:after="480"/>
        <w:jc w:val="center"/>
        <w:rPr>
          <w:b/>
          <w:bCs/>
          <w:lang w:val="es-ES_tradnl"/>
        </w:rPr>
      </w:pPr>
      <w:r>
        <w:rPr>
          <w:b/>
          <w:bCs/>
          <w:lang w:val="es-ES_tradnl"/>
        </w:rPr>
        <w:t>PARAGUAY</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r>
        <w:rPr>
          <w:lang w:val="es-ES_tradnl"/>
        </w:rPr>
        <w:t xml:space="preserve"> </w:t>
      </w:r>
      <w:r>
        <w:rPr>
          <w:b/>
          <w:bCs/>
          <w:vertAlign w:val="superscript"/>
          <w:lang w:val="es-ES_tradnl"/>
        </w:rPr>
        <w:t>***</w:t>
      </w:r>
    </w:p>
    <w:p w:rsidR="00000000" w:rsidRDefault="00000000">
      <w:pPr>
        <w:spacing w:after="240"/>
        <w:ind w:right="-5"/>
        <w:jc w:val="right"/>
        <w:rPr>
          <w:bCs/>
          <w:lang w:val="es-ES_tradnl"/>
        </w:rPr>
      </w:pPr>
      <w:r>
        <w:rPr>
          <w:bCs/>
          <w:lang w:val="es-ES_tradnl"/>
        </w:rPr>
        <w:t>[Período de 1994-2006]</w:t>
      </w:r>
    </w:p>
    <w:p w:rsidR="00000000" w:rsidRDefault="00000000">
      <w:pPr>
        <w:tabs>
          <w:tab w:val="left" w:pos="6240"/>
        </w:tabs>
        <w:spacing w:after="240"/>
        <w:ind w:right="480"/>
        <w:jc w:val="center"/>
        <w:rPr>
          <w:bCs/>
          <w:lang w:val="es-ES_tradnl"/>
        </w:rPr>
      </w:pPr>
      <w:r>
        <w:rPr>
          <w:bCs/>
          <w:lang w:val="es-ES_tradnl"/>
        </w:rPr>
        <w:br w:type="page"/>
      </w:r>
      <w:r>
        <w:rPr>
          <w:b/>
          <w:bCs/>
          <w:lang w:val="es-ES_tradnl"/>
        </w:rPr>
        <w:t>ÍNDICE</w:t>
      </w:r>
    </w:p>
    <w:p w:rsidR="00000000" w:rsidRDefault="00000000">
      <w:pPr>
        <w:tabs>
          <w:tab w:val="left" w:pos="6240"/>
        </w:tabs>
        <w:spacing w:after="240"/>
        <w:ind w:right="-5"/>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t>I.</w:t>
      </w:r>
      <w:r>
        <w:rPr>
          <w:bCs/>
          <w:lang w:val="es-ES_tradnl"/>
        </w:rPr>
        <w:tab/>
        <w:t>TERRITORIO Y POBLACIÓN</w:t>
      </w:r>
      <w:r>
        <w:rPr>
          <w:bCs/>
          <w:lang w:val="es-ES_tradnl"/>
        </w:rPr>
        <w:tab/>
      </w:r>
      <w:r>
        <w:rPr>
          <w:bCs/>
          <w:lang w:val="es-ES_tradnl"/>
        </w:rPr>
        <w:tab/>
        <w:t>1</w:t>
      </w:r>
      <w:r>
        <w:rPr>
          <w:bCs/>
          <w:lang w:val="es-ES_tradnl"/>
        </w:rPr>
        <w:tab/>
        <w:t>-</w:t>
      </w:r>
      <w:r>
        <w:rPr>
          <w:bCs/>
          <w:lang w:val="es-ES_tradnl"/>
        </w:rPr>
        <w:tab/>
        <w:t>50</w:t>
      </w:r>
      <w:r>
        <w:rPr>
          <w:b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A.</w:t>
      </w:r>
      <w:r>
        <w:rPr>
          <w:bCs/>
          <w:lang w:val="es-ES_tradnl"/>
        </w:rPr>
        <w:tab/>
        <w:t xml:space="preserve">Características generales del país </w:t>
      </w:r>
      <w:r>
        <w:rPr>
          <w:bCs/>
          <w:lang w:val="es-ES_tradnl"/>
        </w:rPr>
        <w:tab/>
      </w:r>
      <w:r>
        <w:rPr>
          <w:bCs/>
          <w:lang w:val="es-ES_tradnl"/>
        </w:rPr>
        <w:tab/>
        <w:t>1</w:t>
      </w:r>
      <w:r>
        <w:rPr>
          <w:bCs/>
          <w:lang w:val="es-ES_tradnl"/>
        </w:rPr>
        <w:tab/>
        <w:t>-</w:t>
      </w:r>
      <w:r>
        <w:rPr>
          <w:bCs/>
          <w:lang w:val="es-ES_tradnl"/>
        </w:rPr>
        <w:tab/>
        <w:t>3</w:t>
      </w:r>
      <w:r>
        <w:rPr>
          <w:b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B.</w:t>
      </w:r>
      <w:r>
        <w:rPr>
          <w:bCs/>
          <w:lang w:val="es-ES_tradnl"/>
        </w:rPr>
        <w:tab/>
        <w:t>Características étnicas</w:t>
      </w:r>
      <w:r>
        <w:rPr>
          <w:bCs/>
          <w:lang w:val="es-ES_tradnl"/>
        </w:rPr>
        <w:tab/>
      </w:r>
      <w:r>
        <w:rPr>
          <w:bCs/>
          <w:lang w:val="es-ES_tradnl"/>
        </w:rPr>
        <w:tab/>
      </w:r>
      <w:r>
        <w:rPr>
          <w:bCs/>
          <w:lang w:val="es-ES_tradnl"/>
        </w:rPr>
        <w:tab/>
        <w:t>4</w:t>
      </w:r>
      <w:r>
        <w:rPr>
          <w:bCs/>
          <w:lang w:val="es-ES_tradnl"/>
        </w:rPr>
        <w:tab/>
      </w:r>
      <w:r>
        <w:rPr>
          <w:b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C.</w:t>
      </w:r>
      <w:r>
        <w:rPr>
          <w:bCs/>
          <w:lang w:val="es-ES_tradnl"/>
        </w:rPr>
        <w:tab/>
        <w:t>Características étnicas de la población autóctona</w:t>
      </w:r>
      <w:r>
        <w:rPr>
          <w:bCs/>
          <w:lang w:val="es-ES_tradnl"/>
        </w:rPr>
        <w:tab/>
      </w:r>
      <w:r>
        <w:rPr>
          <w:bCs/>
          <w:lang w:val="es-ES_tradnl"/>
        </w:rPr>
        <w:tab/>
        <w:t>5</w:t>
      </w:r>
      <w:r>
        <w:rPr>
          <w:bCs/>
          <w:lang w:val="es-ES_tradnl"/>
        </w:rPr>
        <w:tab/>
        <w:t>-</w:t>
      </w:r>
      <w:r>
        <w:rPr>
          <w:bCs/>
          <w:lang w:val="es-ES_tradnl"/>
        </w:rPr>
        <w:tab/>
        <w:t>8</w:t>
      </w:r>
      <w:r>
        <w:rPr>
          <w:bCs/>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D.</w:t>
      </w:r>
      <w:r>
        <w:rPr>
          <w:bCs/>
          <w:lang w:val="es-ES_tradnl"/>
        </w:rPr>
        <w:tab/>
        <w:t>Características demográficas del país y de su población</w:t>
      </w:r>
      <w:r>
        <w:rPr>
          <w:bCs/>
          <w:lang w:val="es-ES_tradnl"/>
        </w:rPr>
        <w:tab/>
      </w:r>
      <w:r>
        <w:rPr>
          <w:bCs/>
          <w:lang w:val="es-ES_tradnl"/>
        </w:rPr>
        <w:tab/>
        <w:t>9</w:t>
      </w:r>
      <w:r>
        <w:rPr>
          <w:bCs/>
          <w:lang w:val="es-ES_tradnl"/>
        </w:rPr>
        <w:tab/>
        <w:t>-</w:t>
      </w:r>
      <w:r>
        <w:rPr>
          <w:bCs/>
          <w:lang w:val="es-ES_tradnl"/>
        </w:rPr>
        <w:tab/>
        <w:t>33</w:t>
      </w:r>
      <w:r>
        <w:rPr>
          <w:b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E.</w:t>
      </w:r>
      <w:r>
        <w:rPr>
          <w:bCs/>
          <w:lang w:val="es-ES_tradnl"/>
        </w:rPr>
        <w:tab/>
        <w:t>Indicadores socioeconómicos</w:t>
      </w:r>
      <w:r>
        <w:rPr>
          <w:bCs/>
          <w:lang w:val="es-ES_tradnl"/>
        </w:rPr>
        <w:tab/>
      </w:r>
      <w:r>
        <w:rPr>
          <w:bCs/>
          <w:lang w:val="es-ES_tradnl"/>
        </w:rPr>
        <w:tab/>
        <w:t>34</w:t>
      </w:r>
      <w:r>
        <w:rPr>
          <w:bCs/>
          <w:lang w:val="es-ES_tradnl"/>
        </w:rPr>
        <w:tab/>
        <w:t>-</w:t>
      </w:r>
      <w:r>
        <w:rPr>
          <w:bCs/>
          <w:lang w:val="es-ES_tradnl"/>
        </w:rPr>
        <w:tab/>
        <w:t>41</w:t>
      </w:r>
      <w:r>
        <w:rPr>
          <w:bCs/>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F.</w:t>
      </w:r>
      <w:r>
        <w:rPr>
          <w:bCs/>
          <w:lang w:val="es-ES_tradnl"/>
        </w:rPr>
        <w:tab/>
        <w:t>Indicadores culturales</w:t>
      </w:r>
      <w:r>
        <w:rPr>
          <w:bCs/>
          <w:lang w:val="es-ES_tradnl"/>
        </w:rPr>
        <w:tab/>
      </w:r>
      <w:r>
        <w:rPr>
          <w:bCs/>
          <w:lang w:val="es-ES_tradnl"/>
        </w:rPr>
        <w:tab/>
        <w:t>42</w:t>
      </w:r>
      <w:r>
        <w:rPr>
          <w:bCs/>
          <w:lang w:val="es-ES_tradnl"/>
        </w:rPr>
        <w:tab/>
        <w:t>-</w:t>
      </w:r>
      <w:r>
        <w:rPr>
          <w:bCs/>
          <w:lang w:val="es-ES_tradnl"/>
        </w:rPr>
        <w:tab/>
        <w:t>49</w:t>
      </w:r>
      <w:r>
        <w:rPr>
          <w:bCs/>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t>II.</w:t>
      </w:r>
      <w:r>
        <w:rPr>
          <w:bCs/>
          <w:lang w:val="es-ES_tradnl"/>
        </w:rPr>
        <w:tab/>
        <w:t>SÍNTESIS DE LA COYUNTURA POLÍTICA Y SOCIAL DEL</w:t>
      </w:r>
      <w:r>
        <w:rPr>
          <w:bCs/>
          <w:lang w:val="es-ES_tradnl"/>
        </w:rPr>
        <w:br/>
      </w:r>
      <w:r>
        <w:rPr>
          <w:bCs/>
          <w:lang w:val="es-ES_tradnl"/>
        </w:rPr>
        <w:tab/>
      </w:r>
      <w:r>
        <w:rPr>
          <w:bCs/>
          <w:lang w:val="es-ES_tradnl"/>
        </w:rPr>
        <w:tab/>
        <w:t>PARAGUAY</w:t>
      </w:r>
      <w:r>
        <w:rPr>
          <w:bCs/>
          <w:lang w:val="es-ES_tradnl"/>
        </w:rPr>
        <w:tab/>
      </w:r>
      <w:r>
        <w:rPr>
          <w:bCs/>
          <w:lang w:val="es-ES_tradnl"/>
        </w:rPr>
        <w:tab/>
        <w:t>50</w:t>
      </w:r>
      <w:r>
        <w:rPr>
          <w:bCs/>
          <w:lang w:val="es-ES_tradnl"/>
        </w:rPr>
        <w:tab/>
        <w:t>-</w:t>
      </w:r>
      <w:r>
        <w:rPr>
          <w:bCs/>
          <w:lang w:val="es-ES_tradnl"/>
        </w:rPr>
        <w:tab/>
        <w:t>103</w:t>
      </w:r>
      <w:r>
        <w:rPr>
          <w:bCs/>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A.</w:t>
      </w:r>
      <w:r>
        <w:rPr>
          <w:bCs/>
          <w:lang w:val="es-ES_tradnl"/>
        </w:rPr>
        <w:tab/>
        <w:t>Evolución de la situación política</w:t>
      </w:r>
      <w:r>
        <w:rPr>
          <w:bCs/>
          <w:lang w:val="es-ES_tradnl"/>
        </w:rPr>
        <w:tab/>
      </w:r>
      <w:r>
        <w:rPr>
          <w:bCs/>
          <w:lang w:val="es-ES_tradnl"/>
        </w:rPr>
        <w:tab/>
        <w:t>50</w:t>
      </w:r>
      <w:r>
        <w:rPr>
          <w:bCs/>
          <w:lang w:val="es-ES_tradnl"/>
        </w:rPr>
        <w:tab/>
        <w:t>-</w:t>
      </w:r>
      <w:r>
        <w:rPr>
          <w:bCs/>
          <w:lang w:val="es-ES_tradnl"/>
        </w:rPr>
        <w:tab/>
        <w:t>61</w:t>
      </w:r>
      <w:r>
        <w:rPr>
          <w:bCs/>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B.</w:t>
      </w:r>
      <w:r>
        <w:rPr>
          <w:bCs/>
          <w:lang w:val="es-ES_tradnl"/>
        </w:rPr>
        <w:tab/>
        <w:t>Gobernabilidad y debilidades institucionales</w:t>
      </w:r>
      <w:r>
        <w:rPr>
          <w:bCs/>
          <w:lang w:val="es-ES_tradnl"/>
        </w:rPr>
        <w:tab/>
      </w:r>
      <w:r>
        <w:rPr>
          <w:bCs/>
          <w:lang w:val="es-ES_tradnl"/>
        </w:rPr>
        <w:tab/>
        <w:t>62</w:t>
      </w:r>
      <w:r>
        <w:rPr>
          <w:bCs/>
          <w:lang w:val="es-ES_tradnl"/>
        </w:rPr>
        <w:tab/>
        <w:t>-</w:t>
      </w:r>
      <w:r>
        <w:rPr>
          <w:bCs/>
          <w:lang w:val="es-ES_tradnl"/>
        </w:rPr>
        <w:tab/>
        <w:t>65</w:t>
      </w:r>
      <w:r>
        <w:rPr>
          <w:bCs/>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C.</w:t>
      </w:r>
      <w:r>
        <w:rPr>
          <w:bCs/>
          <w:lang w:val="es-ES_tradnl"/>
        </w:rPr>
        <w:tab/>
        <w:t>Desempeño económico</w:t>
      </w:r>
      <w:r>
        <w:rPr>
          <w:bCs/>
          <w:lang w:val="es-ES_tradnl"/>
        </w:rPr>
        <w:tab/>
      </w:r>
      <w:r>
        <w:rPr>
          <w:bCs/>
          <w:lang w:val="es-ES_tradnl"/>
        </w:rPr>
        <w:tab/>
        <w:t>66</w:t>
      </w:r>
      <w:r>
        <w:rPr>
          <w:bCs/>
          <w:lang w:val="es-ES_tradnl"/>
        </w:rPr>
        <w:tab/>
        <w:t>-</w:t>
      </w:r>
      <w:r>
        <w:rPr>
          <w:bCs/>
          <w:lang w:val="es-ES_tradnl"/>
        </w:rPr>
        <w:tab/>
        <w:t>84</w:t>
      </w:r>
      <w:r>
        <w:rPr>
          <w:bCs/>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D.</w:t>
      </w:r>
      <w:r>
        <w:rPr>
          <w:bCs/>
          <w:lang w:val="es-ES_tradnl"/>
        </w:rPr>
        <w:tab/>
        <w:t>Desafíos del desarrollo paraguayo</w:t>
      </w:r>
      <w:r>
        <w:rPr>
          <w:bCs/>
          <w:lang w:val="es-ES_tradnl"/>
        </w:rPr>
        <w:tab/>
      </w:r>
      <w:r>
        <w:rPr>
          <w:bCs/>
          <w:lang w:val="es-ES_tradnl"/>
        </w:rPr>
        <w:tab/>
        <w:t>85</w:t>
      </w:r>
      <w:r>
        <w:rPr>
          <w:bCs/>
          <w:lang w:val="es-ES_tradnl"/>
        </w:rPr>
        <w:tab/>
        <w:t>-</w:t>
      </w:r>
      <w:r>
        <w:rPr>
          <w:bCs/>
          <w:lang w:val="es-ES_tradnl"/>
        </w:rPr>
        <w:tab/>
        <w:t>96</w:t>
      </w:r>
      <w:r>
        <w:rPr>
          <w:bCs/>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E.</w:t>
      </w:r>
      <w:r>
        <w:rPr>
          <w:bCs/>
          <w:lang w:val="es-ES_tradnl"/>
        </w:rPr>
        <w:tab/>
        <w:t>Estrategia de desarrollo del Gobierno</w:t>
      </w:r>
      <w:r>
        <w:rPr>
          <w:bCs/>
          <w:lang w:val="es-ES_tradnl"/>
        </w:rPr>
        <w:tab/>
      </w:r>
      <w:r>
        <w:rPr>
          <w:bCs/>
          <w:lang w:val="es-ES_tradnl"/>
        </w:rPr>
        <w:tab/>
        <w:t>97</w:t>
      </w:r>
      <w:r>
        <w:rPr>
          <w:bCs/>
          <w:lang w:val="es-ES_tradnl"/>
        </w:rPr>
        <w:tab/>
        <w:t>-</w:t>
      </w:r>
      <w:r>
        <w:rPr>
          <w:bCs/>
          <w:lang w:val="es-ES_tradnl"/>
        </w:rPr>
        <w:tab/>
        <w:t>103</w:t>
      </w:r>
      <w:r>
        <w:rPr>
          <w:b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t>III.</w:t>
      </w:r>
      <w:r>
        <w:rPr>
          <w:bCs/>
          <w:lang w:val="es-ES_tradnl"/>
        </w:rPr>
        <w:tab/>
        <w:t>INFORME DE LA DEFENSORÍA DEL PUEBLO</w:t>
      </w:r>
      <w:r>
        <w:rPr>
          <w:bCs/>
          <w:lang w:val="es-ES_tradnl"/>
        </w:rPr>
        <w:tab/>
      </w:r>
      <w:r>
        <w:rPr>
          <w:bCs/>
          <w:lang w:val="es-ES_tradnl"/>
        </w:rPr>
        <w:tab/>
        <w:t>104</w:t>
      </w:r>
      <w:r>
        <w:rPr>
          <w:bCs/>
          <w:lang w:val="es-ES_tradnl"/>
        </w:rPr>
        <w:tab/>
        <w:t>-</w:t>
      </w:r>
      <w:r>
        <w:rPr>
          <w:bCs/>
          <w:lang w:val="es-ES_tradnl"/>
        </w:rPr>
        <w:tab/>
        <w:t>114</w:t>
      </w:r>
      <w:r>
        <w:rPr>
          <w:bCs/>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A.</w:t>
      </w:r>
      <w:r>
        <w:rPr>
          <w:bCs/>
          <w:lang w:val="es-ES_tradnl"/>
        </w:rPr>
        <w:tab/>
        <w:t>Fortalecimiento de las políticas públicas de género</w:t>
      </w:r>
      <w:r>
        <w:rPr>
          <w:bCs/>
          <w:lang w:val="es-ES_tradnl"/>
        </w:rPr>
        <w:tab/>
      </w:r>
      <w:r>
        <w:rPr>
          <w:bCs/>
          <w:lang w:val="es-ES_tradnl"/>
        </w:rPr>
        <w:tab/>
        <w:t>105</w:t>
      </w:r>
      <w:r>
        <w:rPr>
          <w:bCs/>
          <w:lang w:val="es-ES_tradnl"/>
        </w:rPr>
        <w:tab/>
        <w:t>-</w:t>
      </w:r>
      <w:r>
        <w:rPr>
          <w:bCs/>
          <w:lang w:val="es-ES_tradnl"/>
        </w:rPr>
        <w:tab/>
        <w:t>109</w:t>
      </w:r>
      <w:r>
        <w:rPr>
          <w:bCs/>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B.</w:t>
      </w:r>
      <w:r>
        <w:rPr>
          <w:bCs/>
          <w:lang w:val="es-ES_tradnl"/>
        </w:rPr>
        <w:tab/>
        <w:t xml:space="preserve">Establecimiento de políticas públicas generacionales:  </w:t>
      </w:r>
      <w:r>
        <w:rPr>
          <w:bCs/>
          <w:lang w:val="es-ES_tradnl"/>
        </w:rPr>
        <w:br/>
      </w:r>
      <w:r>
        <w:rPr>
          <w:bCs/>
          <w:lang w:val="es-ES_tradnl"/>
        </w:rPr>
        <w:tab/>
      </w:r>
      <w:r>
        <w:rPr>
          <w:bCs/>
          <w:lang w:val="es-ES_tradnl"/>
        </w:rPr>
        <w:tab/>
      </w:r>
      <w:r>
        <w:rPr>
          <w:bCs/>
          <w:lang w:val="es-ES_tradnl"/>
        </w:rPr>
        <w:tab/>
        <w:t>infancia, juventud y tercera edad</w:t>
      </w:r>
      <w:r>
        <w:rPr>
          <w:bCs/>
          <w:lang w:val="es-ES_tradnl"/>
        </w:rPr>
        <w:tab/>
      </w:r>
      <w:r>
        <w:rPr>
          <w:bCs/>
          <w:lang w:val="es-ES_tradnl"/>
        </w:rPr>
        <w:tab/>
      </w:r>
      <w:r>
        <w:rPr>
          <w:bCs/>
          <w:lang w:val="es-ES_tradnl"/>
        </w:rPr>
        <w:tab/>
        <w:t>110</w:t>
      </w:r>
      <w:r>
        <w:rPr>
          <w:bCs/>
          <w:lang w:val="es-ES_tradnl"/>
        </w:rPr>
        <w:tab/>
      </w:r>
      <w:r>
        <w:rPr>
          <w:bCs/>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C.</w:t>
      </w:r>
      <w:r>
        <w:rPr>
          <w:bCs/>
          <w:lang w:val="es-ES_tradnl"/>
        </w:rPr>
        <w:tab/>
        <w:t>Políticas laborales y de empleo igualitarias</w:t>
      </w:r>
      <w:r>
        <w:rPr>
          <w:bCs/>
          <w:lang w:val="es-ES_tradnl"/>
        </w:rPr>
        <w:tab/>
      </w:r>
      <w:r>
        <w:rPr>
          <w:bCs/>
          <w:lang w:val="es-ES_tradnl"/>
        </w:rPr>
        <w:tab/>
      </w:r>
      <w:r>
        <w:rPr>
          <w:bCs/>
          <w:lang w:val="es-ES_tradnl"/>
        </w:rPr>
        <w:tab/>
        <w:t>111</w:t>
      </w:r>
      <w:r>
        <w:rPr>
          <w:bCs/>
          <w:lang w:val="es-ES_tradnl"/>
        </w:rPr>
        <w:tab/>
      </w:r>
      <w:r>
        <w:rPr>
          <w:bCs/>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D.</w:t>
      </w:r>
      <w:r>
        <w:rPr>
          <w:bCs/>
          <w:lang w:val="es-ES_tradnl"/>
        </w:rPr>
        <w:tab/>
        <w:t xml:space="preserve">Reorientación y reactivación de la economía, superación de </w:t>
      </w:r>
      <w:r>
        <w:rPr>
          <w:bCs/>
          <w:lang w:val="es-ES_tradnl"/>
        </w:rPr>
        <w:br/>
      </w:r>
      <w:r>
        <w:rPr>
          <w:bCs/>
          <w:lang w:val="es-ES_tradnl"/>
        </w:rPr>
        <w:tab/>
      </w:r>
      <w:r>
        <w:rPr>
          <w:bCs/>
          <w:lang w:val="es-ES_tradnl"/>
        </w:rPr>
        <w:tab/>
      </w:r>
      <w:r>
        <w:rPr>
          <w:bCs/>
          <w:lang w:val="es-ES_tradnl"/>
        </w:rPr>
        <w:tab/>
        <w:t xml:space="preserve">la pobreza, integración y desarrollo humano sostenible con </w:t>
      </w:r>
      <w:r>
        <w:rPr>
          <w:bCs/>
          <w:lang w:val="es-ES_tradnl"/>
        </w:rPr>
        <w:br/>
      </w:r>
      <w:r>
        <w:rPr>
          <w:bCs/>
          <w:lang w:val="es-ES_tradnl"/>
        </w:rPr>
        <w:tab/>
      </w:r>
      <w:r>
        <w:rPr>
          <w:bCs/>
          <w:lang w:val="es-ES_tradnl"/>
        </w:rPr>
        <w:tab/>
      </w:r>
      <w:r>
        <w:rPr>
          <w:bCs/>
          <w:lang w:val="es-ES_tradnl"/>
        </w:rPr>
        <w:tab/>
        <w:t>plena inclusión de las mujeres</w:t>
      </w:r>
      <w:r>
        <w:rPr>
          <w:bCs/>
          <w:lang w:val="es-ES_tradnl"/>
        </w:rPr>
        <w:tab/>
      </w:r>
      <w:r>
        <w:rPr>
          <w:bCs/>
          <w:lang w:val="es-ES_tradnl"/>
        </w:rPr>
        <w:tab/>
        <w:t>112</w:t>
      </w:r>
      <w:r>
        <w:rPr>
          <w:bCs/>
          <w:lang w:val="es-ES_tradnl"/>
        </w:rPr>
        <w:tab/>
        <w:t>-</w:t>
      </w:r>
      <w:r>
        <w:rPr>
          <w:bCs/>
          <w:lang w:val="es-ES_tradnl"/>
        </w:rPr>
        <w:tab/>
        <w:t>113</w:t>
      </w:r>
      <w:r>
        <w:rPr>
          <w:bCs/>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r>
      <w:r>
        <w:rPr>
          <w:bCs/>
          <w:lang w:val="es-ES_tradnl"/>
        </w:rPr>
        <w:tab/>
        <w:t>E.</w:t>
      </w:r>
      <w:r>
        <w:rPr>
          <w:bCs/>
          <w:lang w:val="es-ES_tradnl"/>
        </w:rPr>
        <w:tab/>
        <w:t>Impulso del acceso de mujeres al poder a fin de conseguir</w:t>
      </w:r>
      <w:r>
        <w:rPr>
          <w:bCs/>
          <w:lang w:val="es-ES_tradnl"/>
        </w:rPr>
        <w:br/>
      </w:r>
      <w:r>
        <w:rPr>
          <w:bCs/>
          <w:lang w:val="es-ES_tradnl"/>
        </w:rPr>
        <w:tab/>
      </w:r>
      <w:r>
        <w:rPr>
          <w:bCs/>
          <w:lang w:val="es-ES_tradnl"/>
        </w:rPr>
        <w:tab/>
      </w:r>
      <w:r>
        <w:rPr>
          <w:bCs/>
          <w:lang w:val="es-ES_tradnl"/>
        </w:rPr>
        <w:tab/>
        <w:t>la igualdad laboral</w:t>
      </w:r>
      <w:r>
        <w:rPr>
          <w:bCs/>
          <w:lang w:val="es-ES_tradnl"/>
        </w:rPr>
        <w:tab/>
      </w:r>
      <w:r>
        <w:rPr>
          <w:bCs/>
          <w:lang w:val="es-ES_tradnl"/>
        </w:rPr>
        <w:tab/>
      </w:r>
      <w:r>
        <w:rPr>
          <w:bCs/>
          <w:lang w:val="es-ES_tradnl"/>
        </w:rPr>
        <w:tab/>
        <w:t>114</w:t>
      </w:r>
      <w:r>
        <w:rPr>
          <w:bCs/>
          <w:lang w:val="es-ES_tradnl"/>
        </w:rPr>
        <w:tab/>
      </w:r>
      <w:r>
        <w:rPr>
          <w:bCs/>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es-ES_tradnl"/>
        </w:rPr>
      </w:pPr>
      <w:r>
        <w:rPr>
          <w:bCs/>
          <w:lang w:val="es-ES_tradnl"/>
        </w:rPr>
        <w:tab/>
        <w:t>IV.</w:t>
      </w:r>
      <w:r>
        <w:rPr>
          <w:bCs/>
          <w:lang w:val="es-ES_tradnl"/>
        </w:rPr>
        <w:tab/>
        <w:t>MARCO NORMATIVO DE PROTECCIÓN A LOS</w:t>
      </w:r>
      <w:r>
        <w:rPr>
          <w:bCs/>
          <w:lang w:val="es-ES_tradnl"/>
        </w:rPr>
        <w:br/>
      </w:r>
      <w:r>
        <w:rPr>
          <w:bCs/>
          <w:lang w:val="es-ES_tradnl"/>
        </w:rPr>
        <w:tab/>
      </w:r>
      <w:r>
        <w:rPr>
          <w:bCs/>
          <w:lang w:val="es-ES_tradnl"/>
        </w:rPr>
        <w:tab/>
        <w:t>DERECHOS HUMANOS</w:t>
      </w:r>
      <w:r>
        <w:rPr>
          <w:bCs/>
          <w:lang w:val="es-ES_tradnl"/>
        </w:rPr>
        <w:tab/>
      </w:r>
      <w:r>
        <w:rPr>
          <w:bCs/>
          <w:lang w:val="es-ES_tradnl"/>
        </w:rPr>
        <w:tab/>
      </w:r>
      <w:r>
        <w:rPr>
          <w:bCs/>
          <w:lang w:val="es-ES_tradnl"/>
        </w:rPr>
        <w:tab/>
        <w:t>115</w:t>
      </w:r>
      <w:r>
        <w:rPr>
          <w:bCs/>
          <w:lang w:val="es-ES_tradnl"/>
        </w:rPr>
        <w:tab/>
      </w:r>
      <w:r>
        <w:rPr>
          <w:bCs/>
          <w:lang w:val="es-ES_tradnl"/>
        </w:rPr>
        <w:tab/>
        <w:t>40</w:t>
      </w:r>
    </w:p>
    <w:p w:rsidR="00000000" w:rsidRDefault="00000000">
      <w:pPr>
        <w:tabs>
          <w:tab w:val="left" w:pos="6240"/>
        </w:tabs>
        <w:spacing w:after="220"/>
        <w:ind w:right="48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tabs>
          <w:tab w:val="left" w:pos="6240"/>
        </w:tabs>
        <w:spacing w:after="220"/>
        <w:ind w:right="-5"/>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spacing w:val="-4"/>
          <w:lang w:val="es-ES_tradnl"/>
        </w:rPr>
        <w:tab/>
        <w:t>V.</w:t>
      </w:r>
      <w:r>
        <w:rPr>
          <w:bCs/>
          <w:spacing w:val="-4"/>
          <w:lang w:val="es-ES_tradnl"/>
        </w:rPr>
        <w:tab/>
        <w:t>SEGUNDA PARTE:  RESPUESTA AL CUESTIONARIO SOBRE</w:t>
      </w:r>
      <w:r>
        <w:rPr>
          <w:bCs/>
          <w:lang w:val="es-ES_tradnl"/>
        </w:rPr>
        <w:br/>
      </w:r>
      <w:r>
        <w:rPr>
          <w:bCs/>
          <w:lang w:val="es-ES_tradnl"/>
        </w:rPr>
        <w:tab/>
      </w:r>
      <w:r>
        <w:rPr>
          <w:bCs/>
          <w:lang w:val="es-ES_tradnl"/>
        </w:rPr>
        <w:tab/>
        <w:t>DERECHOS ECONÓMICOS, SOCIALES Y CULTURALES</w:t>
      </w:r>
      <w:r>
        <w:rPr>
          <w:bCs/>
          <w:lang w:val="es-ES_tradnl"/>
        </w:rPr>
        <w:tab/>
      </w:r>
      <w:r>
        <w:rPr>
          <w:bCs/>
          <w:lang w:val="es-ES_tradnl"/>
        </w:rPr>
        <w:tab/>
        <w:t>116</w:t>
      </w:r>
      <w:r>
        <w:rPr>
          <w:bCs/>
          <w:lang w:val="es-ES_tradnl"/>
        </w:rPr>
        <w:tab/>
        <w:t>-</w:t>
      </w:r>
      <w:r>
        <w:rPr>
          <w:bCs/>
          <w:lang w:val="es-ES_tradnl"/>
        </w:rPr>
        <w:tab/>
        <w:t>638</w:t>
      </w:r>
      <w:r>
        <w:rPr>
          <w:bCs/>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1</w:t>
      </w:r>
      <w:r>
        <w:rPr>
          <w:bCs/>
          <w:lang w:val="es-ES_tradnl"/>
        </w:rPr>
        <w:tab/>
      </w:r>
      <w:r>
        <w:rPr>
          <w:bCs/>
          <w:lang w:val="es-ES_tradnl"/>
        </w:rPr>
        <w:tab/>
        <w:t>116</w:t>
      </w:r>
      <w:r>
        <w:rPr>
          <w:bCs/>
          <w:lang w:val="es-ES_tradnl"/>
        </w:rPr>
        <w:tab/>
        <w:t>-</w:t>
      </w:r>
      <w:r>
        <w:rPr>
          <w:bCs/>
          <w:lang w:val="es-ES_tradnl"/>
        </w:rPr>
        <w:tab/>
        <w:t>127</w:t>
      </w:r>
      <w:r>
        <w:rPr>
          <w:bCs/>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2</w:t>
      </w:r>
      <w:r>
        <w:rPr>
          <w:bCs/>
          <w:lang w:val="es-ES_tradnl"/>
        </w:rPr>
        <w:tab/>
      </w:r>
      <w:r>
        <w:rPr>
          <w:bCs/>
          <w:lang w:val="es-ES_tradnl"/>
        </w:rPr>
        <w:tab/>
        <w:t>128</w:t>
      </w:r>
      <w:r>
        <w:rPr>
          <w:bCs/>
          <w:lang w:val="es-ES_tradnl"/>
        </w:rPr>
        <w:tab/>
        <w:t>-</w:t>
      </w:r>
      <w:r>
        <w:rPr>
          <w:bCs/>
          <w:lang w:val="es-ES_tradnl"/>
        </w:rPr>
        <w:tab/>
        <w:t>133</w:t>
      </w:r>
      <w:r>
        <w:rPr>
          <w:bCs/>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3</w:t>
      </w:r>
      <w:r>
        <w:rPr>
          <w:bCs/>
          <w:lang w:val="es-ES_tradnl"/>
        </w:rPr>
        <w:tab/>
      </w:r>
      <w:r>
        <w:rPr>
          <w:bCs/>
          <w:lang w:val="es-ES_tradnl"/>
        </w:rPr>
        <w:tab/>
        <w:t>134</w:t>
      </w:r>
      <w:r>
        <w:rPr>
          <w:bCs/>
          <w:lang w:val="es-ES_tradnl"/>
        </w:rPr>
        <w:tab/>
        <w:t>-</w:t>
      </w:r>
      <w:r>
        <w:rPr>
          <w:bCs/>
          <w:lang w:val="es-ES_tradnl"/>
        </w:rPr>
        <w:tab/>
        <w:t>159</w:t>
      </w:r>
      <w:r>
        <w:rPr>
          <w:bCs/>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Artículos 4 a 6</w:t>
      </w:r>
      <w:r>
        <w:rPr>
          <w:bCs/>
          <w:lang w:val="es-ES_tradnl"/>
        </w:rPr>
        <w:tab/>
      </w:r>
      <w:r>
        <w:rPr>
          <w:bCs/>
          <w:lang w:val="es-ES_tradnl"/>
        </w:rPr>
        <w:tab/>
        <w:t>160</w:t>
      </w:r>
      <w:r>
        <w:rPr>
          <w:bCs/>
          <w:lang w:val="es-ES_tradnl"/>
        </w:rPr>
        <w:tab/>
        <w:t>-</w:t>
      </w:r>
      <w:r>
        <w:rPr>
          <w:bCs/>
          <w:lang w:val="es-ES_tradnl"/>
        </w:rPr>
        <w:tab/>
        <w:t>193</w:t>
      </w:r>
      <w:r>
        <w:rPr>
          <w:bCs/>
          <w:lang w:val="es-ES_tradnl"/>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7</w:t>
      </w:r>
      <w:r>
        <w:rPr>
          <w:bCs/>
          <w:lang w:val="es-ES_tradnl"/>
        </w:rPr>
        <w:tab/>
      </w:r>
      <w:r>
        <w:rPr>
          <w:bCs/>
          <w:lang w:val="es-ES_tradnl"/>
        </w:rPr>
        <w:tab/>
        <w:t>194</w:t>
      </w:r>
      <w:r>
        <w:rPr>
          <w:bCs/>
          <w:lang w:val="es-ES_tradnl"/>
        </w:rPr>
        <w:tab/>
        <w:t>-</w:t>
      </w:r>
      <w:r>
        <w:rPr>
          <w:bCs/>
          <w:lang w:val="es-ES_tradnl"/>
        </w:rPr>
        <w:tab/>
        <w:t>240</w:t>
      </w:r>
      <w:r>
        <w:rPr>
          <w:bCs/>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8</w:t>
      </w:r>
      <w:r>
        <w:rPr>
          <w:bCs/>
          <w:lang w:val="es-ES_tradnl"/>
        </w:rPr>
        <w:tab/>
      </w:r>
      <w:r>
        <w:rPr>
          <w:bCs/>
          <w:lang w:val="es-ES_tradnl"/>
        </w:rPr>
        <w:tab/>
        <w:t>241</w:t>
      </w:r>
      <w:r>
        <w:rPr>
          <w:bCs/>
          <w:lang w:val="es-ES_tradnl"/>
        </w:rPr>
        <w:tab/>
        <w:t>-</w:t>
      </w:r>
      <w:r>
        <w:rPr>
          <w:bCs/>
          <w:lang w:val="es-ES_tradnl"/>
        </w:rPr>
        <w:tab/>
        <w:t>246</w:t>
      </w:r>
      <w:r>
        <w:rPr>
          <w:bCs/>
          <w:lang w:val="es-ES_tradnl"/>
        </w:rPr>
        <w:tab/>
        <w:t>82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9</w:t>
      </w:r>
      <w:r>
        <w:rPr>
          <w:bCs/>
          <w:lang w:val="es-ES_tradnl"/>
        </w:rPr>
        <w:tab/>
      </w:r>
      <w:r>
        <w:rPr>
          <w:bCs/>
          <w:lang w:val="es-ES_tradnl"/>
        </w:rPr>
        <w:tab/>
        <w:t>247</w:t>
      </w:r>
      <w:r>
        <w:rPr>
          <w:bCs/>
          <w:lang w:val="es-ES_tradnl"/>
        </w:rPr>
        <w:tab/>
        <w:t>-</w:t>
      </w:r>
      <w:r>
        <w:rPr>
          <w:bCs/>
          <w:lang w:val="es-ES_tradnl"/>
        </w:rPr>
        <w:tab/>
        <w:t>278</w:t>
      </w:r>
      <w:r>
        <w:rPr>
          <w:bCs/>
          <w:lang w:val="es-ES_tradnl"/>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10</w:t>
      </w:r>
      <w:r>
        <w:rPr>
          <w:bCs/>
          <w:lang w:val="es-ES_tradnl"/>
        </w:rPr>
        <w:tab/>
      </w:r>
      <w:r>
        <w:rPr>
          <w:bCs/>
          <w:lang w:val="es-ES_tradnl"/>
        </w:rPr>
        <w:tab/>
        <w:t>279</w:t>
      </w:r>
      <w:r>
        <w:rPr>
          <w:bCs/>
          <w:lang w:val="es-ES_tradnl"/>
        </w:rPr>
        <w:tab/>
        <w:t>-</w:t>
      </w:r>
      <w:r>
        <w:rPr>
          <w:bCs/>
          <w:lang w:val="es-ES_tradnl"/>
        </w:rPr>
        <w:tab/>
        <w:t>379</w:t>
      </w:r>
      <w:r>
        <w:rPr>
          <w:bCs/>
          <w:lang w:val="es-ES_tradnl"/>
        </w:rP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11</w:t>
      </w:r>
      <w:r>
        <w:rPr>
          <w:bCs/>
          <w:lang w:val="es-ES_tradnl"/>
        </w:rPr>
        <w:tab/>
      </w:r>
      <w:r>
        <w:rPr>
          <w:bCs/>
          <w:lang w:val="es-ES_tradnl"/>
        </w:rPr>
        <w:tab/>
        <w:t>380</w:t>
      </w:r>
      <w:r>
        <w:rPr>
          <w:bCs/>
          <w:lang w:val="es-ES_tradnl"/>
        </w:rPr>
        <w:tab/>
        <w:t>-</w:t>
      </w:r>
      <w:r>
        <w:rPr>
          <w:bCs/>
          <w:lang w:val="es-ES_tradnl"/>
        </w:rPr>
        <w:tab/>
        <w:t>454</w:t>
      </w:r>
      <w:r>
        <w:rPr>
          <w:bCs/>
          <w:lang w:val="es-ES_tradnl"/>
        </w:rPr>
        <w:tab/>
        <w:t>122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12</w:t>
      </w:r>
      <w:r>
        <w:rPr>
          <w:bCs/>
          <w:lang w:val="es-ES_tradnl"/>
        </w:rPr>
        <w:tab/>
      </w:r>
      <w:r>
        <w:rPr>
          <w:bCs/>
          <w:lang w:val="es-ES_tradnl"/>
        </w:rPr>
        <w:tab/>
        <w:t>455</w:t>
      </w:r>
      <w:r>
        <w:rPr>
          <w:bCs/>
          <w:lang w:val="es-ES_tradnl"/>
        </w:rPr>
        <w:tab/>
        <w:t>-</w:t>
      </w:r>
      <w:r>
        <w:rPr>
          <w:bCs/>
          <w:lang w:val="es-ES_tradnl"/>
        </w:rPr>
        <w:tab/>
        <w:t>552</w:t>
      </w:r>
      <w:r>
        <w:rPr>
          <w:bCs/>
          <w:lang w:val="es-ES_tradnl"/>
        </w:rPr>
        <w:tab/>
        <w:t>155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13</w:t>
      </w:r>
      <w:r>
        <w:rPr>
          <w:bCs/>
          <w:lang w:val="es-ES_tradnl"/>
        </w:rPr>
        <w:tab/>
      </w:r>
      <w:r>
        <w:rPr>
          <w:bCs/>
          <w:lang w:val="es-ES_tradnl"/>
        </w:rPr>
        <w:tab/>
        <w:t>553</w:t>
      </w:r>
      <w:r>
        <w:rPr>
          <w:bCs/>
          <w:lang w:val="es-ES_tradnl"/>
        </w:rPr>
        <w:tab/>
        <w:t>-</w:t>
      </w:r>
      <w:r>
        <w:rPr>
          <w:bCs/>
          <w:lang w:val="es-ES_tradnl"/>
        </w:rPr>
        <w:tab/>
        <w:t>610</w:t>
      </w:r>
      <w:r>
        <w:rPr>
          <w:bCs/>
          <w:lang w:val="es-ES_tradnl"/>
        </w:rPr>
        <w:tab/>
        <w:t>181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14</w:t>
      </w:r>
      <w:r>
        <w:rPr>
          <w:bCs/>
          <w:lang w:val="es-ES_tradnl"/>
        </w:rPr>
        <w:tab/>
      </w:r>
      <w:r>
        <w:rPr>
          <w:bCs/>
          <w:lang w:val="es-ES_tradnl"/>
        </w:rPr>
        <w:tab/>
        <w:t>611</w:t>
      </w:r>
      <w:r>
        <w:rPr>
          <w:bCs/>
          <w:lang w:val="es-ES_tradnl"/>
        </w:rPr>
        <w:tab/>
        <w:t>-</w:t>
      </w:r>
      <w:r>
        <w:rPr>
          <w:bCs/>
          <w:lang w:val="es-ES_tradnl"/>
        </w:rPr>
        <w:tab/>
        <w:t>613</w:t>
      </w:r>
      <w:r>
        <w:rPr>
          <w:bCs/>
          <w:lang w:val="es-ES_tradnl"/>
        </w:rPr>
        <w:tab/>
        <w:t>197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es-ES_tradnl"/>
        </w:rPr>
      </w:pPr>
      <w:r>
        <w:rPr>
          <w:bCs/>
          <w:lang w:val="es-ES_tradnl"/>
        </w:rPr>
        <w:tab/>
      </w:r>
      <w:r>
        <w:rPr>
          <w:bCs/>
          <w:lang w:val="es-ES_tradnl"/>
        </w:rPr>
        <w:tab/>
        <w:t>Artículo 15</w:t>
      </w:r>
      <w:r>
        <w:rPr>
          <w:bCs/>
          <w:lang w:val="es-ES_tradnl"/>
        </w:rPr>
        <w:tab/>
      </w:r>
      <w:r>
        <w:rPr>
          <w:bCs/>
          <w:lang w:val="es-ES_tradnl"/>
        </w:rPr>
        <w:tab/>
        <w:t>614</w:t>
      </w:r>
      <w:r>
        <w:rPr>
          <w:bCs/>
          <w:lang w:val="es-ES_tradnl"/>
        </w:rPr>
        <w:tab/>
        <w:t>-</w:t>
      </w:r>
      <w:r>
        <w:rPr>
          <w:bCs/>
          <w:lang w:val="es-ES_tradnl"/>
        </w:rPr>
        <w:tab/>
        <w:t>638</w:t>
      </w:r>
      <w:r>
        <w:rPr>
          <w:bCs/>
          <w:lang w:val="es-ES_tradnl"/>
        </w:rPr>
        <w:tab/>
        <w:t>198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jc w:val="center"/>
        <w:rPr>
          <w:bCs/>
          <w:i/>
          <w:iCs/>
          <w:lang w:val="es-ES_tradnl"/>
        </w:rPr>
      </w:pPr>
      <w:r>
        <w:rPr>
          <w:bCs/>
          <w:i/>
          <w:iCs/>
          <w:lang w:val="es-ES_tradnl"/>
        </w:rPr>
        <w:t>Anexos</w:t>
      </w:r>
    </w:p>
    <w:p w:rsidR="00000000" w:rsidRDefault="00000000">
      <w:pPr>
        <w:tabs>
          <w:tab w:val="right" w:pos="567"/>
          <w:tab w:val="left" w:pos="850"/>
          <w:tab w:val="left" w:pos="1304"/>
          <w:tab w:val="left" w:pos="1701"/>
          <w:tab w:val="right" w:leader="dot" w:pos="8280"/>
          <w:tab w:val="right" w:pos="9099"/>
        </w:tabs>
        <w:spacing w:after="220"/>
        <w:ind w:right="480"/>
        <w:rPr>
          <w:bCs/>
          <w:lang w:val="es-ES_tradnl"/>
        </w:rPr>
      </w:pPr>
      <w:r>
        <w:rPr>
          <w:bCs/>
          <w:lang w:val="es-ES_tradnl"/>
        </w:rPr>
        <w:tab/>
        <w:t>I.</w:t>
      </w:r>
      <w:r>
        <w:rPr>
          <w:bCs/>
          <w:lang w:val="es-ES_tradnl"/>
        </w:rPr>
        <w:tab/>
        <w:t>Datos estadísticos sobre alfabetismo</w:t>
      </w:r>
      <w:r>
        <w:rPr>
          <w:bCs/>
          <w:lang w:val="es-ES_tradnl"/>
        </w:rPr>
        <w:tab/>
      </w:r>
      <w:r>
        <w:rPr>
          <w:bCs/>
          <w:lang w:val="es-ES_tradnl"/>
        </w:rPr>
        <w:tab/>
      </w:r>
    </w:p>
    <w:p w:rsidR="00000000" w:rsidRDefault="00000000">
      <w:pPr>
        <w:tabs>
          <w:tab w:val="right" w:pos="567"/>
          <w:tab w:val="left" w:pos="850"/>
          <w:tab w:val="left" w:pos="1304"/>
          <w:tab w:val="left" w:pos="1701"/>
          <w:tab w:val="right" w:leader="dot" w:pos="8280"/>
          <w:tab w:val="right" w:pos="9099"/>
        </w:tabs>
        <w:spacing w:after="220"/>
        <w:ind w:right="480"/>
        <w:rPr>
          <w:bCs/>
          <w:lang w:val="es-ES_tradnl"/>
        </w:rPr>
      </w:pPr>
      <w:r>
        <w:rPr>
          <w:bCs/>
          <w:lang w:val="es-ES_tradnl"/>
        </w:rPr>
        <w:tab/>
        <w:t>II.</w:t>
      </w:r>
      <w:r>
        <w:rPr>
          <w:bCs/>
          <w:lang w:val="es-ES_tradnl"/>
        </w:rPr>
        <w:tab/>
        <w:t>Marco Normativo de Protección de los Derechos Humanos</w:t>
      </w:r>
      <w:r>
        <w:rPr>
          <w:bCs/>
          <w:lang w:val="es-ES_tradnl"/>
        </w:rPr>
        <w:tab/>
      </w:r>
      <w:r>
        <w:rPr>
          <w:bCs/>
          <w:lang w:val="es-ES_tradnl"/>
        </w:rPr>
        <w:tab/>
      </w:r>
    </w:p>
    <w:p w:rsidR="00000000" w:rsidRDefault="00000000">
      <w:pPr>
        <w:tabs>
          <w:tab w:val="right" w:pos="567"/>
          <w:tab w:val="left" w:pos="850"/>
          <w:tab w:val="left" w:pos="1304"/>
          <w:tab w:val="left" w:pos="1701"/>
          <w:tab w:val="right" w:leader="dot" w:pos="8280"/>
          <w:tab w:val="right" w:pos="9099"/>
        </w:tabs>
        <w:spacing w:after="220"/>
        <w:ind w:right="480"/>
        <w:rPr>
          <w:bCs/>
          <w:lang w:val="es-ES_tradnl"/>
        </w:rPr>
      </w:pPr>
      <w:r>
        <w:rPr>
          <w:bCs/>
          <w:lang w:val="es-ES_tradnl"/>
        </w:rPr>
        <w:tab/>
        <w:t>III.</w:t>
      </w:r>
      <w:r>
        <w:rPr>
          <w:bCs/>
          <w:lang w:val="es-ES_tradnl"/>
        </w:rPr>
        <w:tab/>
        <w:t>Tierras adquiridas por el Instituto Paraguayo del Indígena (INDI) para el</w:t>
      </w:r>
      <w:r>
        <w:rPr>
          <w:bCs/>
          <w:lang w:val="es-ES_tradnl"/>
        </w:rPr>
        <w:br/>
      </w:r>
      <w:r>
        <w:rPr>
          <w:bCs/>
          <w:lang w:val="es-ES_tradnl"/>
        </w:rPr>
        <w:tab/>
      </w:r>
      <w:r>
        <w:rPr>
          <w:bCs/>
          <w:lang w:val="es-ES_tradnl"/>
        </w:rPr>
        <w:tab/>
        <w:t>asentamiento de comunidades indígenas</w:t>
      </w:r>
      <w:r>
        <w:rPr>
          <w:bCs/>
          <w:lang w:val="es-ES_tradnl"/>
        </w:rPr>
        <w:tab/>
      </w:r>
      <w:r>
        <w:rPr>
          <w:bCs/>
          <w:lang w:val="es-ES_tradnl"/>
        </w:rPr>
        <w:tab/>
      </w:r>
    </w:p>
    <w:p w:rsidR="00000000" w:rsidRDefault="00000000">
      <w:pPr>
        <w:tabs>
          <w:tab w:val="right" w:pos="567"/>
          <w:tab w:val="left" w:pos="850"/>
          <w:tab w:val="left" w:pos="1304"/>
          <w:tab w:val="left" w:pos="1701"/>
          <w:tab w:val="right" w:leader="dot" w:pos="8280"/>
          <w:tab w:val="right" w:pos="9099"/>
        </w:tabs>
        <w:spacing w:after="220"/>
        <w:ind w:right="480"/>
        <w:rPr>
          <w:bCs/>
          <w:lang w:val="es-ES_tradnl"/>
        </w:rPr>
      </w:pPr>
      <w:r>
        <w:rPr>
          <w:bCs/>
          <w:lang w:val="es-ES_tradnl"/>
        </w:rPr>
        <w:tab/>
        <w:t>IV.</w:t>
      </w:r>
      <w:r>
        <w:rPr>
          <w:bCs/>
          <w:lang w:val="es-ES_tradnl"/>
        </w:rPr>
        <w:tab/>
        <w:t>Actividades realizadas por el contingente paraguayo en misiones de las</w:t>
      </w:r>
      <w:r>
        <w:rPr>
          <w:bCs/>
          <w:lang w:val="es-ES_tradnl"/>
        </w:rPr>
        <w:br/>
      </w:r>
      <w:r>
        <w:rPr>
          <w:bCs/>
          <w:lang w:val="es-ES_tradnl"/>
        </w:rPr>
        <w:tab/>
      </w:r>
      <w:r>
        <w:rPr>
          <w:bCs/>
          <w:lang w:val="es-ES_tradnl"/>
        </w:rPr>
        <w:tab/>
        <w:t>Naciones Unidas</w:t>
      </w:r>
      <w:r>
        <w:rPr>
          <w:bCs/>
          <w:lang w:val="es-ES_tradnl"/>
        </w:rPr>
        <w:tab/>
      </w:r>
      <w:r>
        <w:rPr>
          <w:bCs/>
          <w:lang w:val="es-ES_tradnl"/>
        </w:rPr>
        <w:tab/>
      </w:r>
    </w:p>
    <w:p w:rsidR="00000000" w:rsidRDefault="00000000">
      <w:pPr>
        <w:tabs>
          <w:tab w:val="right" w:pos="567"/>
          <w:tab w:val="left" w:pos="850"/>
          <w:tab w:val="left" w:pos="1304"/>
          <w:tab w:val="left" w:pos="1701"/>
          <w:tab w:val="right" w:leader="dot" w:pos="8280"/>
          <w:tab w:val="right" w:pos="9099"/>
        </w:tabs>
        <w:spacing w:after="220"/>
        <w:ind w:right="480"/>
        <w:rPr>
          <w:bCs/>
          <w:lang w:val="es-ES_tradnl"/>
        </w:rPr>
      </w:pPr>
      <w:r>
        <w:rPr>
          <w:bCs/>
          <w:lang w:val="es-ES_tradnl"/>
        </w:rPr>
        <w:tab/>
        <w:t>V.</w:t>
      </w:r>
      <w:r>
        <w:rPr>
          <w:bCs/>
          <w:lang w:val="es-ES_tradnl"/>
        </w:rPr>
        <w:tab/>
        <w:t>Síntesis del Plan Nacional de Acción por la Niñez y la Adolescencia</w:t>
      </w:r>
      <w:r>
        <w:rPr>
          <w:bCs/>
          <w:lang w:val="es-ES_tradnl"/>
        </w:rPr>
        <w:tab/>
      </w:r>
      <w:r>
        <w:rPr>
          <w:bCs/>
          <w:lang w:val="es-ES_tradnl"/>
        </w:rPr>
        <w:tab/>
      </w:r>
    </w:p>
    <w:p w:rsidR="00000000" w:rsidRDefault="00000000">
      <w:pPr>
        <w:tabs>
          <w:tab w:val="right" w:pos="567"/>
          <w:tab w:val="left" w:pos="850"/>
          <w:tab w:val="left" w:pos="1304"/>
          <w:tab w:val="left" w:pos="1701"/>
          <w:tab w:val="right" w:leader="dot" w:pos="8280"/>
          <w:tab w:val="right" w:pos="9099"/>
        </w:tabs>
        <w:spacing w:after="220"/>
        <w:ind w:right="480"/>
        <w:rPr>
          <w:bCs/>
          <w:lang w:val="es-ES_tradnl"/>
        </w:rPr>
      </w:pPr>
      <w:r>
        <w:rPr>
          <w:bCs/>
          <w:lang w:val="es-ES_tradnl"/>
        </w:rPr>
        <w:tab/>
        <w:t>VI.</w:t>
      </w:r>
      <w:r>
        <w:rPr>
          <w:bCs/>
          <w:lang w:val="es-ES_tradnl"/>
        </w:rPr>
        <w:tab/>
        <w:t>Informes anuales de la Secretaría del Ambiente (2001-2005)</w:t>
      </w:r>
      <w:r>
        <w:rPr>
          <w:bCs/>
          <w:lang w:val="es-ES_tradnl"/>
        </w:rPr>
        <w:tab/>
      </w:r>
      <w:r>
        <w:rPr>
          <w:bCs/>
          <w:lang w:val="es-ES_tradnl"/>
        </w:rPr>
        <w:tab/>
      </w:r>
    </w:p>
    <w:p w:rsidR="00000000" w:rsidRDefault="00000000">
      <w:pPr>
        <w:tabs>
          <w:tab w:val="right" w:pos="567"/>
          <w:tab w:val="left" w:pos="850"/>
          <w:tab w:val="left" w:pos="1304"/>
          <w:tab w:val="left" w:pos="1701"/>
          <w:tab w:val="right" w:leader="dot" w:pos="8280"/>
          <w:tab w:val="right" w:pos="9099"/>
        </w:tabs>
        <w:spacing w:after="220"/>
        <w:ind w:right="480"/>
        <w:rPr>
          <w:bCs/>
          <w:lang w:val="es-ES_tradnl"/>
        </w:rPr>
      </w:pPr>
      <w:r>
        <w:rPr>
          <w:bCs/>
          <w:lang w:val="es-ES_tradnl"/>
        </w:rPr>
        <w:tab/>
        <w:t>VII.</w:t>
      </w:r>
      <w:r>
        <w:rPr>
          <w:bCs/>
          <w:lang w:val="es-ES_tradnl"/>
        </w:rPr>
        <w:tab/>
        <w:t>Informe de actividades del CONACYT, año 2005</w:t>
      </w:r>
      <w:r>
        <w:rPr>
          <w:bCs/>
          <w:lang w:val="es-ES_tradnl"/>
        </w:rPr>
        <w:tab/>
      </w:r>
      <w:r>
        <w:rPr>
          <w:bCs/>
          <w:lang w:val="es-ES_tradnl"/>
        </w:rPr>
        <w:tab/>
      </w:r>
    </w:p>
    <w:p w:rsidR="00000000" w:rsidRDefault="00000000">
      <w:pPr>
        <w:tabs>
          <w:tab w:val="right" w:pos="567"/>
          <w:tab w:val="left" w:pos="850"/>
          <w:tab w:val="left" w:pos="1304"/>
          <w:tab w:val="left" w:pos="1701"/>
          <w:tab w:val="right" w:leader="dot" w:pos="8280"/>
          <w:tab w:val="right" w:pos="9099"/>
        </w:tabs>
        <w:spacing w:after="240"/>
        <w:ind w:right="480"/>
        <w:rPr>
          <w:bCs/>
          <w:lang w:val="es-ES_tradnl"/>
        </w:rPr>
      </w:pPr>
      <w:r>
        <w:rPr>
          <w:bCs/>
          <w:lang w:val="es-ES_tradnl"/>
        </w:rPr>
        <w:tab/>
        <w:t>VIII.</w:t>
      </w:r>
      <w:r>
        <w:rPr>
          <w:bCs/>
          <w:lang w:val="es-ES_tradnl"/>
        </w:rPr>
        <w:tab/>
        <w:t>Papel de la Cooperación Internacional en la vigencia de los DESC</w:t>
      </w:r>
      <w:r>
        <w:rPr>
          <w:bCs/>
          <w:lang w:val="es-ES_tradnl"/>
        </w:rPr>
        <w:tab/>
      </w:r>
    </w:p>
    <w:p w:rsidR="00000000" w:rsidRDefault="00000000">
      <w:pPr>
        <w:spacing w:after="200"/>
        <w:jc w:val="center"/>
        <w:rPr>
          <w:b/>
          <w:bCs/>
          <w:color w:val="000000"/>
        </w:rPr>
      </w:pPr>
      <w:r>
        <w:br w:type="page"/>
      </w:r>
      <w:r>
        <w:rPr>
          <w:b/>
          <w:bCs/>
          <w:color w:val="000000"/>
        </w:rPr>
        <w:t>I.  TERRITORIO Y POBLACIÓN</w:t>
      </w:r>
    </w:p>
    <w:p w:rsidR="00000000" w:rsidRDefault="00000000">
      <w:pPr>
        <w:spacing w:after="200"/>
        <w:jc w:val="center"/>
        <w:rPr>
          <w:b/>
          <w:bCs/>
          <w:color w:val="000000"/>
        </w:rPr>
      </w:pPr>
      <w:r>
        <w:rPr>
          <w:b/>
          <w:bCs/>
          <w:color w:val="000000"/>
        </w:rPr>
        <w:t>A.  Características generales del país</w:t>
      </w:r>
    </w:p>
    <w:p w:rsidR="00000000" w:rsidRDefault="00000000">
      <w:pPr>
        <w:autoSpaceDE w:val="0"/>
        <w:autoSpaceDN w:val="0"/>
        <w:adjustRightInd w:val="0"/>
        <w:spacing w:after="200"/>
      </w:pPr>
      <w:r>
        <w:t>1.</w:t>
      </w:r>
      <w:r>
        <w:tab/>
        <w:t>Con una población de 5.701.675 millones de habitantes estimada para el año 2005, el Paraguay sigue siendo un país con baja densidad poblacional, e irregularmente habitado.  Su densidad poblacional promedio es de 12,7 habitantes por kilómetro cuadrado.  Al mismo tiempo, se puede apreciar que los indicadores socio-demográficos se han estabilizado.  Por un lado, el ritmo de crecimiento poblacional se redujo, de 3,2% (1982-1992) a 2,2%, en la década 1992-2002.  Asimismo, la densidad poblacional se mantiene relativamente baja a nivel país (12,7 habitantes por kilómetro cuadrado), siendo la misma de 31,5 habitantes por kilómetro cuadrado en la Región Oriental, donde se concentra el 97,3% de la población, y 0,5 habitantes por kilómetro cuadrado en la Región Occidental o Chaco, que representa el 60% del territorio nacional.  Su principal actividad económica sigue siendo la ganadería extensiva, aunque también se han desarrollado explotaciones mixtas, agropecuarias, en las colonias menonitas, en la parte central de la región.  La Región Oriental, que representa el 39% del territorio nacional, posee una topografía ondulada y la mayor parte de las actividades económicas del país se concentran en esta región, siendo las principales la actividad agropecuaria, la explotación forestal así como importantes polos comerciales.</w:t>
      </w:r>
    </w:p>
    <w:p w:rsidR="00000000" w:rsidRDefault="00000000">
      <w:pPr>
        <w:autoSpaceDE w:val="0"/>
        <w:autoSpaceDN w:val="0"/>
        <w:adjustRightInd w:val="0"/>
        <w:spacing w:after="200"/>
        <w:jc w:val="center"/>
        <w:rPr>
          <w:sz w:val="22"/>
        </w:rPr>
      </w:pPr>
      <w:r>
        <w:rPr>
          <w:b/>
          <w:bCs/>
          <w:sz w:val="22"/>
          <w:szCs w:val="20"/>
        </w:rPr>
        <w:t>Paraguay:  Población y densidad poblacional, según Región</w:t>
      </w:r>
      <w:r>
        <w:rPr>
          <w:b/>
          <w:bCs/>
          <w:sz w:val="22"/>
          <w:szCs w:val="20"/>
        </w:rPr>
        <w:br/>
        <w:t>Oriental-Occidental, 1992 y 2002</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6"/>
        <w:gridCol w:w="1230"/>
        <w:gridCol w:w="1197"/>
        <w:gridCol w:w="1199"/>
        <w:gridCol w:w="1318"/>
        <w:gridCol w:w="1069"/>
        <w:gridCol w:w="1022"/>
        <w:gridCol w:w="898"/>
      </w:tblGrid>
      <w:tr w:rsidR="00000000">
        <w:trPr>
          <w:cantSplit/>
          <w:trHeight w:val="20"/>
        </w:trPr>
        <w:tc>
          <w:tcPr>
            <w:tcW w:w="793" w:type="pct"/>
            <w:vMerge w:val="restart"/>
            <w:noWrap/>
            <w:vAlign w:val="center"/>
          </w:tcPr>
          <w:p w:rsidR="00000000" w:rsidRDefault="00000000">
            <w:pPr>
              <w:spacing w:line="228" w:lineRule="auto"/>
              <w:jc w:val="center"/>
              <w:rPr>
                <w:b/>
                <w:bCs/>
                <w:sz w:val="20"/>
                <w:szCs w:val="20"/>
              </w:rPr>
            </w:pPr>
            <w:r>
              <w:rPr>
                <w:b/>
                <w:bCs/>
                <w:sz w:val="20"/>
                <w:szCs w:val="20"/>
              </w:rPr>
              <w:t>Región</w:t>
            </w:r>
          </w:p>
        </w:tc>
        <w:tc>
          <w:tcPr>
            <w:tcW w:w="652" w:type="pct"/>
            <w:vMerge w:val="restart"/>
            <w:vAlign w:val="center"/>
          </w:tcPr>
          <w:p w:rsidR="00000000" w:rsidRDefault="00000000">
            <w:pPr>
              <w:spacing w:line="228" w:lineRule="auto"/>
              <w:jc w:val="center"/>
              <w:rPr>
                <w:b/>
                <w:bCs/>
                <w:sz w:val="20"/>
                <w:szCs w:val="20"/>
              </w:rPr>
            </w:pPr>
            <w:r>
              <w:rPr>
                <w:b/>
                <w:bCs/>
                <w:sz w:val="20"/>
                <w:szCs w:val="20"/>
              </w:rPr>
              <w:t>Superficie (kilómetros cuadrados)</w:t>
            </w:r>
          </w:p>
        </w:tc>
        <w:tc>
          <w:tcPr>
            <w:tcW w:w="2537" w:type="pct"/>
            <w:gridSpan w:val="4"/>
            <w:noWrap/>
            <w:vAlign w:val="center"/>
          </w:tcPr>
          <w:p w:rsidR="00000000" w:rsidRDefault="00000000">
            <w:pPr>
              <w:spacing w:line="228" w:lineRule="auto"/>
              <w:jc w:val="center"/>
              <w:rPr>
                <w:b/>
                <w:bCs/>
                <w:sz w:val="20"/>
                <w:szCs w:val="20"/>
              </w:rPr>
            </w:pPr>
            <w:r>
              <w:rPr>
                <w:b/>
                <w:bCs/>
                <w:sz w:val="20"/>
                <w:szCs w:val="20"/>
              </w:rPr>
              <w:t>Población</w:t>
            </w:r>
          </w:p>
        </w:tc>
        <w:tc>
          <w:tcPr>
            <w:tcW w:w="1018" w:type="pct"/>
            <w:gridSpan w:val="2"/>
            <w:vMerge w:val="restart"/>
            <w:vAlign w:val="center"/>
          </w:tcPr>
          <w:p w:rsidR="00000000" w:rsidRDefault="00000000">
            <w:pPr>
              <w:spacing w:line="228" w:lineRule="auto"/>
              <w:jc w:val="center"/>
              <w:rPr>
                <w:b/>
                <w:bCs/>
                <w:sz w:val="20"/>
                <w:szCs w:val="20"/>
              </w:rPr>
            </w:pPr>
            <w:r>
              <w:rPr>
                <w:b/>
                <w:bCs/>
                <w:sz w:val="20"/>
                <w:szCs w:val="20"/>
              </w:rPr>
              <w:t>Densidad</w:t>
            </w:r>
            <w:r>
              <w:rPr>
                <w:b/>
                <w:bCs/>
                <w:sz w:val="20"/>
                <w:szCs w:val="20"/>
              </w:rPr>
              <w:br/>
              <w:t>(</w:t>
            </w:r>
            <w:r>
              <w:rPr>
                <w:b/>
                <w:bCs/>
                <w:sz w:val="20"/>
              </w:rPr>
              <w:t>habitantes por kilómetro cuadrado</w:t>
            </w:r>
            <w:r>
              <w:rPr>
                <w:b/>
                <w:bCs/>
                <w:sz w:val="20"/>
                <w:szCs w:val="20"/>
              </w:rPr>
              <w:t>)</w:t>
            </w:r>
          </w:p>
        </w:tc>
      </w:tr>
      <w:tr w:rsidR="00000000">
        <w:trPr>
          <w:cantSplit/>
          <w:trHeight w:val="20"/>
        </w:trPr>
        <w:tc>
          <w:tcPr>
            <w:tcW w:w="793" w:type="pct"/>
            <w:vMerge/>
            <w:vAlign w:val="center"/>
          </w:tcPr>
          <w:p w:rsidR="00000000" w:rsidRDefault="00000000">
            <w:pPr>
              <w:spacing w:line="228" w:lineRule="auto"/>
              <w:jc w:val="center"/>
              <w:rPr>
                <w:b/>
                <w:bCs/>
                <w:sz w:val="20"/>
                <w:szCs w:val="20"/>
              </w:rPr>
            </w:pPr>
          </w:p>
        </w:tc>
        <w:tc>
          <w:tcPr>
            <w:tcW w:w="652" w:type="pct"/>
            <w:vMerge/>
            <w:vAlign w:val="center"/>
          </w:tcPr>
          <w:p w:rsidR="00000000" w:rsidRDefault="00000000">
            <w:pPr>
              <w:spacing w:line="228" w:lineRule="auto"/>
              <w:jc w:val="center"/>
              <w:rPr>
                <w:b/>
                <w:bCs/>
                <w:sz w:val="20"/>
                <w:szCs w:val="20"/>
              </w:rPr>
            </w:pPr>
          </w:p>
        </w:tc>
        <w:tc>
          <w:tcPr>
            <w:tcW w:w="1271" w:type="pct"/>
            <w:gridSpan w:val="2"/>
            <w:noWrap/>
            <w:vAlign w:val="center"/>
          </w:tcPr>
          <w:p w:rsidR="00000000" w:rsidRDefault="00000000">
            <w:pPr>
              <w:spacing w:line="228" w:lineRule="auto"/>
              <w:jc w:val="center"/>
              <w:rPr>
                <w:b/>
                <w:bCs/>
                <w:sz w:val="20"/>
                <w:szCs w:val="20"/>
              </w:rPr>
            </w:pPr>
            <w:r>
              <w:rPr>
                <w:b/>
                <w:bCs/>
                <w:sz w:val="20"/>
                <w:szCs w:val="20"/>
              </w:rPr>
              <w:t>1992</w:t>
            </w:r>
          </w:p>
        </w:tc>
        <w:tc>
          <w:tcPr>
            <w:tcW w:w="1266" w:type="pct"/>
            <w:gridSpan w:val="2"/>
            <w:noWrap/>
            <w:vAlign w:val="center"/>
          </w:tcPr>
          <w:p w:rsidR="00000000" w:rsidRDefault="00000000">
            <w:pPr>
              <w:spacing w:line="228" w:lineRule="auto"/>
              <w:jc w:val="center"/>
              <w:rPr>
                <w:b/>
                <w:bCs/>
                <w:sz w:val="20"/>
                <w:szCs w:val="20"/>
              </w:rPr>
            </w:pPr>
            <w:r>
              <w:rPr>
                <w:b/>
                <w:bCs/>
                <w:sz w:val="20"/>
                <w:szCs w:val="20"/>
              </w:rPr>
              <w:t>2002</w:t>
            </w:r>
          </w:p>
        </w:tc>
        <w:tc>
          <w:tcPr>
            <w:tcW w:w="1018" w:type="pct"/>
            <w:gridSpan w:val="2"/>
            <w:vMerge/>
            <w:vAlign w:val="center"/>
          </w:tcPr>
          <w:p w:rsidR="00000000" w:rsidRDefault="00000000">
            <w:pPr>
              <w:spacing w:line="228" w:lineRule="auto"/>
              <w:jc w:val="center"/>
              <w:rPr>
                <w:b/>
                <w:bCs/>
                <w:sz w:val="20"/>
                <w:szCs w:val="20"/>
              </w:rPr>
            </w:pPr>
          </w:p>
        </w:tc>
      </w:tr>
      <w:tr w:rsidR="00000000">
        <w:trPr>
          <w:cantSplit/>
          <w:trHeight w:val="20"/>
        </w:trPr>
        <w:tc>
          <w:tcPr>
            <w:tcW w:w="793" w:type="pct"/>
            <w:vMerge/>
            <w:vAlign w:val="center"/>
          </w:tcPr>
          <w:p w:rsidR="00000000" w:rsidRDefault="00000000">
            <w:pPr>
              <w:spacing w:line="228" w:lineRule="auto"/>
              <w:jc w:val="center"/>
              <w:rPr>
                <w:b/>
                <w:bCs/>
                <w:sz w:val="20"/>
                <w:szCs w:val="20"/>
              </w:rPr>
            </w:pPr>
          </w:p>
        </w:tc>
        <w:tc>
          <w:tcPr>
            <w:tcW w:w="652" w:type="pct"/>
            <w:vMerge/>
            <w:vAlign w:val="center"/>
          </w:tcPr>
          <w:p w:rsidR="00000000" w:rsidRDefault="00000000">
            <w:pPr>
              <w:spacing w:line="228" w:lineRule="auto"/>
              <w:jc w:val="center"/>
              <w:rPr>
                <w:b/>
                <w:bCs/>
                <w:sz w:val="20"/>
                <w:szCs w:val="20"/>
              </w:rPr>
            </w:pPr>
          </w:p>
        </w:tc>
        <w:tc>
          <w:tcPr>
            <w:tcW w:w="635" w:type="pct"/>
            <w:noWrap/>
            <w:vAlign w:val="center"/>
          </w:tcPr>
          <w:p w:rsidR="00000000" w:rsidRDefault="00000000">
            <w:pPr>
              <w:spacing w:line="228" w:lineRule="auto"/>
              <w:jc w:val="center"/>
              <w:rPr>
                <w:b/>
                <w:bCs/>
                <w:sz w:val="20"/>
                <w:szCs w:val="20"/>
              </w:rPr>
            </w:pPr>
            <w:r>
              <w:rPr>
                <w:b/>
                <w:bCs/>
                <w:sz w:val="20"/>
                <w:szCs w:val="20"/>
              </w:rPr>
              <w:t>Habitantes</w:t>
            </w:r>
          </w:p>
        </w:tc>
        <w:tc>
          <w:tcPr>
            <w:tcW w:w="636" w:type="pct"/>
            <w:noWrap/>
            <w:vAlign w:val="center"/>
          </w:tcPr>
          <w:p w:rsidR="00000000" w:rsidRDefault="00000000">
            <w:pPr>
              <w:spacing w:line="228" w:lineRule="auto"/>
              <w:jc w:val="center"/>
              <w:rPr>
                <w:b/>
                <w:bCs/>
                <w:sz w:val="20"/>
                <w:szCs w:val="20"/>
              </w:rPr>
            </w:pPr>
            <w:r>
              <w:rPr>
                <w:b/>
                <w:bCs/>
                <w:sz w:val="20"/>
                <w:szCs w:val="20"/>
              </w:rPr>
              <w:t xml:space="preserve">Porcentaje </w:t>
            </w:r>
          </w:p>
        </w:tc>
        <w:tc>
          <w:tcPr>
            <w:tcW w:w="699" w:type="pct"/>
            <w:noWrap/>
            <w:vAlign w:val="center"/>
          </w:tcPr>
          <w:p w:rsidR="00000000" w:rsidRDefault="00000000">
            <w:pPr>
              <w:spacing w:line="228" w:lineRule="auto"/>
              <w:jc w:val="center"/>
              <w:rPr>
                <w:b/>
                <w:bCs/>
                <w:sz w:val="20"/>
                <w:szCs w:val="20"/>
              </w:rPr>
            </w:pPr>
            <w:r>
              <w:rPr>
                <w:b/>
                <w:bCs/>
                <w:sz w:val="20"/>
                <w:szCs w:val="20"/>
              </w:rPr>
              <w:t>Habitantes</w:t>
            </w:r>
          </w:p>
        </w:tc>
        <w:tc>
          <w:tcPr>
            <w:tcW w:w="567" w:type="pct"/>
            <w:noWrap/>
            <w:vAlign w:val="center"/>
          </w:tcPr>
          <w:p w:rsidR="00000000" w:rsidRDefault="00000000">
            <w:pPr>
              <w:spacing w:line="228" w:lineRule="auto"/>
              <w:jc w:val="center"/>
              <w:rPr>
                <w:b/>
                <w:bCs/>
                <w:sz w:val="20"/>
                <w:szCs w:val="20"/>
              </w:rPr>
            </w:pPr>
            <w:r>
              <w:rPr>
                <w:b/>
                <w:bCs/>
                <w:sz w:val="20"/>
                <w:szCs w:val="20"/>
              </w:rPr>
              <w:t xml:space="preserve">Porcentaje </w:t>
            </w:r>
          </w:p>
        </w:tc>
        <w:tc>
          <w:tcPr>
            <w:tcW w:w="542" w:type="pct"/>
            <w:noWrap/>
            <w:vAlign w:val="center"/>
          </w:tcPr>
          <w:p w:rsidR="00000000" w:rsidRDefault="00000000">
            <w:pPr>
              <w:spacing w:line="228" w:lineRule="auto"/>
              <w:jc w:val="center"/>
              <w:rPr>
                <w:b/>
                <w:bCs/>
                <w:sz w:val="20"/>
                <w:szCs w:val="20"/>
              </w:rPr>
            </w:pPr>
            <w:r>
              <w:rPr>
                <w:b/>
                <w:bCs/>
                <w:sz w:val="20"/>
                <w:szCs w:val="20"/>
              </w:rPr>
              <w:t>1992</w:t>
            </w:r>
          </w:p>
        </w:tc>
        <w:tc>
          <w:tcPr>
            <w:tcW w:w="476" w:type="pct"/>
            <w:noWrap/>
            <w:vAlign w:val="center"/>
          </w:tcPr>
          <w:p w:rsidR="00000000" w:rsidRDefault="00000000">
            <w:pPr>
              <w:spacing w:line="228" w:lineRule="auto"/>
              <w:jc w:val="center"/>
              <w:rPr>
                <w:b/>
                <w:bCs/>
                <w:sz w:val="20"/>
                <w:szCs w:val="20"/>
              </w:rPr>
            </w:pPr>
            <w:r>
              <w:rPr>
                <w:b/>
                <w:bCs/>
                <w:sz w:val="20"/>
                <w:szCs w:val="20"/>
              </w:rPr>
              <w:t>2002</w:t>
            </w:r>
          </w:p>
        </w:tc>
      </w:tr>
      <w:tr w:rsidR="00000000">
        <w:trPr>
          <w:trHeight w:val="20"/>
        </w:trPr>
        <w:tc>
          <w:tcPr>
            <w:tcW w:w="793" w:type="pct"/>
            <w:noWrap/>
            <w:vAlign w:val="bottom"/>
          </w:tcPr>
          <w:p w:rsidR="00000000" w:rsidRDefault="00000000">
            <w:pPr>
              <w:spacing w:line="228" w:lineRule="auto"/>
              <w:rPr>
                <w:sz w:val="20"/>
                <w:szCs w:val="20"/>
              </w:rPr>
            </w:pPr>
            <w:r>
              <w:rPr>
                <w:sz w:val="20"/>
                <w:szCs w:val="20"/>
              </w:rPr>
              <w:t>Oriental</w:t>
            </w:r>
          </w:p>
        </w:tc>
        <w:tc>
          <w:tcPr>
            <w:tcW w:w="652" w:type="pct"/>
            <w:noWrap/>
            <w:vAlign w:val="bottom"/>
          </w:tcPr>
          <w:p w:rsidR="00000000" w:rsidRDefault="00000000">
            <w:pPr>
              <w:spacing w:line="228" w:lineRule="auto"/>
              <w:jc w:val="center"/>
              <w:rPr>
                <w:sz w:val="20"/>
                <w:szCs w:val="20"/>
              </w:rPr>
            </w:pPr>
            <w:r>
              <w:rPr>
                <w:sz w:val="20"/>
                <w:szCs w:val="20"/>
              </w:rPr>
              <w:t>159.827</w:t>
            </w:r>
          </w:p>
        </w:tc>
        <w:tc>
          <w:tcPr>
            <w:tcW w:w="635" w:type="pct"/>
            <w:noWrap/>
            <w:vAlign w:val="bottom"/>
          </w:tcPr>
          <w:p w:rsidR="00000000" w:rsidRDefault="00000000">
            <w:pPr>
              <w:spacing w:line="228" w:lineRule="auto"/>
              <w:ind w:right="88"/>
              <w:jc w:val="right"/>
              <w:rPr>
                <w:sz w:val="20"/>
                <w:szCs w:val="20"/>
              </w:rPr>
            </w:pPr>
            <w:r>
              <w:rPr>
                <w:sz w:val="20"/>
                <w:szCs w:val="20"/>
              </w:rPr>
              <w:t>4.046.955</w:t>
            </w:r>
          </w:p>
        </w:tc>
        <w:tc>
          <w:tcPr>
            <w:tcW w:w="636" w:type="pct"/>
            <w:noWrap/>
            <w:vAlign w:val="bottom"/>
          </w:tcPr>
          <w:p w:rsidR="00000000" w:rsidRDefault="00000000">
            <w:pPr>
              <w:tabs>
                <w:tab w:val="decimal" w:pos="612"/>
              </w:tabs>
              <w:spacing w:line="228" w:lineRule="auto"/>
              <w:jc w:val="both"/>
              <w:rPr>
                <w:sz w:val="20"/>
                <w:szCs w:val="20"/>
              </w:rPr>
            </w:pPr>
            <w:r>
              <w:rPr>
                <w:sz w:val="20"/>
                <w:szCs w:val="20"/>
              </w:rPr>
              <w:t>97,5</w:t>
            </w:r>
          </w:p>
        </w:tc>
        <w:tc>
          <w:tcPr>
            <w:tcW w:w="699" w:type="pct"/>
            <w:noWrap/>
            <w:vAlign w:val="bottom"/>
          </w:tcPr>
          <w:p w:rsidR="00000000" w:rsidRDefault="00000000">
            <w:pPr>
              <w:spacing w:line="228" w:lineRule="auto"/>
              <w:ind w:right="142"/>
              <w:jc w:val="right"/>
              <w:rPr>
                <w:sz w:val="20"/>
                <w:szCs w:val="20"/>
              </w:rPr>
            </w:pPr>
            <w:r>
              <w:rPr>
                <w:sz w:val="20"/>
                <w:szCs w:val="20"/>
              </w:rPr>
              <w:t>5.028.012</w:t>
            </w:r>
          </w:p>
        </w:tc>
        <w:tc>
          <w:tcPr>
            <w:tcW w:w="567" w:type="pct"/>
            <w:noWrap/>
            <w:vAlign w:val="bottom"/>
          </w:tcPr>
          <w:p w:rsidR="00000000" w:rsidRDefault="00000000">
            <w:pPr>
              <w:tabs>
                <w:tab w:val="decimal" w:pos="639"/>
              </w:tabs>
              <w:spacing w:line="228" w:lineRule="auto"/>
              <w:rPr>
                <w:sz w:val="20"/>
                <w:szCs w:val="20"/>
              </w:rPr>
            </w:pPr>
            <w:r>
              <w:rPr>
                <w:sz w:val="20"/>
                <w:szCs w:val="20"/>
              </w:rPr>
              <w:t>97,4</w:t>
            </w:r>
          </w:p>
        </w:tc>
        <w:tc>
          <w:tcPr>
            <w:tcW w:w="542" w:type="pct"/>
            <w:noWrap/>
            <w:vAlign w:val="bottom"/>
          </w:tcPr>
          <w:p w:rsidR="00000000" w:rsidRDefault="00000000">
            <w:pPr>
              <w:tabs>
                <w:tab w:val="decimal" w:pos="519"/>
              </w:tabs>
              <w:spacing w:line="228" w:lineRule="auto"/>
              <w:rPr>
                <w:sz w:val="20"/>
                <w:szCs w:val="20"/>
              </w:rPr>
            </w:pPr>
            <w:r>
              <w:rPr>
                <w:sz w:val="20"/>
                <w:szCs w:val="20"/>
              </w:rPr>
              <w:t>25,3</w:t>
            </w:r>
          </w:p>
        </w:tc>
        <w:tc>
          <w:tcPr>
            <w:tcW w:w="476" w:type="pct"/>
            <w:noWrap/>
            <w:vAlign w:val="bottom"/>
          </w:tcPr>
          <w:p w:rsidR="00000000" w:rsidRDefault="00000000">
            <w:pPr>
              <w:tabs>
                <w:tab w:val="decimal" w:pos="468"/>
              </w:tabs>
              <w:spacing w:line="228" w:lineRule="auto"/>
              <w:rPr>
                <w:sz w:val="20"/>
                <w:szCs w:val="20"/>
              </w:rPr>
            </w:pPr>
            <w:r>
              <w:rPr>
                <w:sz w:val="20"/>
                <w:szCs w:val="20"/>
              </w:rPr>
              <w:t>31,5</w:t>
            </w:r>
          </w:p>
        </w:tc>
      </w:tr>
      <w:tr w:rsidR="00000000">
        <w:trPr>
          <w:trHeight w:val="20"/>
        </w:trPr>
        <w:tc>
          <w:tcPr>
            <w:tcW w:w="793" w:type="pct"/>
            <w:noWrap/>
            <w:vAlign w:val="bottom"/>
          </w:tcPr>
          <w:p w:rsidR="00000000" w:rsidRDefault="00000000">
            <w:pPr>
              <w:spacing w:line="228" w:lineRule="auto"/>
              <w:rPr>
                <w:sz w:val="20"/>
                <w:szCs w:val="20"/>
              </w:rPr>
            </w:pPr>
            <w:r>
              <w:rPr>
                <w:sz w:val="20"/>
                <w:szCs w:val="20"/>
              </w:rPr>
              <w:t>Occidental</w:t>
            </w:r>
          </w:p>
        </w:tc>
        <w:tc>
          <w:tcPr>
            <w:tcW w:w="652" w:type="pct"/>
            <w:noWrap/>
            <w:vAlign w:val="bottom"/>
          </w:tcPr>
          <w:p w:rsidR="00000000" w:rsidRDefault="00000000">
            <w:pPr>
              <w:spacing w:line="228" w:lineRule="auto"/>
              <w:jc w:val="center"/>
              <w:rPr>
                <w:sz w:val="20"/>
                <w:szCs w:val="20"/>
              </w:rPr>
            </w:pPr>
            <w:r>
              <w:rPr>
                <w:sz w:val="20"/>
                <w:szCs w:val="20"/>
              </w:rPr>
              <w:t>246.925</w:t>
            </w:r>
          </w:p>
        </w:tc>
        <w:tc>
          <w:tcPr>
            <w:tcW w:w="635" w:type="pct"/>
            <w:noWrap/>
            <w:vAlign w:val="bottom"/>
          </w:tcPr>
          <w:p w:rsidR="00000000" w:rsidRDefault="00000000">
            <w:pPr>
              <w:spacing w:line="228" w:lineRule="auto"/>
              <w:ind w:right="88"/>
              <w:jc w:val="right"/>
              <w:rPr>
                <w:sz w:val="20"/>
                <w:szCs w:val="20"/>
              </w:rPr>
            </w:pPr>
            <w:r>
              <w:rPr>
                <w:sz w:val="20"/>
                <w:szCs w:val="20"/>
              </w:rPr>
              <w:t>105.633</w:t>
            </w:r>
          </w:p>
        </w:tc>
        <w:tc>
          <w:tcPr>
            <w:tcW w:w="636" w:type="pct"/>
            <w:noWrap/>
            <w:vAlign w:val="bottom"/>
          </w:tcPr>
          <w:p w:rsidR="00000000" w:rsidRDefault="00000000">
            <w:pPr>
              <w:tabs>
                <w:tab w:val="decimal" w:pos="612"/>
              </w:tabs>
              <w:spacing w:line="228" w:lineRule="auto"/>
              <w:jc w:val="both"/>
              <w:rPr>
                <w:sz w:val="20"/>
                <w:szCs w:val="20"/>
              </w:rPr>
            </w:pPr>
            <w:r>
              <w:rPr>
                <w:sz w:val="20"/>
                <w:szCs w:val="20"/>
              </w:rPr>
              <w:t>2,5</w:t>
            </w:r>
          </w:p>
        </w:tc>
        <w:tc>
          <w:tcPr>
            <w:tcW w:w="699" w:type="pct"/>
            <w:noWrap/>
            <w:vAlign w:val="bottom"/>
          </w:tcPr>
          <w:p w:rsidR="00000000" w:rsidRDefault="00000000">
            <w:pPr>
              <w:spacing w:line="228" w:lineRule="auto"/>
              <w:ind w:right="142"/>
              <w:jc w:val="right"/>
              <w:rPr>
                <w:sz w:val="20"/>
                <w:szCs w:val="20"/>
              </w:rPr>
            </w:pPr>
            <w:r>
              <w:rPr>
                <w:sz w:val="20"/>
                <w:szCs w:val="20"/>
              </w:rPr>
              <w:t>135.186</w:t>
            </w:r>
          </w:p>
        </w:tc>
        <w:tc>
          <w:tcPr>
            <w:tcW w:w="567" w:type="pct"/>
            <w:noWrap/>
            <w:vAlign w:val="bottom"/>
          </w:tcPr>
          <w:p w:rsidR="00000000" w:rsidRDefault="00000000">
            <w:pPr>
              <w:tabs>
                <w:tab w:val="decimal" w:pos="639"/>
              </w:tabs>
              <w:spacing w:line="228" w:lineRule="auto"/>
              <w:rPr>
                <w:sz w:val="20"/>
                <w:szCs w:val="20"/>
              </w:rPr>
            </w:pPr>
            <w:r>
              <w:rPr>
                <w:sz w:val="20"/>
                <w:szCs w:val="20"/>
              </w:rPr>
              <w:t>2,6</w:t>
            </w:r>
          </w:p>
        </w:tc>
        <w:tc>
          <w:tcPr>
            <w:tcW w:w="542" w:type="pct"/>
            <w:noWrap/>
            <w:vAlign w:val="bottom"/>
          </w:tcPr>
          <w:p w:rsidR="00000000" w:rsidRDefault="00000000">
            <w:pPr>
              <w:tabs>
                <w:tab w:val="decimal" w:pos="519"/>
              </w:tabs>
              <w:spacing w:line="228" w:lineRule="auto"/>
              <w:rPr>
                <w:sz w:val="20"/>
                <w:szCs w:val="20"/>
              </w:rPr>
            </w:pPr>
            <w:r>
              <w:rPr>
                <w:sz w:val="20"/>
                <w:szCs w:val="20"/>
              </w:rPr>
              <w:t>0,4</w:t>
            </w:r>
          </w:p>
        </w:tc>
        <w:tc>
          <w:tcPr>
            <w:tcW w:w="476" w:type="pct"/>
            <w:noWrap/>
            <w:vAlign w:val="bottom"/>
          </w:tcPr>
          <w:p w:rsidR="00000000" w:rsidRDefault="00000000">
            <w:pPr>
              <w:tabs>
                <w:tab w:val="decimal" w:pos="468"/>
              </w:tabs>
              <w:spacing w:line="228" w:lineRule="auto"/>
              <w:rPr>
                <w:sz w:val="20"/>
                <w:szCs w:val="20"/>
              </w:rPr>
            </w:pPr>
            <w:r>
              <w:rPr>
                <w:sz w:val="20"/>
                <w:szCs w:val="20"/>
              </w:rPr>
              <w:t>0,5</w:t>
            </w:r>
          </w:p>
        </w:tc>
      </w:tr>
      <w:tr w:rsidR="00000000">
        <w:trPr>
          <w:trHeight w:val="77"/>
        </w:trPr>
        <w:tc>
          <w:tcPr>
            <w:tcW w:w="793" w:type="pct"/>
            <w:noWrap/>
            <w:vAlign w:val="bottom"/>
          </w:tcPr>
          <w:p w:rsidR="00000000" w:rsidRDefault="00000000">
            <w:pPr>
              <w:tabs>
                <w:tab w:val="left" w:pos="360"/>
              </w:tabs>
              <w:spacing w:line="228" w:lineRule="auto"/>
              <w:rPr>
                <w:b/>
                <w:bCs/>
                <w:sz w:val="20"/>
                <w:szCs w:val="20"/>
              </w:rPr>
            </w:pPr>
            <w:r>
              <w:rPr>
                <w:b/>
                <w:bCs/>
                <w:sz w:val="20"/>
                <w:szCs w:val="20"/>
              </w:rPr>
              <w:tab/>
              <w:t>Total</w:t>
            </w:r>
          </w:p>
        </w:tc>
        <w:tc>
          <w:tcPr>
            <w:tcW w:w="652" w:type="pct"/>
            <w:noWrap/>
            <w:vAlign w:val="bottom"/>
          </w:tcPr>
          <w:p w:rsidR="00000000" w:rsidRDefault="00000000">
            <w:pPr>
              <w:spacing w:line="228" w:lineRule="auto"/>
              <w:jc w:val="center"/>
              <w:rPr>
                <w:b/>
                <w:bCs/>
                <w:sz w:val="20"/>
                <w:szCs w:val="20"/>
              </w:rPr>
            </w:pPr>
            <w:r>
              <w:rPr>
                <w:b/>
                <w:bCs/>
                <w:sz w:val="20"/>
                <w:szCs w:val="20"/>
              </w:rPr>
              <w:t>406.752</w:t>
            </w:r>
          </w:p>
        </w:tc>
        <w:tc>
          <w:tcPr>
            <w:tcW w:w="635" w:type="pct"/>
            <w:noWrap/>
            <w:vAlign w:val="bottom"/>
          </w:tcPr>
          <w:p w:rsidR="00000000" w:rsidRDefault="00000000">
            <w:pPr>
              <w:spacing w:line="228" w:lineRule="auto"/>
              <w:ind w:right="88"/>
              <w:jc w:val="right"/>
              <w:rPr>
                <w:b/>
                <w:bCs/>
                <w:sz w:val="20"/>
                <w:szCs w:val="20"/>
              </w:rPr>
            </w:pPr>
            <w:r>
              <w:rPr>
                <w:b/>
                <w:bCs/>
                <w:sz w:val="20"/>
                <w:szCs w:val="20"/>
              </w:rPr>
              <w:t>4.152.588</w:t>
            </w:r>
          </w:p>
        </w:tc>
        <w:tc>
          <w:tcPr>
            <w:tcW w:w="636" w:type="pct"/>
            <w:noWrap/>
            <w:vAlign w:val="bottom"/>
          </w:tcPr>
          <w:p w:rsidR="00000000" w:rsidRDefault="00000000">
            <w:pPr>
              <w:spacing w:line="228" w:lineRule="auto"/>
              <w:jc w:val="center"/>
              <w:rPr>
                <w:b/>
                <w:bCs/>
                <w:sz w:val="20"/>
                <w:szCs w:val="20"/>
              </w:rPr>
            </w:pPr>
            <w:r>
              <w:rPr>
                <w:b/>
                <w:bCs/>
                <w:sz w:val="20"/>
                <w:szCs w:val="20"/>
              </w:rPr>
              <w:t>100,0</w:t>
            </w:r>
          </w:p>
        </w:tc>
        <w:tc>
          <w:tcPr>
            <w:tcW w:w="699" w:type="pct"/>
            <w:noWrap/>
            <w:vAlign w:val="bottom"/>
          </w:tcPr>
          <w:p w:rsidR="00000000" w:rsidRDefault="00000000">
            <w:pPr>
              <w:spacing w:line="228" w:lineRule="auto"/>
              <w:ind w:right="142"/>
              <w:jc w:val="right"/>
              <w:rPr>
                <w:b/>
                <w:bCs/>
                <w:sz w:val="20"/>
                <w:szCs w:val="20"/>
              </w:rPr>
            </w:pPr>
            <w:r>
              <w:rPr>
                <w:b/>
                <w:bCs/>
                <w:sz w:val="20"/>
                <w:szCs w:val="20"/>
              </w:rPr>
              <w:t>5.163.198</w:t>
            </w:r>
          </w:p>
        </w:tc>
        <w:tc>
          <w:tcPr>
            <w:tcW w:w="567" w:type="pct"/>
            <w:noWrap/>
            <w:vAlign w:val="bottom"/>
          </w:tcPr>
          <w:p w:rsidR="00000000" w:rsidRDefault="00000000">
            <w:pPr>
              <w:tabs>
                <w:tab w:val="decimal" w:pos="639"/>
              </w:tabs>
              <w:spacing w:line="228" w:lineRule="auto"/>
              <w:rPr>
                <w:b/>
                <w:bCs/>
                <w:sz w:val="20"/>
                <w:szCs w:val="20"/>
              </w:rPr>
            </w:pPr>
            <w:r>
              <w:rPr>
                <w:b/>
                <w:bCs/>
                <w:sz w:val="20"/>
                <w:szCs w:val="20"/>
              </w:rPr>
              <w:t>100,0</w:t>
            </w:r>
          </w:p>
        </w:tc>
        <w:tc>
          <w:tcPr>
            <w:tcW w:w="542" w:type="pct"/>
            <w:noWrap/>
            <w:vAlign w:val="bottom"/>
          </w:tcPr>
          <w:p w:rsidR="00000000" w:rsidRDefault="00000000">
            <w:pPr>
              <w:tabs>
                <w:tab w:val="decimal" w:pos="519"/>
              </w:tabs>
              <w:spacing w:line="228" w:lineRule="auto"/>
              <w:rPr>
                <w:b/>
                <w:bCs/>
                <w:sz w:val="20"/>
                <w:szCs w:val="20"/>
              </w:rPr>
            </w:pPr>
            <w:r>
              <w:rPr>
                <w:b/>
                <w:bCs/>
                <w:sz w:val="20"/>
                <w:szCs w:val="20"/>
              </w:rPr>
              <w:t>10,2</w:t>
            </w:r>
          </w:p>
        </w:tc>
        <w:tc>
          <w:tcPr>
            <w:tcW w:w="476" w:type="pct"/>
            <w:noWrap/>
            <w:vAlign w:val="bottom"/>
          </w:tcPr>
          <w:p w:rsidR="00000000" w:rsidRDefault="00000000">
            <w:pPr>
              <w:tabs>
                <w:tab w:val="decimal" w:pos="468"/>
              </w:tabs>
              <w:spacing w:line="228" w:lineRule="auto"/>
              <w:rPr>
                <w:b/>
                <w:bCs/>
                <w:sz w:val="20"/>
                <w:szCs w:val="20"/>
              </w:rPr>
            </w:pPr>
            <w:r>
              <w:rPr>
                <w:b/>
                <w:bCs/>
                <w:sz w:val="20"/>
                <w:szCs w:val="20"/>
              </w:rPr>
              <w:t>12,7</w:t>
            </w:r>
          </w:p>
        </w:tc>
      </w:tr>
    </w:tbl>
    <w:p w:rsidR="00000000" w:rsidRDefault="00000000">
      <w:pPr>
        <w:spacing w:before="200" w:after="400"/>
        <w:rPr>
          <w:sz w:val="20"/>
        </w:rPr>
      </w:pPr>
      <w:r>
        <w:rPr>
          <w:i/>
          <w:iCs/>
          <w:sz w:val="20"/>
          <w:szCs w:val="16"/>
        </w:rPr>
        <w:t>Fuente</w:t>
      </w:r>
      <w:r>
        <w:rPr>
          <w:sz w:val="20"/>
          <w:szCs w:val="16"/>
        </w:rPr>
        <w:t>:  DGEEC.  Censos nacionales de población y viviendas.  Años 1992 y 2002.</w:t>
      </w:r>
    </w:p>
    <w:p w:rsidR="00000000" w:rsidRDefault="00000000">
      <w:pPr>
        <w:autoSpaceDE w:val="0"/>
        <w:autoSpaceDN w:val="0"/>
        <w:adjustRightInd w:val="0"/>
        <w:spacing w:after="200"/>
      </w:pPr>
      <w:r>
        <w:t>2.</w:t>
      </w:r>
      <w:r>
        <w:tab/>
        <w:t xml:space="preserve">El Paraguay es miembro pleno del Mercado Común del Sur (MERCOSUR).  En ese sentido el Paraguay impulsa y se encuentra inmerso en un amplio proceso de consolidación de la integración regional que se manifiesta en distintos frentes, tanto económico, social, cultural como político y comercial.  En el Paraguay, el sector de los agronegocios constituye un sector importante de la economía (especialmente en el cultivo de soja), así como la exportación de energía proveniente de las usinas hidroeléctricas binacionales de Itaipú y Yacyretá.  </w:t>
      </w:r>
    </w:p>
    <w:p w:rsidR="00000000" w:rsidRDefault="00000000">
      <w:pPr>
        <w:autoSpaceDE w:val="0"/>
        <w:autoSpaceDN w:val="0"/>
        <w:adjustRightInd w:val="0"/>
        <w:spacing w:after="200"/>
      </w:pPr>
      <w:r>
        <w:t>3.</w:t>
      </w:r>
      <w:r>
        <w:tab/>
        <w:t>En el ámbito del MERCOSUR, se creó la Reunión Especializada de la Mujer del MERCOSUR (REM), instancia en la cual el Paraguay participa activamente desde su instalación en 1998.  En dicho foro se elaboran propuestas conjuntas a ser elevadas al Grupo Mercado Común.</w:t>
      </w:r>
    </w:p>
    <w:p w:rsidR="00000000" w:rsidRDefault="00000000">
      <w:pPr>
        <w:keepNext/>
        <w:spacing w:after="200"/>
        <w:jc w:val="center"/>
        <w:rPr>
          <w:b/>
          <w:bCs/>
          <w:color w:val="000000"/>
          <w:u w:val="single"/>
        </w:rPr>
      </w:pPr>
      <w:r>
        <w:rPr>
          <w:b/>
          <w:bCs/>
          <w:color w:val="000000"/>
        </w:rPr>
        <w:t>B.  Características étnicas</w:t>
      </w:r>
    </w:p>
    <w:p w:rsidR="00000000" w:rsidRDefault="00000000">
      <w:pPr>
        <w:autoSpaceDE w:val="0"/>
        <w:autoSpaceDN w:val="0"/>
        <w:adjustRightInd w:val="0"/>
        <w:spacing w:after="240"/>
      </w:pPr>
      <w:r>
        <w:t>4.</w:t>
      </w:r>
      <w:r>
        <w:tab/>
        <w:t>La población paraguaya se caracteriza por su importante componente multiétnico que resulta de la amalgama de razas y culturas que conviven y se conjugan entre sí.  Del mismo modo, los indicadores demográficos denotan una activa dinámica poblacional, marcada por la migración interna, la emigración de conacionales hacia el extranjero y el apreciable ingreso de inmigrantes extranjeros, en su mayoría de países limítrofes.</w:t>
      </w:r>
    </w:p>
    <w:p w:rsidR="00000000" w:rsidRDefault="00000000">
      <w:pPr>
        <w:spacing w:after="200"/>
        <w:jc w:val="center"/>
        <w:rPr>
          <w:b/>
          <w:bCs/>
        </w:rPr>
      </w:pPr>
      <w:r>
        <w:rPr>
          <w:b/>
          <w:bCs/>
        </w:rPr>
        <w:t>C.  Características étnicas de la población autóctona</w:t>
      </w:r>
    </w:p>
    <w:p w:rsidR="00000000" w:rsidRDefault="00000000">
      <w:pPr>
        <w:autoSpaceDE w:val="0"/>
        <w:autoSpaceDN w:val="0"/>
        <w:adjustRightInd w:val="0"/>
        <w:spacing w:after="200"/>
      </w:pPr>
      <w:r>
        <w:t>5.</w:t>
      </w:r>
      <w:r>
        <w:tab/>
        <w:t>Según los resultados del Segundo Censo Nacional Indígena 2002, la población indígena empadronada asciende a 87.099 personas, que representan el 1,7% de la población total del país.  Los datos arrojados por el Censo Indígena 2002, hacen suponer que en los últimos 21 años la población indígena ha tenido mayor crecimiento (3,9%), que la población nacional, que creció un 2,7% anual acumulativo (1982-2002).  Por otro lado, un poco más de la mitad del total de la población indígena reside en la Región Oriental (44.135), y el resto (42.964), en la Región Occidental.  Esta nueva realidad en cuanto a la distribución espacial por regiones, es quizás uno de los hallazgos más significativos del último censo.  La Región Occidental históricamente concentró la mayor proporción de población indígena, lo que se evidencia en las cifras arrojadas por los censos anteriores (67,2% en 1981 y 55,8% en 1992).  En el año 2002, la población indígena en la región chaqueña llega a 49,3%.  Sin embargo, este aparente incremento debe ser contemplado a la luz de una mejor cobertura de las comunidades indígenas de la región Oriental en el censo 2002, con las siguientes ventajas actuales:  mejores accesos, el establecimiento de una estrategia de comunicación en</w:t>
      </w:r>
      <w:r>
        <w:rPr>
          <w:color w:val="000000"/>
        </w:rPr>
        <w:t xml:space="preserve"> </w:t>
      </w:r>
      <w:r>
        <w:t>diferentes lenguas indígenas, la participación efectiva de los pueblos indígenas en la organización censal, entre otros.</w:t>
      </w:r>
    </w:p>
    <w:p w:rsidR="00000000" w:rsidRDefault="00000000">
      <w:pPr>
        <w:autoSpaceDE w:val="0"/>
        <w:autoSpaceDN w:val="0"/>
        <w:adjustRightInd w:val="0"/>
        <w:spacing w:after="200"/>
      </w:pPr>
      <w:r>
        <w:t>6.</w:t>
      </w:r>
      <w:r>
        <w:tab/>
        <w:t xml:space="preserve">A efectos censales, la población indígena se clasificó en 20 grupos étnicos, de los cuales tienen mayor volumen poblacional, los avá guaraní, pai tavyterá, mbyá, nivaclé, enlhet norte y enxet sur.  Con menor población, se encuentran las siguientes etnias:  guaná, manjui, y tomáraho.  Los indígenas del Paraguay, están asentados predominantemente en las áreas rurales (91,5%).  Sin embargo, cabe destacar que cinco etnias tienen una presencia significativa en áreas urbanas:  maká (77,4%), maskoy (32,7%), guaraní occidental (29,4%), nivaclé (25,2%) y enlhet norte (24,4%).  Esta distribución denotaría un desplazamiento hacia los centros urbanos, y de mantenerse esta tendencia, probablemente podría intensificarse en los próximos años.  </w:t>
      </w:r>
    </w:p>
    <w:p w:rsidR="00000000" w:rsidRDefault="00000000">
      <w:pPr>
        <w:autoSpaceDE w:val="0"/>
        <w:autoSpaceDN w:val="0"/>
        <w:adjustRightInd w:val="0"/>
        <w:spacing w:after="200"/>
      </w:pPr>
      <w:r>
        <w:t>7.</w:t>
      </w:r>
      <w:r>
        <w:tab/>
        <w:t xml:space="preserve">Con relación a los indicadores en el área de educación, el promedio de años de estudio de la población nacional es de diez años y más.  Sin embargo, existe un pronunciado contraste entre la población nacional (7,0 años) en su conjunto, y la indígena (2,2 años).  La población indígena urbana supera levemente este promedio, comparado con sus pares que habitan en áreas rurales (3,2 contra 2,1 años).  Los guaraní occidental presentan el promedio más elevado, mientras que los manjui exhiben el promedio más bajo (5,0 contra 0,7 años, respectivamente).  Otro indicador que refleja con claridad la situación de desventaja en cuanto a la educación formal de la población indígena es la tasa de analfabetismo.  A nivel nacional, ésta afecta al 7,1% de la población de 15 años y más, en tanto que el 51% de los indígenas presenta esta problemática.  Nuevamente, el analfabetismo tiene menor incidencia en la población indígena urbana, en relación a la que reside en área rural (29,2 contra 53,3%, respectivamente).  Los pai tavyterá ostentan el nivel más elevado de analfabetismo (82,0%), mientras que los guaraní occidental se encuentran en una situación más favorable (12,2%).  </w:t>
      </w:r>
    </w:p>
    <w:p w:rsidR="00000000" w:rsidRDefault="00000000">
      <w:pPr>
        <w:autoSpaceDE w:val="0"/>
        <w:autoSpaceDN w:val="0"/>
        <w:adjustRightInd w:val="0"/>
        <w:spacing w:after="200"/>
      </w:pPr>
      <w:r>
        <w:t>8.</w:t>
      </w:r>
      <w:r>
        <w:tab/>
        <w:t>En cuanto la situación habitacional de la población indígena, del total de viviendas particulares indígenas, 5.802 son casas, 10.439 ranchos, 678 viviendas de tipo temporal, 368 galpones y 25 declarados como de "otro" tipo.  El tipo de vivienda mayoritario (rancho), responde al parecer a la ubicación de la mayor parte de la población indígena en áreas rurales, y sobre todo la falta de servicios básicos:  luz eléctrica, agua potable, entre otros, que padecen los pueblos indígenas.  En cuanto al acceso de agua potable, el 2,5% de la población indígena dispone de este beneficio y el 9,7% posee luz eléctrica</w:t>
      </w:r>
      <w:r>
        <w:rPr>
          <w:rStyle w:val="FootnoteReference"/>
        </w:rPr>
        <w:footnoteReference w:id="3"/>
      </w:r>
      <w:r>
        <w:t>.</w:t>
      </w:r>
    </w:p>
    <w:p w:rsidR="00000000" w:rsidRDefault="00000000">
      <w:pPr>
        <w:spacing w:after="240"/>
        <w:jc w:val="center"/>
        <w:rPr>
          <w:b/>
          <w:bCs/>
        </w:rPr>
      </w:pPr>
      <w:r>
        <w:rPr>
          <w:b/>
          <w:bCs/>
        </w:rPr>
        <w:t>D.  Características demográficas del país y de su población</w:t>
      </w:r>
    </w:p>
    <w:p w:rsidR="00000000" w:rsidRDefault="00000000">
      <w:pPr>
        <w:autoSpaceDE w:val="0"/>
        <w:autoSpaceDN w:val="0"/>
        <w:adjustRightInd w:val="0"/>
        <w:spacing w:after="240"/>
        <w:rPr>
          <w:b/>
        </w:rPr>
      </w:pPr>
      <w:r>
        <w:rPr>
          <w:b/>
        </w:rPr>
        <w:t>1.</w:t>
      </w:r>
      <w:r>
        <w:rPr>
          <w:b/>
        </w:rPr>
        <w:tab/>
        <w:t xml:space="preserve">Esperanza de vida al nacer </w:t>
      </w:r>
    </w:p>
    <w:p w:rsidR="00000000" w:rsidRDefault="00000000">
      <w:pPr>
        <w:autoSpaceDE w:val="0"/>
        <w:autoSpaceDN w:val="0"/>
        <w:adjustRightInd w:val="0"/>
        <w:spacing w:after="240"/>
      </w:pPr>
      <w:r>
        <w:t>9.</w:t>
      </w:r>
      <w:r>
        <w:tab/>
        <w:t>La tendencia al ascenso de la esperanza de vida en el Paraguay se consolida.  Esto se debe, entre otros aspectos, a la disminución de la tasa de mortalidad infantil y el mayor grado de información de la población respecto al cuidado, la prevención y el tratamiento de enfermedades.  Por otra parte, tal afianzamiento se debe igualmente al fortalecimiento de la red de salud que se encuentra integrada por instituciones del sector público, privado y organizaciones sin fines de lucro, que activan en distintos ámbitos de la asistencia a la salud y con distribución en todo el país.</w:t>
      </w:r>
    </w:p>
    <w:p w:rsidR="00000000" w:rsidRDefault="00000000">
      <w:pPr>
        <w:autoSpaceDE w:val="0"/>
        <w:autoSpaceDN w:val="0"/>
        <w:adjustRightInd w:val="0"/>
        <w:spacing w:after="240"/>
      </w:pPr>
      <w:r>
        <w:t>10.</w:t>
      </w:r>
      <w:r>
        <w:tab/>
        <w:t>Esperanza de vida:  70,8 (ambos sexos).  La esperanza de vida al nacer sigue aumentando en todos los períodos de la proyección, pasando de 62,6 años en el quinquenio 1950-1955 a 78,44 en 2045-2050.  Este incremento se debe principalmente, a la reducción de la mortalidad a edades tempranas y, en particular, durante el primer año de vida.  Para el quinquenio 2000-2005, la esperanza de vida es de 70,8 años para ambos sexos, siendo 68,6 para los hombres y 73,1 para las mujeres</w:t>
      </w:r>
      <w:r>
        <w:rPr>
          <w:rStyle w:val="FootnoteReference"/>
          <w:szCs w:val="20"/>
        </w:rPr>
        <w:footnoteReference w:id="4"/>
      </w:r>
      <w:r>
        <w:t xml:space="preserve">. </w:t>
      </w:r>
    </w:p>
    <w:p w:rsidR="00000000" w:rsidRDefault="00000000">
      <w:pPr>
        <w:spacing w:after="240"/>
        <w:ind w:firstLine="360"/>
        <w:jc w:val="center"/>
        <w:rPr>
          <w:b/>
          <w:bCs/>
          <w:szCs w:val="20"/>
        </w:rPr>
      </w:pPr>
      <w:r>
        <w:rPr>
          <w:b/>
          <w:szCs w:val="20"/>
        </w:rPr>
        <w:t>Tasa de mortalidad infantil (TMI) y esperanza de vida al nacer</w:t>
      </w:r>
      <w:r>
        <w:rPr>
          <w:b/>
          <w:szCs w:val="20"/>
        </w:rPr>
        <w:br/>
        <w:t>por quinquenio, 1995-2005 (total país)</w:t>
      </w:r>
    </w:p>
    <w:tbl>
      <w:tblPr>
        <w:tblW w:w="9378" w:type="dxa"/>
        <w:jc w:val="center"/>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7"/>
        <w:gridCol w:w="1600"/>
        <w:gridCol w:w="2131"/>
        <w:gridCol w:w="1540"/>
        <w:gridCol w:w="1540"/>
      </w:tblGrid>
      <w:tr w:rsidR="00000000">
        <w:trPr>
          <w:cantSplit/>
          <w:trHeight w:val="270"/>
          <w:jc w:val="center"/>
        </w:trPr>
        <w:tc>
          <w:tcPr>
            <w:tcW w:w="2567" w:type="dxa"/>
            <w:vMerge w:val="restart"/>
            <w:vAlign w:val="center"/>
          </w:tcPr>
          <w:p w:rsidR="00000000" w:rsidRDefault="00000000">
            <w:pPr>
              <w:jc w:val="center"/>
              <w:rPr>
                <w:b/>
                <w:bCs/>
                <w:color w:val="000000"/>
                <w:szCs w:val="20"/>
              </w:rPr>
            </w:pPr>
            <w:r>
              <w:rPr>
                <w:b/>
                <w:bCs/>
                <w:color w:val="000000"/>
                <w:szCs w:val="20"/>
              </w:rPr>
              <w:t>Quinquenio</w:t>
            </w:r>
          </w:p>
        </w:tc>
        <w:tc>
          <w:tcPr>
            <w:tcW w:w="5271" w:type="dxa"/>
            <w:gridSpan w:val="3"/>
            <w:noWrap/>
            <w:vAlign w:val="center"/>
          </w:tcPr>
          <w:p w:rsidR="00000000" w:rsidRDefault="00000000">
            <w:pPr>
              <w:jc w:val="center"/>
              <w:rPr>
                <w:b/>
                <w:bCs/>
                <w:color w:val="000000"/>
                <w:szCs w:val="20"/>
              </w:rPr>
            </w:pPr>
            <w:r>
              <w:rPr>
                <w:b/>
                <w:bCs/>
                <w:color w:val="000000"/>
                <w:szCs w:val="20"/>
              </w:rPr>
              <w:t>Esperanza de vida</w:t>
            </w:r>
          </w:p>
        </w:tc>
        <w:tc>
          <w:tcPr>
            <w:tcW w:w="1540" w:type="dxa"/>
            <w:vMerge w:val="restart"/>
            <w:noWrap/>
            <w:vAlign w:val="center"/>
          </w:tcPr>
          <w:p w:rsidR="00000000" w:rsidRDefault="00000000">
            <w:pPr>
              <w:jc w:val="center"/>
              <w:rPr>
                <w:b/>
                <w:bCs/>
                <w:color w:val="000000"/>
                <w:szCs w:val="20"/>
              </w:rPr>
            </w:pPr>
            <w:r>
              <w:rPr>
                <w:b/>
                <w:bCs/>
                <w:color w:val="000000"/>
                <w:szCs w:val="20"/>
              </w:rPr>
              <w:t>TMI</w:t>
            </w:r>
          </w:p>
          <w:p w:rsidR="00000000" w:rsidRDefault="00000000">
            <w:pPr>
              <w:jc w:val="center"/>
              <w:rPr>
                <w:b/>
                <w:bCs/>
                <w:color w:val="000000"/>
                <w:szCs w:val="20"/>
              </w:rPr>
            </w:pPr>
            <w:r>
              <w:rPr>
                <w:b/>
                <w:bCs/>
                <w:color w:val="000000"/>
                <w:szCs w:val="20"/>
              </w:rPr>
              <w:t>(por 1.000)</w:t>
            </w:r>
          </w:p>
        </w:tc>
      </w:tr>
      <w:tr w:rsidR="00000000">
        <w:trPr>
          <w:cantSplit/>
          <w:trHeight w:val="255"/>
          <w:jc w:val="center"/>
        </w:trPr>
        <w:tc>
          <w:tcPr>
            <w:tcW w:w="2567" w:type="dxa"/>
            <w:vMerge/>
            <w:vAlign w:val="center"/>
          </w:tcPr>
          <w:p w:rsidR="00000000" w:rsidRDefault="00000000">
            <w:pPr>
              <w:jc w:val="center"/>
              <w:rPr>
                <w:b/>
                <w:bCs/>
                <w:color w:val="000000"/>
                <w:szCs w:val="20"/>
              </w:rPr>
            </w:pPr>
          </w:p>
        </w:tc>
        <w:tc>
          <w:tcPr>
            <w:tcW w:w="1600" w:type="dxa"/>
            <w:noWrap/>
            <w:vAlign w:val="center"/>
          </w:tcPr>
          <w:p w:rsidR="00000000" w:rsidRDefault="00000000">
            <w:pPr>
              <w:jc w:val="center"/>
              <w:rPr>
                <w:b/>
                <w:bCs/>
                <w:color w:val="000000"/>
                <w:szCs w:val="20"/>
              </w:rPr>
            </w:pPr>
            <w:r>
              <w:rPr>
                <w:b/>
                <w:bCs/>
                <w:color w:val="000000"/>
                <w:szCs w:val="20"/>
              </w:rPr>
              <w:t>Ambos sexos</w:t>
            </w:r>
          </w:p>
        </w:tc>
        <w:tc>
          <w:tcPr>
            <w:tcW w:w="2131" w:type="dxa"/>
            <w:noWrap/>
            <w:vAlign w:val="center"/>
          </w:tcPr>
          <w:p w:rsidR="00000000" w:rsidRDefault="00000000">
            <w:pPr>
              <w:jc w:val="center"/>
              <w:rPr>
                <w:b/>
                <w:bCs/>
                <w:color w:val="000000"/>
                <w:szCs w:val="20"/>
              </w:rPr>
            </w:pPr>
            <w:r>
              <w:rPr>
                <w:b/>
                <w:bCs/>
                <w:color w:val="000000"/>
                <w:szCs w:val="20"/>
              </w:rPr>
              <w:t>Hombres</w:t>
            </w:r>
          </w:p>
        </w:tc>
        <w:tc>
          <w:tcPr>
            <w:tcW w:w="1540" w:type="dxa"/>
            <w:noWrap/>
            <w:vAlign w:val="center"/>
          </w:tcPr>
          <w:p w:rsidR="00000000" w:rsidRDefault="00000000">
            <w:pPr>
              <w:jc w:val="center"/>
              <w:rPr>
                <w:b/>
                <w:bCs/>
                <w:color w:val="000000"/>
                <w:szCs w:val="20"/>
              </w:rPr>
            </w:pPr>
            <w:r>
              <w:rPr>
                <w:b/>
                <w:bCs/>
                <w:color w:val="000000"/>
                <w:szCs w:val="20"/>
              </w:rPr>
              <w:t>Mujeres</w:t>
            </w:r>
          </w:p>
        </w:tc>
        <w:tc>
          <w:tcPr>
            <w:tcW w:w="1540" w:type="dxa"/>
            <w:vMerge/>
            <w:noWrap/>
            <w:vAlign w:val="center"/>
          </w:tcPr>
          <w:p w:rsidR="00000000" w:rsidRDefault="00000000">
            <w:pPr>
              <w:jc w:val="center"/>
              <w:rPr>
                <w:b/>
                <w:bCs/>
                <w:color w:val="000000"/>
                <w:szCs w:val="20"/>
              </w:rPr>
            </w:pPr>
          </w:p>
        </w:tc>
      </w:tr>
      <w:tr w:rsidR="00000000">
        <w:trPr>
          <w:trHeight w:val="255"/>
          <w:jc w:val="center"/>
        </w:trPr>
        <w:tc>
          <w:tcPr>
            <w:tcW w:w="2567" w:type="dxa"/>
            <w:noWrap/>
            <w:vAlign w:val="bottom"/>
          </w:tcPr>
          <w:p w:rsidR="00000000" w:rsidRDefault="00000000">
            <w:pPr>
              <w:jc w:val="center"/>
              <w:rPr>
                <w:color w:val="000000"/>
                <w:szCs w:val="20"/>
              </w:rPr>
            </w:pPr>
            <w:r>
              <w:rPr>
                <w:color w:val="000000"/>
                <w:szCs w:val="20"/>
              </w:rPr>
              <w:t>1995-2000</w:t>
            </w:r>
          </w:p>
        </w:tc>
        <w:tc>
          <w:tcPr>
            <w:tcW w:w="1600" w:type="dxa"/>
            <w:noWrap/>
            <w:vAlign w:val="bottom"/>
          </w:tcPr>
          <w:p w:rsidR="00000000" w:rsidRDefault="00000000">
            <w:pPr>
              <w:jc w:val="center"/>
              <w:rPr>
                <w:color w:val="000000"/>
                <w:szCs w:val="20"/>
              </w:rPr>
            </w:pPr>
            <w:r>
              <w:rPr>
                <w:color w:val="000000"/>
                <w:szCs w:val="20"/>
              </w:rPr>
              <w:t>69,4</w:t>
            </w:r>
          </w:p>
        </w:tc>
        <w:tc>
          <w:tcPr>
            <w:tcW w:w="2131" w:type="dxa"/>
            <w:noWrap/>
            <w:vAlign w:val="bottom"/>
          </w:tcPr>
          <w:p w:rsidR="00000000" w:rsidRDefault="00000000">
            <w:pPr>
              <w:jc w:val="center"/>
              <w:rPr>
                <w:color w:val="000000"/>
                <w:szCs w:val="20"/>
              </w:rPr>
            </w:pPr>
            <w:r>
              <w:rPr>
                <w:color w:val="000000"/>
                <w:szCs w:val="20"/>
              </w:rPr>
              <w:t>67,2</w:t>
            </w:r>
          </w:p>
        </w:tc>
        <w:tc>
          <w:tcPr>
            <w:tcW w:w="1540" w:type="dxa"/>
            <w:noWrap/>
            <w:vAlign w:val="bottom"/>
          </w:tcPr>
          <w:p w:rsidR="00000000" w:rsidRDefault="00000000">
            <w:pPr>
              <w:jc w:val="center"/>
              <w:rPr>
                <w:color w:val="000000"/>
                <w:szCs w:val="20"/>
              </w:rPr>
            </w:pPr>
            <w:r>
              <w:rPr>
                <w:color w:val="000000"/>
                <w:szCs w:val="20"/>
              </w:rPr>
              <w:t>71,7</w:t>
            </w:r>
          </w:p>
        </w:tc>
        <w:tc>
          <w:tcPr>
            <w:tcW w:w="1540" w:type="dxa"/>
            <w:noWrap/>
            <w:vAlign w:val="bottom"/>
          </w:tcPr>
          <w:p w:rsidR="00000000" w:rsidRDefault="00000000">
            <w:pPr>
              <w:jc w:val="center"/>
              <w:rPr>
                <w:color w:val="000000"/>
                <w:szCs w:val="20"/>
              </w:rPr>
            </w:pPr>
            <w:r>
              <w:rPr>
                <w:color w:val="000000"/>
                <w:szCs w:val="20"/>
              </w:rPr>
              <w:t>39,2</w:t>
            </w:r>
          </w:p>
        </w:tc>
      </w:tr>
      <w:tr w:rsidR="00000000">
        <w:trPr>
          <w:trHeight w:val="270"/>
          <w:jc w:val="center"/>
        </w:trPr>
        <w:tc>
          <w:tcPr>
            <w:tcW w:w="2567" w:type="dxa"/>
            <w:noWrap/>
            <w:vAlign w:val="bottom"/>
          </w:tcPr>
          <w:p w:rsidR="00000000" w:rsidRDefault="00000000">
            <w:pPr>
              <w:jc w:val="center"/>
              <w:rPr>
                <w:color w:val="000000"/>
                <w:szCs w:val="20"/>
              </w:rPr>
            </w:pPr>
            <w:r>
              <w:rPr>
                <w:color w:val="000000"/>
                <w:szCs w:val="20"/>
              </w:rPr>
              <w:t>2000-2005</w:t>
            </w:r>
          </w:p>
        </w:tc>
        <w:tc>
          <w:tcPr>
            <w:tcW w:w="1600" w:type="dxa"/>
            <w:noWrap/>
            <w:vAlign w:val="bottom"/>
          </w:tcPr>
          <w:p w:rsidR="00000000" w:rsidRDefault="00000000">
            <w:pPr>
              <w:jc w:val="center"/>
              <w:rPr>
                <w:color w:val="000000"/>
                <w:szCs w:val="20"/>
              </w:rPr>
            </w:pPr>
            <w:r>
              <w:rPr>
                <w:color w:val="000000"/>
                <w:szCs w:val="20"/>
              </w:rPr>
              <w:t>70,8</w:t>
            </w:r>
          </w:p>
        </w:tc>
        <w:tc>
          <w:tcPr>
            <w:tcW w:w="2131" w:type="dxa"/>
            <w:noWrap/>
            <w:vAlign w:val="bottom"/>
          </w:tcPr>
          <w:p w:rsidR="00000000" w:rsidRDefault="00000000">
            <w:pPr>
              <w:jc w:val="center"/>
              <w:rPr>
                <w:color w:val="000000"/>
                <w:szCs w:val="20"/>
              </w:rPr>
            </w:pPr>
            <w:r>
              <w:rPr>
                <w:color w:val="000000"/>
                <w:szCs w:val="20"/>
              </w:rPr>
              <w:t>68,7</w:t>
            </w:r>
          </w:p>
        </w:tc>
        <w:tc>
          <w:tcPr>
            <w:tcW w:w="1540" w:type="dxa"/>
            <w:noWrap/>
            <w:vAlign w:val="bottom"/>
          </w:tcPr>
          <w:p w:rsidR="00000000" w:rsidRDefault="00000000">
            <w:pPr>
              <w:jc w:val="center"/>
              <w:rPr>
                <w:color w:val="000000"/>
                <w:szCs w:val="20"/>
              </w:rPr>
            </w:pPr>
            <w:r>
              <w:rPr>
                <w:color w:val="000000"/>
                <w:szCs w:val="20"/>
              </w:rPr>
              <w:t>72,9</w:t>
            </w:r>
          </w:p>
        </w:tc>
        <w:tc>
          <w:tcPr>
            <w:tcW w:w="1540" w:type="dxa"/>
            <w:noWrap/>
            <w:vAlign w:val="bottom"/>
          </w:tcPr>
          <w:p w:rsidR="00000000" w:rsidRDefault="00000000">
            <w:pPr>
              <w:jc w:val="center"/>
              <w:rPr>
                <w:color w:val="000000"/>
                <w:szCs w:val="20"/>
              </w:rPr>
            </w:pPr>
            <w:r>
              <w:rPr>
                <w:color w:val="000000"/>
                <w:szCs w:val="20"/>
              </w:rPr>
              <w:t>35,5</w:t>
            </w:r>
          </w:p>
        </w:tc>
      </w:tr>
    </w:tbl>
    <w:p w:rsidR="00000000" w:rsidRDefault="00000000">
      <w:pPr>
        <w:pStyle w:val="BodyText"/>
        <w:spacing w:before="240" w:after="480"/>
        <w:jc w:val="left"/>
        <w:rPr>
          <w:szCs w:val="20"/>
          <w:lang w:val="es-ES"/>
        </w:rPr>
      </w:pPr>
      <w:r>
        <w:rPr>
          <w:i/>
          <w:iCs/>
          <w:szCs w:val="20"/>
          <w:lang w:val="es-ES"/>
        </w:rPr>
        <w:t>Fuente</w:t>
      </w:r>
      <w:r>
        <w:rPr>
          <w:szCs w:val="20"/>
          <w:lang w:val="es-ES"/>
        </w:rPr>
        <w:t>:  Dirección General de Estadísticas, Encuestas y Censo, 2003</w:t>
      </w:r>
      <w:r>
        <w:rPr>
          <w:i/>
          <w:iCs/>
          <w:color w:val="000000"/>
          <w:szCs w:val="16"/>
        </w:rPr>
        <w:t xml:space="preserve">.  </w:t>
      </w:r>
      <w:r>
        <w:rPr>
          <w:color w:val="000000"/>
          <w:szCs w:val="16"/>
        </w:rPr>
        <w:t>STP/DGEEC, Proyección de la población nacional por sexo y edad, 1950-2050.</w:t>
      </w:r>
    </w:p>
    <w:p w:rsidR="00000000" w:rsidRDefault="00000000">
      <w:pPr>
        <w:autoSpaceDE w:val="0"/>
        <w:autoSpaceDN w:val="0"/>
        <w:adjustRightInd w:val="0"/>
        <w:spacing w:after="240"/>
      </w:pPr>
      <w:r>
        <w:t>11.</w:t>
      </w:r>
      <w:r>
        <w:tab/>
        <w:t>En los últimos cinco años, la esperanza de vida al nacer ha aumentado en un año en la población general del país.  En los hombres, el aumento ha sido de 0,5 años, y en las mujeres, el aumento ha sido mayor a un año.</w:t>
      </w:r>
    </w:p>
    <w:p w:rsidR="00000000" w:rsidRDefault="00000000">
      <w:pPr>
        <w:autoSpaceDE w:val="0"/>
        <w:autoSpaceDN w:val="0"/>
        <w:adjustRightInd w:val="0"/>
        <w:spacing w:after="240"/>
      </w:pPr>
      <w:r>
        <w:t>12.</w:t>
      </w:r>
      <w:r>
        <w:tab/>
        <w:t xml:space="preserve">Como se puede apreciar, el aumento de la esperanza de vida al nacer para hombres como para mujeres se mantiene relativamente similar para ambos sexos.  Sin embargo, las mujeres se ven ligeramente más favorecidas.  </w:t>
      </w:r>
    </w:p>
    <w:p w:rsidR="00000000" w:rsidRDefault="00000000">
      <w:pPr>
        <w:pStyle w:val="BodyText"/>
        <w:jc w:val="left"/>
        <w:rPr>
          <w:b/>
          <w:color w:val="000000"/>
        </w:rPr>
      </w:pPr>
      <w:r>
        <w:rPr>
          <w:b/>
          <w:color w:val="000000"/>
        </w:rPr>
        <w:t>2.</w:t>
      </w:r>
      <w:r>
        <w:rPr>
          <w:b/>
          <w:color w:val="000000"/>
        </w:rPr>
        <w:tab/>
        <w:t>Mortalidad infantil</w:t>
      </w:r>
    </w:p>
    <w:p w:rsidR="00000000" w:rsidRDefault="00000000">
      <w:pPr>
        <w:autoSpaceDE w:val="0"/>
        <w:autoSpaceDN w:val="0"/>
        <w:adjustRightInd w:val="0"/>
        <w:spacing w:after="240"/>
      </w:pPr>
      <w:r>
        <w:t>13.</w:t>
      </w:r>
      <w:r>
        <w:tab/>
        <w:t>En el Paraguay, se estima que anualmente mueren en promedio cerca de 38 niños por cada 1.000 nacidos vivos.  Esto implica que mueren 38 niños que antes de cumplir el primer año de vida (si bien existe un subregistro del 50%).</w:t>
      </w:r>
    </w:p>
    <w:p w:rsidR="00000000" w:rsidRDefault="00000000">
      <w:pPr>
        <w:autoSpaceDE w:val="0"/>
        <w:autoSpaceDN w:val="0"/>
        <w:adjustRightInd w:val="0"/>
        <w:spacing w:after="240"/>
      </w:pPr>
      <w:r>
        <w:t>14.</w:t>
      </w:r>
      <w:r>
        <w:tab/>
        <w:t>Desde 1994 a la actualidad, la tasa de mortalidad infantil ha mostrado una tendencia a decrecer, aunque en forma leve, pero aún persisten diferencias regionales y socioeconómicas, así como por grado de urbanización, en los niveles de mortalidad de los niños.  Entre la población indígena, la población rural y la población pobre, se presume que esta tasa podría alcanzar niveles más elevados.  En los grupos con elevados niveles de analfabetismo, la tasa de mortalidad infantil es más alta que la observada en aquellos grupos con seis años de escolaridad.  La mortalidad infantil afecta, mayoritariamente, a los niños de familias más pobres.</w:t>
      </w:r>
    </w:p>
    <w:p w:rsidR="00000000" w:rsidRDefault="00000000">
      <w:pPr>
        <w:spacing w:after="240"/>
        <w:jc w:val="center"/>
        <w:rPr>
          <w:b/>
          <w:szCs w:val="16"/>
        </w:rPr>
      </w:pPr>
      <w:r>
        <w:rPr>
          <w:b/>
        </w:rPr>
        <w:t xml:space="preserve">Mortalidad infantil registrada y estimada </w:t>
      </w:r>
      <w:r>
        <w:rPr>
          <w:b/>
        </w:rPr>
        <w:br/>
        <w:t>según años, Paraguay, 1992-2003</w:t>
      </w:r>
    </w:p>
    <w:tbl>
      <w:tblPr>
        <w:tblW w:w="0" w:type="auto"/>
        <w:jc w:val="center"/>
        <w:tblInd w:w="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0"/>
        <w:gridCol w:w="2040"/>
        <w:gridCol w:w="2020"/>
      </w:tblGrid>
      <w:tr w:rsidR="00000000">
        <w:tblPrEx>
          <w:tblCellMar>
            <w:top w:w="0" w:type="dxa"/>
            <w:bottom w:w="0" w:type="dxa"/>
          </w:tblCellMar>
        </w:tblPrEx>
        <w:trPr>
          <w:jc w:val="center"/>
        </w:trPr>
        <w:tc>
          <w:tcPr>
            <w:tcW w:w="1680" w:type="dxa"/>
            <w:vAlign w:val="center"/>
          </w:tcPr>
          <w:p w:rsidR="00000000" w:rsidRDefault="00000000">
            <w:pPr>
              <w:spacing w:line="228" w:lineRule="auto"/>
              <w:jc w:val="center"/>
              <w:rPr>
                <w:b/>
                <w:bCs/>
                <w:szCs w:val="16"/>
              </w:rPr>
            </w:pPr>
            <w:r>
              <w:rPr>
                <w:b/>
                <w:bCs/>
                <w:szCs w:val="16"/>
              </w:rPr>
              <w:t>Año</w:t>
            </w:r>
          </w:p>
        </w:tc>
        <w:tc>
          <w:tcPr>
            <w:tcW w:w="2040" w:type="dxa"/>
            <w:vAlign w:val="center"/>
          </w:tcPr>
          <w:p w:rsidR="00000000" w:rsidRDefault="00000000">
            <w:pPr>
              <w:spacing w:line="228" w:lineRule="auto"/>
              <w:jc w:val="center"/>
              <w:rPr>
                <w:b/>
                <w:bCs/>
                <w:szCs w:val="16"/>
              </w:rPr>
            </w:pPr>
            <w:r>
              <w:rPr>
                <w:b/>
                <w:bCs/>
                <w:szCs w:val="16"/>
              </w:rPr>
              <w:t xml:space="preserve">Tasa registrada </w:t>
            </w:r>
            <w:r>
              <w:rPr>
                <w:b/>
                <w:bCs/>
                <w:szCs w:val="16"/>
              </w:rPr>
              <w:br/>
              <w:t xml:space="preserve">por 1.000 </w:t>
            </w:r>
            <w:r>
              <w:rPr>
                <w:b/>
                <w:bCs/>
                <w:szCs w:val="16"/>
              </w:rPr>
              <w:br/>
              <w:t>nacidos vivos</w:t>
            </w:r>
          </w:p>
        </w:tc>
        <w:tc>
          <w:tcPr>
            <w:tcW w:w="2020" w:type="dxa"/>
            <w:vAlign w:val="center"/>
          </w:tcPr>
          <w:p w:rsidR="00000000" w:rsidRDefault="00000000">
            <w:pPr>
              <w:spacing w:line="228" w:lineRule="auto"/>
              <w:jc w:val="center"/>
              <w:rPr>
                <w:b/>
                <w:bCs/>
                <w:szCs w:val="16"/>
              </w:rPr>
            </w:pPr>
            <w:r>
              <w:rPr>
                <w:b/>
                <w:bCs/>
                <w:szCs w:val="16"/>
              </w:rPr>
              <w:t xml:space="preserve">Tasa estimada </w:t>
            </w:r>
            <w:r>
              <w:rPr>
                <w:b/>
                <w:bCs/>
                <w:szCs w:val="16"/>
              </w:rPr>
              <w:br/>
              <w:t xml:space="preserve">por 1.000 </w:t>
            </w:r>
            <w:r>
              <w:rPr>
                <w:b/>
                <w:bCs/>
                <w:szCs w:val="16"/>
              </w:rPr>
              <w:br/>
              <w:t>nacidos vivos</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1992</w:t>
            </w:r>
          </w:p>
        </w:tc>
        <w:tc>
          <w:tcPr>
            <w:tcW w:w="2040" w:type="dxa"/>
          </w:tcPr>
          <w:p w:rsidR="00000000" w:rsidRDefault="00000000">
            <w:pPr>
              <w:spacing w:line="228" w:lineRule="auto"/>
              <w:jc w:val="center"/>
              <w:rPr>
                <w:szCs w:val="16"/>
              </w:rPr>
            </w:pPr>
            <w:r>
              <w:rPr>
                <w:szCs w:val="16"/>
              </w:rPr>
              <w:t>21,4</w:t>
            </w:r>
          </w:p>
        </w:tc>
        <w:tc>
          <w:tcPr>
            <w:tcW w:w="2020" w:type="dxa"/>
          </w:tcPr>
          <w:p w:rsidR="00000000" w:rsidRDefault="00000000">
            <w:pPr>
              <w:tabs>
                <w:tab w:val="decimal" w:pos="1123"/>
              </w:tabs>
              <w:spacing w:line="228" w:lineRule="auto"/>
              <w:rPr>
                <w:szCs w:val="16"/>
              </w:rPr>
            </w:pPr>
            <w:r>
              <w:rPr>
                <w:szCs w:val="16"/>
              </w:rPr>
              <w:t>43,5</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1993</w:t>
            </w:r>
          </w:p>
        </w:tc>
        <w:tc>
          <w:tcPr>
            <w:tcW w:w="2040" w:type="dxa"/>
          </w:tcPr>
          <w:p w:rsidR="00000000" w:rsidRDefault="00000000">
            <w:pPr>
              <w:spacing w:line="228" w:lineRule="auto"/>
              <w:jc w:val="center"/>
              <w:rPr>
                <w:szCs w:val="16"/>
              </w:rPr>
            </w:pPr>
            <w:r>
              <w:rPr>
                <w:szCs w:val="16"/>
              </w:rPr>
              <w:t>24,8</w:t>
            </w:r>
          </w:p>
        </w:tc>
        <w:tc>
          <w:tcPr>
            <w:tcW w:w="2020" w:type="dxa"/>
          </w:tcPr>
          <w:p w:rsidR="00000000" w:rsidRDefault="00000000">
            <w:pPr>
              <w:tabs>
                <w:tab w:val="decimal" w:pos="1123"/>
              </w:tabs>
              <w:spacing w:line="228" w:lineRule="auto"/>
              <w:rPr>
                <w:szCs w:val="16"/>
              </w:rPr>
            </w:pPr>
            <w:r>
              <w:rPr>
                <w:szCs w:val="16"/>
              </w:rPr>
              <w:t>42,7</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1994</w:t>
            </w:r>
          </w:p>
        </w:tc>
        <w:tc>
          <w:tcPr>
            <w:tcW w:w="2040" w:type="dxa"/>
          </w:tcPr>
          <w:p w:rsidR="00000000" w:rsidRDefault="00000000">
            <w:pPr>
              <w:spacing w:line="228" w:lineRule="auto"/>
              <w:jc w:val="center"/>
              <w:rPr>
                <w:szCs w:val="16"/>
              </w:rPr>
            </w:pPr>
            <w:r>
              <w:rPr>
                <w:szCs w:val="16"/>
              </w:rPr>
              <w:t>21,7</w:t>
            </w:r>
          </w:p>
        </w:tc>
        <w:tc>
          <w:tcPr>
            <w:tcW w:w="2020" w:type="dxa"/>
          </w:tcPr>
          <w:p w:rsidR="00000000" w:rsidRDefault="00000000">
            <w:pPr>
              <w:tabs>
                <w:tab w:val="decimal" w:pos="1123"/>
              </w:tabs>
              <w:spacing w:line="228" w:lineRule="auto"/>
              <w:rPr>
                <w:szCs w:val="16"/>
              </w:rPr>
            </w:pPr>
            <w:r>
              <w:rPr>
                <w:szCs w:val="16"/>
              </w:rPr>
              <w:t>42</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1995</w:t>
            </w:r>
          </w:p>
        </w:tc>
        <w:tc>
          <w:tcPr>
            <w:tcW w:w="2040" w:type="dxa"/>
          </w:tcPr>
          <w:p w:rsidR="00000000" w:rsidRDefault="00000000">
            <w:pPr>
              <w:spacing w:line="228" w:lineRule="auto"/>
              <w:jc w:val="center"/>
              <w:rPr>
                <w:szCs w:val="16"/>
              </w:rPr>
            </w:pPr>
            <w:r>
              <w:rPr>
                <w:szCs w:val="16"/>
              </w:rPr>
              <w:t>19,7</w:t>
            </w:r>
          </w:p>
        </w:tc>
        <w:tc>
          <w:tcPr>
            <w:tcW w:w="2020" w:type="dxa"/>
          </w:tcPr>
          <w:p w:rsidR="00000000" w:rsidRDefault="00000000">
            <w:pPr>
              <w:tabs>
                <w:tab w:val="decimal" w:pos="1123"/>
              </w:tabs>
              <w:spacing w:line="228" w:lineRule="auto"/>
              <w:rPr>
                <w:szCs w:val="16"/>
              </w:rPr>
            </w:pPr>
            <w:r>
              <w:rPr>
                <w:szCs w:val="16"/>
              </w:rPr>
              <w:t>41,2</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1996</w:t>
            </w:r>
          </w:p>
        </w:tc>
        <w:tc>
          <w:tcPr>
            <w:tcW w:w="2040" w:type="dxa"/>
          </w:tcPr>
          <w:p w:rsidR="00000000" w:rsidRDefault="00000000">
            <w:pPr>
              <w:spacing w:line="228" w:lineRule="auto"/>
              <w:jc w:val="center"/>
              <w:rPr>
                <w:szCs w:val="16"/>
              </w:rPr>
            </w:pPr>
            <w:r>
              <w:rPr>
                <w:szCs w:val="16"/>
              </w:rPr>
              <w:t>20,9</w:t>
            </w:r>
          </w:p>
        </w:tc>
        <w:tc>
          <w:tcPr>
            <w:tcW w:w="2020" w:type="dxa"/>
          </w:tcPr>
          <w:p w:rsidR="00000000" w:rsidRDefault="00000000">
            <w:pPr>
              <w:tabs>
                <w:tab w:val="decimal" w:pos="1123"/>
              </w:tabs>
              <w:spacing w:line="228" w:lineRule="auto"/>
              <w:rPr>
                <w:szCs w:val="16"/>
              </w:rPr>
            </w:pPr>
            <w:r>
              <w:rPr>
                <w:szCs w:val="16"/>
              </w:rPr>
              <w:t>40,6</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1997</w:t>
            </w:r>
          </w:p>
        </w:tc>
        <w:tc>
          <w:tcPr>
            <w:tcW w:w="2040" w:type="dxa"/>
          </w:tcPr>
          <w:p w:rsidR="00000000" w:rsidRDefault="00000000">
            <w:pPr>
              <w:spacing w:line="228" w:lineRule="auto"/>
              <w:jc w:val="center"/>
              <w:rPr>
                <w:szCs w:val="16"/>
              </w:rPr>
            </w:pPr>
            <w:r>
              <w:rPr>
                <w:szCs w:val="16"/>
              </w:rPr>
              <w:t>19,7</w:t>
            </w:r>
          </w:p>
        </w:tc>
        <w:tc>
          <w:tcPr>
            <w:tcW w:w="2020" w:type="dxa"/>
          </w:tcPr>
          <w:p w:rsidR="00000000" w:rsidRDefault="00000000">
            <w:pPr>
              <w:tabs>
                <w:tab w:val="decimal" w:pos="1123"/>
              </w:tabs>
              <w:spacing w:line="228" w:lineRule="auto"/>
              <w:rPr>
                <w:szCs w:val="16"/>
              </w:rPr>
            </w:pPr>
            <w:r>
              <w:rPr>
                <w:szCs w:val="16"/>
              </w:rPr>
              <w:t>39,9</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1998</w:t>
            </w:r>
          </w:p>
        </w:tc>
        <w:tc>
          <w:tcPr>
            <w:tcW w:w="2040" w:type="dxa"/>
          </w:tcPr>
          <w:p w:rsidR="00000000" w:rsidRDefault="00000000">
            <w:pPr>
              <w:spacing w:line="228" w:lineRule="auto"/>
              <w:jc w:val="center"/>
              <w:rPr>
                <w:szCs w:val="16"/>
              </w:rPr>
            </w:pPr>
            <w:r>
              <w:rPr>
                <w:szCs w:val="16"/>
              </w:rPr>
              <w:t>19,6</w:t>
            </w:r>
          </w:p>
        </w:tc>
        <w:tc>
          <w:tcPr>
            <w:tcW w:w="2020" w:type="dxa"/>
          </w:tcPr>
          <w:p w:rsidR="00000000" w:rsidRDefault="00000000">
            <w:pPr>
              <w:tabs>
                <w:tab w:val="decimal" w:pos="1123"/>
              </w:tabs>
              <w:spacing w:line="228" w:lineRule="auto"/>
              <w:rPr>
                <w:szCs w:val="16"/>
              </w:rPr>
            </w:pPr>
            <w:r>
              <w:rPr>
                <w:szCs w:val="16"/>
              </w:rPr>
              <w:t>39,3</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1999</w:t>
            </w:r>
          </w:p>
        </w:tc>
        <w:tc>
          <w:tcPr>
            <w:tcW w:w="2040" w:type="dxa"/>
          </w:tcPr>
          <w:p w:rsidR="00000000" w:rsidRDefault="00000000">
            <w:pPr>
              <w:spacing w:line="228" w:lineRule="auto"/>
              <w:jc w:val="center"/>
              <w:rPr>
                <w:szCs w:val="16"/>
              </w:rPr>
            </w:pPr>
            <w:r>
              <w:rPr>
                <w:szCs w:val="16"/>
              </w:rPr>
              <w:t>19,4</w:t>
            </w:r>
          </w:p>
        </w:tc>
        <w:tc>
          <w:tcPr>
            <w:tcW w:w="2020" w:type="dxa"/>
          </w:tcPr>
          <w:p w:rsidR="00000000" w:rsidRDefault="00000000">
            <w:pPr>
              <w:tabs>
                <w:tab w:val="decimal" w:pos="1123"/>
              </w:tabs>
              <w:spacing w:line="228" w:lineRule="auto"/>
              <w:rPr>
                <w:szCs w:val="16"/>
              </w:rPr>
            </w:pPr>
            <w:r>
              <w:rPr>
                <w:szCs w:val="16"/>
              </w:rPr>
              <w:t>38,7</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2000</w:t>
            </w:r>
          </w:p>
        </w:tc>
        <w:tc>
          <w:tcPr>
            <w:tcW w:w="2040" w:type="dxa"/>
          </w:tcPr>
          <w:p w:rsidR="00000000" w:rsidRDefault="00000000">
            <w:pPr>
              <w:spacing w:line="228" w:lineRule="auto"/>
              <w:jc w:val="center"/>
              <w:rPr>
                <w:szCs w:val="16"/>
              </w:rPr>
            </w:pPr>
            <w:r>
              <w:rPr>
                <w:szCs w:val="16"/>
              </w:rPr>
              <w:t>20,2</w:t>
            </w:r>
          </w:p>
        </w:tc>
        <w:tc>
          <w:tcPr>
            <w:tcW w:w="2020" w:type="dxa"/>
          </w:tcPr>
          <w:p w:rsidR="00000000" w:rsidRDefault="00000000">
            <w:pPr>
              <w:tabs>
                <w:tab w:val="decimal" w:pos="1123"/>
              </w:tabs>
              <w:spacing w:line="228" w:lineRule="auto"/>
              <w:rPr>
                <w:szCs w:val="16"/>
              </w:rPr>
            </w:pPr>
            <w:r>
              <w:rPr>
                <w:szCs w:val="16"/>
              </w:rPr>
              <w:t>38,1</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2001</w:t>
            </w:r>
          </w:p>
        </w:tc>
        <w:tc>
          <w:tcPr>
            <w:tcW w:w="2040" w:type="dxa"/>
          </w:tcPr>
          <w:p w:rsidR="00000000" w:rsidRDefault="00000000">
            <w:pPr>
              <w:spacing w:line="228" w:lineRule="auto"/>
              <w:jc w:val="center"/>
              <w:rPr>
                <w:szCs w:val="16"/>
              </w:rPr>
            </w:pPr>
            <w:r>
              <w:rPr>
                <w:szCs w:val="16"/>
              </w:rPr>
              <w:t>19,7</w:t>
            </w:r>
          </w:p>
        </w:tc>
        <w:tc>
          <w:tcPr>
            <w:tcW w:w="2020" w:type="dxa"/>
          </w:tcPr>
          <w:p w:rsidR="00000000" w:rsidRDefault="00000000">
            <w:pPr>
              <w:tabs>
                <w:tab w:val="decimal" w:pos="1123"/>
              </w:tabs>
              <w:spacing w:line="228" w:lineRule="auto"/>
              <w:rPr>
                <w:szCs w:val="16"/>
              </w:rPr>
            </w:pPr>
            <w:r>
              <w:rPr>
                <w:szCs w:val="16"/>
              </w:rPr>
              <w:t>37,5</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2002</w:t>
            </w:r>
          </w:p>
        </w:tc>
        <w:tc>
          <w:tcPr>
            <w:tcW w:w="2040" w:type="dxa"/>
          </w:tcPr>
          <w:p w:rsidR="00000000" w:rsidRDefault="00000000">
            <w:pPr>
              <w:spacing w:line="228" w:lineRule="auto"/>
              <w:jc w:val="center"/>
              <w:rPr>
                <w:szCs w:val="16"/>
              </w:rPr>
            </w:pPr>
            <w:r>
              <w:rPr>
                <w:szCs w:val="16"/>
              </w:rPr>
              <w:t>19,6</w:t>
            </w:r>
          </w:p>
        </w:tc>
        <w:tc>
          <w:tcPr>
            <w:tcW w:w="2020" w:type="dxa"/>
          </w:tcPr>
          <w:p w:rsidR="00000000" w:rsidRDefault="00000000">
            <w:pPr>
              <w:tabs>
                <w:tab w:val="decimal" w:pos="1123"/>
              </w:tabs>
              <w:spacing w:line="228" w:lineRule="auto"/>
              <w:rPr>
                <w:szCs w:val="16"/>
              </w:rPr>
            </w:pPr>
            <w:r>
              <w:rPr>
                <w:szCs w:val="16"/>
              </w:rPr>
              <w:t>33,3</w:t>
            </w:r>
          </w:p>
        </w:tc>
      </w:tr>
      <w:tr w:rsidR="00000000">
        <w:tblPrEx>
          <w:tblCellMar>
            <w:top w:w="0" w:type="dxa"/>
            <w:bottom w:w="0" w:type="dxa"/>
          </w:tblCellMar>
        </w:tblPrEx>
        <w:trPr>
          <w:jc w:val="center"/>
        </w:trPr>
        <w:tc>
          <w:tcPr>
            <w:tcW w:w="1680" w:type="dxa"/>
          </w:tcPr>
          <w:p w:rsidR="00000000" w:rsidRDefault="00000000">
            <w:pPr>
              <w:spacing w:line="228" w:lineRule="auto"/>
              <w:jc w:val="center"/>
              <w:rPr>
                <w:szCs w:val="16"/>
              </w:rPr>
            </w:pPr>
            <w:r>
              <w:rPr>
                <w:szCs w:val="16"/>
              </w:rPr>
              <w:t>2003</w:t>
            </w:r>
          </w:p>
        </w:tc>
        <w:tc>
          <w:tcPr>
            <w:tcW w:w="2040" w:type="dxa"/>
          </w:tcPr>
          <w:p w:rsidR="00000000" w:rsidRDefault="00000000">
            <w:pPr>
              <w:spacing w:line="228" w:lineRule="auto"/>
              <w:jc w:val="center"/>
              <w:rPr>
                <w:szCs w:val="16"/>
              </w:rPr>
            </w:pPr>
            <w:r>
              <w:rPr>
                <w:szCs w:val="16"/>
              </w:rPr>
              <w:t>19,4</w:t>
            </w:r>
          </w:p>
        </w:tc>
        <w:tc>
          <w:tcPr>
            <w:tcW w:w="2020" w:type="dxa"/>
          </w:tcPr>
          <w:p w:rsidR="00000000" w:rsidRDefault="00000000">
            <w:pPr>
              <w:tabs>
                <w:tab w:val="decimal" w:pos="1123"/>
              </w:tabs>
              <w:spacing w:line="228" w:lineRule="auto"/>
              <w:rPr>
                <w:szCs w:val="16"/>
              </w:rPr>
            </w:pPr>
            <w:r>
              <w:rPr>
                <w:szCs w:val="16"/>
              </w:rPr>
              <w:t>33,1</w:t>
            </w:r>
          </w:p>
        </w:tc>
      </w:tr>
    </w:tbl>
    <w:p w:rsidR="00000000" w:rsidRDefault="00000000">
      <w:pPr>
        <w:spacing w:before="240" w:after="400"/>
        <w:ind w:left="1800"/>
        <w:rPr>
          <w:szCs w:val="20"/>
        </w:rPr>
      </w:pPr>
      <w:r>
        <w:rPr>
          <w:i/>
          <w:iCs/>
          <w:szCs w:val="20"/>
        </w:rPr>
        <w:t>Fuente</w:t>
      </w:r>
      <w:r>
        <w:rPr>
          <w:szCs w:val="20"/>
        </w:rPr>
        <w:t xml:space="preserve">:  Indicadores de Mortalidad.  Departamento </w:t>
      </w:r>
      <w:r>
        <w:rPr>
          <w:szCs w:val="20"/>
        </w:rPr>
        <w:br/>
        <w:t>de Bioestadística, M.S.P. y B.S.</w:t>
      </w:r>
    </w:p>
    <w:p w:rsidR="00000000" w:rsidRDefault="00000000">
      <w:pPr>
        <w:autoSpaceDE w:val="0"/>
        <w:autoSpaceDN w:val="0"/>
        <w:adjustRightInd w:val="0"/>
        <w:spacing w:after="240"/>
      </w:pPr>
      <w:r>
        <w:t>15.</w:t>
      </w:r>
      <w:r>
        <w:tab/>
        <w:t>Por otra parte, el subregistro de nacimientos, de 59,45, impediría conocer con mayor precisión si el riesgo de morir por enfermedades transmisibles había disminuido entre los menores de 1 año</w:t>
      </w:r>
      <w:r>
        <w:rPr>
          <w:b/>
          <w:bCs/>
          <w:vertAlign w:val="superscript"/>
        </w:rPr>
        <w:footnoteReference w:id="5"/>
      </w:r>
      <w:r>
        <w:t xml:space="preserve">. </w:t>
      </w:r>
    </w:p>
    <w:p w:rsidR="00000000" w:rsidRDefault="00000000">
      <w:pPr>
        <w:autoSpaceDE w:val="0"/>
        <w:autoSpaceDN w:val="0"/>
        <w:adjustRightInd w:val="0"/>
        <w:spacing w:after="200"/>
      </w:pPr>
      <w:r>
        <w:t>16.</w:t>
      </w:r>
      <w:r>
        <w:tab/>
        <w:t>Sin embargo, la tasa de mortalidad infantil, a partir de 1997 (19,6) a 2003 (19,2), se mantiene prácticamente estable.  Con respecto a la mortalidad neonatal, desde 1995 (11,18) a 2003 (11,7), experimentó un ligero descenso, aunque la tendencia de la misma no ha disminuido en los diez últimos años.  En 2003, de los menores de 1 año (1.632)</w:t>
      </w:r>
      <w:r>
        <w:rPr>
          <w:b/>
          <w:bCs/>
          <w:vertAlign w:val="superscript"/>
        </w:rPr>
        <w:footnoteReference w:id="6"/>
      </w:r>
      <w:r>
        <w:t xml:space="preserve"> que fallecieron, 1.007 corresponden a menores de 28 días de vida (mortalidad neonatal), lo que significa que el 60% de las muertes infantiles ocurren antes del mes de vida y están relacionadas estrechamente al embarazo, parto y puerperio y su atención.  Si se incluye prematuridad, la proporción asciende a 69,7%.  El comportamiento de las tasas y tendencia de mortalidad perinatal es similar a la neonatal.  En este caso, se puede apreciar que se ha disminuido levemente de 19,6 por 1.000 nacidos vivos en 1992, a 19,4 en 2003.  </w:t>
      </w:r>
    </w:p>
    <w:p w:rsidR="00000000" w:rsidRDefault="00000000">
      <w:pPr>
        <w:autoSpaceDE w:val="0"/>
        <w:autoSpaceDN w:val="0"/>
        <w:adjustRightInd w:val="0"/>
        <w:spacing w:after="200"/>
      </w:pPr>
      <w:r>
        <w:t>17.</w:t>
      </w:r>
      <w:r>
        <w:tab/>
        <w:t xml:space="preserve">Las tasas de mortalidad neonatal más altas, la presentan las regiones de Ñeembucú, Guairá y Amambay.  Las tasas de mortalidad infantil más altas, se registran en las regiones de Boquerón, Alto Paraná y Amambay.  En general, en los menores de 5 años, las tasas de mortalidad más elevadas las presentan los departamentos del Alto Paraguay y Boquerón, aunque han disminuido levemente, ambas regiones mantienen el primer y segundo lugar, como en 1992.  </w:t>
      </w:r>
    </w:p>
    <w:p w:rsidR="00000000" w:rsidRDefault="00000000">
      <w:pPr>
        <w:autoSpaceDE w:val="0"/>
        <w:autoSpaceDN w:val="0"/>
        <w:adjustRightInd w:val="0"/>
        <w:spacing w:after="200"/>
      </w:pPr>
      <w:r>
        <w:t>18.</w:t>
      </w:r>
      <w:r>
        <w:tab/>
        <w:t xml:space="preserve">Con relación a las causas de muertes infantiles en 2003, continúa la tendencia de años anteriores y demuestran que las patologías relacionadas al embarazo, parto y puerperio de las madres y su atención son las más frecuentes, constituyendo el 40% y casi un 70% si se incluye prematuridad.  </w:t>
      </w:r>
    </w:p>
    <w:p w:rsidR="00000000" w:rsidRDefault="00000000">
      <w:pPr>
        <w:spacing w:after="200"/>
        <w:ind w:left="567"/>
        <w:rPr>
          <w:b/>
        </w:rPr>
      </w:pPr>
      <w:r>
        <w:rPr>
          <w:b/>
        </w:rPr>
        <w:t>2.1.</w:t>
      </w:r>
      <w:r>
        <w:rPr>
          <w:b/>
        </w:rPr>
        <w:tab/>
        <w:t>Muertes por inmunoprevenibles</w:t>
      </w:r>
    </w:p>
    <w:p w:rsidR="00000000" w:rsidRDefault="00000000">
      <w:pPr>
        <w:autoSpaceDE w:val="0"/>
        <w:autoSpaceDN w:val="0"/>
        <w:adjustRightInd w:val="0"/>
        <w:spacing w:after="200"/>
      </w:pPr>
      <w:r>
        <w:t>19.</w:t>
      </w:r>
      <w:r>
        <w:tab/>
        <w:t>Los casos de muertes por inmunoprevenibles, con oscilaciones periódicas anuales, no han variado sustancialmente en relación a la incidencia en números absolutos del año 1992, excepto sarampión y tétanos.  Los casos de sarampión, en ese año, causaron la muerte de 13 menores de 10 años.  En 1993, causó la muerte de 80 menores y en el 1994, 4 casos.  A partir del año 1999, no se reportan casos por esa enfermedad.</w:t>
      </w:r>
    </w:p>
    <w:p w:rsidR="00000000" w:rsidRDefault="00000000">
      <w:pPr>
        <w:autoSpaceDE w:val="0"/>
        <w:autoSpaceDN w:val="0"/>
        <w:adjustRightInd w:val="0"/>
        <w:spacing w:after="200"/>
      </w:pPr>
      <w:r>
        <w:t>20.</w:t>
      </w:r>
      <w:r>
        <w:tab/>
        <w:t xml:space="preserve">El tétanos neonatal se mantuvo por encima de 10 casos en el quinquenio 1995-1999, y por debajo de esa cifra, desde 2000.  En 2002, 50 casos (45 en menores de 15 años) reportados de difteria que resultaron en 7 muertes.  </w:t>
      </w:r>
    </w:p>
    <w:p w:rsidR="00000000" w:rsidRDefault="00000000">
      <w:pPr>
        <w:autoSpaceDE w:val="0"/>
        <w:autoSpaceDN w:val="0"/>
        <w:adjustRightInd w:val="0"/>
        <w:spacing w:after="200"/>
      </w:pPr>
      <w:r>
        <w:t>21.</w:t>
      </w:r>
      <w:r>
        <w:tab/>
        <w:t>Los casos de muertes por inmunoprevenibles, (a excepción del sarampión y poliomielitis) que aparecen episódicamente como brotes epidémicos y cuya reducción ha sido importante, son indicadores de impacto que revelan dificultades en el control de estas enfermedades.  No se reportan casos de enfermedad por poliomielitis, en la última década.</w:t>
      </w:r>
    </w:p>
    <w:p w:rsidR="00000000" w:rsidRDefault="00000000">
      <w:pPr>
        <w:spacing w:after="200"/>
        <w:jc w:val="center"/>
        <w:rPr>
          <w:b/>
        </w:rPr>
      </w:pPr>
      <w:r>
        <w:rPr>
          <w:b/>
        </w:rPr>
        <w:t>Mortalidad por enfermedades prevenibles por inmunización</w:t>
      </w:r>
      <w:r>
        <w:rPr>
          <w:b/>
        </w:rPr>
        <w:br/>
        <w:t>en menores de 10 años, Paraguay, 1999-2002</w:t>
      </w:r>
    </w:p>
    <w:tbl>
      <w:tblPr>
        <w:tblW w:w="0" w:type="auto"/>
        <w:jc w:val="cente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8"/>
        <w:gridCol w:w="1302"/>
        <w:gridCol w:w="1302"/>
        <w:gridCol w:w="1302"/>
        <w:gridCol w:w="1303"/>
      </w:tblGrid>
      <w:tr w:rsidR="00000000">
        <w:tblPrEx>
          <w:tblCellMar>
            <w:top w:w="0" w:type="dxa"/>
            <w:bottom w:w="0" w:type="dxa"/>
          </w:tblCellMar>
        </w:tblPrEx>
        <w:trPr>
          <w:jc w:val="center"/>
        </w:trPr>
        <w:tc>
          <w:tcPr>
            <w:tcW w:w="3398" w:type="dxa"/>
          </w:tcPr>
          <w:p w:rsidR="00000000" w:rsidRDefault="00000000">
            <w:pPr>
              <w:spacing w:line="228" w:lineRule="auto"/>
              <w:jc w:val="center"/>
              <w:rPr>
                <w:b/>
                <w:bCs/>
                <w:szCs w:val="16"/>
              </w:rPr>
            </w:pPr>
            <w:r>
              <w:rPr>
                <w:b/>
                <w:bCs/>
                <w:szCs w:val="16"/>
              </w:rPr>
              <w:t>Causas</w:t>
            </w:r>
          </w:p>
        </w:tc>
        <w:tc>
          <w:tcPr>
            <w:tcW w:w="1302" w:type="dxa"/>
          </w:tcPr>
          <w:p w:rsidR="00000000" w:rsidRDefault="00000000">
            <w:pPr>
              <w:spacing w:line="228" w:lineRule="auto"/>
              <w:jc w:val="center"/>
              <w:rPr>
                <w:b/>
                <w:bCs/>
                <w:szCs w:val="16"/>
              </w:rPr>
            </w:pPr>
            <w:r>
              <w:rPr>
                <w:b/>
                <w:bCs/>
                <w:szCs w:val="16"/>
              </w:rPr>
              <w:t>1999</w:t>
            </w:r>
          </w:p>
        </w:tc>
        <w:tc>
          <w:tcPr>
            <w:tcW w:w="1302" w:type="dxa"/>
          </w:tcPr>
          <w:p w:rsidR="00000000" w:rsidRDefault="00000000">
            <w:pPr>
              <w:spacing w:line="228" w:lineRule="auto"/>
              <w:jc w:val="center"/>
              <w:rPr>
                <w:b/>
                <w:bCs/>
                <w:szCs w:val="16"/>
              </w:rPr>
            </w:pPr>
            <w:r>
              <w:rPr>
                <w:b/>
                <w:bCs/>
                <w:szCs w:val="16"/>
              </w:rPr>
              <w:t>2000</w:t>
            </w:r>
          </w:p>
        </w:tc>
        <w:tc>
          <w:tcPr>
            <w:tcW w:w="1302" w:type="dxa"/>
          </w:tcPr>
          <w:p w:rsidR="00000000" w:rsidRDefault="00000000">
            <w:pPr>
              <w:spacing w:line="228" w:lineRule="auto"/>
              <w:jc w:val="center"/>
              <w:rPr>
                <w:b/>
                <w:bCs/>
                <w:szCs w:val="16"/>
              </w:rPr>
            </w:pPr>
            <w:r>
              <w:rPr>
                <w:b/>
                <w:bCs/>
                <w:szCs w:val="16"/>
              </w:rPr>
              <w:t>2001</w:t>
            </w:r>
          </w:p>
        </w:tc>
        <w:tc>
          <w:tcPr>
            <w:tcW w:w="1303" w:type="dxa"/>
          </w:tcPr>
          <w:p w:rsidR="00000000" w:rsidRDefault="00000000">
            <w:pPr>
              <w:spacing w:line="228" w:lineRule="auto"/>
              <w:jc w:val="center"/>
              <w:rPr>
                <w:b/>
                <w:bCs/>
                <w:szCs w:val="16"/>
              </w:rPr>
            </w:pPr>
            <w:r>
              <w:rPr>
                <w:b/>
                <w:bCs/>
                <w:szCs w:val="16"/>
              </w:rPr>
              <w:t>2002</w:t>
            </w:r>
          </w:p>
        </w:tc>
      </w:tr>
      <w:tr w:rsidR="00000000">
        <w:tblPrEx>
          <w:tblCellMar>
            <w:top w:w="0" w:type="dxa"/>
            <w:bottom w:w="0" w:type="dxa"/>
          </w:tblCellMar>
        </w:tblPrEx>
        <w:trPr>
          <w:jc w:val="center"/>
        </w:trPr>
        <w:tc>
          <w:tcPr>
            <w:tcW w:w="3398" w:type="dxa"/>
          </w:tcPr>
          <w:p w:rsidR="00000000" w:rsidRDefault="00000000">
            <w:pPr>
              <w:spacing w:line="228" w:lineRule="auto"/>
              <w:rPr>
                <w:szCs w:val="16"/>
              </w:rPr>
            </w:pPr>
            <w:r>
              <w:rPr>
                <w:szCs w:val="16"/>
              </w:rPr>
              <w:t>Poliomielitis</w:t>
            </w:r>
          </w:p>
        </w:tc>
        <w:tc>
          <w:tcPr>
            <w:tcW w:w="1302" w:type="dxa"/>
          </w:tcPr>
          <w:p w:rsidR="00000000" w:rsidRDefault="00000000">
            <w:pPr>
              <w:tabs>
                <w:tab w:val="decimal" w:pos="718"/>
              </w:tabs>
              <w:spacing w:line="228" w:lineRule="auto"/>
              <w:rPr>
                <w:szCs w:val="16"/>
              </w:rPr>
            </w:pPr>
            <w:r>
              <w:rPr>
                <w:szCs w:val="16"/>
              </w:rPr>
              <w:t>0</w:t>
            </w:r>
          </w:p>
        </w:tc>
        <w:tc>
          <w:tcPr>
            <w:tcW w:w="1302" w:type="dxa"/>
          </w:tcPr>
          <w:p w:rsidR="00000000" w:rsidRDefault="00000000">
            <w:pPr>
              <w:tabs>
                <w:tab w:val="decimal" w:pos="652"/>
              </w:tabs>
              <w:spacing w:line="228" w:lineRule="auto"/>
              <w:rPr>
                <w:szCs w:val="16"/>
              </w:rPr>
            </w:pPr>
            <w:r>
              <w:rPr>
                <w:szCs w:val="16"/>
              </w:rPr>
              <w:t>0</w:t>
            </w:r>
          </w:p>
        </w:tc>
        <w:tc>
          <w:tcPr>
            <w:tcW w:w="1302" w:type="dxa"/>
          </w:tcPr>
          <w:p w:rsidR="00000000" w:rsidRDefault="00000000">
            <w:pPr>
              <w:tabs>
                <w:tab w:val="decimal" w:pos="754"/>
              </w:tabs>
              <w:spacing w:line="228" w:lineRule="auto"/>
              <w:rPr>
                <w:szCs w:val="16"/>
              </w:rPr>
            </w:pPr>
            <w:r>
              <w:rPr>
                <w:szCs w:val="16"/>
              </w:rPr>
              <w:t>0</w:t>
            </w:r>
          </w:p>
        </w:tc>
        <w:tc>
          <w:tcPr>
            <w:tcW w:w="1303" w:type="dxa"/>
          </w:tcPr>
          <w:p w:rsidR="00000000" w:rsidRDefault="00000000">
            <w:pPr>
              <w:tabs>
                <w:tab w:val="decimal" w:pos="754"/>
              </w:tabs>
              <w:spacing w:line="228" w:lineRule="auto"/>
              <w:rPr>
                <w:szCs w:val="16"/>
              </w:rPr>
            </w:pPr>
            <w:r>
              <w:rPr>
                <w:szCs w:val="16"/>
              </w:rPr>
              <w:t>0</w:t>
            </w:r>
          </w:p>
        </w:tc>
      </w:tr>
      <w:tr w:rsidR="00000000">
        <w:tblPrEx>
          <w:tblCellMar>
            <w:top w:w="0" w:type="dxa"/>
            <w:bottom w:w="0" w:type="dxa"/>
          </w:tblCellMar>
        </w:tblPrEx>
        <w:trPr>
          <w:jc w:val="center"/>
        </w:trPr>
        <w:tc>
          <w:tcPr>
            <w:tcW w:w="3398" w:type="dxa"/>
          </w:tcPr>
          <w:p w:rsidR="00000000" w:rsidRDefault="00000000">
            <w:pPr>
              <w:spacing w:line="228" w:lineRule="auto"/>
              <w:rPr>
                <w:szCs w:val="16"/>
              </w:rPr>
            </w:pPr>
            <w:r>
              <w:rPr>
                <w:szCs w:val="16"/>
              </w:rPr>
              <w:t>Sarampión</w:t>
            </w:r>
          </w:p>
        </w:tc>
        <w:tc>
          <w:tcPr>
            <w:tcW w:w="1302" w:type="dxa"/>
          </w:tcPr>
          <w:p w:rsidR="00000000" w:rsidRDefault="00000000">
            <w:pPr>
              <w:tabs>
                <w:tab w:val="decimal" w:pos="718"/>
              </w:tabs>
              <w:spacing w:line="228" w:lineRule="auto"/>
              <w:rPr>
                <w:szCs w:val="16"/>
              </w:rPr>
            </w:pPr>
            <w:r>
              <w:rPr>
                <w:szCs w:val="16"/>
              </w:rPr>
              <w:t>0</w:t>
            </w:r>
          </w:p>
        </w:tc>
        <w:tc>
          <w:tcPr>
            <w:tcW w:w="1302" w:type="dxa"/>
          </w:tcPr>
          <w:p w:rsidR="00000000" w:rsidRDefault="00000000">
            <w:pPr>
              <w:tabs>
                <w:tab w:val="decimal" w:pos="652"/>
              </w:tabs>
              <w:spacing w:line="228" w:lineRule="auto"/>
              <w:rPr>
                <w:szCs w:val="16"/>
              </w:rPr>
            </w:pPr>
            <w:r>
              <w:rPr>
                <w:szCs w:val="16"/>
              </w:rPr>
              <w:t>0</w:t>
            </w:r>
          </w:p>
        </w:tc>
        <w:tc>
          <w:tcPr>
            <w:tcW w:w="1302" w:type="dxa"/>
          </w:tcPr>
          <w:p w:rsidR="00000000" w:rsidRDefault="00000000">
            <w:pPr>
              <w:tabs>
                <w:tab w:val="decimal" w:pos="754"/>
              </w:tabs>
              <w:spacing w:line="228" w:lineRule="auto"/>
              <w:rPr>
                <w:szCs w:val="16"/>
              </w:rPr>
            </w:pPr>
            <w:r>
              <w:rPr>
                <w:szCs w:val="16"/>
              </w:rPr>
              <w:t>0</w:t>
            </w:r>
          </w:p>
        </w:tc>
        <w:tc>
          <w:tcPr>
            <w:tcW w:w="1303" w:type="dxa"/>
          </w:tcPr>
          <w:p w:rsidR="00000000" w:rsidRDefault="00000000">
            <w:pPr>
              <w:tabs>
                <w:tab w:val="decimal" w:pos="754"/>
              </w:tabs>
              <w:spacing w:line="228" w:lineRule="auto"/>
              <w:rPr>
                <w:szCs w:val="16"/>
              </w:rPr>
            </w:pPr>
            <w:r>
              <w:rPr>
                <w:szCs w:val="16"/>
              </w:rPr>
              <w:t>0</w:t>
            </w:r>
          </w:p>
        </w:tc>
      </w:tr>
      <w:tr w:rsidR="00000000">
        <w:tblPrEx>
          <w:tblCellMar>
            <w:top w:w="0" w:type="dxa"/>
            <w:bottom w:w="0" w:type="dxa"/>
          </w:tblCellMar>
        </w:tblPrEx>
        <w:trPr>
          <w:jc w:val="center"/>
        </w:trPr>
        <w:tc>
          <w:tcPr>
            <w:tcW w:w="3398" w:type="dxa"/>
          </w:tcPr>
          <w:p w:rsidR="00000000" w:rsidRDefault="00000000">
            <w:pPr>
              <w:spacing w:line="228" w:lineRule="auto"/>
              <w:rPr>
                <w:szCs w:val="16"/>
              </w:rPr>
            </w:pPr>
            <w:r>
              <w:rPr>
                <w:szCs w:val="16"/>
              </w:rPr>
              <w:t>Tétanos neonatal</w:t>
            </w:r>
          </w:p>
        </w:tc>
        <w:tc>
          <w:tcPr>
            <w:tcW w:w="1302" w:type="dxa"/>
          </w:tcPr>
          <w:p w:rsidR="00000000" w:rsidRDefault="00000000">
            <w:pPr>
              <w:tabs>
                <w:tab w:val="decimal" w:pos="718"/>
              </w:tabs>
              <w:spacing w:line="228" w:lineRule="auto"/>
              <w:rPr>
                <w:szCs w:val="16"/>
              </w:rPr>
            </w:pPr>
            <w:r>
              <w:rPr>
                <w:szCs w:val="16"/>
              </w:rPr>
              <w:t>7</w:t>
            </w:r>
          </w:p>
        </w:tc>
        <w:tc>
          <w:tcPr>
            <w:tcW w:w="1302" w:type="dxa"/>
          </w:tcPr>
          <w:p w:rsidR="00000000" w:rsidRDefault="00000000">
            <w:pPr>
              <w:tabs>
                <w:tab w:val="decimal" w:pos="652"/>
              </w:tabs>
              <w:spacing w:line="228" w:lineRule="auto"/>
              <w:rPr>
                <w:szCs w:val="16"/>
              </w:rPr>
            </w:pPr>
            <w:r>
              <w:rPr>
                <w:szCs w:val="16"/>
              </w:rPr>
              <w:t>4</w:t>
            </w:r>
          </w:p>
        </w:tc>
        <w:tc>
          <w:tcPr>
            <w:tcW w:w="1302" w:type="dxa"/>
          </w:tcPr>
          <w:p w:rsidR="00000000" w:rsidRDefault="00000000">
            <w:pPr>
              <w:tabs>
                <w:tab w:val="decimal" w:pos="754"/>
              </w:tabs>
              <w:spacing w:line="228" w:lineRule="auto"/>
              <w:rPr>
                <w:szCs w:val="16"/>
              </w:rPr>
            </w:pPr>
            <w:r>
              <w:rPr>
                <w:szCs w:val="16"/>
              </w:rPr>
              <w:t>7</w:t>
            </w:r>
          </w:p>
        </w:tc>
        <w:tc>
          <w:tcPr>
            <w:tcW w:w="1303" w:type="dxa"/>
          </w:tcPr>
          <w:p w:rsidR="00000000" w:rsidRDefault="00000000">
            <w:pPr>
              <w:tabs>
                <w:tab w:val="decimal" w:pos="754"/>
              </w:tabs>
              <w:spacing w:line="228" w:lineRule="auto"/>
              <w:rPr>
                <w:szCs w:val="16"/>
              </w:rPr>
            </w:pPr>
            <w:r>
              <w:rPr>
                <w:szCs w:val="16"/>
              </w:rPr>
              <w:t>3</w:t>
            </w:r>
          </w:p>
        </w:tc>
      </w:tr>
      <w:tr w:rsidR="00000000">
        <w:tblPrEx>
          <w:tblCellMar>
            <w:top w:w="0" w:type="dxa"/>
            <w:bottom w:w="0" w:type="dxa"/>
          </w:tblCellMar>
        </w:tblPrEx>
        <w:trPr>
          <w:jc w:val="center"/>
        </w:trPr>
        <w:tc>
          <w:tcPr>
            <w:tcW w:w="3398" w:type="dxa"/>
          </w:tcPr>
          <w:p w:rsidR="00000000" w:rsidRDefault="00000000">
            <w:pPr>
              <w:spacing w:line="228" w:lineRule="auto"/>
              <w:rPr>
                <w:szCs w:val="16"/>
              </w:rPr>
            </w:pPr>
            <w:r>
              <w:rPr>
                <w:szCs w:val="16"/>
              </w:rPr>
              <w:t>Tétanos otras edades</w:t>
            </w:r>
          </w:p>
        </w:tc>
        <w:tc>
          <w:tcPr>
            <w:tcW w:w="1302" w:type="dxa"/>
          </w:tcPr>
          <w:p w:rsidR="00000000" w:rsidRDefault="00000000">
            <w:pPr>
              <w:tabs>
                <w:tab w:val="decimal" w:pos="718"/>
              </w:tabs>
              <w:spacing w:line="228" w:lineRule="auto"/>
              <w:rPr>
                <w:szCs w:val="16"/>
              </w:rPr>
            </w:pPr>
            <w:r>
              <w:rPr>
                <w:szCs w:val="16"/>
              </w:rPr>
              <w:t>7</w:t>
            </w:r>
          </w:p>
        </w:tc>
        <w:tc>
          <w:tcPr>
            <w:tcW w:w="1302" w:type="dxa"/>
          </w:tcPr>
          <w:p w:rsidR="00000000" w:rsidRDefault="00000000">
            <w:pPr>
              <w:tabs>
                <w:tab w:val="decimal" w:pos="652"/>
              </w:tabs>
              <w:spacing w:line="228" w:lineRule="auto"/>
              <w:rPr>
                <w:szCs w:val="16"/>
              </w:rPr>
            </w:pPr>
            <w:r>
              <w:rPr>
                <w:szCs w:val="16"/>
              </w:rPr>
              <w:t>2</w:t>
            </w:r>
          </w:p>
        </w:tc>
        <w:tc>
          <w:tcPr>
            <w:tcW w:w="1302" w:type="dxa"/>
          </w:tcPr>
          <w:p w:rsidR="00000000" w:rsidRDefault="00000000">
            <w:pPr>
              <w:tabs>
                <w:tab w:val="decimal" w:pos="754"/>
              </w:tabs>
              <w:spacing w:line="228" w:lineRule="auto"/>
              <w:rPr>
                <w:szCs w:val="16"/>
              </w:rPr>
            </w:pPr>
            <w:r>
              <w:rPr>
                <w:szCs w:val="16"/>
              </w:rPr>
              <w:t>2</w:t>
            </w:r>
          </w:p>
        </w:tc>
        <w:tc>
          <w:tcPr>
            <w:tcW w:w="1303" w:type="dxa"/>
          </w:tcPr>
          <w:p w:rsidR="00000000" w:rsidRDefault="00000000">
            <w:pPr>
              <w:tabs>
                <w:tab w:val="decimal" w:pos="754"/>
              </w:tabs>
              <w:spacing w:line="228" w:lineRule="auto"/>
              <w:rPr>
                <w:szCs w:val="16"/>
              </w:rPr>
            </w:pPr>
            <w:r>
              <w:rPr>
                <w:szCs w:val="16"/>
              </w:rPr>
              <w:t>1</w:t>
            </w:r>
          </w:p>
        </w:tc>
      </w:tr>
      <w:tr w:rsidR="00000000">
        <w:tblPrEx>
          <w:tblCellMar>
            <w:top w:w="0" w:type="dxa"/>
            <w:bottom w:w="0" w:type="dxa"/>
          </w:tblCellMar>
        </w:tblPrEx>
        <w:trPr>
          <w:jc w:val="center"/>
        </w:trPr>
        <w:tc>
          <w:tcPr>
            <w:tcW w:w="3398" w:type="dxa"/>
          </w:tcPr>
          <w:p w:rsidR="00000000" w:rsidRDefault="00000000">
            <w:pPr>
              <w:spacing w:line="228" w:lineRule="auto"/>
              <w:rPr>
                <w:szCs w:val="16"/>
              </w:rPr>
            </w:pPr>
            <w:r>
              <w:rPr>
                <w:szCs w:val="16"/>
              </w:rPr>
              <w:t>Difteria</w:t>
            </w:r>
          </w:p>
        </w:tc>
        <w:tc>
          <w:tcPr>
            <w:tcW w:w="1302" w:type="dxa"/>
          </w:tcPr>
          <w:p w:rsidR="00000000" w:rsidRDefault="00000000">
            <w:pPr>
              <w:tabs>
                <w:tab w:val="decimal" w:pos="718"/>
              </w:tabs>
              <w:spacing w:line="228" w:lineRule="auto"/>
              <w:rPr>
                <w:szCs w:val="16"/>
              </w:rPr>
            </w:pPr>
            <w:r>
              <w:rPr>
                <w:szCs w:val="16"/>
              </w:rPr>
              <w:t>0</w:t>
            </w:r>
          </w:p>
        </w:tc>
        <w:tc>
          <w:tcPr>
            <w:tcW w:w="1302" w:type="dxa"/>
          </w:tcPr>
          <w:p w:rsidR="00000000" w:rsidRDefault="00000000">
            <w:pPr>
              <w:tabs>
                <w:tab w:val="decimal" w:pos="652"/>
              </w:tabs>
              <w:spacing w:line="228" w:lineRule="auto"/>
              <w:rPr>
                <w:szCs w:val="16"/>
              </w:rPr>
            </w:pPr>
            <w:r>
              <w:rPr>
                <w:szCs w:val="16"/>
              </w:rPr>
              <w:t>0</w:t>
            </w:r>
          </w:p>
        </w:tc>
        <w:tc>
          <w:tcPr>
            <w:tcW w:w="1302" w:type="dxa"/>
          </w:tcPr>
          <w:p w:rsidR="00000000" w:rsidRDefault="00000000">
            <w:pPr>
              <w:tabs>
                <w:tab w:val="decimal" w:pos="754"/>
              </w:tabs>
              <w:spacing w:line="228" w:lineRule="auto"/>
              <w:rPr>
                <w:szCs w:val="16"/>
              </w:rPr>
            </w:pPr>
            <w:r>
              <w:rPr>
                <w:szCs w:val="16"/>
              </w:rPr>
              <w:t>0</w:t>
            </w:r>
          </w:p>
        </w:tc>
        <w:tc>
          <w:tcPr>
            <w:tcW w:w="1303" w:type="dxa"/>
          </w:tcPr>
          <w:p w:rsidR="00000000" w:rsidRDefault="00000000">
            <w:pPr>
              <w:tabs>
                <w:tab w:val="decimal" w:pos="754"/>
              </w:tabs>
              <w:spacing w:line="228" w:lineRule="auto"/>
              <w:rPr>
                <w:szCs w:val="16"/>
              </w:rPr>
            </w:pPr>
            <w:r>
              <w:rPr>
                <w:szCs w:val="16"/>
              </w:rPr>
              <w:t>7</w:t>
            </w:r>
          </w:p>
        </w:tc>
      </w:tr>
      <w:tr w:rsidR="00000000">
        <w:tblPrEx>
          <w:tblCellMar>
            <w:top w:w="0" w:type="dxa"/>
            <w:bottom w:w="0" w:type="dxa"/>
          </w:tblCellMar>
        </w:tblPrEx>
        <w:trPr>
          <w:jc w:val="center"/>
        </w:trPr>
        <w:tc>
          <w:tcPr>
            <w:tcW w:w="3398" w:type="dxa"/>
          </w:tcPr>
          <w:p w:rsidR="00000000" w:rsidRDefault="00000000">
            <w:pPr>
              <w:spacing w:line="228" w:lineRule="auto"/>
              <w:rPr>
                <w:szCs w:val="16"/>
              </w:rPr>
            </w:pPr>
            <w:r>
              <w:rPr>
                <w:szCs w:val="16"/>
              </w:rPr>
              <w:t>Tos ferina a bordetella</w:t>
            </w:r>
          </w:p>
        </w:tc>
        <w:tc>
          <w:tcPr>
            <w:tcW w:w="1302" w:type="dxa"/>
          </w:tcPr>
          <w:p w:rsidR="00000000" w:rsidRDefault="00000000">
            <w:pPr>
              <w:tabs>
                <w:tab w:val="decimal" w:pos="718"/>
              </w:tabs>
              <w:spacing w:line="228" w:lineRule="auto"/>
              <w:rPr>
                <w:szCs w:val="16"/>
              </w:rPr>
            </w:pPr>
            <w:r>
              <w:rPr>
                <w:szCs w:val="16"/>
              </w:rPr>
              <w:t>2</w:t>
            </w:r>
          </w:p>
        </w:tc>
        <w:tc>
          <w:tcPr>
            <w:tcW w:w="1302" w:type="dxa"/>
          </w:tcPr>
          <w:p w:rsidR="00000000" w:rsidRDefault="00000000">
            <w:pPr>
              <w:tabs>
                <w:tab w:val="decimal" w:pos="652"/>
              </w:tabs>
              <w:spacing w:line="228" w:lineRule="auto"/>
              <w:rPr>
                <w:szCs w:val="16"/>
              </w:rPr>
            </w:pPr>
            <w:r>
              <w:rPr>
                <w:szCs w:val="16"/>
              </w:rPr>
              <w:t>-</w:t>
            </w:r>
          </w:p>
        </w:tc>
        <w:tc>
          <w:tcPr>
            <w:tcW w:w="1302" w:type="dxa"/>
          </w:tcPr>
          <w:p w:rsidR="00000000" w:rsidRDefault="00000000">
            <w:pPr>
              <w:tabs>
                <w:tab w:val="decimal" w:pos="754"/>
              </w:tabs>
              <w:spacing w:line="228" w:lineRule="auto"/>
              <w:rPr>
                <w:szCs w:val="16"/>
              </w:rPr>
            </w:pPr>
            <w:r>
              <w:rPr>
                <w:szCs w:val="16"/>
              </w:rPr>
              <w:t>-</w:t>
            </w:r>
          </w:p>
        </w:tc>
        <w:tc>
          <w:tcPr>
            <w:tcW w:w="1303" w:type="dxa"/>
          </w:tcPr>
          <w:p w:rsidR="00000000" w:rsidRDefault="00000000">
            <w:pPr>
              <w:tabs>
                <w:tab w:val="decimal" w:pos="754"/>
              </w:tabs>
              <w:spacing w:line="228" w:lineRule="auto"/>
              <w:rPr>
                <w:szCs w:val="16"/>
              </w:rPr>
            </w:pPr>
            <w:r>
              <w:rPr>
                <w:szCs w:val="16"/>
              </w:rPr>
              <w:t>-</w:t>
            </w:r>
          </w:p>
        </w:tc>
      </w:tr>
      <w:tr w:rsidR="00000000">
        <w:tblPrEx>
          <w:tblCellMar>
            <w:top w:w="0" w:type="dxa"/>
            <w:bottom w:w="0" w:type="dxa"/>
          </w:tblCellMar>
        </w:tblPrEx>
        <w:trPr>
          <w:jc w:val="center"/>
        </w:trPr>
        <w:tc>
          <w:tcPr>
            <w:tcW w:w="3398" w:type="dxa"/>
          </w:tcPr>
          <w:p w:rsidR="00000000" w:rsidRDefault="00000000">
            <w:pPr>
              <w:spacing w:line="228" w:lineRule="auto"/>
              <w:rPr>
                <w:szCs w:val="16"/>
              </w:rPr>
            </w:pPr>
            <w:r>
              <w:rPr>
                <w:szCs w:val="16"/>
              </w:rPr>
              <w:t>Tos ferina no especificada</w:t>
            </w:r>
          </w:p>
        </w:tc>
        <w:tc>
          <w:tcPr>
            <w:tcW w:w="1302" w:type="dxa"/>
          </w:tcPr>
          <w:p w:rsidR="00000000" w:rsidRDefault="00000000">
            <w:pPr>
              <w:tabs>
                <w:tab w:val="decimal" w:pos="718"/>
              </w:tabs>
              <w:spacing w:line="228" w:lineRule="auto"/>
              <w:rPr>
                <w:szCs w:val="16"/>
              </w:rPr>
            </w:pPr>
            <w:r>
              <w:rPr>
                <w:szCs w:val="16"/>
              </w:rPr>
              <w:t>39</w:t>
            </w:r>
          </w:p>
        </w:tc>
        <w:tc>
          <w:tcPr>
            <w:tcW w:w="1302" w:type="dxa"/>
          </w:tcPr>
          <w:p w:rsidR="00000000" w:rsidRDefault="00000000">
            <w:pPr>
              <w:tabs>
                <w:tab w:val="decimal" w:pos="652"/>
              </w:tabs>
              <w:spacing w:line="228" w:lineRule="auto"/>
              <w:rPr>
                <w:szCs w:val="16"/>
              </w:rPr>
            </w:pPr>
            <w:r>
              <w:rPr>
                <w:szCs w:val="16"/>
              </w:rPr>
              <w:t>1</w:t>
            </w:r>
          </w:p>
        </w:tc>
        <w:tc>
          <w:tcPr>
            <w:tcW w:w="1302" w:type="dxa"/>
          </w:tcPr>
          <w:p w:rsidR="00000000" w:rsidRDefault="00000000">
            <w:pPr>
              <w:tabs>
                <w:tab w:val="decimal" w:pos="754"/>
              </w:tabs>
              <w:spacing w:line="228" w:lineRule="auto"/>
              <w:rPr>
                <w:szCs w:val="16"/>
              </w:rPr>
            </w:pPr>
            <w:r>
              <w:rPr>
                <w:szCs w:val="16"/>
              </w:rPr>
              <w:t>2</w:t>
            </w:r>
          </w:p>
        </w:tc>
        <w:tc>
          <w:tcPr>
            <w:tcW w:w="1303" w:type="dxa"/>
          </w:tcPr>
          <w:p w:rsidR="00000000" w:rsidRDefault="00000000">
            <w:pPr>
              <w:tabs>
                <w:tab w:val="decimal" w:pos="754"/>
              </w:tabs>
              <w:spacing w:line="228" w:lineRule="auto"/>
              <w:rPr>
                <w:szCs w:val="16"/>
              </w:rPr>
            </w:pPr>
            <w:r>
              <w:rPr>
                <w:szCs w:val="16"/>
              </w:rPr>
              <w:t>2</w:t>
            </w:r>
          </w:p>
        </w:tc>
      </w:tr>
      <w:tr w:rsidR="00000000">
        <w:tblPrEx>
          <w:tblCellMar>
            <w:top w:w="0" w:type="dxa"/>
            <w:bottom w:w="0" w:type="dxa"/>
          </w:tblCellMar>
        </w:tblPrEx>
        <w:trPr>
          <w:jc w:val="center"/>
        </w:trPr>
        <w:tc>
          <w:tcPr>
            <w:tcW w:w="3398" w:type="dxa"/>
          </w:tcPr>
          <w:p w:rsidR="00000000" w:rsidRDefault="00000000">
            <w:pPr>
              <w:tabs>
                <w:tab w:val="left" w:pos="396"/>
              </w:tabs>
              <w:spacing w:line="228" w:lineRule="auto"/>
              <w:rPr>
                <w:b/>
                <w:bCs/>
                <w:szCs w:val="16"/>
              </w:rPr>
            </w:pPr>
            <w:r>
              <w:rPr>
                <w:b/>
                <w:bCs/>
                <w:szCs w:val="16"/>
              </w:rPr>
              <w:tab/>
              <w:t>Total</w:t>
            </w:r>
          </w:p>
        </w:tc>
        <w:tc>
          <w:tcPr>
            <w:tcW w:w="1302" w:type="dxa"/>
          </w:tcPr>
          <w:p w:rsidR="00000000" w:rsidRDefault="00000000">
            <w:pPr>
              <w:tabs>
                <w:tab w:val="decimal" w:pos="718"/>
              </w:tabs>
              <w:spacing w:line="228" w:lineRule="auto"/>
              <w:rPr>
                <w:b/>
                <w:bCs/>
                <w:szCs w:val="16"/>
              </w:rPr>
            </w:pPr>
            <w:r>
              <w:rPr>
                <w:b/>
                <w:bCs/>
                <w:szCs w:val="16"/>
              </w:rPr>
              <w:t>55</w:t>
            </w:r>
          </w:p>
        </w:tc>
        <w:tc>
          <w:tcPr>
            <w:tcW w:w="1302" w:type="dxa"/>
          </w:tcPr>
          <w:p w:rsidR="00000000" w:rsidRDefault="00000000">
            <w:pPr>
              <w:spacing w:line="228" w:lineRule="auto"/>
              <w:jc w:val="center"/>
              <w:rPr>
                <w:b/>
                <w:bCs/>
                <w:szCs w:val="16"/>
              </w:rPr>
            </w:pPr>
            <w:r>
              <w:rPr>
                <w:b/>
                <w:bCs/>
                <w:szCs w:val="16"/>
              </w:rPr>
              <w:t>7</w:t>
            </w:r>
          </w:p>
        </w:tc>
        <w:tc>
          <w:tcPr>
            <w:tcW w:w="1302" w:type="dxa"/>
          </w:tcPr>
          <w:p w:rsidR="00000000" w:rsidRDefault="00000000">
            <w:pPr>
              <w:tabs>
                <w:tab w:val="decimal" w:pos="754"/>
              </w:tabs>
              <w:spacing w:line="228" w:lineRule="auto"/>
              <w:rPr>
                <w:b/>
                <w:bCs/>
                <w:szCs w:val="16"/>
              </w:rPr>
            </w:pPr>
            <w:r>
              <w:rPr>
                <w:b/>
                <w:bCs/>
                <w:szCs w:val="16"/>
              </w:rPr>
              <w:t>11</w:t>
            </w:r>
          </w:p>
        </w:tc>
        <w:tc>
          <w:tcPr>
            <w:tcW w:w="1303" w:type="dxa"/>
          </w:tcPr>
          <w:p w:rsidR="00000000" w:rsidRDefault="00000000">
            <w:pPr>
              <w:tabs>
                <w:tab w:val="decimal" w:pos="754"/>
              </w:tabs>
              <w:spacing w:line="228" w:lineRule="auto"/>
              <w:rPr>
                <w:b/>
                <w:bCs/>
                <w:szCs w:val="16"/>
              </w:rPr>
            </w:pPr>
            <w:r>
              <w:rPr>
                <w:b/>
                <w:bCs/>
                <w:szCs w:val="16"/>
              </w:rPr>
              <w:t>13</w:t>
            </w:r>
          </w:p>
        </w:tc>
      </w:tr>
    </w:tbl>
    <w:p w:rsidR="00000000" w:rsidRDefault="00000000">
      <w:pPr>
        <w:spacing w:before="240" w:after="480"/>
        <w:ind w:left="380"/>
        <w:rPr>
          <w:szCs w:val="16"/>
        </w:rPr>
      </w:pPr>
      <w:r>
        <w:rPr>
          <w:i/>
          <w:iCs/>
          <w:szCs w:val="16"/>
        </w:rPr>
        <w:t>Fuente</w:t>
      </w:r>
      <w:r>
        <w:rPr>
          <w:szCs w:val="16"/>
        </w:rPr>
        <w:t>:  Certificados de defunción recepcionados.  Departamento de Bioestadística, M.S.P. y B.S.</w:t>
      </w:r>
    </w:p>
    <w:p w:rsidR="00000000" w:rsidRDefault="00000000">
      <w:pPr>
        <w:spacing w:after="240"/>
        <w:jc w:val="center"/>
        <w:rPr>
          <w:szCs w:val="16"/>
        </w:rPr>
      </w:pPr>
      <w:r>
        <w:rPr>
          <w:b/>
        </w:rPr>
        <w:t>Mortalidad por tuberculosis en menores de 10 años, Paraguay, 1999-2003</w:t>
      </w:r>
    </w:p>
    <w:tbl>
      <w:tblPr>
        <w:tblW w:w="8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1"/>
        <w:gridCol w:w="1127"/>
        <w:gridCol w:w="1128"/>
        <w:gridCol w:w="1127"/>
        <w:gridCol w:w="1128"/>
        <w:gridCol w:w="1128"/>
      </w:tblGrid>
      <w:tr w:rsidR="00000000">
        <w:tblPrEx>
          <w:tblCellMar>
            <w:top w:w="0" w:type="dxa"/>
            <w:bottom w:w="0" w:type="dxa"/>
          </w:tblCellMar>
        </w:tblPrEx>
        <w:trPr>
          <w:jc w:val="center"/>
        </w:trPr>
        <w:tc>
          <w:tcPr>
            <w:tcW w:w="2701" w:type="dxa"/>
          </w:tcPr>
          <w:p w:rsidR="00000000" w:rsidRDefault="00000000">
            <w:pPr>
              <w:jc w:val="center"/>
              <w:rPr>
                <w:b/>
                <w:bCs/>
                <w:szCs w:val="16"/>
              </w:rPr>
            </w:pPr>
            <w:r>
              <w:rPr>
                <w:b/>
                <w:bCs/>
                <w:szCs w:val="16"/>
              </w:rPr>
              <w:t>Grupos etarios</w:t>
            </w:r>
          </w:p>
        </w:tc>
        <w:tc>
          <w:tcPr>
            <w:tcW w:w="1127" w:type="dxa"/>
          </w:tcPr>
          <w:p w:rsidR="00000000" w:rsidRDefault="00000000">
            <w:pPr>
              <w:jc w:val="center"/>
              <w:rPr>
                <w:b/>
                <w:bCs/>
                <w:szCs w:val="16"/>
              </w:rPr>
            </w:pPr>
            <w:r>
              <w:rPr>
                <w:b/>
                <w:bCs/>
                <w:szCs w:val="16"/>
              </w:rPr>
              <w:t>1999</w:t>
            </w:r>
          </w:p>
        </w:tc>
        <w:tc>
          <w:tcPr>
            <w:tcW w:w="1128" w:type="dxa"/>
          </w:tcPr>
          <w:p w:rsidR="00000000" w:rsidRDefault="00000000">
            <w:pPr>
              <w:jc w:val="center"/>
              <w:rPr>
                <w:b/>
                <w:bCs/>
                <w:szCs w:val="16"/>
              </w:rPr>
            </w:pPr>
            <w:r>
              <w:rPr>
                <w:b/>
                <w:bCs/>
                <w:szCs w:val="16"/>
              </w:rPr>
              <w:t>2000</w:t>
            </w:r>
          </w:p>
        </w:tc>
        <w:tc>
          <w:tcPr>
            <w:tcW w:w="1127" w:type="dxa"/>
          </w:tcPr>
          <w:p w:rsidR="00000000" w:rsidRDefault="00000000">
            <w:pPr>
              <w:jc w:val="center"/>
              <w:rPr>
                <w:b/>
                <w:bCs/>
                <w:szCs w:val="16"/>
              </w:rPr>
            </w:pPr>
            <w:r>
              <w:rPr>
                <w:b/>
                <w:bCs/>
                <w:szCs w:val="16"/>
              </w:rPr>
              <w:t>2001</w:t>
            </w:r>
          </w:p>
        </w:tc>
        <w:tc>
          <w:tcPr>
            <w:tcW w:w="1128" w:type="dxa"/>
          </w:tcPr>
          <w:p w:rsidR="00000000" w:rsidRDefault="00000000">
            <w:pPr>
              <w:jc w:val="center"/>
              <w:rPr>
                <w:b/>
                <w:bCs/>
                <w:szCs w:val="16"/>
              </w:rPr>
            </w:pPr>
            <w:r>
              <w:rPr>
                <w:b/>
                <w:bCs/>
                <w:szCs w:val="16"/>
              </w:rPr>
              <w:t>2002</w:t>
            </w:r>
          </w:p>
        </w:tc>
        <w:tc>
          <w:tcPr>
            <w:tcW w:w="1128" w:type="dxa"/>
          </w:tcPr>
          <w:p w:rsidR="00000000" w:rsidRDefault="00000000">
            <w:pPr>
              <w:jc w:val="center"/>
              <w:rPr>
                <w:b/>
                <w:bCs/>
                <w:szCs w:val="16"/>
              </w:rPr>
            </w:pPr>
            <w:r>
              <w:rPr>
                <w:b/>
                <w:bCs/>
                <w:szCs w:val="16"/>
              </w:rPr>
              <w:t>2003</w:t>
            </w:r>
          </w:p>
        </w:tc>
      </w:tr>
      <w:tr w:rsidR="00000000">
        <w:tblPrEx>
          <w:tblCellMar>
            <w:top w:w="0" w:type="dxa"/>
            <w:bottom w:w="0" w:type="dxa"/>
          </w:tblCellMar>
        </w:tblPrEx>
        <w:trPr>
          <w:jc w:val="center"/>
        </w:trPr>
        <w:tc>
          <w:tcPr>
            <w:tcW w:w="2701" w:type="dxa"/>
          </w:tcPr>
          <w:p w:rsidR="00000000" w:rsidRDefault="00000000">
            <w:pPr>
              <w:rPr>
                <w:szCs w:val="16"/>
              </w:rPr>
            </w:pPr>
            <w:r>
              <w:rPr>
                <w:szCs w:val="16"/>
              </w:rPr>
              <w:t>Menores de 1 año</w:t>
            </w:r>
          </w:p>
        </w:tc>
        <w:tc>
          <w:tcPr>
            <w:tcW w:w="1127" w:type="dxa"/>
          </w:tcPr>
          <w:p w:rsidR="00000000" w:rsidRDefault="00000000">
            <w:pPr>
              <w:jc w:val="center"/>
              <w:rPr>
                <w:szCs w:val="16"/>
              </w:rPr>
            </w:pPr>
            <w:r>
              <w:rPr>
                <w:szCs w:val="16"/>
              </w:rPr>
              <w:t>2</w:t>
            </w:r>
          </w:p>
        </w:tc>
        <w:tc>
          <w:tcPr>
            <w:tcW w:w="1128" w:type="dxa"/>
          </w:tcPr>
          <w:p w:rsidR="00000000" w:rsidRDefault="00000000">
            <w:pPr>
              <w:tabs>
                <w:tab w:val="decimal" w:pos="606"/>
              </w:tabs>
              <w:rPr>
                <w:szCs w:val="16"/>
              </w:rPr>
            </w:pPr>
            <w:r>
              <w:rPr>
                <w:szCs w:val="16"/>
              </w:rPr>
              <w:t>1</w:t>
            </w:r>
          </w:p>
        </w:tc>
        <w:tc>
          <w:tcPr>
            <w:tcW w:w="1127" w:type="dxa"/>
          </w:tcPr>
          <w:p w:rsidR="00000000" w:rsidRDefault="00000000">
            <w:pPr>
              <w:jc w:val="center"/>
              <w:rPr>
                <w:szCs w:val="16"/>
              </w:rPr>
            </w:pPr>
            <w:r>
              <w:rPr>
                <w:szCs w:val="16"/>
              </w:rPr>
              <w:t>0</w:t>
            </w:r>
          </w:p>
        </w:tc>
        <w:tc>
          <w:tcPr>
            <w:tcW w:w="1128" w:type="dxa"/>
          </w:tcPr>
          <w:p w:rsidR="00000000" w:rsidRDefault="00000000">
            <w:pPr>
              <w:tabs>
                <w:tab w:val="decimal" w:pos="606"/>
              </w:tabs>
              <w:rPr>
                <w:szCs w:val="16"/>
              </w:rPr>
            </w:pPr>
            <w:r>
              <w:rPr>
                <w:szCs w:val="16"/>
              </w:rPr>
              <w:t>2</w:t>
            </w:r>
          </w:p>
        </w:tc>
        <w:tc>
          <w:tcPr>
            <w:tcW w:w="1128" w:type="dxa"/>
          </w:tcPr>
          <w:p w:rsidR="00000000" w:rsidRDefault="00000000">
            <w:pPr>
              <w:jc w:val="center"/>
              <w:rPr>
                <w:szCs w:val="16"/>
              </w:rPr>
            </w:pPr>
            <w:r>
              <w:rPr>
                <w:szCs w:val="16"/>
              </w:rPr>
              <w:t>3</w:t>
            </w:r>
          </w:p>
        </w:tc>
      </w:tr>
      <w:tr w:rsidR="00000000">
        <w:tblPrEx>
          <w:tblCellMar>
            <w:top w:w="0" w:type="dxa"/>
            <w:bottom w:w="0" w:type="dxa"/>
          </w:tblCellMar>
        </w:tblPrEx>
        <w:trPr>
          <w:jc w:val="center"/>
        </w:trPr>
        <w:tc>
          <w:tcPr>
            <w:tcW w:w="2701" w:type="dxa"/>
          </w:tcPr>
          <w:p w:rsidR="00000000" w:rsidRDefault="00000000">
            <w:pPr>
              <w:rPr>
                <w:szCs w:val="16"/>
              </w:rPr>
            </w:pPr>
            <w:r>
              <w:rPr>
                <w:szCs w:val="16"/>
              </w:rPr>
              <w:t>De 1 a 4 años</w:t>
            </w:r>
          </w:p>
        </w:tc>
        <w:tc>
          <w:tcPr>
            <w:tcW w:w="1127" w:type="dxa"/>
          </w:tcPr>
          <w:p w:rsidR="00000000" w:rsidRDefault="00000000">
            <w:pPr>
              <w:jc w:val="center"/>
              <w:rPr>
                <w:szCs w:val="16"/>
              </w:rPr>
            </w:pPr>
            <w:r>
              <w:rPr>
                <w:szCs w:val="16"/>
              </w:rPr>
              <w:t>6</w:t>
            </w:r>
          </w:p>
        </w:tc>
        <w:tc>
          <w:tcPr>
            <w:tcW w:w="1128" w:type="dxa"/>
          </w:tcPr>
          <w:p w:rsidR="00000000" w:rsidRDefault="00000000">
            <w:pPr>
              <w:tabs>
                <w:tab w:val="decimal" w:pos="606"/>
              </w:tabs>
              <w:rPr>
                <w:szCs w:val="16"/>
              </w:rPr>
            </w:pPr>
            <w:r>
              <w:rPr>
                <w:szCs w:val="16"/>
              </w:rPr>
              <w:t>8</w:t>
            </w:r>
          </w:p>
        </w:tc>
        <w:tc>
          <w:tcPr>
            <w:tcW w:w="1127" w:type="dxa"/>
          </w:tcPr>
          <w:p w:rsidR="00000000" w:rsidRDefault="00000000">
            <w:pPr>
              <w:jc w:val="center"/>
              <w:rPr>
                <w:szCs w:val="16"/>
              </w:rPr>
            </w:pPr>
            <w:r>
              <w:rPr>
                <w:szCs w:val="16"/>
              </w:rPr>
              <w:t>3</w:t>
            </w:r>
          </w:p>
        </w:tc>
        <w:tc>
          <w:tcPr>
            <w:tcW w:w="1128" w:type="dxa"/>
          </w:tcPr>
          <w:p w:rsidR="00000000" w:rsidRDefault="00000000">
            <w:pPr>
              <w:tabs>
                <w:tab w:val="decimal" w:pos="606"/>
              </w:tabs>
              <w:rPr>
                <w:szCs w:val="16"/>
              </w:rPr>
            </w:pPr>
            <w:r>
              <w:rPr>
                <w:szCs w:val="16"/>
              </w:rPr>
              <w:t>8</w:t>
            </w:r>
          </w:p>
        </w:tc>
        <w:tc>
          <w:tcPr>
            <w:tcW w:w="1128" w:type="dxa"/>
          </w:tcPr>
          <w:p w:rsidR="00000000" w:rsidRDefault="00000000">
            <w:pPr>
              <w:jc w:val="center"/>
              <w:rPr>
                <w:szCs w:val="16"/>
              </w:rPr>
            </w:pPr>
            <w:r>
              <w:rPr>
                <w:szCs w:val="16"/>
              </w:rPr>
              <w:t>2</w:t>
            </w:r>
          </w:p>
        </w:tc>
      </w:tr>
      <w:tr w:rsidR="00000000">
        <w:tblPrEx>
          <w:tblCellMar>
            <w:top w:w="0" w:type="dxa"/>
            <w:bottom w:w="0" w:type="dxa"/>
          </w:tblCellMar>
        </w:tblPrEx>
        <w:trPr>
          <w:jc w:val="center"/>
        </w:trPr>
        <w:tc>
          <w:tcPr>
            <w:tcW w:w="2701" w:type="dxa"/>
          </w:tcPr>
          <w:p w:rsidR="00000000" w:rsidRDefault="00000000">
            <w:pPr>
              <w:rPr>
                <w:szCs w:val="16"/>
              </w:rPr>
            </w:pPr>
            <w:r>
              <w:rPr>
                <w:szCs w:val="16"/>
              </w:rPr>
              <w:t>De 5 a 9 años</w:t>
            </w:r>
          </w:p>
        </w:tc>
        <w:tc>
          <w:tcPr>
            <w:tcW w:w="1127" w:type="dxa"/>
          </w:tcPr>
          <w:p w:rsidR="00000000" w:rsidRDefault="00000000">
            <w:pPr>
              <w:jc w:val="center"/>
              <w:rPr>
                <w:szCs w:val="16"/>
              </w:rPr>
            </w:pPr>
            <w:r>
              <w:rPr>
                <w:szCs w:val="16"/>
              </w:rPr>
              <w:t>0</w:t>
            </w:r>
          </w:p>
        </w:tc>
        <w:tc>
          <w:tcPr>
            <w:tcW w:w="1128" w:type="dxa"/>
          </w:tcPr>
          <w:p w:rsidR="00000000" w:rsidRDefault="00000000">
            <w:pPr>
              <w:tabs>
                <w:tab w:val="decimal" w:pos="606"/>
              </w:tabs>
              <w:rPr>
                <w:szCs w:val="16"/>
              </w:rPr>
            </w:pPr>
            <w:r>
              <w:rPr>
                <w:szCs w:val="16"/>
              </w:rPr>
              <w:t>3</w:t>
            </w:r>
          </w:p>
        </w:tc>
        <w:tc>
          <w:tcPr>
            <w:tcW w:w="1127" w:type="dxa"/>
          </w:tcPr>
          <w:p w:rsidR="00000000" w:rsidRDefault="00000000">
            <w:pPr>
              <w:jc w:val="center"/>
              <w:rPr>
                <w:szCs w:val="16"/>
              </w:rPr>
            </w:pPr>
            <w:r>
              <w:rPr>
                <w:szCs w:val="16"/>
              </w:rPr>
              <w:t>0</w:t>
            </w:r>
          </w:p>
        </w:tc>
        <w:tc>
          <w:tcPr>
            <w:tcW w:w="1128" w:type="dxa"/>
          </w:tcPr>
          <w:p w:rsidR="00000000" w:rsidRDefault="00000000">
            <w:pPr>
              <w:tabs>
                <w:tab w:val="decimal" w:pos="606"/>
              </w:tabs>
              <w:rPr>
                <w:szCs w:val="16"/>
              </w:rPr>
            </w:pPr>
            <w:r>
              <w:rPr>
                <w:szCs w:val="16"/>
              </w:rPr>
              <w:t>2</w:t>
            </w:r>
          </w:p>
        </w:tc>
        <w:tc>
          <w:tcPr>
            <w:tcW w:w="1128" w:type="dxa"/>
          </w:tcPr>
          <w:p w:rsidR="00000000" w:rsidRDefault="00000000">
            <w:pPr>
              <w:jc w:val="center"/>
              <w:rPr>
                <w:szCs w:val="16"/>
              </w:rPr>
            </w:pPr>
            <w:r>
              <w:rPr>
                <w:szCs w:val="16"/>
              </w:rPr>
              <w:t>1</w:t>
            </w:r>
          </w:p>
        </w:tc>
      </w:tr>
      <w:tr w:rsidR="00000000">
        <w:tblPrEx>
          <w:tblCellMar>
            <w:top w:w="0" w:type="dxa"/>
            <w:bottom w:w="0" w:type="dxa"/>
          </w:tblCellMar>
        </w:tblPrEx>
        <w:trPr>
          <w:jc w:val="center"/>
        </w:trPr>
        <w:tc>
          <w:tcPr>
            <w:tcW w:w="2701" w:type="dxa"/>
          </w:tcPr>
          <w:p w:rsidR="00000000" w:rsidRDefault="00000000">
            <w:pPr>
              <w:tabs>
                <w:tab w:val="left" w:pos="382"/>
              </w:tabs>
              <w:rPr>
                <w:b/>
                <w:bCs/>
                <w:szCs w:val="16"/>
              </w:rPr>
            </w:pPr>
            <w:r>
              <w:rPr>
                <w:b/>
                <w:bCs/>
                <w:szCs w:val="16"/>
              </w:rPr>
              <w:tab/>
              <w:t>Total</w:t>
            </w:r>
          </w:p>
        </w:tc>
        <w:tc>
          <w:tcPr>
            <w:tcW w:w="1127" w:type="dxa"/>
          </w:tcPr>
          <w:p w:rsidR="00000000" w:rsidRDefault="00000000">
            <w:pPr>
              <w:jc w:val="center"/>
              <w:rPr>
                <w:b/>
                <w:bCs/>
                <w:szCs w:val="16"/>
              </w:rPr>
            </w:pPr>
            <w:r>
              <w:rPr>
                <w:b/>
                <w:bCs/>
                <w:szCs w:val="16"/>
              </w:rPr>
              <w:t>8</w:t>
            </w:r>
          </w:p>
        </w:tc>
        <w:tc>
          <w:tcPr>
            <w:tcW w:w="1128" w:type="dxa"/>
          </w:tcPr>
          <w:p w:rsidR="00000000" w:rsidRDefault="00000000">
            <w:pPr>
              <w:jc w:val="center"/>
              <w:rPr>
                <w:b/>
                <w:bCs/>
                <w:szCs w:val="16"/>
              </w:rPr>
            </w:pPr>
            <w:r>
              <w:rPr>
                <w:b/>
                <w:bCs/>
                <w:szCs w:val="16"/>
              </w:rPr>
              <w:t>12</w:t>
            </w:r>
          </w:p>
        </w:tc>
        <w:tc>
          <w:tcPr>
            <w:tcW w:w="1127" w:type="dxa"/>
          </w:tcPr>
          <w:p w:rsidR="00000000" w:rsidRDefault="00000000">
            <w:pPr>
              <w:jc w:val="center"/>
              <w:rPr>
                <w:b/>
                <w:bCs/>
                <w:szCs w:val="16"/>
              </w:rPr>
            </w:pPr>
            <w:r>
              <w:rPr>
                <w:b/>
                <w:bCs/>
                <w:szCs w:val="16"/>
              </w:rPr>
              <w:t>3</w:t>
            </w:r>
          </w:p>
        </w:tc>
        <w:tc>
          <w:tcPr>
            <w:tcW w:w="1128" w:type="dxa"/>
          </w:tcPr>
          <w:p w:rsidR="00000000" w:rsidRDefault="00000000">
            <w:pPr>
              <w:jc w:val="center"/>
              <w:rPr>
                <w:b/>
                <w:bCs/>
                <w:szCs w:val="16"/>
              </w:rPr>
            </w:pPr>
            <w:r>
              <w:rPr>
                <w:b/>
                <w:bCs/>
                <w:szCs w:val="16"/>
              </w:rPr>
              <w:t>12</w:t>
            </w:r>
          </w:p>
        </w:tc>
        <w:tc>
          <w:tcPr>
            <w:tcW w:w="1128" w:type="dxa"/>
          </w:tcPr>
          <w:p w:rsidR="00000000" w:rsidRDefault="00000000">
            <w:pPr>
              <w:jc w:val="center"/>
              <w:rPr>
                <w:b/>
                <w:bCs/>
                <w:szCs w:val="16"/>
              </w:rPr>
            </w:pPr>
            <w:r>
              <w:rPr>
                <w:b/>
                <w:bCs/>
                <w:szCs w:val="16"/>
              </w:rPr>
              <w:t>6</w:t>
            </w:r>
          </w:p>
        </w:tc>
      </w:tr>
    </w:tbl>
    <w:p w:rsidR="00000000" w:rsidRDefault="00000000">
      <w:pPr>
        <w:spacing w:before="240" w:after="480"/>
        <w:ind w:left="567" w:hanging="79"/>
        <w:rPr>
          <w:szCs w:val="16"/>
        </w:rPr>
      </w:pPr>
      <w:r>
        <w:rPr>
          <w:i/>
          <w:iCs/>
          <w:szCs w:val="16"/>
        </w:rPr>
        <w:t>Fuente</w:t>
      </w:r>
      <w:r>
        <w:rPr>
          <w:szCs w:val="16"/>
        </w:rPr>
        <w:t>:  Programa de control de tuberculosis, M.S.P. y B.S.</w:t>
      </w:r>
    </w:p>
    <w:p w:rsidR="00000000" w:rsidRDefault="00000000">
      <w:pPr>
        <w:pStyle w:val="BodyText"/>
        <w:jc w:val="center"/>
        <w:rPr>
          <w:b/>
          <w:lang w:val="es-ES"/>
        </w:rPr>
      </w:pPr>
      <w:r>
        <w:rPr>
          <w:b/>
          <w:lang w:val="es-ES"/>
        </w:rPr>
        <w:t xml:space="preserve">Mortalidad por VIH/SIDA, menores de 10 años según grupos </w:t>
      </w:r>
      <w:r>
        <w:rPr>
          <w:b/>
          <w:lang w:val="es-ES"/>
        </w:rPr>
        <w:br/>
        <w:t>etarios, Paraguay, 2000-2003.</w:t>
      </w:r>
    </w:p>
    <w:tbl>
      <w:tblPr>
        <w:tblW w:w="0" w:type="auto"/>
        <w:jc w:val="center"/>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9"/>
        <w:gridCol w:w="1122"/>
        <w:gridCol w:w="1123"/>
        <w:gridCol w:w="1122"/>
        <w:gridCol w:w="1123"/>
        <w:gridCol w:w="1123"/>
      </w:tblGrid>
      <w:tr w:rsidR="00000000">
        <w:tblPrEx>
          <w:tblCellMar>
            <w:top w:w="0" w:type="dxa"/>
            <w:bottom w:w="0" w:type="dxa"/>
          </w:tblCellMar>
        </w:tblPrEx>
        <w:trPr>
          <w:trHeight w:val="20"/>
          <w:jc w:val="center"/>
        </w:trPr>
        <w:tc>
          <w:tcPr>
            <w:tcW w:w="2739" w:type="dxa"/>
          </w:tcPr>
          <w:p w:rsidR="00000000" w:rsidRDefault="00000000">
            <w:pPr>
              <w:pStyle w:val="BodyText"/>
              <w:spacing w:after="0"/>
              <w:jc w:val="center"/>
              <w:rPr>
                <w:b/>
                <w:bCs/>
                <w:szCs w:val="16"/>
              </w:rPr>
            </w:pPr>
            <w:r>
              <w:rPr>
                <w:b/>
                <w:bCs/>
                <w:szCs w:val="16"/>
              </w:rPr>
              <w:t>Grupos etarios</w:t>
            </w:r>
          </w:p>
        </w:tc>
        <w:tc>
          <w:tcPr>
            <w:tcW w:w="1122" w:type="dxa"/>
          </w:tcPr>
          <w:p w:rsidR="00000000" w:rsidRDefault="00000000">
            <w:pPr>
              <w:pStyle w:val="BodyText"/>
              <w:spacing w:after="0"/>
              <w:jc w:val="center"/>
              <w:rPr>
                <w:b/>
                <w:bCs/>
                <w:szCs w:val="16"/>
              </w:rPr>
            </w:pPr>
            <w:r>
              <w:rPr>
                <w:b/>
                <w:bCs/>
                <w:szCs w:val="16"/>
              </w:rPr>
              <w:t>2000</w:t>
            </w:r>
          </w:p>
        </w:tc>
        <w:tc>
          <w:tcPr>
            <w:tcW w:w="1123" w:type="dxa"/>
          </w:tcPr>
          <w:p w:rsidR="00000000" w:rsidRDefault="00000000">
            <w:pPr>
              <w:pStyle w:val="BodyText"/>
              <w:spacing w:after="0"/>
              <w:jc w:val="center"/>
              <w:rPr>
                <w:b/>
                <w:bCs/>
                <w:szCs w:val="16"/>
              </w:rPr>
            </w:pPr>
            <w:r>
              <w:rPr>
                <w:b/>
                <w:bCs/>
                <w:szCs w:val="16"/>
              </w:rPr>
              <w:t>2001</w:t>
            </w:r>
          </w:p>
        </w:tc>
        <w:tc>
          <w:tcPr>
            <w:tcW w:w="1122" w:type="dxa"/>
          </w:tcPr>
          <w:p w:rsidR="00000000" w:rsidRDefault="00000000">
            <w:pPr>
              <w:pStyle w:val="BodyText"/>
              <w:spacing w:after="0"/>
              <w:jc w:val="center"/>
              <w:rPr>
                <w:b/>
                <w:bCs/>
                <w:szCs w:val="16"/>
              </w:rPr>
            </w:pPr>
            <w:r>
              <w:rPr>
                <w:b/>
                <w:bCs/>
                <w:szCs w:val="16"/>
              </w:rPr>
              <w:t>2002</w:t>
            </w:r>
          </w:p>
        </w:tc>
        <w:tc>
          <w:tcPr>
            <w:tcW w:w="1123" w:type="dxa"/>
          </w:tcPr>
          <w:p w:rsidR="00000000" w:rsidRDefault="00000000">
            <w:pPr>
              <w:pStyle w:val="BodyText"/>
              <w:spacing w:after="0"/>
              <w:jc w:val="center"/>
              <w:rPr>
                <w:b/>
                <w:bCs/>
                <w:szCs w:val="16"/>
              </w:rPr>
            </w:pPr>
            <w:r>
              <w:rPr>
                <w:b/>
                <w:bCs/>
                <w:szCs w:val="16"/>
              </w:rPr>
              <w:t>2003</w:t>
            </w:r>
          </w:p>
        </w:tc>
        <w:tc>
          <w:tcPr>
            <w:tcW w:w="1123" w:type="dxa"/>
          </w:tcPr>
          <w:p w:rsidR="00000000" w:rsidRDefault="00000000">
            <w:pPr>
              <w:pStyle w:val="BodyText"/>
              <w:spacing w:after="0"/>
              <w:jc w:val="center"/>
              <w:rPr>
                <w:b/>
                <w:bCs/>
                <w:szCs w:val="16"/>
              </w:rPr>
            </w:pPr>
            <w:r>
              <w:rPr>
                <w:b/>
                <w:bCs/>
                <w:szCs w:val="16"/>
              </w:rPr>
              <w:t>Total</w:t>
            </w:r>
          </w:p>
        </w:tc>
      </w:tr>
      <w:tr w:rsidR="00000000">
        <w:tblPrEx>
          <w:tblCellMar>
            <w:top w:w="0" w:type="dxa"/>
            <w:bottom w:w="0" w:type="dxa"/>
          </w:tblCellMar>
        </w:tblPrEx>
        <w:trPr>
          <w:trHeight w:val="20"/>
          <w:jc w:val="center"/>
        </w:trPr>
        <w:tc>
          <w:tcPr>
            <w:tcW w:w="2739" w:type="dxa"/>
          </w:tcPr>
          <w:p w:rsidR="00000000" w:rsidRDefault="00000000">
            <w:pPr>
              <w:pStyle w:val="BodyText"/>
              <w:spacing w:after="0"/>
              <w:jc w:val="left"/>
              <w:rPr>
                <w:szCs w:val="16"/>
              </w:rPr>
            </w:pPr>
            <w:r>
              <w:rPr>
                <w:szCs w:val="16"/>
              </w:rPr>
              <w:t>Menores de 1 año</w:t>
            </w:r>
          </w:p>
        </w:tc>
        <w:tc>
          <w:tcPr>
            <w:tcW w:w="1122" w:type="dxa"/>
          </w:tcPr>
          <w:p w:rsidR="00000000" w:rsidRDefault="00000000">
            <w:pPr>
              <w:pStyle w:val="BodyText"/>
              <w:spacing w:after="0"/>
              <w:jc w:val="center"/>
              <w:rPr>
                <w:szCs w:val="16"/>
              </w:rPr>
            </w:pPr>
            <w:r>
              <w:rPr>
                <w:szCs w:val="16"/>
              </w:rPr>
              <w:t>2</w:t>
            </w:r>
          </w:p>
        </w:tc>
        <w:tc>
          <w:tcPr>
            <w:tcW w:w="1123" w:type="dxa"/>
          </w:tcPr>
          <w:p w:rsidR="00000000" w:rsidRDefault="00000000">
            <w:pPr>
              <w:pStyle w:val="BodyText"/>
              <w:spacing w:after="0"/>
              <w:jc w:val="center"/>
              <w:rPr>
                <w:szCs w:val="16"/>
              </w:rPr>
            </w:pPr>
            <w:r>
              <w:rPr>
                <w:szCs w:val="16"/>
              </w:rPr>
              <w:t>1</w:t>
            </w:r>
          </w:p>
        </w:tc>
        <w:tc>
          <w:tcPr>
            <w:tcW w:w="1122" w:type="dxa"/>
          </w:tcPr>
          <w:p w:rsidR="00000000" w:rsidRDefault="00000000">
            <w:pPr>
              <w:pStyle w:val="BodyText"/>
              <w:spacing w:after="0"/>
              <w:jc w:val="center"/>
              <w:rPr>
                <w:szCs w:val="16"/>
              </w:rPr>
            </w:pPr>
            <w:r>
              <w:rPr>
                <w:szCs w:val="16"/>
              </w:rPr>
              <w:t>1</w:t>
            </w:r>
          </w:p>
        </w:tc>
        <w:tc>
          <w:tcPr>
            <w:tcW w:w="1123" w:type="dxa"/>
          </w:tcPr>
          <w:p w:rsidR="00000000" w:rsidRDefault="00000000">
            <w:pPr>
              <w:pStyle w:val="BodyText"/>
              <w:spacing w:after="0"/>
              <w:jc w:val="center"/>
              <w:rPr>
                <w:szCs w:val="16"/>
              </w:rPr>
            </w:pPr>
            <w:r>
              <w:rPr>
                <w:szCs w:val="16"/>
              </w:rPr>
              <w:t>1</w:t>
            </w:r>
          </w:p>
        </w:tc>
        <w:tc>
          <w:tcPr>
            <w:tcW w:w="1123" w:type="dxa"/>
          </w:tcPr>
          <w:p w:rsidR="00000000" w:rsidRDefault="00000000">
            <w:pPr>
              <w:tabs>
                <w:tab w:val="decimal" w:pos="606"/>
              </w:tabs>
              <w:rPr>
                <w:szCs w:val="16"/>
              </w:rPr>
            </w:pPr>
            <w:r>
              <w:rPr>
                <w:szCs w:val="16"/>
              </w:rPr>
              <w:t>5</w:t>
            </w:r>
          </w:p>
        </w:tc>
      </w:tr>
      <w:tr w:rsidR="00000000">
        <w:tblPrEx>
          <w:tblCellMar>
            <w:top w:w="0" w:type="dxa"/>
            <w:bottom w:w="0" w:type="dxa"/>
          </w:tblCellMar>
        </w:tblPrEx>
        <w:trPr>
          <w:trHeight w:val="20"/>
          <w:jc w:val="center"/>
        </w:trPr>
        <w:tc>
          <w:tcPr>
            <w:tcW w:w="2739" w:type="dxa"/>
          </w:tcPr>
          <w:p w:rsidR="00000000" w:rsidRDefault="00000000">
            <w:pPr>
              <w:pStyle w:val="BodyText"/>
              <w:spacing w:after="0"/>
              <w:jc w:val="left"/>
              <w:rPr>
                <w:szCs w:val="16"/>
              </w:rPr>
            </w:pPr>
            <w:r>
              <w:rPr>
                <w:szCs w:val="16"/>
              </w:rPr>
              <w:t>De 1 a 4 años</w:t>
            </w:r>
          </w:p>
        </w:tc>
        <w:tc>
          <w:tcPr>
            <w:tcW w:w="1122" w:type="dxa"/>
          </w:tcPr>
          <w:p w:rsidR="00000000" w:rsidRDefault="00000000">
            <w:pPr>
              <w:pStyle w:val="BodyText"/>
              <w:spacing w:after="0"/>
              <w:jc w:val="center"/>
              <w:rPr>
                <w:szCs w:val="16"/>
              </w:rPr>
            </w:pPr>
            <w:r>
              <w:rPr>
                <w:szCs w:val="16"/>
              </w:rPr>
              <w:t>2</w:t>
            </w:r>
          </w:p>
        </w:tc>
        <w:tc>
          <w:tcPr>
            <w:tcW w:w="1123" w:type="dxa"/>
          </w:tcPr>
          <w:p w:rsidR="00000000" w:rsidRDefault="00000000">
            <w:pPr>
              <w:pStyle w:val="BodyText"/>
              <w:spacing w:after="0"/>
              <w:jc w:val="center"/>
              <w:rPr>
                <w:szCs w:val="16"/>
              </w:rPr>
            </w:pPr>
            <w:r>
              <w:rPr>
                <w:szCs w:val="16"/>
              </w:rPr>
              <w:t>1</w:t>
            </w:r>
          </w:p>
        </w:tc>
        <w:tc>
          <w:tcPr>
            <w:tcW w:w="1122" w:type="dxa"/>
          </w:tcPr>
          <w:p w:rsidR="00000000" w:rsidRDefault="00000000">
            <w:pPr>
              <w:pStyle w:val="BodyText"/>
              <w:spacing w:after="0"/>
              <w:jc w:val="center"/>
              <w:rPr>
                <w:szCs w:val="16"/>
              </w:rPr>
            </w:pPr>
            <w:r>
              <w:rPr>
                <w:szCs w:val="16"/>
              </w:rPr>
              <w:t>1</w:t>
            </w:r>
          </w:p>
        </w:tc>
        <w:tc>
          <w:tcPr>
            <w:tcW w:w="1123" w:type="dxa"/>
          </w:tcPr>
          <w:p w:rsidR="00000000" w:rsidRDefault="00000000">
            <w:pPr>
              <w:pStyle w:val="BodyText"/>
              <w:spacing w:after="0"/>
              <w:jc w:val="center"/>
              <w:rPr>
                <w:szCs w:val="16"/>
              </w:rPr>
            </w:pPr>
            <w:r>
              <w:rPr>
                <w:szCs w:val="16"/>
              </w:rPr>
              <w:t>1</w:t>
            </w:r>
          </w:p>
        </w:tc>
        <w:tc>
          <w:tcPr>
            <w:tcW w:w="1123" w:type="dxa"/>
          </w:tcPr>
          <w:p w:rsidR="00000000" w:rsidRDefault="00000000">
            <w:pPr>
              <w:tabs>
                <w:tab w:val="decimal" w:pos="606"/>
              </w:tabs>
              <w:rPr>
                <w:szCs w:val="16"/>
              </w:rPr>
            </w:pPr>
            <w:r>
              <w:rPr>
                <w:szCs w:val="16"/>
              </w:rPr>
              <w:t>5</w:t>
            </w:r>
          </w:p>
        </w:tc>
      </w:tr>
      <w:tr w:rsidR="00000000">
        <w:tblPrEx>
          <w:tblCellMar>
            <w:top w:w="0" w:type="dxa"/>
            <w:bottom w:w="0" w:type="dxa"/>
          </w:tblCellMar>
        </w:tblPrEx>
        <w:trPr>
          <w:trHeight w:val="20"/>
          <w:jc w:val="center"/>
        </w:trPr>
        <w:tc>
          <w:tcPr>
            <w:tcW w:w="2739" w:type="dxa"/>
          </w:tcPr>
          <w:p w:rsidR="00000000" w:rsidRDefault="00000000">
            <w:pPr>
              <w:pStyle w:val="BodyText"/>
              <w:spacing w:after="0"/>
              <w:jc w:val="left"/>
              <w:rPr>
                <w:szCs w:val="16"/>
              </w:rPr>
            </w:pPr>
            <w:r>
              <w:rPr>
                <w:szCs w:val="16"/>
              </w:rPr>
              <w:t>De 5 a 9 años</w:t>
            </w:r>
          </w:p>
        </w:tc>
        <w:tc>
          <w:tcPr>
            <w:tcW w:w="1122" w:type="dxa"/>
          </w:tcPr>
          <w:p w:rsidR="00000000" w:rsidRDefault="00000000">
            <w:pPr>
              <w:pStyle w:val="BodyText"/>
              <w:spacing w:after="0"/>
              <w:jc w:val="center"/>
              <w:rPr>
                <w:szCs w:val="16"/>
              </w:rPr>
            </w:pPr>
            <w:r>
              <w:rPr>
                <w:szCs w:val="16"/>
              </w:rPr>
              <w:t>0</w:t>
            </w:r>
          </w:p>
        </w:tc>
        <w:tc>
          <w:tcPr>
            <w:tcW w:w="1123" w:type="dxa"/>
          </w:tcPr>
          <w:p w:rsidR="00000000" w:rsidRDefault="00000000">
            <w:pPr>
              <w:pStyle w:val="BodyText"/>
              <w:spacing w:after="0"/>
              <w:jc w:val="center"/>
              <w:rPr>
                <w:szCs w:val="16"/>
              </w:rPr>
            </w:pPr>
            <w:r>
              <w:rPr>
                <w:szCs w:val="16"/>
              </w:rPr>
              <w:t>1</w:t>
            </w:r>
          </w:p>
        </w:tc>
        <w:tc>
          <w:tcPr>
            <w:tcW w:w="1122" w:type="dxa"/>
          </w:tcPr>
          <w:p w:rsidR="00000000" w:rsidRDefault="00000000">
            <w:pPr>
              <w:pStyle w:val="BodyText"/>
              <w:spacing w:after="0"/>
              <w:jc w:val="center"/>
              <w:rPr>
                <w:szCs w:val="16"/>
              </w:rPr>
            </w:pPr>
            <w:r>
              <w:rPr>
                <w:szCs w:val="16"/>
              </w:rPr>
              <w:t>1</w:t>
            </w:r>
          </w:p>
        </w:tc>
        <w:tc>
          <w:tcPr>
            <w:tcW w:w="1123" w:type="dxa"/>
          </w:tcPr>
          <w:p w:rsidR="00000000" w:rsidRDefault="00000000">
            <w:pPr>
              <w:pStyle w:val="BodyText"/>
              <w:spacing w:after="0"/>
              <w:jc w:val="center"/>
              <w:rPr>
                <w:szCs w:val="16"/>
              </w:rPr>
            </w:pPr>
            <w:r>
              <w:rPr>
                <w:szCs w:val="16"/>
              </w:rPr>
              <w:t>3</w:t>
            </w:r>
          </w:p>
        </w:tc>
        <w:tc>
          <w:tcPr>
            <w:tcW w:w="1123" w:type="dxa"/>
          </w:tcPr>
          <w:p w:rsidR="00000000" w:rsidRDefault="00000000">
            <w:pPr>
              <w:tabs>
                <w:tab w:val="decimal" w:pos="606"/>
              </w:tabs>
              <w:rPr>
                <w:szCs w:val="16"/>
              </w:rPr>
            </w:pPr>
            <w:r>
              <w:rPr>
                <w:szCs w:val="16"/>
              </w:rPr>
              <w:t>5</w:t>
            </w:r>
          </w:p>
        </w:tc>
      </w:tr>
      <w:tr w:rsidR="00000000">
        <w:tblPrEx>
          <w:tblCellMar>
            <w:top w:w="0" w:type="dxa"/>
            <w:bottom w:w="0" w:type="dxa"/>
          </w:tblCellMar>
        </w:tblPrEx>
        <w:trPr>
          <w:trHeight w:val="20"/>
          <w:jc w:val="center"/>
        </w:trPr>
        <w:tc>
          <w:tcPr>
            <w:tcW w:w="2739" w:type="dxa"/>
          </w:tcPr>
          <w:p w:rsidR="00000000" w:rsidRDefault="00000000">
            <w:pPr>
              <w:pStyle w:val="BodyText"/>
              <w:spacing w:after="0"/>
              <w:jc w:val="left"/>
              <w:rPr>
                <w:szCs w:val="16"/>
              </w:rPr>
            </w:pPr>
            <w:r>
              <w:rPr>
                <w:szCs w:val="16"/>
              </w:rPr>
              <w:t>Desconocidos</w:t>
            </w:r>
          </w:p>
        </w:tc>
        <w:tc>
          <w:tcPr>
            <w:tcW w:w="1122" w:type="dxa"/>
          </w:tcPr>
          <w:p w:rsidR="00000000" w:rsidRDefault="00000000">
            <w:pPr>
              <w:pStyle w:val="BodyText"/>
              <w:spacing w:after="0"/>
              <w:jc w:val="center"/>
              <w:rPr>
                <w:szCs w:val="16"/>
              </w:rPr>
            </w:pPr>
            <w:r>
              <w:rPr>
                <w:szCs w:val="16"/>
              </w:rPr>
              <w:t>0</w:t>
            </w:r>
          </w:p>
        </w:tc>
        <w:tc>
          <w:tcPr>
            <w:tcW w:w="1123" w:type="dxa"/>
          </w:tcPr>
          <w:p w:rsidR="00000000" w:rsidRDefault="00000000">
            <w:pPr>
              <w:pStyle w:val="BodyText"/>
              <w:spacing w:after="0"/>
              <w:jc w:val="center"/>
              <w:rPr>
                <w:szCs w:val="16"/>
              </w:rPr>
            </w:pPr>
            <w:r>
              <w:rPr>
                <w:szCs w:val="16"/>
              </w:rPr>
              <w:t>0</w:t>
            </w:r>
          </w:p>
        </w:tc>
        <w:tc>
          <w:tcPr>
            <w:tcW w:w="1122" w:type="dxa"/>
          </w:tcPr>
          <w:p w:rsidR="00000000" w:rsidRDefault="00000000">
            <w:pPr>
              <w:pStyle w:val="BodyText"/>
              <w:spacing w:after="0"/>
              <w:jc w:val="center"/>
              <w:rPr>
                <w:szCs w:val="16"/>
              </w:rPr>
            </w:pPr>
            <w:r>
              <w:rPr>
                <w:szCs w:val="16"/>
              </w:rPr>
              <w:t>0</w:t>
            </w:r>
          </w:p>
        </w:tc>
        <w:tc>
          <w:tcPr>
            <w:tcW w:w="1123" w:type="dxa"/>
          </w:tcPr>
          <w:p w:rsidR="00000000" w:rsidRDefault="00000000">
            <w:pPr>
              <w:pStyle w:val="BodyText"/>
              <w:spacing w:after="0"/>
              <w:jc w:val="center"/>
              <w:rPr>
                <w:szCs w:val="16"/>
              </w:rPr>
            </w:pPr>
            <w:r>
              <w:rPr>
                <w:szCs w:val="16"/>
              </w:rPr>
              <w:t>1</w:t>
            </w:r>
          </w:p>
        </w:tc>
        <w:tc>
          <w:tcPr>
            <w:tcW w:w="1123" w:type="dxa"/>
          </w:tcPr>
          <w:p w:rsidR="00000000" w:rsidRDefault="00000000">
            <w:pPr>
              <w:tabs>
                <w:tab w:val="decimal" w:pos="606"/>
              </w:tabs>
              <w:rPr>
                <w:szCs w:val="16"/>
              </w:rPr>
            </w:pPr>
            <w:r>
              <w:rPr>
                <w:szCs w:val="16"/>
              </w:rPr>
              <w:t>1</w:t>
            </w:r>
          </w:p>
        </w:tc>
      </w:tr>
      <w:tr w:rsidR="00000000">
        <w:tblPrEx>
          <w:tblCellMar>
            <w:top w:w="0" w:type="dxa"/>
            <w:bottom w:w="0" w:type="dxa"/>
          </w:tblCellMar>
        </w:tblPrEx>
        <w:trPr>
          <w:trHeight w:val="20"/>
          <w:jc w:val="center"/>
        </w:trPr>
        <w:tc>
          <w:tcPr>
            <w:tcW w:w="2739" w:type="dxa"/>
          </w:tcPr>
          <w:p w:rsidR="00000000" w:rsidRDefault="00000000">
            <w:pPr>
              <w:tabs>
                <w:tab w:val="left" w:pos="382"/>
              </w:tabs>
              <w:rPr>
                <w:b/>
                <w:bCs/>
                <w:szCs w:val="16"/>
              </w:rPr>
            </w:pPr>
            <w:r>
              <w:rPr>
                <w:b/>
                <w:bCs/>
                <w:szCs w:val="16"/>
              </w:rPr>
              <w:tab/>
              <w:t>Total</w:t>
            </w:r>
          </w:p>
        </w:tc>
        <w:tc>
          <w:tcPr>
            <w:tcW w:w="1122" w:type="dxa"/>
          </w:tcPr>
          <w:p w:rsidR="00000000" w:rsidRDefault="00000000">
            <w:pPr>
              <w:pStyle w:val="BodyText"/>
              <w:spacing w:after="0"/>
              <w:jc w:val="center"/>
              <w:rPr>
                <w:b/>
                <w:bCs/>
                <w:szCs w:val="16"/>
              </w:rPr>
            </w:pPr>
            <w:r>
              <w:rPr>
                <w:b/>
                <w:bCs/>
                <w:szCs w:val="16"/>
              </w:rPr>
              <w:t>4</w:t>
            </w:r>
          </w:p>
        </w:tc>
        <w:tc>
          <w:tcPr>
            <w:tcW w:w="1123" w:type="dxa"/>
          </w:tcPr>
          <w:p w:rsidR="00000000" w:rsidRDefault="00000000">
            <w:pPr>
              <w:pStyle w:val="BodyText"/>
              <w:spacing w:after="0"/>
              <w:jc w:val="center"/>
              <w:rPr>
                <w:b/>
                <w:bCs/>
                <w:szCs w:val="16"/>
              </w:rPr>
            </w:pPr>
            <w:r>
              <w:rPr>
                <w:b/>
                <w:bCs/>
                <w:szCs w:val="16"/>
              </w:rPr>
              <w:t>3</w:t>
            </w:r>
          </w:p>
        </w:tc>
        <w:tc>
          <w:tcPr>
            <w:tcW w:w="1122" w:type="dxa"/>
          </w:tcPr>
          <w:p w:rsidR="00000000" w:rsidRDefault="00000000">
            <w:pPr>
              <w:pStyle w:val="BodyText"/>
              <w:spacing w:after="0"/>
              <w:jc w:val="center"/>
              <w:rPr>
                <w:b/>
                <w:bCs/>
                <w:szCs w:val="16"/>
              </w:rPr>
            </w:pPr>
            <w:r>
              <w:rPr>
                <w:b/>
                <w:bCs/>
                <w:szCs w:val="16"/>
              </w:rPr>
              <w:t>3</w:t>
            </w:r>
          </w:p>
        </w:tc>
        <w:tc>
          <w:tcPr>
            <w:tcW w:w="1123" w:type="dxa"/>
          </w:tcPr>
          <w:p w:rsidR="00000000" w:rsidRDefault="00000000">
            <w:pPr>
              <w:pStyle w:val="BodyText"/>
              <w:spacing w:after="0"/>
              <w:jc w:val="center"/>
              <w:rPr>
                <w:b/>
                <w:bCs/>
                <w:szCs w:val="16"/>
              </w:rPr>
            </w:pPr>
            <w:r>
              <w:rPr>
                <w:b/>
                <w:bCs/>
                <w:szCs w:val="16"/>
              </w:rPr>
              <w:t>6</w:t>
            </w:r>
          </w:p>
        </w:tc>
        <w:tc>
          <w:tcPr>
            <w:tcW w:w="1123" w:type="dxa"/>
          </w:tcPr>
          <w:p w:rsidR="00000000" w:rsidRDefault="00000000">
            <w:pPr>
              <w:tabs>
                <w:tab w:val="decimal" w:pos="606"/>
              </w:tabs>
              <w:rPr>
                <w:b/>
                <w:bCs/>
                <w:szCs w:val="16"/>
              </w:rPr>
            </w:pPr>
            <w:r>
              <w:rPr>
                <w:b/>
                <w:bCs/>
                <w:szCs w:val="16"/>
              </w:rPr>
              <w:t>16</w:t>
            </w:r>
          </w:p>
        </w:tc>
      </w:tr>
    </w:tbl>
    <w:p w:rsidR="00000000" w:rsidRDefault="00000000">
      <w:pPr>
        <w:spacing w:before="240" w:after="480"/>
        <w:ind w:left="490" w:hanging="2"/>
        <w:rPr>
          <w:szCs w:val="16"/>
        </w:rPr>
      </w:pPr>
      <w:r>
        <w:rPr>
          <w:i/>
          <w:iCs/>
          <w:szCs w:val="16"/>
        </w:rPr>
        <w:t>Fuente</w:t>
      </w:r>
      <w:r>
        <w:rPr>
          <w:szCs w:val="16"/>
        </w:rPr>
        <w:t>:  Departamento de Vigilancia Epidemiológica, Programa de control SIDA/ITS, M.S.P. y B.S.</w:t>
      </w:r>
    </w:p>
    <w:p w:rsidR="00000000" w:rsidRDefault="00000000">
      <w:pPr>
        <w:pStyle w:val="xl23"/>
        <w:spacing w:before="0" w:beforeAutospacing="0" w:after="240" w:afterAutospacing="0"/>
        <w:ind w:left="488"/>
        <w:rPr>
          <w:rFonts w:ascii="Times New Roman" w:hAnsi="Times New Roman" w:cs="Times New Roman"/>
          <w:bCs w:val="0"/>
        </w:rPr>
      </w:pPr>
      <w:r>
        <w:rPr>
          <w:rFonts w:ascii="Times New Roman" w:hAnsi="Times New Roman" w:cs="Times New Roman"/>
          <w:bCs w:val="0"/>
        </w:rPr>
        <w:t>2.2.</w:t>
      </w:r>
      <w:r>
        <w:rPr>
          <w:rFonts w:ascii="Times New Roman" w:hAnsi="Times New Roman" w:cs="Times New Roman"/>
          <w:bCs w:val="0"/>
        </w:rPr>
        <w:tab/>
        <w:t xml:space="preserve">Mortalidad por maltrato infantil </w:t>
      </w:r>
    </w:p>
    <w:p w:rsidR="00000000" w:rsidRDefault="00000000">
      <w:pPr>
        <w:autoSpaceDE w:val="0"/>
        <w:autoSpaceDN w:val="0"/>
        <w:adjustRightInd w:val="0"/>
        <w:spacing w:after="240"/>
        <w:rPr>
          <w:szCs w:val="20"/>
        </w:rPr>
      </w:pPr>
      <w:r>
        <w:rPr>
          <w:szCs w:val="20"/>
        </w:rPr>
        <w:t>22.</w:t>
      </w:r>
      <w:r>
        <w:rPr>
          <w:szCs w:val="20"/>
        </w:rPr>
        <w:tab/>
        <w:t xml:space="preserve">Registros de mortalidad del Ministerio, dan cuenta de 12 muertes violentas por maltrato infantil, en los </w:t>
      </w:r>
      <w:r>
        <w:t>cinco</w:t>
      </w:r>
      <w:r>
        <w:rPr>
          <w:szCs w:val="20"/>
        </w:rPr>
        <w:t xml:space="preserve"> </w:t>
      </w:r>
      <w:r>
        <w:t>últimos</w:t>
      </w:r>
      <w:r>
        <w:rPr>
          <w:szCs w:val="20"/>
        </w:rPr>
        <w:t xml:space="preserve"> años, 10 de los cuales ocurrieron en menores de 1 año.  </w:t>
      </w:r>
    </w:p>
    <w:p w:rsidR="00000000" w:rsidRDefault="00000000">
      <w:pPr>
        <w:keepNext/>
        <w:keepLines/>
        <w:spacing w:after="240"/>
        <w:jc w:val="center"/>
        <w:rPr>
          <w:b/>
          <w:szCs w:val="16"/>
        </w:rPr>
      </w:pPr>
      <w:r>
        <w:rPr>
          <w:b/>
          <w:szCs w:val="16"/>
        </w:rPr>
        <w:t xml:space="preserve">Mortalidad por violencia y maltrato infantil en </w:t>
      </w:r>
      <w:r>
        <w:rPr>
          <w:b/>
          <w:szCs w:val="16"/>
        </w:rPr>
        <w:br/>
        <w:t>menores de 10 años, Paraguay, 1999-2003</w:t>
      </w:r>
    </w:p>
    <w:tbl>
      <w:tblPr>
        <w:tblW w:w="0" w:type="auto"/>
        <w:jc w:val="center"/>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3027"/>
      </w:tblGrid>
      <w:tr w:rsidR="00000000">
        <w:tblPrEx>
          <w:tblCellMar>
            <w:top w:w="0" w:type="dxa"/>
            <w:bottom w:w="0" w:type="dxa"/>
          </w:tblCellMar>
        </w:tblPrEx>
        <w:trPr>
          <w:jc w:val="center"/>
        </w:trPr>
        <w:tc>
          <w:tcPr>
            <w:tcW w:w="1964" w:type="dxa"/>
          </w:tcPr>
          <w:p w:rsidR="00000000" w:rsidRDefault="00000000">
            <w:pPr>
              <w:jc w:val="center"/>
              <w:rPr>
                <w:b/>
                <w:bCs/>
                <w:szCs w:val="16"/>
              </w:rPr>
            </w:pPr>
            <w:r>
              <w:rPr>
                <w:b/>
                <w:bCs/>
                <w:szCs w:val="16"/>
              </w:rPr>
              <w:t>Año</w:t>
            </w:r>
          </w:p>
        </w:tc>
        <w:tc>
          <w:tcPr>
            <w:tcW w:w="3027" w:type="dxa"/>
          </w:tcPr>
          <w:p w:rsidR="00000000" w:rsidRDefault="00000000">
            <w:pPr>
              <w:jc w:val="center"/>
              <w:rPr>
                <w:b/>
                <w:bCs/>
                <w:szCs w:val="16"/>
              </w:rPr>
            </w:pPr>
            <w:r>
              <w:rPr>
                <w:b/>
                <w:bCs/>
                <w:szCs w:val="16"/>
              </w:rPr>
              <w:t>Numero de defunciones</w:t>
            </w:r>
          </w:p>
        </w:tc>
      </w:tr>
      <w:tr w:rsidR="00000000">
        <w:tblPrEx>
          <w:tblCellMar>
            <w:top w:w="0" w:type="dxa"/>
            <w:bottom w:w="0" w:type="dxa"/>
          </w:tblCellMar>
        </w:tblPrEx>
        <w:trPr>
          <w:jc w:val="center"/>
        </w:trPr>
        <w:tc>
          <w:tcPr>
            <w:tcW w:w="1964" w:type="dxa"/>
          </w:tcPr>
          <w:p w:rsidR="00000000" w:rsidRDefault="00000000">
            <w:pPr>
              <w:jc w:val="center"/>
              <w:rPr>
                <w:szCs w:val="16"/>
              </w:rPr>
            </w:pPr>
            <w:r>
              <w:rPr>
                <w:szCs w:val="16"/>
              </w:rPr>
              <w:t>1999</w:t>
            </w:r>
          </w:p>
        </w:tc>
        <w:tc>
          <w:tcPr>
            <w:tcW w:w="3027" w:type="dxa"/>
          </w:tcPr>
          <w:p w:rsidR="00000000" w:rsidRDefault="00000000">
            <w:pPr>
              <w:tabs>
                <w:tab w:val="decimal" w:pos="1523"/>
              </w:tabs>
              <w:jc w:val="both"/>
              <w:rPr>
                <w:szCs w:val="16"/>
              </w:rPr>
            </w:pPr>
            <w:r>
              <w:rPr>
                <w:szCs w:val="16"/>
              </w:rPr>
              <w:t>1</w:t>
            </w:r>
          </w:p>
        </w:tc>
      </w:tr>
      <w:tr w:rsidR="00000000">
        <w:tblPrEx>
          <w:tblCellMar>
            <w:top w:w="0" w:type="dxa"/>
            <w:bottom w:w="0" w:type="dxa"/>
          </w:tblCellMar>
        </w:tblPrEx>
        <w:trPr>
          <w:jc w:val="center"/>
        </w:trPr>
        <w:tc>
          <w:tcPr>
            <w:tcW w:w="1964" w:type="dxa"/>
          </w:tcPr>
          <w:p w:rsidR="00000000" w:rsidRDefault="00000000">
            <w:pPr>
              <w:jc w:val="center"/>
              <w:rPr>
                <w:szCs w:val="16"/>
              </w:rPr>
            </w:pPr>
            <w:r>
              <w:rPr>
                <w:szCs w:val="16"/>
              </w:rPr>
              <w:t>2000</w:t>
            </w:r>
          </w:p>
        </w:tc>
        <w:tc>
          <w:tcPr>
            <w:tcW w:w="3027" w:type="dxa"/>
          </w:tcPr>
          <w:p w:rsidR="00000000" w:rsidRDefault="00000000">
            <w:pPr>
              <w:tabs>
                <w:tab w:val="decimal" w:pos="1523"/>
              </w:tabs>
              <w:jc w:val="both"/>
              <w:rPr>
                <w:szCs w:val="16"/>
              </w:rPr>
            </w:pPr>
            <w:r>
              <w:rPr>
                <w:szCs w:val="16"/>
              </w:rPr>
              <w:t>2</w:t>
            </w:r>
          </w:p>
        </w:tc>
      </w:tr>
      <w:tr w:rsidR="00000000">
        <w:tblPrEx>
          <w:tblCellMar>
            <w:top w:w="0" w:type="dxa"/>
            <w:bottom w:w="0" w:type="dxa"/>
          </w:tblCellMar>
        </w:tblPrEx>
        <w:trPr>
          <w:jc w:val="center"/>
        </w:trPr>
        <w:tc>
          <w:tcPr>
            <w:tcW w:w="1964" w:type="dxa"/>
          </w:tcPr>
          <w:p w:rsidR="00000000" w:rsidRDefault="00000000">
            <w:pPr>
              <w:jc w:val="center"/>
              <w:rPr>
                <w:szCs w:val="16"/>
              </w:rPr>
            </w:pPr>
            <w:r>
              <w:rPr>
                <w:szCs w:val="16"/>
              </w:rPr>
              <w:t>2001</w:t>
            </w:r>
          </w:p>
        </w:tc>
        <w:tc>
          <w:tcPr>
            <w:tcW w:w="3027" w:type="dxa"/>
          </w:tcPr>
          <w:p w:rsidR="00000000" w:rsidRDefault="00000000">
            <w:pPr>
              <w:tabs>
                <w:tab w:val="decimal" w:pos="1523"/>
              </w:tabs>
              <w:jc w:val="both"/>
              <w:rPr>
                <w:szCs w:val="16"/>
              </w:rPr>
            </w:pPr>
            <w:r>
              <w:rPr>
                <w:szCs w:val="16"/>
              </w:rPr>
              <w:t>4</w:t>
            </w:r>
          </w:p>
        </w:tc>
      </w:tr>
      <w:tr w:rsidR="00000000">
        <w:tblPrEx>
          <w:tblCellMar>
            <w:top w:w="0" w:type="dxa"/>
            <w:bottom w:w="0" w:type="dxa"/>
          </w:tblCellMar>
        </w:tblPrEx>
        <w:trPr>
          <w:jc w:val="center"/>
        </w:trPr>
        <w:tc>
          <w:tcPr>
            <w:tcW w:w="1964" w:type="dxa"/>
          </w:tcPr>
          <w:p w:rsidR="00000000" w:rsidRDefault="00000000">
            <w:pPr>
              <w:jc w:val="center"/>
              <w:rPr>
                <w:szCs w:val="16"/>
              </w:rPr>
            </w:pPr>
            <w:r>
              <w:rPr>
                <w:szCs w:val="16"/>
              </w:rPr>
              <w:t>2002</w:t>
            </w:r>
          </w:p>
        </w:tc>
        <w:tc>
          <w:tcPr>
            <w:tcW w:w="3027" w:type="dxa"/>
          </w:tcPr>
          <w:p w:rsidR="00000000" w:rsidRDefault="00000000">
            <w:pPr>
              <w:tabs>
                <w:tab w:val="decimal" w:pos="1523"/>
              </w:tabs>
              <w:jc w:val="both"/>
              <w:rPr>
                <w:szCs w:val="16"/>
              </w:rPr>
            </w:pPr>
            <w:r>
              <w:rPr>
                <w:szCs w:val="16"/>
              </w:rPr>
              <w:t>0</w:t>
            </w:r>
          </w:p>
        </w:tc>
      </w:tr>
      <w:tr w:rsidR="00000000">
        <w:tblPrEx>
          <w:tblCellMar>
            <w:top w:w="0" w:type="dxa"/>
            <w:bottom w:w="0" w:type="dxa"/>
          </w:tblCellMar>
        </w:tblPrEx>
        <w:trPr>
          <w:jc w:val="center"/>
        </w:trPr>
        <w:tc>
          <w:tcPr>
            <w:tcW w:w="1964" w:type="dxa"/>
          </w:tcPr>
          <w:p w:rsidR="00000000" w:rsidRDefault="00000000">
            <w:pPr>
              <w:jc w:val="center"/>
              <w:rPr>
                <w:szCs w:val="16"/>
              </w:rPr>
            </w:pPr>
            <w:r>
              <w:rPr>
                <w:szCs w:val="16"/>
              </w:rPr>
              <w:t>2003</w:t>
            </w:r>
          </w:p>
        </w:tc>
        <w:tc>
          <w:tcPr>
            <w:tcW w:w="3027" w:type="dxa"/>
          </w:tcPr>
          <w:p w:rsidR="00000000" w:rsidRDefault="00000000">
            <w:pPr>
              <w:tabs>
                <w:tab w:val="decimal" w:pos="1523"/>
              </w:tabs>
              <w:jc w:val="both"/>
              <w:rPr>
                <w:szCs w:val="16"/>
              </w:rPr>
            </w:pPr>
            <w:r>
              <w:rPr>
                <w:szCs w:val="16"/>
              </w:rPr>
              <w:t>5</w:t>
            </w:r>
          </w:p>
        </w:tc>
      </w:tr>
      <w:tr w:rsidR="00000000">
        <w:tblPrEx>
          <w:tblCellMar>
            <w:top w:w="0" w:type="dxa"/>
            <w:bottom w:w="0" w:type="dxa"/>
          </w:tblCellMar>
        </w:tblPrEx>
        <w:trPr>
          <w:jc w:val="center"/>
        </w:trPr>
        <w:tc>
          <w:tcPr>
            <w:tcW w:w="1964" w:type="dxa"/>
          </w:tcPr>
          <w:p w:rsidR="00000000" w:rsidRDefault="00000000">
            <w:pPr>
              <w:jc w:val="center"/>
              <w:rPr>
                <w:b/>
                <w:bCs/>
                <w:szCs w:val="16"/>
              </w:rPr>
            </w:pPr>
            <w:r>
              <w:rPr>
                <w:b/>
                <w:bCs/>
                <w:szCs w:val="16"/>
              </w:rPr>
              <w:t>Total</w:t>
            </w:r>
          </w:p>
        </w:tc>
        <w:tc>
          <w:tcPr>
            <w:tcW w:w="3027" w:type="dxa"/>
          </w:tcPr>
          <w:p w:rsidR="00000000" w:rsidRDefault="00000000">
            <w:pPr>
              <w:tabs>
                <w:tab w:val="decimal" w:pos="1523"/>
              </w:tabs>
              <w:jc w:val="both"/>
              <w:rPr>
                <w:b/>
                <w:bCs/>
                <w:szCs w:val="16"/>
              </w:rPr>
            </w:pPr>
            <w:r>
              <w:rPr>
                <w:b/>
                <w:bCs/>
                <w:szCs w:val="16"/>
              </w:rPr>
              <w:t>12</w:t>
            </w:r>
          </w:p>
        </w:tc>
      </w:tr>
    </w:tbl>
    <w:p w:rsidR="00000000" w:rsidRDefault="00000000">
      <w:pPr>
        <w:spacing w:before="240" w:after="480"/>
        <w:ind w:left="2254"/>
        <w:rPr>
          <w:szCs w:val="16"/>
        </w:rPr>
      </w:pPr>
      <w:r>
        <w:rPr>
          <w:i/>
          <w:iCs/>
          <w:szCs w:val="16"/>
        </w:rPr>
        <w:t>Fuente</w:t>
      </w:r>
      <w:r>
        <w:rPr>
          <w:szCs w:val="16"/>
        </w:rPr>
        <w:t>:  Certificados de defunción recepcionados.</w:t>
      </w:r>
      <w:r>
        <w:rPr>
          <w:szCs w:val="16"/>
        </w:rPr>
        <w:br/>
        <w:t>Departamento de Bioestadística.  M.S.P. y B.S.</w:t>
      </w:r>
    </w:p>
    <w:p w:rsidR="00000000" w:rsidRDefault="00000000">
      <w:pPr>
        <w:keepNext/>
        <w:keepLines/>
        <w:spacing w:after="240"/>
        <w:ind w:left="567"/>
        <w:rPr>
          <w:b/>
        </w:rPr>
      </w:pPr>
      <w:r>
        <w:rPr>
          <w:b/>
        </w:rPr>
        <w:t>2.3.</w:t>
      </w:r>
      <w:r>
        <w:rPr>
          <w:b/>
        </w:rPr>
        <w:tab/>
        <w:t>Muertes infantiles sin asistencia médica</w:t>
      </w:r>
    </w:p>
    <w:p w:rsidR="00000000" w:rsidRDefault="00000000">
      <w:pPr>
        <w:autoSpaceDE w:val="0"/>
        <w:autoSpaceDN w:val="0"/>
        <w:adjustRightInd w:val="0"/>
        <w:spacing w:after="240"/>
      </w:pPr>
      <w:r>
        <w:t>23.</w:t>
      </w:r>
      <w:r>
        <w:tab/>
        <w:t>Durante 1992, se registraron 1.611 muertes infantiles, 34% de estos no recibieron asistencia médica al morir.  En 2003, de las 1.683 muertes, 162 lo hicieron sin asistencia médica.  En 1992, de cada 100 niños que morían, 34 lo hacían sin asistencia médica.  En 2003, de cada 100 niños fallecidos, 10 no recibieron asistencia.</w:t>
      </w:r>
    </w:p>
    <w:p w:rsidR="00000000" w:rsidRDefault="00000000">
      <w:pPr>
        <w:autoSpaceDE w:val="0"/>
        <w:autoSpaceDN w:val="0"/>
        <w:adjustRightInd w:val="0"/>
        <w:spacing w:after="240"/>
      </w:pPr>
      <w:r>
        <w:rPr>
          <w:bCs/>
        </w:rPr>
        <w:t>24.</w:t>
      </w:r>
      <w:r>
        <w:rPr>
          <w:bCs/>
        </w:rPr>
        <w:tab/>
      </w:r>
      <w:r>
        <w:rPr>
          <w:bCs/>
          <w:i/>
          <w:iCs/>
        </w:rPr>
        <w:t>Área urbana</w:t>
      </w:r>
      <w:r>
        <w:t>:  son las cabeceras de distritos oficiales conforme a leyes administrativas, presentan forma amanzanada, sin tener en cuenta ninguna otra consideración especial.</w:t>
      </w:r>
    </w:p>
    <w:p w:rsidR="00000000" w:rsidRDefault="00000000">
      <w:pPr>
        <w:autoSpaceDE w:val="0"/>
        <w:autoSpaceDN w:val="0"/>
        <w:adjustRightInd w:val="0"/>
        <w:spacing w:after="240"/>
      </w:pPr>
      <w:r>
        <w:rPr>
          <w:bCs/>
        </w:rPr>
        <w:t>25.</w:t>
      </w:r>
      <w:r>
        <w:rPr>
          <w:bCs/>
        </w:rPr>
        <w:tab/>
      </w:r>
      <w:r>
        <w:rPr>
          <w:bCs/>
          <w:i/>
          <w:iCs/>
        </w:rPr>
        <w:t>Área rural</w:t>
      </w:r>
      <w:r>
        <w:rPr>
          <w:bCs/>
        </w:rPr>
        <w:t>:</w:t>
      </w:r>
      <w:r>
        <w:rPr>
          <w:b/>
        </w:rPr>
        <w:t xml:space="preserve">  </w:t>
      </w:r>
      <w:r>
        <w:t>áreas que no se encuentran amanzanadas sin considerar la cantidad de habitantes.</w:t>
      </w:r>
    </w:p>
    <w:p w:rsidR="00000000" w:rsidRDefault="00000000">
      <w:pPr>
        <w:spacing w:after="240"/>
        <w:rPr>
          <w:b/>
        </w:rPr>
      </w:pPr>
      <w:r>
        <w:rPr>
          <w:b/>
        </w:rPr>
        <w:t>3.</w:t>
      </w:r>
      <w:r>
        <w:rPr>
          <w:b/>
        </w:rPr>
        <w:tab/>
        <w:t>Tasa de fecundidad</w:t>
      </w:r>
    </w:p>
    <w:p w:rsidR="00000000" w:rsidRDefault="00000000">
      <w:pPr>
        <w:autoSpaceDE w:val="0"/>
        <w:autoSpaceDN w:val="0"/>
        <w:adjustRightInd w:val="0"/>
        <w:spacing w:after="240"/>
      </w:pPr>
      <w:r>
        <w:t>26.</w:t>
      </w:r>
      <w:r>
        <w:tab/>
        <w:t>La fecundidad ha experimentado un descenso importante en el Paraguay especialmente en los últimos seis años, aunque su nivel continúa elevado en algunos subgrupos poblacionales.  Las estimaciones de fecundidad se basan en las historias de nacimientos tenidos por las mujeres de 15 a 44 años de edad entrevistadas en la Encuesta nacional de demografía y salud sexual y reproductiva 2004 (ENDSSR 2004).  La tasa global de fecundidad a nivel nacional para el período 2001-2004 para las mujeres de 15 a 44 años de edad es de 2,9 hijos por mujer.  De acuerdo a diferentes encuestas llevadas a cabo en el país desde el año 1990, se puede ver que después de casi diez años de lento descenso de la fecundidad (1990-1998), el Paraguay experimentó una disminución importante de la tasa global de fecundidad (TGF) entre 1998 a 2004.  Esta disminución es paralela con aumentos significativos en la educación de las mujeres paraguayas.</w:t>
      </w:r>
    </w:p>
    <w:p w:rsidR="00000000" w:rsidRDefault="00000000">
      <w:pPr>
        <w:keepNext/>
        <w:keepLines/>
        <w:autoSpaceDE w:val="0"/>
        <w:autoSpaceDN w:val="0"/>
        <w:adjustRightInd w:val="0"/>
        <w:spacing w:after="240"/>
        <w:jc w:val="center"/>
        <w:rPr>
          <w:b/>
        </w:rPr>
      </w:pPr>
      <w:r>
        <w:rPr>
          <w:b/>
        </w:rPr>
        <w:t>Gráfico 1</w:t>
      </w:r>
    </w:p>
    <w:bookmarkStart w:id="0" w:name="_MON_1234346582"/>
    <w:bookmarkStart w:id="1" w:name="_MON_1234607082"/>
    <w:bookmarkStart w:id="2" w:name="_MON_1234610689"/>
    <w:bookmarkStart w:id="3" w:name="_MON_1236070739"/>
    <w:bookmarkStart w:id="4" w:name="_MON_1236070750"/>
    <w:bookmarkStart w:id="5" w:name="_MON_1236413476"/>
    <w:bookmarkEnd w:id="0"/>
    <w:bookmarkEnd w:id="1"/>
    <w:bookmarkEnd w:id="2"/>
    <w:bookmarkEnd w:id="3"/>
    <w:bookmarkEnd w:id="4"/>
    <w:bookmarkEnd w:id="5"/>
    <w:p w:rsidR="00000000" w:rsidRDefault="00000000">
      <w:pPr>
        <w:keepNext/>
        <w:keepLines/>
        <w:autoSpaceDE w:val="0"/>
        <w:autoSpaceDN w:val="0"/>
        <w:adjustRightInd w:val="0"/>
        <w:spacing w:after="240"/>
        <w:jc w:val="center"/>
      </w:pPr>
      <w:r>
        <w:object w:dxaOrig="7804" w:dyaOrig="3802">
          <v:shape id="_x0000_i1025" type="#_x0000_t75" style="width:390pt;height:189.75pt" o:ole="">
            <v:imagedata r:id="rId9" o:title="" croptop="8193f" cropbottom="3151f" cropleft="936f" cropright="1248f"/>
            <w10:bordertop type="single" width="12"/>
            <w10:borderleft type="single" width="12"/>
            <w10:borderbottom type="single" width="12"/>
            <w10:borderright type="single" width="12"/>
          </v:shape>
          <o:OLEObject Type="Embed" ProgID="Word.Picture.8" ShapeID="_x0000_i1025" DrawAspect="Content" ObjectID="_1394904849" r:id="rId10"/>
        </w:object>
      </w:r>
    </w:p>
    <w:p w:rsidR="00000000" w:rsidRDefault="00000000">
      <w:pPr>
        <w:autoSpaceDE w:val="0"/>
        <w:autoSpaceDN w:val="0"/>
        <w:adjustRightInd w:val="0"/>
        <w:spacing w:before="480" w:after="240"/>
      </w:pPr>
      <w:r>
        <w:t>27.</w:t>
      </w:r>
      <w:r>
        <w:tab/>
        <w:t>Considerando los resultados de la encuesta actual, en el gráfico 1, se observa un descenso constante en la TGF que en conjunto representa una disminución de 1 hijo (25%), o 3,9 contra 2,9 hijos por mujer, entre 1995-1998 y 2001-2004, con una reducción de 0,5 hijos en cada uno de los períodos de tres años.  Similarmente, las tasas específicas de fecundidad en todas las edades muestran consistencia en las estimaciones provenientes de los datos de ambas encuestas.  En el grupo de 20 a 29 años se nota un descenso continuo desde el período 1995-1998 a 2001</w:t>
      </w:r>
      <w:r>
        <w:noBreakHyphen/>
        <w:t>2004 en la tasa específica de fecundidad, lo que también afecta fuertemente la TGF porque la mayoría de los nacimientos ocurren en este grupo de edad.  La fecundidad de las adolescentes de 15 a 19 años de edad experimentó una reducción de 26% ya que era de 90 nacimientos por 1.000 mujeres en el período comprendido entre 1995-1998 descendiendo hasta 67 nacimientos por 1.000 mujeres durante el período 1998-2001, estabilizándose entre el período 1998-2001 y 2001-2004, (ver gráfico 2).</w:t>
      </w:r>
    </w:p>
    <w:p w:rsidR="00000000" w:rsidRDefault="00000000">
      <w:pPr>
        <w:autoSpaceDE w:val="0"/>
        <w:autoSpaceDN w:val="0"/>
        <w:adjustRightInd w:val="0"/>
        <w:spacing w:after="240"/>
        <w:jc w:val="center"/>
        <w:rPr>
          <w:b/>
        </w:rPr>
      </w:pPr>
      <w:r>
        <w:rPr>
          <w:b/>
        </w:rPr>
        <w:t>Grafico 2</w:t>
      </w:r>
    </w:p>
    <w:bookmarkStart w:id="6" w:name="_MON_1234347154"/>
    <w:bookmarkStart w:id="7" w:name="_MON_1234347165"/>
    <w:bookmarkStart w:id="8" w:name="_MON_1236070899"/>
    <w:bookmarkEnd w:id="6"/>
    <w:bookmarkEnd w:id="7"/>
    <w:bookmarkEnd w:id="8"/>
    <w:p w:rsidR="00000000" w:rsidRDefault="00000000">
      <w:pPr>
        <w:autoSpaceDE w:val="0"/>
        <w:autoSpaceDN w:val="0"/>
        <w:adjustRightInd w:val="0"/>
        <w:spacing w:after="240"/>
        <w:jc w:val="center"/>
      </w:pPr>
      <w:r>
        <w:object w:dxaOrig="7720" w:dyaOrig="3483">
          <v:shape id="_x0000_i1026" type="#_x0000_t75" style="width:386.25pt;height:174pt" o:ole="">
            <v:imagedata r:id="rId11" o:title="" croptop="7366f" cropbottom="6446f" cropleft="2438f" cropright="2438f"/>
            <w10:bordertop type="single" width="12"/>
            <w10:borderleft type="single" width="12"/>
            <w10:borderbottom type="single" width="12"/>
            <w10:borderright type="single" width="12"/>
          </v:shape>
          <o:OLEObject Type="Embed" ProgID="Word.Picture.8" ShapeID="_x0000_i1026" DrawAspect="Content" ObjectID="_1394904850" r:id="rId12"/>
        </w:object>
      </w:r>
    </w:p>
    <w:p w:rsidR="00000000" w:rsidRDefault="00000000">
      <w:pPr>
        <w:autoSpaceDE w:val="0"/>
        <w:autoSpaceDN w:val="0"/>
        <w:adjustRightInd w:val="0"/>
        <w:spacing w:before="480" w:after="240"/>
      </w:pPr>
      <w:r>
        <w:t>28.</w:t>
      </w:r>
      <w:r>
        <w:tab/>
        <w:t>Anteriormente se mencionó que las mujeres rurales tienen en promedio 1,2 hijos más que las residentes en áreas urbanas, estas diferencias son consistentes en todos los grupos de edades.  En la región norte del país se registra la tasa de fecundidad más alta con un promedio de 3,9 hijos por mujer, siendo Gran Asunción la región con menor fecundidad, 2,4 hijos por mujer.</w:t>
      </w:r>
    </w:p>
    <w:p w:rsidR="00000000" w:rsidRDefault="00000000">
      <w:pPr>
        <w:autoSpaceDE w:val="0"/>
        <w:autoSpaceDN w:val="0"/>
        <w:adjustRightInd w:val="0"/>
        <w:spacing w:after="240"/>
      </w:pPr>
      <w:r>
        <w:t>29.</w:t>
      </w:r>
      <w:r>
        <w:tab/>
        <w:t>Por otro lado, el tiempo transcurrido entre los nacimientos o período intergenésico, es otro factor importante relacionado con los niveles de fecundidad.  La duración promedio entre nacimientos para el período 1999-2004, es de 48,5 meses, mayor que la registrada en el período 1994-1999 que fue de 38,2 meses y en el período 1989-1994 de 34,4 meses.  Este dato se aplica en base a nacimientos ocurridos en mujeres menores de 35 años durante los últimos 15 años durante el período 1989 a 2004.  Otro dato significativo es que el intervalo aumenta con los años aprobados de estudio y con el nivel socioeconómico.  Asimismo, las mujeres que hablan habitualmente el castellano en el hogar tienen un intervalo de 62,6 meses frente a las que sólo hablan guaraní, con un espaciamiento de 39 meses entre uno y otro nacimiento.  El intervalo mediano entre nacimientos en área urbana es de 57,7 meses, frente a 40,8 en el área rural.</w:t>
      </w:r>
    </w:p>
    <w:p w:rsidR="00000000" w:rsidRDefault="00000000">
      <w:pPr>
        <w:keepNext/>
        <w:keepLines/>
        <w:autoSpaceDE w:val="0"/>
        <w:autoSpaceDN w:val="0"/>
        <w:adjustRightInd w:val="0"/>
        <w:spacing w:after="200" w:line="228" w:lineRule="auto"/>
        <w:jc w:val="center"/>
        <w:rPr>
          <w:b/>
          <w:bCs/>
          <w:sz w:val="22"/>
        </w:rPr>
      </w:pPr>
      <w:r>
        <w:rPr>
          <w:b/>
          <w:bCs/>
          <w:sz w:val="22"/>
        </w:rPr>
        <w:t xml:space="preserve">Tasas específicas de fecundidad por  edad (por 1.000 mujeres) y tasa global </w:t>
      </w:r>
      <w:r>
        <w:rPr>
          <w:b/>
          <w:bCs/>
          <w:sz w:val="22"/>
        </w:rPr>
        <w:br/>
        <w:t>de fecundidad (TGF), según área, región, educación, idioma habitualmente</w:t>
      </w:r>
      <w:r>
        <w:rPr>
          <w:b/>
          <w:bCs/>
          <w:sz w:val="22"/>
        </w:rPr>
        <w:br/>
        <w:t>hablado en el hogar y nivel socioeconómico, período marzo de 2001</w:t>
      </w:r>
      <w:r>
        <w:rPr>
          <w:b/>
          <w:bCs/>
          <w:sz w:val="22"/>
        </w:rPr>
        <w:br/>
        <w:t>a febrero de 2004, ENDSSR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15"/>
        <w:gridCol w:w="841"/>
        <w:gridCol w:w="841"/>
        <w:gridCol w:w="841"/>
        <w:gridCol w:w="841"/>
        <w:gridCol w:w="841"/>
        <w:gridCol w:w="831"/>
        <w:gridCol w:w="1017"/>
      </w:tblGrid>
      <w:tr w:rsidR="00000000">
        <w:tblPrEx>
          <w:tblCellMar>
            <w:top w:w="0" w:type="dxa"/>
            <w:bottom w:w="0" w:type="dxa"/>
          </w:tblCellMar>
        </w:tblPrEx>
        <w:trPr>
          <w:cantSplit/>
        </w:trPr>
        <w:tc>
          <w:tcPr>
            <w:tcW w:w="1804" w:type="pct"/>
            <w:vMerge w:val="restart"/>
            <w:vAlign w:val="center"/>
          </w:tcPr>
          <w:p w:rsidR="00000000" w:rsidRDefault="00000000">
            <w:pPr>
              <w:keepNext/>
              <w:keepLines/>
              <w:autoSpaceDE w:val="0"/>
              <w:autoSpaceDN w:val="0"/>
              <w:adjustRightInd w:val="0"/>
              <w:jc w:val="center"/>
              <w:rPr>
                <w:b/>
                <w:bCs/>
                <w:sz w:val="22"/>
              </w:rPr>
            </w:pPr>
            <w:r>
              <w:rPr>
                <w:b/>
                <w:bCs/>
                <w:sz w:val="22"/>
              </w:rPr>
              <w:t>Características</w:t>
            </w:r>
          </w:p>
        </w:tc>
        <w:tc>
          <w:tcPr>
            <w:tcW w:w="3196" w:type="pct"/>
            <w:gridSpan w:val="7"/>
            <w:vAlign w:val="center"/>
          </w:tcPr>
          <w:p w:rsidR="00000000" w:rsidRDefault="00000000">
            <w:pPr>
              <w:keepNext/>
              <w:keepLines/>
              <w:autoSpaceDE w:val="0"/>
              <w:autoSpaceDN w:val="0"/>
              <w:adjustRightInd w:val="0"/>
              <w:jc w:val="center"/>
              <w:rPr>
                <w:b/>
                <w:bCs/>
                <w:sz w:val="22"/>
              </w:rPr>
            </w:pPr>
            <w:r>
              <w:rPr>
                <w:b/>
                <w:bCs/>
                <w:sz w:val="22"/>
              </w:rPr>
              <w:t>Grupos de edad (en años)</w:t>
            </w:r>
          </w:p>
        </w:tc>
      </w:tr>
      <w:tr w:rsidR="00000000">
        <w:tblPrEx>
          <w:tblCellMar>
            <w:top w:w="0" w:type="dxa"/>
            <w:bottom w:w="0" w:type="dxa"/>
          </w:tblCellMar>
        </w:tblPrEx>
        <w:trPr>
          <w:cantSplit/>
        </w:trPr>
        <w:tc>
          <w:tcPr>
            <w:tcW w:w="1804" w:type="pct"/>
            <w:vMerge/>
            <w:vAlign w:val="center"/>
          </w:tcPr>
          <w:p w:rsidR="00000000" w:rsidRDefault="00000000">
            <w:pPr>
              <w:autoSpaceDE w:val="0"/>
              <w:autoSpaceDN w:val="0"/>
              <w:adjustRightInd w:val="0"/>
              <w:jc w:val="center"/>
              <w:rPr>
                <w:b/>
                <w:bCs/>
                <w:sz w:val="22"/>
              </w:rPr>
            </w:pPr>
          </w:p>
        </w:tc>
        <w:tc>
          <w:tcPr>
            <w:tcW w:w="444" w:type="pct"/>
            <w:vAlign w:val="center"/>
          </w:tcPr>
          <w:p w:rsidR="00000000" w:rsidRDefault="00000000">
            <w:pPr>
              <w:autoSpaceDE w:val="0"/>
              <w:autoSpaceDN w:val="0"/>
              <w:adjustRightInd w:val="0"/>
              <w:jc w:val="center"/>
              <w:rPr>
                <w:b/>
                <w:bCs/>
                <w:sz w:val="22"/>
              </w:rPr>
            </w:pPr>
            <w:r>
              <w:rPr>
                <w:b/>
                <w:bCs/>
                <w:sz w:val="22"/>
              </w:rPr>
              <w:t>15 a 19</w:t>
            </w:r>
          </w:p>
        </w:tc>
        <w:tc>
          <w:tcPr>
            <w:tcW w:w="444" w:type="pct"/>
            <w:vAlign w:val="center"/>
          </w:tcPr>
          <w:p w:rsidR="00000000" w:rsidRDefault="00000000">
            <w:pPr>
              <w:autoSpaceDE w:val="0"/>
              <w:autoSpaceDN w:val="0"/>
              <w:adjustRightInd w:val="0"/>
              <w:jc w:val="center"/>
              <w:rPr>
                <w:b/>
                <w:bCs/>
                <w:sz w:val="22"/>
              </w:rPr>
            </w:pPr>
            <w:r>
              <w:rPr>
                <w:b/>
                <w:bCs/>
                <w:sz w:val="22"/>
              </w:rPr>
              <w:t xml:space="preserve">20 a 24 </w:t>
            </w:r>
          </w:p>
        </w:tc>
        <w:tc>
          <w:tcPr>
            <w:tcW w:w="444" w:type="pct"/>
            <w:vAlign w:val="center"/>
          </w:tcPr>
          <w:p w:rsidR="00000000" w:rsidRDefault="00000000">
            <w:pPr>
              <w:autoSpaceDE w:val="0"/>
              <w:autoSpaceDN w:val="0"/>
              <w:adjustRightInd w:val="0"/>
              <w:jc w:val="center"/>
              <w:rPr>
                <w:b/>
                <w:bCs/>
                <w:sz w:val="22"/>
              </w:rPr>
            </w:pPr>
            <w:r>
              <w:rPr>
                <w:b/>
                <w:bCs/>
                <w:sz w:val="22"/>
              </w:rPr>
              <w:t xml:space="preserve">25 a 29 </w:t>
            </w:r>
          </w:p>
        </w:tc>
        <w:tc>
          <w:tcPr>
            <w:tcW w:w="444" w:type="pct"/>
            <w:vAlign w:val="center"/>
          </w:tcPr>
          <w:p w:rsidR="00000000" w:rsidRDefault="00000000">
            <w:pPr>
              <w:autoSpaceDE w:val="0"/>
              <w:autoSpaceDN w:val="0"/>
              <w:adjustRightInd w:val="0"/>
              <w:jc w:val="center"/>
              <w:rPr>
                <w:b/>
                <w:bCs/>
                <w:sz w:val="22"/>
              </w:rPr>
            </w:pPr>
            <w:r>
              <w:rPr>
                <w:b/>
                <w:bCs/>
                <w:sz w:val="22"/>
              </w:rPr>
              <w:t xml:space="preserve">30 a 34 </w:t>
            </w:r>
          </w:p>
        </w:tc>
        <w:tc>
          <w:tcPr>
            <w:tcW w:w="444" w:type="pct"/>
            <w:vAlign w:val="center"/>
          </w:tcPr>
          <w:p w:rsidR="00000000" w:rsidRDefault="00000000">
            <w:pPr>
              <w:autoSpaceDE w:val="0"/>
              <w:autoSpaceDN w:val="0"/>
              <w:adjustRightInd w:val="0"/>
              <w:jc w:val="center"/>
              <w:rPr>
                <w:b/>
                <w:bCs/>
                <w:sz w:val="22"/>
              </w:rPr>
            </w:pPr>
            <w:r>
              <w:rPr>
                <w:b/>
                <w:bCs/>
                <w:sz w:val="22"/>
              </w:rPr>
              <w:t xml:space="preserve">35 a 39 </w:t>
            </w:r>
          </w:p>
        </w:tc>
        <w:tc>
          <w:tcPr>
            <w:tcW w:w="439" w:type="pct"/>
            <w:vAlign w:val="center"/>
          </w:tcPr>
          <w:p w:rsidR="00000000" w:rsidRDefault="00000000">
            <w:pPr>
              <w:autoSpaceDE w:val="0"/>
              <w:autoSpaceDN w:val="0"/>
              <w:adjustRightInd w:val="0"/>
              <w:jc w:val="center"/>
              <w:rPr>
                <w:b/>
                <w:bCs/>
                <w:sz w:val="22"/>
              </w:rPr>
            </w:pPr>
            <w:r>
              <w:rPr>
                <w:b/>
                <w:bCs/>
                <w:sz w:val="22"/>
              </w:rPr>
              <w:t xml:space="preserve">40 a 44 </w:t>
            </w:r>
          </w:p>
        </w:tc>
        <w:tc>
          <w:tcPr>
            <w:tcW w:w="537" w:type="pct"/>
            <w:vAlign w:val="center"/>
          </w:tcPr>
          <w:p w:rsidR="00000000" w:rsidRDefault="00000000">
            <w:pPr>
              <w:autoSpaceDE w:val="0"/>
              <w:autoSpaceDN w:val="0"/>
              <w:adjustRightInd w:val="0"/>
              <w:jc w:val="center"/>
              <w:rPr>
                <w:b/>
                <w:bCs/>
                <w:sz w:val="22"/>
              </w:rPr>
            </w:pPr>
            <w:r>
              <w:rPr>
                <w:b/>
                <w:bCs/>
                <w:sz w:val="22"/>
              </w:rPr>
              <w:t>TGF (15 a 44)</w:t>
            </w:r>
          </w:p>
        </w:tc>
      </w:tr>
      <w:tr w:rsidR="00000000">
        <w:tblPrEx>
          <w:tblCellMar>
            <w:top w:w="0" w:type="dxa"/>
            <w:bottom w:w="0" w:type="dxa"/>
          </w:tblCellMar>
        </w:tblPrEx>
        <w:tc>
          <w:tcPr>
            <w:tcW w:w="1804" w:type="pct"/>
          </w:tcPr>
          <w:p w:rsidR="00000000" w:rsidRDefault="00000000">
            <w:pPr>
              <w:autoSpaceDE w:val="0"/>
              <w:autoSpaceDN w:val="0"/>
              <w:adjustRightInd w:val="0"/>
              <w:rPr>
                <w:sz w:val="22"/>
              </w:rPr>
            </w:pPr>
            <w:r>
              <w:rPr>
                <w:sz w:val="22"/>
              </w:rPr>
              <w:t>Área</w:t>
            </w: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jc w:val="center"/>
              <w:rPr>
                <w:sz w:val="22"/>
              </w:rPr>
            </w:pPr>
          </w:p>
        </w:tc>
        <w:tc>
          <w:tcPr>
            <w:tcW w:w="439" w:type="pct"/>
          </w:tcPr>
          <w:p w:rsidR="00000000" w:rsidRDefault="00000000">
            <w:pPr>
              <w:autoSpaceDE w:val="0"/>
              <w:autoSpaceDN w:val="0"/>
              <w:adjustRightInd w:val="0"/>
              <w:jc w:val="center"/>
              <w:rPr>
                <w:sz w:val="22"/>
              </w:rPr>
            </w:pPr>
          </w:p>
        </w:tc>
        <w:tc>
          <w:tcPr>
            <w:tcW w:w="537" w:type="pct"/>
          </w:tcPr>
          <w:p w:rsidR="00000000" w:rsidRDefault="00000000">
            <w:pPr>
              <w:autoSpaceDE w:val="0"/>
              <w:autoSpaceDN w:val="0"/>
              <w:adjustRightInd w:val="0"/>
              <w:jc w:val="center"/>
              <w:rPr>
                <w:sz w:val="22"/>
              </w:rPr>
            </w:pP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Urbana</w:t>
            </w:r>
          </w:p>
        </w:tc>
        <w:tc>
          <w:tcPr>
            <w:tcW w:w="444" w:type="pct"/>
          </w:tcPr>
          <w:p w:rsidR="00000000" w:rsidRDefault="00000000">
            <w:pPr>
              <w:autoSpaceDE w:val="0"/>
              <w:autoSpaceDN w:val="0"/>
              <w:adjustRightInd w:val="0"/>
              <w:jc w:val="center"/>
              <w:rPr>
                <w:sz w:val="22"/>
              </w:rPr>
            </w:pPr>
            <w:r>
              <w:rPr>
                <w:sz w:val="22"/>
              </w:rPr>
              <w:t>52</w:t>
            </w:r>
          </w:p>
        </w:tc>
        <w:tc>
          <w:tcPr>
            <w:tcW w:w="444" w:type="pct"/>
          </w:tcPr>
          <w:p w:rsidR="00000000" w:rsidRDefault="00000000">
            <w:pPr>
              <w:autoSpaceDE w:val="0"/>
              <w:autoSpaceDN w:val="0"/>
              <w:adjustRightInd w:val="0"/>
              <w:ind w:right="170"/>
              <w:jc w:val="right"/>
              <w:rPr>
                <w:sz w:val="22"/>
              </w:rPr>
            </w:pPr>
            <w:r>
              <w:rPr>
                <w:sz w:val="22"/>
              </w:rPr>
              <w:t>125</w:t>
            </w:r>
          </w:p>
        </w:tc>
        <w:tc>
          <w:tcPr>
            <w:tcW w:w="444" w:type="pct"/>
          </w:tcPr>
          <w:p w:rsidR="00000000" w:rsidRDefault="00000000">
            <w:pPr>
              <w:autoSpaceDE w:val="0"/>
              <w:autoSpaceDN w:val="0"/>
              <w:adjustRightInd w:val="0"/>
              <w:jc w:val="center"/>
              <w:rPr>
                <w:sz w:val="22"/>
              </w:rPr>
            </w:pPr>
            <w:r>
              <w:rPr>
                <w:sz w:val="22"/>
              </w:rPr>
              <w:t>124</w:t>
            </w:r>
          </w:p>
        </w:tc>
        <w:tc>
          <w:tcPr>
            <w:tcW w:w="444" w:type="pct"/>
          </w:tcPr>
          <w:p w:rsidR="00000000" w:rsidRDefault="00000000">
            <w:pPr>
              <w:autoSpaceDE w:val="0"/>
              <w:autoSpaceDN w:val="0"/>
              <w:adjustRightInd w:val="0"/>
              <w:ind w:right="170"/>
              <w:jc w:val="right"/>
              <w:rPr>
                <w:sz w:val="22"/>
              </w:rPr>
            </w:pPr>
            <w:r>
              <w:rPr>
                <w:sz w:val="22"/>
              </w:rPr>
              <w:t>115</w:t>
            </w:r>
          </w:p>
        </w:tc>
        <w:tc>
          <w:tcPr>
            <w:tcW w:w="444" w:type="pct"/>
          </w:tcPr>
          <w:p w:rsidR="00000000" w:rsidRDefault="00000000">
            <w:pPr>
              <w:autoSpaceDE w:val="0"/>
              <w:autoSpaceDN w:val="0"/>
              <w:adjustRightInd w:val="0"/>
              <w:ind w:right="170"/>
              <w:jc w:val="right"/>
              <w:rPr>
                <w:sz w:val="22"/>
              </w:rPr>
            </w:pPr>
            <w:r>
              <w:rPr>
                <w:sz w:val="22"/>
              </w:rPr>
              <w:t>55</w:t>
            </w:r>
          </w:p>
        </w:tc>
        <w:tc>
          <w:tcPr>
            <w:tcW w:w="439" w:type="pct"/>
          </w:tcPr>
          <w:p w:rsidR="00000000" w:rsidRDefault="00000000">
            <w:pPr>
              <w:autoSpaceDE w:val="0"/>
              <w:autoSpaceDN w:val="0"/>
              <w:adjustRightInd w:val="0"/>
              <w:jc w:val="center"/>
              <w:rPr>
                <w:sz w:val="22"/>
              </w:rPr>
            </w:pPr>
            <w:r>
              <w:rPr>
                <w:sz w:val="22"/>
              </w:rPr>
              <w:t>32</w:t>
            </w:r>
          </w:p>
        </w:tc>
        <w:tc>
          <w:tcPr>
            <w:tcW w:w="537" w:type="pct"/>
          </w:tcPr>
          <w:p w:rsidR="00000000" w:rsidRDefault="00000000">
            <w:pPr>
              <w:autoSpaceDE w:val="0"/>
              <w:autoSpaceDN w:val="0"/>
              <w:adjustRightInd w:val="0"/>
              <w:jc w:val="center"/>
              <w:rPr>
                <w:sz w:val="22"/>
              </w:rPr>
            </w:pPr>
            <w:r>
              <w:rPr>
                <w:sz w:val="22"/>
              </w:rPr>
              <w:t>2,5</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Rural</w:t>
            </w:r>
          </w:p>
        </w:tc>
        <w:tc>
          <w:tcPr>
            <w:tcW w:w="444" w:type="pct"/>
          </w:tcPr>
          <w:p w:rsidR="00000000" w:rsidRDefault="00000000">
            <w:pPr>
              <w:autoSpaceDE w:val="0"/>
              <w:autoSpaceDN w:val="0"/>
              <w:adjustRightInd w:val="0"/>
              <w:jc w:val="center"/>
              <w:rPr>
                <w:sz w:val="22"/>
              </w:rPr>
            </w:pPr>
            <w:r>
              <w:rPr>
                <w:sz w:val="22"/>
              </w:rPr>
              <w:t>91</w:t>
            </w:r>
          </w:p>
        </w:tc>
        <w:tc>
          <w:tcPr>
            <w:tcW w:w="444" w:type="pct"/>
          </w:tcPr>
          <w:p w:rsidR="00000000" w:rsidRDefault="00000000">
            <w:pPr>
              <w:autoSpaceDE w:val="0"/>
              <w:autoSpaceDN w:val="0"/>
              <w:adjustRightInd w:val="0"/>
              <w:ind w:right="170"/>
              <w:jc w:val="right"/>
              <w:rPr>
                <w:sz w:val="22"/>
              </w:rPr>
            </w:pPr>
            <w:r>
              <w:rPr>
                <w:sz w:val="22"/>
              </w:rPr>
              <w:t>209</w:t>
            </w:r>
          </w:p>
        </w:tc>
        <w:tc>
          <w:tcPr>
            <w:tcW w:w="444" w:type="pct"/>
          </w:tcPr>
          <w:p w:rsidR="00000000" w:rsidRDefault="00000000">
            <w:pPr>
              <w:autoSpaceDE w:val="0"/>
              <w:autoSpaceDN w:val="0"/>
              <w:adjustRightInd w:val="0"/>
              <w:jc w:val="center"/>
              <w:rPr>
                <w:sz w:val="22"/>
              </w:rPr>
            </w:pPr>
            <w:r>
              <w:rPr>
                <w:sz w:val="22"/>
              </w:rPr>
              <w:t>173</w:t>
            </w:r>
          </w:p>
        </w:tc>
        <w:tc>
          <w:tcPr>
            <w:tcW w:w="444" w:type="pct"/>
          </w:tcPr>
          <w:p w:rsidR="00000000" w:rsidRDefault="00000000">
            <w:pPr>
              <w:autoSpaceDE w:val="0"/>
              <w:autoSpaceDN w:val="0"/>
              <w:adjustRightInd w:val="0"/>
              <w:ind w:right="170"/>
              <w:jc w:val="right"/>
              <w:rPr>
                <w:sz w:val="22"/>
              </w:rPr>
            </w:pPr>
            <w:r>
              <w:rPr>
                <w:sz w:val="22"/>
              </w:rPr>
              <w:t>133</w:t>
            </w:r>
          </w:p>
        </w:tc>
        <w:tc>
          <w:tcPr>
            <w:tcW w:w="444" w:type="pct"/>
          </w:tcPr>
          <w:p w:rsidR="00000000" w:rsidRDefault="00000000">
            <w:pPr>
              <w:autoSpaceDE w:val="0"/>
              <w:autoSpaceDN w:val="0"/>
              <w:adjustRightInd w:val="0"/>
              <w:ind w:right="170"/>
              <w:jc w:val="right"/>
              <w:rPr>
                <w:sz w:val="22"/>
              </w:rPr>
            </w:pPr>
            <w:r>
              <w:rPr>
                <w:sz w:val="22"/>
              </w:rPr>
              <w:t>91</w:t>
            </w:r>
          </w:p>
        </w:tc>
        <w:tc>
          <w:tcPr>
            <w:tcW w:w="439" w:type="pct"/>
          </w:tcPr>
          <w:p w:rsidR="00000000" w:rsidRDefault="00000000">
            <w:pPr>
              <w:autoSpaceDE w:val="0"/>
              <w:autoSpaceDN w:val="0"/>
              <w:adjustRightInd w:val="0"/>
              <w:jc w:val="center"/>
              <w:rPr>
                <w:sz w:val="22"/>
              </w:rPr>
            </w:pPr>
            <w:r>
              <w:rPr>
                <w:sz w:val="22"/>
              </w:rPr>
              <w:t>43</w:t>
            </w:r>
          </w:p>
        </w:tc>
        <w:tc>
          <w:tcPr>
            <w:tcW w:w="537" w:type="pct"/>
          </w:tcPr>
          <w:p w:rsidR="00000000" w:rsidRDefault="00000000">
            <w:pPr>
              <w:autoSpaceDE w:val="0"/>
              <w:autoSpaceDN w:val="0"/>
              <w:adjustRightInd w:val="0"/>
              <w:jc w:val="center"/>
              <w:rPr>
                <w:sz w:val="22"/>
              </w:rPr>
            </w:pPr>
            <w:r>
              <w:rPr>
                <w:sz w:val="22"/>
              </w:rPr>
              <w:t>3,7</w:t>
            </w:r>
          </w:p>
        </w:tc>
      </w:tr>
      <w:tr w:rsidR="00000000">
        <w:tblPrEx>
          <w:tblCellMar>
            <w:top w:w="0" w:type="dxa"/>
            <w:bottom w:w="0" w:type="dxa"/>
          </w:tblCellMar>
        </w:tblPrEx>
        <w:tc>
          <w:tcPr>
            <w:tcW w:w="1804" w:type="pct"/>
          </w:tcPr>
          <w:p w:rsidR="00000000" w:rsidRDefault="00000000">
            <w:pPr>
              <w:autoSpaceDE w:val="0"/>
              <w:autoSpaceDN w:val="0"/>
              <w:adjustRightInd w:val="0"/>
              <w:rPr>
                <w:sz w:val="22"/>
              </w:rPr>
            </w:pPr>
            <w:r>
              <w:rPr>
                <w:sz w:val="22"/>
              </w:rPr>
              <w:t>Región</w:t>
            </w: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ind w:right="170"/>
              <w:jc w:val="right"/>
              <w:rPr>
                <w:sz w:val="22"/>
              </w:rPr>
            </w:pP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ind w:right="170"/>
              <w:jc w:val="right"/>
              <w:rPr>
                <w:sz w:val="22"/>
              </w:rPr>
            </w:pPr>
          </w:p>
        </w:tc>
        <w:tc>
          <w:tcPr>
            <w:tcW w:w="444" w:type="pct"/>
          </w:tcPr>
          <w:p w:rsidR="00000000" w:rsidRDefault="00000000">
            <w:pPr>
              <w:autoSpaceDE w:val="0"/>
              <w:autoSpaceDN w:val="0"/>
              <w:adjustRightInd w:val="0"/>
              <w:ind w:right="170"/>
              <w:jc w:val="right"/>
              <w:rPr>
                <w:sz w:val="22"/>
              </w:rPr>
            </w:pPr>
          </w:p>
        </w:tc>
        <w:tc>
          <w:tcPr>
            <w:tcW w:w="439" w:type="pct"/>
          </w:tcPr>
          <w:p w:rsidR="00000000" w:rsidRDefault="00000000">
            <w:pPr>
              <w:autoSpaceDE w:val="0"/>
              <w:autoSpaceDN w:val="0"/>
              <w:adjustRightInd w:val="0"/>
              <w:jc w:val="center"/>
              <w:rPr>
                <w:sz w:val="22"/>
              </w:rPr>
            </w:pPr>
          </w:p>
        </w:tc>
        <w:tc>
          <w:tcPr>
            <w:tcW w:w="537" w:type="pct"/>
          </w:tcPr>
          <w:p w:rsidR="00000000" w:rsidRDefault="00000000">
            <w:pPr>
              <w:autoSpaceDE w:val="0"/>
              <w:autoSpaceDN w:val="0"/>
              <w:adjustRightInd w:val="0"/>
              <w:jc w:val="center"/>
              <w:rPr>
                <w:sz w:val="22"/>
              </w:rPr>
            </w:pP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Gran Asunción</w:t>
            </w:r>
          </w:p>
        </w:tc>
        <w:tc>
          <w:tcPr>
            <w:tcW w:w="444" w:type="pct"/>
          </w:tcPr>
          <w:p w:rsidR="00000000" w:rsidRDefault="00000000">
            <w:pPr>
              <w:autoSpaceDE w:val="0"/>
              <w:autoSpaceDN w:val="0"/>
              <w:adjustRightInd w:val="0"/>
              <w:jc w:val="center"/>
              <w:rPr>
                <w:sz w:val="22"/>
              </w:rPr>
            </w:pPr>
            <w:r>
              <w:rPr>
                <w:sz w:val="22"/>
              </w:rPr>
              <w:t>44</w:t>
            </w:r>
          </w:p>
        </w:tc>
        <w:tc>
          <w:tcPr>
            <w:tcW w:w="444" w:type="pct"/>
          </w:tcPr>
          <w:p w:rsidR="00000000" w:rsidRDefault="00000000">
            <w:pPr>
              <w:autoSpaceDE w:val="0"/>
              <w:autoSpaceDN w:val="0"/>
              <w:adjustRightInd w:val="0"/>
              <w:ind w:right="170"/>
              <w:jc w:val="right"/>
              <w:rPr>
                <w:sz w:val="22"/>
              </w:rPr>
            </w:pPr>
            <w:r>
              <w:rPr>
                <w:sz w:val="22"/>
              </w:rPr>
              <w:t>128</w:t>
            </w:r>
          </w:p>
        </w:tc>
        <w:tc>
          <w:tcPr>
            <w:tcW w:w="444" w:type="pct"/>
          </w:tcPr>
          <w:p w:rsidR="00000000" w:rsidRDefault="00000000">
            <w:pPr>
              <w:autoSpaceDE w:val="0"/>
              <w:autoSpaceDN w:val="0"/>
              <w:adjustRightInd w:val="0"/>
              <w:jc w:val="center"/>
              <w:rPr>
                <w:sz w:val="22"/>
              </w:rPr>
            </w:pPr>
            <w:r>
              <w:rPr>
                <w:sz w:val="22"/>
              </w:rPr>
              <w:t>106</w:t>
            </w:r>
          </w:p>
        </w:tc>
        <w:tc>
          <w:tcPr>
            <w:tcW w:w="444" w:type="pct"/>
          </w:tcPr>
          <w:p w:rsidR="00000000" w:rsidRDefault="00000000">
            <w:pPr>
              <w:autoSpaceDE w:val="0"/>
              <w:autoSpaceDN w:val="0"/>
              <w:adjustRightInd w:val="0"/>
              <w:ind w:right="170"/>
              <w:jc w:val="right"/>
              <w:rPr>
                <w:sz w:val="22"/>
              </w:rPr>
            </w:pPr>
            <w:r>
              <w:rPr>
                <w:sz w:val="22"/>
              </w:rPr>
              <w:t>108</w:t>
            </w:r>
          </w:p>
        </w:tc>
        <w:tc>
          <w:tcPr>
            <w:tcW w:w="444" w:type="pct"/>
          </w:tcPr>
          <w:p w:rsidR="00000000" w:rsidRDefault="00000000">
            <w:pPr>
              <w:autoSpaceDE w:val="0"/>
              <w:autoSpaceDN w:val="0"/>
              <w:adjustRightInd w:val="0"/>
              <w:ind w:right="170"/>
              <w:jc w:val="right"/>
              <w:rPr>
                <w:sz w:val="22"/>
              </w:rPr>
            </w:pPr>
            <w:r>
              <w:rPr>
                <w:sz w:val="22"/>
              </w:rPr>
              <w:t>62</w:t>
            </w:r>
          </w:p>
        </w:tc>
        <w:tc>
          <w:tcPr>
            <w:tcW w:w="439" w:type="pct"/>
          </w:tcPr>
          <w:p w:rsidR="00000000" w:rsidRDefault="00000000">
            <w:pPr>
              <w:autoSpaceDE w:val="0"/>
              <w:autoSpaceDN w:val="0"/>
              <w:adjustRightInd w:val="0"/>
              <w:jc w:val="center"/>
              <w:rPr>
                <w:sz w:val="22"/>
              </w:rP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2,4</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Norte</w:t>
            </w:r>
          </w:p>
        </w:tc>
        <w:tc>
          <w:tcPr>
            <w:tcW w:w="444" w:type="pct"/>
          </w:tcPr>
          <w:p w:rsidR="00000000" w:rsidRDefault="00000000">
            <w:pPr>
              <w:autoSpaceDE w:val="0"/>
              <w:autoSpaceDN w:val="0"/>
              <w:adjustRightInd w:val="0"/>
              <w:jc w:val="center"/>
              <w:rPr>
                <w:sz w:val="22"/>
              </w:rPr>
            </w:pPr>
            <w:r>
              <w:rPr>
                <w:sz w:val="22"/>
              </w:rPr>
              <w:t>97</w:t>
            </w:r>
          </w:p>
        </w:tc>
        <w:tc>
          <w:tcPr>
            <w:tcW w:w="444" w:type="pct"/>
          </w:tcPr>
          <w:p w:rsidR="00000000" w:rsidRDefault="00000000">
            <w:pPr>
              <w:autoSpaceDE w:val="0"/>
              <w:autoSpaceDN w:val="0"/>
              <w:adjustRightInd w:val="0"/>
              <w:ind w:right="170"/>
              <w:jc w:val="right"/>
              <w:rPr>
                <w:sz w:val="22"/>
              </w:rPr>
            </w:pPr>
            <w:r>
              <w:rPr>
                <w:sz w:val="22"/>
              </w:rPr>
              <w:t>208</w:t>
            </w:r>
          </w:p>
        </w:tc>
        <w:tc>
          <w:tcPr>
            <w:tcW w:w="444" w:type="pct"/>
          </w:tcPr>
          <w:p w:rsidR="00000000" w:rsidRDefault="00000000">
            <w:pPr>
              <w:autoSpaceDE w:val="0"/>
              <w:autoSpaceDN w:val="0"/>
              <w:adjustRightInd w:val="0"/>
              <w:jc w:val="center"/>
              <w:rPr>
                <w:sz w:val="22"/>
              </w:rPr>
            </w:pPr>
            <w:r>
              <w:rPr>
                <w:sz w:val="22"/>
              </w:rPr>
              <w:t>180</w:t>
            </w:r>
          </w:p>
        </w:tc>
        <w:tc>
          <w:tcPr>
            <w:tcW w:w="444" w:type="pct"/>
          </w:tcPr>
          <w:p w:rsidR="00000000" w:rsidRDefault="00000000">
            <w:pPr>
              <w:autoSpaceDE w:val="0"/>
              <w:autoSpaceDN w:val="0"/>
              <w:adjustRightInd w:val="0"/>
              <w:ind w:right="170"/>
              <w:jc w:val="right"/>
              <w:rPr>
                <w:sz w:val="22"/>
              </w:rPr>
            </w:pPr>
            <w:r>
              <w:rPr>
                <w:sz w:val="22"/>
              </w:rPr>
              <w:t>139</w:t>
            </w:r>
          </w:p>
        </w:tc>
        <w:tc>
          <w:tcPr>
            <w:tcW w:w="444" w:type="pct"/>
          </w:tcPr>
          <w:p w:rsidR="00000000" w:rsidRDefault="00000000">
            <w:pPr>
              <w:autoSpaceDE w:val="0"/>
              <w:autoSpaceDN w:val="0"/>
              <w:adjustRightInd w:val="0"/>
              <w:ind w:right="170"/>
              <w:jc w:val="right"/>
              <w:rPr>
                <w:sz w:val="22"/>
              </w:rPr>
            </w:pPr>
            <w:r>
              <w:rPr>
                <w:sz w:val="22"/>
              </w:rPr>
              <w:t>101</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3,9</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Centro Sur</w:t>
            </w:r>
          </w:p>
        </w:tc>
        <w:tc>
          <w:tcPr>
            <w:tcW w:w="444" w:type="pct"/>
          </w:tcPr>
          <w:p w:rsidR="00000000" w:rsidRDefault="00000000">
            <w:pPr>
              <w:autoSpaceDE w:val="0"/>
              <w:autoSpaceDN w:val="0"/>
              <w:adjustRightInd w:val="0"/>
              <w:jc w:val="center"/>
              <w:rPr>
                <w:sz w:val="22"/>
              </w:rPr>
            </w:pPr>
            <w:r>
              <w:rPr>
                <w:sz w:val="22"/>
              </w:rPr>
              <w:t>67</w:t>
            </w:r>
          </w:p>
        </w:tc>
        <w:tc>
          <w:tcPr>
            <w:tcW w:w="444" w:type="pct"/>
          </w:tcPr>
          <w:p w:rsidR="00000000" w:rsidRDefault="00000000">
            <w:pPr>
              <w:autoSpaceDE w:val="0"/>
              <w:autoSpaceDN w:val="0"/>
              <w:adjustRightInd w:val="0"/>
              <w:ind w:right="170"/>
              <w:jc w:val="right"/>
              <w:rPr>
                <w:sz w:val="22"/>
              </w:rPr>
            </w:pPr>
            <w:r>
              <w:rPr>
                <w:sz w:val="22"/>
              </w:rPr>
              <w:t>172</w:t>
            </w:r>
          </w:p>
        </w:tc>
        <w:tc>
          <w:tcPr>
            <w:tcW w:w="444" w:type="pct"/>
          </w:tcPr>
          <w:p w:rsidR="00000000" w:rsidRDefault="00000000">
            <w:pPr>
              <w:autoSpaceDE w:val="0"/>
              <w:autoSpaceDN w:val="0"/>
              <w:adjustRightInd w:val="0"/>
              <w:jc w:val="center"/>
              <w:rPr>
                <w:sz w:val="22"/>
              </w:rPr>
            </w:pPr>
            <w:r>
              <w:rPr>
                <w:sz w:val="22"/>
              </w:rPr>
              <w:t>140</w:t>
            </w:r>
          </w:p>
        </w:tc>
        <w:tc>
          <w:tcPr>
            <w:tcW w:w="444" w:type="pct"/>
          </w:tcPr>
          <w:p w:rsidR="00000000" w:rsidRDefault="00000000">
            <w:pPr>
              <w:autoSpaceDE w:val="0"/>
              <w:autoSpaceDN w:val="0"/>
              <w:adjustRightInd w:val="0"/>
              <w:ind w:right="170"/>
              <w:jc w:val="right"/>
              <w:rPr>
                <w:sz w:val="22"/>
              </w:rPr>
            </w:pPr>
            <w:r>
              <w:rPr>
                <w:sz w:val="22"/>
              </w:rPr>
              <w:t>117</w:t>
            </w:r>
          </w:p>
        </w:tc>
        <w:tc>
          <w:tcPr>
            <w:tcW w:w="444" w:type="pct"/>
          </w:tcPr>
          <w:p w:rsidR="00000000" w:rsidRDefault="00000000">
            <w:pPr>
              <w:autoSpaceDE w:val="0"/>
              <w:autoSpaceDN w:val="0"/>
              <w:adjustRightInd w:val="0"/>
              <w:ind w:right="170"/>
              <w:jc w:val="right"/>
              <w:rPr>
                <w:sz w:val="22"/>
              </w:rPr>
            </w:pPr>
            <w:r>
              <w:rPr>
                <w:sz w:val="22"/>
              </w:rPr>
              <w:t>69</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3,1</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Este</w:t>
            </w:r>
          </w:p>
        </w:tc>
        <w:tc>
          <w:tcPr>
            <w:tcW w:w="444" w:type="pct"/>
          </w:tcPr>
          <w:p w:rsidR="00000000" w:rsidRDefault="00000000">
            <w:pPr>
              <w:autoSpaceDE w:val="0"/>
              <w:autoSpaceDN w:val="0"/>
              <w:adjustRightInd w:val="0"/>
              <w:jc w:val="center"/>
              <w:rPr>
                <w:sz w:val="22"/>
              </w:rPr>
            </w:pPr>
            <w:r>
              <w:rPr>
                <w:sz w:val="22"/>
              </w:rPr>
              <w:t>73</w:t>
            </w:r>
          </w:p>
        </w:tc>
        <w:tc>
          <w:tcPr>
            <w:tcW w:w="444" w:type="pct"/>
          </w:tcPr>
          <w:p w:rsidR="00000000" w:rsidRDefault="00000000">
            <w:pPr>
              <w:autoSpaceDE w:val="0"/>
              <w:autoSpaceDN w:val="0"/>
              <w:adjustRightInd w:val="0"/>
              <w:ind w:right="170"/>
              <w:jc w:val="right"/>
              <w:rPr>
                <w:sz w:val="22"/>
              </w:rPr>
            </w:pPr>
            <w:r>
              <w:rPr>
                <w:sz w:val="22"/>
              </w:rPr>
              <w:t>140</w:t>
            </w:r>
          </w:p>
        </w:tc>
        <w:tc>
          <w:tcPr>
            <w:tcW w:w="444" w:type="pct"/>
          </w:tcPr>
          <w:p w:rsidR="00000000" w:rsidRDefault="00000000">
            <w:pPr>
              <w:autoSpaceDE w:val="0"/>
              <w:autoSpaceDN w:val="0"/>
              <w:adjustRightInd w:val="0"/>
              <w:jc w:val="center"/>
              <w:rPr>
                <w:sz w:val="22"/>
              </w:rPr>
            </w:pPr>
            <w:r>
              <w:rPr>
                <w:sz w:val="22"/>
              </w:rPr>
              <w:t>163</w:t>
            </w:r>
          </w:p>
        </w:tc>
        <w:tc>
          <w:tcPr>
            <w:tcW w:w="444" w:type="pct"/>
          </w:tcPr>
          <w:p w:rsidR="00000000" w:rsidRDefault="00000000">
            <w:pPr>
              <w:autoSpaceDE w:val="0"/>
              <w:autoSpaceDN w:val="0"/>
              <w:adjustRightInd w:val="0"/>
              <w:ind w:right="170"/>
              <w:jc w:val="right"/>
              <w:rPr>
                <w:sz w:val="22"/>
              </w:rPr>
            </w:pPr>
            <w:r>
              <w:rPr>
                <w:sz w:val="22"/>
              </w:rPr>
              <w:t>131</w:t>
            </w:r>
          </w:p>
        </w:tc>
        <w:tc>
          <w:tcPr>
            <w:tcW w:w="444" w:type="pct"/>
          </w:tcPr>
          <w:p w:rsidR="00000000" w:rsidRDefault="00000000">
            <w:pPr>
              <w:autoSpaceDE w:val="0"/>
              <w:autoSpaceDN w:val="0"/>
              <w:adjustRightInd w:val="0"/>
              <w:ind w:right="170"/>
              <w:jc w:val="right"/>
              <w:rPr>
                <w:sz w:val="22"/>
              </w:rPr>
            </w:pPr>
            <w:r>
              <w:rPr>
                <w:sz w:val="22"/>
              </w:rPr>
              <w:t>62</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3,0</w:t>
            </w:r>
          </w:p>
        </w:tc>
      </w:tr>
      <w:tr w:rsidR="00000000">
        <w:tblPrEx>
          <w:tblCellMar>
            <w:top w:w="0" w:type="dxa"/>
            <w:bottom w:w="0" w:type="dxa"/>
          </w:tblCellMar>
        </w:tblPrEx>
        <w:tc>
          <w:tcPr>
            <w:tcW w:w="1804" w:type="pct"/>
          </w:tcPr>
          <w:p w:rsidR="00000000" w:rsidRDefault="00000000">
            <w:pPr>
              <w:autoSpaceDE w:val="0"/>
              <w:autoSpaceDN w:val="0"/>
              <w:adjustRightInd w:val="0"/>
              <w:rPr>
                <w:sz w:val="22"/>
              </w:rPr>
            </w:pPr>
            <w:r>
              <w:rPr>
                <w:sz w:val="22"/>
              </w:rPr>
              <w:t>Educación (año aprobado de estudios)</w:t>
            </w: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ind w:right="170"/>
              <w:jc w:val="right"/>
              <w:rPr>
                <w:sz w:val="22"/>
              </w:rPr>
            </w:pP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ind w:right="170"/>
              <w:jc w:val="right"/>
              <w:rPr>
                <w:sz w:val="22"/>
              </w:rPr>
            </w:pPr>
          </w:p>
        </w:tc>
        <w:tc>
          <w:tcPr>
            <w:tcW w:w="444" w:type="pct"/>
          </w:tcPr>
          <w:p w:rsidR="00000000" w:rsidRDefault="00000000">
            <w:pPr>
              <w:autoSpaceDE w:val="0"/>
              <w:autoSpaceDN w:val="0"/>
              <w:adjustRightInd w:val="0"/>
              <w:ind w:right="170"/>
              <w:jc w:val="right"/>
              <w:rPr>
                <w:sz w:val="22"/>
              </w:rPr>
            </w:pP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De 0 a 5 años</w:t>
            </w:r>
          </w:p>
        </w:tc>
        <w:tc>
          <w:tcPr>
            <w:tcW w:w="444" w:type="pct"/>
          </w:tcPr>
          <w:p w:rsidR="00000000" w:rsidRDefault="00000000">
            <w:pPr>
              <w:autoSpaceDE w:val="0"/>
              <w:autoSpaceDN w:val="0"/>
              <w:adjustRightInd w:val="0"/>
              <w:jc w:val="center"/>
              <w:rPr>
                <w:sz w:val="22"/>
              </w:rPr>
            </w:pPr>
            <w:r>
              <w:rPr>
                <w:sz w:val="22"/>
              </w:rPr>
              <w:t>136</w:t>
            </w:r>
          </w:p>
        </w:tc>
        <w:tc>
          <w:tcPr>
            <w:tcW w:w="444" w:type="pct"/>
          </w:tcPr>
          <w:p w:rsidR="00000000" w:rsidRDefault="00000000">
            <w:pPr>
              <w:autoSpaceDE w:val="0"/>
              <w:autoSpaceDN w:val="0"/>
              <w:adjustRightInd w:val="0"/>
              <w:ind w:right="170"/>
              <w:jc w:val="right"/>
              <w:rPr>
                <w:sz w:val="22"/>
              </w:rPr>
            </w:pPr>
            <w:r>
              <w:rPr>
                <w:sz w:val="22"/>
              </w:rPr>
              <w:t>249</w:t>
            </w:r>
          </w:p>
        </w:tc>
        <w:tc>
          <w:tcPr>
            <w:tcW w:w="444" w:type="pct"/>
          </w:tcPr>
          <w:p w:rsidR="00000000" w:rsidRDefault="00000000">
            <w:pPr>
              <w:autoSpaceDE w:val="0"/>
              <w:autoSpaceDN w:val="0"/>
              <w:adjustRightInd w:val="0"/>
              <w:jc w:val="center"/>
              <w:rPr>
                <w:sz w:val="22"/>
              </w:rPr>
            </w:pPr>
            <w:r>
              <w:rPr>
                <w:sz w:val="22"/>
              </w:rPr>
              <w:t>190</w:t>
            </w:r>
          </w:p>
        </w:tc>
        <w:tc>
          <w:tcPr>
            <w:tcW w:w="444" w:type="pct"/>
          </w:tcPr>
          <w:p w:rsidR="00000000" w:rsidRDefault="00000000">
            <w:pPr>
              <w:autoSpaceDE w:val="0"/>
              <w:autoSpaceDN w:val="0"/>
              <w:adjustRightInd w:val="0"/>
              <w:ind w:right="170"/>
              <w:jc w:val="right"/>
              <w:rPr>
                <w:sz w:val="22"/>
              </w:rPr>
            </w:pPr>
            <w:r>
              <w:rPr>
                <w:sz w:val="22"/>
              </w:rPr>
              <w:t>144</w:t>
            </w:r>
          </w:p>
        </w:tc>
        <w:tc>
          <w:tcPr>
            <w:tcW w:w="444" w:type="pct"/>
          </w:tcPr>
          <w:p w:rsidR="00000000" w:rsidRDefault="00000000">
            <w:pPr>
              <w:autoSpaceDE w:val="0"/>
              <w:autoSpaceDN w:val="0"/>
              <w:adjustRightInd w:val="0"/>
              <w:ind w:right="170"/>
              <w:jc w:val="right"/>
              <w:rPr>
                <w:sz w:val="22"/>
              </w:rPr>
            </w:pPr>
            <w:r>
              <w:rPr>
                <w:sz w:val="22"/>
              </w:rPr>
              <w:t>83</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4,2</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6 años</w:t>
            </w:r>
          </w:p>
        </w:tc>
        <w:tc>
          <w:tcPr>
            <w:tcW w:w="444" w:type="pct"/>
          </w:tcPr>
          <w:p w:rsidR="00000000" w:rsidRDefault="00000000">
            <w:pPr>
              <w:autoSpaceDE w:val="0"/>
              <w:autoSpaceDN w:val="0"/>
              <w:adjustRightInd w:val="0"/>
              <w:jc w:val="center"/>
              <w:rPr>
                <w:sz w:val="22"/>
              </w:rPr>
            </w:pPr>
            <w:r>
              <w:rPr>
                <w:sz w:val="22"/>
              </w:rPr>
              <w:t>153</w:t>
            </w:r>
          </w:p>
        </w:tc>
        <w:tc>
          <w:tcPr>
            <w:tcW w:w="444" w:type="pct"/>
          </w:tcPr>
          <w:p w:rsidR="00000000" w:rsidRDefault="00000000">
            <w:pPr>
              <w:autoSpaceDE w:val="0"/>
              <w:autoSpaceDN w:val="0"/>
              <w:adjustRightInd w:val="0"/>
              <w:ind w:right="170"/>
              <w:jc w:val="right"/>
              <w:rPr>
                <w:sz w:val="22"/>
              </w:rPr>
            </w:pPr>
            <w:r>
              <w:rPr>
                <w:sz w:val="22"/>
              </w:rPr>
              <w:t>217</w:t>
            </w:r>
          </w:p>
        </w:tc>
        <w:tc>
          <w:tcPr>
            <w:tcW w:w="444" w:type="pct"/>
          </w:tcPr>
          <w:p w:rsidR="00000000" w:rsidRDefault="00000000">
            <w:pPr>
              <w:autoSpaceDE w:val="0"/>
              <w:autoSpaceDN w:val="0"/>
              <w:adjustRightInd w:val="0"/>
              <w:jc w:val="center"/>
              <w:rPr>
                <w:sz w:val="22"/>
              </w:rPr>
            </w:pPr>
            <w:r>
              <w:rPr>
                <w:sz w:val="22"/>
              </w:rPr>
              <w:t>151</w:t>
            </w:r>
          </w:p>
        </w:tc>
        <w:tc>
          <w:tcPr>
            <w:tcW w:w="444" w:type="pct"/>
          </w:tcPr>
          <w:p w:rsidR="00000000" w:rsidRDefault="00000000">
            <w:pPr>
              <w:autoSpaceDE w:val="0"/>
              <w:autoSpaceDN w:val="0"/>
              <w:adjustRightInd w:val="0"/>
              <w:ind w:right="170"/>
              <w:jc w:val="right"/>
              <w:rPr>
                <w:sz w:val="22"/>
              </w:rPr>
            </w:pPr>
            <w:r>
              <w:rPr>
                <w:sz w:val="22"/>
              </w:rPr>
              <w:t>120</w:t>
            </w:r>
          </w:p>
        </w:tc>
        <w:tc>
          <w:tcPr>
            <w:tcW w:w="444" w:type="pct"/>
          </w:tcPr>
          <w:p w:rsidR="00000000" w:rsidRDefault="00000000">
            <w:pPr>
              <w:autoSpaceDE w:val="0"/>
              <w:autoSpaceDN w:val="0"/>
              <w:adjustRightInd w:val="0"/>
              <w:ind w:right="170"/>
              <w:jc w:val="right"/>
              <w:rPr>
                <w:sz w:val="22"/>
              </w:rPr>
            </w:pPr>
            <w:r>
              <w:rPr>
                <w:sz w:val="22"/>
              </w:rPr>
              <w:t>70</w:t>
            </w:r>
          </w:p>
        </w:tc>
        <w:tc>
          <w:tcPr>
            <w:tcW w:w="439" w:type="pct"/>
          </w:tcPr>
          <w:p w:rsidR="00000000" w:rsidRDefault="00000000">
            <w:pPr>
              <w:autoSpaceDE w:val="0"/>
              <w:autoSpaceDN w:val="0"/>
              <w:adjustRightInd w:val="0"/>
              <w:jc w:val="center"/>
              <w:rPr>
                <w:sz w:val="22"/>
              </w:rPr>
            </w:pPr>
            <w:r>
              <w:rPr>
                <w:sz w:val="22"/>
              </w:rPr>
              <w:t>52</w:t>
            </w:r>
          </w:p>
        </w:tc>
        <w:tc>
          <w:tcPr>
            <w:tcW w:w="537" w:type="pct"/>
          </w:tcPr>
          <w:p w:rsidR="00000000" w:rsidRDefault="00000000">
            <w:pPr>
              <w:autoSpaceDE w:val="0"/>
              <w:autoSpaceDN w:val="0"/>
              <w:adjustRightInd w:val="0"/>
              <w:jc w:val="center"/>
              <w:rPr>
                <w:sz w:val="22"/>
              </w:rPr>
            </w:pPr>
            <w:r>
              <w:rPr>
                <w:sz w:val="22"/>
              </w:rPr>
              <w:t>3,8</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De 7 a 11 años</w:t>
            </w:r>
          </w:p>
        </w:tc>
        <w:tc>
          <w:tcPr>
            <w:tcW w:w="444" w:type="pct"/>
          </w:tcPr>
          <w:p w:rsidR="00000000" w:rsidRDefault="00000000">
            <w:pPr>
              <w:autoSpaceDE w:val="0"/>
              <w:autoSpaceDN w:val="0"/>
              <w:adjustRightInd w:val="0"/>
              <w:jc w:val="center"/>
              <w:rPr>
                <w:sz w:val="22"/>
              </w:rPr>
            </w:pPr>
            <w:r>
              <w:rPr>
                <w:sz w:val="22"/>
              </w:rPr>
              <w:t>54</w:t>
            </w:r>
          </w:p>
        </w:tc>
        <w:tc>
          <w:tcPr>
            <w:tcW w:w="444" w:type="pct"/>
          </w:tcPr>
          <w:p w:rsidR="00000000" w:rsidRDefault="00000000">
            <w:pPr>
              <w:autoSpaceDE w:val="0"/>
              <w:autoSpaceDN w:val="0"/>
              <w:adjustRightInd w:val="0"/>
              <w:ind w:right="170"/>
              <w:jc w:val="right"/>
              <w:rPr>
                <w:sz w:val="22"/>
              </w:rPr>
            </w:pPr>
            <w:r>
              <w:rPr>
                <w:sz w:val="22"/>
              </w:rPr>
              <w:t>188</w:t>
            </w:r>
          </w:p>
        </w:tc>
        <w:tc>
          <w:tcPr>
            <w:tcW w:w="444" w:type="pct"/>
          </w:tcPr>
          <w:p w:rsidR="00000000" w:rsidRDefault="00000000">
            <w:pPr>
              <w:autoSpaceDE w:val="0"/>
              <w:autoSpaceDN w:val="0"/>
              <w:adjustRightInd w:val="0"/>
              <w:jc w:val="center"/>
              <w:rPr>
                <w:sz w:val="22"/>
              </w:rPr>
            </w:pPr>
            <w:r>
              <w:rPr>
                <w:sz w:val="22"/>
              </w:rPr>
              <w:t>146</w:t>
            </w:r>
          </w:p>
        </w:tc>
        <w:tc>
          <w:tcPr>
            <w:tcW w:w="444" w:type="pct"/>
          </w:tcPr>
          <w:p w:rsidR="00000000" w:rsidRDefault="00000000">
            <w:pPr>
              <w:autoSpaceDE w:val="0"/>
              <w:autoSpaceDN w:val="0"/>
              <w:adjustRightInd w:val="0"/>
              <w:ind w:right="170"/>
              <w:jc w:val="right"/>
              <w:rPr>
                <w:sz w:val="22"/>
              </w:rPr>
            </w:pPr>
            <w:r>
              <w:rPr>
                <w:sz w:val="22"/>
              </w:rPr>
              <w:t>116</w:t>
            </w:r>
          </w:p>
        </w:tc>
        <w:tc>
          <w:tcPr>
            <w:tcW w:w="444" w:type="pct"/>
          </w:tcPr>
          <w:p w:rsidR="00000000" w:rsidRDefault="00000000">
            <w:pPr>
              <w:autoSpaceDE w:val="0"/>
              <w:autoSpaceDN w:val="0"/>
              <w:adjustRightInd w:val="0"/>
              <w:ind w:right="170"/>
              <w:jc w:val="right"/>
              <w:rPr>
                <w:sz w:val="22"/>
              </w:rPr>
            </w:pPr>
            <w:r>
              <w:rPr>
                <w:sz w:val="22"/>
              </w:rPr>
              <w:t>55</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2,9</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De 12 a más años</w:t>
            </w:r>
          </w:p>
        </w:tc>
        <w:tc>
          <w:tcPr>
            <w:tcW w:w="444" w:type="pct"/>
          </w:tcPr>
          <w:p w:rsidR="00000000" w:rsidRDefault="00000000">
            <w:pPr>
              <w:autoSpaceDE w:val="0"/>
              <w:autoSpaceDN w:val="0"/>
              <w:adjustRightInd w:val="0"/>
              <w:jc w:val="center"/>
              <w:rPr>
                <w:sz w:val="22"/>
              </w:rPr>
            </w:pPr>
            <w:r>
              <w:rPr>
                <w:sz w:val="22"/>
              </w:rPr>
              <w:t>26</w:t>
            </w:r>
          </w:p>
        </w:tc>
        <w:tc>
          <w:tcPr>
            <w:tcW w:w="444" w:type="pct"/>
          </w:tcPr>
          <w:p w:rsidR="00000000" w:rsidRDefault="00000000">
            <w:pPr>
              <w:autoSpaceDE w:val="0"/>
              <w:autoSpaceDN w:val="0"/>
              <w:adjustRightInd w:val="0"/>
              <w:ind w:right="170"/>
              <w:jc w:val="right"/>
              <w:rPr>
                <w:sz w:val="22"/>
              </w:rPr>
            </w:pPr>
            <w:r>
              <w:rPr>
                <w:sz w:val="22"/>
              </w:rPr>
              <w:t>89</w:t>
            </w:r>
          </w:p>
        </w:tc>
        <w:tc>
          <w:tcPr>
            <w:tcW w:w="444" w:type="pct"/>
          </w:tcPr>
          <w:p w:rsidR="00000000" w:rsidRDefault="00000000">
            <w:pPr>
              <w:autoSpaceDE w:val="0"/>
              <w:autoSpaceDN w:val="0"/>
              <w:adjustRightInd w:val="0"/>
              <w:jc w:val="center"/>
              <w:rPr>
                <w:sz w:val="22"/>
              </w:rPr>
            </w:pPr>
            <w:r>
              <w:rPr>
                <w:sz w:val="22"/>
              </w:rPr>
              <w:t>109</w:t>
            </w:r>
          </w:p>
        </w:tc>
        <w:tc>
          <w:tcPr>
            <w:tcW w:w="444" w:type="pct"/>
          </w:tcPr>
          <w:p w:rsidR="00000000" w:rsidRDefault="00000000">
            <w:pPr>
              <w:autoSpaceDE w:val="0"/>
              <w:autoSpaceDN w:val="0"/>
              <w:adjustRightInd w:val="0"/>
              <w:ind w:right="170"/>
              <w:jc w:val="right"/>
              <w:rPr>
                <w:sz w:val="22"/>
              </w:rPr>
            </w:pPr>
            <w:r>
              <w:rPr>
                <w:sz w:val="22"/>
              </w:rPr>
              <w:t>111</w:t>
            </w:r>
          </w:p>
        </w:tc>
        <w:tc>
          <w:tcPr>
            <w:tcW w:w="444" w:type="pct"/>
          </w:tcPr>
          <w:p w:rsidR="00000000" w:rsidRDefault="00000000">
            <w:pPr>
              <w:autoSpaceDE w:val="0"/>
              <w:autoSpaceDN w:val="0"/>
              <w:adjustRightInd w:val="0"/>
              <w:ind w:right="170"/>
              <w:jc w:val="right"/>
              <w:rPr>
                <w:sz w:val="22"/>
              </w:rPr>
            </w:pPr>
            <w:r>
              <w:rPr>
                <w:sz w:val="22"/>
              </w:rPr>
              <w:t>60</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2,1</w:t>
            </w:r>
          </w:p>
        </w:tc>
      </w:tr>
      <w:tr w:rsidR="00000000">
        <w:tblPrEx>
          <w:tblCellMar>
            <w:top w:w="0" w:type="dxa"/>
            <w:bottom w:w="0" w:type="dxa"/>
          </w:tblCellMar>
        </w:tblPrEx>
        <w:tc>
          <w:tcPr>
            <w:tcW w:w="1804" w:type="pct"/>
          </w:tcPr>
          <w:p w:rsidR="00000000" w:rsidRDefault="00000000">
            <w:pPr>
              <w:autoSpaceDE w:val="0"/>
              <w:autoSpaceDN w:val="0"/>
              <w:adjustRightInd w:val="0"/>
              <w:rPr>
                <w:sz w:val="22"/>
              </w:rPr>
            </w:pPr>
            <w:r>
              <w:rPr>
                <w:sz w:val="22"/>
              </w:rPr>
              <w:t>Idioma hablado en el hogar</w:t>
            </w: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ind w:right="170"/>
              <w:jc w:val="right"/>
              <w:rPr>
                <w:sz w:val="22"/>
              </w:rPr>
            </w:pP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ind w:right="170"/>
              <w:jc w:val="right"/>
              <w:rPr>
                <w:sz w:val="22"/>
              </w:rPr>
            </w:pPr>
          </w:p>
        </w:tc>
        <w:tc>
          <w:tcPr>
            <w:tcW w:w="444" w:type="pct"/>
          </w:tcPr>
          <w:p w:rsidR="00000000" w:rsidRDefault="00000000">
            <w:pPr>
              <w:autoSpaceDE w:val="0"/>
              <w:autoSpaceDN w:val="0"/>
              <w:adjustRightInd w:val="0"/>
              <w:ind w:right="170"/>
              <w:jc w:val="right"/>
              <w:rPr>
                <w:sz w:val="22"/>
              </w:rPr>
            </w:pP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Guaraní</w:t>
            </w:r>
          </w:p>
        </w:tc>
        <w:tc>
          <w:tcPr>
            <w:tcW w:w="444" w:type="pct"/>
          </w:tcPr>
          <w:p w:rsidR="00000000" w:rsidRDefault="00000000">
            <w:pPr>
              <w:autoSpaceDE w:val="0"/>
              <w:autoSpaceDN w:val="0"/>
              <w:adjustRightInd w:val="0"/>
              <w:jc w:val="center"/>
              <w:rPr>
                <w:sz w:val="22"/>
              </w:rPr>
            </w:pPr>
            <w:r>
              <w:rPr>
                <w:sz w:val="22"/>
              </w:rPr>
              <w:t>99</w:t>
            </w:r>
          </w:p>
        </w:tc>
        <w:tc>
          <w:tcPr>
            <w:tcW w:w="444" w:type="pct"/>
          </w:tcPr>
          <w:p w:rsidR="00000000" w:rsidRDefault="00000000">
            <w:pPr>
              <w:autoSpaceDE w:val="0"/>
              <w:autoSpaceDN w:val="0"/>
              <w:adjustRightInd w:val="0"/>
              <w:ind w:right="170"/>
              <w:jc w:val="right"/>
              <w:rPr>
                <w:sz w:val="22"/>
              </w:rPr>
            </w:pPr>
            <w:r>
              <w:rPr>
                <w:sz w:val="22"/>
              </w:rPr>
              <w:t>209</w:t>
            </w:r>
          </w:p>
        </w:tc>
        <w:tc>
          <w:tcPr>
            <w:tcW w:w="444" w:type="pct"/>
          </w:tcPr>
          <w:p w:rsidR="00000000" w:rsidRDefault="00000000">
            <w:pPr>
              <w:autoSpaceDE w:val="0"/>
              <w:autoSpaceDN w:val="0"/>
              <w:adjustRightInd w:val="0"/>
              <w:jc w:val="center"/>
              <w:rPr>
                <w:sz w:val="22"/>
              </w:rPr>
            </w:pPr>
            <w:r>
              <w:rPr>
                <w:sz w:val="22"/>
              </w:rPr>
              <w:t>182</w:t>
            </w:r>
          </w:p>
        </w:tc>
        <w:tc>
          <w:tcPr>
            <w:tcW w:w="444" w:type="pct"/>
          </w:tcPr>
          <w:p w:rsidR="00000000" w:rsidRDefault="00000000">
            <w:pPr>
              <w:autoSpaceDE w:val="0"/>
              <w:autoSpaceDN w:val="0"/>
              <w:adjustRightInd w:val="0"/>
              <w:ind w:right="170"/>
              <w:jc w:val="right"/>
              <w:rPr>
                <w:sz w:val="22"/>
              </w:rPr>
            </w:pPr>
            <w:r>
              <w:rPr>
                <w:sz w:val="22"/>
              </w:rPr>
              <w:t>142</w:t>
            </w:r>
          </w:p>
        </w:tc>
        <w:tc>
          <w:tcPr>
            <w:tcW w:w="444" w:type="pct"/>
          </w:tcPr>
          <w:p w:rsidR="00000000" w:rsidRDefault="00000000">
            <w:pPr>
              <w:autoSpaceDE w:val="0"/>
              <w:autoSpaceDN w:val="0"/>
              <w:adjustRightInd w:val="0"/>
              <w:ind w:right="170"/>
              <w:jc w:val="right"/>
              <w:rPr>
                <w:sz w:val="22"/>
              </w:rPr>
            </w:pPr>
            <w:r>
              <w:rPr>
                <w:sz w:val="22"/>
              </w:rPr>
              <w:t>99</w:t>
            </w:r>
          </w:p>
        </w:tc>
        <w:tc>
          <w:tcPr>
            <w:tcW w:w="439" w:type="pct"/>
          </w:tcPr>
          <w:p w:rsidR="00000000" w:rsidRDefault="00000000">
            <w:pPr>
              <w:autoSpaceDE w:val="0"/>
              <w:autoSpaceDN w:val="0"/>
              <w:adjustRightInd w:val="0"/>
              <w:jc w:val="center"/>
              <w:rPr>
                <w:sz w:val="22"/>
              </w:rPr>
            </w:pPr>
            <w:r>
              <w:rPr>
                <w:sz w:val="22"/>
              </w:rPr>
              <w:t>53</w:t>
            </w:r>
          </w:p>
        </w:tc>
        <w:tc>
          <w:tcPr>
            <w:tcW w:w="537" w:type="pct"/>
          </w:tcPr>
          <w:p w:rsidR="00000000" w:rsidRDefault="00000000">
            <w:pPr>
              <w:autoSpaceDE w:val="0"/>
              <w:autoSpaceDN w:val="0"/>
              <w:adjustRightInd w:val="0"/>
              <w:jc w:val="center"/>
              <w:rPr>
                <w:sz w:val="22"/>
              </w:rPr>
            </w:pPr>
            <w:r>
              <w:rPr>
                <w:sz w:val="22"/>
              </w:rPr>
              <w:t>3,9</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Español y guaraní</w:t>
            </w:r>
          </w:p>
        </w:tc>
        <w:tc>
          <w:tcPr>
            <w:tcW w:w="444" w:type="pct"/>
          </w:tcPr>
          <w:p w:rsidR="00000000" w:rsidRDefault="00000000">
            <w:pPr>
              <w:autoSpaceDE w:val="0"/>
              <w:autoSpaceDN w:val="0"/>
              <w:adjustRightInd w:val="0"/>
              <w:jc w:val="center"/>
              <w:rPr>
                <w:sz w:val="22"/>
              </w:rPr>
            </w:pPr>
            <w:r>
              <w:rPr>
                <w:sz w:val="22"/>
              </w:rPr>
              <w:t>54</w:t>
            </w:r>
          </w:p>
        </w:tc>
        <w:tc>
          <w:tcPr>
            <w:tcW w:w="444" w:type="pct"/>
          </w:tcPr>
          <w:p w:rsidR="00000000" w:rsidRDefault="00000000">
            <w:pPr>
              <w:autoSpaceDE w:val="0"/>
              <w:autoSpaceDN w:val="0"/>
              <w:adjustRightInd w:val="0"/>
              <w:ind w:right="170"/>
              <w:jc w:val="right"/>
              <w:rPr>
                <w:sz w:val="22"/>
              </w:rPr>
            </w:pPr>
            <w:r>
              <w:rPr>
                <w:sz w:val="22"/>
              </w:rPr>
              <w:t>139</w:t>
            </w:r>
          </w:p>
        </w:tc>
        <w:tc>
          <w:tcPr>
            <w:tcW w:w="444" w:type="pct"/>
          </w:tcPr>
          <w:p w:rsidR="00000000" w:rsidRDefault="00000000">
            <w:pPr>
              <w:autoSpaceDE w:val="0"/>
              <w:autoSpaceDN w:val="0"/>
              <w:adjustRightInd w:val="0"/>
              <w:jc w:val="center"/>
              <w:rPr>
                <w:sz w:val="22"/>
              </w:rPr>
            </w:pPr>
            <w:r>
              <w:rPr>
                <w:sz w:val="22"/>
              </w:rPr>
              <w:t>133</w:t>
            </w:r>
          </w:p>
        </w:tc>
        <w:tc>
          <w:tcPr>
            <w:tcW w:w="444" w:type="pct"/>
          </w:tcPr>
          <w:p w:rsidR="00000000" w:rsidRDefault="00000000">
            <w:pPr>
              <w:autoSpaceDE w:val="0"/>
              <w:autoSpaceDN w:val="0"/>
              <w:adjustRightInd w:val="0"/>
              <w:ind w:right="170"/>
              <w:jc w:val="right"/>
              <w:rPr>
                <w:sz w:val="22"/>
              </w:rPr>
            </w:pPr>
            <w:r>
              <w:rPr>
                <w:sz w:val="22"/>
              </w:rPr>
              <w:t>115</w:t>
            </w:r>
          </w:p>
        </w:tc>
        <w:tc>
          <w:tcPr>
            <w:tcW w:w="444" w:type="pct"/>
          </w:tcPr>
          <w:p w:rsidR="00000000" w:rsidRDefault="00000000">
            <w:pPr>
              <w:autoSpaceDE w:val="0"/>
              <w:autoSpaceDN w:val="0"/>
              <w:adjustRightInd w:val="0"/>
              <w:ind w:right="170"/>
              <w:jc w:val="right"/>
              <w:rPr>
                <w:sz w:val="22"/>
              </w:rPr>
            </w:pPr>
            <w:r>
              <w:rPr>
                <w:sz w:val="22"/>
              </w:rPr>
              <w:t>51</w:t>
            </w:r>
          </w:p>
        </w:tc>
        <w:tc>
          <w:tcPr>
            <w:tcW w:w="439" w:type="pct"/>
          </w:tcPr>
          <w:p w:rsidR="00000000" w:rsidRDefault="00000000">
            <w:pPr>
              <w:autoSpaceDE w:val="0"/>
              <w:autoSpaceDN w:val="0"/>
              <w:adjustRightInd w:val="0"/>
              <w:jc w:val="center"/>
              <w:rPr>
                <w:sz w:val="22"/>
              </w:rPr>
            </w:pPr>
            <w:r>
              <w:rPr>
                <w:sz w:val="22"/>
              </w:rPr>
              <w:t>31</w:t>
            </w:r>
          </w:p>
        </w:tc>
        <w:tc>
          <w:tcPr>
            <w:tcW w:w="537" w:type="pct"/>
          </w:tcPr>
          <w:p w:rsidR="00000000" w:rsidRDefault="00000000">
            <w:pPr>
              <w:autoSpaceDE w:val="0"/>
              <w:autoSpaceDN w:val="0"/>
              <w:adjustRightInd w:val="0"/>
              <w:jc w:val="center"/>
              <w:rPr>
                <w:sz w:val="22"/>
              </w:rPr>
            </w:pPr>
            <w:r>
              <w:rPr>
                <w:sz w:val="22"/>
              </w:rPr>
              <w:t>2,6</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Español</w:t>
            </w:r>
          </w:p>
        </w:tc>
        <w:tc>
          <w:tcPr>
            <w:tcW w:w="444" w:type="pct"/>
          </w:tcPr>
          <w:p w:rsidR="00000000" w:rsidRDefault="00000000">
            <w:pPr>
              <w:autoSpaceDE w:val="0"/>
              <w:autoSpaceDN w:val="0"/>
              <w:adjustRightInd w:val="0"/>
              <w:jc w:val="center"/>
              <w:rPr>
                <w:sz w:val="22"/>
              </w:rPr>
            </w:pPr>
            <w:r>
              <w:rPr>
                <w:sz w:val="22"/>
              </w:rPr>
              <w:t>22</w:t>
            </w:r>
          </w:p>
        </w:tc>
        <w:tc>
          <w:tcPr>
            <w:tcW w:w="444" w:type="pct"/>
          </w:tcPr>
          <w:p w:rsidR="00000000" w:rsidRDefault="00000000">
            <w:pPr>
              <w:autoSpaceDE w:val="0"/>
              <w:autoSpaceDN w:val="0"/>
              <w:adjustRightInd w:val="0"/>
              <w:ind w:right="170"/>
              <w:jc w:val="right"/>
              <w:rPr>
                <w:sz w:val="22"/>
              </w:rPr>
            </w:pPr>
            <w:r>
              <w:rPr>
                <w:sz w:val="22"/>
              </w:rPr>
              <w:t>117</w:t>
            </w:r>
          </w:p>
        </w:tc>
        <w:tc>
          <w:tcPr>
            <w:tcW w:w="444" w:type="pct"/>
          </w:tcPr>
          <w:p w:rsidR="00000000" w:rsidRDefault="00000000">
            <w:pPr>
              <w:autoSpaceDE w:val="0"/>
              <w:autoSpaceDN w:val="0"/>
              <w:adjustRightInd w:val="0"/>
              <w:jc w:val="center"/>
              <w:rPr>
                <w:sz w:val="22"/>
              </w:rPr>
            </w:pPr>
            <w:r>
              <w:rPr>
                <w:sz w:val="22"/>
              </w:rPr>
              <w:t>110</w:t>
            </w:r>
          </w:p>
        </w:tc>
        <w:tc>
          <w:tcPr>
            <w:tcW w:w="444" w:type="pct"/>
          </w:tcPr>
          <w:p w:rsidR="00000000" w:rsidRDefault="00000000">
            <w:pPr>
              <w:autoSpaceDE w:val="0"/>
              <w:autoSpaceDN w:val="0"/>
              <w:adjustRightInd w:val="0"/>
              <w:ind w:right="170"/>
              <w:jc w:val="right"/>
              <w:rPr>
                <w:sz w:val="22"/>
              </w:rPr>
            </w:pPr>
            <w:r>
              <w:rPr>
                <w:sz w:val="22"/>
              </w:rPr>
              <w:t>107</w:t>
            </w:r>
          </w:p>
        </w:tc>
        <w:tc>
          <w:tcPr>
            <w:tcW w:w="444" w:type="pct"/>
          </w:tcPr>
          <w:p w:rsidR="00000000" w:rsidRDefault="00000000">
            <w:pPr>
              <w:autoSpaceDE w:val="0"/>
              <w:autoSpaceDN w:val="0"/>
              <w:adjustRightInd w:val="0"/>
              <w:ind w:right="170"/>
              <w:jc w:val="right"/>
              <w:rPr>
                <w:sz w:val="22"/>
              </w:rPr>
            </w:pPr>
            <w:r>
              <w:rPr>
                <w:sz w:val="22"/>
              </w:rPr>
              <w:t>59</w:t>
            </w:r>
          </w:p>
        </w:tc>
        <w:tc>
          <w:tcPr>
            <w:tcW w:w="439" w:type="pct"/>
          </w:tcPr>
          <w:p w:rsidR="00000000" w:rsidRDefault="00000000">
            <w:pPr>
              <w:autoSpaceDE w:val="0"/>
              <w:autoSpaceDN w:val="0"/>
              <w:adjustRightInd w:val="0"/>
              <w:jc w:val="center"/>
              <w:rPr>
                <w:sz w:val="22"/>
              </w:rPr>
            </w:pPr>
            <w:r>
              <w:rPr>
                <w:sz w:val="22"/>
              </w:rPr>
              <w:t>23</w:t>
            </w:r>
          </w:p>
        </w:tc>
        <w:tc>
          <w:tcPr>
            <w:tcW w:w="537" w:type="pct"/>
          </w:tcPr>
          <w:p w:rsidR="00000000" w:rsidRDefault="00000000">
            <w:pPr>
              <w:autoSpaceDE w:val="0"/>
              <w:autoSpaceDN w:val="0"/>
              <w:adjustRightInd w:val="0"/>
              <w:jc w:val="center"/>
              <w:rPr>
                <w:sz w:val="22"/>
              </w:rPr>
            </w:pPr>
            <w:r>
              <w:rPr>
                <w:sz w:val="22"/>
              </w:rPr>
              <w:t>2,3</w:t>
            </w:r>
          </w:p>
        </w:tc>
      </w:tr>
      <w:tr w:rsidR="00000000">
        <w:tblPrEx>
          <w:tblCellMar>
            <w:top w:w="0" w:type="dxa"/>
            <w:bottom w:w="0" w:type="dxa"/>
          </w:tblCellMar>
        </w:tblPrEx>
        <w:tc>
          <w:tcPr>
            <w:tcW w:w="1804" w:type="pct"/>
          </w:tcPr>
          <w:p w:rsidR="00000000" w:rsidRDefault="00000000">
            <w:pPr>
              <w:autoSpaceDE w:val="0"/>
              <w:autoSpaceDN w:val="0"/>
              <w:adjustRightInd w:val="0"/>
              <w:rPr>
                <w:sz w:val="22"/>
              </w:rPr>
            </w:pPr>
            <w:r>
              <w:rPr>
                <w:sz w:val="22"/>
              </w:rPr>
              <w:t>Nivel socioeconómico</w:t>
            </w: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ind w:right="170"/>
              <w:jc w:val="right"/>
              <w:rPr>
                <w:sz w:val="22"/>
              </w:rPr>
            </w:pPr>
          </w:p>
        </w:tc>
        <w:tc>
          <w:tcPr>
            <w:tcW w:w="444" w:type="pct"/>
          </w:tcPr>
          <w:p w:rsidR="00000000" w:rsidRDefault="00000000">
            <w:pPr>
              <w:autoSpaceDE w:val="0"/>
              <w:autoSpaceDN w:val="0"/>
              <w:adjustRightInd w:val="0"/>
              <w:jc w:val="center"/>
              <w:rPr>
                <w:sz w:val="22"/>
              </w:rPr>
            </w:pPr>
          </w:p>
        </w:tc>
        <w:tc>
          <w:tcPr>
            <w:tcW w:w="444" w:type="pct"/>
          </w:tcPr>
          <w:p w:rsidR="00000000" w:rsidRDefault="00000000">
            <w:pPr>
              <w:autoSpaceDE w:val="0"/>
              <w:autoSpaceDN w:val="0"/>
              <w:adjustRightInd w:val="0"/>
              <w:ind w:right="170"/>
              <w:jc w:val="right"/>
              <w:rPr>
                <w:sz w:val="22"/>
              </w:rPr>
            </w:pPr>
          </w:p>
        </w:tc>
        <w:tc>
          <w:tcPr>
            <w:tcW w:w="444" w:type="pct"/>
          </w:tcPr>
          <w:p w:rsidR="00000000" w:rsidRDefault="00000000">
            <w:pPr>
              <w:autoSpaceDE w:val="0"/>
              <w:autoSpaceDN w:val="0"/>
              <w:adjustRightInd w:val="0"/>
              <w:ind w:right="170"/>
              <w:jc w:val="right"/>
              <w:rPr>
                <w:sz w:val="22"/>
              </w:rPr>
            </w:pPr>
          </w:p>
        </w:tc>
        <w:tc>
          <w:tcPr>
            <w:tcW w:w="439" w:type="pct"/>
          </w:tcPr>
          <w:p w:rsidR="00000000" w:rsidRDefault="00000000">
            <w:pPr>
              <w:autoSpaceDE w:val="0"/>
              <w:autoSpaceDN w:val="0"/>
              <w:adjustRightInd w:val="0"/>
              <w:jc w:val="center"/>
              <w:rPr>
                <w:sz w:val="22"/>
              </w:rPr>
            </w:pPr>
          </w:p>
        </w:tc>
        <w:tc>
          <w:tcPr>
            <w:tcW w:w="537" w:type="pct"/>
          </w:tcPr>
          <w:p w:rsidR="00000000" w:rsidRDefault="00000000">
            <w:pPr>
              <w:autoSpaceDE w:val="0"/>
              <w:autoSpaceDN w:val="0"/>
              <w:adjustRightInd w:val="0"/>
              <w:jc w:val="center"/>
              <w:rPr>
                <w:sz w:val="22"/>
              </w:rPr>
            </w:pP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Muy bajo</w:t>
            </w:r>
          </w:p>
        </w:tc>
        <w:tc>
          <w:tcPr>
            <w:tcW w:w="444" w:type="pct"/>
          </w:tcPr>
          <w:p w:rsidR="00000000" w:rsidRDefault="00000000">
            <w:pPr>
              <w:autoSpaceDE w:val="0"/>
              <w:autoSpaceDN w:val="0"/>
              <w:adjustRightInd w:val="0"/>
              <w:jc w:val="center"/>
              <w:rPr>
                <w:sz w:val="22"/>
              </w:rPr>
            </w:pPr>
            <w:r>
              <w:rPr>
                <w:sz w:val="22"/>
              </w:rPr>
              <w:t>148</w:t>
            </w:r>
          </w:p>
        </w:tc>
        <w:tc>
          <w:tcPr>
            <w:tcW w:w="444" w:type="pct"/>
          </w:tcPr>
          <w:p w:rsidR="00000000" w:rsidRDefault="00000000">
            <w:pPr>
              <w:autoSpaceDE w:val="0"/>
              <w:autoSpaceDN w:val="0"/>
              <w:adjustRightInd w:val="0"/>
              <w:ind w:right="170"/>
              <w:jc w:val="right"/>
              <w:rPr>
                <w:sz w:val="22"/>
              </w:rPr>
            </w:pPr>
            <w:r>
              <w:rPr>
                <w:sz w:val="22"/>
              </w:rPr>
              <w:t>293</w:t>
            </w:r>
          </w:p>
        </w:tc>
        <w:tc>
          <w:tcPr>
            <w:tcW w:w="444" w:type="pct"/>
          </w:tcPr>
          <w:p w:rsidR="00000000" w:rsidRDefault="00000000">
            <w:pPr>
              <w:autoSpaceDE w:val="0"/>
              <w:autoSpaceDN w:val="0"/>
              <w:adjustRightInd w:val="0"/>
              <w:jc w:val="center"/>
              <w:rPr>
                <w:sz w:val="22"/>
              </w:rPr>
            </w:pPr>
            <w:r>
              <w:rPr>
                <w:sz w:val="22"/>
              </w:rPr>
              <w:t>221</w:t>
            </w:r>
          </w:p>
        </w:tc>
        <w:tc>
          <w:tcPr>
            <w:tcW w:w="444" w:type="pct"/>
          </w:tcPr>
          <w:p w:rsidR="00000000" w:rsidRDefault="00000000">
            <w:pPr>
              <w:autoSpaceDE w:val="0"/>
              <w:autoSpaceDN w:val="0"/>
              <w:adjustRightInd w:val="0"/>
              <w:ind w:right="170"/>
              <w:jc w:val="right"/>
              <w:rPr>
                <w:sz w:val="22"/>
              </w:rPr>
            </w:pPr>
            <w:r>
              <w:rPr>
                <w:sz w:val="22"/>
              </w:rPr>
              <w:t>193</w:t>
            </w:r>
          </w:p>
        </w:tc>
        <w:tc>
          <w:tcPr>
            <w:tcW w:w="444" w:type="pct"/>
          </w:tcPr>
          <w:p w:rsidR="00000000" w:rsidRDefault="00000000">
            <w:pPr>
              <w:autoSpaceDE w:val="0"/>
              <w:autoSpaceDN w:val="0"/>
              <w:adjustRightInd w:val="0"/>
              <w:ind w:right="170"/>
              <w:jc w:val="right"/>
              <w:rPr>
                <w:sz w:val="22"/>
              </w:rPr>
            </w:pPr>
            <w:r>
              <w:rPr>
                <w:sz w:val="22"/>
              </w:rPr>
              <w:t>152</w:t>
            </w:r>
          </w:p>
        </w:tc>
        <w:tc>
          <w:tcPr>
            <w:tcW w:w="439" w:type="pct"/>
          </w:tcPr>
          <w:p w:rsidR="00000000" w:rsidRDefault="00000000">
            <w:pPr>
              <w:autoSpaceDE w:val="0"/>
              <w:autoSpaceDN w:val="0"/>
              <w:adjustRightInd w:val="0"/>
              <w:jc w:val="center"/>
              <w:rPr>
                <w:sz w:val="22"/>
              </w:rPr>
            </w:pPr>
            <w:r>
              <w:rPr>
                <w:sz w:val="22"/>
              </w:rPr>
              <w:t>82</w:t>
            </w:r>
          </w:p>
        </w:tc>
        <w:tc>
          <w:tcPr>
            <w:tcW w:w="537" w:type="pct"/>
          </w:tcPr>
          <w:p w:rsidR="00000000" w:rsidRDefault="00000000">
            <w:pPr>
              <w:autoSpaceDE w:val="0"/>
              <w:autoSpaceDN w:val="0"/>
              <w:adjustRightInd w:val="0"/>
              <w:jc w:val="center"/>
              <w:rPr>
                <w:sz w:val="22"/>
              </w:rPr>
            </w:pPr>
            <w:r>
              <w:rPr>
                <w:sz w:val="22"/>
              </w:rPr>
              <w:t>5,4</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Bajo</w:t>
            </w:r>
          </w:p>
        </w:tc>
        <w:tc>
          <w:tcPr>
            <w:tcW w:w="444" w:type="pct"/>
          </w:tcPr>
          <w:p w:rsidR="00000000" w:rsidRDefault="00000000">
            <w:pPr>
              <w:autoSpaceDE w:val="0"/>
              <w:autoSpaceDN w:val="0"/>
              <w:adjustRightInd w:val="0"/>
              <w:jc w:val="center"/>
              <w:rPr>
                <w:sz w:val="22"/>
              </w:rPr>
            </w:pPr>
            <w:r>
              <w:rPr>
                <w:sz w:val="22"/>
              </w:rPr>
              <w:t>90</w:t>
            </w:r>
          </w:p>
        </w:tc>
        <w:tc>
          <w:tcPr>
            <w:tcW w:w="444" w:type="pct"/>
          </w:tcPr>
          <w:p w:rsidR="00000000" w:rsidRDefault="00000000">
            <w:pPr>
              <w:autoSpaceDE w:val="0"/>
              <w:autoSpaceDN w:val="0"/>
              <w:adjustRightInd w:val="0"/>
              <w:ind w:right="170"/>
              <w:jc w:val="right"/>
              <w:rPr>
                <w:sz w:val="22"/>
              </w:rPr>
            </w:pPr>
            <w:r>
              <w:rPr>
                <w:sz w:val="22"/>
              </w:rPr>
              <w:t>190</w:t>
            </w:r>
          </w:p>
        </w:tc>
        <w:tc>
          <w:tcPr>
            <w:tcW w:w="444" w:type="pct"/>
          </w:tcPr>
          <w:p w:rsidR="00000000" w:rsidRDefault="00000000">
            <w:pPr>
              <w:autoSpaceDE w:val="0"/>
              <w:autoSpaceDN w:val="0"/>
              <w:adjustRightInd w:val="0"/>
              <w:jc w:val="center"/>
              <w:rPr>
                <w:sz w:val="22"/>
              </w:rPr>
            </w:pPr>
            <w:r>
              <w:rPr>
                <w:sz w:val="22"/>
              </w:rPr>
              <w:t>152</w:t>
            </w:r>
          </w:p>
        </w:tc>
        <w:tc>
          <w:tcPr>
            <w:tcW w:w="444" w:type="pct"/>
          </w:tcPr>
          <w:p w:rsidR="00000000" w:rsidRDefault="00000000">
            <w:pPr>
              <w:autoSpaceDE w:val="0"/>
              <w:autoSpaceDN w:val="0"/>
              <w:adjustRightInd w:val="0"/>
              <w:ind w:right="170"/>
              <w:jc w:val="right"/>
              <w:rPr>
                <w:sz w:val="22"/>
              </w:rPr>
            </w:pPr>
            <w:r>
              <w:rPr>
                <w:sz w:val="22"/>
              </w:rPr>
              <w:t>132</w:t>
            </w:r>
          </w:p>
        </w:tc>
        <w:tc>
          <w:tcPr>
            <w:tcW w:w="444" w:type="pct"/>
          </w:tcPr>
          <w:p w:rsidR="00000000" w:rsidRDefault="00000000">
            <w:pPr>
              <w:autoSpaceDE w:val="0"/>
              <w:autoSpaceDN w:val="0"/>
              <w:adjustRightInd w:val="0"/>
              <w:ind w:right="170"/>
              <w:jc w:val="right"/>
              <w:rPr>
                <w:sz w:val="22"/>
              </w:rPr>
            </w:pPr>
            <w:r>
              <w:rPr>
                <w:sz w:val="22"/>
              </w:rPr>
              <w:t>69</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3,4</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Medio</w:t>
            </w:r>
          </w:p>
        </w:tc>
        <w:tc>
          <w:tcPr>
            <w:tcW w:w="444" w:type="pct"/>
          </w:tcPr>
          <w:p w:rsidR="00000000" w:rsidRDefault="00000000">
            <w:pPr>
              <w:autoSpaceDE w:val="0"/>
              <w:autoSpaceDN w:val="0"/>
              <w:adjustRightInd w:val="0"/>
              <w:jc w:val="center"/>
              <w:rPr>
                <w:sz w:val="22"/>
              </w:rPr>
            </w:pPr>
            <w:r>
              <w:rPr>
                <w:sz w:val="22"/>
              </w:rPr>
              <w:t>62</w:t>
            </w:r>
          </w:p>
        </w:tc>
        <w:tc>
          <w:tcPr>
            <w:tcW w:w="444" w:type="pct"/>
          </w:tcPr>
          <w:p w:rsidR="00000000" w:rsidRDefault="00000000">
            <w:pPr>
              <w:autoSpaceDE w:val="0"/>
              <w:autoSpaceDN w:val="0"/>
              <w:adjustRightInd w:val="0"/>
              <w:ind w:right="170"/>
              <w:jc w:val="right"/>
              <w:rPr>
                <w:sz w:val="22"/>
              </w:rPr>
            </w:pPr>
            <w:r>
              <w:rPr>
                <w:sz w:val="22"/>
              </w:rPr>
              <w:t>169</w:t>
            </w:r>
          </w:p>
        </w:tc>
        <w:tc>
          <w:tcPr>
            <w:tcW w:w="444" w:type="pct"/>
          </w:tcPr>
          <w:p w:rsidR="00000000" w:rsidRDefault="00000000">
            <w:pPr>
              <w:autoSpaceDE w:val="0"/>
              <w:autoSpaceDN w:val="0"/>
              <w:adjustRightInd w:val="0"/>
              <w:jc w:val="center"/>
              <w:rPr>
                <w:sz w:val="22"/>
              </w:rPr>
            </w:pPr>
            <w:r>
              <w:rPr>
                <w:sz w:val="22"/>
              </w:rPr>
              <w:t>133</w:t>
            </w:r>
          </w:p>
        </w:tc>
        <w:tc>
          <w:tcPr>
            <w:tcW w:w="444" w:type="pct"/>
          </w:tcPr>
          <w:p w:rsidR="00000000" w:rsidRDefault="00000000">
            <w:pPr>
              <w:autoSpaceDE w:val="0"/>
              <w:autoSpaceDN w:val="0"/>
              <w:adjustRightInd w:val="0"/>
              <w:ind w:right="170"/>
              <w:jc w:val="right"/>
              <w:rPr>
                <w:sz w:val="22"/>
              </w:rPr>
            </w:pPr>
            <w:r>
              <w:rPr>
                <w:sz w:val="22"/>
              </w:rPr>
              <w:t>93</w:t>
            </w:r>
          </w:p>
        </w:tc>
        <w:tc>
          <w:tcPr>
            <w:tcW w:w="444" w:type="pct"/>
          </w:tcPr>
          <w:p w:rsidR="00000000" w:rsidRDefault="00000000">
            <w:pPr>
              <w:autoSpaceDE w:val="0"/>
              <w:autoSpaceDN w:val="0"/>
              <w:adjustRightInd w:val="0"/>
              <w:ind w:right="170"/>
              <w:jc w:val="right"/>
              <w:rPr>
                <w:sz w:val="22"/>
              </w:rPr>
            </w:pPr>
            <w:r>
              <w:rPr>
                <w:sz w:val="22"/>
              </w:rPr>
              <w:t>55</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2,7</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Alto</w:t>
            </w:r>
          </w:p>
        </w:tc>
        <w:tc>
          <w:tcPr>
            <w:tcW w:w="444" w:type="pct"/>
          </w:tcPr>
          <w:p w:rsidR="00000000" w:rsidRDefault="00000000">
            <w:pPr>
              <w:autoSpaceDE w:val="0"/>
              <w:autoSpaceDN w:val="0"/>
              <w:adjustRightInd w:val="0"/>
              <w:jc w:val="center"/>
              <w:rPr>
                <w:sz w:val="22"/>
              </w:rPr>
            </w:pPr>
            <w:r>
              <w:rPr>
                <w:sz w:val="22"/>
              </w:rPr>
              <w:t>40</w:t>
            </w:r>
          </w:p>
        </w:tc>
        <w:tc>
          <w:tcPr>
            <w:tcW w:w="444" w:type="pct"/>
          </w:tcPr>
          <w:p w:rsidR="00000000" w:rsidRDefault="00000000">
            <w:pPr>
              <w:autoSpaceDE w:val="0"/>
              <w:autoSpaceDN w:val="0"/>
              <w:adjustRightInd w:val="0"/>
              <w:ind w:right="170"/>
              <w:jc w:val="right"/>
              <w:rPr>
                <w:sz w:val="22"/>
              </w:rPr>
            </w:pPr>
            <w:r>
              <w:rPr>
                <w:sz w:val="22"/>
              </w:rPr>
              <w:t>104</w:t>
            </w:r>
          </w:p>
        </w:tc>
        <w:tc>
          <w:tcPr>
            <w:tcW w:w="444" w:type="pct"/>
          </w:tcPr>
          <w:p w:rsidR="00000000" w:rsidRDefault="00000000">
            <w:pPr>
              <w:autoSpaceDE w:val="0"/>
              <w:autoSpaceDN w:val="0"/>
              <w:adjustRightInd w:val="0"/>
              <w:jc w:val="center"/>
              <w:rPr>
                <w:sz w:val="22"/>
              </w:rPr>
            </w:pPr>
            <w:r>
              <w:rPr>
                <w:sz w:val="22"/>
              </w:rPr>
              <w:t>106</w:t>
            </w:r>
          </w:p>
        </w:tc>
        <w:tc>
          <w:tcPr>
            <w:tcW w:w="444" w:type="pct"/>
          </w:tcPr>
          <w:p w:rsidR="00000000" w:rsidRDefault="00000000">
            <w:pPr>
              <w:autoSpaceDE w:val="0"/>
              <w:autoSpaceDN w:val="0"/>
              <w:adjustRightInd w:val="0"/>
              <w:ind w:right="170"/>
              <w:jc w:val="right"/>
              <w:rPr>
                <w:sz w:val="22"/>
              </w:rPr>
            </w:pPr>
            <w:r>
              <w:rPr>
                <w:sz w:val="22"/>
              </w:rPr>
              <w:t>91</w:t>
            </w:r>
          </w:p>
        </w:tc>
        <w:tc>
          <w:tcPr>
            <w:tcW w:w="444" w:type="pct"/>
          </w:tcPr>
          <w:p w:rsidR="00000000" w:rsidRDefault="00000000">
            <w:pPr>
              <w:autoSpaceDE w:val="0"/>
              <w:autoSpaceDN w:val="0"/>
              <w:adjustRightInd w:val="0"/>
              <w:ind w:right="170"/>
              <w:jc w:val="right"/>
              <w:rPr>
                <w:sz w:val="22"/>
              </w:rPr>
            </w:pPr>
            <w:r>
              <w:rPr>
                <w:sz w:val="22"/>
              </w:rPr>
              <w:t>48</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2,1</w:t>
            </w:r>
          </w:p>
        </w:tc>
      </w:tr>
      <w:tr w:rsidR="00000000">
        <w:tblPrEx>
          <w:tblCellMar>
            <w:top w:w="0" w:type="dxa"/>
            <w:bottom w:w="0" w:type="dxa"/>
          </w:tblCellMar>
        </w:tblPrEx>
        <w:tc>
          <w:tcPr>
            <w:tcW w:w="1804" w:type="pct"/>
          </w:tcPr>
          <w:p w:rsidR="00000000" w:rsidRDefault="00000000">
            <w:pPr>
              <w:autoSpaceDE w:val="0"/>
              <w:autoSpaceDN w:val="0"/>
              <w:adjustRightInd w:val="0"/>
              <w:ind w:left="284"/>
              <w:rPr>
                <w:sz w:val="22"/>
              </w:rPr>
            </w:pPr>
            <w:r>
              <w:rPr>
                <w:sz w:val="22"/>
              </w:rPr>
              <w:t>Muy alto</w:t>
            </w:r>
          </w:p>
        </w:tc>
        <w:tc>
          <w:tcPr>
            <w:tcW w:w="444" w:type="pct"/>
          </w:tcPr>
          <w:p w:rsidR="00000000" w:rsidRDefault="00000000">
            <w:pPr>
              <w:autoSpaceDE w:val="0"/>
              <w:autoSpaceDN w:val="0"/>
              <w:adjustRightInd w:val="0"/>
              <w:jc w:val="center"/>
              <w:rPr>
                <w:sz w:val="22"/>
              </w:rPr>
            </w:pPr>
            <w:r>
              <w:rPr>
                <w:b/>
                <w:color w:val="000000"/>
                <w:sz w:val="22"/>
                <w:vertAlign w:val="superscript"/>
              </w:rPr>
              <w:t>*</w:t>
            </w:r>
          </w:p>
        </w:tc>
        <w:tc>
          <w:tcPr>
            <w:tcW w:w="444" w:type="pct"/>
          </w:tcPr>
          <w:p w:rsidR="00000000" w:rsidRDefault="00000000">
            <w:pPr>
              <w:autoSpaceDE w:val="0"/>
              <w:autoSpaceDN w:val="0"/>
              <w:adjustRightInd w:val="0"/>
              <w:ind w:right="170"/>
              <w:jc w:val="right"/>
              <w:rPr>
                <w:sz w:val="22"/>
              </w:rPr>
            </w:pPr>
            <w:r>
              <w:rPr>
                <w:sz w:val="22"/>
              </w:rPr>
              <w:t>72</w:t>
            </w:r>
          </w:p>
        </w:tc>
        <w:tc>
          <w:tcPr>
            <w:tcW w:w="444" w:type="pct"/>
          </w:tcPr>
          <w:p w:rsidR="00000000" w:rsidRDefault="00000000">
            <w:pPr>
              <w:autoSpaceDE w:val="0"/>
              <w:autoSpaceDN w:val="0"/>
              <w:adjustRightInd w:val="0"/>
              <w:jc w:val="center"/>
              <w:rPr>
                <w:sz w:val="22"/>
              </w:rPr>
            </w:pPr>
            <w:r>
              <w:rPr>
                <w:sz w:val="22"/>
              </w:rPr>
              <w:t>115</w:t>
            </w:r>
          </w:p>
        </w:tc>
        <w:tc>
          <w:tcPr>
            <w:tcW w:w="444" w:type="pct"/>
          </w:tcPr>
          <w:p w:rsidR="00000000" w:rsidRDefault="00000000">
            <w:pPr>
              <w:autoSpaceDE w:val="0"/>
              <w:autoSpaceDN w:val="0"/>
              <w:adjustRightInd w:val="0"/>
              <w:ind w:right="170"/>
              <w:jc w:val="right"/>
              <w:rPr>
                <w:sz w:val="22"/>
              </w:rPr>
            </w:pPr>
            <w:r>
              <w:rPr>
                <w:sz w:val="22"/>
              </w:rPr>
              <w:t>111</w:t>
            </w:r>
          </w:p>
        </w:tc>
        <w:tc>
          <w:tcPr>
            <w:tcW w:w="444" w:type="pct"/>
          </w:tcPr>
          <w:p w:rsidR="00000000" w:rsidRDefault="00000000">
            <w:pPr>
              <w:autoSpaceDE w:val="0"/>
              <w:autoSpaceDN w:val="0"/>
              <w:adjustRightInd w:val="0"/>
              <w:ind w:right="170"/>
              <w:jc w:val="right"/>
              <w:rPr>
                <w:sz w:val="22"/>
              </w:rPr>
            </w:pPr>
            <w:r>
              <w:rPr>
                <w:sz w:val="22"/>
              </w:rPr>
              <w:t>41</w:t>
            </w:r>
          </w:p>
        </w:tc>
        <w:tc>
          <w:tcPr>
            <w:tcW w:w="439" w:type="pct"/>
          </w:tcPr>
          <w:p w:rsidR="00000000" w:rsidRDefault="00000000">
            <w:pPr>
              <w:jc w:val="center"/>
            </w:pPr>
            <w:r>
              <w:rPr>
                <w:b/>
                <w:color w:val="000000"/>
                <w:sz w:val="22"/>
                <w:vertAlign w:val="superscript"/>
              </w:rPr>
              <w:t>*</w:t>
            </w:r>
          </w:p>
        </w:tc>
        <w:tc>
          <w:tcPr>
            <w:tcW w:w="537" w:type="pct"/>
          </w:tcPr>
          <w:p w:rsidR="00000000" w:rsidRDefault="00000000">
            <w:pPr>
              <w:autoSpaceDE w:val="0"/>
              <w:autoSpaceDN w:val="0"/>
              <w:adjustRightInd w:val="0"/>
              <w:jc w:val="center"/>
              <w:rPr>
                <w:sz w:val="22"/>
              </w:rPr>
            </w:pPr>
            <w:r>
              <w:rPr>
                <w:sz w:val="22"/>
              </w:rPr>
              <w:t>1,9</w:t>
            </w:r>
          </w:p>
        </w:tc>
      </w:tr>
      <w:tr w:rsidR="00000000">
        <w:tblPrEx>
          <w:tblCellMar>
            <w:top w:w="0" w:type="dxa"/>
            <w:bottom w:w="0" w:type="dxa"/>
          </w:tblCellMar>
        </w:tblPrEx>
        <w:tc>
          <w:tcPr>
            <w:tcW w:w="1804" w:type="pct"/>
          </w:tcPr>
          <w:p w:rsidR="00000000" w:rsidRDefault="00000000">
            <w:pPr>
              <w:autoSpaceDE w:val="0"/>
              <w:autoSpaceDN w:val="0"/>
              <w:adjustRightInd w:val="0"/>
              <w:rPr>
                <w:b/>
                <w:bCs/>
                <w:sz w:val="22"/>
              </w:rPr>
            </w:pPr>
            <w:r>
              <w:rPr>
                <w:b/>
                <w:bCs/>
                <w:sz w:val="22"/>
              </w:rPr>
              <w:tab/>
              <w:t>Total</w:t>
            </w:r>
          </w:p>
        </w:tc>
        <w:tc>
          <w:tcPr>
            <w:tcW w:w="444" w:type="pct"/>
          </w:tcPr>
          <w:p w:rsidR="00000000" w:rsidRDefault="00000000">
            <w:pPr>
              <w:autoSpaceDE w:val="0"/>
              <w:autoSpaceDN w:val="0"/>
              <w:adjustRightInd w:val="0"/>
              <w:jc w:val="center"/>
              <w:rPr>
                <w:b/>
                <w:bCs/>
                <w:sz w:val="22"/>
              </w:rPr>
            </w:pPr>
            <w:r>
              <w:rPr>
                <w:b/>
                <w:bCs/>
                <w:sz w:val="22"/>
              </w:rPr>
              <w:t>65</w:t>
            </w:r>
          </w:p>
        </w:tc>
        <w:tc>
          <w:tcPr>
            <w:tcW w:w="444" w:type="pct"/>
          </w:tcPr>
          <w:p w:rsidR="00000000" w:rsidRDefault="00000000">
            <w:pPr>
              <w:autoSpaceDE w:val="0"/>
              <w:autoSpaceDN w:val="0"/>
              <w:adjustRightInd w:val="0"/>
              <w:ind w:right="170"/>
              <w:jc w:val="right"/>
              <w:rPr>
                <w:b/>
                <w:bCs/>
                <w:sz w:val="22"/>
              </w:rPr>
            </w:pPr>
            <w:r>
              <w:rPr>
                <w:b/>
                <w:bCs/>
                <w:sz w:val="22"/>
              </w:rPr>
              <w:t>150</w:t>
            </w:r>
          </w:p>
        </w:tc>
        <w:tc>
          <w:tcPr>
            <w:tcW w:w="444" w:type="pct"/>
          </w:tcPr>
          <w:p w:rsidR="00000000" w:rsidRDefault="00000000">
            <w:pPr>
              <w:autoSpaceDE w:val="0"/>
              <w:autoSpaceDN w:val="0"/>
              <w:adjustRightInd w:val="0"/>
              <w:jc w:val="center"/>
              <w:rPr>
                <w:b/>
                <w:bCs/>
                <w:sz w:val="22"/>
              </w:rPr>
            </w:pPr>
            <w:r>
              <w:rPr>
                <w:b/>
                <w:bCs/>
                <w:sz w:val="22"/>
              </w:rPr>
              <w:t>142</w:t>
            </w:r>
          </w:p>
        </w:tc>
        <w:tc>
          <w:tcPr>
            <w:tcW w:w="444" w:type="pct"/>
          </w:tcPr>
          <w:p w:rsidR="00000000" w:rsidRDefault="00000000">
            <w:pPr>
              <w:autoSpaceDE w:val="0"/>
              <w:autoSpaceDN w:val="0"/>
              <w:adjustRightInd w:val="0"/>
              <w:ind w:right="170"/>
              <w:jc w:val="right"/>
              <w:rPr>
                <w:b/>
                <w:bCs/>
                <w:sz w:val="22"/>
              </w:rPr>
            </w:pPr>
            <w:r>
              <w:rPr>
                <w:b/>
                <w:bCs/>
                <w:sz w:val="22"/>
              </w:rPr>
              <w:t>122</w:t>
            </w:r>
          </w:p>
        </w:tc>
        <w:tc>
          <w:tcPr>
            <w:tcW w:w="444" w:type="pct"/>
          </w:tcPr>
          <w:p w:rsidR="00000000" w:rsidRDefault="00000000">
            <w:pPr>
              <w:autoSpaceDE w:val="0"/>
              <w:autoSpaceDN w:val="0"/>
              <w:adjustRightInd w:val="0"/>
              <w:ind w:right="170"/>
              <w:jc w:val="right"/>
              <w:rPr>
                <w:b/>
                <w:bCs/>
                <w:sz w:val="22"/>
              </w:rPr>
            </w:pPr>
            <w:r>
              <w:rPr>
                <w:b/>
                <w:bCs/>
                <w:sz w:val="22"/>
              </w:rPr>
              <w:t>69</w:t>
            </w:r>
          </w:p>
        </w:tc>
        <w:tc>
          <w:tcPr>
            <w:tcW w:w="439" w:type="pct"/>
          </w:tcPr>
          <w:p w:rsidR="00000000" w:rsidRDefault="00000000">
            <w:pPr>
              <w:autoSpaceDE w:val="0"/>
              <w:autoSpaceDN w:val="0"/>
              <w:adjustRightInd w:val="0"/>
              <w:jc w:val="center"/>
              <w:rPr>
                <w:b/>
                <w:bCs/>
                <w:sz w:val="22"/>
              </w:rPr>
            </w:pPr>
            <w:r>
              <w:rPr>
                <w:b/>
                <w:bCs/>
                <w:sz w:val="22"/>
              </w:rPr>
              <w:t>36</w:t>
            </w:r>
          </w:p>
        </w:tc>
        <w:tc>
          <w:tcPr>
            <w:tcW w:w="537" w:type="pct"/>
          </w:tcPr>
          <w:p w:rsidR="00000000" w:rsidRDefault="00000000">
            <w:pPr>
              <w:autoSpaceDE w:val="0"/>
              <w:autoSpaceDN w:val="0"/>
              <w:adjustRightInd w:val="0"/>
              <w:jc w:val="center"/>
              <w:rPr>
                <w:b/>
                <w:bCs/>
                <w:sz w:val="22"/>
              </w:rPr>
            </w:pPr>
            <w:r>
              <w:rPr>
                <w:b/>
                <w:bCs/>
                <w:sz w:val="22"/>
              </w:rPr>
              <w:t>2,9</w:t>
            </w:r>
          </w:p>
        </w:tc>
      </w:tr>
    </w:tbl>
    <w:p w:rsidR="00000000" w:rsidRDefault="00000000">
      <w:pPr>
        <w:spacing w:before="220" w:after="440"/>
        <w:rPr>
          <w:bCs/>
          <w:color w:val="000000"/>
          <w:sz w:val="22"/>
        </w:rPr>
      </w:pPr>
      <w:r>
        <w:rPr>
          <w:b/>
          <w:color w:val="000000"/>
          <w:sz w:val="22"/>
          <w:vertAlign w:val="superscript"/>
        </w:rPr>
        <w:t>*</w:t>
      </w:r>
      <w:r>
        <w:rPr>
          <w:bCs/>
          <w:color w:val="000000"/>
          <w:sz w:val="22"/>
        </w:rPr>
        <w:t xml:space="preserve"> Número insuficiente de casos:  menos de 25 nacimientos.</w:t>
      </w:r>
    </w:p>
    <w:p w:rsidR="00000000" w:rsidRDefault="00000000">
      <w:pPr>
        <w:spacing w:before="480" w:after="240"/>
        <w:rPr>
          <w:b/>
        </w:rPr>
      </w:pPr>
      <w:r>
        <w:rPr>
          <w:b/>
          <w:color w:val="000000"/>
        </w:rPr>
        <w:t>4.</w:t>
      </w:r>
      <w:r>
        <w:rPr>
          <w:b/>
          <w:color w:val="000000"/>
        </w:rPr>
        <w:tab/>
      </w:r>
      <w:r>
        <w:rPr>
          <w:b/>
        </w:rPr>
        <w:t xml:space="preserve">Porcentaje de población menor de 15 años </w:t>
      </w:r>
    </w:p>
    <w:p w:rsidR="00000000" w:rsidRDefault="00000000">
      <w:pPr>
        <w:autoSpaceDE w:val="0"/>
        <w:autoSpaceDN w:val="0"/>
        <w:adjustRightInd w:val="0"/>
        <w:spacing w:after="240"/>
      </w:pPr>
      <w:r>
        <w:t>30.</w:t>
      </w:r>
      <w:r>
        <w:tab/>
        <w:t>Según los datos estadísticos y proyecciones de la Dirección General de Estadísticas, Encuestas y Censo, la población paraguaya menor de 15 años se estima en 2.115.138 para 2005, lo que representa el 35,8% de la población nacional (ver datos discriminados a continuación).</w:t>
      </w:r>
    </w:p>
    <w:p w:rsidR="00000000" w:rsidRDefault="00000000">
      <w:pPr>
        <w:spacing w:after="240"/>
        <w:sectPr w:rsidR="00000000">
          <w:headerReference w:type="even" r:id="rId13"/>
          <w:headerReference w:type="default" r:id="rId14"/>
          <w:pgSz w:w="11906" w:h="16838" w:code="9"/>
          <w:pgMar w:top="1701" w:right="851" w:bottom="1985" w:left="1701" w:header="851" w:footer="567" w:gutter="0"/>
          <w:cols w:space="708"/>
          <w:titlePg/>
          <w:docGrid w:linePitch="360"/>
        </w:sectPr>
      </w:pPr>
    </w:p>
    <w:p w:rsidR="00000000" w:rsidRDefault="00000000">
      <w:pPr>
        <w:spacing w:after="180"/>
        <w:jc w:val="center"/>
        <w:rPr>
          <w:sz w:val="17"/>
        </w:rPr>
      </w:pPr>
      <w:r>
        <w:rPr>
          <w:b/>
          <w:bCs/>
          <w:sz w:val="17"/>
          <w:szCs w:val="16"/>
        </w:rPr>
        <w:t>Paraguay:  Proyección de la población menor de 15 años de edad, según edades simples (período 1994-2006)</w:t>
      </w:r>
    </w:p>
    <w:tbl>
      <w:tblPr>
        <w:tblW w:w="13438" w:type="dxa"/>
        <w:jc w:val="center"/>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2"/>
        <w:gridCol w:w="840"/>
        <w:gridCol w:w="840"/>
        <w:gridCol w:w="826"/>
        <w:gridCol w:w="853"/>
        <w:gridCol w:w="840"/>
        <w:gridCol w:w="840"/>
        <w:gridCol w:w="854"/>
        <w:gridCol w:w="826"/>
        <w:gridCol w:w="826"/>
        <w:gridCol w:w="826"/>
        <w:gridCol w:w="839"/>
        <w:gridCol w:w="840"/>
        <w:gridCol w:w="826"/>
      </w:tblGrid>
      <w:tr w:rsidR="00000000">
        <w:trPr>
          <w:cantSplit/>
          <w:trHeight w:val="20"/>
          <w:jc w:val="center"/>
        </w:trPr>
        <w:tc>
          <w:tcPr>
            <w:tcW w:w="2562" w:type="dxa"/>
            <w:vAlign w:val="center"/>
          </w:tcPr>
          <w:p w:rsidR="00000000" w:rsidRDefault="00000000">
            <w:pPr>
              <w:jc w:val="center"/>
              <w:rPr>
                <w:b/>
                <w:bCs/>
                <w:sz w:val="17"/>
                <w:szCs w:val="16"/>
              </w:rPr>
            </w:pPr>
            <w:r>
              <w:rPr>
                <w:b/>
                <w:bCs/>
                <w:sz w:val="17"/>
                <w:szCs w:val="16"/>
              </w:rPr>
              <w:t>Edades simples</w:t>
            </w:r>
          </w:p>
        </w:tc>
        <w:tc>
          <w:tcPr>
            <w:tcW w:w="840" w:type="dxa"/>
            <w:noWrap/>
            <w:vAlign w:val="bottom"/>
          </w:tcPr>
          <w:p w:rsidR="00000000" w:rsidRDefault="00000000">
            <w:pPr>
              <w:jc w:val="center"/>
              <w:rPr>
                <w:b/>
                <w:bCs/>
                <w:sz w:val="17"/>
                <w:szCs w:val="16"/>
              </w:rPr>
            </w:pPr>
            <w:r>
              <w:rPr>
                <w:b/>
                <w:bCs/>
                <w:sz w:val="17"/>
                <w:szCs w:val="16"/>
              </w:rPr>
              <w:t>1994</w:t>
            </w:r>
          </w:p>
        </w:tc>
        <w:tc>
          <w:tcPr>
            <w:tcW w:w="840" w:type="dxa"/>
            <w:noWrap/>
            <w:vAlign w:val="bottom"/>
          </w:tcPr>
          <w:p w:rsidR="00000000" w:rsidRDefault="00000000">
            <w:pPr>
              <w:jc w:val="center"/>
              <w:rPr>
                <w:b/>
                <w:bCs/>
                <w:sz w:val="17"/>
                <w:szCs w:val="16"/>
              </w:rPr>
            </w:pPr>
            <w:r>
              <w:rPr>
                <w:b/>
                <w:bCs/>
                <w:sz w:val="17"/>
                <w:szCs w:val="16"/>
              </w:rPr>
              <w:t>1995</w:t>
            </w:r>
          </w:p>
        </w:tc>
        <w:tc>
          <w:tcPr>
            <w:tcW w:w="826" w:type="dxa"/>
            <w:noWrap/>
            <w:vAlign w:val="bottom"/>
          </w:tcPr>
          <w:p w:rsidR="00000000" w:rsidRDefault="00000000">
            <w:pPr>
              <w:jc w:val="center"/>
              <w:rPr>
                <w:b/>
                <w:bCs/>
                <w:sz w:val="17"/>
                <w:szCs w:val="16"/>
              </w:rPr>
            </w:pPr>
            <w:r>
              <w:rPr>
                <w:b/>
                <w:bCs/>
                <w:sz w:val="17"/>
                <w:szCs w:val="16"/>
              </w:rPr>
              <w:t>1996</w:t>
            </w:r>
          </w:p>
        </w:tc>
        <w:tc>
          <w:tcPr>
            <w:tcW w:w="853" w:type="dxa"/>
            <w:noWrap/>
            <w:vAlign w:val="bottom"/>
          </w:tcPr>
          <w:p w:rsidR="00000000" w:rsidRDefault="00000000">
            <w:pPr>
              <w:jc w:val="center"/>
              <w:rPr>
                <w:b/>
                <w:bCs/>
                <w:sz w:val="17"/>
                <w:szCs w:val="16"/>
              </w:rPr>
            </w:pPr>
            <w:r>
              <w:rPr>
                <w:b/>
                <w:bCs/>
                <w:sz w:val="17"/>
                <w:szCs w:val="16"/>
              </w:rPr>
              <w:t>1997</w:t>
            </w:r>
          </w:p>
        </w:tc>
        <w:tc>
          <w:tcPr>
            <w:tcW w:w="840" w:type="dxa"/>
            <w:noWrap/>
            <w:vAlign w:val="bottom"/>
          </w:tcPr>
          <w:p w:rsidR="00000000" w:rsidRDefault="00000000">
            <w:pPr>
              <w:jc w:val="center"/>
              <w:rPr>
                <w:b/>
                <w:bCs/>
                <w:sz w:val="17"/>
                <w:szCs w:val="16"/>
              </w:rPr>
            </w:pPr>
            <w:r>
              <w:rPr>
                <w:b/>
                <w:bCs/>
                <w:sz w:val="17"/>
                <w:szCs w:val="16"/>
              </w:rPr>
              <w:t>1998</w:t>
            </w:r>
          </w:p>
        </w:tc>
        <w:tc>
          <w:tcPr>
            <w:tcW w:w="840" w:type="dxa"/>
            <w:noWrap/>
            <w:vAlign w:val="bottom"/>
          </w:tcPr>
          <w:p w:rsidR="00000000" w:rsidRDefault="00000000">
            <w:pPr>
              <w:jc w:val="center"/>
              <w:rPr>
                <w:b/>
                <w:bCs/>
                <w:sz w:val="17"/>
                <w:szCs w:val="16"/>
              </w:rPr>
            </w:pPr>
            <w:r>
              <w:rPr>
                <w:b/>
                <w:bCs/>
                <w:sz w:val="17"/>
                <w:szCs w:val="16"/>
              </w:rPr>
              <w:t>1999</w:t>
            </w:r>
          </w:p>
        </w:tc>
        <w:tc>
          <w:tcPr>
            <w:tcW w:w="854" w:type="dxa"/>
            <w:noWrap/>
            <w:vAlign w:val="bottom"/>
          </w:tcPr>
          <w:p w:rsidR="00000000" w:rsidRDefault="00000000">
            <w:pPr>
              <w:jc w:val="center"/>
              <w:rPr>
                <w:b/>
                <w:bCs/>
                <w:sz w:val="17"/>
                <w:szCs w:val="16"/>
              </w:rPr>
            </w:pPr>
            <w:r>
              <w:rPr>
                <w:b/>
                <w:bCs/>
                <w:sz w:val="17"/>
                <w:szCs w:val="16"/>
              </w:rPr>
              <w:t>2000</w:t>
            </w:r>
          </w:p>
        </w:tc>
        <w:tc>
          <w:tcPr>
            <w:tcW w:w="826" w:type="dxa"/>
            <w:noWrap/>
            <w:vAlign w:val="bottom"/>
          </w:tcPr>
          <w:p w:rsidR="00000000" w:rsidRDefault="00000000">
            <w:pPr>
              <w:jc w:val="center"/>
              <w:rPr>
                <w:b/>
                <w:bCs/>
                <w:sz w:val="17"/>
                <w:szCs w:val="16"/>
              </w:rPr>
            </w:pPr>
            <w:r>
              <w:rPr>
                <w:b/>
                <w:bCs/>
                <w:sz w:val="17"/>
                <w:szCs w:val="16"/>
              </w:rPr>
              <w:t>2001</w:t>
            </w:r>
          </w:p>
        </w:tc>
        <w:tc>
          <w:tcPr>
            <w:tcW w:w="826" w:type="dxa"/>
            <w:noWrap/>
            <w:vAlign w:val="bottom"/>
          </w:tcPr>
          <w:p w:rsidR="00000000" w:rsidRDefault="00000000">
            <w:pPr>
              <w:jc w:val="center"/>
              <w:rPr>
                <w:b/>
                <w:bCs/>
                <w:sz w:val="17"/>
                <w:szCs w:val="16"/>
              </w:rPr>
            </w:pPr>
            <w:r>
              <w:rPr>
                <w:b/>
                <w:bCs/>
                <w:sz w:val="17"/>
                <w:szCs w:val="16"/>
              </w:rPr>
              <w:t>2002</w:t>
            </w:r>
          </w:p>
        </w:tc>
        <w:tc>
          <w:tcPr>
            <w:tcW w:w="826" w:type="dxa"/>
            <w:noWrap/>
            <w:vAlign w:val="bottom"/>
          </w:tcPr>
          <w:p w:rsidR="00000000" w:rsidRDefault="00000000">
            <w:pPr>
              <w:jc w:val="center"/>
              <w:rPr>
                <w:b/>
                <w:bCs/>
                <w:sz w:val="17"/>
                <w:szCs w:val="16"/>
              </w:rPr>
            </w:pPr>
            <w:r>
              <w:rPr>
                <w:b/>
                <w:bCs/>
                <w:sz w:val="17"/>
                <w:szCs w:val="16"/>
              </w:rPr>
              <w:t>2003</w:t>
            </w:r>
          </w:p>
        </w:tc>
        <w:tc>
          <w:tcPr>
            <w:tcW w:w="839" w:type="dxa"/>
            <w:noWrap/>
            <w:vAlign w:val="bottom"/>
          </w:tcPr>
          <w:p w:rsidR="00000000" w:rsidRDefault="00000000">
            <w:pPr>
              <w:jc w:val="center"/>
              <w:rPr>
                <w:b/>
                <w:bCs/>
                <w:sz w:val="17"/>
                <w:szCs w:val="16"/>
              </w:rPr>
            </w:pPr>
            <w:r>
              <w:rPr>
                <w:b/>
                <w:bCs/>
                <w:sz w:val="17"/>
                <w:szCs w:val="16"/>
              </w:rPr>
              <w:t>2004</w:t>
            </w:r>
          </w:p>
        </w:tc>
        <w:tc>
          <w:tcPr>
            <w:tcW w:w="840" w:type="dxa"/>
            <w:noWrap/>
            <w:vAlign w:val="bottom"/>
          </w:tcPr>
          <w:p w:rsidR="00000000" w:rsidRDefault="00000000">
            <w:pPr>
              <w:jc w:val="center"/>
              <w:rPr>
                <w:b/>
                <w:bCs/>
                <w:sz w:val="17"/>
                <w:szCs w:val="16"/>
              </w:rPr>
            </w:pPr>
            <w:r>
              <w:rPr>
                <w:b/>
                <w:bCs/>
                <w:sz w:val="17"/>
                <w:szCs w:val="16"/>
              </w:rPr>
              <w:t>2005</w:t>
            </w:r>
          </w:p>
        </w:tc>
        <w:tc>
          <w:tcPr>
            <w:tcW w:w="826" w:type="dxa"/>
            <w:noWrap/>
            <w:vAlign w:val="bottom"/>
          </w:tcPr>
          <w:p w:rsidR="00000000" w:rsidRDefault="00000000">
            <w:pPr>
              <w:jc w:val="center"/>
              <w:rPr>
                <w:b/>
                <w:bCs/>
                <w:sz w:val="17"/>
                <w:szCs w:val="16"/>
              </w:rPr>
            </w:pPr>
            <w:r>
              <w:rPr>
                <w:b/>
                <w:bCs/>
                <w:sz w:val="17"/>
                <w:szCs w:val="16"/>
              </w:rPr>
              <w:t>2006</w:t>
            </w:r>
          </w:p>
        </w:tc>
      </w:tr>
      <w:tr w:rsidR="00000000">
        <w:trPr>
          <w:trHeight w:val="20"/>
          <w:jc w:val="center"/>
        </w:trPr>
        <w:tc>
          <w:tcPr>
            <w:tcW w:w="2562" w:type="dxa"/>
            <w:noWrap/>
            <w:vAlign w:val="bottom"/>
          </w:tcPr>
          <w:p w:rsidR="00000000" w:rsidRDefault="00000000">
            <w:pPr>
              <w:rPr>
                <w:sz w:val="17"/>
                <w:szCs w:val="16"/>
              </w:rPr>
            </w:pPr>
            <w:r>
              <w:rPr>
                <w:sz w:val="17"/>
                <w:szCs w:val="16"/>
              </w:rPr>
              <w:t>De 0 a 4 años</w:t>
            </w:r>
          </w:p>
        </w:tc>
        <w:tc>
          <w:tcPr>
            <w:tcW w:w="840" w:type="dxa"/>
            <w:noWrap/>
            <w:vAlign w:val="bottom"/>
          </w:tcPr>
          <w:p w:rsidR="00000000" w:rsidRDefault="00000000">
            <w:pPr>
              <w:jc w:val="right"/>
              <w:rPr>
                <w:sz w:val="17"/>
                <w:szCs w:val="16"/>
              </w:rPr>
            </w:pPr>
            <w:r>
              <w:rPr>
                <w:sz w:val="17"/>
                <w:szCs w:val="16"/>
              </w:rPr>
              <w:t>683.586</w:t>
            </w:r>
          </w:p>
        </w:tc>
        <w:tc>
          <w:tcPr>
            <w:tcW w:w="840" w:type="dxa"/>
            <w:noWrap/>
            <w:vAlign w:val="bottom"/>
          </w:tcPr>
          <w:p w:rsidR="00000000" w:rsidRDefault="00000000">
            <w:pPr>
              <w:jc w:val="right"/>
              <w:rPr>
                <w:sz w:val="17"/>
                <w:szCs w:val="16"/>
              </w:rPr>
            </w:pPr>
            <w:r>
              <w:rPr>
                <w:sz w:val="17"/>
                <w:szCs w:val="16"/>
              </w:rPr>
              <w:t>688.898</w:t>
            </w:r>
          </w:p>
        </w:tc>
        <w:tc>
          <w:tcPr>
            <w:tcW w:w="826" w:type="dxa"/>
            <w:noWrap/>
            <w:vAlign w:val="bottom"/>
          </w:tcPr>
          <w:p w:rsidR="00000000" w:rsidRDefault="00000000">
            <w:pPr>
              <w:jc w:val="right"/>
              <w:rPr>
                <w:sz w:val="17"/>
                <w:szCs w:val="16"/>
              </w:rPr>
            </w:pPr>
            <w:r>
              <w:rPr>
                <w:sz w:val="17"/>
                <w:szCs w:val="16"/>
              </w:rPr>
              <w:t>693.928</w:t>
            </w:r>
          </w:p>
        </w:tc>
        <w:tc>
          <w:tcPr>
            <w:tcW w:w="853" w:type="dxa"/>
            <w:noWrap/>
            <w:vAlign w:val="bottom"/>
          </w:tcPr>
          <w:p w:rsidR="00000000" w:rsidRDefault="00000000">
            <w:pPr>
              <w:jc w:val="right"/>
              <w:rPr>
                <w:sz w:val="17"/>
                <w:szCs w:val="16"/>
              </w:rPr>
            </w:pPr>
            <w:r>
              <w:rPr>
                <w:sz w:val="17"/>
                <w:szCs w:val="16"/>
              </w:rPr>
              <w:t>698.514</w:t>
            </w:r>
          </w:p>
        </w:tc>
        <w:tc>
          <w:tcPr>
            <w:tcW w:w="840" w:type="dxa"/>
            <w:noWrap/>
            <w:vAlign w:val="bottom"/>
          </w:tcPr>
          <w:p w:rsidR="00000000" w:rsidRDefault="00000000">
            <w:pPr>
              <w:jc w:val="right"/>
              <w:rPr>
                <w:sz w:val="17"/>
                <w:szCs w:val="16"/>
              </w:rPr>
            </w:pPr>
            <w:r>
              <w:rPr>
                <w:sz w:val="17"/>
                <w:szCs w:val="16"/>
              </w:rPr>
              <w:t>702.777</w:t>
            </w:r>
          </w:p>
        </w:tc>
        <w:tc>
          <w:tcPr>
            <w:tcW w:w="840" w:type="dxa"/>
            <w:noWrap/>
            <w:vAlign w:val="bottom"/>
          </w:tcPr>
          <w:p w:rsidR="00000000" w:rsidRDefault="00000000">
            <w:pPr>
              <w:jc w:val="right"/>
              <w:rPr>
                <w:sz w:val="17"/>
                <w:szCs w:val="16"/>
              </w:rPr>
            </w:pPr>
            <w:r>
              <w:rPr>
                <w:sz w:val="17"/>
                <w:szCs w:val="16"/>
              </w:rPr>
              <w:t>706.834</w:t>
            </w:r>
          </w:p>
        </w:tc>
        <w:tc>
          <w:tcPr>
            <w:tcW w:w="854" w:type="dxa"/>
            <w:noWrap/>
            <w:vAlign w:val="bottom"/>
          </w:tcPr>
          <w:p w:rsidR="00000000" w:rsidRDefault="00000000">
            <w:pPr>
              <w:jc w:val="right"/>
              <w:rPr>
                <w:sz w:val="17"/>
                <w:szCs w:val="16"/>
              </w:rPr>
            </w:pPr>
            <w:r>
              <w:rPr>
                <w:sz w:val="17"/>
                <w:szCs w:val="16"/>
              </w:rPr>
              <w:t>710.803</w:t>
            </w:r>
          </w:p>
        </w:tc>
        <w:tc>
          <w:tcPr>
            <w:tcW w:w="826" w:type="dxa"/>
            <w:noWrap/>
            <w:vAlign w:val="bottom"/>
          </w:tcPr>
          <w:p w:rsidR="00000000" w:rsidRDefault="00000000">
            <w:pPr>
              <w:jc w:val="right"/>
              <w:rPr>
                <w:sz w:val="17"/>
                <w:szCs w:val="16"/>
              </w:rPr>
            </w:pPr>
            <w:r>
              <w:rPr>
                <w:sz w:val="17"/>
                <w:szCs w:val="16"/>
              </w:rPr>
              <w:t>714.750</w:t>
            </w:r>
          </w:p>
        </w:tc>
        <w:tc>
          <w:tcPr>
            <w:tcW w:w="826" w:type="dxa"/>
            <w:noWrap/>
            <w:vAlign w:val="bottom"/>
          </w:tcPr>
          <w:p w:rsidR="00000000" w:rsidRDefault="00000000">
            <w:pPr>
              <w:jc w:val="right"/>
              <w:rPr>
                <w:sz w:val="17"/>
                <w:szCs w:val="16"/>
              </w:rPr>
            </w:pPr>
            <w:r>
              <w:rPr>
                <w:sz w:val="17"/>
                <w:szCs w:val="16"/>
              </w:rPr>
              <w:t>718.594</w:t>
            </w:r>
          </w:p>
        </w:tc>
        <w:tc>
          <w:tcPr>
            <w:tcW w:w="826" w:type="dxa"/>
            <w:noWrap/>
            <w:vAlign w:val="bottom"/>
          </w:tcPr>
          <w:p w:rsidR="00000000" w:rsidRDefault="00000000">
            <w:pPr>
              <w:jc w:val="right"/>
              <w:rPr>
                <w:sz w:val="17"/>
                <w:szCs w:val="16"/>
              </w:rPr>
            </w:pPr>
            <w:r>
              <w:rPr>
                <w:sz w:val="17"/>
                <w:szCs w:val="16"/>
              </w:rPr>
              <w:t>722.241</w:t>
            </w:r>
          </w:p>
        </w:tc>
        <w:tc>
          <w:tcPr>
            <w:tcW w:w="839" w:type="dxa"/>
            <w:noWrap/>
            <w:vAlign w:val="bottom"/>
          </w:tcPr>
          <w:p w:rsidR="00000000" w:rsidRDefault="00000000">
            <w:pPr>
              <w:jc w:val="right"/>
              <w:rPr>
                <w:sz w:val="17"/>
                <w:szCs w:val="16"/>
              </w:rPr>
            </w:pPr>
            <w:r>
              <w:rPr>
                <w:sz w:val="17"/>
                <w:szCs w:val="16"/>
              </w:rPr>
              <w:t>725.592</w:t>
            </w:r>
          </w:p>
        </w:tc>
        <w:tc>
          <w:tcPr>
            <w:tcW w:w="840" w:type="dxa"/>
            <w:noWrap/>
            <w:vAlign w:val="bottom"/>
          </w:tcPr>
          <w:p w:rsidR="00000000" w:rsidRDefault="00000000">
            <w:pPr>
              <w:jc w:val="right"/>
              <w:rPr>
                <w:sz w:val="17"/>
                <w:szCs w:val="16"/>
              </w:rPr>
            </w:pPr>
            <w:r>
              <w:rPr>
                <w:sz w:val="17"/>
                <w:szCs w:val="16"/>
              </w:rPr>
              <w:t>728.551</w:t>
            </w:r>
          </w:p>
        </w:tc>
        <w:tc>
          <w:tcPr>
            <w:tcW w:w="826" w:type="dxa"/>
            <w:noWrap/>
            <w:vAlign w:val="bottom"/>
          </w:tcPr>
          <w:p w:rsidR="00000000" w:rsidRDefault="00000000">
            <w:pPr>
              <w:jc w:val="right"/>
              <w:rPr>
                <w:sz w:val="17"/>
                <w:szCs w:val="16"/>
              </w:rPr>
            </w:pPr>
            <w:r>
              <w:rPr>
                <w:sz w:val="17"/>
                <w:szCs w:val="16"/>
              </w:rPr>
              <w:t>731.068</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Menores de 1 año</w:t>
            </w:r>
          </w:p>
        </w:tc>
        <w:tc>
          <w:tcPr>
            <w:tcW w:w="840" w:type="dxa"/>
            <w:noWrap/>
            <w:vAlign w:val="bottom"/>
          </w:tcPr>
          <w:p w:rsidR="00000000" w:rsidRDefault="00000000">
            <w:pPr>
              <w:jc w:val="right"/>
              <w:rPr>
                <w:sz w:val="17"/>
                <w:szCs w:val="16"/>
              </w:rPr>
            </w:pPr>
            <w:r>
              <w:rPr>
                <w:sz w:val="17"/>
                <w:szCs w:val="16"/>
              </w:rPr>
              <w:t>140.244</w:t>
            </w:r>
          </w:p>
        </w:tc>
        <w:tc>
          <w:tcPr>
            <w:tcW w:w="840" w:type="dxa"/>
            <w:noWrap/>
            <w:vAlign w:val="bottom"/>
          </w:tcPr>
          <w:p w:rsidR="00000000" w:rsidRDefault="00000000">
            <w:pPr>
              <w:jc w:val="right"/>
              <w:rPr>
                <w:sz w:val="17"/>
                <w:szCs w:val="16"/>
              </w:rPr>
            </w:pPr>
            <w:r>
              <w:rPr>
                <w:sz w:val="17"/>
                <w:szCs w:val="16"/>
              </w:rPr>
              <w:t>141.180</w:t>
            </w:r>
          </w:p>
        </w:tc>
        <w:tc>
          <w:tcPr>
            <w:tcW w:w="826" w:type="dxa"/>
            <w:noWrap/>
            <w:vAlign w:val="bottom"/>
          </w:tcPr>
          <w:p w:rsidR="00000000" w:rsidRDefault="00000000">
            <w:pPr>
              <w:jc w:val="right"/>
              <w:rPr>
                <w:sz w:val="17"/>
                <w:szCs w:val="16"/>
              </w:rPr>
            </w:pPr>
            <w:r>
              <w:rPr>
                <w:sz w:val="17"/>
                <w:szCs w:val="16"/>
              </w:rPr>
              <w:t>142.028</w:t>
            </w:r>
          </w:p>
        </w:tc>
        <w:tc>
          <w:tcPr>
            <w:tcW w:w="853" w:type="dxa"/>
            <w:noWrap/>
            <w:vAlign w:val="bottom"/>
          </w:tcPr>
          <w:p w:rsidR="00000000" w:rsidRDefault="00000000">
            <w:pPr>
              <w:jc w:val="right"/>
              <w:rPr>
                <w:sz w:val="17"/>
                <w:szCs w:val="16"/>
              </w:rPr>
            </w:pPr>
            <w:r>
              <w:rPr>
                <w:sz w:val="17"/>
                <w:szCs w:val="16"/>
              </w:rPr>
              <w:t>142.802</w:t>
            </w:r>
          </w:p>
        </w:tc>
        <w:tc>
          <w:tcPr>
            <w:tcW w:w="840" w:type="dxa"/>
            <w:noWrap/>
            <w:vAlign w:val="bottom"/>
          </w:tcPr>
          <w:p w:rsidR="00000000" w:rsidRDefault="00000000">
            <w:pPr>
              <w:jc w:val="right"/>
              <w:rPr>
                <w:sz w:val="17"/>
                <w:szCs w:val="16"/>
              </w:rPr>
            </w:pPr>
            <w:r>
              <w:rPr>
                <w:sz w:val="17"/>
                <w:szCs w:val="16"/>
              </w:rPr>
              <w:t>143.522</w:t>
            </w:r>
          </w:p>
        </w:tc>
        <w:tc>
          <w:tcPr>
            <w:tcW w:w="840" w:type="dxa"/>
            <w:noWrap/>
            <w:vAlign w:val="bottom"/>
          </w:tcPr>
          <w:p w:rsidR="00000000" w:rsidRDefault="00000000">
            <w:pPr>
              <w:jc w:val="right"/>
              <w:rPr>
                <w:sz w:val="17"/>
                <w:szCs w:val="16"/>
              </w:rPr>
            </w:pPr>
            <w:r>
              <w:rPr>
                <w:sz w:val="17"/>
                <w:szCs w:val="16"/>
              </w:rPr>
              <w:t>144.206</w:t>
            </w:r>
          </w:p>
        </w:tc>
        <w:tc>
          <w:tcPr>
            <w:tcW w:w="854" w:type="dxa"/>
            <w:noWrap/>
            <w:vAlign w:val="bottom"/>
          </w:tcPr>
          <w:p w:rsidR="00000000" w:rsidRDefault="00000000">
            <w:pPr>
              <w:jc w:val="right"/>
              <w:rPr>
                <w:sz w:val="17"/>
                <w:szCs w:val="16"/>
              </w:rPr>
            </w:pPr>
            <w:r>
              <w:rPr>
                <w:sz w:val="17"/>
                <w:szCs w:val="16"/>
              </w:rPr>
              <w:t>144.876</w:t>
            </w:r>
          </w:p>
        </w:tc>
        <w:tc>
          <w:tcPr>
            <w:tcW w:w="826" w:type="dxa"/>
            <w:noWrap/>
            <w:vAlign w:val="bottom"/>
          </w:tcPr>
          <w:p w:rsidR="00000000" w:rsidRDefault="00000000">
            <w:pPr>
              <w:jc w:val="right"/>
              <w:rPr>
                <w:sz w:val="17"/>
                <w:szCs w:val="16"/>
              </w:rPr>
            </w:pPr>
            <w:r>
              <w:rPr>
                <w:sz w:val="17"/>
                <w:szCs w:val="16"/>
              </w:rPr>
              <w:t>145.548</w:t>
            </w:r>
          </w:p>
        </w:tc>
        <w:tc>
          <w:tcPr>
            <w:tcW w:w="826" w:type="dxa"/>
            <w:noWrap/>
            <w:vAlign w:val="bottom"/>
          </w:tcPr>
          <w:p w:rsidR="00000000" w:rsidRDefault="00000000">
            <w:pPr>
              <w:jc w:val="right"/>
              <w:rPr>
                <w:sz w:val="17"/>
                <w:szCs w:val="16"/>
              </w:rPr>
            </w:pPr>
            <w:r>
              <w:rPr>
                <w:sz w:val="17"/>
                <w:szCs w:val="16"/>
              </w:rPr>
              <w:t>146.210</w:t>
            </w:r>
          </w:p>
        </w:tc>
        <w:tc>
          <w:tcPr>
            <w:tcW w:w="826" w:type="dxa"/>
            <w:noWrap/>
            <w:vAlign w:val="bottom"/>
          </w:tcPr>
          <w:p w:rsidR="00000000" w:rsidRDefault="00000000">
            <w:pPr>
              <w:jc w:val="right"/>
              <w:rPr>
                <w:sz w:val="17"/>
                <w:szCs w:val="16"/>
              </w:rPr>
            </w:pPr>
            <w:r>
              <w:rPr>
                <w:sz w:val="17"/>
                <w:szCs w:val="16"/>
              </w:rPr>
              <w:t>146.835</w:t>
            </w:r>
          </w:p>
        </w:tc>
        <w:tc>
          <w:tcPr>
            <w:tcW w:w="839" w:type="dxa"/>
            <w:noWrap/>
            <w:vAlign w:val="bottom"/>
          </w:tcPr>
          <w:p w:rsidR="00000000" w:rsidRDefault="00000000">
            <w:pPr>
              <w:jc w:val="right"/>
              <w:rPr>
                <w:sz w:val="17"/>
                <w:szCs w:val="16"/>
              </w:rPr>
            </w:pPr>
            <w:r>
              <w:rPr>
                <w:sz w:val="17"/>
                <w:szCs w:val="16"/>
              </w:rPr>
              <w:t>147.397</w:t>
            </w:r>
          </w:p>
        </w:tc>
        <w:tc>
          <w:tcPr>
            <w:tcW w:w="840" w:type="dxa"/>
            <w:noWrap/>
            <w:vAlign w:val="bottom"/>
          </w:tcPr>
          <w:p w:rsidR="00000000" w:rsidRDefault="00000000">
            <w:pPr>
              <w:jc w:val="right"/>
              <w:rPr>
                <w:sz w:val="17"/>
                <w:szCs w:val="16"/>
              </w:rPr>
            </w:pPr>
            <w:r>
              <w:rPr>
                <w:sz w:val="17"/>
                <w:szCs w:val="16"/>
              </w:rPr>
              <w:t>147.870</w:t>
            </w:r>
          </w:p>
        </w:tc>
        <w:tc>
          <w:tcPr>
            <w:tcW w:w="826" w:type="dxa"/>
            <w:noWrap/>
            <w:vAlign w:val="bottom"/>
          </w:tcPr>
          <w:p w:rsidR="00000000" w:rsidRDefault="00000000">
            <w:pPr>
              <w:jc w:val="right"/>
              <w:rPr>
                <w:sz w:val="17"/>
                <w:szCs w:val="16"/>
              </w:rPr>
            </w:pPr>
            <w:r>
              <w:rPr>
                <w:sz w:val="17"/>
                <w:szCs w:val="16"/>
              </w:rPr>
              <w:t>148.238</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1 año</w:t>
            </w:r>
          </w:p>
        </w:tc>
        <w:tc>
          <w:tcPr>
            <w:tcW w:w="840" w:type="dxa"/>
            <w:noWrap/>
            <w:vAlign w:val="bottom"/>
          </w:tcPr>
          <w:p w:rsidR="00000000" w:rsidRDefault="00000000">
            <w:pPr>
              <w:jc w:val="right"/>
              <w:rPr>
                <w:sz w:val="17"/>
                <w:szCs w:val="16"/>
              </w:rPr>
            </w:pPr>
            <w:r>
              <w:rPr>
                <w:sz w:val="17"/>
                <w:szCs w:val="16"/>
              </w:rPr>
              <w:t>137.982</w:t>
            </w:r>
          </w:p>
        </w:tc>
        <w:tc>
          <w:tcPr>
            <w:tcW w:w="840" w:type="dxa"/>
            <w:noWrap/>
            <w:vAlign w:val="bottom"/>
          </w:tcPr>
          <w:p w:rsidR="00000000" w:rsidRDefault="00000000">
            <w:pPr>
              <w:jc w:val="right"/>
              <w:rPr>
                <w:sz w:val="17"/>
                <w:szCs w:val="16"/>
              </w:rPr>
            </w:pPr>
            <w:r>
              <w:rPr>
                <w:sz w:val="17"/>
                <w:szCs w:val="16"/>
              </w:rPr>
              <w:t>138.997</w:t>
            </w:r>
          </w:p>
        </w:tc>
        <w:tc>
          <w:tcPr>
            <w:tcW w:w="826" w:type="dxa"/>
            <w:noWrap/>
            <w:vAlign w:val="bottom"/>
          </w:tcPr>
          <w:p w:rsidR="00000000" w:rsidRDefault="00000000">
            <w:pPr>
              <w:jc w:val="right"/>
              <w:rPr>
                <w:sz w:val="17"/>
                <w:szCs w:val="16"/>
              </w:rPr>
            </w:pPr>
            <w:r>
              <w:rPr>
                <w:sz w:val="17"/>
                <w:szCs w:val="16"/>
              </w:rPr>
              <w:t>139.939</w:t>
            </w:r>
          </w:p>
        </w:tc>
        <w:tc>
          <w:tcPr>
            <w:tcW w:w="853" w:type="dxa"/>
            <w:noWrap/>
            <w:vAlign w:val="bottom"/>
          </w:tcPr>
          <w:p w:rsidR="00000000" w:rsidRDefault="00000000">
            <w:pPr>
              <w:jc w:val="right"/>
              <w:rPr>
                <w:sz w:val="17"/>
                <w:szCs w:val="16"/>
              </w:rPr>
            </w:pPr>
            <w:r>
              <w:rPr>
                <w:sz w:val="17"/>
                <w:szCs w:val="16"/>
              </w:rPr>
              <w:t>140.802</w:t>
            </w:r>
          </w:p>
        </w:tc>
        <w:tc>
          <w:tcPr>
            <w:tcW w:w="840" w:type="dxa"/>
            <w:noWrap/>
            <w:vAlign w:val="bottom"/>
          </w:tcPr>
          <w:p w:rsidR="00000000" w:rsidRDefault="00000000">
            <w:pPr>
              <w:jc w:val="right"/>
              <w:rPr>
                <w:sz w:val="17"/>
                <w:szCs w:val="16"/>
              </w:rPr>
            </w:pPr>
            <w:r>
              <w:rPr>
                <w:sz w:val="17"/>
                <w:szCs w:val="16"/>
              </w:rPr>
              <w:t>141.608</w:t>
            </w:r>
          </w:p>
        </w:tc>
        <w:tc>
          <w:tcPr>
            <w:tcW w:w="840" w:type="dxa"/>
            <w:noWrap/>
            <w:vAlign w:val="bottom"/>
          </w:tcPr>
          <w:p w:rsidR="00000000" w:rsidRDefault="00000000">
            <w:pPr>
              <w:jc w:val="right"/>
              <w:rPr>
                <w:sz w:val="17"/>
                <w:szCs w:val="16"/>
              </w:rPr>
            </w:pPr>
            <w:r>
              <w:rPr>
                <w:sz w:val="17"/>
                <w:szCs w:val="16"/>
              </w:rPr>
              <w:t>142.374</w:t>
            </w:r>
          </w:p>
        </w:tc>
        <w:tc>
          <w:tcPr>
            <w:tcW w:w="854" w:type="dxa"/>
            <w:noWrap/>
            <w:vAlign w:val="bottom"/>
          </w:tcPr>
          <w:p w:rsidR="00000000" w:rsidRDefault="00000000">
            <w:pPr>
              <w:jc w:val="right"/>
              <w:rPr>
                <w:sz w:val="17"/>
                <w:szCs w:val="16"/>
              </w:rPr>
            </w:pPr>
            <w:r>
              <w:rPr>
                <w:sz w:val="17"/>
                <w:szCs w:val="16"/>
              </w:rPr>
              <w:t>143.123</w:t>
            </w:r>
          </w:p>
        </w:tc>
        <w:tc>
          <w:tcPr>
            <w:tcW w:w="826" w:type="dxa"/>
            <w:noWrap/>
            <w:vAlign w:val="bottom"/>
          </w:tcPr>
          <w:p w:rsidR="00000000" w:rsidRDefault="00000000">
            <w:pPr>
              <w:jc w:val="right"/>
              <w:rPr>
                <w:sz w:val="17"/>
                <w:szCs w:val="16"/>
              </w:rPr>
            </w:pPr>
            <w:r>
              <w:rPr>
                <w:sz w:val="17"/>
                <w:szCs w:val="16"/>
              </w:rPr>
              <w:t>143.868</w:t>
            </w:r>
          </w:p>
        </w:tc>
        <w:tc>
          <w:tcPr>
            <w:tcW w:w="826" w:type="dxa"/>
            <w:noWrap/>
            <w:vAlign w:val="bottom"/>
          </w:tcPr>
          <w:p w:rsidR="00000000" w:rsidRDefault="00000000">
            <w:pPr>
              <w:jc w:val="right"/>
              <w:rPr>
                <w:sz w:val="17"/>
                <w:szCs w:val="16"/>
              </w:rPr>
            </w:pPr>
            <w:r>
              <w:rPr>
                <w:sz w:val="17"/>
                <w:szCs w:val="16"/>
              </w:rPr>
              <w:t>144.597</w:t>
            </w:r>
          </w:p>
        </w:tc>
        <w:tc>
          <w:tcPr>
            <w:tcW w:w="826" w:type="dxa"/>
            <w:noWrap/>
            <w:vAlign w:val="bottom"/>
          </w:tcPr>
          <w:p w:rsidR="00000000" w:rsidRDefault="00000000">
            <w:pPr>
              <w:jc w:val="right"/>
              <w:rPr>
                <w:sz w:val="17"/>
                <w:szCs w:val="16"/>
              </w:rPr>
            </w:pPr>
            <w:r>
              <w:rPr>
                <w:sz w:val="17"/>
                <w:szCs w:val="16"/>
              </w:rPr>
              <w:t>145.287</w:t>
            </w:r>
          </w:p>
        </w:tc>
        <w:tc>
          <w:tcPr>
            <w:tcW w:w="839" w:type="dxa"/>
            <w:noWrap/>
            <w:vAlign w:val="bottom"/>
          </w:tcPr>
          <w:p w:rsidR="00000000" w:rsidRDefault="00000000">
            <w:pPr>
              <w:jc w:val="right"/>
              <w:rPr>
                <w:sz w:val="17"/>
                <w:szCs w:val="16"/>
              </w:rPr>
            </w:pPr>
            <w:r>
              <w:rPr>
                <w:sz w:val="17"/>
                <w:szCs w:val="16"/>
              </w:rPr>
              <w:t>145.913</w:t>
            </w:r>
          </w:p>
        </w:tc>
        <w:tc>
          <w:tcPr>
            <w:tcW w:w="840" w:type="dxa"/>
            <w:noWrap/>
            <w:vAlign w:val="bottom"/>
          </w:tcPr>
          <w:p w:rsidR="00000000" w:rsidRDefault="00000000">
            <w:pPr>
              <w:jc w:val="right"/>
              <w:rPr>
                <w:sz w:val="17"/>
                <w:szCs w:val="16"/>
              </w:rPr>
            </w:pPr>
            <w:r>
              <w:rPr>
                <w:sz w:val="17"/>
                <w:szCs w:val="16"/>
              </w:rPr>
              <w:t>146.453</w:t>
            </w:r>
          </w:p>
        </w:tc>
        <w:tc>
          <w:tcPr>
            <w:tcW w:w="826" w:type="dxa"/>
            <w:noWrap/>
            <w:vAlign w:val="bottom"/>
          </w:tcPr>
          <w:p w:rsidR="00000000" w:rsidRDefault="00000000">
            <w:pPr>
              <w:jc w:val="right"/>
              <w:rPr>
                <w:sz w:val="17"/>
                <w:szCs w:val="16"/>
              </w:rPr>
            </w:pPr>
            <w:r>
              <w:rPr>
                <w:sz w:val="17"/>
                <w:szCs w:val="16"/>
              </w:rPr>
              <w:t>146.892</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2 años</w:t>
            </w:r>
          </w:p>
        </w:tc>
        <w:tc>
          <w:tcPr>
            <w:tcW w:w="840" w:type="dxa"/>
            <w:noWrap/>
            <w:vAlign w:val="bottom"/>
          </w:tcPr>
          <w:p w:rsidR="00000000" w:rsidRDefault="00000000">
            <w:pPr>
              <w:jc w:val="right"/>
              <w:rPr>
                <w:sz w:val="17"/>
                <w:szCs w:val="16"/>
              </w:rPr>
            </w:pPr>
            <w:r>
              <w:rPr>
                <w:sz w:val="17"/>
                <w:szCs w:val="16"/>
              </w:rPr>
              <w:t>136.525</w:t>
            </w:r>
          </w:p>
        </w:tc>
        <w:tc>
          <w:tcPr>
            <w:tcW w:w="840" w:type="dxa"/>
            <w:noWrap/>
            <w:vAlign w:val="bottom"/>
          </w:tcPr>
          <w:p w:rsidR="00000000" w:rsidRDefault="00000000">
            <w:pPr>
              <w:jc w:val="right"/>
              <w:rPr>
                <w:sz w:val="17"/>
                <w:szCs w:val="16"/>
              </w:rPr>
            </w:pPr>
            <w:r>
              <w:rPr>
                <w:sz w:val="17"/>
                <w:szCs w:val="16"/>
              </w:rPr>
              <w:t>137.587</w:t>
            </w:r>
          </w:p>
        </w:tc>
        <w:tc>
          <w:tcPr>
            <w:tcW w:w="826" w:type="dxa"/>
            <w:noWrap/>
            <w:vAlign w:val="bottom"/>
          </w:tcPr>
          <w:p w:rsidR="00000000" w:rsidRDefault="00000000">
            <w:pPr>
              <w:jc w:val="right"/>
              <w:rPr>
                <w:sz w:val="17"/>
                <w:szCs w:val="16"/>
              </w:rPr>
            </w:pPr>
            <w:r>
              <w:rPr>
                <w:sz w:val="17"/>
                <w:szCs w:val="16"/>
              </w:rPr>
              <w:t>138.594</w:t>
            </w:r>
          </w:p>
        </w:tc>
        <w:tc>
          <w:tcPr>
            <w:tcW w:w="853" w:type="dxa"/>
            <w:noWrap/>
            <w:vAlign w:val="bottom"/>
          </w:tcPr>
          <w:p w:rsidR="00000000" w:rsidRDefault="00000000">
            <w:pPr>
              <w:jc w:val="right"/>
              <w:rPr>
                <w:sz w:val="17"/>
                <w:szCs w:val="16"/>
              </w:rPr>
            </w:pPr>
            <w:r>
              <w:rPr>
                <w:sz w:val="17"/>
                <w:szCs w:val="16"/>
              </w:rPr>
              <w:t>139.514</w:t>
            </w:r>
          </w:p>
        </w:tc>
        <w:tc>
          <w:tcPr>
            <w:tcW w:w="840" w:type="dxa"/>
            <w:noWrap/>
            <w:vAlign w:val="bottom"/>
          </w:tcPr>
          <w:p w:rsidR="00000000" w:rsidRDefault="00000000">
            <w:pPr>
              <w:jc w:val="right"/>
              <w:rPr>
                <w:sz w:val="17"/>
                <w:szCs w:val="16"/>
              </w:rPr>
            </w:pPr>
            <w:r>
              <w:rPr>
                <w:sz w:val="17"/>
                <w:szCs w:val="16"/>
              </w:rPr>
              <w:t>140.370</w:t>
            </w:r>
          </w:p>
        </w:tc>
        <w:tc>
          <w:tcPr>
            <w:tcW w:w="840" w:type="dxa"/>
            <w:noWrap/>
            <w:vAlign w:val="bottom"/>
          </w:tcPr>
          <w:p w:rsidR="00000000" w:rsidRDefault="00000000">
            <w:pPr>
              <w:jc w:val="right"/>
              <w:rPr>
                <w:sz w:val="17"/>
                <w:szCs w:val="16"/>
              </w:rPr>
            </w:pPr>
            <w:r>
              <w:rPr>
                <w:sz w:val="17"/>
                <w:szCs w:val="16"/>
              </w:rPr>
              <w:t>141.187</w:t>
            </w:r>
          </w:p>
        </w:tc>
        <w:tc>
          <w:tcPr>
            <w:tcW w:w="854" w:type="dxa"/>
            <w:noWrap/>
            <w:vAlign w:val="bottom"/>
          </w:tcPr>
          <w:p w:rsidR="00000000" w:rsidRDefault="00000000">
            <w:pPr>
              <w:jc w:val="right"/>
              <w:rPr>
                <w:sz w:val="17"/>
                <w:szCs w:val="16"/>
              </w:rPr>
            </w:pPr>
            <w:r>
              <w:rPr>
                <w:sz w:val="17"/>
                <w:szCs w:val="16"/>
              </w:rPr>
              <w:t>141.988</w:t>
            </w:r>
          </w:p>
        </w:tc>
        <w:tc>
          <w:tcPr>
            <w:tcW w:w="826" w:type="dxa"/>
            <w:noWrap/>
            <w:vAlign w:val="bottom"/>
          </w:tcPr>
          <w:p w:rsidR="00000000" w:rsidRDefault="00000000">
            <w:pPr>
              <w:jc w:val="right"/>
              <w:rPr>
                <w:sz w:val="17"/>
                <w:szCs w:val="16"/>
              </w:rPr>
            </w:pPr>
            <w:r>
              <w:rPr>
                <w:sz w:val="17"/>
                <w:szCs w:val="16"/>
              </w:rPr>
              <w:t>142.785</w:t>
            </w:r>
          </w:p>
        </w:tc>
        <w:tc>
          <w:tcPr>
            <w:tcW w:w="826" w:type="dxa"/>
            <w:noWrap/>
            <w:vAlign w:val="bottom"/>
          </w:tcPr>
          <w:p w:rsidR="00000000" w:rsidRDefault="00000000">
            <w:pPr>
              <w:jc w:val="right"/>
              <w:rPr>
                <w:sz w:val="17"/>
                <w:szCs w:val="16"/>
              </w:rPr>
            </w:pPr>
            <w:r>
              <w:rPr>
                <w:sz w:val="17"/>
                <w:szCs w:val="16"/>
              </w:rPr>
              <w:t>143.564</w:t>
            </w:r>
          </w:p>
        </w:tc>
        <w:tc>
          <w:tcPr>
            <w:tcW w:w="826" w:type="dxa"/>
            <w:noWrap/>
            <w:vAlign w:val="bottom"/>
          </w:tcPr>
          <w:p w:rsidR="00000000" w:rsidRDefault="00000000">
            <w:pPr>
              <w:jc w:val="right"/>
              <w:rPr>
                <w:sz w:val="17"/>
                <w:szCs w:val="16"/>
              </w:rPr>
            </w:pPr>
            <w:r>
              <w:rPr>
                <w:sz w:val="17"/>
                <w:szCs w:val="16"/>
              </w:rPr>
              <w:t>144.304</w:t>
            </w:r>
          </w:p>
        </w:tc>
        <w:tc>
          <w:tcPr>
            <w:tcW w:w="839" w:type="dxa"/>
            <w:noWrap/>
            <w:vAlign w:val="bottom"/>
          </w:tcPr>
          <w:p w:rsidR="00000000" w:rsidRDefault="00000000">
            <w:pPr>
              <w:jc w:val="right"/>
              <w:rPr>
                <w:sz w:val="17"/>
                <w:szCs w:val="16"/>
              </w:rPr>
            </w:pPr>
            <w:r>
              <w:rPr>
                <w:sz w:val="17"/>
                <w:szCs w:val="16"/>
              </w:rPr>
              <w:t>144.984</w:t>
            </w:r>
          </w:p>
        </w:tc>
        <w:tc>
          <w:tcPr>
            <w:tcW w:w="840" w:type="dxa"/>
            <w:noWrap/>
            <w:vAlign w:val="bottom"/>
          </w:tcPr>
          <w:p w:rsidR="00000000" w:rsidRDefault="00000000">
            <w:pPr>
              <w:jc w:val="right"/>
              <w:rPr>
                <w:sz w:val="17"/>
                <w:szCs w:val="16"/>
              </w:rPr>
            </w:pPr>
            <w:r>
              <w:rPr>
                <w:sz w:val="17"/>
                <w:szCs w:val="16"/>
              </w:rPr>
              <w:t>145.582</w:t>
            </w:r>
          </w:p>
        </w:tc>
        <w:tc>
          <w:tcPr>
            <w:tcW w:w="826" w:type="dxa"/>
            <w:noWrap/>
            <w:vAlign w:val="bottom"/>
          </w:tcPr>
          <w:p w:rsidR="00000000" w:rsidRDefault="00000000">
            <w:pPr>
              <w:jc w:val="right"/>
              <w:rPr>
                <w:sz w:val="17"/>
                <w:szCs w:val="16"/>
              </w:rPr>
            </w:pPr>
            <w:r>
              <w:rPr>
                <w:sz w:val="17"/>
                <w:szCs w:val="16"/>
              </w:rPr>
              <w:t>146.086</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3 años</w:t>
            </w:r>
          </w:p>
        </w:tc>
        <w:tc>
          <w:tcPr>
            <w:tcW w:w="840" w:type="dxa"/>
            <w:noWrap/>
            <w:vAlign w:val="bottom"/>
          </w:tcPr>
          <w:p w:rsidR="00000000" w:rsidRDefault="00000000">
            <w:pPr>
              <w:jc w:val="right"/>
              <w:rPr>
                <w:sz w:val="17"/>
                <w:szCs w:val="16"/>
              </w:rPr>
            </w:pPr>
            <w:r>
              <w:rPr>
                <w:sz w:val="17"/>
                <w:szCs w:val="16"/>
              </w:rPr>
              <w:t>135.137</w:t>
            </w:r>
          </w:p>
        </w:tc>
        <w:tc>
          <w:tcPr>
            <w:tcW w:w="840" w:type="dxa"/>
            <w:noWrap/>
            <w:vAlign w:val="bottom"/>
          </w:tcPr>
          <w:p w:rsidR="00000000" w:rsidRDefault="00000000">
            <w:pPr>
              <w:jc w:val="right"/>
              <w:rPr>
                <w:sz w:val="17"/>
                <w:szCs w:val="16"/>
              </w:rPr>
            </w:pPr>
            <w:r>
              <w:rPr>
                <w:sz w:val="17"/>
                <w:szCs w:val="16"/>
              </w:rPr>
              <w:t>136.252</w:t>
            </w:r>
          </w:p>
        </w:tc>
        <w:tc>
          <w:tcPr>
            <w:tcW w:w="826" w:type="dxa"/>
            <w:noWrap/>
            <w:vAlign w:val="bottom"/>
          </w:tcPr>
          <w:p w:rsidR="00000000" w:rsidRDefault="00000000">
            <w:pPr>
              <w:jc w:val="right"/>
              <w:rPr>
                <w:sz w:val="17"/>
                <w:szCs w:val="16"/>
              </w:rPr>
            </w:pPr>
            <w:r>
              <w:rPr>
                <w:sz w:val="17"/>
                <w:szCs w:val="16"/>
              </w:rPr>
              <w:t>137.327</w:t>
            </w:r>
          </w:p>
        </w:tc>
        <w:tc>
          <w:tcPr>
            <w:tcW w:w="853" w:type="dxa"/>
            <w:noWrap/>
            <w:vAlign w:val="bottom"/>
          </w:tcPr>
          <w:p w:rsidR="00000000" w:rsidRDefault="00000000">
            <w:pPr>
              <w:jc w:val="right"/>
              <w:rPr>
                <w:sz w:val="17"/>
                <w:szCs w:val="16"/>
              </w:rPr>
            </w:pPr>
            <w:r>
              <w:rPr>
                <w:sz w:val="17"/>
                <w:szCs w:val="16"/>
              </w:rPr>
              <w:t>138.308</w:t>
            </w:r>
          </w:p>
        </w:tc>
        <w:tc>
          <w:tcPr>
            <w:tcW w:w="840" w:type="dxa"/>
            <w:noWrap/>
            <w:vAlign w:val="bottom"/>
          </w:tcPr>
          <w:p w:rsidR="00000000" w:rsidRDefault="00000000">
            <w:pPr>
              <w:jc w:val="right"/>
              <w:rPr>
                <w:sz w:val="17"/>
                <w:szCs w:val="16"/>
              </w:rPr>
            </w:pPr>
            <w:r>
              <w:rPr>
                <w:sz w:val="17"/>
                <w:szCs w:val="16"/>
              </w:rPr>
              <w:t>139.218</w:t>
            </w:r>
          </w:p>
        </w:tc>
        <w:tc>
          <w:tcPr>
            <w:tcW w:w="840" w:type="dxa"/>
            <w:noWrap/>
            <w:vAlign w:val="bottom"/>
          </w:tcPr>
          <w:p w:rsidR="00000000" w:rsidRDefault="00000000">
            <w:pPr>
              <w:jc w:val="right"/>
              <w:rPr>
                <w:sz w:val="17"/>
                <w:szCs w:val="16"/>
              </w:rPr>
            </w:pPr>
            <w:r>
              <w:rPr>
                <w:sz w:val="17"/>
                <w:szCs w:val="16"/>
              </w:rPr>
              <w:t>140.085</w:t>
            </w:r>
          </w:p>
        </w:tc>
        <w:tc>
          <w:tcPr>
            <w:tcW w:w="854" w:type="dxa"/>
            <w:noWrap/>
            <w:vAlign w:val="bottom"/>
          </w:tcPr>
          <w:p w:rsidR="00000000" w:rsidRDefault="00000000">
            <w:pPr>
              <w:jc w:val="right"/>
              <w:rPr>
                <w:sz w:val="17"/>
                <w:szCs w:val="16"/>
              </w:rPr>
            </w:pPr>
            <w:r>
              <w:rPr>
                <w:sz w:val="17"/>
                <w:szCs w:val="16"/>
              </w:rPr>
              <w:t>140.935</w:t>
            </w:r>
          </w:p>
        </w:tc>
        <w:tc>
          <w:tcPr>
            <w:tcW w:w="826" w:type="dxa"/>
            <w:noWrap/>
            <w:vAlign w:val="bottom"/>
          </w:tcPr>
          <w:p w:rsidR="00000000" w:rsidRDefault="00000000">
            <w:pPr>
              <w:jc w:val="right"/>
              <w:rPr>
                <w:sz w:val="17"/>
                <w:szCs w:val="16"/>
              </w:rPr>
            </w:pPr>
            <w:r>
              <w:rPr>
                <w:sz w:val="17"/>
                <w:szCs w:val="16"/>
              </w:rPr>
              <w:t>141.778</w:t>
            </w:r>
          </w:p>
        </w:tc>
        <w:tc>
          <w:tcPr>
            <w:tcW w:w="826" w:type="dxa"/>
            <w:noWrap/>
            <w:vAlign w:val="bottom"/>
          </w:tcPr>
          <w:p w:rsidR="00000000" w:rsidRDefault="00000000">
            <w:pPr>
              <w:jc w:val="right"/>
              <w:rPr>
                <w:sz w:val="17"/>
                <w:szCs w:val="16"/>
              </w:rPr>
            </w:pPr>
            <w:r>
              <w:rPr>
                <w:sz w:val="17"/>
                <w:szCs w:val="16"/>
              </w:rPr>
              <w:t>142.598</w:t>
            </w:r>
          </w:p>
        </w:tc>
        <w:tc>
          <w:tcPr>
            <w:tcW w:w="826" w:type="dxa"/>
            <w:noWrap/>
            <w:vAlign w:val="bottom"/>
          </w:tcPr>
          <w:p w:rsidR="00000000" w:rsidRDefault="00000000">
            <w:pPr>
              <w:jc w:val="right"/>
              <w:rPr>
                <w:sz w:val="17"/>
                <w:szCs w:val="16"/>
              </w:rPr>
            </w:pPr>
            <w:r>
              <w:rPr>
                <w:sz w:val="17"/>
                <w:szCs w:val="16"/>
              </w:rPr>
              <w:t>143.377</w:t>
            </w:r>
          </w:p>
        </w:tc>
        <w:tc>
          <w:tcPr>
            <w:tcW w:w="839" w:type="dxa"/>
            <w:noWrap/>
            <w:vAlign w:val="bottom"/>
          </w:tcPr>
          <w:p w:rsidR="00000000" w:rsidRDefault="00000000">
            <w:pPr>
              <w:jc w:val="right"/>
              <w:rPr>
                <w:sz w:val="17"/>
                <w:szCs w:val="16"/>
              </w:rPr>
            </w:pPr>
            <w:r>
              <w:rPr>
                <w:sz w:val="17"/>
                <w:szCs w:val="16"/>
              </w:rPr>
              <w:t>144.100</w:t>
            </w:r>
          </w:p>
        </w:tc>
        <w:tc>
          <w:tcPr>
            <w:tcW w:w="840" w:type="dxa"/>
            <w:noWrap/>
            <w:vAlign w:val="bottom"/>
          </w:tcPr>
          <w:p w:rsidR="00000000" w:rsidRDefault="00000000">
            <w:pPr>
              <w:jc w:val="right"/>
              <w:rPr>
                <w:sz w:val="17"/>
                <w:szCs w:val="16"/>
              </w:rPr>
            </w:pPr>
            <w:r>
              <w:rPr>
                <w:sz w:val="17"/>
                <w:szCs w:val="16"/>
              </w:rPr>
              <w:t>144.750</w:t>
            </w:r>
          </w:p>
        </w:tc>
        <w:tc>
          <w:tcPr>
            <w:tcW w:w="826" w:type="dxa"/>
            <w:noWrap/>
            <w:vAlign w:val="bottom"/>
          </w:tcPr>
          <w:p w:rsidR="00000000" w:rsidRDefault="00000000">
            <w:pPr>
              <w:jc w:val="right"/>
              <w:rPr>
                <w:sz w:val="17"/>
                <w:szCs w:val="16"/>
              </w:rPr>
            </w:pPr>
            <w:r>
              <w:rPr>
                <w:sz w:val="17"/>
                <w:szCs w:val="16"/>
              </w:rPr>
              <w:t>145.319</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4 años</w:t>
            </w:r>
          </w:p>
        </w:tc>
        <w:tc>
          <w:tcPr>
            <w:tcW w:w="840" w:type="dxa"/>
            <w:noWrap/>
            <w:vAlign w:val="bottom"/>
          </w:tcPr>
          <w:p w:rsidR="00000000" w:rsidRDefault="00000000">
            <w:pPr>
              <w:jc w:val="right"/>
              <w:rPr>
                <w:sz w:val="17"/>
                <w:szCs w:val="16"/>
              </w:rPr>
            </w:pPr>
            <w:r>
              <w:rPr>
                <w:sz w:val="17"/>
                <w:szCs w:val="16"/>
              </w:rPr>
              <w:t>133.698</w:t>
            </w:r>
          </w:p>
        </w:tc>
        <w:tc>
          <w:tcPr>
            <w:tcW w:w="840" w:type="dxa"/>
            <w:noWrap/>
            <w:vAlign w:val="bottom"/>
          </w:tcPr>
          <w:p w:rsidR="00000000" w:rsidRDefault="00000000">
            <w:pPr>
              <w:jc w:val="right"/>
              <w:rPr>
                <w:sz w:val="17"/>
                <w:szCs w:val="16"/>
              </w:rPr>
            </w:pPr>
            <w:r>
              <w:rPr>
                <w:sz w:val="17"/>
                <w:szCs w:val="16"/>
              </w:rPr>
              <w:t>134.883</w:t>
            </w:r>
          </w:p>
        </w:tc>
        <w:tc>
          <w:tcPr>
            <w:tcW w:w="826" w:type="dxa"/>
            <w:noWrap/>
            <w:vAlign w:val="bottom"/>
          </w:tcPr>
          <w:p w:rsidR="00000000" w:rsidRDefault="00000000">
            <w:pPr>
              <w:jc w:val="right"/>
              <w:rPr>
                <w:sz w:val="17"/>
                <w:szCs w:val="16"/>
              </w:rPr>
            </w:pPr>
            <w:r>
              <w:rPr>
                <w:sz w:val="17"/>
                <w:szCs w:val="16"/>
              </w:rPr>
              <w:t>136.040</w:t>
            </w:r>
          </w:p>
        </w:tc>
        <w:tc>
          <w:tcPr>
            <w:tcW w:w="853" w:type="dxa"/>
            <w:noWrap/>
            <w:vAlign w:val="bottom"/>
          </w:tcPr>
          <w:p w:rsidR="00000000" w:rsidRDefault="00000000">
            <w:pPr>
              <w:jc w:val="right"/>
              <w:rPr>
                <w:sz w:val="17"/>
                <w:szCs w:val="16"/>
              </w:rPr>
            </w:pPr>
            <w:r>
              <w:rPr>
                <w:sz w:val="17"/>
                <w:szCs w:val="16"/>
              </w:rPr>
              <w:t>137.089</w:t>
            </w:r>
          </w:p>
        </w:tc>
        <w:tc>
          <w:tcPr>
            <w:tcW w:w="840" w:type="dxa"/>
            <w:noWrap/>
            <w:vAlign w:val="bottom"/>
          </w:tcPr>
          <w:p w:rsidR="00000000" w:rsidRDefault="00000000">
            <w:pPr>
              <w:jc w:val="right"/>
              <w:rPr>
                <w:sz w:val="17"/>
                <w:szCs w:val="16"/>
              </w:rPr>
            </w:pPr>
            <w:r>
              <w:rPr>
                <w:sz w:val="17"/>
                <w:szCs w:val="16"/>
              </w:rPr>
              <w:t>138.059</w:t>
            </w:r>
          </w:p>
        </w:tc>
        <w:tc>
          <w:tcPr>
            <w:tcW w:w="840" w:type="dxa"/>
            <w:noWrap/>
            <w:vAlign w:val="bottom"/>
          </w:tcPr>
          <w:p w:rsidR="00000000" w:rsidRDefault="00000000">
            <w:pPr>
              <w:jc w:val="right"/>
              <w:rPr>
                <w:sz w:val="17"/>
                <w:szCs w:val="16"/>
              </w:rPr>
            </w:pPr>
            <w:r>
              <w:rPr>
                <w:sz w:val="17"/>
                <w:szCs w:val="16"/>
              </w:rPr>
              <w:t>138.980</w:t>
            </w:r>
          </w:p>
        </w:tc>
        <w:tc>
          <w:tcPr>
            <w:tcW w:w="854" w:type="dxa"/>
            <w:noWrap/>
            <w:vAlign w:val="bottom"/>
          </w:tcPr>
          <w:p w:rsidR="00000000" w:rsidRDefault="00000000">
            <w:pPr>
              <w:jc w:val="right"/>
              <w:rPr>
                <w:sz w:val="17"/>
                <w:szCs w:val="16"/>
              </w:rPr>
            </w:pPr>
            <w:r>
              <w:rPr>
                <w:sz w:val="17"/>
                <w:szCs w:val="16"/>
              </w:rPr>
              <w:t>139.882</w:t>
            </w:r>
          </w:p>
        </w:tc>
        <w:tc>
          <w:tcPr>
            <w:tcW w:w="826" w:type="dxa"/>
            <w:noWrap/>
            <w:vAlign w:val="bottom"/>
          </w:tcPr>
          <w:p w:rsidR="00000000" w:rsidRDefault="00000000">
            <w:pPr>
              <w:jc w:val="right"/>
              <w:rPr>
                <w:sz w:val="17"/>
                <w:szCs w:val="16"/>
              </w:rPr>
            </w:pPr>
            <w:r>
              <w:rPr>
                <w:sz w:val="17"/>
                <w:szCs w:val="16"/>
              </w:rPr>
              <w:t>140.770</w:t>
            </w:r>
          </w:p>
        </w:tc>
        <w:tc>
          <w:tcPr>
            <w:tcW w:w="826" w:type="dxa"/>
            <w:noWrap/>
            <w:vAlign w:val="bottom"/>
          </w:tcPr>
          <w:p w:rsidR="00000000" w:rsidRDefault="00000000">
            <w:pPr>
              <w:jc w:val="right"/>
              <w:rPr>
                <w:sz w:val="17"/>
                <w:szCs w:val="16"/>
              </w:rPr>
            </w:pPr>
            <w:r>
              <w:rPr>
                <w:sz w:val="17"/>
                <w:szCs w:val="16"/>
              </w:rPr>
              <w:t>141.625</w:t>
            </w:r>
          </w:p>
        </w:tc>
        <w:tc>
          <w:tcPr>
            <w:tcW w:w="826" w:type="dxa"/>
            <w:noWrap/>
            <w:vAlign w:val="bottom"/>
          </w:tcPr>
          <w:p w:rsidR="00000000" w:rsidRDefault="00000000">
            <w:pPr>
              <w:jc w:val="right"/>
              <w:rPr>
                <w:sz w:val="17"/>
                <w:szCs w:val="16"/>
              </w:rPr>
            </w:pPr>
            <w:r>
              <w:rPr>
                <w:sz w:val="17"/>
                <w:szCs w:val="16"/>
              </w:rPr>
              <w:t>142.438</w:t>
            </w:r>
          </w:p>
        </w:tc>
        <w:tc>
          <w:tcPr>
            <w:tcW w:w="839" w:type="dxa"/>
            <w:noWrap/>
            <w:vAlign w:val="bottom"/>
          </w:tcPr>
          <w:p w:rsidR="00000000" w:rsidRDefault="00000000">
            <w:pPr>
              <w:jc w:val="right"/>
              <w:rPr>
                <w:sz w:val="17"/>
                <w:szCs w:val="16"/>
              </w:rPr>
            </w:pPr>
            <w:r>
              <w:rPr>
                <w:sz w:val="17"/>
                <w:szCs w:val="16"/>
              </w:rPr>
              <w:t>143.198</w:t>
            </w:r>
          </w:p>
        </w:tc>
        <w:tc>
          <w:tcPr>
            <w:tcW w:w="840" w:type="dxa"/>
            <w:noWrap/>
            <w:vAlign w:val="bottom"/>
          </w:tcPr>
          <w:p w:rsidR="00000000" w:rsidRDefault="00000000">
            <w:pPr>
              <w:jc w:val="right"/>
              <w:rPr>
                <w:sz w:val="17"/>
                <w:szCs w:val="16"/>
              </w:rPr>
            </w:pPr>
            <w:r>
              <w:rPr>
                <w:sz w:val="17"/>
                <w:szCs w:val="16"/>
              </w:rPr>
              <w:t>143.897</w:t>
            </w:r>
          </w:p>
        </w:tc>
        <w:tc>
          <w:tcPr>
            <w:tcW w:w="826" w:type="dxa"/>
            <w:noWrap/>
            <w:vAlign w:val="bottom"/>
          </w:tcPr>
          <w:p w:rsidR="00000000" w:rsidRDefault="00000000">
            <w:pPr>
              <w:jc w:val="right"/>
              <w:rPr>
                <w:sz w:val="17"/>
                <w:szCs w:val="16"/>
              </w:rPr>
            </w:pPr>
            <w:r>
              <w:rPr>
                <w:sz w:val="17"/>
                <w:szCs w:val="16"/>
              </w:rPr>
              <w:t>144.532</w:t>
            </w:r>
          </w:p>
        </w:tc>
      </w:tr>
      <w:tr w:rsidR="00000000">
        <w:trPr>
          <w:trHeight w:val="20"/>
          <w:jc w:val="center"/>
        </w:trPr>
        <w:tc>
          <w:tcPr>
            <w:tcW w:w="2562" w:type="dxa"/>
            <w:noWrap/>
            <w:vAlign w:val="bottom"/>
          </w:tcPr>
          <w:p w:rsidR="00000000" w:rsidRDefault="00000000">
            <w:pPr>
              <w:rPr>
                <w:sz w:val="17"/>
                <w:szCs w:val="16"/>
              </w:rPr>
            </w:pPr>
            <w:r>
              <w:rPr>
                <w:sz w:val="17"/>
                <w:szCs w:val="16"/>
              </w:rPr>
              <w:t>De 5 a 11 años</w:t>
            </w:r>
          </w:p>
        </w:tc>
        <w:tc>
          <w:tcPr>
            <w:tcW w:w="840" w:type="dxa"/>
            <w:noWrap/>
            <w:vAlign w:val="bottom"/>
          </w:tcPr>
          <w:p w:rsidR="00000000" w:rsidRDefault="00000000">
            <w:pPr>
              <w:jc w:val="right"/>
              <w:rPr>
                <w:sz w:val="17"/>
                <w:szCs w:val="16"/>
              </w:rPr>
            </w:pPr>
            <w:r>
              <w:rPr>
                <w:sz w:val="17"/>
                <w:szCs w:val="16"/>
              </w:rPr>
              <w:t>643.170</w:t>
            </w:r>
          </w:p>
        </w:tc>
        <w:tc>
          <w:tcPr>
            <w:tcW w:w="840" w:type="dxa"/>
            <w:noWrap/>
            <w:vAlign w:val="bottom"/>
          </w:tcPr>
          <w:p w:rsidR="00000000" w:rsidRDefault="00000000">
            <w:pPr>
              <w:jc w:val="right"/>
              <w:rPr>
                <w:sz w:val="17"/>
                <w:szCs w:val="16"/>
              </w:rPr>
            </w:pPr>
            <w:r>
              <w:rPr>
                <w:sz w:val="17"/>
                <w:szCs w:val="16"/>
              </w:rPr>
              <w:t>651.372</w:t>
            </w:r>
          </w:p>
        </w:tc>
        <w:tc>
          <w:tcPr>
            <w:tcW w:w="826" w:type="dxa"/>
            <w:noWrap/>
            <w:vAlign w:val="bottom"/>
          </w:tcPr>
          <w:p w:rsidR="00000000" w:rsidRDefault="00000000">
            <w:pPr>
              <w:jc w:val="right"/>
              <w:rPr>
                <w:sz w:val="17"/>
                <w:szCs w:val="16"/>
              </w:rPr>
            </w:pPr>
            <w:r>
              <w:rPr>
                <w:sz w:val="17"/>
                <w:szCs w:val="16"/>
              </w:rPr>
              <w:t>659.086</w:t>
            </w:r>
          </w:p>
        </w:tc>
        <w:tc>
          <w:tcPr>
            <w:tcW w:w="853" w:type="dxa"/>
            <w:noWrap/>
            <w:vAlign w:val="bottom"/>
          </w:tcPr>
          <w:p w:rsidR="00000000" w:rsidRDefault="00000000">
            <w:pPr>
              <w:jc w:val="right"/>
              <w:rPr>
                <w:sz w:val="17"/>
                <w:szCs w:val="16"/>
              </w:rPr>
            </w:pPr>
            <w:r>
              <w:rPr>
                <w:sz w:val="17"/>
                <w:szCs w:val="16"/>
              </w:rPr>
              <w:t>665.886</w:t>
            </w:r>
          </w:p>
        </w:tc>
        <w:tc>
          <w:tcPr>
            <w:tcW w:w="840" w:type="dxa"/>
            <w:noWrap/>
            <w:vAlign w:val="bottom"/>
          </w:tcPr>
          <w:p w:rsidR="00000000" w:rsidRDefault="00000000">
            <w:pPr>
              <w:jc w:val="right"/>
              <w:rPr>
                <w:sz w:val="17"/>
                <w:szCs w:val="16"/>
              </w:rPr>
            </w:pPr>
            <w:r>
              <w:rPr>
                <w:sz w:val="17"/>
                <w:szCs w:val="16"/>
              </w:rPr>
              <w:t>672.012</w:t>
            </w:r>
          </w:p>
        </w:tc>
        <w:tc>
          <w:tcPr>
            <w:tcW w:w="840" w:type="dxa"/>
            <w:noWrap/>
            <w:vAlign w:val="bottom"/>
          </w:tcPr>
          <w:p w:rsidR="00000000" w:rsidRDefault="00000000">
            <w:pPr>
              <w:jc w:val="right"/>
              <w:rPr>
                <w:sz w:val="17"/>
                <w:szCs w:val="16"/>
              </w:rPr>
            </w:pPr>
            <w:r>
              <w:rPr>
                <w:sz w:val="17"/>
                <w:szCs w:val="16"/>
              </w:rPr>
              <w:t>677.704</w:t>
            </w:r>
          </w:p>
        </w:tc>
        <w:tc>
          <w:tcPr>
            <w:tcW w:w="854" w:type="dxa"/>
            <w:noWrap/>
            <w:vAlign w:val="bottom"/>
          </w:tcPr>
          <w:p w:rsidR="00000000" w:rsidRDefault="00000000">
            <w:pPr>
              <w:jc w:val="right"/>
              <w:rPr>
                <w:sz w:val="17"/>
                <w:szCs w:val="16"/>
              </w:rPr>
            </w:pPr>
            <w:r>
              <w:rPr>
                <w:sz w:val="17"/>
                <w:szCs w:val="16"/>
              </w:rPr>
              <w:t>683.201</w:t>
            </w:r>
          </w:p>
        </w:tc>
        <w:tc>
          <w:tcPr>
            <w:tcW w:w="826" w:type="dxa"/>
            <w:noWrap/>
            <w:vAlign w:val="bottom"/>
          </w:tcPr>
          <w:p w:rsidR="00000000" w:rsidRDefault="00000000">
            <w:pPr>
              <w:jc w:val="right"/>
              <w:rPr>
                <w:sz w:val="17"/>
                <w:szCs w:val="16"/>
              </w:rPr>
            </w:pPr>
            <w:r>
              <w:rPr>
                <w:sz w:val="17"/>
                <w:szCs w:val="16"/>
              </w:rPr>
              <w:t>688.441</w:t>
            </w:r>
          </w:p>
        </w:tc>
        <w:tc>
          <w:tcPr>
            <w:tcW w:w="826" w:type="dxa"/>
            <w:noWrap/>
            <w:vAlign w:val="bottom"/>
          </w:tcPr>
          <w:p w:rsidR="00000000" w:rsidRDefault="00000000">
            <w:pPr>
              <w:jc w:val="right"/>
              <w:rPr>
                <w:sz w:val="17"/>
                <w:szCs w:val="16"/>
              </w:rPr>
            </w:pPr>
            <w:r>
              <w:rPr>
                <w:sz w:val="17"/>
                <w:szCs w:val="16"/>
              </w:rPr>
              <w:t>693.265</w:t>
            </w:r>
          </w:p>
        </w:tc>
        <w:tc>
          <w:tcPr>
            <w:tcW w:w="826" w:type="dxa"/>
            <w:noWrap/>
            <w:vAlign w:val="bottom"/>
          </w:tcPr>
          <w:p w:rsidR="00000000" w:rsidRDefault="00000000">
            <w:pPr>
              <w:jc w:val="right"/>
              <w:rPr>
                <w:sz w:val="17"/>
                <w:szCs w:val="16"/>
              </w:rPr>
            </w:pPr>
            <w:r>
              <w:rPr>
                <w:sz w:val="17"/>
                <w:szCs w:val="16"/>
              </w:rPr>
              <w:t>697.765</w:t>
            </w:r>
          </w:p>
        </w:tc>
        <w:tc>
          <w:tcPr>
            <w:tcW w:w="839" w:type="dxa"/>
            <w:noWrap/>
            <w:vAlign w:val="bottom"/>
          </w:tcPr>
          <w:p w:rsidR="00000000" w:rsidRDefault="00000000">
            <w:pPr>
              <w:jc w:val="right"/>
              <w:rPr>
                <w:sz w:val="17"/>
                <w:szCs w:val="16"/>
              </w:rPr>
            </w:pPr>
            <w:r>
              <w:rPr>
                <w:sz w:val="17"/>
                <w:szCs w:val="16"/>
              </w:rPr>
              <w:t>702.037</w:t>
            </w:r>
          </w:p>
        </w:tc>
        <w:tc>
          <w:tcPr>
            <w:tcW w:w="840" w:type="dxa"/>
            <w:noWrap/>
            <w:vAlign w:val="bottom"/>
          </w:tcPr>
          <w:p w:rsidR="00000000" w:rsidRDefault="00000000">
            <w:pPr>
              <w:jc w:val="right"/>
              <w:rPr>
                <w:sz w:val="17"/>
                <w:szCs w:val="16"/>
              </w:rPr>
            </w:pPr>
            <w:r>
              <w:rPr>
                <w:sz w:val="17"/>
                <w:szCs w:val="16"/>
              </w:rPr>
              <w:t>706.173</w:t>
            </w:r>
          </w:p>
        </w:tc>
        <w:tc>
          <w:tcPr>
            <w:tcW w:w="826" w:type="dxa"/>
            <w:noWrap/>
            <w:vAlign w:val="bottom"/>
          </w:tcPr>
          <w:p w:rsidR="00000000" w:rsidRDefault="00000000">
            <w:pPr>
              <w:jc w:val="right"/>
              <w:rPr>
                <w:sz w:val="17"/>
                <w:szCs w:val="16"/>
              </w:rPr>
            </w:pPr>
            <w:r>
              <w:rPr>
                <w:sz w:val="17"/>
                <w:szCs w:val="16"/>
              </w:rPr>
              <w:t>710.225</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5 años</w:t>
            </w:r>
          </w:p>
        </w:tc>
        <w:tc>
          <w:tcPr>
            <w:tcW w:w="840" w:type="dxa"/>
            <w:noWrap/>
            <w:vAlign w:val="bottom"/>
          </w:tcPr>
          <w:p w:rsidR="00000000" w:rsidRDefault="00000000">
            <w:pPr>
              <w:jc w:val="right"/>
              <w:rPr>
                <w:sz w:val="17"/>
                <w:szCs w:val="16"/>
              </w:rPr>
            </w:pPr>
            <w:r>
              <w:rPr>
                <w:sz w:val="17"/>
                <w:szCs w:val="16"/>
              </w:rPr>
              <w:t>132.282</w:t>
            </w:r>
          </w:p>
        </w:tc>
        <w:tc>
          <w:tcPr>
            <w:tcW w:w="840" w:type="dxa"/>
            <w:noWrap/>
            <w:vAlign w:val="bottom"/>
          </w:tcPr>
          <w:p w:rsidR="00000000" w:rsidRDefault="00000000">
            <w:pPr>
              <w:jc w:val="right"/>
              <w:rPr>
                <w:sz w:val="17"/>
                <w:szCs w:val="16"/>
              </w:rPr>
            </w:pPr>
            <w:r>
              <w:rPr>
                <w:sz w:val="17"/>
                <w:szCs w:val="16"/>
              </w:rPr>
              <w:t>133.290</w:t>
            </w:r>
          </w:p>
        </w:tc>
        <w:tc>
          <w:tcPr>
            <w:tcW w:w="826" w:type="dxa"/>
            <w:noWrap/>
            <w:vAlign w:val="bottom"/>
          </w:tcPr>
          <w:p w:rsidR="00000000" w:rsidRDefault="00000000">
            <w:pPr>
              <w:jc w:val="right"/>
              <w:rPr>
                <w:sz w:val="17"/>
                <w:szCs w:val="16"/>
              </w:rPr>
            </w:pPr>
            <w:r>
              <w:rPr>
                <w:sz w:val="17"/>
                <w:szCs w:val="16"/>
              </w:rPr>
              <w:t>134.474</w:t>
            </w:r>
          </w:p>
        </w:tc>
        <w:tc>
          <w:tcPr>
            <w:tcW w:w="853" w:type="dxa"/>
            <w:noWrap/>
            <w:vAlign w:val="bottom"/>
          </w:tcPr>
          <w:p w:rsidR="00000000" w:rsidRDefault="00000000">
            <w:pPr>
              <w:jc w:val="right"/>
              <w:rPr>
                <w:sz w:val="17"/>
                <w:szCs w:val="16"/>
              </w:rPr>
            </w:pPr>
            <w:r>
              <w:rPr>
                <w:sz w:val="17"/>
                <w:szCs w:val="16"/>
              </w:rPr>
              <w:t>135.644</w:t>
            </w:r>
          </w:p>
        </w:tc>
        <w:tc>
          <w:tcPr>
            <w:tcW w:w="840" w:type="dxa"/>
            <w:noWrap/>
            <w:vAlign w:val="bottom"/>
          </w:tcPr>
          <w:p w:rsidR="00000000" w:rsidRDefault="00000000">
            <w:pPr>
              <w:jc w:val="right"/>
              <w:rPr>
                <w:sz w:val="17"/>
                <w:szCs w:val="16"/>
              </w:rPr>
            </w:pPr>
            <w:r>
              <w:rPr>
                <w:sz w:val="17"/>
                <w:szCs w:val="16"/>
              </w:rPr>
              <w:t>136.783</w:t>
            </w:r>
          </w:p>
        </w:tc>
        <w:tc>
          <w:tcPr>
            <w:tcW w:w="840" w:type="dxa"/>
            <w:noWrap/>
            <w:vAlign w:val="bottom"/>
          </w:tcPr>
          <w:p w:rsidR="00000000" w:rsidRDefault="00000000">
            <w:pPr>
              <w:jc w:val="right"/>
              <w:rPr>
                <w:sz w:val="17"/>
                <w:szCs w:val="16"/>
              </w:rPr>
            </w:pPr>
            <w:r>
              <w:rPr>
                <w:sz w:val="17"/>
                <w:szCs w:val="16"/>
              </w:rPr>
              <w:t>137.869</w:t>
            </w:r>
          </w:p>
        </w:tc>
        <w:tc>
          <w:tcPr>
            <w:tcW w:w="854" w:type="dxa"/>
            <w:noWrap/>
            <w:vAlign w:val="bottom"/>
          </w:tcPr>
          <w:p w:rsidR="00000000" w:rsidRDefault="00000000">
            <w:pPr>
              <w:jc w:val="right"/>
              <w:rPr>
                <w:sz w:val="17"/>
                <w:szCs w:val="16"/>
              </w:rPr>
            </w:pPr>
            <w:r>
              <w:rPr>
                <w:sz w:val="17"/>
                <w:szCs w:val="16"/>
              </w:rPr>
              <w:t>138.884</w:t>
            </w:r>
          </w:p>
        </w:tc>
        <w:tc>
          <w:tcPr>
            <w:tcW w:w="826" w:type="dxa"/>
            <w:noWrap/>
            <w:vAlign w:val="bottom"/>
          </w:tcPr>
          <w:p w:rsidR="00000000" w:rsidRDefault="00000000">
            <w:pPr>
              <w:jc w:val="right"/>
              <w:rPr>
                <w:sz w:val="17"/>
                <w:szCs w:val="16"/>
              </w:rPr>
            </w:pPr>
            <w:r>
              <w:rPr>
                <w:sz w:val="17"/>
                <w:szCs w:val="16"/>
              </w:rPr>
              <w:t>139.820</w:t>
            </w:r>
          </w:p>
        </w:tc>
        <w:tc>
          <w:tcPr>
            <w:tcW w:w="826" w:type="dxa"/>
            <w:noWrap/>
            <w:vAlign w:val="bottom"/>
          </w:tcPr>
          <w:p w:rsidR="00000000" w:rsidRDefault="00000000">
            <w:pPr>
              <w:jc w:val="right"/>
              <w:rPr>
                <w:sz w:val="17"/>
                <w:szCs w:val="16"/>
              </w:rPr>
            </w:pPr>
            <w:r>
              <w:rPr>
                <w:sz w:val="17"/>
                <w:szCs w:val="16"/>
              </w:rPr>
              <w:t>140.690</w:t>
            </w:r>
          </w:p>
        </w:tc>
        <w:tc>
          <w:tcPr>
            <w:tcW w:w="826" w:type="dxa"/>
            <w:noWrap/>
            <w:vAlign w:val="bottom"/>
          </w:tcPr>
          <w:p w:rsidR="00000000" w:rsidRDefault="00000000">
            <w:pPr>
              <w:jc w:val="right"/>
              <w:rPr>
                <w:sz w:val="17"/>
                <w:szCs w:val="16"/>
              </w:rPr>
            </w:pPr>
            <w:r>
              <w:rPr>
                <w:sz w:val="17"/>
                <w:szCs w:val="16"/>
              </w:rPr>
              <w:t>141.505</w:t>
            </w:r>
          </w:p>
        </w:tc>
        <w:tc>
          <w:tcPr>
            <w:tcW w:w="839" w:type="dxa"/>
            <w:noWrap/>
            <w:vAlign w:val="bottom"/>
          </w:tcPr>
          <w:p w:rsidR="00000000" w:rsidRDefault="00000000">
            <w:pPr>
              <w:jc w:val="right"/>
              <w:rPr>
                <w:sz w:val="17"/>
                <w:szCs w:val="16"/>
              </w:rPr>
            </w:pPr>
            <w:r>
              <w:rPr>
                <w:sz w:val="17"/>
                <w:szCs w:val="16"/>
              </w:rPr>
              <w:t>142.277</w:t>
            </w:r>
          </w:p>
        </w:tc>
        <w:tc>
          <w:tcPr>
            <w:tcW w:w="840" w:type="dxa"/>
            <w:noWrap/>
            <w:vAlign w:val="bottom"/>
          </w:tcPr>
          <w:p w:rsidR="00000000" w:rsidRDefault="00000000">
            <w:pPr>
              <w:jc w:val="right"/>
              <w:rPr>
                <w:sz w:val="17"/>
                <w:szCs w:val="16"/>
              </w:rPr>
            </w:pPr>
            <w:r>
              <w:rPr>
                <w:sz w:val="17"/>
                <w:szCs w:val="16"/>
              </w:rPr>
              <w:t>143.017</w:t>
            </w:r>
          </w:p>
        </w:tc>
        <w:tc>
          <w:tcPr>
            <w:tcW w:w="826" w:type="dxa"/>
            <w:noWrap/>
            <w:vAlign w:val="bottom"/>
          </w:tcPr>
          <w:p w:rsidR="00000000" w:rsidRDefault="00000000">
            <w:pPr>
              <w:jc w:val="right"/>
              <w:rPr>
                <w:sz w:val="17"/>
                <w:szCs w:val="16"/>
              </w:rPr>
            </w:pPr>
            <w:r>
              <w:rPr>
                <w:sz w:val="17"/>
                <w:szCs w:val="16"/>
              </w:rPr>
              <w:t>143.737</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6 años</w:t>
            </w:r>
          </w:p>
        </w:tc>
        <w:tc>
          <w:tcPr>
            <w:tcW w:w="840" w:type="dxa"/>
            <w:noWrap/>
            <w:vAlign w:val="bottom"/>
          </w:tcPr>
          <w:p w:rsidR="00000000" w:rsidRDefault="00000000">
            <w:pPr>
              <w:jc w:val="right"/>
              <w:rPr>
                <w:sz w:val="17"/>
                <w:szCs w:val="16"/>
              </w:rPr>
            </w:pPr>
            <w:r>
              <w:rPr>
                <w:sz w:val="17"/>
                <w:szCs w:val="16"/>
              </w:rPr>
              <w:t>130.617</w:t>
            </w:r>
          </w:p>
        </w:tc>
        <w:tc>
          <w:tcPr>
            <w:tcW w:w="840" w:type="dxa"/>
            <w:noWrap/>
            <w:vAlign w:val="bottom"/>
          </w:tcPr>
          <w:p w:rsidR="00000000" w:rsidRDefault="00000000">
            <w:pPr>
              <w:jc w:val="right"/>
              <w:rPr>
                <w:sz w:val="17"/>
                <w:szCs w:val="16"/>
              </w:rPr>
            </w:pPr>
            <w:r>
              <w:rPr>
                <w:sz w:val="17"/>
                <w:szCs w:val="16"/>
              </w:rPr>
              <w:t>131.883</w:t>
            </w:r>
          </w:p>
        </w:tc>
        <w:tc>
          <w:tcPr>
            <w:tcW w:w="826" w:type="dxa"/>
            <w:noWrap/>
            <w:vAlign w:val="bottom"/>
          </w:tcPr>
          <w:p w:rsidR="00000000" w:rsidRDefault="00000000">
            <w:pPr>
              <w:jc w:val="right"/>
              <w:rPr>
                <w:sz w:val="17"/>
                <w:szCs w:val="16"/>
              </w:rPr>
            </w:pPr>
            <w:r>
              <w:rPr>
                <w:sz w:val="17"/>
                <w:szCs w:val="16"/>
              </w:rPr>
              <w:t>133.219</w:t>
            </w:r>
          </w:p>
        </w:tc>
        <w:tc>
          <w:tcPr>
            <w:tcW w:w="853" w:type="dxa"/>
            <w:noWrap/>
            <w:vAlign w:val="bottom"/>
          </w:tcPr>
          <w:p w:rsidR="00000000" w:rsidRDefault="00000000">
            <w:pPr>
              <w:jc w:val="right"/>
              <w:rPr>
                <w:sz w:val="17"/>
                <w:szCs w:val="16"/>
              </w:rPr>
            </w:pPr>
            <w:r>
              <w:rPr>
                <w:sz w:val="17"/>
                <w:szCs w:val="16"/>
              </w:rPr>
              <w:t>134.471</w:t>
            </w:r>
          </w:p>
        </w:tc>
        <w:tc>
          <w:tcPr>
            <w:tcW w:w="840" w:type="dxa"/>
            <w:noWrap/>
            <w:vAlign w:val="bottom"/>
          </w:tcPr>
          <w:p w:rsidR="00000000" w:rsidRDefault="00000000">
            <w:pPr>
              <w:jc w:val="right"/>
              <w:rPr>
                <w:sz w:val="17"/>
                <w:szCs w:val="16"/>
              </w:rPr>
            </w:pPr>
            <w:r>
              <w:rPr>
                <w:sz w:val="17"/>
                <w:szCs w:val="16"/>
              </w:rPr>
              <w:t>135.647</w:t>
            </w:r>
          </w:p>
        </w:tc>
        <w:tc>
          <w:tcPr>
            <w:tcW w:w="840" w:type="dxa"/>
            <w:noWrap/>
            <w:vAlign w:val="bottom"/>
          </w:tcPr>
          <w:p w:rsidR="00000000" w:rsidRDefault="00000000">
            <w:pPr>
              <w:jc w:val="right"/>
              <w:rPr>
                <w:sz w:val="17"/>
                <w:szCs w:val="16"/>
              </w:rPr>
            </w:pPr>
            <w:r>
              <w:rPr>
                <w:sz w:val="17"/>
                <w:szCs w:val="16"/>
              </w:rPr>
              <w:t>136.757</w:t>
            </w:r>
          </w:p>
        </w:tc>
        <w:tc>
          <w:tcPr>
            <w:tcW w:w="854" w:type="dxa"/>
            <w:noWrap/>
            <w:vAlign w:val="bottom"/>
          </w:tcPr>
          <w:p w:rsidR="00000000" w:rsidRDefault="00000000">
            <w:pPr>
              <w:jc w:val="right"/>
              <w:rPr>
                <w:sz w:val="17"/>
                <w:szCs w:val="16"/>
              </w:rPr>
            </w:pPr>
            <w:r>
              <w:rPr>
                <w:sz w:val="17"/>
                <w:szCs w:val="16"/>
              </w:rPr>
              <w:t>137.809</w:t>
            </w:r>
          </w:p>
        </w:tc>
        <w:tc>
          <w:tcPr>
            <w:tcW w:w="826" w:type="dxa"/>
            <w:noWrap/>
            <w:vAlign w:val="bottom"/>
          </w:tcPr>
          <w:p w:rsidR="00000000" w:rsidRDefault="00000000">
            <w:pPr>
              <w:jc w:val="right"/>
              <w:rPr>
                <w:sz w:val="17"/>
                <w:szCs w:val="16"/>
              </w:rPr>
            </w:pPr>
            <w:r>
              <w:rPr>
                <w:sz w:val="17"/>
                <w:szCs w:val="16"/>
              </w:rPr>
              <w:t>138.793</w:t>
            </w:r>
          </w:p>
        </w:tc>
        <w:tc>
          <w:tcPr>
            <w:tcW w:w="826" w:type="dxa"/>
            <w:noWrap/>
            <w:vAlign w:val="bottom"/>
          </w:tcPr>
          <w:p w:rsidR="00000000" w:rsidRDefault="00000000">
            <w:pPr>
              <w:jc w:val="right"/>
              <w:rPr>
                <w:sz w:val="17"/>
                <w:szCs w:val="16"/>
              </w:rPr>
            </w:pPr>
            <w:r>
              <w:rPr>
                <w:sz w:val="17"/>
                <w:szCs w:val="16"/>
              </w:rPr>
              <w:t>139.703</w:t>
            </w:r>
          </w:p>
        </w:tc>
        <w:tc>
          <w:tcPr>
            <w:tcW w:w="826" w:type="dxa"/>
            <w:noWrap/>
            <w:vAlign w:val="bottom"/>
          </w:tcPr>
          <w:p w:rsidR="00000000" w:rsidRDefault="00000000">
            <w:pPr>
              <w:jc w:val="right"/>
              <w:rPr>
                <w:sz w:val="17"/>
                <w:szCs w:val="16"/>
              </w:rPr>
            </w:pPr>
            <w:r>
              <w:rPr>
                <w:sz w:val="17"/>
                <w:szCs w:val="16"/>
              </w:rPr>
              <w:t>140.555</w:t>
            </w:r>
          </w:p>
        </w:tc>
        <w:tc>
          <w:tcPr>
            <w:tcW w:w="839" w:type="dxa"/>
            <w:noWrap/>
            <w:vAlign w:val="bottom"/>
          </w:tcPr>
          <w:p w:rsidR="00000000" w:rsidRDefault="00000000">
            <w:pPr>
              <w:jc w:val="right"/>
              <w:rPr>
                <w:sz w:val="17"/>
                <w:szCs w:val="16"/>
              </w:rPr>
            </w:pPr>
            <w:r>
              <w:rPr>
                <w:sz w:val="17"/>
                <w:szCs w:val="16"/>
              </w:rPr>
              <w:t>141.364</w:t>
            </w:r>
          </w:p>
        </w:tc>
        <w:tc>
          <w:tcPr>
            <w:tcW w:w="840" w:type="dxa"/>
            <w:noWrap/>
            <w:vAlign w:val="bottom"/>
          </w:tcPr>
          <w:p w:rsidR="00000000" w:rsidRDefault="00000000">
            <w:pPr>
              <w:jc w:val="right"/>
              <w:rPr>
                <w:sz w:val="17"/>
                <w:szCs w:val="16"/>
              </w:rPr>
            </w:pPr>
            <w:r>
              <w:rPr>
                <w:sz w:val="17"/>
                <w:szCs w:val="16"/>
              </w:rPr>
              <w:t>142.146</w:t>
            </w:r>
          </w:p>
        </w:tc>
        <w:tc>
          <w:tcPr>
            <w:tcW w:w="826" w:type="dxa"/>
            <w:noWrap/>
            <w:vAlign w:val="bottom"/>
          </w:tcPr>
          <w:p w:rsidR="00000000" w:rsidRDefault="00000000">
            <w:pPr>
              <w:jc w:val="right"/>
              <w:rPr>
                <w:sz w:val="17"/>
                <w:szCs w:val="16"/>
              </w:rPr>
            </w:pPr>
            <w:r>
              <w:rPr>
                <w:sz w:val="17"/>
                <w:szCs w:val="16"/>
              </w:rPr>
              <w:t>142.915</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7 años</w:t>
            </w:r>
          </w:p>
        </w:tc>
        <w:tc>
          <w:tcPr>
            <w:tcW w:w="840" w:type="dxa"/>
            <w:noWrap/>
            <w:vAlign w:val="bottom"/>
          </w:tcPr>
          <w:p w:rsidR="00000000" w:rsidRDefault="00000000">
            <w:pPr>
              <w:jc w:val="right"/>
              <w:rPr>
                <w:sz w:val="17"/>
                <w:szCs w:val="16"/>
              </w:rPr>
            </w:pPr>
            <w:r>
              <w:rPr>
                <w:sz w:val="17"/>
                <w:szCs w:val="16"/>
              </w:rPr>
              <w:t>128.809</w:t>
            </w:r>
          </w:p>
        </w:tc>
        <w:tc>
          <w:tcPr>
            <w:tcW w:w="840" w:type="dxa"/>
            <w:noWrap/>
            <w:vAlign w:val="bottom"/>
          </w:tcPr>
          <w:p w:rsidR="00000000" w:rsidRDefault="00000000">
            <w:pPr>
              <w:jc w:val="right"/>
              <w:rPr>
                <w:sz w:val="17"/>
                <w:szCs w:val="16"/>
              </w:rPr>
            </w:pPr>
            <w:r>
              <w:rPr>
                <w:sz w:val="17"/>
                <w:szCs w:val="16"/>
              </w:rPr>
              <w:t>130.403</w:t>
            </w:r>
          </w:p>
        </w:tc>
        <w:tc>
          <w:tcPr>
            <w:tcW w:w="826" w:type="dxa"/>
            <w:noWrap/>
            <w:vAlign w:val="bottom"/>
          </w:tcPr>
          <w:p w:rsidR="00000000" w:rsidRDefault="00000000">
            <w:pPr>
              <w:jc w:val="right"/>
              <w:rPr>
                <w:sz w:val="17"/>
                <w:szCs w:val="16"/>
              </w:rPr>
            </w:pPr>
            <w:r>
              <w:rPr>
                <w:sz w:val="17"/>
                <w:szCs w:val="16"/>
              </w:rPr>
              <w:t>131.921</w:t>
            </w:r>
          </w:p>
        </w:tc>
        <w:tc>
          <w:tcPr>
            <w:tcW w:w="853" w:type="dxa"/>
            <w:noWrap/>
            <w:vAlign w:val="bottom"/>
          </w:tcPr>
          <w:p w:rsidR="00000000" w:rsidRDefault="00000000">
            <w:pPr>
              <w:jc w:val="right"/>
              <w:rPr>
                <w:sz w:val="17"/>
                <w:szCs w:val="16"/>
              </w:rPr>
            </w:pPr>
            <w:r>
              <w:rPr>
                <w:sz w:val="17"/>
                <w:szCs w:val="16"/>
              </w:rPr>
              <w:t>133.265</w:t>
            </w:r>
          </w:p>
        </w:tc>
        <w:tc>
          <w:tcPr>
            <w:tcW w:w="840" w:type="dxa"/>
            <w:noWrap/>
            <w:vAlign w:val="bottom"/>
          </w:tcPr>
          <w:p w:rsidR="00000000" w:rsidRDefault="00000000">
            <w:pPr>
              <w:jc w:val="right"/>
              <w:rPr>
                <w:sz w:val="17"/>
                <w:szCs w:val="16"/>
              </w:rPr>
            </w:pPr>
            <w:r>
              <w:rPr>
                <w:sz w:val="17"/>
                <w:szCs w:val="16"/>
              </w:rPr>
              <w:t>134.478</w:t>
            </w:r>
          </w:p>
        </w:tc>
        <w:tc>
          <w:tcPr>
            <w:tcW w:w="840" w:type="dxa"/>
            <w:noWrap/>
            <w:vAlign w:val="bottom"/>
          </w:tcPr>
          <w:p w:rsidR="00000000" w:rsidRDefault="00000000">
            <w:pPr>
              <w:jc w:val="right"/>
              <w:rPr>
                <w:sz w:val="17"/>
                <w:szCs w:val="16"/>
              </w:rPr>
            </w:pPr>
            <w:r>
              <w:rPr>
                <w:sz w:val="17"/>
                <w:szCs w:val="16"/>
              </w:rPr>
              <w:t>135.608</w:t>
            </w:r>
          </w:p>
        </w:tc>
        <w:tc>
          <w:tcPr>
            <w:tcW w:w="854" w:type="dxa"/>
            <w:noWrap/>
            <w:vAlign w:val="bottom"/>
          </w:tcPr>
          <w:p w:rsidR="00000000" w:rsidRDefault="00000000">
            <w:pPr>
              <w:jc w:val="right"/>
              <w:rPr>
                <w:sz w:val="17"/>
                <w:szCs w:val="16"/>
              </w:rPr>
            </w:pPr>
            <w:r>
              <w:rPr>
                <w:sz w:val="17"/>
                <w:szCs w:val="16"/>
              </w:rPr>
              <w:t>136.698</w:t>
            </w:r>
          </w:p>
        </w:tc>
        <w:tc>
          <w:tcPr>
            <w:tcW w:w="826" w:type="dxa"/>
            <w:noWrap/>
            <w:vAlign w:val="bottom"/>
          </w:tcPr>
          <w:p w:rsidR="00000000" w:rsidRDefault="00000000">
            <w:pPr>
              <w:jc w:val="right"/>
              <w:rPr>
                <w:sz w:val="17"/>
                <w:szCs w:val="16"/>
              </w:rPr>
            </w:pPr>
            <w:r>
              <w:rPr>
                <w:sz w:val="17"/>
                <w:szCs w:val="16"/>
              </w:rPr>
              <w:t>137.736</w:t>
            </w:r>
          </w:p>
        </w:tc>
        <w:tc>
          <w:tcPr>
            <w:tcW w:w="826" w:type="dxa"/>
            <w:noWrap/>
            <w:vAlign w:val="bottom"/>
          </w:tcPr>
          <w:p w:rsidR="00000000" w:rsidRDefault="00000000">
            <w:pPr>
              <w:jc w:val="right"/>
              <w:rPr>
                <w:sz w:val="17"/>
                <w:szCs w:val="16"/>
              </w:rPr>
            </w:pPr>
            <w:r>
              <w:rPr>
                <w:sz w:val="17"/>
                <w:szCs w:val="16"/>
              </w:rPr>
              <w:t>138.693</w:t>
            </w:r>
          </w:p>
        </w:tc>
        <w:tc>
          <w:tcPr>
            <w:tcW w:w="826" w:type="dxa"/>
            <w:noWrap/>
            <w:vAlign w:val="bottom"/>
          </w:tcPr>
          <w:p w:rsidR="00000000" w:rsidRDefault="00000000">
            <w:pPr>
              <w:jc w:val="right"/>
              <w:rPr>
                <w:sz w:val="17"/>
                <w:szCs w:val="16"/>
              </w:rPr>
            </w:pPr>
            <w:r>
              <w:rPr>
                <w:sz w:val="17"/>
                <w:szCs w:val="16"/>
              </w:rPr>
              <w:t>139.586</w:t>
            </w:r>
          </w:p>
        </w:tc>
        <w:tc>
          <w:tcPr>
            <w:tcW w:w="839" w:type="dxa"/>
            <w:noWrap/>
            <w:vAlign w:val="bottom"/>
          </w:tcPr>
          <w:p w:rsidR="00000000" w:rsidRDefault="00000000">
            <w:pPr>
              <w:jc w:val="right"/>
              <w:rPr>
                <w:sz w:val="17"/>
                <w:szCs w:val="16"/>
              </w:rPr>
            </w:pPr>
            <w:r>
              <w:rPr>
                <w:sz w:val="17"/>
                <w:szCs w:val="16"/>
              </w:rPr>
              <w:t>140.436</w:t>
            </w:r>
          </w:p>
        </w:tc>
        <w:tc>
          <w:tcPr>
            <w:tcW w:w="840" w:type="dxa"/>
            <w:noWrap/>
            <w:vAlign w:val="bottom"/>
          </w:tcPr>
          <w:p w:rsidR="00000000" w:rsidRDefault="00000000">
            <w:pPr>
              <w:jc w:val="right"/>
              <w:rPr>
                <w:sz w:val="17"/>
                <w:szCs w:val="16"/>
              </w:rPr>
            </w:pPr>
            <w:r>
              <w:rPr>
                <w:sz w:val="17"/>
                <w:szCs w:val="16"/>
              </w:rPr>
              <w:t>141.262</w:t>
            </w:r>
          </w:p>
        </w:tc>
        <w:tc>
          <w:tcPr>
            <w:tcW w:w="826" w:type="dxa"/>
            <w:noWrap/>
            <w:vAlign w:val="bottom"/>
          </w:tcPr>
          <w:p w:rsidR="00000000" w:rsidRDefault="00000000">
            <w:pPr>
              <w:jc w:val="right"/>
              <w:rPr>
                <w:sz w:val="17"/>
                <w:szCs w:val="16"/>
              </w:rPr>
            </w:pPr>
            <w:r>
              <w:rPr>
                <w:sz w:val="17"/>
                <w:szCs w:val="16"/>
              </w:rPr>
              <w:t>142.075</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8 años</w:t>
            </w:r>
          </w:p>
        </w:tc>
        <w:tc>
          <w:tcPr>
            <w:tcW w:w="840" w:type="dxa"/>
            <w:noWrap/>
            <w:vAlign w:val="bottom"/>
          </w:tcPr>
          <w:p w:rsidR="00000000" w:rsidRDefault="00000000">
            <w:pPr>
              <w:jc w:val="right"/>
              <w:rPr>
                <w:sz w:val="17"/>
                <w:szCs w:val="16"/>
              </w:rPr>
            </w:pPr>
            <w:r>
              <w:rPr>
                <w:sz w:val="17"/>
                <w:szCs w:val="16"/>
              </w:rPr>
              <w:t>126.826</w:t>
            </w:r>
          </w:p>
        </w:tc>
        <w:tc>
          <w:tcPr>
            <w:tcW w:w="840" w:type="dxa"/>
            <w:noWrap/>
            <w:vAlign w:val="bottom"/>
          </w:tcPr>
          <w:p w:rsidR="00000000" w:rsidRDefault="00000000">
            <w:pPr>
              <w:jc w:val="right"/>
              <w:rPr>
                <w:sz w:val="17"/>
                <w:szCs w:val="16"/>
              </w:rPr>
            </w:pPr>
            <w:r>
              <w:rPr>
                <w:sz w:val="17"/>
                <w:szCs w:val="16"/>
              </w:rPr>
              <w:t>128.794</w:t>
            </w:r>
          </w:p>
        </w:tc>
        <w:tc>
          <w:tcPr>
            <w:tcW w:w="826" w:type="dxa"/>
            <w:noWrap/>
            <w:vAlign w:val="bottom"/>
          </w:tcPr>
          <w:p w:rsidR="00000000" w:rsidRDefault="00000000">
            <w:pPr>
              <w:jc w:val="right"/>
              <w:rPr>
                <w:sz w:val="17"/>
                <w:szCs w:val="16"/>
              </w:rPr>
            </w:pPr>
            <w:r>
              <w:rPr>
                <w:sz w:val="17"/>
                <w:szCs w:val="16"/>
              </w:rPr>
              <w:t>130.519</w:t>
            </w:r>
          </w:p>
        </w:tc>
        <w:tc>
          <w:tcPr>
            <w:tcW w:w="853" w:type="dxa"/>
            <w:noWrap/>
            <w:vAlign w:val="bottom"/>
          </w:tcPr>
          <w:p w:rsidR="00000000" w:rsidRDefault="00000000">
            <w:pPr>
              <w:jc w:val="right"/>
              <w:rPr>
                <w:sz w:val="17"/>
                <w:szCs w:val="16"/>
              </w:rPr>
            </w:pPr>
            <w:r>
              <w:rPr>
                <w:sz w:val="17"/>
                <w:szCs w:val="16"/>
              </w:rPr>
              <w:t>131.971</w:t>
            </w:r>
          </w:p>
        </w:tc>
        <w:tc>
          <w:tcPr>
            <w:tcW w:w="840" w:type="dxa"/>
            <w:noWrap/>
            <w:vAlign w:val="bottom"/>
          </w:tcPr>
          <w:p w:rsidR="00000000" w:rsidRDefault="00000000">
            <w:pPr>
              <w:jc w:val="right"/>
              <w:rPr>
                <w:sz w:val="17"/>
                <w:szCs w:val="16"/>
              </w:rPr>
            </w:pPr>
            <w:r>
              <w:rPr>
                <w:sz w:val="17"/>
                <w:szCs w:val="16"/>
              </w:rPr>
              <w:t>133.234</w:t>
            </w:r>
          </w:p>
        </w:tc>
        <w:tc>
          <w:tcPr>
            <w:tcW w:w="840" w:type="dxa"/>
            <w:noWrap/>
            <w:vAlign w:val="bottom"/>
          </w:tcPr>
          <w:p w:rsidR="00000000" w:rsidRDefault="00000000">
            <w:pPr>
              <w:jc w:val="right"/>
              <w:rPr>
                <w:sz w:val="17"/>
                <w:szCs w:val="16"/>
              </w:rPr>
            </w:pPr>
            <w:r>
              <w:rPr>
                <w:sz w:val="17"/>
                <w:szCs w:val="16"/>
              </w:rPr>
              <w:t>134.392</w:t>
            </w:r>
          </w:p>
        </w:tc>
        <w:tc>
          <w:tcPr>
            <w:tcW w:w="854" w:type="dxa"/>
            <w:noWrap/>
            <w:vAlign w:val="bottom"/>
          </w:tcPr>
          <w:p w:rsidR="00000000" w:rsidRDefault="00000000">
            <w:pPr>
              <w:jc w:val="right"/>
              <w:rPr>
                <w:sz w:val="17"/>
                <w:szCs w:val="16"/>
              </w:rPr>
            </w:pPr>
            <w:r>
              <w:rPr>
                <w:sz w:val="17"/>
                <w:szCs w:val="16"/>
              </w:rPr>
              <w:t>135.529</w:t>
            </w:r>
          </w:p>
        </w:tc>
        <w:tc>
          <w:tcPr>
            <w:tcW w:w="826" w:type="dxa"/>
            <w:noWrap/>
            <w:vAlign w:val="bottom"/>
          </w:tcPr>
          <w:p w:rsidR="00000000" w:rsidRDefault="00000000">
            <w:pPr>
              <w:jc w:val="right"/>
              <w:rPr>
                <w:sz w:val="17"/>
                <w:szCs w:val="16"/>
              </w:rPr>
            </w:pPr>
            <w:r>
              <w:rPr>
                <w:sz w:val="17"/>
                <w:szCs w:val="16"/>
              </w:rPr>
              <w:t>136.632</w:t>
            </w:r>
          </w:p>
        </w:tc>
        <w:tc>
          <w:tcPr>
            <w:tcW w:w="826" w:type="dxa"/>
            <w:noWrap/>
            <w:vAlign w:val="bottom"/>
          </w:tcPr>
          <w:p w:rsidR="00000000" w:rsidRDefault="00000000">
            <w:pPr>
              <w:jc w:val="right"/>
              <w:rPr>
                <w:sz w:val="17"/>
                <w:szCs w:val="16"/>
              </w:rPr>
            </w:pPr>
            <w:r>
              <w:rPr>
                <w:sz w:val="17"/>
                <w:szCs w:val="16"/>
              </w:rPr>
              <w:t>137.643</w:t>
            </w:r>
          </w:p>
        </w:tc>
        <w:tc>
          <w:tcPr>
            <w:tcW w:w="826" w:type="dxa"/>
            <w:noWrap/>
            <w:vAlign w:val="bottom"/>
          </w:tcPr>
          <w:p w:rsidR="00000000" w:rsidRDefault="00000000">
            <w:pPr>
              <w:jc w:val="right"/>
              <w:rPr>
                <w:sz w:val="17"/>
                <w:szCs w:val="16"/>
              </w:rPr>
            </w:pPr>
            <w:r>
              <w:rPr>
                <w:sz w:val="17"/>
                <w:szCs w:val="16"/>
              </w:rPr>
              <w:t>138.585</w:t>
            </w:r>
          </w:p>
        </w:tc>
        <w:tc>
          <w:tcPr>
            <w:tcW w:w="839" w:type="dxa"/>
            <w:noWrap/>
            <w:vAlign w:val="bottom"/>
          </w:tcPr>
          <w:p w:rsidR="00000000" w:rsidRDefault="00000000">
            <w:pPr>
              <w:jc w:val="right"/>
              <w:rPr>
                <w:sz w:val="17"/>
                <w:szCs w:val="16"/>
              </w:rPr>
            </w:pPr>
            <w:r>
              <w:rPr>
                <w:sz w:val="17"/>
                <w:szCs w:val="16"/>
              </w:rPr>
              <w:t>139.480</w:t>
            </w:r>
          </w:p>
        </w:tc>
        <w:tc>
          <w:tcPr>
            <w:tcW w:w="840" w:type="dxa"/>
            <w:noWrap/>
            <w:vAlign w:val="bottom"/>
          </w:tcPr>
          <w:p w:rsidR="00000000" w:rsidRDefault="00000000">
            <w:pPr>
              <w:jc w:val="right"/>
              <w:rPr>
                <w:sz w:val="17"/>
                <w:szCs w:val="16"/>
              </w:rPr>
            </w:pPr>
            <w:r>
              <w:rPr>
                <w:sz w:val="17"/>
                <w:szCs w:val="16"/>
              </w:rPr>
              <w:t>140.350</w:t>
            </w:r>
          </w:p>
        </w:tc>
        <w:tc>
          <w:tcPr>
            <w:tcW w:w="826" w:type="dxa"/>
            <w:noWrap/>
            <w:vAlign w:val="bottom"/>
          </w:tcPr>
          <w:p w:rsidR="00000000" w:rsidRDefault="00000000">
            <w:pPr>
              <w:jc w:val="right"/>
              <w:rPr>
                <w:sz w:val="17"/>
                <w:szCs w:val="16"/>
              </w:rPr>
            </w:pPr>
            <w:r>
              <w:rPr>
                <w:sz w:val="17"/>
                <w:szCs w:val="16"/>
              </w:rPr>
              <w:t>141.204</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9 años</w:t>
            </w:r>
          </w:p>
        </w:tc>
        <w:tc>
          <w:tcPr>
            <w:tcW w:w="840" w:type="dxa"/>
            <w:noWrap/>
            <w:vAlign w:val="bottom"/>
          </w:tcPr>
          <w:p w:rsidR="00000000" w:rsidRDefault="00000000">
            <w:pPr>
              <w:jc w:val="right"/>
              <w:rPr>
                <w:sz w:val="17"/>
                <w:szCs w:val="16"/>
              </w:rPr>
            </w:pPr>
            <w:r>
              <w:rPr>
                <w:sz w:val="17"/>
                <w:szCs w:val="16"/>
              </w:rPr>
              <w:t>124.636</w:t>
            </w:r>
          </w:p>
        </w:tc>
        <w:tc>
          <w:tcPr>
            <w:tcW w:w="840" w:type="dxa"/>
            <w:noWrap/>
            <w:vAlign w:val="bottom"/>
          </w:tcPr>
          <w:p w:rsidR="00000000" w:rsidRDefault="00000000">
            <w:pPr>
              <w:jc w:val="right"/>
              <w:rPr>
                <w:sz w:val="17"/>
                <w:szCs w:val="16"/>
              </w:rPr>
            </w:pPr>
            <w:r>
              <w:rPr>
                <w:sz w:val="17"/>
                <w:szCs w:val="16"/>
              </w:rPr>
              <w:t>127.002</w:t>
            </w:r>
          </w:p>
        </w:tc>
        <w:tc>
          <w:tcPr>
            <w:tcW w:w="826" w:type="dxa"/>
            <w:noWrap/>
            <w:vAlign w:val="bottom"/>
          </w:tcPr>
          <w:p w:rsidR="00000000" w:rsidRDefault="00000000">
            <w:pPr>
              <w:jc w:val="right"/>
              <w:rPr>
                <w:sz w:val="17"/>
                <w:szCs w:val="16"/>
              </w:rPr>
            </w:pPr>
            <w:r>
              <w:rPr>
                <w:sz w:val="17"/>
                <w:szCs w:val="16"/>
              </w:rPr>
              <w:t>128.952</w:t>
            </w:r>
          </w:p>
        </w:tc>
        <w:tc>
          <w:tcPr>
            <w:tcW w:w="853" w:type="dxa"/>
            <w:noWrap/>
            <w:vAlign w:val="bottom"/>
          </w:tcPr>
          <w:p w:rsidR="00000000" w:rsidRDefault="00000000">
            <w:pPr>
              <w:jc w:val="right"/>
              <w:rPr>
                <w:sz w:val="17"/>
                <w:szCs w:val="16"/>
              </w:rPr>
            </w:pPr>
            <w:r>
              <w:rPr>
                <w:sz w:val="17"/>
                <w:szCs w:val="16"/>
              </w:rPr>
              <w:t>130.535</w:t>
            </w:r>
          </w:p>
        </w:tc>
        <w:tc>
          <w:tcPr>
            <w:tcW w:w="840" w:type="dxa"/>
            <w:noWrap/>
            <w:vAlign w:val="bottom"/>
          </w:tcPr>
          <w:p w:rsidR="00000000" w:rsidRDefault="00000000">
            <w:pPr>
              <w:jc w:val="right"/>
              <w:rPr>
                <w:sz w:val="17"/>
                <w:szCs w:val="16"/>
              </w:rPr>
            </w:pPr>
            <w:r>
              <w:rPr>
                <w:sz w:val="17"/>
                <w:szCs w:val="16"/>
              </w:rPr>
              <w:t>131.870</w:t>
            </w:r>
          </w:p>
        </w:tc>
        <w:tc>
          <w:tcPr>
            <w:tcW w:w="840" w:type="dxa"/>
            <w:noWrap/>
            <w:vAlign w:val="bottom"/>
          </w:tcPr>
          <w:p w:rsidR="00000000" w:rsidRDefault="00000000">
            <w:pPr>
              <w:jc w:val="right"/>
              <w:rPr>
                <w:sz w:val="17"/>
                <w:szCs w:val="16"/>
              </w:rPr>
            </w:pPr>
            <w:r>
              <w:rPr>
                <w:sz w:val="17"/>
                <w:szCs w:val="16"/>
              </w:rPr>
              <w:t>133.078</w:t>
            </w:r>
          </w:p>
        </w:tc>
        <w:tc>
          <w:tcPr>
            <w:tcW w:w="854" w:type="dxa"/>
            <w:noWrap/>
            <w:vAlign w:val="bottom"/>
          </w:tcPr>
          <w:p w:rsidR="00000000" w:rsidRDefault="00000000">
            <w:pPr>
              <w:jc w:val="right"/>
              <w:rPr>
                <w:sz w:val="17"/>
                <w:szCs w:val="16"/>
              </w:rPr>
            </w:pPr>
            <w:r>
              <w:rPr>
                <w:sz w:val="17"/>
                <w:szCs w:val="16"/>
              </w:rPr>
              <w:t>134.281</w:t>
            </w:r>
          </w:p>
        </w:tc>
        <w:tc>
          <w:tcPr>
            <w:tcW w:w="826" w:type="dxa"/>
            <w:noWrap/>
            <w:vAlign w:val="bottom"/>
          </w:tcPr>
          <w:p w:rsidR="00000000" w:rsidRDefault="00000000">
            <w:pPr>
              <w:jc w:val="right"/>
              <w:rPr>
                <w:sz w:val="17"/>
                <w:szCs w:val="16"/>
              </w:rPr>
            </w:pPr>
            <w:r>
              <w:rPr>
                <w:sz w:val="17"/>
                <w:szCs w:val="16"/>
              </w:rPr>
              <w:t>135.460</w:t>
            </w:r>
          </w:p>
        </w:tc>
        <w:tc>
          <w:tcPr>
            <w:tcW w:w="826" w:type="dxa"/>
            <w:noWrap/>
            <w:vAlign w:val="bottom"/>
          </w:tcPr>
          <w:p w:rsidR="00000000" w:rsidRDefault="00000000">
            <w:pPr>
              <w:jc w:val="right"/>
              <w:rPr>
                <w:sz w:val="17"/>
                <w:szCs w:val="16"/>
              </w:rPr>
            </w:pPr>
            <w:r>
              <w:rPr>
                <w:sz w:val="17"/>
                <w:szCs w:val="16"/>
              </w:rPr>
              <w:t>136.536</w:t>
            </w:r>
          </w:p>
        </w:tc>
        <w:tc>
          <w:tcPr>
            <w:tcW w:w="826" w:type="dxa"/>
            <w:noWrap/>
            <w:vAlign w:val="bottom"/>
          </w:tcPr>
          <w:p w:rsidR="00000000" w:rsidRDefault="00000000">
            <w:pPr>
              <w:jc w:val="right"/>
              <w:rPr>
                <w:sz w:val="17"/>
                <w:szCs w:val="16"/>
              </w:rPr>
            </w:pPr>
            <w:r>
              <w:rPr>
                <w:sz w:val="17"/>
                <w:szCs w:val="16"/>
              </w:rPr>
              <w:t>137.534</w:t>
            </w:r>
          </w:p>
        </w:tc>
        <w:tc>
          <w:tcPr>
            <w:tcW w:w="839" w:type="dxa"/>
            <w:noWrap/>
            <w:vAlign w:val="bottom"/>
          </w:tcPr>
          <w:p w:rsidR="00000000" w:rsidRDefault="00000000">
            <w:pPr>
              <w:jc w:val="right"/>
              <w:rPr>
                <w:sz w:val="17"/>
                <w:szCs w:val="16"/>
              </w:rPr>
            </w:pPr>
            <w:r>
              <w:rPr>
                <w:sz w:val="17"/>
                <w:szCs w:val="16"/>
              </w:rPr>
              <w:t>138.480</w:t>
            </w:r>
          </w:p>
        </w:tc>
        <w:tc>
          <w:tcPr>
            <w:tcW w:w="840" w:type="dxa"/>
            <w:noWrap/>
            <w:vAlign w:val="bottom"/>
          </w:tcPr>
          <w:p w:rsidR="00000000" w:rsidRDefault="00000000">
            <w:pPr>
              <w:jc w:val="right"/>
              <w:rPr>
                <w:sz w:val="17"/>
                <w:szCs w:val="16"/>
              </w:rPr>
            </w:pPr>
            <w:r>
              <w:rPr>
                <w:sz w:val="17"/>
                <w:szCs w:val="16"/>
              </w:rPr>
              <w:t>139.398</w:t>
            </w:r>
          </w:p>
        </w:tc>
        <w:tc>
          <w:tcPr>
            <w:tcW w:w="826" w:type="dxa"/>
            <w:noWrap/>
            <w:vAlign w:val="bottom"/>
          </w:tcPr>
          <w:p w:rsidR="00000000" w:rsidRDefault="00000000">
            <w:pPr>
              <w:jc w:val="right"/>
              <w:rPr>
                <w:sz w:val="17"/>
                <w:szCs w:val="16"/>
              </w:rPr>
            </w:pPr>
            <w:r>
              <w:rPr>
                <w:sz w:val="17"/>
                <w:szCs w:val="16"/>
              </w:rPr>
              <w:t>140.294</w:t>
            </w:r>
          </w:p>
        </w:tc>
      </w:tr>
      <w:tr w:rsidR="00000000">
        <w:trPr>
          <w:trHeight w:val="20"/>
          <w:jc w:val="center"/>
        </w:trPr>
        <w:tc>
          <w:tcPr>
            <w:tcW w:w="2562" w:type="dxa"/>
            <w:noWrap/>
            <w:vAlign w:val="bottom"/>
          </w:tcPr>
          <w:p w:rsidR="00000000" w:rsidRDefault="00000000">
            <w:pPr>
              <w:rPr>
                <w:sz w:val="17"/>
                <w:szCs w:val="16"/>
              </w:rPr>
            </w:pPr>
            <w:r>
              <w:rPr>
                <w:sz w:val="17"/>
                <w:szCs w:val="16"/>
              </w:rPr>
              <w:t>De 12 a 14 años</w:t>
            </w:r>
          </w:p>
        </w:tc>
        <w:tc>
          <w:tcPr>
            <w:tcW w:w="840" w:type="dxa"/>
            <w:noWrap/>
            <w:vAlign w:val="bottom"/>
          </w:tcPr>
          <w:p w:rsidR="00000000" w:rsidRDefault="00000000">
            <w:pPr>
              <w:jc w:val="right"/>
              <w:rPr>
                <w:sz w:val="17"/>
                <w:szCs w:val="16"/>
              </w:rPr>
            </w:pPr>
            <w:r>
              <w:rPr>
                <w:sz w:val="17"/>
                <w:szCs w:val="16"/>
              </w:rPr>
              <w:t>580.881</w:t>
            </w:r>
          </w:p>
        </w:tc>
        <w:tc>
          <w:tcPr>
            <w:tcW w:w="840" w:type="dxa"/>
            <w:noWrap/>
            <w:vAlign w:val="bottom"/>
          </w:tcPr>
          <w:p w:rsidR="00000000" w:rsidRDefault="00000000">
            <w:pPr>
              <w:jc w:val="right"/>
              <w:rPr>
                <w:sz w:val="17"/>
                <w:szCs w:val="16"/>
              </w:rPr>
            </w:pPr>
            <w:r>
              <w:rPr>
                <w:sz w:val="17"/>
                <w:szCs w:val="16"/>
              </w:rPr>
              <w:t>597.813</w:t>
            </w:r>
          </w:p>
        </w:tc>
        <w:tc>
          <w:tcPr>
            <w:tcW w:w="826" w:type="dxa"/>
            <w:noWrap/>
            <w:vAlign w:val="bottom"/>
          </w:tcPr>
          <w:p w:rsidR="00000000" w:rsidRDefault="00000000">
            <w:pPr>
              <w:jc w:val="right"/>
              <w:rPr>
                <w:sz w:val="17"/>
                <w:szCs w:val="16"/>
              </w:rPr>
            </w:pPr>
            <w:r>
              <w:rPr>
                <w:sz w:val="17"/>
                <w:szCs w:val="16"/>
              </w:rPr>
              <w:t>611.223</w:t>
            </w:r>
          </w:p>
        </w:tc>
        <w:tc>
          <w:tcPr>
            <w:tcW w:w="853" w:type="dxa"/>
            <w:noWrap/>
            <w:vAlign w:val="bottom"/>
          </w:tcPr>
          <w:p w:rsidR="00000000" w:rsidRDefault="00000000">
            <w:pPr>
              <w:jc w:val="right"/>
              <w:rPr>
                <w:sz w:val="17"/>
                <w:szCs w:val="16"/>
              </w:rPr>
            </w:pPr>
            <w:r>
              <w:rPr>
                <w:sz w:val="17"/>
                <w:szCs w:val="16"/>
              </w:rPr>
              <w:t>622.303</w:t>
            </w:r>
          </w:p>
        </w:tc>
        <w:tc>
          <w:tcPr>
            <w:tcW w:w="840" w:type="dxa"/>
            <w:noWrap/>
            <w:vAlign w:val="bottom"/>
          </w:tcPr>
          <w:p w:rsidR="00000000" w:rsidRDefault="00000000">
            <w:pPr>
              <w:jc w:val="right"/>
              <w:rPr>
                <w:sz w:val="17"/>
                <w:szCs w:val="16"/>
              </w:rPr>
            </w:pPr>
            <w:r>
              <w:rPr>
                <w:sz w:val="17"/>
                <w:szCs w:val="16"/>
              </w:rPr>
              <w:t>631.733</w:t>
            </w:r>
          </w:p>
        </w:tc>
        <w:tc>
          <w:tcPr>
            <w:tcW w:w="840" w:type="dxa"/>
            <w:noWrap/>
            <w:vAlign w:val="bottom"/>
          </w:tcPr>
          <w:p w:rsidR="00000000" w:rsidRDefault="00000000">
            <w:pPr>
              <w:jc w:val="right"/>
              <w:rPr>
                <w:sz w:val="17"/>
                <w:szCs w:val="16"/>
              </w:rPr>
            </w:pPr>
            <w:r>
              <w:rPr>
                <w:sz w:val="17"/>
                <w:szCs w:val="16"/>
              </w:rPr>
              <w:t>640.195</w:t>
            </w:r>
          </w:p>
        </w:tc>
        <w:tc>
          <w:tcPr>
            <w:tcW w:w="854" w:type="dxa"/>
            <w:noWrap/>
            <w:vAlign w:val="bottom"/>
          </w:tcPr>
          <w:p w:rsidR="00000000" w:rsidRDefault="00000000">
            <w:pPr>
              <w:jc w:val="right"/>
              <w:rPr>
                <w:sz w:val="17"/>
                <w:szCs w:val="16"/>
              </w:rPr>
            </w:pPr>
            <w:r>
              <w:rPr>
                <w:sz w:val="17"/>
                <w:szCs w:val="16"/>
              </w:rPr>
              <w:t>648.371</w:t>
            </w:r>
          </w:p>
        </w:tc>
        <w:tc>
          <w:tcPr>
            <w:tcW w:w="826" w:type="dxa"/>
            <w:noWrap/>
            <w:vAlign w:val="bottom"/>
          </w:tcPr>
          <w:p w:rsidR="00000000" w:rsidRDefault="00000000">
            <w:pPr>
              <w:jc w:val="right"/>
              <w:rPr>
                <w:sz w:val="17"/>
                <w:szCs w:val="16"/>
              </w:rPr>
            </w:pPr>
            <w:r>
              <w:rPr>
                <w:sz w:val="17"/>
                <w:szCs w:val="16"/>
              </w:rPr>
              <w:t>656.107</w:t>
            </w:r>
          </w:p>
        </w:tc>
        <w:tc>
          <w:tcPr>
            <w:tcW w:w="826" w:type="dxa"/>
            <w:noWrap/>
            <w:vAlign w:val="bottom"/>
          </w:tcPr>
          <w:p w:rsidR="00000000" w:rsidRDefault="00000000">
            <w:pPr>
              <w:jc w:val="right"/>
              <w:rPr>
                <w:sz w:val="17"/>
                <w:szCs w:val="16"/>
              </w:rPr>
            </w:pPr>
            <w:r>
              <w:rPr>
                <w:sz w:val="17"/>
                <w:szCs w:val="16"/>
              </w:rPr>
              <w:t>662.948</w:t>
            </w:r>
          </w:p>
        </w:tc>
        <w:tc>
          <w:tcPr>
            <w:tcW w:w="826" w:type="dxa"/>
            <w:noWrap/>
            <w:vAlign w:val="bottom"/>
          </w:tcPr>
          <w:p w:rsidR="00000000" w:rsidRDefault="00000000">
            <w:pPr>
              <w:jc w:val="right"/>
              <w:rPr>
                <w:sz w:val="17"/>
                <w:szCs w:val="16"/>
              </w:rPr>
            </w:pPr>
            <w:r>
              <w:rPr>
                <w:sz w:val="17"/>
                <w:szCs w:val="16"/>
              </w:rPr>
              <w:t>669.125</w:t>
            </w:r>
          </w:p>
        </w:tc>
        <w:tc>
          <w:tcPr>
            <w:tcW w:w="839" w:type="dxa"/>
            <w:noWrap/>
            <w:vAlign w:val="bottom"/>
          </w:tcPr>
          <w:p w:rsidR="00000000" w:rsidRDefault="00000000">
            <w:pPr>
              <w:jc w:val="right"/>
              <w:rPr>
                <w:sz w:val="17"/>
                <w:szCs w:val="16"/>
              </w:rPr>
            </w:pPr>
            <w:r>
              <w:rPr>
                <w:sz w:val="17"/>
                <w:szCs w:val="16"/>
              </w:rPr>
              <w:t>674.870</w:t>
            </w:r>
          </w:p>
        </w:tc>
        <w:tc>
          <w:tcPr>
            <w:tcW w:w="840" w:type="dxa"/>
            <w:noWrap/>
            <w:vAlign w:val="bottom"/>
          </w:tcPr>
          <w:p w:rsidR="00000000" w:rsidRDefault="00000000">
            <w:pPr>
              <w:jc w:val="right"/>
              <w:rPr>
                <w:sz w:val="17"/>
                <w:szCs w:val="16"/>
              </w:rPr>
            </w:pPr>
            <w:r>
              <w:rPr>
                <w:sz w:val="17"/>
                <w:szCs w:val="16"/>
              </w:rPr>
              <w:t>680.414</w:t>
            </w:r>
          </w:p>
        </w:tc>
        <w:tc>
          <w:tcPr>
            <w:tcW w:w="826" w:type="dxa"/>
            <w:noWrap/>
            <w:vAlign w:val="bottom"/>
          </w:tcPr>
          <w:p w:rsidR="00000000" w:rsidRDefault="00000000">
            <w:pPr>
              <w:jc w:val="right"/>
              <w:rPr>
                <w:sz w:val="17"/>
                <w:szCs w:val="16"/>
              </w:rPr>
            </w:pPr>
            <w:r>
              <w:rPr>
                <w:sz w:val="17"/>
                <w:szCs w:val="16"/>
              </w:rPr>
              <w:t>685.692</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10 años</w:t>
            </w:r>
          </w:p>
        </w:tc>
        <w:tc>
          <w:tcPr>
            <w:tcW w:w="840" w:type="dxa"/>
            <w:noWrap/>
            <w:vAlign w:val="bottom"/>
          </w:tcPr>
          <w:p w:rsidR="00000000" w:rsidRDefault="00000000">
            <w:pPr>
              <w:jc w:val="right"/>
              <w:rPr>
                <w:sz w:val="17"/>
                <w:szCs w:val="16"/>
              </w:rPr>
            </w:pPr>
            <w:r>
              <w:rPr>
                <w:sz w:val="17"/>
                <w:szCs w:val="16"/>
              </w:rPr>
              <w:t>122.358</w:t>
            </w:r>
          </w:p>
        </w:tc>
        <w:tc>
          <w:tcPr>
            <w:tcW w:w="840" w:type="dxa"/>
            <w:noWrap/>
            <w:vAlign w:val="bottom"/>
          </w:tcPr>
          <w:p w:rsidR="00000000" w:rsidRDefault="00000000">
            <w:pPr>
              <w:jc w:val="right"/>
              <w:rPr>
                <w:sz w:val="17"/>
                <w:szCs w:val="16"/>
              </w:rPr>
            </w:pPr>
            <w:r>
              <w:rPr>
                <w:sz w:val="17"/>
                <w:szCs w:val="16"/>
              </w:rPr>
              <w:t>125.143</w:t>
            </w:r>
          </w:p>
        </w:tc>
        <w:tc>
          <w:tcPr>
            <w:tcW w:w="826" w:type="dxa"/>
            <w:noWrap/>
            <w:vAlign w:val="bottom"/>
          </w:tcPr>
          <w:p w:rsidR="00000000" w:rsidRDefault="00000000">
            <w:pPr>
              <w:jc w:val="right"/>
              <w:rPr>
                <w:sz w:val="17"/>
                <w:szCs w:val="16"/>
              </w:rPr>
            </w:pPr>
            <w:r>
              <w:rPr>
                <w:sz w:val="17"/>
                <w:szCs w:val="16"/>
              </w:rPr>
              <w:t>127.317</w:t>
            </w:r>
          </w:p>
        </w:tc>
        <w:tc>
          <w:tcPr>
            <w:tcW w:w="853" w:type="dxa"/>
            <w:noWrap/>
            <w:vAlign w:val="bottom"/>
          </w:tcPr>
          <w:p w:rsidR="00000000" w:rsidRDefault="00000000">
            <w:pPr>
              <w:jc w:val="right"/>
              <w:rPr>
                <w:sz w:val="17"/>
                <w:szCs w:val="16"/>
              </w:rPr>
            </w:pPr>
            <w:r>
              <w:rPr>
                <w:sz w:val="17"/>
                <w:szCs w:val="16"/>
              </w:rPr>
              <w:t>129.014</w:t>
            </w:r>
          </w:p>
        </w:tc>
        <w:tc>
          <w:tcPr>
            <w:tcW w:w="840" w:type="dxa"/>
            <w:noWrap/>
            <w:vAlign w:val="bottom"/>
          </w:tcPr>
          <w:p w:rsidR="00000000" w:rsidRDefault="00000000">
            <w:pPr>
              <w:jc w:val="right"/>
              <w:rPr>
                <w:sz w:val="17"/>
                <w:szCs w:val="16"/>
              </w:rPr>
            </w:pPr>
            <w:r>
              <w:rPr>
                <w:sz w:val="17"/>
                <w:szCs w:val="16"/>
              </w:rPr>
              <w:t>130.400</w:t>
            </w:r>
          </w:p>
        </w:tc>
        <w:tc>
          <w:tcPr>
            <w:tcW w:w="840" w:type="dxa"/>
            <w:noWrap/>
            <w:vAlign w:val="bottom"/>
          </w:tcPr>
          <w:p w:rsidR="00000000" w:rsidRDefault="00000000">
            <w:pPr>
              <w:jc w:val="right"/>
              <w:rPr>
                <w:sz w:val="17"/>
                <w:szCs w:val="16"/>
              </w:rPr>
            </w:pPr>
            <w:r>
              <w:rPr>
                <w:sz w:val="17"/>
                <w:szCs w:val="16"/>
              </w:rPr>
              <w:t>131.640</w:t>
            </w:r>
          </w:p>
        </w:tc>
        <w:tc>
          <w:tcPr>
            <w:tcW w:w="854" w:type="dxa"/>
            <w:noWrap/>
            <w:vAlign w:val="bottom"/>
          </w:tcPr>
          <w:p w:rsidR="00000000" w:rsidRDefault="00000000">
            <w:pPr>
              <w:jc w:val="right"/>
              <w:rPr>
                <w:sz w:val="17"/>
                <w:szCs w:val="16"/>
              </w:rPr>
            </w:pPr>
            <w:r>
              <w:rPr>
                <w:sz w:val="17"/>
                <w:szCs w:val="16"/>
              </w:rPr>
              <w:t>132.900</w:t>
            </w:r>
          </w:p>
        </w:tc>
        <w:tc>
          <w:tcPr>
            <w:tcW w:w="826" w:type="dxa"/>
            <w:noWrap/>
            <w:vAlign w:val="bottom"/>
          </w:tcPr>
          <w:p w:rsidR="00000000" w:rsidRDefault="00000000">
            <w:pPr>
              <w:jc w:val="right"/>
              <w:rPr>
                <w:sz w:val="17"/>
                <w:szCs w:val="16"/>
              </w:rPr>
            </w:pPr>
            <w:r>
              <w:rPr>
                <w:sz w:val="17"/>
                <w:szCs w:val="16"/>
              </w:rPr>
              <w:t>134.163</w:t>
            </w:r>
          </w:p>
        </w:tc>
        <w:tc>
          <w:tcPr>
            <w:tcW w:w="826" w:type="dxa"/>
            <w:noWrap/>
            <w:vAlign w:val="bottom"/>
          </w:tcPr>
          <w:p w:rsidR="00000000" w:rsidRDefault="00000000">
            <w:pPr>
              <w:jc w:val="right"/>
              <w:rPr>
                <w:sz w:val="17"/>
                <w:szCs w:val="16"/>
              </w:rPr>
            </w:pPr>
            <w:r>
              <w:rPr>
                <w:sz w:val="17"/>
                <w:szCs w:val="16"/>
              </w:rPr>
              <w:t>135.319</w:t>
            </w:r>
          </w:p>
        </w:tc>
        <w:tc>
          <w:tcPr>
            <w:tcW w:w="826" w:type="dxa"/>
            <w:noWrap/>
            <w:vAlign w:val="bottom"/>
          </w:tcPr>
          <w:p w:rsidR="00000000" w:rsidRDefault="00000000">
            <w:pPr>
              <w:jc w:val="right"/>
              <w:rPr>
                <w:sz w:val="17"/>
                <w:szCs w:val="16"/>
              </w:rPr>
            </w:pPr>
            <w:r>
              <w:rPr>
                <w:sz w:val="17"/>
                <w:szCs w:val="16"/>
              </w:rPr>
              <w:t>136.393</w:t>
            </w:r>
          </w:p>
        </w:tc>
        <w:tc>
          <w:tcPr>
            <w:tcW w:w="839" w:type="dxa"/>
            <w:noWrap/>
            <w:vAlign w:val="bottom"/>
          </w:tcPr>
          <w:p w:rsidR="00000000" w:rsidRDefault="00000000">
            <w:pPr>
              <w:jc w:val="right"/>
              <w:rPr>
                <w:sz w:val="17"/>
                <w:szCs w:val="16"/>
              </w:rPr>
            </w:pPr>
            <w:r>
              <w:rPr>
                <w:sz w:val="17"/>
                <w:szCs w:val="16"/>
              </w:rPr>
              <w:t>137.407</w:t>
            </w:r>
          </w:p>
        </w:tc>
        <w:tc>
          <w:tcPr>
            <w:tcW w:w="840" w:type="dxa"/>
            <w:noWrap/>
            <w:vAlign w:val="bottom"/>
          </w:tcPr>
          <w:p w:rsidR="00000000" w:rsidRDefault="00000000">
            <w:pPr>
              <w:jc w:val="right"/>
              <w:rPr>
                <w:sz w:val="17"/>
                <w:szCs w:val="16"/>
              </w:rPr>
            </w:pPr>
            <w:r>
              <w:rPr>
                <w:sz w:val="17"/>
                <w:szCs w:val="16"/>
              </w:rPr>
              <w:t>138.385</w:t>
            </w:r>
          </w:p>
        </w:tc>
        <w:tc>
          <w:tcPr>
            <w:tcW w:w="826" w:type="dxa"/>
            <w:noWrap/>
            <w:vAlign w:val="bottom"/>
          </w:tcPr>
          <w:p w:rsidR="00000000" w:rsidRDefault="00000000">
            <w:pPr>
              <w:jc w:val="right"/>
              <w:rPr>
                <w:sz w:val="17"/>
                <w:szCs w:val="16"/>
              </w:rPr>
            </w:pPr>
            <w:r>
              <w:rPr>
                <w:sz w:val="17"/>
                <w:szCs w:val="16"/>
              </w:rPr>
              <w:t>139.326</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11 años</w:t>
            </w:r>
          </w:p>
        </w:tc>
        <w:tc>
          <w:tcPr>
            <w:tcW w:w="840" w:type="dxa"/>
            <w:noWrap/>
            <w:vAlign w:val="bottom"/>
          </w:tcPr>
          <w:p w:rsidR="00000000" w:rsidRDefault="00000000">
            <w:pPr>
              <w:jc w:val="right"/>
              <w:rPr>
                <w:sz w:val="17"/>
                <w:szCs w:val="16"/>
              </w:rPr>
            </w:pPr>
            <w:r>
              <w:rPr>
                <w:sz w:val="17"/>
                <w:szCs w:val="16"/>
              </w:rPr>
              <w:t>120.109</w:t>
            </w:r>
          </w:p>
        </w:tc>
        <w:tc>
          <w:tcPr>
            <w:tcW w:w="840" w:type="dxa"/>
            <w:noWrap/>
            <w:vAlign w:val="bottom"/>
          </w:tcPr>
          <w:p w:rsidR="00000000" w:rsidRDefault="00000000">
            <w:pPr>
              <w:jc w:val="right"/>
              <w:rPr>
                <w:sz w:val="17"/>
                <w:szCs w:val="16"/>
              </w:rPr>
            </w:pPr>
            <w:r>
              <w:rPr>
                <w:sz w:val="17"/>
                <w:szCs w:val="16"/>
              </w:rPr>
              <w:t>123.337</w:t>
            </w:r>
          </w:p>
        </w:tc>
        <w:tc>
          <w:tcPr>
            <w:tcW w:w="826" w:type="dxa"/>
            <w:noWrap/>
            <w:vAlign w:val="bottom"/>
          </w:tcPr>
          <w:p w:rsidR="00000000" w:rsidRDefault="00000000">
            <w:pPr>
              <w:jc w:val="right"/>
              <w:rPr>
                <w:sz w:val="17"/>
                <w:szCs w:val="16"/>
              </w:rPr>
            </w:pPr>
            <w:r>
              <w:rPr>
                <w:sz w:val="17"/>
                <w:szCs w:val="16"/>
              </w:rPr>
              <w:t>125.710</w:t>
            </w:r>
          </w:p>
        </w:tc>
        <w:tc>
          <w:tcPr>
            <w:tcW w:w="853" w:type="dxa"/>
            <w:noWrap/>
            <w:vAlign w:val="bottom"/>
          </w:tcPr>
          <w:p w:rsidR="00000000" w:rsidRDefault="00000000">
            <w:pPr>
              <w:jc w:val="right"/>
              <w:rPr>
                <w:sz w:val="17"/>
                <w:szCs w:val="16"/>
              </w:rPr>
            </w:pPr>
            <w:r>
              <w:rPr>
                <w:sz w:val="17"/>
                <w:szCs w:val="16"/>
              </w:rPr>
              <w:t>127.467</w:t>
            </w:r>
          </w:p>
        </w:tc>
        <w:tc>
          <w:tcPr>
            <w:tcW w:w="840" w:type="dxa"/>
            <w:noWrap/>
            <w:vAlign w:val="bottom"/>
          </w:tcPr>
          <w:p w:rsidR="00000000" w:rsidRDefault="00000000">
            <w:pPr>
              <w:jc w:val="right"/>
              <w:rPr>
                <w:sz w:val="17"/>
                <w:szCs w:val="16"/>
              </w:rPr>
            </w:pPr>
            <w:r>
              <w:rPr>
                <w:sz w:val="17"/>
                <w:szCs w:val="16"/>
              </w:rPr>
              <w:t>128.837</w:t>
            </w:r>
          </w:p>
        </w:tc>
        <w:tc>
          <w:tcPr>
            <w:tcW w:w="840" w:type="dxa"/>
            <w:noWrap/>
            <w:vAlign w:val="bottom"/>
          </w:tcPr>
          <w:p w:rsidR="00000000" w:rsidRDefault="00000000">
            <w:pPr>
              <w:jc w:val="right"/>
              <w:rPr>
                <w:sz w:val="17"/>
                <w:szCs w:val="16"/>
              </w:rPr>
            </w:pPr>
            <w:r>
              <w:rPr>
                <w:sz w:val="17"/>
                <w:szCs w:val="16"/>
              </w:rPr>
              <w:t>130.049</w:t>
            </w:r>
          </w:p>
        </w:tc>
        <w:tc>
          <w:tcPr>
            <w:tcW w:w="854" w:type="dxa"/>
            <w:noWrap/>
            <w:vAlign w:val="bottom"/>
          </w:tcPr>
          <w:p w:rsidR="00000000" w:rsidRDefault="00000000">
            <w:pPr>
              <w:jc w:val="right"/>
              <w:rPr>
                <w:sz w:val="17"/>
                <w:szCs w:val="16"/>
              </w:rPr>
            </w:pPr>
            <w:r>
              <w:rPr>
                <w:sz w:val="17"/>
                <w:szCs w:val="16"/>
              </w:rPr>
              <w:t>131.332</w:t>
            </w:r>
          </w:p>
        </w:tc>
        <w:tc>
          <w:tcPr>
            <w:tcW w:w="826" w:type="dxa"/>
            <w:noWrap/>
            <w:vAlign w:val="bottom"/>
          </w:tcPr>
          <w:p w:rsidR="00000000" w:rsidRDefault="00000000">
            <w:pPr>
              <w:jc w:val="right"/>
              <w:rPr>
                <w:sz w:val="17"/>
                <w:szCs w:val="16"/>
              </w:rPr>
            </w:pPr>
            <w:r>
              <w:rPr>
                <w:sz w:val="17"/>
                <w:szCs w:val="16"/>
              </w:rPr>
              <w:t>132.679</w:t>
            </w:r>
          </w:p>
        </w:tc>
        <w:tc>
          <w:tcPr>
            <w:tcW w:w="826" w:type="dxa"/>
            <w:noWrap/>
            <w:vAlign w:val="bottom"/>
          </w:tcPr>
          <w:p w:rsidR="00000000" w:rsidRDefault="00000000">
            <w:pPr>
              <w:jc w:val="right"/>
              <w:rPr>
                <w:sz w:val="17"/>
                <w:szCs w:val="16"/>
              </w:rPr>
            </w:pPr>
            <w:r>
              <w:rPr>
                <w:sz w:val="17"/>
                <w:szCs w:val="16"/>
              </w:rPr>
              <w:t>133.938</w:t>
            </w:r>
          </w:p>
        </w:tc>
        <w:tc>
          <w:tcPr>
            <w:tcW w:w="826" w:type="dxa"/>
            <w:noWrap/>
            <w:vAlign w:val="bottom"/>
          </w:tcPr>
          <w:p w:rsidR="00000000" w:rsidRDefault="00000000">
            <w:pPr>
              <w:jc w:val="right"/>
              <w:rPr>
                <w:sz w:val="17"/>
                <w:szCs w:val="16"/>
              </w:rPr>
            </w:pPr>
            <w:r>
              <w:rPr>
                <w:sz w:val="17"/>
                <w:szCs w:val="16"/>
              </w:rPr>
              <w:t>135.119</w:t>
            </w:r>
          </w:p>
        </w:tc>
        <w:tc>
          <w:tcPr>
            <w:tcW w:w="839" w:type="dxa"/>
            <w:noWrap/>
            <w:vAlign w:val="bottom"/>
          </w:tcPr>
          <w:p w:rsidR="00000000" w:rsidRDefault="00000000">
            <w:pPr>
              <w:jc w:val="right"/>
              <w:rPr>
                <w:sz w:val="17"/>
                <w:szCs w:val="16"/>
              </w:rPr>
            </w:pPr>
            <w:r>
              <w:rPr>
                <w:sz w:val="17"/>
                <w:szCs w:val="16"/>
              </w:rPr>
              <w:t>136.232</w:t>
            </w:r>
          </w:p>
        </w:tc>
        <w:tc>
          <w:tcPr>
            <w:tcW w:w="840" w:type="dxa"/>
            <w:noWrap/>
            <w:vAlign w:val="bottom"/>
          </w:tcPr>
          <w:p w:rsidR="00000000" w:rsidRDefault="00000000">
            <w:pPr>
              <w:jc w:val="right"/>
              <w:rPr>
                <w:sz w:val="17"/>
                <w:szCs w:val="16"/>
              </w:rPr>
            </w:pPr>
            <w:r>
              <w:rPr>
                <w:sz w:val="17"/>
                <w:szCs w:val="16"/>
              </w:rPr>
              <w:t>137.290</w:t>
            </w:r>
          </w:p>
        </w:tc>
        <w:tc>
          <w:tcPr>
            <w:tcW w:w="826" w:type="dxa"/>
            <w:noWrap/>
            <w:vAlign w:val="bottom"/>
          </w:tcPr>
          <w:p w:rsidR="00000000" w:rsidRDefault="00000000">
            <w:pPr>
              <w:jc w:val="right"/>
              <w:rPr>
                <w:sz w:val="17"/>
                <w:szCs w:val="16"/>
              </w:rPr>
            </w:pPr>
            <w:r>
              <w:rPr>
                <w:sz w:val="17"/>
                <w:szCs w:val="16"/>
              </w:rPr>
              <w:t>138.281</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12 años</w:t>
            </w:r>
          </w:p>
        </w:tc>
        <w:tc>
          <w:tcPr>
            <w:tcW w:w="840" w:type="dxa"/>
            <w:noWrap/>
            <w:vAlign w:val="bottom"/>
          </w:tcPr>
          <w:p w:rsidR="00000000" w:rsidRDefault="00000000">
            <w:pPr>
              <w:jc w:val="right"/>
              <w:rPr>
                <w:sz w:val="17"/>
                <w:szCs w:val="16"/>
              </w:rPr>
            </w:pPr>
            <w:r>
              <w:rPr>
                <w:sz w:val="17"/>
                <w:szCs w:val="16"/>
              </w:rPr>
              <w:t>117.109</w:t>
            </w:r>
          </w:p>
        </w:tc>
        <w:tc>
          <w:tcPr>
            <w:tcW w:w="840" w:type="dxa"/>
            <w:noWrap/>
            <w:vAlign w:val="bottom"/>
          </w:tcPr>
          <w:p w:rsidR="00000000" w:rsidRDefault="00000000">
            <w:pPr>
              <w:jc w:val="right"/>
              <w:rPr>
                <w:sz w:val="17"/>
                <w:szCs w:val="16"/>
              </w:rPr>
            </w:pPr>
            <w:r>
              <w:rPr>
                <w:sz w:val="17"/>
                <w:szCs w:val="16"/>
              </w:rPr>
              <w:t>120.661</w:t>
            </w:r>
          </w:p>
        </w:tc>
        <w:tc>
          <w:tcPr>
            <w:tcW w:w="826" w:type="dxa"/>
            <w:noWrap/>
            <w:vAlign w:val="bottom"/>
          </w:tcPr>
          <w:p w:rsidR="00000000" w:rsidRDefault="00000000">
            <w:pPr>
              <w:jc w:val="right"/>
              <w:rPr>
                <w:sz w:val="17"/>
                <w:szCs w:val="16"/>
              </w:rPr>
            </w:pPr>
            <w:r>
              <w:rPr>
                <w:sz w:val="17"/>
                <w:szCs w:val="16"/>
              </w:rPr>
              <w:t>123.283</w:t>
            </w:r>
          </w:p>
        </w:tc>
        <w:tc>
          <w:tcPr>
            <w:tcW w:w="853" w:type="dxa"/>
            <w:noWrap/>
            <w:vAlign w:val="bottom"/>
          </w:tcPr>
          <w:p w:rsidR="00000000" w:rsidRDefault="00000000">
            <w:pPr>
              <w:jc w:val="right"/>
              <w:rPr>
                <w:sz w:val="17"/>
                <w:szCs w:val="16"/>
              </w:rPr>
            </w:pPr>
            <w:r>
              <w:rPr>
                <w:sz w:val="17"/>
                <w:szCs w:val="16"/>
              </w:rPr>
              <w:t>125.274</w:t>
            </w:r>
          </w:p>
        </w:tc>
        <w:tc>
          <w:tcPr>
            <w:tcW w:w="840" w:type="dxa"/>
            <w:noWrap/>
            <w:vAlign w:val="bottom"/>
          </w:tcPr>
          <w:p w:rsidR="00000000" w:rsidRDefault="00000000">
            <w:pPr>
              <w:jc w:val="right"/>
              <w:rPr>
                <w:sz w:val="17"/>
                <w:szCs w:val="16"/>
              </w:rPr>
            </w:pPr>
            <w:r>
              <w:rPr>
                <w:sz w:val="17"/>
                <w:szCs w:val="16"/>
              </w:rPr>
              <w:t>126.859</w:t>
            </w:r>
          </w:p>
        </w:tc>
        <w:tc>
          <w:tcPr>
            <w:tcW w:w="840" w:type="dxa"/>
            <w:noWrap/>
            <w:vAlign w:val="bottom"/>
          </w:tcPr>
          <w:p w:rsidR="00000000" w:rsidRDefault="00000000">
            <w:pPr>
              <w:jc w:val="right"/>
              <w:rPr>
                <w:sz w:val="17"/>
                <w:szCs w:val="16"/>
              </w:rPr>
            </w:pPr>
            <w:r>
              <w:rPr>
                <w:sz w:val="17"/>
                <w:szCs w:val="16"/>
              </w:rPr>
              <w:t>128.264</w:t>
            </w:r>
          </w:p>
        </w:tc>
        <w:tc>
          <w:tcPr>
            <w:tcW w:w="854" w:type="dxa"/>
            <w:noWrap/>
            <w:vAlign w:val="bottom"/>
          </w:tcPr>
          <w:p w:rsidR="00000000" w:rsidRDefault="00000000">
            <w:pPr>
              <w:jc w:val="right"/>
              <w:rPr>
                <w:sz w:val="17"/>
                <w:szCs w:val="16"/>
              </w:rPr>
            </w:pPr>
            <w:r>
              <w:rPr>
                <w:sz w:val="17"/>
                <w:szCs w:val="16"/>
              </w:rPr>
              <w:t>129.715</w:t>
            </w:r>
          </w:p>
        </w:tc>
        <w:tc>
          <w:tcPr>
            <w:tcW w:w="826" w:type="dxa"/>
            <w:noWrap/>
            <w:vAlign w:val="bottom"/>
          </w:tcPr>
          <w:p w:rsidR="00000000" w:rsidRDefault="00000000">
            <w:pPr>
              <w:jc w:val="right"/>
              <w:rPr>
                <w:sz w:val="17"/>
                <w:szCs w:val="16"/>
              </w:rPr>
            </w:pPr>
            <w:r>
              <w:rPr>
                <w:sz w:val="17"/>
                <w:szCs w:val="16"/>
              </w:rPr>
              <w:t>131.198</w:t>
            </w:r>
          </w:p>
        </w:tc>
        <w:tc>
          <w:tcPr>
            <w:tcW w:w="826" w:type="dxa"/>
            <w:noWrap/>
            <w:vAlign w:val="bottom"/>
          </w:tcPr>
          <w:p w:rsidR="00000000" w:rsidRDefault="00000000">
            <w:pPr>
              <w:jc w:val="right"/>
              <w:rPr>
                <w:sz w:val="17"/>
                <w:szCs w:val="16"/>
              </w:rPr>
            </w:pPr>
            <w:r>
              <w:rPr>
                <w:sz w:val="17"/>
                <w:szCs w:val="16"/>
              </w:rPr>
              <w:t>132.563</w:t>
            </w:r>
          </w:p>
        </w:tc>
        <w:tc>
          <w:tcPr>
            <w:tcW w:w="826" w:type="dxa"/>
            <w:noWrap/>
            <w:vAlign w:val="bottom"/>
          </w:tcPr>
          <w:p w:rsidR="00000000" w:rsidRDefault="00000000">
            <w:pPr>
              <w:jc w:val="right"/>
              <w:rPr>
                <w:sz w:val="17"/>
                <w:szCs w:val="16"/>
              </w:rPr>
            </w:pPr>
            <w:r>
              <w:rPr>
                <w:sz w:val="17"/>
                <w:szCs w:val="16"/>
              </w:rPr>
              <w:t>133.829</w:t>
            </w:r>
          </w:p>
        </w:tc>
        <w:tc>
          <w:tcPr>
            <w:tcW w:w="839" w:type="dxa"/>
            <w:noWrap/>
            <w:vAlign w:val="bottom"/>
          </w:tcPr>
          <w:p w:rsidR="00000000" w:rsidRDefault="00000000">
            <w:pPr>
              <w:jc w:val="right"/>
              <w:rPr>
                <w:sz w:val="17"/>
                <w:szCs w:val="16"/>
              </w:rPr>
            </w:pPr>
            <w:r>
              <w:rPr>
                <w:sz w:val="17"/>
                <w:szCs w:val="16"/>
              </w:rPr>
              <w:t>135.016</w:t>
            </w:r>
          </w:p>
        </w:tc>
        <w:tc>
          <w:tcPr>
            <w:tcW w:w="840" w:type="dxa"/>
            <w:noWrap/>
            <w:vAlign w:val="bottom"/>
          </w:tcPr>
          <w:p w:rsidR="00000000" w:rsidRDefault="00000000">
            <w:pPr>
              <w:jc w:val="right"/>
              <w:rPr>
                <w:sz w:val="17"/>
                <w:szCs w:val="16"/>
              </w:rPr>
            </w:pPr>
            <w:r>
              <w:rPr>
                <w:sz w:val="17"/>
                <w:szCs w:val="16"/>
              </w:rPr>
              <w:t>136.141</w:t>
            </w:r>
          </w:p>
        </w:tc>
        <w:tc>
          <w:tcPr>
            <w:tcW w:w="826" w:type="dxa"/>
            <w:noWrap/>
            <w:vAlign w:val="bottom"/>
          </w:tcPr>
          <w:p w:rsidR="00000000" w:rsidRDefault="00000000">
            <w:pPr>
              <w:jc w:val="right"/>
              <w:rPr>
                <w:sz w:val="17"/>
                <w:szCs w:val="16"/>
              </w:rPr>
            </w:pPr>
            <w:r>
              <w:rPr>
                <w:sz w:val="17"/>
                <w:szCs w:val="16"/>
              </w:rPr>
              <w:t>137.189</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13 años</w:t>
            </w:r>
          </w:p>
        </w:tc>
        <w:tc>
          <w:tcPr>
            <w:tcW w:w="840" w:type="dxa"/>
            <w:noWrap/>
            <w:vAlign w:val="bottom"/>
          </w:tcPr>
          <w:p w:rsidR="00000000" w:rsidRDefault="00000000">
            <w:pPr>
              <w:jc w:val="right"/>
              <w:rPr>
                <w:sz w:val="17"/>
                <w:szCs w:val="16"/>
              </w:rPr>
            </w:pPr>
            <w:r>
              <w:rPr>
                <w:sz w:val="17"/>
                <w:szCs w:val="16"/>
              </w:rPr>
              <w:t>113.026</w:t>
            </w:r>
          </w:p>
        </w:tc>
        <w:tc>
          <w:tcPr>
            <w:tcW w:w="840" w:type="dxa"/>
            <w:noWrap/>
            <w:vAlign w:val="bottom"/>
          </w:tcPr>
          <w:p w:rsidR="00000000" w:rsidRDefault="00000000">
            <w:pPr>
              <w:jc w:val="right"/>
              <w:rPr>
                <w:sz w:val="17"/>
                <w:szCs w:val="16"/>
              </w:rPr>
            </w:pPr>
            <w:r>
              <w:rPr>
                <w:sz w:val="17"/>
                <w:szCs w:val="16"/>
              </w:rPr>
              <w:t>116.713</w:t>
            </w:r>
          </w:p>
        </w:tc>
        <w:tc>
          <w:tcPr>
            <w:tcW w:w="826" w:type="dxa"/>
            <w:noWrap/>
            <w:vAlign w:val="bottom"/>
          </w:tcPr>
          <w:p w:rsidR="00000000" w:rsidRDefault="00000000">
            <w:pPr>
              <w:jc w:val="right"/>
              <w:rPr>
                <w:sz w:val="17"/>
                <w:szCs w:val="16"/>
              </w:rPr>
            </w:pPr>
            <w:r>
              <w:rPr>
                <w:sz w:val="17"/>
                <w:szCs w:val="16"/>
              </w:rPr>
              <w:t>119.660</w:t>
            </w:r>
          </w:p>
        </w:tc>
        <w:tc>
          <w:tcPr>
            <w:tcW w:w="853" w:type="dxa"/>
            <w:noWrap/>
            <w:vAlign w:val="bottom"/>
          </w:tcPr>
          <w:p w:rsidR="00000000" w:rsidRDefault="00000000">
            <w:pPr>
              <w:jc w:val="right"/>
              <w:rPr>
                <w:sz w:val="17"/>
                <w:szCs w:val="16"/>
              </w:rPr>
            </w:pPr>
            <w:r>
              <w:rPr>
                <w:sz w:val="17"/>
                <w:szCs w:val="16"/>
              </w:rPr>
              <w:t>122.155</w:t>
            </w:r>
          </w:p>
        </w:tc>
        <w:tc>
          <w:tcPr>
            <w:tcW w:w="840" w:type="dxa"/>
            <w:noWrap/>
            <w:vAlign w:val="bottom"/>
          </w:tcPr>
          <w:p w:rsidR="00000000" w:rsidRDefault="00000000">
            <w:pPr>
              <w:jc w:val="right"/>
              <w:rPr>
                <w:sz w:val="17"/>
                <w:szCs w:val="16"/>
              </w:rPr>
            </w:pPr>
            <w:r>
              <w:rPr>
                <w:sz w:val="17"/>
                <w:szCs w:val="16"/>
              </w:rPr>
              <w:t>124.313</w:t>
            </w:r>
          </w:p>
        </w:tc>
        <w:tc>
          <w:tcPr>
            <w:tcW w:w="840" w:type="dxa"/>
            <w:noWrap/>
            <w:vAlign w:val="bottom"/>
          </w:tcPr>
          <w:p w:rsidR="00000000" w:rsidRDefault="00000000">
            <w:pPr>
              <w:jc w:val="right"/>
              <w:rPr>
                <w:sz w:val="17"/>
                <w:szCs w:val="16"/>
              </w:rPr>
            </w:pPr>
            <w:r>
              <w:rPr>
                <w:sz w:val="17"/>
                <w:szCs w:val="16"/>
              </w:rPr>
              <w:t>126.252</w:t>
            </w:r>
          </w:p>
        </w:tc>
        <w:tc>
          <w:tcPr>
            <w:tcW w:w="854" w:type="dxa"/>
            <w:noWrap/>
            <w:vAlign w:val="bottom"/>
          </w:tcPr>
          <w:p w:rsidR="00000000" w:rsidRDefault="00000000">
            <w:pPr>
              <w:jc w:val="right"/>
              <w:rPr>
                <w:sz w:val="17"/>
                <w:szCs w:val="16"/>
              </w:rPr>
            </w:pPr>
            <w:r>
              <w:rPr>
                <w:sz w:val="17"/>
                <w:szCs w:val="16"/>
              </w:rPr>
              <w:t>128.088</w:t>
            </w:r>
          </w:p>
        </w:tc>
        <w:tc>
          <w:tcPr>
            <w:tcW w:w="826" w:type="dxa"/>
            <w:noWrap/>
            <w:vAlign w:val="bottom"/>
          </w:tcPr>
          <w:p w:rsidR="00000000" w:rsidRDefault="00000000">
            <w:pPr>
              <w:jc w:val="right"/>
              <w:rPr>
                <w:sz w:val="17"/>
                <w:szCs w:val="16"/>
              </w:rPr>
            </w:pPr>
            <w:r>
              <w:rPr>
                <w:sz w:val="17"/>
                <w:szCs w:val="16"/>
              </w:rPr>
              <w:t>129.780</w:t>
            </w:r>
          </w:p>
        </w:tc>
        <w:tc>
          <w:tcPr>
            <w:tcW w:w="826" w:type="dxa"/>
            <w:noWrap/>
            <w:vAlign w:val="bottom"/>
          </w:tcPr>
          <w:p w:rsidR="00000000" w:rsidRDefault="00000000">
            <w:pPr>
              <w:jc w:val="right"/>
              <w:rPr>
                <w:sz w:val="17"/>
                <w:szCs w:val="16"/>
              </w:rPr>
            </w:pPr>
            <w:r>
              <w:rPr>
                <w:sz w:val="17"/>
                <w:szCs w:val="16"/>
              </w:rPr>
              <w:t>131.252</w:t>
            </w:r>
          </w:p>
        </w:tc>
        <w:tc>
          <w:tcPr>
            <w:tcW w:w="826" w:type="dxa"/>
            <w:noWrap/>
            <w:vAlign w:val="bottom"/>
          </w:tcPr>
          <w:p w:rsidR="00000000" w:rsidRDefault="00000000">
            <w:pPr>
              <w:jc w:val="right"/>
              <w:rPr>
                <w:sz w:val="17"/>
                <w:szCs w:val="16"/>
              </w:rPr>
            </w:pPr>
            <w:r>
              <w:rPr>
                <w:sz w:val="17"/>
                <w:szCs w:val="16"/>
              </w:rPr>
              <w:t>132.562</w:t>
            </w:r>
          </w:p>
        </w:tc>
        <w:tc>
          <w:tcPr>
            <w:tcW w:w="839" w:type="dxa"/>
            <w:noWrap/>
            <w:vAlign w:val="bottom"/>
          </w:tcPr>
          <w:p w:rsidR="00000000" w:rsidRDefault="00000000">
            <w:pPr>
              <w:jc w:val="right"/>
              <w:rPr>
                <w:sz w:val="17"/>
                <w:szCs w:val="16"/>
              </w:rPr>
            </w:pPr>
            <w:r>
              <w:rPr>
                <w:sz w:val="17"/>
                <w:szCs w:val="16"/>
              </w:rPr>
              <w:t>133.772</w:t>
            </w:r>
          </w:p>
        </w:tc>
        <w:tc>
          <w:tcPr>
            <w:tcW w:w="840" w:type="dxa"/>
            <w:noWrap/>
            <w:vAlign w:val="bottom"/>
          </w:tcPr>
          <w:p w:rsidR="00000000" w:rsidRDefault="00000000">
            <w:pPr>
              <w:jc w:val="right"/>
              <w:rPr>
                <w:sz w:val="17"/>
                <w:szCs w:val="16"/>
              </w:rPr>
            </w:pPr>
            <w:r>
              <w:rPr>
                <w:sz w:val="17"/>
                <w:szCs w:val="16"/>
              </w:rPr>
              <w:t>134.942</w:t>
            </w:r>
          </w:p>
        </w:tc>
        <w:tc>
          <w:tcPr>
            <w:tcW w:w="826" w:type="dxa"/>
            <w:noWrap/>
            <w:vAlign w:val="bottom"/>
          </w:tcPr>
          <w:p w:rsidR="00000000" w:rsidRDefault="00000000">
            <w:pPr>
              <w:jc w:val="right"/>
              <w:rPr>
                <w:sz w:val="17"/>
                <w:szCs w:val="16"/>
              </w:rPr>
            </w:pPr>
            <w:r>
              <w:rPr>
                <w:sz w:val="17"/>
                <w:szCs w:val="16"/>
              </w:rPr>
              <w:t>136.054</w:t>
            </w:r>
          </w:p>
        </w:tc>
      </w:tr>
      <w:tr w:rsidR="00000000">
        <w:trPr>
          <w:trHeight w:val="20"/>
          <w:jc w:val="center"/>
        </w:trPr>
        <w:tc>
          <w:tcPr>
            <w:tcW w:w="2562" w:type="dxa"/>
            <w:noWrap/>
            <w:vAlign w:val="bottom"/>
          </w:tcPr>
          <w:p w:rsidR="00000000" w:rsidRDefault="00000000">
            <w:pPr>
              <w:ind w:left="284"/>
              <w:rPr>
                <w:sz w:val="17"/>
                <w:szCs w:val="16"/>
              </w:rPr>
            </w:pPr>
            <w:r>
              <w:rPr>
                <w:sz w:val="17"/>
                <w:szCs w:val="16"/>
              </w:rPr>
              <w:t>14 años</w:t>
            </w:r>
          </w:p>
        </w:tc>
        <w:tc>
          <w:tcPr>
            <w:tcW w:w="840" w:type="dxa"/>
            <w:noWrap/>
            <w:vAlign w:val="bottom"/>
          </w:tcPr>
          <w:p w:rsidR="00000000" w:rsidRDefault="00000000">
            <w:pPr>
              <w:jc w:val="right"/>
              <w:rPr>
                <w:sz w:val="17"/>
                <w:szCs w:val="16"/>
              </w:rPr>
            </w:pPr>
            <w:r>
              <w:rPr>
                <w:sz w:val="17"/>
                <w:szCs w:val="16"/>
              </w:rPr>
              <w:t>108.279</w:t>
            </w:r>
          </w:p>
        </w:tc>
        <w:tc>
          <w:tcPr>
            <w:tcW w:w="840" w:type="dxa"/>
            <w:noWrap/>
            <w:vAlign w:val="bottom"/>
          </w:tcPr>
          <w:p w:rsidR="00000000" w:rsidRDefault="00000000">
            <w:pPr>
              <w:jc w:val="right"/>
              <w:rPr>
                <w:sz w:val="17"/>
                <w:szCs w:val="16"/>
              </w:rPr>
            </w:pPr>
            <w:r>
              <w:rPr>
                <w:sz w:val="17"/>
                <w:szCs w:val="16"/>
              </w:rPr>
              <w:t>111.959</w:t>
            </w:r>
          </w:p>
        </w:tc>
        <w:tc>
          <w:tcPr>
            <w:tcW w:w="826" w:type="dxa"/>
            <w:noWrap/>
            <w:vAlign w:val="bottom"/>
          </w:tcPr>
          <w:p w:rsidR="00000000" w:rsidRDefault="00000000">
            <w:pPr>
              <w:jc w:val="right"/>
              <w:rPr>
                <w:sz w:val="17"/>
                <w:szCs w:val="16"/>
              </w:rPr>
            </w:pPr>
            <w:r>
              <w:rPr>
                <w:sz w:val="17"/>
                <w:szCs w:val="16"/>
              </w:rPr>
              <w:t>115.253</w:t>
            </w:r>
          </w:p>
        </w:tc>
        <w:tc>
          <w:tcPr>
            <w:tcW w:w="853" w:type="dxa"/>
            <w:noWrap/>
            <w:vAlign w:val="bottom"/>
          </w:tcPr>
          <w:p w:rsidR="00000000" w:rsidRDefault="00000000">
            <w:pPr>
              <w:jc w:val="right"/>
              <w:rPr>
                <w:sz w:val="17"/>
                <w:szCs w:val="16"/>
              </w:rPr>
            </w:pPr>
            <w:r>
              <w:rPr>
                <w:sz w:val="17"/>
                <w:szCs w:val="16"/>
              </w:rPr>
              <w:t>118.393</w:t>
            </w:r>
          </w:p>
        </w:tc>
        <w:tc>
          <w:tcPr>
            <w:tcW w:w="840" w:type="dxa"/>
            <w:noWrap/>
            <w:vAlign w:val="bottom"/>
          </w:tcPr>
          <w:p w:rsidR="00000000" w:rsidRDefault="00000000">
            <w:pPr>
              <w:jc w:val="right"/>
              <w:rPr>
                <w:sz w:val="17"/>
                <w:szCs w:val="16"/>
              </w:rPr>
            </w:pPr>
            <w:r>
              <w:rPr>
                <w:sz w:val="17"/>
                <w:szCs w:val="16"/>
              </w:rPr>
              <w:t>121.323</w:t>
            </w:r>
          </w:p>
        </w:tc>
        <w:tc>
          <w:tcPr>
            <w:tcW w:w="840" w:type="dxa"/>
            <w:noWrap/>
            <w:vAlign w:val="bottom"/>
          </w:tcPr>
          <w:p w:rsidR="00000000" w:rsidRDefault="00000000">
            <w:pPr>
              <w:jc w:val="right"/>
              <w:rPr>
                <w:sz w:val="17"/>
                <w:szCs w:val="16"/>
              </w:rPr>
            </w:pPr>
            <w:r>
              <w:rPr>
                <w:sz w:val="17"/>
                <w:szCs w:val="16"/>
              </w:rPr>
              <w:t>123.989</w:t>
            </w:r>
          </w:p>
        </w:tc>
        <w:tc>
          <w:tcPr>
            <w:tcW w:w="854" w:type="dxa"/>
            <w:noWrap/>
            <w:vAlign w:val="bottom"/>
          </w:tcPr>
          <w:p w:rsidR="00000000" w:rsidRDefault="00000000">
            <w:pPr>
              <w:jc w:val="right"/>
              <w:rPr>
                <w:sz w:val="17"/>
                <w:szCs w:val="16"/>
              </w:rPr>
            </w:pPr>
            <w:r>
              <w:rPr>
                <w:sz w:val="17"/>
                <w:szCs w:val="16"/>
              </w:rPr>
              <w:t>126.336</w:t>
            </w:r>
          </w:p>
        </w:tc>
        <w:tc>
          <w:tcPr>
            <w:tcW w:w="826" w:type="dxa"/>
            <w:noWrap/>
            <w:vAlign w:val="bottom"/>
          </w:tcPr>
          <w:p w:rsidR="00000000" w:rsidRDefault="00000000">
            <w:pPr>
              <w:jc w:val="right"/>
              <w:rPr>
                <w:sz w:val="17"/>
                <w:szCs w:val="16"/>
              </w:rPr>
            </w:pPr>
            <w:r>
              <w:rPr>
                <w:sz w:val="17"/>
                <w:szCs w:val="16"/>
              </w:rPr>
              <w:t>128.287</w:t>
            </w:r>
          </w:p>
        </w:tc>
        <w:tc>
          <w:tcPr>
            <w:tcW w:w="826" w:type="dxa"/>
            <w:noWrap/>
            <w:vAlign w:val="bottom"/>
          </w:tcPr>
          <w:p w:rsidR="00000000" w:rsidRDefault="00000000">
            <w:pPr>
              <w:jc w:val="right"/>
              <w:rPr>
                <w:sz w:val="17"/>
                <w:szCs w:val="16"/>
              </w:rPr>
            </w:pPr>
            <w:r>
              <w:rPr>
                <w:sz w:val="17"/>
                <w:szCs w:val="16"/>
              </w:rPr>
              <w:t>129.876</w:t>
            </w:r>
          </w:p>
        </w:tc>
        <w:tc>
          <w:tcPr>
            <w:tcW w:w="826" w:type="dxa"/>
            <w:noWrap/>
            <w:vAlign w:val="bottom"/>
          </w:tcPr>
          <w:p w:rsidR="00000000" w:rsidRDefault="00000000">
            <w:pPr>
              <w:jc w:val="right"/>
              <w:rPr>
                <w:sz w:val="17"/>
                <w:szCs w:val="16"/>
              </w:rPr>
            </w:pPr>
            <w:r>
              <w:rPr>
                <w:sz w:val="17"/>
                <w:szCs w:val="16"/>
              </w:rPr>
              <w:t>131.222</w:t>
            </w:r>
          </w:p>
        </w:tc>
        <w:tc>
          <w:tcPr>
            <w:tcW w:w="839" w:type="dxa"/>
            <w:noWrap/>
            <w:vAlign w:val="bottom"/>
          </w:tcPr>
          <w:p w:rsidR="00000000" w:rsidRDefault="00000000">
            <w:pPr>
              <w:jc w:val="right"/>
              <w:rPr>
                <w:sz w:val="17"/>
                <w:szCs w:val="16"/>
              </w:rPr>
            </w:pPr>
            <w:r>
              <w:rPr>
                <w:sz w:val="17"/>
                <w:szCs w:val="16"/>
              </w:rPr>
              <w:t>132.443</w:t>
            </w:r>
          </w:p>
        </w:tc>
        <w:tc>
          <w:tcPr>
            <w:tcW w:w="840" w:type="dxa"/>
            <w:noWrap/>
            <w:vAlign w:val="bottom"/>
          </w:tcPr>
          <w:p w:rsidR="00000000" w:rsidRDefault="00000000">
            <w:pPr>
              <w:jc w:val="right"/>
              <w:rPr>
                <w:sz w:val="17"/>
                <w:szCs w:val="16"/>
              </w:rPr>
            </w:pPr>
            <w:r>
              <w:rPr>
                <w:sz w:val="17"/>
                <w:szCs w:val="16"/>
              </w:rPr>
              <w:t>133.656</w:t>
            </w:r>
          </w:p>
        </w:tc>
        <w:tc>
          <w:tcPr>
            <w:tcW w:w="826" w:type="dxa"/>
            <w:noWrap/>
            <w:vAlign w:val="bottom"/>
          </w:tcPr>
          <w:p w:rsidR="00000000" w:rsidRDefault="00000000">
            <w:pPr>
              <w:jc w:val="right"/>
              <w:rPr>
                <w:sz w:val="17"/>
                <w:szCs w:val="16"/>
              </w:rPr>
            </w:pPr>
            <w:r>
              <w:rPr>
                <w:sz w:val="17"/>
                <w:szCs w:val="16"/>
              </w:rPr>
              <w:t>134.842</w:t>
            </w:r>
          </w:p>
        </w:tc>
      </w:tr>
      <w:tr w:rsidR="00000000">
        <w:trPr>
          <w:trHeight w:val="20"/>
          <w:jc w:val="center"/>
        </w:trPr>
        <w:tc>
          <w:tcPr>
            <w:tcW w:w="2562" w:type="dxa"/>
            <w:noWrap/>
            <w:vAlign w:val="bottom"/>
          </w:tcPr>
          <w:p w:rsidR="00000000" w:rsidRDefault="00000000">
            <w:pPr>
              <w:rPr>
                <w:b/>
                <w:bCs/>
                <w:sz w:val="17"/>
                <w:szCs w:val="16"/>
              </w:rPr>
            </w:pPr>
            <w:r>
              <w:rPr>
                <w:b/>
                <w:bCs/>
                <w:sz w:val="17"/>
                <w:szCs w:val="16"/>
              </w:rPr>
              <w:t>Porcentaje menores de 15 años</w:t>
            </w:r>
          </w:p>
        </w:tc>
        <w:tc>
          <w:tcPr>
            <w:tcW w:w="840" w:type="dxa"/>
            <w:noWrap/>
            <w:vAlign w:val="bottom"/>
          </w:tcPr>
          <w:p w:rsidR="00000000" w:rsidRDefault="00000000">
            <w:pPr>
              <w:jc w:val="right"/>
              <w:rPr>
                <w:b/>
                <w:bCs/>
                <w:sz w:val="17"/>
                <w:szCs w:val="16"/>
              </w:rPr>
            </w:pPr>
            <w:r>
              <w:rPr>
                <w:b/>
                <w:bCs/>
                <w:sz w:val="17"/>
                <w:szCs w:val="16"/>
              </w:rPr>
              <w:t>40,7</w:t>
            </w:r>
          </w:p>
        </w:tc>
        <w:tc>
          <w:tcPr>
            <w:tcW w:w="840" w:type="dxa"/>
            <w:noWrap/>
            <w:vAlign w:val="bottom"/>
          </w:tcPr>
          <w:p w:rsidR="00000000" w:rsidRDefault="00000000">
            <w:pPr>
              <w:jc w:val="right"/>
              <w:rPr>
                <w:b/>
                <w:bCs/>
                <w:sz w:val="17"/>
                <w:szCs w:val="16"/>
              </w:rPr>
            </w:pPr>
            <w:r>
              <w:rPr>
                <w:b/>
                <w:bCs/>
                <w:sz w:val="17"/>
                <w:szCs w:val="16"/>
              </w:rPr>
              <w:t>40,4</w:t>
            </w:r>
          </w:p>
        </w:tc>
        <w:tc>
          <w:tcPr>
            <w:tcW w:w="826" w:type="dxa"/>
            <w:noWrap/>
            <w:vAlign w:val="bottom"/>
          </w:tcPr>
          <w:p w:rsidR="00000000" w:rsidRDefault="00000000">
            <w:pPr>
              <w:jc w:val="right"/>
              <w:rPr>
                <w:b/>
                <w:bCs/>
                <w:sz w:val="17"/>
                <w:szCs w:val="16"/>
              </w:rPr>
            </w:pPr>
            <w:r>
              <w:rPr>
                <w:b/>
                <w:bCs/>
                <w:sz w:val="17"/>
                <w:szCs w:val="16"/>
              </w:rPr>
              <w:t>40</w:t>
            </w:r>
          </w:p>
        </w:tc>
        <w:tc>
          <w:tcPr>
            <w:tcW w:w="853" w:type="dxa"/>
            <w:noWrap/>
            <w:vAlign w:val="bottom"/>
          </w:tcPr>
          <w:p w:rsidR="00000000" w:rsidRDefault="00000000">
            <w:pPr>
              <w:jc w:val="right"/>
              <w:rPr>
                <w:b/>
                <w:bCs/>
                <w:sz w:val="17"/>
                <w:szCs w:val="16"/>
              </w:rPr>
            </w:pPr>
            <w:r>
              <w:rPr>
                <w:b/>
                <w:bCs/>
                <w:sz w:val="17"/>
                <w:szCs w:val="16"/>
              </w:rPr>
              <w:t>39,6</w:t>
            </w:r>
          </w:p>
        </w:tc>
        <w:tc>
          <w:tcPr>
            <w:tcW w:w="840" w:type="dxa"/>
            <w:noWrap/>
            <w:vAlign w:val="bottom"/>
          </w:tcPr>
          <w:p w:rsidR="00000000" w:rsidRDefault="00000000">
            <w:pPr>
              <w:jc w:val="right"/>
              <w:rPr>
                <w:b/>
                <w:bCs/>
                <w:sz w:val="17"/>
                <w:szCs w:val="16"/>
              </w:rPr>
            </w:pPr>
            <w:r>
              <w:rPr>
                <w:b/>
                <w:bCs/>
                <w:sz w:val="17"/>
                <w:szCs w:val="16"/>
              </w:rPr>
              <w:t>39,1</w:t>
            </w:r>
          </w:p>
        </w:tc>
        <w:tc>
          <w:tcPr>
            <w:tcW w:w="840" w:type="dxa"/>
            <w:noWrap/>
            <w:vAlign w:val="bottom"/>
          </w:tcPr>
          <w:p w:rsidR="00000000" w:rsidRDefault="00000000">
            <w:pPr>
              <w:jc w:val="right"/>
              <w:rPr>
                <w:b/>
                <w:bCs/>
                <w:sz w:val="17"/>
                <w:szCs w:val="16"/>
              </w:rPr>
            </w:pPr>
            <w:r>
              <w:rPr>
                <w:b/>
                <w:bCs/>
                <w:sz w:val="17"/>
                <w:szCs w:val="16"/>
              </w:rPr>
              <w:t>38,7</w:t>
            </w:r>
          </w:p>
        </w:tc>
        <w:tc>
          <w:tcPr>
            <w:tcW w:w="854" w:type="dxa"/>
            <w:noWrap/>
            <w:vAlign w:val="bottom"/>
          </w:tcPr>
          <w:p w:rsidR="00000000" w:rsidRDefault="00000000">
            <w:pPr>
              <w:jc w:val="right"/>
              <w:rPr>
                <w:b/>
                <w:bCs/>
                <w:sz w:val="17"/>
                <w:szCs w:val="16"/>
              </w:rPr>
            </w:pPr>
            <w:r>
              <w:rPr>
                <w:b/>
                <w:bCs/>
                <w:sz w:val="17"/>
                <w:szCs w:val="16"/>
              </w:rPr>
              <w:t>38,2</w:t>
            </w:r>
          </w:p>
        </w:tc>
        <w:tc>
          <w:tcPr>
            <w:tcW w:w="826" w:type="dxa"/>
            <w:noWrap/>
            <w:vAlign w:val="bottom"/>
          </w:tcPr>
          <w:p w:rsidR="00000000" w:rsidRDefault="00000000">
            <w:pPr>
              <w:jc w:val="right"/>
              <w:rPr>
                <w:b/>
                <w:bCs/>
                <w:sz w:val="17"/>
                <w:szCs w:val="16"/>
              </w:rPr>
            </w:pPr>
            <w:r>
              <w:rPr>
                <w:b/>
                <w:bCs/>
                <w:sz w:val="17"/>
                <w:szCs w:val="16"/>
              </w:rPr>
              <w:t>37,7</w:t>
            </w:r>
          </w:p>
        </w:tc>
        <w:tc>
          <w:tcPr>
            <w:tcW w:w="826" w:type="dxa"/>
            <w:noWrap/>
            <w:vAlign w:val="bottom"/>
          </w:tcPr>
          <w:p w:rsidR="00000000" w:rsidRDefault="00000000">
            <w:pPr>
              <w:jc w:val="right"/>
              <w:rPr>
                <w:b/>
                <w:bCs/>
                <w:sz w:val="17"/>
                <w:szCs w:val="16"/>
              </w:rPr>
            </w:pPr>
            <w:r>
              <w:rPr>
                <w:b/>
                <w:bCs/>
                <w:sz w:val="17"/>
                <w:szCs w:val="16"/>
              </w:rPr>
              <w:t>37,3</w:t>
            </w:r>
          </w:p>
        </w:tc>
        <w:tc>
          <w:tcPr>
            <w:tcW w:w="826" w:type="dxa"/>
            <w:noWrap/>
            <w:vAlign w:val="bottom"/>
          </w:tcPr>
          <w:p w:rsidR="00000000" w:rsidRDefault="00000000">
            <w:pPr>
              <w:jc w:val="right"/>
              <w:rPr>
                <w:b/>
                <w:bCs/>
                <w:sz w:val="17"/>
                <w:szCs w:val="16"/>
              </w:rPr>
            </w:pPr>
            <w:r>
              <w:rPr>
                <w:b/>
                <w:bCs/>
                <w:sz w:val="17"/>
                <w:szCs w:val="16"/>
              </w:rPr>
              <w:t>36,8</w:t>
            </w:r>
          </w:p>
        </w:tc>
        <w:tc>
          <w:tcPr>
            <w:tcW w:w="839" w:type="dxa"/>
            <w:noWrap/>
            <w:vAlign w:val="bottom"/>
          </w:tcPr>
          <w:p w:rsidR="00000000" w:rsidRDefault="00000000">
            <w:pPr>
              <w:jc w:val="right"/>
              <w:rPr>
                <w:b/>
                <w:bCs/>
                <w:sz w:val="17"/>
                <w:szCs w:val="16"/>
              </w:rPr>
            </w:pPr>
            <w:r>
              <w:rPr>
                <w:b/>
                <w:bCs/>
                <w:sz w:val="17"/>
                <w:szCs w:val="16"/>
              </w:rPr>
              <w:t>36,3</w:t>
            </w:r>
          </w:p>
        </w:tc>
        <w:tc>
          <w:tcPr>
            <w:tcW w:w="840" w:type="dxa"/>
            <w:noWrap/>
            <w:vAlign w:val="bottom"/>
          </w:tcPr>
          <w:p w:rsidR="00000000" w:rsidRDefault="00000000">
            <w:pPr>
              <w:jc w:val="right"/>
              <w:rPr>
                <w:b/>
                <w:bCs/>
                <w:sz w:val="17"/>
                <w:szCs w:val="16"/>
              </w:rPr>
            </w:pPr>
            <w:r>
              <w:rPr>
                <w:b/>
                <w:bCs/>
                <w:sz w:val="17"/>
                <w:szCs w:val="16"/>
              </w:rPr>
              <w:t>35,9</w:t>
            </w:r>
          </w:p>
        </w:tc>
        <w:tc>
          <w:tcPr>
            <w:tcW w:w="826" w:type="dxa"/>
            <w:noWrap/>
            <w:vAlign w:val="bottom"/>
          </w:tcPr>
          <w:p w:rsidR="00000000" w:rsidRDefault="00000000">
            <w:pPr>
              <w:jc w:val="right"/>
              <w:rPr>
                <w:b/>
                <w:bCs/>
                <w:sz w:val="17"/>
                <w:szCs w:val="16"/>
              </w:rPr>
            </w:pPr>
            <w:r>
              <w:rPr>
                <w:b/>
                <w:bCs/>
                <w:sz w:val="17"/>
                <w:szCs w:val="16"/>
              </w:rPr>
              <w:t>35,4</w:t>
            </w:r>
          </w:p>
        </w:tc>
      </w:tr>
      <w:tr w:rsidR="00000000">
        <w:trPr>
          <w:trHeight w:val="20"/>
          <w:jc w:val="center"/>
        </w:trPr>
        <w:tc>
          <w:tcPr>
            <w:tcW w:w="2562" w:type="dxa"/>
            <w:noWrap/>
            <w:vAlign w:val="bottom"/>
          </w:tcPr>
          <w:p w:rsidR="00000000" w:rsidRDefault="00000000">
            <w:pPr>
              <w:ind w:left="290"/>
              <w:rPr>
                <w:b/>
                <w:bCs/>
                <w:sz w:val="17"/>
                <w:szCs w:val="16"/>
              </w:rPr>
            </w:pPr>
            <w:r>
              <w:rPr>
                <w:b/>
                <w:bCs/>
                <w:sz w:val="17"/>
                <w:szCs w:val="16"/>
              </w:rPr>
              <w:t>Total menores de 15 años</w:t>
            </w:r>
          </w:p>
        </w:tc>
        <w:tc>
          <w:tcPr>
            <w:tcW w:w="840" w:type="dxa"/>
            <w:noWrap/>
            <w:vAlign w:val="bottom"/>
          </w:tcPr>
          <w:p w:rsidR="00000000" w:rsidRDefault="00000000">
            <w:pPr>
              <w:jc w:val="right"/>
              <w:rPr>
                <w:b/>
                <w:bCs/>
                <w:sz w:val="17"/>
                <w:szCs w:val="16"/>
              </w:rPr>
            </w:pPr>
            <w:r>
              <w:rPr>
                <w:b/>
                <w:bCs/>
                <w:sz w:val="17"/>
                <w:szCs w:val="16"/>
              </w:rPr>
              <w:t>1.907.637</w:t>
            </w:r>
          </w:p>
        </w:tc>
        <w:tc>
          <w:tcPr>
            <w:tcW w:w="840" w:type="dxa"/>
            <w:noWrap/>
            <w:vAlign w:val="bottom"/>
          </w:tcPr>
          <w:p w:rsidR="00000000" w:rsidRDefault="00000000">
            <w:pPr>
              <w:jc w:val="right"/>
              <w:rPr>
                <w:b/>
                <w:bCs/>
                <w:sz w:val="17"/>
                <w:szCs w:val="16"/>
              </w:rPr>
            </w:pPr>
            <w:r>
              <w:rPr>
                <w:b/>
                <w:bCs/>
                <w:sz w:val="17"/>
                <w:szCs w:val="16"/>
              </w:rPr>
              <w:t>1.938.083</w:t>
            </w:r>
          </w:p>
        </w:tc>
        <w:tc>
          <w:tcPr>
            <w:tcW w:w="826" w:type="dxa"/>
            <w:noWrap/>
            <w:vAlign w:val="bottom"/>
          </w:tcPr>
          <w:p w:rsidR="00000000" w:rsidRDefault="00000000">
            <w:pPr>
              <w:jc w:val="right"/>
              <w:rPr>
                <w:b/>
                <w:bCs/>
                <w:sz w:val="17"/>
                <w:szCs w:val="16"/>
              </w:rPr>
            </w:pPr>
            <w:r>
              <w:rPr>
                <w:b/>
                <w:bCs/>
                <w:sz w:val="17"/>
                <w:szCs w:val="16"/>
              </w:rPr>
              <w:t>1.964.236</w:t>
            </w:r>
          </w:p>
        </w:tc>
        <w:tc>
          <w:tcPr>
            <w:tcW w:w="853" w:type="dxa"/>
            <w:noWrap/>
            <w:vAlign w:val="bottom"/>
          </w:tcPr>
          <w:p w:rsidR="00000000" w:rsidRDefault="00000000">
            <w:pPr>
              <w:jc w:val="right"/>
              <w:rPr>
                <w:b/>
                <w:bCs/>
                <w:sz w:val="17"/>
                <w:szCs w:val="16"/>
              </w:rPr>
            </w:pPr>
            <w:r>
              <w:rPr>
                <w:b/>
                <w:bCs/>
                <w:sz w:val="17"/>
                <w:szCs w:val="16"/>
              </w:rPr>
              <w:t>1.986.703</w:t>
            </w:r>
          </w:p>
        </w:tc>
        <w:tc>
          <w:tcPr>
            <w:tcW w:w="840" w:type="dxa"/>
            <w:noWrap/>
            <w:vAlign w:val="bottom"/>
          </w:tcPr>
          <w:p w:rsidR="00000000" w:rsidRDefault="00000000">
            <w:pPr>
              <w:jc w:val="right"/>
              <w:rPr>
                <w:b/>
                <w:bCs/>
                <w:sz w:val="17"/>
                <w:szCs w:val="16"/>
              </w:rPr>
            </w:pPr>
            <w:r>
              <w:rPr>
                <w:b/>
                <w:bCs/>
                <w:sz w:val="17"/>
                <w:szCs w:val="16"/>
              </w:rPr>
              <w:t>2.006.521</w:t>
            </w:r>
          </w:p>
        </w:tc>
        <w:tc>
          <w:tcPr>
            <w:tcW w:w="840" w:type="dxa"/>
            <w:noWrap/>
            <w:vAlign w:val="bottom"/>
          </w:tcPr>
          <w:p w:rsidR="00000000" w:rsidRDefault="00000000">
            <w:pPr>
              <w:jc w:val="right"/>
              <w:rPr>
                <w:b/>
                <w:bCs/>
                <w:sz w:val="17"/>
                <w:szCs w:val="16"/>
              </w:rPr>
            </w:pPr>
            <w:r>
              <w:rPr>
                <w:b/>
                <w:bCs/>
                <w:sz w:val="17"/>
                <w:szCs w:val="16"/>
              </w:rPr>
              <w:t>2.024.732</w:t>
            </w:r>
          </w:p>
        </w:tc>
        <w:tc>
          <w:tcPr>
            <w:tcW w:w="854" w:type="dxa"/>
            <w:noWrap/>
            <w:vAlign w:val="bottom"/>
          </w:tcPr>
          <w:p w:rsidR="00000000" w:rsidRDefault="00000000">
            <w:pPr>
              <w:jc w:val="right"/>
              <w:rPr>
                <w:b/>
                <w:bCs/>
                <w:sz w:val="17"/>
                <w:szCs w:val="16"/>
              </w:rPr>
            </w:pPr>
            <w:r>
              <w:rPr>
                <w:b/>
                <w:bCs/>
                <w:sz w:val="17"/>
                <w:szCs w:val="16"/>
              </w:rPr>
              <w:t>2.042.375</w:t>
            </w:r>
          </w:p>
        </w:tc>
        <w:tc>
          <w:tcPr>
            <w:tcW w:w="826" w:type="dxa"/>
            <w:noWrap/>
            <w:vAlign w:val="bottom"/>
          </w:tcPr>
          <w:p w:rsidR="00000000" w:rsidRDefault="00000000">
            <w:pPr>
              <w:jc w:val="right"/>
              <w:rPr>
                <w:b/>
                <w:bCs/>
                <w:sz w:val="17"/>
                <w:szCs w:val="16"/>
              </w:rPr>
            </w:pPr>
            <w:r>
              <w:rPr>
                <w:b/>
                <w:bCs/>
                <w:sz w:val="17"/>
                <w:szCs w:val="16"/>
              </w:rPr>
              <w:t>2.059.298</w:t>
            </w:r>
          </w:p>
        </w:tc>
        <w:tc>
          <w:tcPr>
            <w:tcW w:w="826" w:type="dxa"/>
            <w:noWrap/>
            <w:vAlign w:val="bottom"/>
          </w:tcPr>
          <w:p w:rsidR="00000000" w:rsidRDefault="00000000">
            <w:pPr>
              <w:jc w:val="right"/>
              <w:rPr>
                <w:b/>
                <w:bCs/>
                <w:sz w:val="17"/>
                <w:szCs w:val="16"/>
              </w:rPr>
            </w:pPr>
            <w:r>
              <w:rPr>
                <w:b/>
                <w:bCs/>
                <w:sz w:val="17"/>
                <w:szCs w:val="16"/>
              </w:rPr>
              <w:t>2.074.807</w:t>
            </w:r>
          </w:p>
        </w:tc>
        <w:tc>
          <w:tcPr>
            <w:tcW w:w="826" w:type="dxa"/>
            <w:noWrap/>
            <w:vAlign w:val="bottom"/>
          </w:tcPr>
          <w:p w:rsidR="00000000" w:rsidRDefault="00000000">
            <w:pPr>
              <w:jc w:val="right"/>
              <w:rPr>
                <w:b/>
                <w:bCs/>
                <w:sz w:val="17"/>
                <w:szCs w:val="16"/>
              </w:rPr>
            </w:pPr>
            <w:r>
              <w:rPr>
                <w:b/>
                <w:bCs/>
                <w:sz w:val="17"/>
                <w:szCs w:val="16"/>
              </w:rPr>
              <w:t>2.089.131</w:t>
            </w:r>
          </w:p>
        </w:tc>
        <w:tc>
          <w:tcPr>
            <w:tcW w:w="839" w:type="dxa"/>
            <w:noWrap/>
            <w:vAlign w:val="bottom"/>
          </w:tcPr>
          <w:p w:rsidR="00000000" w:rsidRDefault="00000000">
            <w:pPr>
              <w:jc w:val="right"/>
              <w:rPr>
                <w:b/>
                <w:bCs/>
                <w:sz w:val="17"/>
                <w:szCs w:val="16"/>
              </w:rPr>
            </w:pPr>
            <w:r>
              <w:rPr>
                <w:b/>
                <w:bCs/>
                <w:sz w:val="17"/>
                <w:szCs w:val="16"/>
              </w:rPr>
              <w:t>2.102.499</w:t>
            </w:r>
          </w:p>
        </w:tc>
        <w:tc>
          <w:tcPr>
            <w:tcW w:w="840" w:type="dxa"/>
            <w:noWrap/>
            <w:vAlign w:val="bottom"/>
          </w:tcPr>
          <w:p w:rsidR="00000000" w:rsidRDefault="00000000">
            <w:pPr>
              <w:jc w:val="right"/>
              <w:rPr>
                <w:b/>
                <w:bCs/>
                <w:sz w:val="17"/>
                <w:szCs w:val="16"/>
              </w:rPr>
            </w:pPr>
            <w:r>
              <w:rPr>
                <w:b/>
                <w:bCs/>
                <w:sz w:val="17"/>
                <w:szCs w:val="16"/>
              </w:rPr>
              <w:t>2.115.138</w:t>
            </w:r>
          </w:p>
        </w:tc>
        <w:tc>
          <w:tcPr>
            <w:tcW w:w="826" w:type="dxa"/>
            <w:noWrap/>
            <w:vAlign w:val="bottom"/>
          </w:tcPr>
          <w:p w:rsidR="00000000" w:rsidRDefault="00000000">
            <w:pPr>
              <w:jc w:val="right"/>
              <w:rPr>
                <w:b/>
                <w:bCs/>
                <w:sz w:val="17"/>
                <w:szCs w:val="16"/>
              </w:rPr>
            </w:pPr>
            <w:r>
              <w:rPr>
                <w:b/>
                <w:bCs/>
                <w:sz w:val="17"/>
                <w:szCs w:val="16"/>
              </w:rPr>
              <w:t>2.126.985</w:t>
            </w:r>
          </w:p>
        </w:tc>
      </w:tr>
      <w:tr w:rsidR="00000000">
        <w:trPr>
          <w:trHeight w:val="20"/>
          <w:jc w:val="center"/>
        </w:trPr>
        <w:tc>
          <w:tcPr>
            <w:tcW w:w="2562" w:type="dxa"/>
            <w:noWrap/>
            <w:vAlign w:val="bottom"/>
          </w:tcPr>
          <w:p w:rsidR="00000000" w:rsidRDefault="00000000">
            <w:pPr>
              <w:ind w:firstLine="530"/>
              <w:rPr>
                <w:b/>
                <w:bCs/>
                <w:sz w:val="17"/>
                <w:szCs w:val="16"/>
              </w:rPr>
            </w:pPr>
            <w:r>
              <w:rPr>
                <w:b/>
                <w:bCs/>
                <w:sz w:val="17"/>
                <w:szCs w:val="16"/>
              </w:rPr>
              <w:t>Total país</w:t>
            </w:r>
          </w:p>
        </w:tc>
        <w:tc>
          <w:tcPr>
            <w:tcW w:w="840" w:type="dxa"/>
            <w:noWrap/>
            <w:vAlign w:val="bottom"/>
          </w:tcPr>
          <w:p w:rsidR="00000000" w:rsidRDefault="00000000">
            <w:pPr>
              <w:jc w:val="right"/>
              <w:rPr>
                <w:b/>
                <w:bCs/>
                <w:sz w:val="17"/>
                <w:szCs w:val="16"/>
              </w:rPr>
            </w:pPr>
            <w:r>
              <w:rPr>
                <w:b/>
                <w:bCs/>
                <w:sz w:val="17"/>
                <w:szCs w:val="16"/>
              </w:rPr>
              <w:t>4.688.855</w:t>
            </w:r>
          </w:p>
        </w:tc>
        <w:tc>
          <w:tcPr>
            <w:tcW w:w="840" w:type="dxa"/>
            <w:noWrap/>
            <w:vAlign w:val="bottom"/>
          </w:tcPr>
          <w:p w:rsidR="00000000" w:rsidRDefault="00000000">
            <w:pPr>
              <w:jc w:val="right"/>
              <w:rPr>
                <w:b/>
                <w:bCs/>
                <w:sz w:val="17"/>
                <w:szCs w:val="16"/>
              </w:rPr>
            </w:pPr>
            <w:r>
              <w:rPr>
                <w:b/>
                <w:bCs/>
                <w:sz w:val="17"/>
                <w:szCs w:val="16"/>
              </w:rPr>
              <w:t>4.798.950</w:t>
            </w:r>
          </w:p>
        </w:tc>
        <w:tc>
          <w:tcPr>
            <w:tcW w:w="826" w:type="dxa"/>
            <w:noWrap/>
            <w:vAlign w:val="bottom"/>
          </w:tcPr>
          <w:p w:rsidR="00000000" w:rsidRDefault="00000000">
            <w:pPr>
              <w:jc w:val="right"/>
              <w:rPr>
                <w:b/>
                <w:bCs/>
                <w:sz w:val="17"/>
                <w:szCs w:val="16"/>
              </w:rPr>
            </w:pPr>
            <w:r>
              <w:rPr>
                <w:b/>
                <w:bCs/>
                <w:sz w:val="17"/>
                <w:szCs w:val="16"/>
              </w:rPr>
              <w:t>4.908.587</w:t>
            </w:r>
          </w:p>
        </w:tc>
        <w:tc>
          <w:tcPr>
            <w:tcW w:w="853" w:type="dxa"/>
            <w:noWrap/>
            <w:vAlign w:val="bottom"/>
          </w:tcPr>
          <w:p w:rsidR="00000000" w:rsidRDefault="00000000">
            <w:pPr>
              <w:jc w:val="right"/>
              <w:rPr>
                <w:b/>
                <w:bCs/>
                <w:sz w:val="17"/>
                <w:szCs w:val="16"/>
              </w:rPr>
            </w:pPr>
            <w:r>
              <w:rPr>
                <w:b/>
                <w:bCs/>
                <w:sz w:val="17"/>
                <w:szCs w:val="16"/>
              </w:rPr>
              <w:t>5.017.920</w:t>
            </w:r>
          </w:p>
        </w:tc>
        <w:tc>
          <w:tcPr>
            <w:tcW w:w="840" w:type="dxa"/>
            <w:noWrap/>
            <w:vAlign w:val="bottom"/>
          </w:tcPr>
          <w:p w:rsidR="00000000" w:rsidRDefault="00000000">
            <w:pPr>
              <w:jc w:val="right"/>
              <w:rPr>
                <w:b/>
                <w:bCs/>
                <w:sz w:val="17"/>
                <w:szCs w:val="16"/>
              </w:rPr>
            </w:pPr>
            <w:r>
              <w:rPr>
                <w:b/>
                <w:bCs/>
                <w:sz w:val="17"/>
                <w:szCs w:val="16"/>
              </w:rPr>
              <w:t>5.127.167</w:t>
            </w:r>
          </w:p>
        </w:tc>
        <w:tc>
          <w:tcPr>
            <w:tcW w:w="840" w:type="dxa"/>
            <w:noWrap/>
            <w:vAlign w:val="bottom"/>
          </w:tcPr>
          <w:p w:rsidR="00000000" w:rsidRDefault="00000000">
            <w:pPr>
              <w:jc w:val="right"/>
              <w:rPr>
                <w:b/>
                <w:bCs/>
                <w:sz w:val="17"/>
                <w:szCs w:val="16"/>
              </w:rPr>
            </w:pPr>
            <w:r>
              <w:rPr>
                <w:b/>
                <w:bCs/>
                <w:sz w:val="17"/>
                <w:szCs w:val="16"/>
              </w:rPr>
              <w:t>5.236.543</w:t>
            </w:r>
          </w:p>
        </w:tc>
        <w:tc>
          <w:tcPr>
            <w:tcW w:w="854" w:type="dxa"/>
            <w:noWrap/>
            <w:vAlign w:val="bottom"/>
          </w:tcPr>
          <w:p w:rsidR="00000000" w:rsidRDefault="00000000">
            <w:pPr>
              <w:jc w:val="right"/>
              <w:rPr>
                <w:b/>
                <w:bCs/>
                <w:sz w:val="17"/>
                <w:szCs w:val="16"/>
              </w:rPr>
            </w:pPr>
            <w:r>
              <w:rPr>
                <w:b/>
                <w:bCs/>
                <w:sz w:val="17"/>
                <w:szCs w:val="16"/>
              </w:rPr>
              <w:t>5.346.267</w:t>
            </w:r>
          </w:p>
        </w:tc>
        <w:tc>
          <w:tcPr>
            <w:tcW w:w="826" w:type="dxa"/>
            <w:noWrap/>
            <w:vAlign w:val="bottom"/>
          </w:tcPr>
          <w:p w:rsidR="00000000" w:rsidRDefault="00000000">
            <w:pPr>
              <w:jc w:val="right"/>
              <w:rPr>
                <w:b/>
                <w:bCs/>
                <w:sz w:val="17"/>
                <w:szCs w:val="16"/>
              </w:rPr>
            </w:pPr>
            <w:r>
              <w:rPr>
                <w:b/>
                <w:bCs/>
                <w:sz w:val="17"/>
                <w:szCs w:val="16"/>
              </w:rPr>
              <w:t>5.456.418</w:t>
            </w:r>
          </w:p>
        </w:tc>
        <w:tc>
          <w:tcPr>
            <w:tcW w:w="826" w:type="dxa"/>
            <w:noWrap/>
            <w:vAlign w:val="bottom"/>
          </w:tcPr>
          <w:p w:rsidR="00000000" w:rsidRDefault="00000000">
            <w:pPr>
              <w:jc w:val="right"/>
              <w:rPr>
                <w:b/>
                <w:bCs/>
                <w:sz w:val="17"/>
                <w:szCs w:val="16"/>
              </w:rPr>
            </w:pPr>
            <w:r>
              <w:rPr>
                <w:b/>
                <w:bCs/>
                <w:sz w:val="17"/>
                <w:szCs w:val="16"/>
              </w:rPr>
              <w:t>5.566.852</w:t>
            </w:r>
          </w:p>
        </w:tc>
        <w:tc>
          <w:tcPr>
            <w:tcW w:w="826" w:type="dxa"/>
            <w:noWrap/>
            <w:vAlign w:val="bottom"/>
          </w:tcPr>
          <w:p w:rsidR="00000000" w:rsidRDefault="00000000">
            <w:pPr>
              <w:jc w:val="right"/>
              <w:rPr>
                <w:b/>
                <w:bCs/>
                <w:sz w:val="17"/>
                <w:szCs w:val="16"/>
              </w:rPr>
            </w:pPr>
            <w:r>
              <w:rPr>
                <w:b/>
                <w:bCs/>
                <w:sz w:val="17"/>
                <w:szCs w:val="16"/>
              </w:rPr>
              <w:t>5.677.448</w:t>
            </w:r>
          </w:p>
        </w:tc>
        <w:tc>
          <w:tcPr>
            <w:tcW w:w="839" w:type="dxa"/>
            <w:noWrap/>
            <w:vAlign w:val="bottom"/>
          </w:tcPr>
          <w:p w:rsidR="00000000" w:rsidRDefault="00000000">
            <w:pPr>
              <w:jc w:val="right"/>
              <w:rPr>
                <w:b/>
                <w:bCs/>
                <w:sz w:val="17"/>
                <w:szCs w:val="16"/>
              </w:rPr>
            </w:pPr>
            <w:r>
              <w:rPr>
                <w:b/>
                <w:bCs/>
                <w:sz w:val="17"/>
                <w:szCs w:val="16"/>
              </w:rPr>
              <w:t>5.788.088</w:t>
            </w:r>
          </w:p>
        </w:tc>
        <w:tc>
          <w:tcPr>
            <w:tcW w:w="840" w:type="dxa"/>
            <w:noWrap/>
            <w:vAlign w:val="bottom"/>
          </w:tcPr>
          <w:p w:rsidR="00000000" w:rsidRDefault="00000000">
            <w:pPr>
              <w:jc w:val="right"/>
              <w:rPr>
                <w:b/>
                <w:bCs/>
                <w:sz w:val="17"/>
                <w:szCs w:val="16"/>
              </w:rPr>
            </w:pPr>
            <w:r>
              <w:rPr>
                <w:b/>
                <w:bCs/>
                <w:sz w:val="17"/>
                <w:szCs w:val="16"/>
              </w:rPr>
              <w:t>5.898.651</w:t>
            </w:r>
          </w:p>
        </w:tc>
        <w:tc>
          <w:tcPr>
            <w:tcW w:w="826" w:type="dxa"/>
            <w:noWrap/>
            <w:vAlign w:val="bottom"/>
          </w:tcPr>
          <w:p w:rsidR="00000000" w:rsidRDefault="00000000">
            <w:pPr>
              <w:jc w:val="right"/>
              <w:rPr>
                <w:b/>
                <w:bCs/>
                <w:sz w:val="17"/>
                <w:szCs w:val="16"/>
              </w:rPr>
            </w:pPr>
            <w:r>
              <w:rPr>
                <w:b/>
                <w:bCs/>
                <w:sz w:val="17"/>
                <w:szCs w:val="16"/>
              </w:rPr>
              <w:t>6.009.143</w:t>
            </w:r>
          </w:p>
        </w:tc>
      </w:tr>
    </w:tbl>
    <w:p w:rsidR="00000000" w:rsidRDefault="00000000">
      <w:pPr>
        <w:spacing w:before="200" w:after="240"/>
        <w:rPr>
          <w:b/>
          <w:sz w:val="17"/>
        </w:rPr>
      </w:pPr>
      <w:r>
        <w:rPr>
          <w:i/>
          <w:iCs/>
          <w:sz w:val="17"/>
          <w:szCs w:val="16"/>
        </w:rPr>
        <w:t>Fuente</w:t>
      </w:r>
      <w:r>
        <w:rPr>
          <w:sz w:val="17"/>
          <w:szCs w:val="16"/>
        </w:rPr>
        <w:t>:  STP/DGEEC.  Censo Nacional de Población y Viviendas 2002.</w:t>
      </w:r>
    </w:p>
    <w:p w:rsidR="00000000" w:rsidRDefault="00000000">
      <w:pPr>
        <w:spacing w:after="240"/>
        <w:sectPr w:rsidR="00000000">
          <w:headerReference w:type="default" r:id="rId15"/>
          <w:headerReference w:type="first" r:id="rId16"/>
          <w:pgSz w:w="16838" w:h="11906" w:orient="landscape" w:code="9"/>
          <w:pgMar w:top="1701" w:right="1701" w:bottom="1701" w:left="1701" w:header="851" w:footer="567" w:gutter="0"/>
          <w:cols w:space="708"/>
          <w:docGrid w:linePitch="360"/>
        </w:sectPr>
      </w:pPr>
    </w:p>
    <w:p w:rsidR="00000000" w:rsidRDefault="00000000">
      <w:pPr>
        <w:spacing w:after="240"/>
        <w:rPr>
          <w:b/>
        </w:rPr>
      </w:pPr>
      <w:r>
        <w:rPr>
          <w:b/>
        </w:rPr>
        <w:tab/>
        <w:t>Porcentaje de la población de 65 años y más</w:t>
      </w:r>
    </w:p>
    <w:p w:rsidR="00000000" w:rsidRDefault="00000000">
      <w:pPr>
        <w:autoSpaceDE w:val="0"/>
        <w:autoSpaceDN w:val="0"/>
        <w:adjustRightInd w:val="0"/>
        <w:spacing w:after="240"/>
      </w:pPr>
      <w:r>
        <w:t>31.</w:t>
      </w:r>
      <w:r>
        <w:tab/>
        <w:t>La población de 65 años y más, ha experimentado un moderado ascenso.  En particular, al contrastar los datos estadísticos correspondientes al período 1994-2005 se puede distinguir que esta sección de la población ha pasado a comprender de un 4,2 a un 4,7% sobre el total de la población.  Asimismo, la franja poblacional más numerosa comprende las personas entre 65 y 70 años de edad (ver datos discriminados a continuación).</w:t>
      </w:r>
    </w:p>
    <w:tbl>
      <w:tblPr>
        <w:tblW w:w="9360" w:type="dxa"/>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09"/>
        <w:gridCol w:w="588"/>
        <w:gridCol w:w="560"/>
        <w:gridCol w:w="560"/>
        <w:gridCol w:w="560"/>
        <w:gridCol w:w="574"/>
        <w:gridCol w:w="574"/>
        <w:gridCol w:w="587"/>
        <w:gridCol w:w="560"/>
        <w:gridCol w:w="574"/>
        <w:gridCol w:w="574"/>
        <w:gridCol w:w="560"/>
        <w:gridCol w:w="630"/>
        <w:gridCol w:w="650"/>
      </w:tblGrid>
      <w:tr w:rsidR="00000000">
        <w:trPr>
          <w:jc w:val="center"/>
        </w:trPr>
        <w:tc>
          <w:tcPr>
            <w:tcW w:w="1809" w:type="dxa"/>
            <w:vAlign w:val="bottom"/>
          </w:tcPr>
          <w:p w:rsidR="00000000" w:rsidRDefault="00000000">
            <w:pPr>
              <w:rPr>
                <w:b/>
                <w:bCs/>
                <w:sz w:val="15"/>
                <w:szCs w:val="16"/>
              </w:rPr>
            </w:pPr>
            <w:r>
              <w:rPr>
                <w:b/>
                <w:bCs/>
                <w:sz w:val="15"/>
                <w:szCs w:val="16"/>
              </w:rPr>
              <w:t>Porcentaje 65 años y más</w:t>
            </w:r>
          </w:p>
        </w:tc>
        <w:tc>
          <w:tcPr>
            <w:tcW w:w="588" w:type="dxa"/>
            <w:noWrap/>
            <w:vAlign w:val="bottom"/>
          </w:tcPr>
          <w:p w:rsidR="00000000" w:rsidRDefault="00000000">
            <w:pPr>
              <w:jc w:val="center"/>
              <w:rPr>
                <w:b/>
                <w:bCs/>
                <w:sz w:val="15"/>
                <w:szCs w:val="16"/>
              </w:rPr>
            </w:pPr>
            <w:r>
              <w:rPr>
                <w:b/>
                <w:bCs/>
                <w:sz w:val="15"/>
                <w:szCs w:val="16"/>
              </w:rPr>
              <w:t>4,2</w:t>
            </w:r>
          </w:p>
        </w:tc>
        <w:tc>
          <w:tcPr>
            <w:tcW w:w="560" w:type="dxa"/>
            <w:noWrap/>
            <w:vAlign w:val="bottom"/>
          </w:tcPr>
          <w:p w:rsidR="00000000" w:rsidRDefault="00000000">
            <w:pPr>
              <w:jc w:val="center"/>
              <w:rPr>
                <w:b/>
                <w:bCs/>
                <w:sz w:val="15"/>
                <w:szCs w:val="16"/>
              </w:rPr>
            </w:pPr>
            <w:r>
              <w:rPr>
                <w:b/>
                <w:bCs/>
                <w:sz w:val="15"/>
                <w:szCs w:val="16"/>
              </w:rPr>
              <w:t>4,2</w:t>
            </w:r>
          </w:p>
        </w:tc>
        <w:tc>
          <w:tcPr>
            <w:tcW w:w="560" w:type="dxa"/>
            <w:noWrap/>
            <w:vAlign w:val="bottom"/>
          </w:tcPr>
          <w:p w:rsidR="00000000" w:rsidRDefault="00000000">
            <w:pPr>
              <w:jc w:val="center"/>
              <w:rPr>
                <w:b/>
                <w:bCs/>
                <w:sz w:val="15"/>
                <w:szCs w:val="16"/>
              </w:rPr>
            </w:pPr>
            <w:r>
              <w:rPr>
                <w:b/>
                <w:bCs/>
                <w:sz w:val="15"/>
                <w:szCs w:val="16"/>
              </w:rPr>
              <w:t>4,3</w:t>
            </w:r>
          </w:p>
        </w:tc>
        <w:tc>
          <w:tcPr>
            <w:tcW w:w="560" w:type="dxa"/>
            <w:noWrap/>
            <w:vAlign w:val="bottom"/>
          </w:tcPr>
          <w:p w:rsidR="00000000" w:rsidRDefault="00000000">
            <w:pPr>
              <w:jc w:val="center"/>
              <w:rPr>
                <w:b/>
                <w:bCs/>
                <w:sz w:val="15"/>
                <w:szCs w:val="16"/>
              </w:rPr>
            </w:pPr>
            <w:r>
              <w:rPr>
                <w:b/>
                <w:bCs/>
                <w:sz w:val="15"/>
                <w:szCs w:val="16"/>
              </w:rPr>
              <w:t>4,3</w:t>
            </w:r>
          </w:p>
        </w:tc>
        <w:tc>
          <w:tcPr>
            <w:tcW w:w="574" w:type="dxa"/>
            <w:noWrap/>
            <w:vAlign w:val="bottom"/>
          </w:tcPr>
          <w:p w:rsidR="00000000" w:rsidRDefault="00000000">
            <w:pPr>
              <w:jc w:val="center"/>
              <w:rPr>
                <w:b/>
                <w:bCs/>
                <w:sz w:val="15"/>
                <w:szCs w:val="16"/>
              </w:rPr>
            </w:pPr>
            <w:r>
              <w:rPr>
                <w:b/>
                <w:bCs/>
                <w:sz w:val="15"/>
                <w:szCs w:val="16"/>
              </w:rPr>
              <w:t>4,3</w:t>
            </w:r>
          </w:p>
        </w:tc>
        <w:tc>
          <w:tcPr>
            <w:tcW w:w="574" w:type="dxa"/>
            <w:noWrap/>
            <w:vAlign w:val="bottom"/>
          </w:tcPr>
          <w:p w:rsidR="00000000" w:rsidRDefault="00000000">
            <w:pPr>
              <w:jc w:val="center"/>
              <w:rPr>
                <w:b/>
                <w:bCs/>
                <w:sz w:val="15"/>
                <w:szCs w:val="16"/>
              </w:rPr>
            </w:pPr>
            <w:r>
              <w:rPr>
                <w:b/>
                <w:bCs/>
                <w:sz w:val="15"/>
                <w:szCs w:val="16"/>
              </w:rPr>
              <w:t>4,3</w:t>
            </w:r>
          </w:p>
        </w:tc>
        <w:tc>
          <w:tcPr>
            <w:tcW w:w="587" w:type="dxa"/>
            <w:noWrap/>
            <w:vAlign w:val="bottom"/>
          </w:tcPr>
          <w:p w:rsidR="00000000" w:rsidRDefault="00000000">
            <w:pPr>
              <w:jc w:val="center"/>
              <w:rPr>
                <w:b/>
                <w:bCs/>
                <w:sz w:val="15"/>
                <w:szCs w:val="16"/>
              </w:rPr>
            </w:pPr>
            <w:r>
              <w:rPr>
                <w:b/>
                <w:bCs/>
                <w:sz w:val="15"/>
                <w:szCs w:val="16"/>
              </w:rPr>
              <w:t>4,3</w:t>
            </w:r>
          </w:p>
        </w:tc>
        <w:tc>
          <w:tcPr>
            <w:tcW w:w="560" w:type="dxa"/>
            <w:noWrap/>
            <w:vAlign w:val="bottom"/>
          </w:tcPr>
          <w:p w:rsidR="00000000" w:rsidRDefault="00000000">
            <w:pPr>
              <w:jc w:val="center"/>
              <w:rPr>
                <w:b/>
                <w:bCs/>
                <w:sz w:val="15"/>
                <w:szCs w:val="16"/>
              </w:rPr>
            </w:pPr>
            <w:r>
              <w:rPr>
                <w:b/>
                <w:bCs/>
                <w:sz w:val="15"/>
                <w:szCs w:val="16"/>
              </w:rPr>
              <w:t>4,4</w:t>
            </w:r>
          </w:p>
        </w:tc>
        <w:tc>
          <w:tcPr>
            <w:tcW w:w="574" w:type="dxa"/>
            <w:noWrap/>
            <w:vAlign w:val="bottom"/>
          </w:tcPr>
          <w:p w:rsidR="00000000" w:rsidRDefault="00000000">
            <w:pPr>
              <w:jc w:val="center"/>
              <w:rPr>
                <w:b/>
                <w:bCs/>
                <w:sz w:val="15"/>
                <w:szCs w:val="16"/>
              </w:rPr>
            </w:pPr>
            <w:r>
              <w:rPr>
                <w:b/>
                <w:bCs/>
                <w:sz w:val="15"/>
                <w:szCs w:val="16"/>
              </w:rPr>
              <w:t>4,5</w:t>
            </w:r>
          </w:p>
        </w:tc>
        <w:tc>
          <w:tcPr>
            <w:tcW w:w="574" w:type="dxa"/>
            <w:noWrap/>
            <w:vAlign w:val="bottom"/>
          </w:tcPr>
          <w:p w:rsidR="00000000" w:rsidRDefault="00000000">
            <w:pPr>
              <w:jc w:val="center"/>
              <w:rPr>
                <w:b/>
                <w:bCs/>
                <w:sz w:val="15"/>
                <w:szCs w:val="16"/>
              </w:rPr>
            </w:pPr>
            <w:r>
              <w:rPr>
                <w:b/>
                <w:bCs/>
                <w:sz w:val="15"/>
                <w:szCs w:val="16"/>
              </w:rPr>
              <w:t>4,5</w:t>
            </w:r>
          </w:p>
        </w:tc>
        <w:tc>
          <w:tcPr>
            <w:tcW w:w="560" w:type="dxa"/>
            <w:noWrap/>
            <w:vAlign w:val="bottom"/>
          </w:tcPr>
          <w:p w:rsidR="00000000" w:rsidRDefault="00000000">
            <w:pPr>
              <w:jc w:val="center"/>
              <w:rPr>
                <w:b/>
                <w:bCs/>
                <w:sz w:val="15"/>
                <w:szCs w:val="16"/>
              </w:rPr>
            </w:pPr>
            <w:r>
              <w:rPr>
                <w:b/>
                <w:bCs/>
                <w:sz w:val="15"/>
                <w:szCs w:val="16"/>
              </w:rPr>
              <w:t>4,6</w:t>
            </w:r>
          </w:p>
        </w:tc>
        <w:tc>
          <w:tcPr>
            <w:tcW w:w="630" w:type="dxa"/>
            <w:noWrap/>
            <w:vAlign w:val="bottom"/>
          </w:tcPr>
          <w:p w:rsidR="00000000" w:rsidRDefault="00000000">
            <w:pPr>
              <w:jc w:val="center"/>
              <w:rPr>
                <w:b/>
                <w:bCs/>
                <w:sz w:val="15"/>
                <w:szCs w:val="16"/>
              </w:rPr>
            </w:pPr>
            <w:r>
              <w:rPr>
                <w:b/>
                <w:bCs/>
                <w:sz w:val="15"/>
                <w:szCs w:val="16"/>
              </w:rPr>
              <w:t>4,7</w:t>
            </w:r>
          </w:p>
        </w:tc>
        <w:tc>
          <w:tcPr>
            <w:tcW w:w="650" w:type="dxa"/>
            <w:noWrap/>
            <w:vAlign w:val="bottom"/>
          </w:tcPr>
          <w:p w:rsidR="00000000" w:rsidRDefault="00000000">
            <w:pPr>
              <w:jc w:val="center"/>
              <w:rPr>
                <w:b/>
                <w:bCs/>
                <w:sz w:val="15"/>
                <w:szCs w:val="16"/>
              </w:rPr>
            </w:pPr>
            <w:r>
              <w:rPr>
                <w:b/>
                <w:bCs/>
                <w:sz w:val="15"/>
                <w:szCs w:val="16"/>
              </w:rPr>
              <w:t>4,8</w:t>
            </w:r>
          </w:p>
        </w:tc>
      </w:tr>
      <w:tr w:rsidR="00000000">
        <w:trPr>
          <w:jc w:val="center"/>
        </w:trPr>
        <w:tc>
          <w:tcPr>
            <w:tcW w:w="1809" w:type="dxa"/>
            <w:noWrap/>
            <w:vAlign w:val="bottom"/>
          </w:tcPr>
          <w:p w:rsidR="00000000" w:rsidRDefault="00000000">
            <w:pPr>
              <w:rPr>
                <w:sz w:val="15"/>
                <w:szCs w:val="16"/>
              </w:rPr>
            </w:pPr>
            <w:r>
              <w:rPr>
                <w:sz w:val="15"/>
                <w:szCs w:val="16"/>
              </w:rPr>
              <w:t>De 65 a 69 años</w:t>
            </w:r>
          </w:p>
        </w:tc>
        <w:tc>
          <w:tcPr>
            <w:tcW w:w="588" w:type="dxa"/>
            <w:noWrap/>
            <w:vAlign w:val="bottom"/>
          </w:tcPr>
          <w:p w:rsidR="00000000" w:rsidRDefault="00000000">
            <w:pPr>
              <w:jc w:val="right"/>
              <w:rPr>
                <w:sz w:val="15"/>
                <w:szCs w:val="16"/>
              </w:rPr>
            </w:pPr>
            <w:r>
              <w:rPr>
                <w:sz w:val="15"/>
                <w:szCs w:val="16"/>
              </w:rPr>
              <w:t>77.507</w:t>
            </w:r>
          </w:p>
        </w:tc>
        <w:tc>
          <w:tcPr>
            <w:tcW w:w="560" w:type="dxa"/>
            <w:noWrap/>
            <w:vAlign w:val="bottom"/>
          </w:tcPr>
          <w:p w:rsidR="00000000" w:rsidRDefault="00000000">
            <w:pPr>
              <w:jc w:val="right"/>
              <w:rPr>
                <w:sz w:val="15"/>
                <w:szCs w:val="16"/>
              </w:rPr>
            </w:pPr>
            <w:r>
              <w:rPr>
                <w:sz w:val="15"/>
                <w:szCs w:val="16"/>
              </w:rPr>
              <w:t>79.276</w:t>
            </w:r>
          </w:p>
        </w:tc>
        <w:tc>
          <w:tcPr>
            <w:tcW w:w="560" w:type="dxa"/>
            <w:noWrap/>
            <w:vAlign w:val="bottom"/>
          </w:tcPr>
          <w:p w:rsidR="00000000" w:rsidRDefault="00000000">
            <w:pPr>
              <w:jc w:val="right"/>
              <w:rPr>
                <w:sz w:val="15"/>
                <w:szCs w:val="16"/>
              </w:rPr>
            </w:pPr>
            <w:r>
              <w:rPr>
                <w:sz w:val="15"/>
                <w:szCs w:val="16"/>
              </w:rPr>
              <w:t>80.013</w:t>
            </w:r>
          </w:p>
        </w:tc>
        <w:tc>
          <w:tcPr>
            <w:tcW w:w="560" w:type="dxa"/>
            <w:noWrap/>
            <w:vAlign w:val="bottom"/>
          </w:tcPr>
          <w:p w:rsidR="00000000" w:rsidRDefault="00000000">
            <w:pPr>
              <w:jc w:val="right"/>
              <w:rPr>
                <w:sz w:val="15"/>
                <w:szCs w:val="16"/>
              </w:rPr>
            </w:pPr>
            <w:r>
              <w:rPr>
                <w:sz w:val="15"/>
                <w:szCs w:val="16"/>
              </w:rPr>
              <w:t>79.906</w:t>
            </w:r>
          </w:p>
        </w:tc>
        <w:tc>
          <w:tcPr>
            <w:tcW w:w="574" w:type="dxa"/>
            <w:noWrap/>
            <w:vAlign w:val="bottom"/>
          </w:tcPr>
          <w:p w:rsidR="00000000" w:rsidRDefault="00000000">
            <w:pPr>
              <w:jc w:val="right"/>
              <w:rPr>
                <w:sz w:val="15"/>
                <w:szCs w:val="16"/>
              </w:rPr>
            </w:pPr>
            <w:r>
              <w:rPr>
                <w:sz w:val="15"/>
                <w:szCs w:val="16"/>
              </w:rPr>
              <w:t>79.640</w:t>
            </w:r>
          </w:p>
        </w:tc>
        <w:tc>
          <w:tcPr>
            <w:tcW w:w="574" w:type="dxa"/>
            <w:noWrap/>
            <w:vAlign w:val="bottom"/>
          </w:tcPr>
          <w:p w:rsidR="00000000" w:rsidRDefault="00000000">
            <w:pPr>
              <w:jc w:val="right"/>
              <w:rPr>
                <w:sz w:val="15"/>
                <w:szCs w:val="16"/>
              </w:rPr>
            </w:pPr>
            <w:r>
              <w:rPr>
                <w:sz w:val="15"/>
                <w:szCs w:val="16"/>
              </w:rPr>
              <w:t>79.899</w:t>
            </w:r>
          </w:p>
        </w:tc>
        <w:tc>
          <w:tcPr>
            <w:tcW w:w="587" w:type="dxa"/>
            <w:noWrap/>
            <w:vAlign w:val="bottom"/>
          </w:tcPr>
          <w:p w:rsidR="00000000" w:rsidRDefault="00000000">
            <w:pPr>
              <w:jc w:val="right"/>
              <w:rPr>
                <w:sz w:val="15"/>
                <w:szCs w:val="16"/>
              </w:rPr>
            </w:pPr>
            <w:r>
              <w:rPr>
                <w:sz w:val="15"/>
                <w:szCs w:val="16"/>
              </w:rPr>
              <w:t>81.368</w:t>
            </w:r>
          </w:p>
        </w:tc>
        <w:tc>
          <w:tcPr>
            <w:tcW w:w="560" w:type="dxa"/>
            <w:noWrap/>
            <w:vAlign w:val="bottom"/>
          </w:tcPr>
          <w:p w:rsidR="00000000" w:rsidRDefault="00000000">
            <w:pPr>
              <w:jc w:val="right"/>
              <w:rPr>
                <w:sz w:val="15"/>
                <w:szCs w:val="16"/>
              </w:rPr>
            </w:pPr>
            <w:r>
              <w:rPr>
                <w:sz w:val="15"/>
                <w:szCs w:val="16"/>
              </w:rPr>
              <w:t>84.407</w:t>
            </w:r>
          </w:p>
        </w:tc>
        <w:tc>
          <w:tcPr>
            <w:tcW w:w="574" w:type="dxa"/>
            <w:noWrap/>
            <w:vAlign w:val="bottom"/>
          </w:tcPr>
          <w:p w:rsidR="00000000" w:rsidRDefault="00000000">
            <w:pPr>
              <w:jc w:val="right"/>
              <w:rPr>
                <w:sz w:val="15"/>
                <w:szCs w:val="16"/>
              </w:rPr>
            </w:pPr>
            <w:r>
              <w:rPr>
                <w:sz w:val="15"/>
                <w:szCs w:val="16"/>
              </w:rPr>
              <w:t>88.562</w:t>
            </w:r>
          </w:p>
        </w:tc>
        <w:tc>
          <w:tcPr>
            <w:tcW w:w="574" w:type="dxa"/>
            <w:noWrap/>
            <w:vAlign w:val="bottom"/>
          </w:tcPr>
          <w:p w:rsidR="00000000" w:rsidRDefault="00000000">
            <w:pPr>
              <w:jc w:val="right"/>
              <w:rPr>
                <w:sz w:val="15"/>
                <w:szCs w:val="16"/>
              </w:rPr>
            </w:pPr>
            <w:r>
              <w:rPr>
                <w:sz w:val="15"/>
                <w:szCs w:val="16"/>
              </w:rPr>
              <w:t>93.288</w:t>
            </w:r>
          </w:p>
        </w:tc>
        <w:tc>
          <w:tcPr>
            <w:tcW w:w="560" w:type="dxa"/>
            <w:noWrap/>
            <w:vAlign w:val="bottom"/>
          </w:tcPr>
          <w:p w:rsidR="00000000" w:rsidRDefault="00000000">
            <w:pPr>
              <w:jc w:val="right"/>
              <w:rPr>
                <w:sz w:val="15"/>
                <w:szCs w:val="16"/>
              </w:rPr>
            </w:pPr>
            <w:r>
              <w:rPr>
                <w:sz w:val="15"/>
                <w:szCs w:val="16"/>
              </w:rPr>
              <w:t>98.045</w:t>
            </w:r>
          </w:p>
        </w:tc>
        <w:tc>
          <w:tcPr>
            <w:tcW w:w="630" w:type="dxa"/>
            <w:noWrap/>
            <w:vAlign w:val="bottom"/>
          </w:tcPr>
          <w:p w:rsidR="00000000" w:rsidRDefault="00000000">
            <w:pPr>
              <w:jc w:val="right"/>
              <w:rPr>
                <w:sz w:val="15"/>
                <w:szCs w:val="16"/>
              </w:rPr>
            </w:pPr>
            <w:r>
              <w:rPr>
                <w:sz w:val="15"/>
                <w:szCs w:val="16"/>
              </w:rPr>
              <w:t>102.290</w:t>
            </w:r>
          </w:p>
        </w:tc>
        <w:tc>
          <w:tcPr>
            <w:tcW w:w="650" w:type="dxa"/>
            <w:noWrap/>
            <w:vAlign w:val="bottom"/>
          </w:tcPr>
          <w:p w:rsidR="00000000" w:rsidRDefault="00000000">
            <w:pPr>
              <w:jc w:val="right"/>
              <w:rPr>
                <w:sz w:val="15"/>
                <w:szCs w:val="16"/>
              </w:rPr>
            </w:pPr>
            <w:r>
              <w:rPr>
                <w:sz w:val="15"/>
                <w:szCs w:val="16"/>
              </w:rPr>
              <w:t>105.775</w:t>
            </w:r>
          </w:p>
        </w:tc>
      </w:tr>
      <w:tr w:rsidR="00000000">
        <w:trPr>
          <w:jc w:val="center"/>
        </w:trPr>
        <w:tc>
          <w:tcPr>
            <w:tcW w:w="1809" w:type="dxa"/>
            <w:noWrap/>
            <w:vAlign w:val="bottom"/>
          </w:tcPr>
          <w:p w:rsidR="00000000" w:rsidRDefault="00000000">
            <w:pPr>
              <w:ind w:left="284"/>
              <w:rPr>
                <w:sz w:val="15"/>
                <w:szCs w:val="16"/>
              </w:rPr>
            </w:pPr>
            <w:r>
              <w:rPr>
                <w:sz w:val="15"/>
                <w:szCs w:val="16"/>
              </w:rPr>
              <w:t>65 años</w:t>
            </w:r>
          </w:p>
        </w:tc>
        <w:tc>
          <w:tcPr>
            <w:tcW w:w="588" w:type="dxa"/>
            <w:noWrap/>
            <w:vAlign w:val="bottom"/>
          </w:tcPr>
          <w:p w:rsidR="00000000" w:rsidRDefault="00000000">
            <w:pPr>
              <w:jc w:val="right"/>
              <w:rPr>
                <w:sz w:val="15"/>
                <w:szCs w:val="16"/>
              </w:rPr>
            </w:pPr>
            <w:r>
              <w:rPr>
                <w:sz w:val="15"/>
                <w:szCs w:val="16"/>
              </w:rPr>
              <w:t>16.421</w:t>
            </w:r>
          </w:p>
        </w:tc>
        <w:tc>
          <w:tcPr>
            <w:tcW w:w="560" w:type="dxa"/>
            <w:noWrap/>
            <w:vAlign w:val="bottom"/>
          </w:tcPr>
          <w:p w:rsidR="00000000" w:rsidRDefault="00000000">
            <w:pPr>
              <w:jc w:val="right"/>
              <w:rPr>
                <w:sz w:val="15"/>
                <w:szCs w:val="16"/>
              </w:rPr>
            </w:pPr>
            <w:r>
              <w:rPr>
                <w:sz w:val="15"/>
                <w:szCs w:val="16"/>
              </w:rPr>
              <w:t>16.711</w:t>
            </w:r>
          </w:p>
        </w:tc>
        <w:tc>
          <w:tcPr>
            <w:tcW w:w="560" w:type="dxa"/>
            <w:noWrap/>
            <w:vAlign w:val="bottom"/>
          </w:tcPr>
          <w:p w:rsidR="00000000" w:rsidRDefault="00000000">
            <w:pPr>
              <w:jc w:val="right"/>
              <w:rPr>
                <w:sz w:val="15"/>
                <w:szCs w:val="16"/>
              </w:rPr>
            </w:pPr>
            <w:r>
              <w:rPr>
                <w:sz w:val="15"/>
                <w:szCs w:val="16"/>
              </w:rPr>
              <w:t>16.997</w:t>
            </w:r>
          </w:p>
        </w:tc>
        <w:tc>
          <w:tcPr>
            <w:tcW w:w="560" w:type="dxa"/>
            <w:noWrap/>
            <w:vAlign w:val="bottom"/>
          </w:tcPr>
          <w:p w:rsidR="00000000" w:rsidRDefault="00000000">
            <w:pPr>
              <w:jc w:val="right"/>
              <w:rPr>
                <w:sz w:val="15"/>
                <w:szCs w:val="16"/>
              </w:rPr>
            </w:pPr>
            <w:r>
              <w:rPr>
                <w:sz w:val="15"/>
                <w:szCs w:val="16"/>
              </w:rPr>
              <w:t>17.258</w:t>
            </w:r>
          </w:p>
        </w:tc>
        <w:tc>
          <w:tcPr>
            <w:tcW w:w="574" w:type="dxa"/>
            <w:noWrap/>
            <w:vAlign w:val="bottom"/>
          </w:tcPr>
          <w:p w:rsidR="00000000" w:rsidRDefault="00000000">
            <w:pPr>
              <w:jc w:val="right"/>
              <w:rPr>
                <w:sz w:val="15"/>
                <w:szCs w:val="16"/>
              </w:rPr>
            </w:pPr>
            <w:r>
              <w:rPr>
                <w:sz w:val="15"/>
                <w:szCs w:val="16"/>
              </w:rPr>
              <w:t>17.549</w:t>
            </w:r>
          </w:p>
        </w:tc>
        <w:tc>
          <w:tcPr>
            <w:tcW w:w="574" w:type="dxa"/>
            <w:noWrap/>
            <w:vAlign w:val="bottom"/>
          </w:tcPr>
          <w:p w:rsidR="00000000" w:rsidRDefault="00000000">
            <w:pPr>
              <w:jc w:val="right"/>
              <w:rPr>
                <w:sz w:val="15"/>
                <w:szCs w:val="16"/>
              </w:rPr>
            </w:pPr>
            <w:r>
              <w:rPr>
                <w:sz w:val="15"/>
                <w:szCs w:val="16"/>
              </w:rPr>
              <w:t>17.923</w:t>
            </w:r>
          </w:p>
        </w:tc>
        <w:tc>
          <w:tcPr>
            <w:tcW w:w="587" w:type="dxa"/>
            <w:noWrap/>
            <w:vAlign w:val="bottom"/>
          </w:tcPr>
          <w:p w:rsidR="00000000" w:rsidRDefault="00000000">
            <w:pPr>
              <w:jc w:val="right"/>
              <w:rPr>
                <w:sz w:val="15"/>
                <w:szCs w:val="16"/>
              </w:rPr>
            </w:pPr>
            <w:r>
              <w:rPr>
                <w:sz w:val="15"/>
                <w:szCs w:val="16"/>
              </w:rPr>
              <w:t>18.433</w:t>
            </w:r>
          </w:p>
        </w:tc>
        <w:tc>
          <w:tcPr>
            <w:tcW w:w="560" w:type="dxa"/>
            <w:noWrap/>
            <w:vAlign w:val="bottom"/>
          </w:tcPr>
          <w:p w:rsidR="00000000" w:rsidRDefault="00000000">
            <w:pPr>
              <w:jc w:val="right"/>
              <w:rPr>
                <w:sz w:val="15"/>
                <w:szCs w:val="16"/>
              </w:rPr>
            </w:pPr>
            <w:r>
              <w:rPr>
                <w:sz w:val="15"/>
                <w:szCs w:val="16"/>
              </w:rPr>
              <w:t>19.119</w:t>
            </w:r>
          </w:p>
        </w:tc>
        <w:tc>
          <w:tcPr>
            <w:tcW w:w="574" w:type="dxa"/>
            <w:noWrap/>
            <w:vAlign w:val="bottom"/>
          </w:tcPr>
          <w:p w:rsidR="00000000" w:rsidRDefault="00000000">
            <w:pPr>
              <w:jc w:val="right"/>
              <w:rPr>
                <w:sz w:val="15"/>
                <w:szCs w:val="16"/>
              </w:rPr>
            </w:pPr>
            <w:r>
              <w:rPr>
                <w:sz w:val="15"/>
                <w:szCs w:val="16"/>
              </w:rPr>
              <w:t>19.947</w:t>
            </w:r>
          </w:p>
        </w:tc>
        <w:tc>
          <w:tcPr>
            <w:tcW w:w="574" w:type="dxa"/>
            <w:noWrap/>
            <w:vAlign w:val="bottom"/>
          </w:tcPr>
          <w:p w:rsidR="00000000" w:rsidRDefault="00000000">
            <w:pPr>
              <w:jc w:val="right"/>
              <w:rPr>
                <w:sz w:val="15"/>
                <w:szCs w:val="16"/>
              </w:rPr>
            </w:pPr>
            <w:r>
              <w:rPr>
                <w:sz w:val="15"/>
                <w:szCs w:val="16"/>
              </w:rPr>
              <w:t>20.855</w:t>
            </w:r>
          </w:p>
        </w:tc>
        <w:tc>
          <w:tcPr>
            <w:tcW w:w="560" w:type="dxa"/>
            <w:noWrap/>
            <w:vAlign w:val="bottom"/>
          </w:tcPr>
          <w:p w:rsidR="00000000" w:rsidRDefault="00000000">
            <w:pPr>
              <w:jc w:val="right"/>
              <w:rPr>
                <w:sz w:val="15"/>
                <w:szCs w:val="16"/>
              </w:rPr>
            </w:pPr>
            <w:r>
              <w:rPr>
                <w:sz w:val="15"/>
                <w:szCs w:val="16"/>
              </w:rPr>
              <w:t>21.781</w:t>
            </w:r>
          </w:p>
        </w:tc>
        <w:tc>
          <w:tcPr>
            <w:tcW w:w="630" w:type="dxa"/>
            <w:noWrap/>
            <w:vAlign w:val="bottom"/>
          </w:tcPr>
          <w:p w:rsidR="00000000" w:rsidRDefault="00000000">
            <w:pPr>
              <w:jc w:val="right"/>
              <w:rPr>
                <w:sz w:val="15"/>
                <w:szCs w:val="16"/>
              </w:rPr>
            </w:pPr>
            <w:r>
              <w:rPr>
                <w:sz w:val="15"/>
                <w:szCs w:val="16"/>
              </w:rPr>
              <w:t>22.664</w:t>
            </w:r>
          </w:p>
        </w:tc>
        <w:tc>
          <w:tcPr>
            <w:tcW w:w="650" w:type="dxa"/>
            <w:noWrap/>
            <w:vAlign w:val="bottom"/>
          </w:tcPr>
          <w:p w:rsidR="00000000" w:rsidRDefault="00000000">
            <w:pPr>
              <w:jc w:val="right"/>
              <w:rPr>
                <w:sz w:val="15"/>
                <w:szCs w:val="16"/>
              </w:rPr>
            </w:pPr>
            <w:r>
              <w:rPr>
                <w:sz w:val="15"/>
                <w:szCs w:val="16"/>
              </w:rPr>
              <w:t>23.453</w:t>
            </w:r>
          </w:p>
        </w:tc>
      </w:tr>
      <w:tr w:rsidR="00000000">
        <w:trPr>
          <w:jc w:val="center"/>
        </w:trPr>
        <w:tc>
          <w:tcPr>
            <w:tcW w:w="1809" w:type="dxa"/>
            <w:noWrap/>
            <w:vAlign w:val="bottom"/>
          </w:tcPr>
          <w:p w:rsidR="00000000" w:rsidRDefault="00000000">
            <w:pPr>
              <w:ind w:left="284"/>
              <w:rPr>
                <w:sz w:val="15"/>
                <w:szCs w:val="16"/>
              </w:rPr>
            </w:pPr>
            <w:r>
              <w:rPr>
                <w:sz w:val="15"/>
                <w:szCs w:val="16"/>
              </w:rPr>
              <w:t>66 años</w:t>
            </w:r>
          </w:p>
        </w:tc>
        <w:tc>
          <w:tcPr>
            <w:tcW w:w="588" w:type="dxa"/>
            <w:noWrap/>
            <w:vAlign w:val="bottom"/>
          </w:tcPr>
          <w:p w:rsidR="00000000" w:rsidRDefault="00000000">
            <w:pPr>
              <w:jc w:val="right"/>
              <w:rPr>
                <w:sz w:val="15"/>
                <w:szCs w:val="16"/>
              </w:rPr>
            </w:pPr>
            <w:r>
              <w:rPr>
                <w:sz w:val="15"/>
                <w:szCs w:val="16"/>
              </w:rPr>
              <w:t>16.256</w:t>
            </w:r>
          </w:p>
        </w:tc>
        <w:tc>
          <w:tcPr>
            <w:tcW w:w="560" w:type="dxa"/>
            <w:noWrap/>
            <w:vAlign w:val="bottom"/>
          </w:tcPr>
          <w:p w:rsidR="00000000" w:rsidRDefault="00000000">
            <w:pPr>
              <w:jc w:val="right"/>
              <w:rPr>
                <w:sz w:val="15"/>
                <w:szCs w:val="16"/>
              </w:rPr>
            </w:pPr>
            <w:r>
              <w:rPr>
                <w:sz w:val="15"/>
                <w:szCs w:val="16"/>
              </w:rPr>
              <w:t>16.595</w:t>
            </w:r>
          </w:p>
        </w:tc>
        <w:tc>
          <w:tcPr>
            <w:tcW w:w="560" w:type="dxa"/>
            <w:noWrap/>
            <w:vAlign w:val="bottom"/>
          </w:tcPr>
          <w:p w:rsidR="00000000" w:rsidRDefault="00000000">
            <w:pPr>
              <w:jc w:val="right"/>
              <w:rPr>
                <w:sz w:val="15"/>
                <w:szCs w:val="16"/>
              </w:rPr>
            </w:pPr>
            <w:r>
              <w:rPr>
                <w:sz w:val="15"/>
                <w:szCs w:val="16"/>
              </w:rPr>
              <w:t>16.719</w:t>
            </w:r>
          </w:p>
        </w:tc>
        <w:tc>
          <w:tcPr>
            <w:tcW w:w="560" w:type="dxa"/>
            <w:noWrap/>
            <w:vAlign w:val="bottom"/>
          </w:tcPr>
          <w:p w:rsidR="00000000" w:rsidRDefault="00000000">
            <w:pPr>
              <w:jc w:val="right"/>
              <w:rPr>
                <w:sz w:val="15"/>
                <w:szCs w:val="16"/>
              </w:rPr>
            </w:pPr>
            <w:r>
              <w:rPr>
                <w:sz w:val="15"/>
                <w:szCs w:val="16"/>
              </w:rPr>
              <w:t>16.664</w:t>
            </w:r>
          </w:p>
        </w:tc>
        <w:tc>
          <w:tcPr>
            <w:tcW w:w="574" w:type="dxa"/>
            <w:noWrap/>
            <w:vAlign w:val="bottom"/>
          </w:tcPr>
          <w:p w:rsidR="00000000" w:rsidRDefault="00000000">
            <w:pPr>
              <w:jc w:val="right"/>
              <w:rPr>
                <w:sz w:val="15"/>
                <w:szCs w:val="16"/>
              </w:rPr>
            </w:pPr>
            <w:r>
              <w:rPr>
                <w:sz w:val="15"/>
                <w:szCs w:val="16"/>
              </w:rPr>
              <w:t>16.582</w:t>
            </w:r>
          </w:p>
        </w:tc>
        <w:tc>
          <w:tcPr>
            <w:tcW w:w="574" w:type="dxa"/>
            <w:noWrap/>
            <w:vAlign w:val="bottom"/>
          </w:tcPr>
          <w:p w:rsidR="00000000" w:rsidRDefault="00000000">
            <w:pPr>
              <w:jc w:val="right"/>
              <w:rPr>
                <w:sz w:val="15"/>
                <w:szCs w:val="16"/>
              </w:rPr>
            </w:pPr>
            <w:r>
              <w:rPr>
                <w:sz w:val="15"/>
                <w:szCs w:val="16"/>
              </w:rPr>
              <w:t>16.628</w:t>
            </w:r>
          </w:p>
        </w:tc>
        <w:tc>
          <w:tcPr>
            <w:tcW w:w="587" w:type="dxa"/>
            <w:noWrap/>
            <w:vAlign w:val="bottom"/>
          </w:tcPr>
          <w:p w:rsidR="00000000" w:rsidRDefault="00000000">
            <w:pPr>
              <w:jc w:val="right"/>
              <w:rPr>
                <w:sz w:val="15"/>
                <w:szCs w:val="16"/>
              </w:rPr>
            </w:pPr>
            <w:r>
              <w:rPr>
                <w:sz w:val="15"/>
                <w:szCs w:val="16"/>
              </w:rPr>
              <w:t>16.954</w:t>
            </w:r>
          </w:p>
        </w:tc>
        <w:tc>
          <w:tcPr>
            <w:tcW w:w="560" w:type="dxa"/>
            <w:noWrap/>
            <w:vAlign w:val="bottom"/>
          </w:tcPr>
          <w:p w:rsidR="00000000" w:rsidRDefault="00000000">
            <w:pPr>
              <w:jc w:val="right"/>
              <w:rPr>
                <w:sz w:val="15"/>
                <w:szCs w:val="16"/>
              </w:rPr>
            </w:pPr>
            <w:r>
              <w:rPr>
                <w:sz w:val="15"/>
                <w:szCs w:val="16"/>
              </w:rPr>
              <w:t>17.654</w:t>
            </w:r>
          </w:p>
        </w:tc>
        <w:tc>
          <w:tcPr>
            <w:tcW w:w="574" w:type="dxa"/>
            <w:noWrap/>
            <w:vAlign w:val="bottom"/>
          </w:tcPr>
          <w:p w:rsidR="00000000" w:rsidRDefault="00000000">
            <w:pPr>
              <w:jc w:val="right"/>
              <w:rPr>
                <w:sz w:val="15"/>
                <w:szCs w:val="16"/>
              </w:rPr>
            </w:pPr>
            <w:r>
              <w:rPr>
                <w:sz w:val="15"/>
                <w:szCs w:val="16"/>
              </w:rPr>
              <w:t>18.626</w:t>
            </w:r>
          </w:p>
        </w:tc>
        <w:tc>
          <w:tcPr>
            <w:tcW w:w="574" w:type="dxa"/>
            <w:noWrap/>
            <w:vAlign w:val="bottom"/>
          </w:tcPr>
          <w:p w:rsidR="00000000" w:rsidRDefault="00000000">
            <w:pPr>
              <w:jc w:val="right"/>
              <w:rPr>
                <w:sz w:val="15"/>
                <w:szCs w:val="16"/>
              </w:rPr>
            </w:pPr>
            <w:r>
              <w:rPr>
                <w:sz w:val="15"/>
                <w:szCs w:val="16"/>
              </w:rPr>
              <w:t>19.729</w:t>
            </w:r>
          </w:p>
        </w:tc>
        <w:tc>
          <w:tcPr>
            <w:tcW w:w="560" w:type="dxa"/>
            <w:noWrap/>
            <w:vAlign w:val="bottom"/>
          </w:tcPr>
          <w:p w:rsidR="00000000" w:rsidRDefault="00000000">
            <w:pPr>
              <w:jc w:val="right"/>
              <w:rPr>
                <w:sz w:val="15"/>
                <w:szCs w:val="16"/>
              </w:rPr>
            </w:pPr>
            <w:r>
              <w:rPr>
                <w:sz w:val="15"/>
                <w:szCs w:val="16"/>
              </w:rPr>
              <w:t>20.823</w:t>
            </w:r>
          </w:p>
        </w:tc>
        <w:tc>
          <w:tcPr>
            <w:tcW w:w="630" w:type="dxa"/>
            <w:noWrap/>
            <w:vAlign w:val="bottom"/>
          </w:tcPr>
          <w:p w:rsidR="00000000" w:rsidRDefault="00000000">
            <w:pPr>
              <w:jc w:val="right"/>
              <w:rPr>
                <w:sz w:val="15"/>
                <w:szCs w:val="16"/>
              </w:rPr>
            </w:pPr>
            <w:r>
              <w:rPr>
                <w:sz w:val="15"/>
                <w:szCs w:val="16"/>
              </w:rPr>
              <w:t>21.768</w:t>
            </w:r>
          </w:p>
        </w:tc>
        <w:tc>
          <w:tcPr>
            <w:tcW w:w="650" w:type="dxa"/>
            <w:noWrap/>
            <w:vAlign w:val="bottom"/>
          </w:tcPr>
          <w:p w:rsidR="00000000" w:rsidRDefault="00000000">
            <w:pPr>
              <w:jc w:val="right"/>
              <w:rPr>
                <w:sz w:val="15"/>
                <w:szCs w:val="16"/>
              </w:rPr>
            </w:pPr>
            <w:r>
              <w:rPr>
                <w:sz w:val="15"/>
                <w:szCs w:val="16"/>
              </w:rPr>
              <w:t>22.494</w:t>
            </w:r>
          </w:p>
        </w:tc>
      </w:tr>
      <w:tr w:rsidR="00000000">
        <w:trPr>
          <w:jc w:val="center"/>
        </w:trPr>
        <w:tc>
          <w:tcPr>
            <w:tcW w:w="1809" w:type="dxa"/>
            <w:noWrap/>
            <w:vAlign w:val="bottom"/>
          </w:tcPr>
          <w:p w:rsidR="00000000" w:rsidRDefault="00000000">
            <w:pPr>
              <w:ind w:left="284"/>
              <w:rPr>
                <w:sz w:val="15"/>
                <w:szCs w:val="16"/>
              </w:rPr>
            </w:pPr>
            <w:r>
              <w:rPr>
                <w:sz w:val="15"/>
                <w:szCs w:val="16"/>
              </w:rPr>
              <w:t>67 años</w:t>
            </w:r>
          </w:p>
        </w:tc>
        <w:tc>
          <w:tcPr>
            <w:tcW w:w="588" w:type="dxa"/>
            <w:noWrap/>
            <w:vAlign w:val="bottom"/>
          </w:tcPr>
          <w:p w:rsidR="00000000" w:rsidRDefault="00000000">
            <w:pPr>
              <w:jc w:val="right"/>
              <w:rPr>
                <w:sz w:val="15"/>
                <w:szCs w:val="16"/>
              </w:rPr>
            </w:pPr>
            <w:r>
              <w:rPr>
                <w:sz w:val="15"/>
                <w:szCs w:val="16"/>
              </w:rPr>
              <w:t>15.850</w:t>
            </w:r>
          </w:p>
        </w:tc>
        <w:tc>
          <w:tcPr>
            <w:tcW w:w="560" w:type="dxa"/>
            <w:noWrap/>
            <w:vAlign w:val="bottom"/>
          </w:tcPr>
          <w:p w:rsidR="00000000" w:rsidRDefault="00000000">
            <w:pPr>
              <w:jc w:val="right"/>
              <w:rPr>
                <w:sz w:val="15"/>
                <w:szCs w:val="16"/>
              </w:rPr>
            </w:pPr>
            <w:r>
              <w:rPr>
                <w:sz w:val="15"/>
                <w:szCs w:val="16"/>
              </w:rPr>
              <w:t>16.226</w:t>
            </w:r>
          </w:p>
        </w:tc>
        <w:tc>
          <w:tcPr>
            <w:tcW w:w="560" w:type="dxa"/>
            <w:noWrap/>
            <w:vAlign w:val="bottom"/>
          </w:tcPr>
          <w:p w:rsidR="00000000" w:rsidRDefault="00000000">
            <w:pPr>
              <w:jc w:val="right"/>
              <w:rPr>
                <w:sz w:val="15"/>
                <w:szCs w:val="16"/>
              </w:rPr>
            </w:pPr>
            <w:r>
              <w:rPr>
                <w:sz w:val="15"/>
                <w:szCs w:val="16"/>
              </w:rPr>
              <w:t>16.267</w:t>
            </w:r>
          </w:p>
        </w:tc>
        <w:tc>
          <w:tcPr>
            <w:tcW w:w="560" w:type="dxa"/>
            <w:noWrap/>
            <w:vAlign w:val="bottom"/>
          </w:tcPr>
          <w:p w:rsidR="00000000" w:rsidRDefault="00000000">
            <w:pPr>
              <w:jc w:val="right"/>
              <w:rPr>
                <w:sz w:val="15"/>
                <w:szCs w:val="16"/>
              </w:rPr>
            </w:pPr>
            <w:r>
              <w:rPr>
                <w:sz w:val="15"/>
                <w:szCs w:val="16"/>
              </w:rPr>
              <w:t>16.042</w:t>
            </w:r>
          </w:p>
        </w:tc>
        <w:tc>
          <w:tcPr>
            <w:tcW w:w="574" w:type="dxa"/>
            <w:noWrap/>
            <w:vAlign w:val="bottom"/>
          </w:tcPr>
          <w:p w:rsidR="00000000" w:rsidRDefault="00000000">
            <w:pPr>
              <w:jc w:val="right"/>
              <w:rPr>
                <w:sz w:val="15"/>
                <w:szCs w:val="16"/>
              </w:rPr>
            </w:pPr>
            <w:r>
              <w:rPr>
                <w:sz w:val="15"/>
                <w:szCs w:val="16"/>
              </w:rPr>
              <w:t>15.756</w:t>
            </w:r>
          </w:p>
        </w:tc>
        <w:tc>
          <w:tcPr>
            <w:tcW w:w="574" w:type="dxa"/>
            <w:noWrap/>
            <w:vAlign w:val="bottom"/>
          </w:tcPr>
          <w:p w:rsidR="00000000" w:rsidRDefault="00000000">
            <w:pPr>
              <w:jc w:val="right"/>
              <w:rPr>
                <w:sz w:val="15"/>
                <w:szCs w:val="16"/>
              </w:rPr>
            </w:pPr>
            <w:r>
              <w:rPr>
                <w:sz w:val="15"/>
                <w:szCs w:val="16"/>
              </w:rPr>
              <w:t>15.613</w:t>
            </w:r>
          </w:p>
        </w:tc>
        <w:tc>
          <w:tcPr>
            <w:tcW w:w="587" w:type="dxa"/>
            <w:noWrap/>
            <w:vAlign w:val="bottom"/>
          </w:tcPr>
          <w:p w:rsidR="00000000" w:rsidRDefault="00000000">
            <w:pPr>
              <w:jc w:val="right"/>
              <w:rPr>
                <w:sz w:val="15"/>
                <w:szCs w:val="16"/>
              </w:rPr>
            </w:pPr>
            <w:r>
              <w:rPr>
                <w:sz w:val="15"/>
                <w:szCs w:val="16"/>
              </w:rPr>
              <w:t>15.818</w:t>
            </w:r>
          </w:p>
        </w:tc>
        <w:tc>
          <w:tcPr>
            <w:tcW w:w="560" w:type="dxa"/>
            <w:noWrap/>
            <w:vAlign w:val="bottom"/>
          </w:tcPr>
          <w:p w:rsidR="00000000" w:rsidRDefault="00000000">
            <w:pPr>
              <w:jc w:val="right"/>
              <w:rPr>
                <w:sz w:val="15"/>
                <w:szCs w:val="16"/>
              </w:rPr>
            </w:pPr>
            <w:r>
              <w:rPr>
                <w:sz w:val="15"/>
                <w:szCs w:val="16"/>
              </w:rPr>
              <w:t>16.487</w:t>
            </w:r>
          </w:p>
        </w:tc>
        <w:tc>
          <w:tcPr>
            <w:tcW w:w="574" w:type="dxa"/>
            <w:noWrap/>
            <w:vAlign w:val="bottom"/>
          </w:tcPr>
          <w:p w:rsidR="00000000" w:rsidRDefault="00000000">
            <w:pPr>
              <w:jc w:val="right"/>
              <w:rPr>
                <w:sz w:val="15"/>
                <w:szCs w:val="16"/>
              </w:rPr>
            </w:pPr>
            <w:r>
              <w:rPr>
                <w:sz w:val="15"/>
                <w:szCs w:val="16"/>
              </w:rPr>
              <w:t>17.482</w:t>
            </w:r>
          </w:p>
        </w:tc>
        <w:tc>
          <w:tcPr>
            <w:tcW w:w="574" w:type="dxa"/>
            <w:noWrap/>
            <w:vAlign w:val="bottom"/>
          </w:tcPr>
          <w:p w:rsidR="00000000" w:rsidRDefault="00000000">
            <w:pPr>
              <w:jc w:val="right"/>
              <w:rPr>
                <w:sz w:val="15"/>
                <w:szCs w:val="16"/>
              </w:rPr>
            </w:pPr>
            <w:r>
              <w:rPr>
                <w:sz w:val="15"/>
                <w:szCs w:val="16"/>
              </w:rPr>
              <w:t>18.632</w:t>
            </w:r>
          </w:p>
        </w:tc>
        <w:tc>
          <w:tcPr>
            <w:tcW w:w="560" w:type="dxa"/>
            <w:noWrap/>
            <w:vAlign w:val="bottom"/>
          </w:tcPr>
          <w:p w:rsidR="00000000" w:rsidRDefault="00000000">
            <w:pPr>
              <w:jc w:val="right"/>
              <w:rPr>
                <w:sz w:val="15"/>
                <w:szCs w:val="16"/>
              </w:rPr>
            </w:pPr>
            <w:r>
              <w:rPr>
                <w:sz w:val="15"/>
                <w:szCs w:val="16"/>
              </w:rPr>
              <w:t>19.764</w:t>
            </w:r>
          </w:p>
        </w:tc>
        <w:tc>
          <w:tcPr>
            <w:tcW w:w="630" w:type="dxa"/>
            <w:noWrap/>
            <w:vAlign w:val="bottom"/>
          </w:tcPr>
          <w:p w:rsidR="00000000" w:rsidRDefault="00000000">
            <w:pPr>
              <w:jc w:val="right"/>
              <w:rPr>
                <w:sz w:val="15"/>
                <w:szCs w:val="16"/>
              </w:rPr>
            </w:pPr>
            <w:r>
              <w:rPr>
                <w:sz w:val="15"/>
                <w:szCs w:val="16"/>
              </w:rPr>
              <w:t>20.705</w:t>
            </w:r>
          </w:p>
        </w:tc>
        <w:tc>
          <w:tcPr>
            <w:tcW w:w="650" w:type="dxa"/>
            <w:noWrap/>
            <w:vAlign w:val="bottom"/>
          </w:tcPr>
          <w:p w:rsidR="00000000" w:rsidRDefault="00000000">
            <w:pPr>
              <w:jc w:val="right"/>
              <w:rPr>
                <w:sz w:val="15"/>
                <w:szCs w:val="16"/>
              </w:rPr>
            </w:pPr>
            <w:r>
              <w:rPr>
                <w:sz w:val="15"/>
                <w:szCs w:val="16"/>
              </w:rPr>
              <w:t>21.384</w:t>
            </w:r>
          </w:p>
        </w:tc>
      </w:tr>
      <w:tr w:rsidR="00000000">
        <w:trPr>
          <w:jc w:val="center"/>
        </w:trPr>
        <w:tc>
          <w:tcPr>
            <w:tcW w:w="1809" w:type="dxa"/>
            <w:noWrap/>
            <w:vAlign w:val="bottom"/>
          </w:tcPr>
          <w:p w:rsidR="00000000" w:rsidRDefault="00000000">
            <w:pPr>
              <w:ind w:left="284"/>
              <w:rPr>
                <w:sz w:val="15"/>
                <w:szCs w:val="16"/>
              </w:rPr>
            </w:pPr>
            <w:r>
              <w:rPr>
                <w:sz w:val="15"/>
                <w:szCs w:val="16"/>
              </w:rPr>
              <w:t>68 años</w:t>
            </w:r>
          </w:p>
        </w:tc>
        <w:tc>
          <w:tcPr>
            <w:tcW w:w="588" w:type="dxa"/>
            <w:noWrap/>
            <w:vAlign w:val="bottom"/>
          </w:tcPr>
          <w:p w:rsidR="00000000" w:rsidRDefault="00000000">
            <w:pPr>
              <w:jc w:val="right"/>
              <w:rPr>
                <w:sz w:val="15"/>
                <w:szCs w:val="16"/>
              </w:rPr>
            </w:pPr>
            <w:r>
              <w:rPr>
                <w:sz w:val="15"/>
                <w:szCs w:val="16"/>
              </w:rPr>
              <w:t>15.030</w:t>
            </w:r>
          </w:p>
        </w:tc>
        <w:tc>
          <w:tcPr>
            <w:tcW w:w="560" w:type="dxa"/>
            <w:noWrap/>
            <w:vAlign w:val="bottom"/>
          </w:tcPr>
          <w:p w:rsidR="00000000" w:rsidRDefault="00000000">
            <w:pPr>
              <w:jc w:val="right"/>
              <w:rPr>
                <w:sz w:val="15"/>
                <w:szCs w:val="16"/>
              </w:rPr>
            </w:pPr>
            <w:r>
              <w:rPr>
                <w:sz w:val="15"/>
                <w:szCs w:val="16"/>
              </w:rPr>
              <w:t>15.416</w:t>
            </w:r>
          </w:p>
        </w:tc>
        <w:tc>
          <w:tcPr>
            <w:tcW w:w="560" w:type="dxa"/>
            <w:noWrap/>
            <w:vAlign w:val="bottom"/>
          </w:tcPr>
          <w:p w:rsidR="00000000" w:rsidRDefault="00000000">
            <w:pPr>
              <w:jc w:val="right"/>
              <w:rPr>
                <w:sz w:val="15"/>
                <w:szCs w:val="16"/>
              </w:rPr>
            </w:pPr>
            <w:r>
              <w:rPr>
                <w:sz w:val="15"/>
                <w:szCs w:val="16"/>
              </w:rPr>
              <w:t>15.499</w:t>
            </w:r>
          </w:p>
        </w:tc>
        <w:tc>
          <w:tcPr>
            <w:tcW w:w="560" w:type="dxa"/>
            <w:noWrap/>
            <w:vAlign w:val="bottom"/>
          </w:tcPr>
          <w:p w:rsidR="00000000" w:rsidRDefault="00000000">
            <w:pPr>
              <w:jc w:val="right"/>
              <w:rPr>
                <w:sz w:val="15"/>
                <w:szCs w:val="16"/>
              </w:rPr>
            </w:pPr>
            <w:r>
              <w:rPr>
                <w:sz w:val="15"/>
                <w:szCs w:val="16"/>
              </w:rPr>
              <w:t>15.345</w:t>
            </w:r>
          </w:p>
        </w:tc>
        <w:tc>
          <w:tcPr>
            <w:tcW w:w="574" w:type="dxa"/>
            <w:noWrap/>
            <w:vAlign w:val="bottom"/>
          </w:tcPr>
          <w:p w:rsidR="00000000" w:rsidRDefault="00000000">
            <w:pPr>
              <w:jc w:val="right"/>
              <w:rPr>
                <w:sz w:val="15"/>
                <w:szCs w:val="16"/>
              </w:rPr>
            </w:pPr>
            <w:r>
              <w:rPr>
                <w:sz w:val="15"/>
                <w:szCs w:val="16"/>
              </w:rPr>
              <w:t>15.129</w:t>
            </w:r>
          </w:p>
        </w:tc>
        <w:tc>
          <w:tcPr>
            <w:tcW w:w="574" w:type="dxa"/>
            <w:noWrap/>
            <w:vAlign w:val="bottom"/>
          </w:tcPr>
          <w:p w:rsidR="00000000" w:rsidRDefault="00000000">
            <w:pPr>
              <w:jc w:val="right"/>
              <w:rPr>
                <w:sz w:val="15"/>
                <w:szCs w:val="16"/>
              </w:rPr>
            </w:pPr>
            <w:r>
              <w:rPr>
                <w:sz w:val="15"/>
                <w:szCs w:val="16"/>
              </w:rPr>
              <w:t>15.027</w:t>
            </w:r>
          </w:p>
        </w:tc>
        <w:tc>
          <w:tcPr>
            <w:tcW w:w="587" w:type="dxa"/>
            <w:noWrap/>
            <w:vAlign w:val="bottom"/>
          </w:tcPr>
          <w:p w:rsidR="00000000" w:rsidRDefault="00000000">
            <w:pPr>
              <w:jc w:val="right"/>
              <w:rPr>
                <w:sz w:val="15"/>
                <w:szCs w:val="16"/>
              </w:rPr>
            </w:pPr>
            <w:r>
              <w:rPr>
                <w:sz w:val="15"/>
                <w:szCs w:val="16"/>
              </w:rPr>
              <w:t>15.215</w:t>
            </w:r>
          </w:p>
        </w:tc>
        <w:tc>
          <w:tcPr>
            <w:tcW w:w="560" w:type="dxa"/>
            <w:noWrap/>
            <w:vAlign w:val="bottom"/>
          </w:tcPr>
          <w:p w:rsidR="00000000" w:rsidRDefault="00000000">
            <w:pPr>
              <w:jc w:val="right"/>
              <w:rPr>
                <w:sz w:val="15"/>
                <w:szCs w:val="16"/>
              </w:rPr>
            </w:pPr>
            <w:r>
              <w:rPr>
                <w:sz w:val="15"/>
                <w:szCs w:val="16"/>
              </w:rPr>
              <w:t>15.780</w:t>
            </w:r>
          </w:p>
        </w:tc>
        <w:tc>
          <w:tcPr>
            <w:tcW w:w="574" w:type="dxa"/>
            <w:noWrap/>
            <w:vAlign w:val="bottom"/>
          </w:tcPr>
          <w:p w:rsidR="00000000" w:rsidRDefault="00000000">
            <w:pPr>
              <w:jc w:val="right"/>
              <w:rPr>
                <w:sz w:val="15"/>
                <w:szCs w:val="16"/>
              </w:rPr>
            </w:pPr>
            <w:r>
              <w:rPr>
                <w:sz w:val="15"/>
                <w:szCs w:val="16"/>
              </w:rPr>
              <w:t>16.604</w:t>
            </w:r>
          </w:p>
        </w:tc>
        <w:tc>
          <w:tcPr>
            <w:tcW w:w="574" w:type="dxa"/>
            <w:noWrap/>
            <w:vAlign w:val="bottom"/>
          </w:tcPr>
          <w:p w:rsidR="00000000" w:rsidRDefault="00000000">
            <w:pPr>
              <w:jc w:val="right"/>
              <w:rPr>
                <w:sz w:val="15"/>
                <w:szCs w:val="16"/>
              </w:rPr>
            </w:pPr>
            <w:r>
              <w:rPr>
                <w:sz w:val="15"/>
                <w:szCs w:val="16"/>
              </w:rPr>
              <w:t>17.557</w:t>
            </w:r>
          </w:p>
        </w:tc>
        <w:tc>
          <w:tcPr>
            <w:tcW w:w="560" w:type="dxa"/>
            <w:noWrap/>
            <w:vAlign w:val="bottom"/>
          </w:tcPr>
          <w:p w:rsidR="00000000" w:rsidRDefault="00000000">
            <w:pPr>
              <w:jc w:val="right"/>
              <w:rPr>
                <w:sz w:val="15"/>
                <w:szCs w:val="16"/>
              </w:rPr>
            </w:pPr>
            <w:r>
              <w:rPr>
                <w:sz w:val="15"/>
                <w:szCs w:val="16"/>
              </w:rPr>
              <w:t>18.512</w:t>
            </w:r>
          </w:p>
        </w:tc>
        <w:tc>
          <w:tcPr>
            <w:tcW w:w="630" w:type="dxa"/>
            <w:noWrap/>
            <w:vAlign w:val="bottom"/>
          </w:tcPr>
          <w:p w:rsidR="00000000" w:rsidRDefault="00000000">
            <w:pPr>
              <w:jc w:val="right"/>
              <w:rPr>
                <w:sz w:val="15"/>
                <w:szCs w:val="16"/>
              </w:rPr>
            </w:pPr>
            <w:r>
              <w:rPr>
                <w:sz w:val="15"/>
                <w:szCs w:val="16"/>
              </w:rPr>
              <w:t>19.340</w:t>
            </w:r>
          </w:p>
        </w:tc>
        <w:tc>
          <w:tcPr>
            <w:tcW w:w="650" w:type="dxa"/>
            <w:noWrap/>
            <w:vAlign w:val="bottom"/>
          </w:tcPr>
          <w:p w:rsidR="00000000" w:rsidRDefault="00000000">
            <w:pPr>
              <w:jc w:val="right"/>
              <w:rPr>
                <w:sz w:val="15"/>
                <w:szCs w:val="16"/>
              </w:rPr>
            </w:pPr>
            <w:r>
              <w:rPr>
                <w:sz w:val="15"/>
                <w:szCs w:val="16"/>
              </w:rPr>
              <w:t>19.992</w:t>
            </w:r>
          </w:p>
        </w:tc>
      </w:tr>
      <w:tr w:rsidR="00000000">
        <w:trPr>
          <w:jc w:val="center"/>
        </w:trPr>
        <w:tc>
          <w:tcPr>
            <w:tcW w:w="1809" w:type="dxa"/>
            <w:noWrap/>
            <w:vAlign w:val="bottom"/>
          </w:tcPr>
          <w:p w:rsidR="00000000" w:rsidRDefault="00000000">
            <w:pPr>
              <w:ind w:left="284"/>
              <w:rPr>
                <w:sz w:val="15"/>
                <w:szCs w:val="16"/>
              </w:rPr>
            </w:pPr>
            <w:r>
              <w:rPr>
                <w:sz w:val="15"/>
                <w:szCs w:val="16"/>
              </w:rPr>
              <w:t>69 años</w:t>
            </w:r>
          </w:p>
        </w:tc>
        <w:tc>
          <w:tcPr>
            <w:tcW w:w="588" w:type="dxa"/>
            <w:noWrap/>
            <w:vAlign w:val="bottom"/>
          </w:tcPr>
          <w:p w:rsidR="00000000" w:rsidRDefault="00000000">
            <w:pPr>
              <w:jc w:val="right"/>
              <w:rPr>
                <w:sz w:val="15"/>
                <w:szCs w:val="16"/>
              </w:rPr>
            </w:pPr>
            <w:r>
              <w:rPr>
                <w:sz w:val="15"/>
                <w:szCs w:val="16"/>
              </w:rPr>
              <w:t>13.949</w:t>
            </w:r>
          </w:p>
        </w:tc>
        <w:tc>
          <w:tcPr>
            <w:tcW w:w="560" w:type="dxa"/>
            <w:noWrap/>
            <w:vAlign w:val="bottom"/>
          </w:tcPr>
          <w:p w:rsidR="00000000" w:rsidRDefault="00000000">
            <w:pPr>
              <w:jc w:val="right"/>
              <w:rPr>
                <w:sz w:val="15"/>
                <w:szCs w:val="16"/>
              </w:rPr>
            </w:pPr>
            <w:r>
              <w:rPr>
                <w:sz w:val="15"/>
                <w:szCs w:val="16"/>
              </w:rPr>
              <w:t>14.328</w:t>
            </w:r>
          </w:p>
        </w:tc>
        <w:tc>
          <w:tcPr>
            <w:tcW w:w="560" w:type="dxa"/>
            <w:noWrap/>
            <w:vAlign w:val="bottom"/>
          </w:tcPr>
          <w:p w:rsidR="00000000" w:rsidRDefault="00000000">
            <w:pPr>
              <w:jc w:val="right"/>
              <w:rPr>
                <w:sz w:val="15"/>
                <w:szCs w:val="16"/>
              </w:rPr>
            </w:pPr>
            <w:r>
              <w:rPr>
                <w:sz w:val="15"/>
                <w:szCs w:val="16"/>
              </w:rPr>
              <w:t>14.531</w:t>
            </w:r>
          </w:p>
        </w:tc>
        <w:tc>
          <w:tcPr>
            <w:tcW w:w="560" w:type="dxa"/>
            <w:noWrap/>
            <w:vAlign w:val="bottom"/>
          </w:tcPr>
          <w:p w:rsidR="00000000" w:rsidRDefault="00000000">
            <w:pPr>
              <w:jc w:val="right"/>
              <w:rPr>
                <w:sz w:val="15"/>
                <w:szCs w:val="16"/>
              </w:rPr>
            </w:pPr>
            <w:r>
              <w:rPr>
                <w:sz w:val="15"/>
                <w:szCs w:val="16"/>
              </w:rPr>
              <w:t>14.597</w:t>
            </w:r>
          </w:p>
        </w:tc>
        <w:tc>
          <w:tcPr>
            <w:tcW w:w="574" w:type="dxa"/>
            <w:noWrap/>
            <w:vAlign w:val="bottom"/>
          </w:tcPr>
          <w:p w:rsidR="00000000" w:rsidRDefault="00000000">
            <w:pPr>
              <w:jc w:val="right"/>
              <w:rPr>
                <w:sz w:val="15"/>
                <w:szCs w:val="16"/>
              </w:rPr>
            </w:pPr>
            <w:r>
              <w:rPr>
                <w:sz w:val="15"/>
                <w:szCs w:val="16"/>
              </w:rPr>
              <w:t>14.624</w:t>
            </w:r>
          </w:p>
        </w:tc>
        <w:tc>
          <w:tcPr>
            <w:tcW w:w="574" w:type="dxa"/>
            <w:noWrap/>
            <w:vAlign w:val="bottom"/>
          </w:tcPr>
          <w:p w:rsidR="00000000" w:rsidRDefault="00000000">
            <w:pPr>
              <w:jc w:val="right"/>
              <w:rPr>
                <w:sz w:val="15"/>
                <w:szCs w:val="16"/>
              </w:rPr>
            </w:pPr>
            <w:r>
              <w:rPr>
                <w:sz w:val="15"/>
                <w:szCs w:val="16"/>
              </w:rPr>
              <w:t>14.708</w:t>
            </w:r>
          </w:p>
        </w:tc>
        <w:tc>
          <w:tcPr>
            <w:tcW w:w="587" w:type="dxa"/>
            <w:noWrap/>
            <w:vAlign w:val="bottom"/>
          </w:tcPr>
          <w:p w:rsidR="00000000" w:rsidRDefault="00000000">
            <w:pPr>
              <w:jc w:val="right"/>
              <w:rPr>
                <w:sz w:val="15"/>
                <w:szCs w:val="16"/>
              </w:rPr>
            </w:pPr>
            <w:r>
              <w:rPr>
                <w:sz w:val="15"/>
                <w:szCs w:val="16"/>
              </w:rPr>
              <w:t>14.947</w:t>
            </w:r>
          </w:p>
        </w:tc>
        <w:tc>
          <w:tcPr>
            <w:tcW w:w="560" w:type="dxa"/>
            <w:noWrap/>
            <w:vAlign w:val="bottom"/>
          </w:tcPr>
          <w:p w:rsidR="00000000" w:rsidRDefault="00000000">
            <w:pPr>
              <w:jc w:val="right"/>
              <w:rPr>
                <w:sz w:val="15"/>
                <w:szCs w:val="16"/>
              </w:rPr>
            </w:pPr>
            <w:r>
              <w:rPr>
                <w:sz w:val="15"/>
                <w:szCs w:val="16"/>
              </w:rPr>
              <w:t>15.367</w:t>
            </w:r>
          </w:p>
        </w:tc>
        <w:tc>
          <w:tcPr>
            <w:tcW w:w="574" w:type="dxa"/>
            <w:noWrap/>
            <w:vAlign w:val="bottom"/>
          </w:tcPr>
          <w:p w:rsidR="00000000" w:rsidRDefault="00000000">
            <w:pPr>
              <w:jc w:val="right"/>
              <w:rPr>
                <w:sz w:val="15"/>
                <w:szCs w:val="16"/>
              </w:rPr>
            </w:pPr>
            <w:r>
              <w:rPr>
                <w:sz w:val="15"/>
                <w:szCs w:val="16"/>
              </w:rPr>
              <w:t>15.903</w:t>
            </w:r>
          </w:p>
        </w:tc>
        <w:tc>
          <w:tcPr>
            <w:tcW w:w="574" w:type="dxa"/>
            <w:noWrap/>
            <w:vAlign w:val="bottom"/>
          </w:tcPr>
          <w:p w:rsidR="00000000" w:rsidRDefault="00000000">
            <w:pPr>
              <w:jc w:val="right"/>
              <w:rPr>
                <w:sz w:val="15"/>
                <w:szCs w:val="16"/>
              </w:rPr>
            </w:pPr>
            <w:r>
              <w:rPr>
                <w:sz w:val="15"/>
                <w:szCs w:val="16"/>
              </w:rPr>
              <w:t>16.516</w:t>
            </w:r>
          </w:p>
        </w:tc>
        <w:tc>
          <w:tcPr>
            <w:tcW w:w="560" w:type="dxa"/>
            <w:noWrap/>
            <w:vAlign w:val="bottom"/>
          </w:tcPr>
          <w:p w:rsidR="00000000" w:rsidRDefault="00000000">
            <w:pPr>
              <w:jc w:val="right"/>
              <w:rPr>
                <w:sz w:val="15"/>
                <w:szCs w:val="16"/>
              </w:rPr>
            </w:pPr>
            <w:r>
              <w:rPr>
                <w:sz w:val="15"/>
                <w:szCs w:val="16"/>
              </w:rPr>
              <w:t>17.166</w:t>
            </w:r>
          </w:p>
        </w:tc>
        <w:tc>
          <w:tcPr>
            <w:tcW w:w="630" w:type="dxa"/>
            <w:noWrap/>
            <w:vAlign w:val="bottom"/>
          </w:tcPr>
          <w:p w:rsidR="00000000" w:rsidRDefault="00000000">
            <w:pPr>
              <w:jc w:val="right"/>
              <w:rPr>
                <w:sz w:val="15"/>
                <w:szCs w:val="16"/>
              </w:rPr>
            </w:pPr>
            <w:r>
              <w:rPr>
                <w:sz w:val="15"/>
                <w:szCs w:val="16"/>
              </w:rPr>
              <w:t>17.814</w:t>
            </w:r>
          </w:p>
        </w:tc>
        <w:tc>
          <w:tcPr>
            <w:tcW w:w="650" w:type="dxa"/>
            <w:noWrap/>
            <w:vAlign w:val="bottom"/>
          </w:tcPr>
          <w:p w:rsidR="00000000" w:rsidRDefault="00000000">
            <w:pPr>
              <w:jc w:val="right"/>
              <w:rPr>
                <w:sz w:val="15"/>
                <w:szCs w:val="16"/>
              </w:rPr>
            </w:pPr>
            <w:r>
              <w:rPr>
                <w:sz w:val="15"/>
                <w:szCs w:val="16"/>
              </w:rPr>
              <w:t>18.453</w:t>
            </w:r>
          </w:p>
        </w:tc>
      </w:tr>
      <w:tr w:rsidR="00000000">
        <w:trPr>
          <w:jc w:val="center"/>
        </w:trPr>
        <w:tc>
          <w:tcPr>
            <w:tcW w:w="1809" w:type="dxa"/>
            <w:noWrap/>
            <w:vAlign w:val="bottom"/>
          </w:tcPr>
          <w:p w:rsidR="00000000" w:rsidRDefault="00000000">
            <w:pPr>
              <w:rPr>
                <w:sz w:val="15"/>
                <w:szCs w:val="16"/>
              </w:rPr>
            </w:pPr>
            <w:r>
              <w:rPr>
                <w:sz w:val="15"/>
                <w:szCs w:val="16"/>
              </w:rPr>
              <w:t>De 70 a 74 años</w:t>
            </w:r>
          </w:p>
        </w:tc>
        <w:tc>
          <w:tcPr>
            <w:tcW w:w="588" w:type="dxa"/>
            <w:noWrap/>
            <w:vAlign w:val="bottom"/>
          </w:tcPr>
          <w:p w:rsidR="00000000" w:rsidRDefault="00000000">
            <w:pPr>
              <w:jc w:val="right"/>
              <w:rPr>
                <w:sz w:val="15"/>
                <w:szCs w:val="16"/>
              </w:rPr>
            </w:pPr>
            <w:r>
              <w:rPr>
                <w:sz w:val="15"/>
                <w:szCs w:val="16"/>
              </w:rPr>
              <w:t>55.467</w:t>
            </w:r>
          </w:p>
        </w:tc>
        <w:tc>
          <w:tcPr>
            <w:tcW w:w="560" w:type="dxa"/>
            <w:noWrap/>
            <w:vAlign w:val="bottom"/>
          </w:tcPr>
          <w:p w:rsidR="00000000" w:rsidRDefault="00000000">
            <w:pPr>
              <w:jc w:val="right"/>
              <w:rPr>
                <w:sz w:val="15"/>
                <w:szCs w:val="16"/>
              </w:rPr>
            </w:pPr>
            <w:r>
              <w:rPr>
                <w:sz w:val="15"/>
                <w:szCs w:val="16"/>
              </w:rPr>
              <w:t>57.352</w:t>
            </w:r>
          </w:p>
        </w:tc>
        <w:tc>
          <w:tcPr>
            <w:tcW w:w="560" w:type="dxa"/>
            <w:noWrap/>
            <w:vAlign w:val="bottom"/>
          </w:tcPr>
          <w:p w:rsidR="00000000" w:rsidRDefault="00000000">
            <w:pPr>
              <w:jc w:val="right"/>
              <w:rPr>
                <w:sz w:val="15"/>
                <w:szCs w:val="16"/>
              </w:rPr>
            </w:pPr>
            <w:r>
              <w:rPr>
                <w:sz w:val="15"/>
                <w:szCs w:val="16"/>
              </w:rPr>
              <w:t>59.495</w:t>
            </w:r>
          </w:p>
        </w:tc>
        <w:tc>
          <w:tcPr>
            <w:tcW w:w="560" w:type="dxa"/>
            <w:noWrap/>
            <w:vAlign w:val="bottom"/>
          </w:tcPr>
          <w:p w:rsidR="00000000" w:rsidRDefault="00000000">
            <w:pPr>
              <w:jc w:val="right"/>
              <w:rPr>
                <w:sz w:val="15"/>
                <w:szCs w:val="16"/>
              </w:rPr>
            </w:pPr>
            <w:r>
              <w:rPr>
                <w:sz w:val="15"/>
                <w:szCs w:val="16"/>
              </w:rPr>
              <w:t>61.881</w:t>
            </w:r>
          </w:p>
        </w:tc>
        <w:tc>
          <w:tcPr>
            <w:tcW w:w="574" w:type="dxa"/>
            <w:noWrap/>
            <w:vAlign w:val="bottom"/>
          </w:tcPr>
          <w:p w:rsidR="00000000" w:rsidRDefault="00000000">
            <w:pPr>
              <w:jc w:val="right"/>
              <w:rPr>
                <w:sz w:val="15"/>
                <w:szCs w:val="16"/>
              </w:rPr>
            </w:pPr>
            <w:r>
              <w:rPr>
                <w:sz w:val="15"/>
                <w:szCs w:val="16"/>
              </w:rPr>
              <w:t>64.269</w:t>
            </w:r>
          </w:p>
        </w:tc>
        <w:tc>
          <w:tcPr>
            <w:tcW w:w="574" w:type="dxa"/>
            <w:noWrap/>
            <w:vAlign w:val="bottom"/>
          </w:tcPr>
          <w:p w:rsidR="00000000" w:rsidRDefault="00000000">
            <w:pPr>
              <w:jc w:val="right"/>
              <w:rPr>
                <w:sz w:val="15"/>
                <w:szCs w:val="16"/>
              </w:rPr>
            </w:pPr>
            <w:r>
              <w:rPr>
                <w:sz w:val="15"/>
                <w:szCs w:val="16"/>
              </w:rPr>
              <w:t>66.417</w:t>
            </w:r>
          </w:p>
        </w:tc>
        <w:tc>
          <w:tcPr>
            <w:tcW w:w="587" w:type="dxa"/>
            <w:noWrap/>
            <w:vAlign w:val="bottom"/>
          </w:tcPr>
          <w:p w:rsidR="00000000" w:rsidRDefault="00000000">
            <w:pPr>
              <w:jc w:val="right"/>
              <w:rPr>
                <w:sz w:val="15"/>
                <w:szCs w:val="16"/>
              </w:rPr>
            </w:pPr>
            <w:r>
              <w:rPr>
                <w:sz w:val="15"/>
                <w:szCs w:val="16"/>
              </w:rPr>
              <w:t>68.086</w:t>
            </w:r>
          </w:p>
        </w:tc>
        <w:tc>
          <w:tcPr>
            <w:tcW w:w="560" w:type="dxa"/>
            <w:noWrap/>
            <w:vAlign w:val="bottom"/>
          </w:tcPr>
          <w:p w:rsidR="00000000" w:rsidRDefault="00000000">
            <w:pPr>
              <w:jc w:val="right"/>
              <w:rPr>
                <w:sz w:val="15"/>
                <w:szCs w:val="16"/>
              </w:rPr>
            </w:pPr>
            <w:r>
              <w:rPr>
                <w:sz w:val="15"/>
                <w:szCs w:val="16"/>
              </w:rPr>
              <w:t>68.891</w:t>
            </w:r>
          </w:p>
        </w:tc>
        <w:tc>
          <w:tcPr>
            <w:tcW w:w="574" w:type="dxa"/>
            <w:noWrap/>
            <w:vAlign w:val="bottom"/>
          </w:tcPr>
          <w:p w:rsidR="00000000" w:rsidRDefault="00000000">
            <w:pPr>
              <w:jc w:val="right"/>
              <w:rPr>
                <w:sz w:val="15"/>
                <w:szCs w:val="16"/>
              </w:rPr>
            </w:pPr>
            <w:r>
              <w:rPr>
                <w:sz w:val="15"/>
                <w:szCs w:val="16"/>
              </w:rPr>
              <w:t>68.992</w:t>
            </w:r>
          </w:p>
        </w:tc>
        <w:tc>
          <w:tcPr>
            <w:tcW w:w="574" w:type="dxa"/>
            <w:noWrap/>
            <w:vAlign w:val="bottom"/>
          </w:tcPr>
          <w:p w:rsidR="00000000" w:rsidRDefault="00000000">
            <w:pPr>
              <w:jc w:val="right"/>
              <w:rPr>
                <w:sz w:val="15"/>
                <w:szCs w:val="16"/>
              </w:rPr>
            </w:pPr>
            <w:r>
              <w:rPr>
                <w:sz w:val="15"/>
                <w:szCs w:val="16"/>
              </w:rPr>
              <w:t>68.966</w:t>
            </w:r>
          </w:p>
        </w:tc>
        <w:tc>
          <w:tcPr>
            <w:tcW w:w="560" w:type="dxa"/>
            <w:noWrap/>
            <w:vAlign w:val="bottom"/>
          </w:tcPr>
          <w:p w:rsidR="00000000" w:rsidRDefault="00000000">
            <w:pPr>
              <w:jc w:val="right"/>
              <w:rPr>
                <w:sz w:val="15"/>
                <w:szCs w:val="16"/>
              </w:rPr>
            </w:pPr>
            <w:r>
              <w:rPr>
                <w:sz w:val="15"/>
                <w:szCs w:val="16"/>
              </w:rPr>
              <w:t>69.389</w:t>
            </w:r>
          </w:p>
        </w:tc>
        <w:tc>
          <w:tcPr>
            <w:tcW w:w="630" w:type="dxa"/>
            <w:noWrap/>
            <w:vAlign w:val="bottom"/>
          </w:tcPr>
          <w:p w:rsidR="00000000" w:rsidRDefault="00000000">
            <w:pPr>
              <w:jc w:val="right"/>
              <w:rPr>
                <w:sz w:val="15"/>
                <w:szCs w:val="16"/>
              </w:rPr>
            </w:pPr>
            <w:r>
              <w:rPr>
                <w:sz w:val="15"/>
                <w:szCs w:val="16"/>
              </w:rPr>
              <w:t>70.837</w:t>
            </w:r>
          </w:p>
        </w:tc>
        <w:tc>
          <w:tcPr>
            <w:tcW w:w="650" w:type="dxa"/>
            <w:noWrap/>
            <w:vAlign w:val="bottom"/>
          </w:tcPr>
          <w:p w:rsidR="00000000" w:rsidRDefault="00000000">
            <w:pPr>
              <w:jc w:val="right"/>
              <w:rPr>
                <w:sz w:val="15"/>
                <w:szCs w:val="16"/>
              </w:rPr>
            </w:pPr>
            <w:r>
              <w:rPr>
                <w:sz w:val="15"/>
                <w:szCs w:val="16"/>
              </w:rPr>
              <w:t>73.616</w:t>
            </w:r>
          </w:p>
        </w:tc>
      </w:tr>
      <w:tr w:rsidR="00000000">
        <w:trPr>
          <w:jc w:val="center"/>
        </w:trPr>
        <w:tc>
          <w:tcPr>
            <w:tcW w:w="1809" w:type="dxa"/>
            <w:noWrap/>
            <w:vAlign w:val="bottom"/>
          </w:tcPr>
          <w:p w:rsidR="00000000" w:rsidRDefault="00000000">
            <w:pPr>
              <w:ind w:left="284"/>
              <w:rPr>
                <w:sz w:val="15"/>
                <w:szCs w:val="16"/>
              </w:rPr>
            </w:pPr>
            <w:r>
              <w:rPr>
                <w:sz w:val="15"/>
                <w:szCs w:val="16"/>
              </w:rPr>
              <w:t>70 años</w:t>
            </w:r>
          </w:p>
        </w:tc>
        <w:tc>
          <w:tcPr>
            <w:tcW w:w="588" w:type="dxa"/>
            <w:noWrap/>
            <w:vAlign w:val="bottom"/>
          </w:tcPr>
          <w:p w:rsidR="00000000" w:rsidRDefault="00000000">
            <w:pPr>
              <w:jc w:val="right"/>
              <w:rPr>
                <w:sz w:val="15"/>
                <w:szCs w:val="16"/>
              </w:rPr>
            </w:pPr>
            <w:r>
              <w:rPr>
                <w:sz w:val="15"/>
                <w:szCs w:val="16"/>
              </w:rPr>
              <w:t>12.932</w:t>
            </w:r>
          </w:p>
        </w:tc>
        <w:tc>
          <w:tcPr>
            <w:tcW w:w="560" w:type="dxa"/>
            <w:noWrap/>
            <w:vAlign w:val="bottom"/>
          </w:tcPr>
          <w:p w:rsidR="00000000" w:rsidRDefault="00000000">
            <w:pPr>
              <w:jc w:val="right"/>
              <w:rPr>
                <w:sz w:val="15"/>
                <w:szCs w:val="16"/>
              </w:rPr>
            </w:pPr>
            <w:r>
              <w:rPr>
                <w:sz w:val="15"/>
                <w:szCs w:val="16"/>
              </w:rPr>
              <w:t>13.313</w:t>
            </w:r>
          </w:p>
        </w:tc>
        <w:tc>
          <w:tcPr>
            <w:tcW w:w="560" w:type="dxa"/>
            <w:noWrap/>
            <w:vAlign w:val="bottom"/>
          </w:tcPr>
          <w:p w:rsidR="00000000" w:rsidRDefault="00000000">
            <w:pPr>
              <w:jc w:val="right"/>
              <w:rPr>
                <w:sz w:val="15"/>
                <w:szCs w:val="16"/>
              </w:rPr>
            </w:pPr>
            <w:r>
              <w:rPr>
                <w:sz w:val="15"/>
                <w:szCs w:val="16"/>
              </w:rPr>
              <w:t>13.623</w:t>
            </w:r>
          </w:p>
        </w:tc>
        <w:tc>
          <w:tcPr>
            <w:tcW w:w="560" w:type="dxa"/>
            <w:noWrap/>
            <w:vAlign w:val="bottom"/>
          </w:tcPr>
          <w:p w:rsidR="00000000" w:rsidRDefault="00000000">
            <w:pPr>
              <w:jc w:val="right"/>
              <w:rPr>
                <w:sz w:val="15"/>
                <w:szCs w:val="16"/>
              </w:rPr>
            </w:pPr>
            <w:r>
              <w:rPr>
                <w:sz w:val="15"/>
                <w:szCs w:val="16"/>
              </w:rPr>
              <w:t>13.882</w:t>
            </w:r>
          </w:p>
        </w:tc>
        <w:tc>
          <w:tcPr>
            <w:tcW w:w="574" w:type="dxa"/>
            <w:noWrap/>
            <w:vAlign w:val="bottom"/>
          </w:tcPr>
          <w:p w:rsidR="00000000" w:rsidRDefault="00000000">
            <w:pPr>
              <w:jc w:val="right"/>
              <w:rPr>
                <w:sz w:val="15"/>
                <w:szCs w:val="16"/>
              </w:rPr>
            </w:pPr>
            <w:r>
              <w:rPr>
                <w:sz w:val="15"/>
                <w:szCs w:val="16"/>
              </w:rPr>
              <w:t>14.119</w:t>
            </w:r>
          </w:p>
        </w:tc>
        <w:tc>
          <w:tcPr>
            <w:tcW w:w="574" w:type="dxa"/>
            <w:noWrap/>
            <w:vAlign w:val="bottom"/>
          </w:tcPr>
          <w:p w:rsidR="00000000" w:rsidRDefault="00000000">
            <w:pPr>
              <w:jc w:val="right"/>
              <w:rPr>
                <w:sz w:val="15"/>
                <w:szCs w:val="16"/>
              </w:rPr>
            </w:pPr>
            <w:r>
              <w:rPr>
                <w:sz w:val="15"/>
                <w:szCs w:val="16"/>
              </w:rPr>
              <w:t>14.362</w:t>
            </w:r>
          </w:p>
        </w:tc>
        <w:tc>
          <w:tcPr>
            <w:tcW w:w="587" w:type="dxa"/>
            <w:noWrap/>
            <w:vAlign w:val="bottom"/>
          </w:tcPr>
          <w:p w:rsidR="00000000" w:rsidRDefault="00000000">
            <w:pPr>
              <w:jc w:val="right"/>
              <w:rPr>
                <w:sz w:val="15"/>
                <w:szCs w:val="16"/>
              </w:rPr>
            </w:pPr>
            <w:r>
              <w:rPr>
                <w:sz w:val="15"/>
                <w:szCs w:val="16"/>
              </w:rPr>
              <w:t>14.640</w:t>
            </w:r>
          </w:p>
        </w:tc>
        <w:tc>
          <w:tcPr>
            <w:tcW w:w="560" w:type="dxa"/>
            <w:noWrap/>
            <w:vAlign w:val="bottom"/>
          </w:tcPr>
          <w:p w:rsidR="00000000" w:rsidRDefault="00000000">
            <w:pPr>
              <w:jc w:val="right"/>
              <w:rPr>
                <w:sz w:val="15"/>
                <w:szCs w:val="16"/>
              </w:rPr>
            </w:pPr>
            <w:r>
              <w:rPr>
                <w:sz w:val="15"/>
                <w:szCs w:val="16"/>
              </w:rPr>
              <w:t>14.926</w:t>
            </w:r>
          </w:p>
        </w:tc>
        <w:tc>
          <w:tcPr>
            <w:tcW w:w="574" w:type="dxa"/>
            <w:noWrap/>
            <w:vAlign w:val="bottom"/>
          </w:tcPr>
          <w:p w:rsidR="00000000" w:rsidRDefault="00000000">
            <w:pPr>
              <w:jc w:val="right"/>
              <w:rPr>
                <w:sz w:val="15"/>
                <w:szCs w:val="16"/>
              </w:rPr>
            </w:pPr>
            <w:r>
              <w:rPr>
                <w:sz w:val="15"/>
                <w:szCs w:val="16"/>
              </w:rPr>
              <w:t>15.201</w:t>
            </w:r>
          </w:p>
        </w:tc>
        <w:tc>
          <w:tcPr>
            <w:tcW w:w="574" w:type="dxa"/>
            <w:noWrap/>
            <w:vAlign w:val="bottom"/>
          </w:tcPr>
          <w:p w:rsidR="00000000" w:rsidRDefault="00000000">
            <w:pPr>
              <w:jc w:val="right"/>
              <w:rPr>
                <w:sz w:val="15"/>
                <w:szCs w:val="16"/>
              </w:rPr>
            </w:pPr>
            <w:r>
              <w:rPr>
                <w:sz w:val="15"/>
                <w:szCs w:val="16"/>
              </w:rPr>
              <w:t>15.505</w:t>
            </w:r>
          </w:p>
        </w:tc>
        <w:tc>
          <w:tcPr>
            <w:tcW w:w="560" w:type="dxa"/>
            <w:noWrap/>
            <w:vAlign w:val="bottom"/>
          </w:tcPr>
          <w:p w:rsidR="00000000" w:rsidRDefault="00000000">
            <w:pPr>
              <w:jc w:val="right"/>
              <w:rPr>
                <w:sz w:val="15"/>
                <w:szCs w:val="16"/>
              </w:rPr>
            </w:pPr>
            <w:r>
              <w:rPr>
                <w:sz w:val="15"/>
                <w:szCs w:val="16"/>
              </w:rPr>
              <w:t>15.880</w:t>
            </w:r>
          </w:p>
        </w:tc>
        <w:tc>
          <w:tcPr>
            <w:tcW w:w="630" w:type="dxa"/>
            <w:noWrap/>
            <w:vAlign w:val="bottom"/>
          </w:tcPr>
          <w:p w:rsidR="00000000" w:rsidRDefault="00000000">
            <w:pPr>
              <w:jc w:val="right"/>
              <w:rPr>
                <w:sz w:val="15"/>
                <w:szCs w:val="16"/>
              </w:rPr>
            </w:pPr>
            <w:r>
              <w:rPr>
                <w:sz w:val="15"/>
                <w:szCs w:val="16"/>
              </w:rPr>
              <w:t>16.366</w:t>
            </w:r>
          </w:p>
        </w:tc>
        <w:tc>
          <w:tcPr>
            <w:tcW w:w="650" w:type="dxa"/>
            <w:noWrap/>
            <w:vAlign w:val="bottom"/>
          </w:tcPr>
          <w:p w:rsidR="00000000" w:rsidRDefault="00000000">
            <w:pPr>
              <w:jc w:val="right"/>
              <w:rPr>
                <w:sz w:val="15"/>
                <w:szCs w:val="16"/>
              </w:rPr>
            </w:pPr>
            <w:r>
              <w:rPr>
                <w:sz w:val="15"/>
                <w:szCs w:val="16"/>
              </w:rPr>
              <w:t>16.997</w:t>
            </w:r>
          </w:p>
        </w:tc>
      </w:tr>
      <w:tr w:rsidR="00000000">
        <w:trPr>
          <w:jc w:val="center"/>
        </w:trPr>
        <w:tc>
          <w:tcPr>
            <w:tcW w:w="1809" w:type="dxa"/>
            <w:noWrap/>
            <w:vAlign w:val="bottom"/>
          </w:tcPr>
          <w:p w:rsidR="00000000" w:rsidRDefault="00000000">
            <w:pPr>
              <w:ind w:left="284"/>
              <w:rPr>
                <w:sz w:val="15"/>
                <w:szCs w:val="16"/>
              </w:rPr>
            </w:pPr>
            <w:r>
              <w:rPr>
                <w:sz w:val="15"/>
                <w:szCs w:val="16"/>
              </w:rPr>
              <w:t>71 años</w:t>
            </w:r>
          </w:p>
        </w:tc>
        <w:tc>
          <w:tcPr>
            <w:tcW w:w="588" w:type="dxa"/>
            <w:noWrap/>
            <w:vAlign w:val="bottom"/>
          </w:tcPr>
          <w:p w:rsidR="00000000" w:rsidRDefault="00000000">
            <w:pPr>
              <w:jc w:val="right"/>
              <w:rPr>
                <w:sz w:val="15"/>
                <w:szCs w:val="16"/>
              </w:rPr>
            </w:pPr>
            <w:r>
              <w:rPr>
                <w:sz w:val="15"/>
                <w:szCs w:val="16"/>
              </w:rPr>
              <w:t>11.911</w:t>
            </w:r>
          </w:p>
        </w:tc>
        <w:tc>
          <w:tcPr>
            <w:tcW w:w="560" w:type="dxa"/>
            <w:noWrap/>
            <w:vAlign w:val="bottom"/>
          </w:tcPr>
          <w:p w:rsidR="00000000" w:rsidRDefault="00000000">
            <w:pPr>
              <w:jc w:val="right"/>
              <w:rPr>
                <w:sz w:val="15"/>
                <w:szCs w:val="16"/>
              </w:rPr>
            </w:pPr>
            <w:r>
              <w:rPr>
                <w:sz w:val="15"/>
                <w:szCs w:val="16"/>
              </w:rPr>
              <w:t>12.299</w:t>
            </w:r>
          </w:p>
        </w:tc>
        <w:tc>
          <w:tcPr>
            <w:tcW w:w="560" w:type="dxa"/>
            <w:noWrap/>
            <w:vAlign w:val="bottom"/>
          </w:tcPr>
          <w:p w:rsidR="00000000" w:rsidRDefault="00000000">
            <w:pPr>
              <w:jc w:val="right"/>
              <w:rPr>
                <w:sz w:val="15"/>
                <w:szCs w:val="16"/>
              </w:rPr>
            </w:pPr>
            <w:r>
              <w:rPr>
                <w:sz w:val="15"/>
                <w:szCs w:val="16"/>
              </w:rPr>
              <w:t>12.727</w:t>
            </w:r>
          </w:p>
        </w:tc>
        <w:tc>
          <w:tcPr>
            <w:tcW w:w="560" w:type="dxa"/>
            <w:noWrap/>
            <w:vAlign w:val="bottom"/>
          </w:tcPr>
          <w:p w:rsidR="00000000" w:rsidRDefault="00000000">
            <w:pPr>
              <w:jc w:val="right"/>
              <w:rPr>
                <w:sz w:val="15"/>
                <w:szCs w:val="16"/>
              </w:rPr>
            </w:pPr>
            <w:r>
              <w:rPr>
                <w:sz w:val="15"/>
                <w:szCs w:val="16"/>
              </w:rPr>
              <w:t>13.194</w:t>
            </w:r>
          </w:p>
        </w:tc>
        <w:tc>
          <w:tcPr>
            <w:tcW w:w="574" w:type="dxa"/>
            <w:noWrap/>
            <w:vAlign w:val="bottom"/>
          </w:tcPr>
          <w:p w:rsidR="00000000" w:rsidRDefault="00000000">
            <w:pPr>
              <w:jc w:val="right"/>
              <w:rPr>
                <w:sz w:val="15"/>
                <w:szCs w:val="16"/>
              </w:rPr>
            </w:pPr>
            <w:r>
              <w:rPr>
                <w:sz w:val="15"/>
                <w:szCs w:val="16"/>
              </w:rPr>
              <w:t>13.656</w:t>
            </w:r>
          </w:p>
        </w:tc>
        <w:tc>
          <w:tcPr>
            <w:tcW w:w="574" w:type="dxa"/>
            <w:noWrap/>
            <w:vAlign w:val="bottom"/>
          </w:tcPr>
          <w:p w:rsidR="00000000" w:rsidRDefault="00000000">
            <w:pPr>
              <w:jc w:val="right"/>
              <w:rPr>
                <w:sz w:val="15"/>
                <w:szCs w:val="16"/>
              </w:rPr>
            </w:pPr>
            <w:r>
              <w:rPr>
                <w:sz w:val="15"/>
                <w:szCs w:val="16"/>
              </w:rPr>
              <w:t>14.070</w:t>
            </w:r>
          </w:p>
        </w:tc>
        <w:tc>
          <w:tcPr>
            <w:tcW w:w="587" w:type="dxa"/>
            <w:noWrap/>
            <w:vAlign w:val="bottom"/>
          </w:tcPr>
          <w:p w:rsidR="00000000" w:rsidRDefault="00000000">
            <w:pPr>
              <w:jc w:val="right"/>
              <w:rPr>
                <w:sz w:val="15"/>
                <w:szCs w:val="16"/>
              </w:rPr>
            </w:pPr>
            <w:r>
              <w:rPr>
                <w:sz w:val="15"/>
                <w:szCs w:val="16"/>
              </w:rPr>
              <w:t>14.391</w:t>
            </w:r>
          </w:p>
        </w:tc>
        <w:tc>
          <w:tcPr>
            <w:tcW w:w="560" w:type="dxa"/>
            <w:noWrap/>
            <w:vAlign w:val="bottom"/>
          </w:tcPr>
          <w:p w:rsidR="00000000" w:rsidRDefault="00000000">
            <w:pPr>
              <w:jc w:val="right"/>
              <w:rPr>
                <w:sz w:val="15"/>
                <w:szCs w:val="16"/>
              </w:rPr>
            </w:pPr>
            <w:r>
              <w:rPr>
                <w:sz w:val="15"/>
                <w:szCs w:val="16"/>
              </w:rPr>
              <w:t>14.533</w:t>
            </w:r>
          </w:p>
        </w:tc>
        <w:tc>
          <w:tcPr>
            <w:tcW w:w="574" w:type="dxa"/>
            <w:noWrap/>
            <w:vAlign w:val="bottom"/>
          </w:tcPr>
          <w:p w:rsidR="00000000" w:rsidRDefault="00000000">
            <w:pPr>
              <w:jc w:val="right"/>
              <w:rPr>
                <w:sz w:val="15"/>
                <w:szCs w:val="16"/>
              </w:rPr>
            </w:pPr>
            <w:r>
              <w:rPr>
                <w:sz w:val="15"/>
                <w:szCs w:val="16"/>
              </w:rPr>
              <w:t>14.527</w:t>
            </w:r>
          </w:p>
        </w:tc>
        <w:tc>
          <w:tcPr>
            <w:tcW w:w="574" w:type="dxa"/>
            <w:noWrap/>
            <w:vAlign w:val="bottom"/>
          </w:tcPr>
          <w:p w:rsidR="00000000" w:rsidRDefault="00000000">
            <w:pPr>
              <w:jc w:val="right"/>
              <w:rPr>
                <w:sz w:val="15"/>
                <w:szCs w:val="16"/>
              </w:rPr>
            </w:pPr>
            <w:r>
              <w:rPr>
                <w:sz w:val="15"/>
                <w:szCs w:val="16"/>
              </w:rPr>
              <w:t>14.500</w:t>
            </w:r>
          </w:p>
        </w:tc>
        <w:tc>
          <w:tcPr>
            <w:tcW w:w="560" w:type="dxa"/>
            <w:noWrap/>
            <w:vAlign w:val="bottom"/>
          </w:tcPr>
          <w:p w:rsidR="00000000" w:rsidRDefault="00000000">
            <w:pPr>
              <w:jc w:val="right"/>
              <w:rPr>
                <w:sz w:val="15"/>
                <w:szCs w:val="16"/>
              </w:rPr>
            </w:pPr>
            <w:r>
              <w:rPr>
                <w:sz w:val="15"/>
                <w:szCs w:val="16"/>
              </w:rPr>
              <w:t>14.582</w:t>
            </w:r>
          </w:p>
        </w:tc>
        <w:tc>
          <w:tcPr>
            <w:tcW w:w="630" w:type="dxa"/>
            <w:noWrap/>
            <w:vAlign w:val="bottom"/>
          </w:tcPr>
          <w:p w:rsidR="00000000" w:rsidRDefault="00000000">
            <w:pPr>
              <w:jc w:val="right"/>
              <w:rPr>
                <w:sz w:val="15"/>
                <w:szCs w:val="16"/>
              </w:rPr>
            </w:pPr>
            <w:r>
              <w:rPr>
                <w:sz w:val="15"/>
                <w:szCs w:val="16"/>
              </w:rPr>
              <w:t>14.902</w:t>
            </w:r>
          </w:p>
        </w:tc>
        <w:tc>
          <w:tcPr>
            <w:tcW w:w="650" w:type="dxa"/>
            <w:noWrap/>
            <w:vAlign w:val="bottom"/>
          </w:tcPr>
          <w:p w:rsidR="00000000" w:rsidRDefault="00000000">
            <w:pPr>
              <w:jc w:val="right"/>
              <w:rPr>
                <w:sz w:val="15"/>
                <w:szCs w:val="16"/>
              </w:rPr>
            </w:pPr>
            <w:r>
              <w:rPr>
                <w:sz w:val="15"/>
                <w:szCs w:val="16"/>
              </w:rPr>
              <w:t>15.539</w:t>
            </w:r>
          </w:p>
        </w:tc>
      </w:tr>
      <w:tr w:rsidR="00000000">
        <w:trPr>
          <w:jc w:val="center"/>
        </w:trPr>
        <w:tc>
          <w:tcPr>
            <w:tcW w:w="1809" w:type="dxa"/>
            <w:noWrap/>
            <w:vAlign w:val="bottom"/>
          </w:tcPr>
          <w:p w:rsidR="00000000" w:rsidRDefault="00000000">
            <w:pPr>
              <w:ind w:left="284"/>
              <w:rPr>
                <w:sz w:val="15"/>
                <w:szCs w:val="16"/>
              </w:rPr>
            </w:pPr>
            <w:r>
              <w:rPr>
                <w:sz w:val="15"/>
                <w:szCs w:val="16"/>
              </w:rPr>
              <w:t>72 años</w:t>
            </w:r>
          </w:p>
        </w:tc>
        <w:tc>
          <w:tcPr>
            <w:tcW w:w="588" w:type="dxa"/>
            <w:noWrap/>
            <w:vAlign w:val="bottom"/>
          </w:tcPr>
          <w:p w:rsidR="00000000" w:rsidRDefault="00000000">
            <w:pPr>
              <w:jc w:val="right"/>
              <w:rPr>
                <w:sz w:val="15"/>
                <w:szCs w:val="16"/>
              </w:rPr>
            </w:pPr>
            <w:r>
              <w:rPr>
                <w:sz w:val="15"/>
                <w:szCs w:val="16"/>
              </w:rPr>
              <w:t>10.968</w:t>
            </w:r>
          </w:p>
        </w:tc>
        <w:tc>
          <w:tcPr>
            <w:tcW w:w="560" w:type="dxa"/>
            <w:noWrap/>
            <w:vAlign w:val="bottom"/>
          </w:tcPr>
          <w:p w:rsidR="00000000" w:rsidRDefault="00000000">
            <w:pPr>
              <w:jc w:val="right"/>
              <w:rPr>
                <w:sz w:val="15"/>
                <w:szCs w:val="16"/>
              </w:rPr>
            </w:pPr>
            <w:r>
              <w:rPr>
                <w:sz w:val="15"/>
                <w:szCs w:val="16"/>
              </w:rPr>
              <w:t>11.355</w:t>
            </w:r>
          </w:p>
        </w:tc>
        <w:tc>
          <w:tcPr>
            <w:tcW w:w="560" w:type="dxa"/>
            <w:noWrap/>
            <w:vAlign w:val="bottom"/>
          </w:tcPr>
          <w:p w:rsidR="00000000" w:rsidRDefault="00000000">
            <w:pPr>
              <w:jc w:val="right"/>
              <w:rPr>
                <w:sz w:val="15"/>
                <w:szCs w:val="16"/>
              </w:rPr>
            </w:pPr>
            <w:r>
              <w:rPr>
                <w:sz w:val="15"/>
                <w:szCs w:val="16"/>
              </w:rPr>
              <w:t>11.854</w:t>
            </w:r>
          </w:p>
        </w:tc>
        <w:tc>
          <w:tcPr>
            <w:tcW w:w="560" w:type="dxa"/>
            <w:noWrap/>
            <w:vAlign w:val="bottom"/>
          </w:tcPr>
          <w:p w:rsidR="00000000" w:rsidRDefault="00000000">
            <w:pPr>
              <w:jc w:val="right"/>
              <w:rPr>
                <w:sz w:val="15"/>
                <w:szCs w:val="16"/>
              </w:rPr>
            </w:pPr>
            <w:r>
              <w:rPr>
                <w:sz w:val="15"/>
                <w:szCs w:val="16"/>
              </w:rPr>
              <w:t>12.449</w:t>
            </w:r>
          </w:p>
        </w:tc>
        <w:tc>
          <w:tcPr>
            <w:tcW w:w="574" w:type="dxa"/>
            <w:noWrap/>
            <w:vAlign w:val="bottom"/>
          </w:tcPr>
          <w:p w:rsidR="00000000" w:rsidRDefault="00000000">
            <w:pPr>
              <w:jc w:val="right"/>
              <w:rPr>
                <w:sz w:val="15"/>
                <w:szCs w:val="16"/>
              </w:rPr>
            </w:pPr>
            <w:r>
              <w:rPr>
                <w:sz w:val="15"/>
                <w:szCs w:val="16"/>
              </w:rPr>
              <w:t>13.053</w:t>
            </w:r>
          </w:p>
        </w:tc>
        <w:tc>
          <w:tcPr>
            <w:tcW w:w="574" w:type="dxa"/>
            <w:noWrap/>
            <w:vAlign w:val="bottom"/>
          </w:tcPr>
          <w:p w:rsidR="00000000" w:rsidRDefault="00000000">
            <w:pPr>
              <w:jc w:val="right"/>
              <w:rPr>
                <w:sz w:val="15"/>
                <w:szCs w:val="16"/>
              </w:rPr>
            </w:pPr>
            <w:r>
              <w:rPr>
                <w:sz w:val="15"/>
                <w:szCs w:val="16"/>
              </w:rPr>
              <w:t>13.577</w:t>
            </w:r>
          </w:p>
        </w:tc>
        <w:tc>
          <w:tcPr>
            <w:tcW w:w="587" w:type="dxa"/>
            <w:noWrap/>
            <w:vAlign w:val="bottom"/>
          </w:tcPr>
          <w:p w:rsidR="00000000" w:rsidRDefault="00000000">
            <w:pPr>
              <w:jc w:val="right"/>
              <w:rPr>
                <w:sz w:val="15"/>
                <w:szCs w:val="16"/>
              </w:rPr>
            </w:pPr>
            <w:r>
              <w:rPr>
                <w:sz w:val="15"/>
                <w:szCs w:val="16"/>
              </w:rPr>
              <w:t>13.931</w:t>
            </w:r>
          </w:p>
        </w:tc>
        <w:tc>
          <w:tcPr>
            <w:tcW w:w="560" w:type="dxa"/>
            <w:noWrap/>
            <w:vAlign w:val="bottom"/>
          </w:tcPr>
          <w:p w:rsidR="00000000" w:rsidRDefault="00000000">
            <w:pPr>
              <w:jc w:val="right"/>
              <w:rPr>
                <w:sz w:val="15"/>
                <w:szCs w:val="16"/>
              </w:rPr>
            </w:pPr>
            <w:r>
              <w:rPr>
                <w:sz w:val="15"/>
                <w:szCs w:val="16"/>
              </w:rPr>
              <w:t>13.999</w:t>
            </w:r>
          </w:p>
        </w:tc>
        <w:tc>
          <w:tcPr>
            <w:tcW w:w="574" w:type="dxa"/>
            <w:noWrap/>
            <w:vAlign w:val="bottom"/>
          </w:tcPr>
          <w:p w:rsidR="00000000" w:rsidRDefault="00000000">
            <w:pPr>
              <w:jc w:val="right"/>
              <w:rPr>
                <w:sz w:val="15"/>
                <w:szCs w:val="16"/>
              </w:rPr>
            </w:pPr>
            <w:r>
              <w:rPr>
                <w:sz w:val="15"/>
                <w:szCs w:val="16"/>
              </w:rPr>
              <w:t>13.840</w:t>
            </w:r>
          </w:p>
        </w:tc>
        <w:tc>
          <w:tcPr>
            <w:tcW w:w="574" w:type="dxa"/>
            <w:noWrap/>
            <w:vAlign w:val="bottom"/>
          </w:tcPr>
          <w:p w:rsidR="00000000" w:rsidRDefault="00000000">
            <w:pPr>
              <w:jc w:val="right"/>
              <w:rPr>
                <w:sz w:val="15"/>
                <w:szCs w:val="16"/>
              </w:rPr>
            </w:pPr>
            <w:r>
              <w:rPr>
                <w:sz w:val="15"/>
                <w:szCs w:val="16"/>
              </w:rPr>
              <w:t>13.629</w:t>
            </w:r>
          </w:p>
        </w:tc>
        <w:tc>
          <w:tcPr>
            <w:tcW w:w="560" w:type="dxa"/>
            <w:noWrap/>
            <w:vAlign w:val="bottom"/>
          </w:tcPr>
          <w:p w:rsidR="00000000" w:rsidRDefault="00000000">
            <w:pPr>
              <w:jc w:val="right"/>
              <w:rPr>
                <w:sz w:val="15"/>
                <w:szCs w:val="16"/>
              </w:rPr>
            </w:pPr>
            <w:r>
              <w:rPr>
                <w:sz w:val="15"/>
                <w:szCs w:val="16"/>
              </w:rPr>
              <w:t>13.541</w:t>
            </w:r>
          </w:p>
        </w:tc>
        <w:tc>
          <w:tcPr>
            <w:tcW w:w="630" w:type="dxa"/>
            <w:noWrap/>
            <w:vAlign w:val="bottom"/>
          </w:tcPr>
          <w:p w:rsidR="00000000" w:rsidRDefault="00000000">
            <w:pPr>
              <w:jc w:val="right"/>
              <w:rPr>
                <w:sz w:val="15"/>
                <w:szCs w:val="16"/>
              </w:rPr>
            </w:pPr>
            <w:r>
              <w:rPr>
                <w:sz w:val="15"/>
                <w:szCs w:val="16"/>
              </w:rPr>
              <w:t>13.752</w:t>
            </w:r>
          </w:p>
        </w:tc>
        <w:tc>
          <w:tcPr>
            <w:tcW w:w="650" w:type="dxa"/>
            <w:noWrap/>
            <w:vAlign w:val="bottom"/>
          </w:tcPr>
          <w:p w:rsidR="00000000" w:rsidRDefault="00000000">
            <w:pPr>
              <w:jc w:val="right"/>
              <w:rPr>
                <w:sz w:val="15"/>
                <w:szCs w:val="16"/>
              </w:rPr>
            </w:pPr>
            <w:r>
              <w:rPr>
                <w:sz w:val="15"/>
                <w:szCs w:val="16"/>
              </w:rPr>
              <w:t>14.358</w:t>
            </w:r>
          </w:p>
        </w:tc>
      </w:tr>
      <w:tr w:rsidR="00000000">
        <w:trPr>
          <w:jc w:val="center"/>
        </w:trPr>
        <w:tc>
          <w:tcPr>
            <w:tcW w:w="1809" w:type="dxa"/>
            <w:noWrap/>
            <w:vAlign w:val="bottom"/>
          </w:tcPr>
          <w:p w:rsidR="00000000" w:rsidRDefault="00000000">
            <w:pPr>
              <w:ind w:left="284"/>
              <w:rPr>
                <w:sz w:val="15"/>
                <w:szCs w:val="16"/>
              </w:rPr>
            </w:pPr>
            <w:r>
              <w:rPr>
                <w:sz w:val="15"/>
                <w:szCs w:val="16"/>
              </w:rPr>
              <w:t>73 años</w:t>
            </w:r>
          </w:p>
        </w:tc>
        <w:tc>
          <w:tcPr>
            <w:tcW w:w="588" w:type="dxa"/>
            <w:noWrap/>
            <w:vAlign w:val="bottom"/>
          </w:tcPr>
          <w:p w:rsidR="00000000" w:rsidRDefault="00000000">
            <w:pPr>
              <w:jc w:val="right"/>
              <w:rPr>
                <w:sz w:val="15"/>
                <w:szCs w:val="16"/>
              </w:rPr>
            </w:pPr>
            <w:r>
              <w:rPr>
                <w:sz w:val="15"/>
                <w:szCs w:val="16"/>
              </w:rPr>
              <w:t>10.175</w:t>
            </w:r>
          </w:p>
        </w:tc>
        <w:tc>
          <w:tcPr>
            <w:tcW w:w="560" w:type="dxa"/>
            <w:noWrap/>
            <w:vAlign w:val="bottom"/>
          </w:tcPr>
          <w:p w:rsidR="00000000" w:rsidRDefault="00000000">
            <w:pPr>
              <w:jc w:val="right"/>
              <w:rPr>
                <w:sz w:val="15"/>
                <w:szCs w:val="16"/>
              </w:rPr>
            </w:pPr>
            <w:r>
              <w:rPr>
                <w:sz w:val="15"/>
                <w:szCs w:val="16"/>
              </w:rPr>
              <w:t>10.550</w:t>
            </w:r>
          </w:p>
        </w:tc>
        <w:tc>
          <w:tcPr>
            <w:tcW w:w="560" w:type="dxa"/>
            <w:noWrap/>
            <w:vAlign w:val="bottom"/>
          </w:tcPr>
          <w:p w:rsidR="00000000" w:rsidRDefault="00000000">
            <w:pPr>
              <w:jc w:val="right"/>
              <w:rPr>
                <w:sz w:val="15"/>
                <w:szCs w:val="16"/>
              </w:rPr>
            </w:pPr>
            <w:r>
              <w:rPr>
                <w:sz w:val="15"/>
                <w:szCs w:val="16"/>
              </w:rPr>
              <w:t>11.036</w:t>
            </w:r>
          </w:p>
        </w:tc>
        <w:tc>
          <w:tcPr>
            <w:tcW w:w="560" w:type="dxa"/>
            <w:noWrap/>
            <w:vAlign w:val="bottom"/>
          </w:tcPr>
          <w:p w:rsidR="00000000" w:rsidRDefault="00000000">
            <w:pPr>
              <w:jc w:val="right"/>
              <w:rPr>
                <w:sz w:val="15"/>
                <w:szCs w:val="16"/>
              </w:rPr>
            </w:pPr>
            <w:r>
              <w:rPr>
                <w:sz w:val="15"/>
                <w:szCs w:val="16"/>
              </w:rPr>
              <w:t>11.619</w:t>
            </w:r>
          </w:p>
        </w:tc>
        <w:tc>
          <w:tcPr>
            <w:tcW w:w="574" w:type="dxa"/>
            <w:noWrap/>
            <w:vAlign w:val="bottom"/>
          </w:tcPr>
          <w:p w:rsidR="00000000" w:rsidRDefault="00000000">
            <w:pPr>
              <w:jc w:val="right"/>
              <w:rPr>
                <w:sz w:val="15"/>
                <w:szCs w:val="16"/>
              </w:rPr>
            </w:pPr>
            <w:r>
              <w:rPr>
                <w:sz w:val="15"/>
                <w:szCs w:val="16"/>
              </w:rPr>
              <w:t>12.214</w:t>
            </w:r>
          </w:p>
        </w:tc>
        <w:tc>
          <w:tcPr>
            <w:tcW w:w="574" w:type="dxa"/>
            <w:noWrap/>
            <w:vAlign w:val="bottom"/>
          </w:tcPr>
          <w:p w:rsidR="00000000" w:rsidRDefault="00000000">
            <w:pPr>
              <w:jc w:val="right"/>
              <w:rPr>
                <w:sz w:val="15"/>
                <w:szCs w:val="16"/>
              </w:rPr>
            </w:pPr>
            <w:r>
              <w:rPr>
                <w:sz w:val="15"/>
                <w:szCs w:val="16"/>
              </w:rPr>
              <w:t>12.735</w:t>
            </w:r>
          </w:p>
        </w:tc>
        <w:tc>
          <w:tcPr>
            <w:tcW w:w="587" w:type="dxa"/>
            <w:noWrap/>
            <w:vAlign w:val="bottom"/>
          </w:tcPr>
          <w:p w:rsidR="00000000" w:rsidRDefault="00000000">
            <w:pPr>
              <w:jc w:val="right"/>
              <w:rPr>
                <w:sz w:val="15"/>
                <w:szCs w:val="16"/>
              </w:rPr>
            </w:pPr>
            <w:r>
              <w:rPr>
                <w:sz w:val="15"/>
                <w:szCs w:val="16"/>
              </w:rPr>
              <w:t>13.097</w:t>
            </w:r>
          </w:p>
        </w:tc>
        <w:tc>
          <w:tcPr>
            <w:tcW w:w="560" w:type="dxa"/>
            <w:noWrap/>
            <w:vAlign w:val="bottom"/>
          </w:tcPr>
          <w:p w:rsidR="00000000" w:rsidRDefault="00000000">
            <w:pPr>
              <w:jc w:val="right"/>
              <w:rPr>
                <w:sz w:val="15"/>
                <w:szCs w:val="16"/>
              </w:rPr>
            </w:pPr>
            <w:r>
              <w:rPr>
                <w:sz w:val="15"/>
                <w:szCs w:val="16"/>
              </w:rPr>
              <w:t>13.199</w:t>
            </w:r>
          </w:p>
        </w:tc>
        <w:tc>
          <w:tcPr>
            <w:tcW w:w="574" w:type="dxa"/>
            <w:noWrap/>
            <w:vAlign w:val="bottom"/>
          </w:tcPr>
          <w:p w:rsidR="00000000" w:rsidRDefault="00000000">
            <w:pPr>
              <w:jc w:val="right"/>
              <w:rPr>
                <w:sz w:val="15"/>
                <w:szCs w:val="16"/>
              </w:rPr>
            </w:pPr>
            <w:r>
              <w:rPr>
                <w:sz w:val="15"/>
                <w:szCs w:val="16"/>
              </w:rPr>
              <w:t>13.100</w:t>
            </w:r>
          </w:p>
        </w:tc>
        <w:tc>
          <w:tcPr>
            <w:tcW w:w="574" w:type="dxa"/>
            <w:noWrap/>
            <w:vAlign w:val="bottom"/>
          </w:tcPr>
          <w:p w:rsidR="00000000" w:rsidRDefault="00000000">
            <w:pPr>
              <w:jc w:val="right"/>
              <w:rPr>
                <w:sz w:val="15"/>
                <w:szCs w:val="16"/>
              </w:rPr>
            </w:pPr>
            <w:r>
              <w:rPr>
                <w:sz w:val="15"/>
                <w:szCs w:val="16"/>
              </w:rPr>
              <w:t>12.948</w:t>
            </w:r>
          </w:p>
        </w:tc>
        <w:tc>
          <w:tcPr>
            <w:tcW w:w="560" w:type="dxa"/>
            <w:noWrap/>
            <w:vAlign w:val="bottom"/>
          </w:tcPr>
          <w:p w:rsidR="00000000" w:rsidRDefault="00000000">
            <w:pPr>
              <w:jc w:val="right"/>
              <w:rPr>
                <w:sz w:val="15"/>
                <w:szCs w:val="16"/>
              </w:rPr>
            </w:pPr>
            <w:r>
              <w:rPr>
                <w:sz w:val="15"/>
                <w:szCs w:val="16"/>
              </w:rPr>
              <w:t>12.894</w:t>
            </w:r>
          </w:p>
        </w:tc>
        <w:tc>
          <w:tcPr>
            <w:tcW w:w="630" w:type="dxa"/>
            <w:noWrap/>
            <w:vAlign w:val="bottom"/>
          </w:tcPr>
          <w:p w:rsidR="00000000" w:rsidRDefault="00000000">
            <w:pPr>
              <w:jc w:val="right"/>
              <w:rPr>
                <w:sz w:val="15"/>
                <w:szCs w:val="16"/>
              </w:rPr>
            </w:pPr>
            <w:r>
              <w:rPr>
                <w:sz w:val="15"/>
                <w:szCs w:val="16"/>
              </w:rPr>
              <w:t>13.088</w:t>
            </w:r>
          </w:p>
        </w:tc>
        <w:tc>
          <w:tcPr>
            <w:tcW w:w="650" w:type="dxa"/>
            <w:noWrap/>
            <w:vAlign w:val="bottom"/>
          </w:tcPr>
          <w:p w:rsidR="00000000" w:rsidRDefault="00000000">
            <w:pPr>
              <w:jc w:val="right"/>
              <w:rPr>
                <w:sz w:val="15"/>
                <w:szCs w:val="16"/>
              </w:rPr>
            </w:pPr>
            <w:r>
              <w:rPr>
                <w:sz w:val="15"/>
                <w:szCs w:val="16"/>
              </w:rPr>
              <w:t>13.603</w:t>
            </w:r>
          </w:p>
        </w:tc>
      </w:tr>
      <w:tr w:rsidR="00000000">
        <w:trPr>
          <w:jc w:val="center"/>
        </w:trPr>
        <w:tc>
          <w:tcPr>
            <w:tcW w:w="1809" w:type="dxa"/>
            <w:noWrap/>
            <w:vAlign w:val="bottom"/>
          </w:tcPr>
          <w:p w:rsidR="00000000" w:rsidRDefault="00000000">
            <w:pPr>
              <w:ind w:left="284"/>
              <w:rPr>
                <w:sz w:val="15"/>
                <w:szCs w:val="16"/>
              </w:rPr>
            </w:pPr>
            <w:r>
              <w:rPr>
                <w:sz w:val="15"/>
                <w:szCs w:val="16"/>
              </w:rPr>
              <w:t>74 años</w:t>
            </w:r>
          </w:p>
        </w:tc>
        <w:tc>
          <w:tcPr>
            <w:tcW w:w="588" w:type="dxa"/>
            <w:noWrap/>
            <w:vAlign w:val="bottom"/>
          </w:tcPr>
          <w:p w:rsidR="00000000" w:rsidRDefault="00000000">
            <w:pPr>
              <w:jc w:val="right"/>
              <w:rPr>
                <w:sz w:val="15"/>
                <w:szCs w:val="16"/>
              </w:rPr>
            </w:pPr>
            <w:r>
              <w:rPr>
                <w:sz w:val="15"/>
                <w:szCs w:val="16"/>
              </w:rPr>
              <w:t>9.481</w:t>
            </w:r>
          </w:p>
        </w:tc>
        <w:tc>
          <w:tcPr>
            <w:tcW w:w="560" w:type="dxa"/>
            <w:noWrap/>
            <w:vAlign w:val="bottom"/>
          </w:tcPr>
          <w:p w:rsidR="00000000" w:rsidRDefault="00000000">
            <w:pPr>
              <w:jc w:val="right"/>
              <w:rPr>
                <w:sz w:val="15"/>
                <w:szCs w:val="16"/>
              </w:rPr>
            </w:pPr>
            <w:r>
              <w:rPr>
                <w:sz w:val="15"/>
                <w:szCs w:val="16"/>
              </w:rPr>
              <w:t>9.835</w:t>
            </w:r>
          </w:p>
        </w:tc>
        <w:tc>
          <w:tcPr>
            <w:tcW w:w="560" w:type="dxa"/>
            <w:noWrap/>
            <w:vAlign w:val="bottom"/>
          </w:tcPr>
          <w:p w:rsidR="00000000" w:rsidRDefault="00000000">
            <w:pPr>
              <w:jc w:val="right"/>
              <w:rPr>
                <w:sz w:val="15"/>
                <w:szCs w:val="16"/>
              </w:rPr>
            </w:pPr>
            <w:r>
              <w:rPr>
                <w:sz w:val="15"/>
                <w:szCs w:val="16"/>
              </w:rPr>
              <w:t>10.256</w:t>
            </w:r>
          </w:p>
        </w:tc>
        <w:tc>
          <w:tcPr>
            <w:tcW w:w="560" w:type="dxa"/>
            <w:noWrap/>
            <w:vAlign w:val="bottom"/>
          </w:tcPr>
          <w:p w:rsidR="00000000" w:rsidRDefault="00000000">
            <w:pPr>
              <w:jc w:val="right"/>
              <w:rPr>
                <w:sz w:val="15"/>
                <w:szCs w:val="16"/>
              </w:rPr>
            </w:pPr>
            <w:r>
              <w:rPr>
                <w:sz w:val="15"/>
                <w:szCs w:val="16"/>
              </w:rPr>
              <w:t>10.737</w:t>
            </w:r>
          </w:p>
        </w:tc>
        <w:tc>
          <w:tcPr>
            <w:tcW w:w="574" w:type="dxa"/>
            <w:noWrap/>
            <w:vAlign w:val="bottom"/>
          </w:tcPr>
          <w:p w:rsidR="00000000" w:rsidRDefault="00000000">
            <w:pPr>
              <w:jc w:val="right"/>
              <w:rPr>
                <w:sz w:val="15"/>
                <w:szCs w:val="16"/>
              </w:rPr>
            </w:pPr>
            <w:r>
              <w:rPr>
                <w:sz w:val="15"/>
                <w:szCs w:val="16"/>
              </w:rPr>
              <w:t>11.227</w:t>
            </w:r>
          </w:p>
        </w:tc>
        <w:tc>
          <w:tcPr>
            <w:tcW w:w="574" w:type="dxa"/>
            <w:noWrap/>
            <w:vAlign w:val="bottom"/>
          </w:tcPr>
          <w:p w:rsidR="00000000" w:rsidRDefault="00000000">
            <w:pPr>
              <w:jc w:val="right"/>
              <w:rPr>
                <w:sz w:val="15"/>
                <w:szCs w:val="16"/>
              </w:rPr>
            </w:pPr>
            <w:r>
              <w:rPr>
                <w:sz w:val="15"/>
                <w:szCs w:val="16"/>
              </w:rPr>
              <w:t>11.674</w:t>
            </w:r>
          </w:p>
        </w:tc>
        <w:tc>
          <w:tcPr>
            <w:tcW w:w="587" w:type="dxa"/>
            <w:noWrap/>
            <w:vAlign w:val="bottom"/>
          </w:tcPr>
          <w:p w:rsidR="00000000" w:rsidRDefault="00000000">
            <w:pPr>
              <w:jc w:val="right"/>
              <w:rPr>
                <w:sz w:val="15"/>
                <w:szCs w:val="16"/>
              </w:rPr>
            </w:pPr>
            <w:r>
              <w:rPr>
                <w:sz w:val="15"/>
                <w:szCs w:val="16"/>
              </w:rPr>
              <w:t>12.028</w:t>
            </w:r>
          </w:p>
        </w:tc>
        <w:tc>
          <w:tcPr>
            <w:tcW w:w="560" w:type="dxa"/>
            <w:noWrap/>
            <w:vAlign w:val="bottom"/>
          </w:tcPr>
          <w:p w:rsidR="00000000" w:rsidRDefault="00000000">
            <w:pPr>
              <w:jc w:val="right"/>
              <w:rPr>
                <w:sz w:val="15"/>
                <w:szCs w:val="16"/>
              </w:rPr>
            </w:pPr>
            <w:r>
              <w:rPr>
                <w:sz w:val="15"/>
                <w:szCs w:val="16"/>
              </w:rPr>
              <w:t>12.233</w:t>
            </w:r>
          </w:p>
        </w:tc>
        <w:tc>
          <w:tcPr>
            <w:tcW w:w="574" w:type="dxa"/>
            <w:noWrap/>
            <w:vAlign w:val="bottom"/>
          </w:tcPr>
          <w:p w:rsidR="00000000" w:rsidRDefault="00000000">
            <w:pPr>
              <w:jc w:val="right"/>
              <w:rPr>
                <w:sz w:val="15"/>
                <w:szCs w:val="16"/>
              </w:rPr>
            </w:pPr>
            <w:r>
              <w:rPr>
                <w:sz w:val="15"/>
                <w:szCs w:val="16"/>
              </w:rPr>
              <w:t>12.325</w:t>
            </w:r>
          </w:p>
        </w:tc>
        <w:tc>
          <w:tcPr>
            <w:tcW w:w="574" w:type="dxa"/>
            <w:noWrap/>
            <w:vAlign w:val="bottom"/>
          </w:tcPr>
          <w:p w:rsidR="00000000" w:rsidRDefault="00000000">
            <w:pPr>
              <w:jc w:val="right"/>
              <w:rPr>
                <w:sz w:val="15"/>
                <w:szCs w:val="16"/>
              </w:rPr>
            </w:pPr>
            <w:r>
              <w:rPr>
                <w:sz w:val="15"/>
                <w:szCs w:val="16"/>
              </w:rPr>
              <w:t>12.384</w:t>
            </w:r>
          </w:p>
        </w:tc>
        <w:tc>
          <w:tcPr>
            <w:tcW w:w="560" w:type="dxa"/>
            <w:noWrap/>
            <w:vAlign w:val="bottom"/>
          </w:tcPr>
          <w:p w:rsidR="00000000" w:rsidRDefault="00000000">
            <w:pPr>
              <w:jc w:val="right"/>
              <w:rPr>
                <w:sz w:val="15"/>
                <w:szCs w:val="16"/>
              </w:rPr>
            </w:pPr>
            <w:r>
              <w:rPr>
                <w:sz w:val="15"/>
                <w:szCs w:val="16"/>
              </w:rPr>
              <w:t>12.492</w:t>
            </w:r>
          </w:p>
        </w:tc>
        <w:tc>
          <w:tcPr>
            <w:tcW w:w="630" w:type="dxa"/>
            <w:noWrap/>
            <w:vAlign w:val="bottom"/>
          </w:tcPr>
          <w:p w:rsidR="00000000" w:rsidRDefault="00000000">
            <w:pPr>
              <w:jc w:val="right"/>
              <w:rPr>
                <w:sz w:val="15"/>
                <w:szCs w:val="16"/>
              </w:rPr>
            </w:pPr>
            <w:r>
              <w:rPr>
                <w:sz w:val="15"/>
                <w:szCs w:val="16"/>
              </w:rPr>
              <w:t>12.729</w:t>
            </w:r>
          </w:p>
        </w:tc>
        <w:tc>
          <w:tcPr>
            <w:tcW w:w="650" w:type="dxa"/>
            <w:noWrap/>
            <w:vAlign w:val="bottom"/>
          </w:tcPr>
          <w:p w:rsidR="00000000" w:rsidRDefault="00000000">
            <w:pPr>
              <w:jc w:val="right"/>
              <w:rPr>
                <w:sz w:val="15"/>
                <w:szCs w:val="16"/>
              </w:rPr>
            </w:pPr>
            <w:r>
              <w:rPr>
                <w:sz w:val="15"/>
                <w:szCs w:val="16"/>
              </w:rPr>
              <w:t>13.120</w:t>
            </w:r>
          </w:p>
        </w:tc>
      </w:tr>
      <w:tr w:rsidR="00000000">
        <w:trPr>
          <w:jc w:val="center"/>
        </w:trPr>
        <w:tc>
          <w:tcPr>
            <w:tcW w:w="1809" w:type="dxa"/>
            <w:noWrap/>
            <w:vAlign w:val="bottom"/>
          </w:tcPr>
          <w:p w:rsidR="00000000" w:rsidRDefault="00000000">
            <w:pPr>
              <w:rPr>
                <w:sz w:val="15"/>
                <w:szCs w:val="16"/>
              </w:rPr>
            </w:pPr>
            <w:r>
              <w:rPr>
                <w:sz w:val="15"/>
                <w:szCs w:val="16"/>
              </w:rPr>
              <w:t>De 75 a 79 años</w:t>
            </w:r>
          </w:p>
        </w:tc>
        <w:tc>
          <w:tcPr>
            <w:tcW w:w="588" w:type="dxa"/>
            <w:noWrap/>
            <w:vAlign w:val="bottom"/>
          </w:tcPr>
          <w:p w:rsidR="00000000" w:rsidRDefault="00000000">
            <w:pPr>
              <w:jc w:val="right"/>
              <w:rPr>
                <w:sz w:val="15"/>
                <w:szCs w:val="16"/>
              </w:rPr>
            </w:pPr>
            <w:r>
              <w:rPr>
                <w:sz w:val="15"/>
                <w:szCs w:val="16"/>
              </w:rPr>
              <w:t>36.691</w:t>
            </w:r>
          </w:p>
        </w:tc>
        <w:tc>
          <w:tcPr>
            <w:tcW w:w="560" w:type="dxa"/>
            <w:noWrap/>
            <w:vAlign w:val="bottom"/>
          </w:tcPr>
          <w:p w:rsidR="00000000" w:rsidRDefault="00000000">
            <w:pPr>
              <w:jc w:val="right"/>
              <w:rPr>
                <w:sz w:val="15"/>
                <w:szCs w:val="16"/>
              </w:rPr>
            </w:pPr>
            <w:r>
              <w:rPr>
                <w:sz w:val="15"/>
                <w:szCs w:val="16"/>
              </w:rPr>
              <w:t>38.129</w:t>
            </w:r>
          </w:p>
        </w:tc>
        <w:tc>
          <w:tcPr>
            <w:tcW w:w="560" w:type="dxa"/>
            <w:noWrap/>
            <w:vAlign w:val="bottom"/>
          </w:tcPr>
          <w:p w:rsidR="00000000" w:rsidRDefault="00000000">
            <w:pPr>
              <w:jc w:val="right"/>
              <w:rPr>
                <w:sz w:val="15"/>
                <w:szCs w:val="16"/>
              </w:rPr>
            </w:pPr>
            <w:r>
              <w:rPr>
                <w:sz w:val="15"/>
                <w:szCs w:val="16"/>
              </w:rPr>
              <w:t>39.584</w:t>
            </w:r>
          </w:p>
        </w:tc>
        <w:tc>
          <w:tcPr>
            <w:tcW w:w="560" w:type="dxa"/>
            <w:noWrap/>
            <w:vAlign w:val="bottom"/>
          </w:tcPr>
          <w:p w:rsidR="00000000" w:rsidRDefault="00000000">
            <w:pPr>
              <w:jc w:val="right"/>
              <w:rPr>
                <w:sz w:val="15"/>
                <w:szCs w:val="16"/>
              </w:rPr>
            </w:pPr>
            <w:r>
              <w:rPr>
                <w:sz w:val="15"/>
                <w:szCs w:val="16"/>
              </w:rPr>
              <w:t>41.063</w:t>
            </w:r>
          </w:p>
        </w:tc>
        <w:tc>
          <w:tcPr>
            <w:tcW w:w="574" w:type="dxa"/>
            <w:noWrap/>
            <w:vAlign w:val="bottom"/>
          </w:tcPr>
          <w:p w:rsidR="00000000" w:rsidRDefault="00000000">
            <w:pPr>
              <w:jc w:val="right"/>
              <w:rPr>
                <w:sz w:val="15"/>
                <w:szCs w:val="16"/>
              </w:rPr>
            </w:pPr>
            <w:r>
              <w:rPr>
                <w:sz w:val="15"/>
                <w:szCs w:val="16"/>
              </w:rPr>
              <w:t>42.592</w:t>
            </w:r>
          </w:p>
        </w:tc>
        <w:tc>
          <w:tcPr>
            <w:tcW w:w="574" w:type="dxa"/>
            <w:noWrap/>
            <w:vAlign w:val="bottom"/>
          </w:tcPr>
          <w:p w:rsidR="00000000" w:rsidRDefault="00000000">
            <w:pPr>
              <w:jc w:val="right"/>
              <w:rPr>
                <w:sz w:val="15"/>
                <w:szCs w:val="16"/>
              </w:rPr>
            </w:pPr>
            <w:r>
              <w:rPr>
                <w:sz w:val="15"/>
                <w:szCs w:val="16"/>
              </w:rPr>
              <w:t>44.200</w:t>
            </w:r>
          </w:p>
        </w:tc>
        <w:tc>
          <w:tcPr>
            <w:tcW w:w="587" w:type="dxa"/>
            <w:noWrap/>
            <w:vAlign w:val="bottom"/>
          </w:tcPr>
          <w:p w:rsidR="00000000" w:rsidRDefault="00000000">
            <w:pPr>
              <w:jc w:val="right"/>
              <w:rPr>
                <w:sz w:val="15"/>
                <w:szCs w:val="16"/>
              </w:rPr>
            </w:pPr>
            <w:r>
              <w:rPr>
                <w:sz w:val="15"/>
                <w:szCs w:val="16"/>
              </w:rPr>
              <w:t>45.911</w:t>
            </w:r>
          </w:p>
        </w:tc>
        <w:tc>
          <w:tcPr>
            <w:tcW w:w="560" w:type="dxa"/>
            <w:noWrap/>
            <w:vAlign w:val="bottom"/>
          </w:tcPr>
          <w:p w:rsidR="00000000" w:rsidRDefault="00000000">
            <w:pPr>
              <w:jc w:val="right"/>
              <w:rPr>
                <w:sz w:val="15"/>
                <w:szCs w:val="16"/>
              </w:rPr>
            </w:pPr>
            <w:r>
              <w:rPr>
                <w:sz w:val="15"/>
                <w:szCs w:val="16"/>
              </w:rPr>
              <w:t>47.876</w:t>
            </w:r>
          </w:p>
        </w:tc>
        <w:tc>
          <w:tcPr>
            <w:tcW w:w="574" w:type="dxa"/>
            <w:noWrap/>
            <w:vAlign w:val="bottom"/>
          </w:tcPr>
          <w:p w:rsidR="00000000" w:rsidRDefault="00000000">
            <w:pPr>
              <w:jc w:val="right"/>
              <w:rPr>
                <w:sz w:val="15"/>
                <w:szCs w:val="16"/>
              </w:rPr>
            </w:pPr>
            <w:r>
              <w:rPr>
                <w:sz w:val="15"/>
                <w:szCs w:val="16"/>
              </w:rPr>
              <w:t>50.078</w:t>
            </w:r>
          </w:p>
        </w:tc>
        <w:tc>
          <w:tcPr>
            <w:tcW w:w="574" w:type="dxa"/>
            <w:noWrap/>
            <w:vAlign w:val="bottom"/>
          </w:tcPr>
          <w:p w:rsidR="00000000" w:rsidRDefault="00000000">
            <w:pPr>
              <w:jc w:val="right"/>
              <w:rPr>
                <w:sz w:val="15"/>
                <w:szCs w:val="16"/>
              </w:rPr>
            </w:pPr>
            <w:r>
              <w:rPr>
                <w:sz w:val="15"/>
                <w:szCs w:val="16"/>
              </w:rPr>
              <w:t>52.291</w:t>
            </w:r>
          </w:p>
        </w:tc>
        <w:tc>
          <w:tcPr>
            <w:tcW w:w="560" w:type="dxa"/>
            <w:noWrap/>
            <w:vAlign w:val="bottom"/>
          </w:tcPr>
          <w:p w:rsidR="00000000" w:rsidRDefault="00000000">
            <w:pPr>
              <w:jc w:val="right"/>
              <w:rPr>
                <w:sz w:val="15"/>
                <w:szCs w:val="16"/>
              </w:rPr>
            </w:pPr>
            <w:r>
              <w:rPr>
                <w:sz w:val="15"/>
                <w:szCs w:val="16"/>
              </w:rPr>
              <w:t>54.290</w:t>
            </w:r>
          </w:p>
        </w:tc>
        <w:tc>
          <w:tcPr>
            <w:tcW w:w="630" w:type="dxa"/>
            <w:noWrap/>
            <w:vAlign w:val="bottom"/>
          </w:tcPr>
          <w:p w:rsidR="00000000" w:rsidRDefault="00000000">
            <w:pPr>
              <w:jc w:val="right"/>
              <w:rPr>
                <w:sz w:val="15"/>
                <w:szCs w:val="16"/>
              </w:rPr>
            </w:pPr>
            <w:r>
              <w:rPr>
                <w:sz w:val="15"/>
                <w:szCs w:val="16"/>
              </w:rPr>
              <w:t>55.851</w:t>
            </w:r>
          </w:p>
        </w:tc>
        <w:tc>
          <w:tcPr>
            <w:tcW w:w="650" w:type="dxa"/>
            <w:noWrap/>
            <w:vAlign w:val="bottom"/>
          </w:tcPr>
          <w:p w:rsidR="00000000" w:rsidRDefault="00000000">
            <w:pPr>
              <w:jc w:val="right"/>
              <w:rPr>
                <w:sz w:val="15"/>
                <w:szCs w:val="16"/>
              </w:rPr>
            </w:pPr>
            <w:r>
              <w:rPr>
                <w:sz w:val="15"/>
                <w:szCs w:val="16"/>
              </w:rPr>
              <w:t>56.643</w:t>
            </w:r>
          </w:p>
        </w:tc>
      </w:tr>
      <w:tr w:rsidR="00000000">
        <w:trPr>
          <w:jc w:val="center"/>
        </w:trPr>
        <w:tc>
          <w:tcPr>
            <w:tcW w:w="1809" w:type="dxa"/>
            <w:noWrap/>
            <w:vAlign w:val="bottom"/>
          </w:tcPr>
          <w:p w:rsidR="00000000" w:rsidRDefault="00000000">
            <w:pPr>
              <w:ind w:left="284"/>
              <w:rPr>
                <w:sz w:val="15"/>
                <w:szCs w:val="16"/>
              </w:rPr>
            </w:pPr>
            <w:r>
              <w:rPr>
                <w:sz w:val="15"/>
                <w:szCs w:val="16"/>
              </w:rPr>
              <w:t>75 años</w:t>
            </w:r>
          </w:p>
        </w:tc>
        <w:tc>
          <w:tcPr>
            <w:tcW w:w="588" w:type="dxa"/>
            <w:noWrap/>
            <w:vAlign w:val="bottom"/>
          </w:tcPr>
          <w:p w:rsidR="00000000" w:rsidRDefault="00000000">
            <w:pPr>
              <w:jc w:val="right"/>
              <w:rPr>
                <w:sz w:val="15"/>
                <w:szCs w:val="16"/>
              </w:rPr>
            </w:pPr>
            <w:r>
              <w:rPr>
                <w:sz w:val="15"/>
                <w:szCs w:val="16"/>
              </w:rPr>
              <w:t>8.766</w:t>
            </w:r>
          </w:p>
        </w:tc>
        <w:tc>
          <w:tcPr>
            <w:tcW w:w="560" w:type="dxa"/>
            <w:noWrap/>
            <w:vAlign w:val="bottom"/>
          </w:tcPr>
          <w:p w:rsidR="00000000" w:rsidRDefault="00000000">
            <w:pPr>
              <w:jc w:val="right"/>
              <w:rPr>
                <w:sz w:val="15"/>
                <w:szCs w:val="16"/>
              </w:rPr>
            </w:pPr>
            <w:r>
              <w:rPr>
                <w:sz w:val="15"/>
                <w:szCs w:val="16"/>
              </w:rPr>
              <w:t>9.098</w:t>
            </w:r>
          </w:p>
        </w:tc>
        <w:tc>
          <w:tcPr>
            <w:tcW w:w="560" w:type="dxa"/>
            <w:noWrap/>
            <w:vAlign w:val="bottom"/>
          </w:tcPr>
          <w:p w:rsidR="00000000" w:rsidRDefault="00000000">
            <w:pPr>
              <w:jc w:val="right"/>
              <w:rPr>
                <w:sz w:val="15"/>
                <w:szCs w:val="16"/>
              </w:rPr>
            </w:pPr>
            <w:r>
              <w:rPr>
                <w:sz w:val="15"/>
                <w:szCs w:val="16"/>
              </w:rPr>
              <w:t>9.467</w:t>
            </w:r>
          </w:p>
        </w:tc>
        <w:tc>
          <w:tcPr>
            <w:tcW w:w="560" w:type="dxa"/>
            <w:noWrap/>
            <w:vAlign w:val="bottom"/>
          </w:tcPr>
          <w:p w:rsidR="00000000" w:rsidRDefault="00000000">
            <w:pPr>
              <w:jc w:val="right"/>
              <w:rPr>
                <w:sz w:val="15"/>
                <w:szCs w:val="16"/>
              </w:rPr>
            </w:pPr>
            <w:r>
              <w:rPr>
                <w:sz w:val="15"/>
                <w:szCs w:val="16"/>
              </w:rPr>
              <w:t>9.870</w:t>
            </w:r>
          </w:p>
        </w:tc>
        <w:tc>
          <w:tcPr>
            <w:tcW w:w="574" w:type="dxa"/>
            <w:noWrap/>
            <w:vAlign w:val="bottom"/>
          </w:tcPr>
          <w:p w:rsidR="00000000" w:rsidRDefault="00000000">
            <w:pPr>
              <w:jc w:val="right"/>
              <w:rPr>
                <w:sz w:val="15"/>
                <w:szCs w:val="16"/>
              </w:rPr>
            </w:pPr>
            <w:r>
              <w:rPr>
                <w:sz w:val="15"/>
                <w:szCs w:val="16"/>
              </w:rPr>
              <w:t>10.282</w:t>
            </w:r>
          </w:p>
        </w:tc>
        <w:tc>
          <w:tcPr>
            <w:tcW w:w="574" w:type="dxa"/>
            <w:noWrap/>
            <w:vAlign w:val="bottom"/>
          </w:tcPr>
          <w:p w:rsidR="00000000" w:rsidRDefault="00000000">
            <w:pPr>
              <w:jc w:val="right"/>
              <w:rPr>
                <w:sz w:val="15"/>
                <w:szCs w:val="16"/>
              </w:rPr>
            </w:pPr>
            <w:r>
              <w:rPr>
                <w:sz w:val="15"/>
                <w:szCs w:val="16"/>
              </w:rPr>
              <w:t>10.677</w:t>
            </w:r>
          </w:p>
        </w:tc>
        <w:tc>
          <w:tcPr>
            <w:tcW w:w="587" w:type="dxa"/>
            <w:noWrap/>
            <w:vAlign w:val="bottom"/>
          </w:tcPr>
          <w:p w:rsidR="00000000" w:rsidRDefault="00000000">
            <w:pPr>
              <w:jc w:val="right"/>
              <w:rPr>
                <w:sz w:val="15"/>
                <w:szCs w:val="16"/>
              </w:rPr>
            </w:pPr>
            <w:r>
              <w:rPr>
                <w:sz w:val="15"/>
                <w:szCs w:val="16"/>
              </w:rPr>
              <w:t>11.031</w:t>
            </w:r>
          </w:p>
        </w:tc>
        <w:tc>
          <w:tcPr>
            <w:tcW w:w="560" w:type="dxa"/>
            <w:noWrap/>
            <w:vAlign w:val="bottom"/>
          </w:tcPr>
          <w:p w:rsidR="00000000" w:rsidRDefault="00000000">
            <w:pPr>
              <w:jc w:val="right"/>
              <w:rPr>
                <w:sz w:val="15"/>
                <w:szCs w:val="16"/>
              </w:rPr>
            </w:pPr>
            <w:r>
              <w:rPr>
                <w:sz w:val="15"/>
                <w:szCs w:val="16"/>
              </w:rPr>
              <w:t>11.328</w:t>
            </w:r>
          </w:p>
        </w:tc>
        <w:tc>
          <w:tcPr>
            <w:tcW w:w="574" w:type="dxa"/>
            <w:noWrap/>
            <w:vAlign w:val="bottom"/>
          </w:tcPr>
          <w:p w:rsidR="00000000" w:rsidRDefault="00000000">
            <w:pPr>
              <w:jc w:val="right"/>
              <w:rPr>
                <w:sz w:val="15"/>
                <w:szCs w:val="16"/>
              </w:rPr>
            </w:pPr>
            <w:r>
              <w:rPr>
                <w:sz w:val="15"/>
                <w:szCs w:val="16"/>
              </w:rPr>
              <w:t>11.586</w:t>
            </w:r>
          </w:p>
        </w:tc>
        <w:tc>
          <w:tcPr>
            <w:tcW w:w="574" w:type="dxa"/>
            <w:noWrap/>
            <w:vAlign w:val="bottom"/>
          </w:tcPr>
          <w:p w:rsidR="00000000" w:rsidRDefault="00000000">
            <w:pPr>
              <w:jc w:val="right"/>
              <w:rPr>
                <w:sz w:val="15"/>
                <w:szCs w:val="16"/>
              </w:rPr>
            </w:pPr>
            <w:r>
              <w:rPr>
                <w:sz w:val="15"/>
                <w:szCs w:val="16"/>
              </w:rPr>
              <w:t>11.826</w:t>
            </w:r>
          </w:p>
        </w:tc>
        <w:tc>
          <w:tcPr>
            <w:tcW w:w="560" w:type="dxa"/>
            <w:noWrap/>
            <w:vAlign w:val="bottom"/>
          </w:tcPr>
          <w:p w:rsidR="00000000" w:rsidRDefault="00000000">
            <w:pPr>
              <w:jc w:val="right"/>
              <w:rPr>
                <w:sz w:val="15"/>
                <w:szCs w:val="16"/>
              </w:rPr>
            </w:pPr>
            <w:r>
              <w:rPr>
                <w:sz w:val="15"/>
                <w:szCs w:val="16"/>
              </w:rPr>
              <w:t>12.071</w:t>
            </w:r>
          </w:p>
        </w:tc>
        <w:tc>
          <w:tcPr>
            <w:tcW w:w="630" w:type="dxa"/>
            <w:noWrap/>
            <w:vAlign w:val="bottom"/>
          </w:tcPr>
          <w:p w:rsidR="00000000" w:rsidRDefault="00000000">
            <w:pPr>
              <w:jc w:val="right"/>
              <w:rPr>
                <w:sz w:val="15"/>
                <w:szCs w:val="16"/>
              </w:rPr>
            </w:pPr>
            <w:r>
              <w:rPr>
                <w:sz w:val="15"/>
                <w:szCs w:val="16"/>
              </w:rPr>
              <w:t>12.343</w:t>
            </w:r>
          </w:p>
        </w:tc>
        <w:tc>
          <w:tcPr>
            <w:tcW w:w="650" w:type="dxa"/>
            <w:noWrap/>
            <w:vAlign w:val="bottom"/>
          </w:tcPr>
          <w:p w:rsidR="00000000" w:rsidRDefault="00000000">
            <w:pPr>
              <w:jc w:val="right"/>
              <w:rPr>
                <w:sz w:val="15"/>
                <w:szCs w:val="16"/>
              </w:rPr>
            </w:pPr>
            <w:r>
              <w:rPr>
                <w:sz w:val="15"/>
                <w:szCs w:val="16"/>
              </w:rPr>
              <w:t>12.618</w:t>
            </w:r>
          </w:p>
        </w:tc>
      </w:tr>
      <w:tr w:rsidR="00000000">
        <w:trPr>
          <w:jc w:val="center"/>
        </w:trPr>
        <w:tc>
          <w:tcPr>
            <w:tcW w:w="1809" w:type="dxa"/>
            <w:noWrap/>
            <w:vAlign w:val="bottom"/>
          </w:tcPr>
          <w:p w:rsidR="00000000" w:rsidRDefault="00000000">
            <w:pPr>
              <w:ind w:left="284"/>
              <w:rPr>
                <w:sz w:val="15"/>
                <w:szCs w:val="16"/>
              </w:rPr>
            </w:pPr>
            <w:r>
              <w:rPr>
                <w:sz w:val="15"/>
                <w:szCs w:val="16"/>
              </w:rPr>
              <w:t>76 años</w:t>
            </w:r>
          </w:p>
        </w:tc>
        <w:tc>
          <w:tcPr>
            <w:tcW w:w="588" w:type="dxa"/>
            <w:noWrap/>
            <w:vAlign w:val="bottom"/>
          </w:tcPr>
          <w:p w:rsidR="00000000" w:rsidRDefault="00000000">
            <w:pPr>
              <w:jc w:val="right"/>
              <w:rPr>
                <w:sz w:val="15"/>
                <w:szCs w:val="16"/>
              </w:rPr>
            </w:pPr>
            <w:r>
              <w:rPr>
                <w:sz w:val="15"/>
                <w:szCs w:val="16"/>
              </w:rPr>
              <w:t>8.059</w:t>
            </w:r>
          </w:p>
        </w:tc>
        <w:tc>
          <w:tcPr>
            <w:tcW w:w="560" w:type="dxa"/>
            <w:noWrap/>
            <w:vAlign w:val="bottom"/>
          </w:tcPr>
          <w:p w:rsidR="00000000" w:rsidRDefault="00000000">
            <w:pPr>
              <w:jc w:val="right"/>
              <w:rPr>
                <w:sz w:val="15"/>
                <w:szCs w:val="16"/>
              </w:rPr>
            </w:pPr>
            <w:r>
              <w:rPr>
                <w:sz w:val="15"/>
                <w:szCs w:val="16"/>
              </w:rPr>
              <w:t>8.369</w:t>
            </w:r>
          </w:p>
        </w:tc>
        <w:tc>
          <w:tcPr>
            <w:tcW w:w="560" w:type="dxa"/>
            <w:noWrap/>
            <w:vAlign w:val="bottom"/>
          </w:tcPr>
          <w:p w:rsidR="00000000" w:rsidRDefault="00000000">
            <w:pPr>
              <w:jc w:val="right"/>
              <w:rPr>
                <w:sz w:val="15"/>
                <w:szCs w:val="16"/>
              </w:rPr>
            </w:pPr>
            <w:r>
              <w:rPr>
                <w:sz w:val="15"/>
                <w:szCs w:val="16"/>
              </w:rPr>
              <w:t>8.685</w:t>
            </w:r>
          </w:p>
        </w:tc>
        <w:tc>
          <w:tcPr>
            <w:tcW w:w="560" w:type="dxa"/>
            <w:noWrap/>
            <w:vAlign w:val="bottom"/>
          </w:tcPr>
          <w:p w:rsidR="00000000" w:rsidRDefault="00000000">
            <w:pPr>
              <w:jc w:val="right"/>
              <w:rPr>
                <w:sz w:val="15"/>
                <w:szCs w:val="16"/>
              </w:rPr>
            </w:pPr>
            <w:r>
              <w:rPr>
                <w:sz w:val="15"/>
                <w:szCs w:val="16"/>
              </w:rPr>
              <w:t>9.010</w:t>
            </w:r>
          </w:p>
        </w:tc>
        <w:tc>
          <w:tcPr>
            <w:tcW w:w="574" w:type="dxa"/>
            <w:noWrap/>
            <w:vAlign w:val="bottom"/>
          </w:tcPr>
          <w:p w:rsidR="00000000" w:rsidRDefault="00000000">
            <w:pPr>
              <w:jc w:val="right"/>
              <w:rPr>
                <w:sz w:val="15"/>
                <w:szCs w:val="16"/>
              </w:rPr>
            </w:pPr>
            <w:r>
              <w:rPr>
                <w:sz w:val="15"/>
                <w:szCs w:val="16"/>
              </w:rPr>
              <w:t>9.345</w:t>
            </w:r>
          </w:p>
        </w:tc>
        <w:tc>
          <w:tcPr>
            <w:tcW w:w="574" w:type="dxa"/>
            <w:noWrap/>
            <w:vAlign w:val="bottom"/>
          </w:tcPr>
          <w:p w:rsidR="00000000" w:rsidRDefault="00000000">
            <w:pPr>
              <w:jc w:val="right"/>
              <w:rPr>
                <w:sz w:val="15"/>
                <w:szCs w:val="16"/>
              </w:rPr>
            </w:pPr>
            <w:r>
              <w:rPr>
                <w:sz w:val="15"/>
                <w:szCs w:val="16"/>
              </w:rPr>
              <w:t>9.691</w:t>
            </w:r>
          </w:p>
        </w:tc>
        <w:tc>
          <w:tcPr>
            <w:tcW w:w="587" w:type="dxa"/>
            <w:noWrap/>
            <w:vAlign w:val="bottom"/>
          </w:tcPr>
          <w:p w:rsidR="00000000" w:rsidRDefault="00000000">
            <w:pPr>
              <w:jc w:val="right"/>
              <w:rPr>
                <w:sz w:val="15"/>
                <w:szCs w:val="16"/>
              </w:rPr>
            </w:pPr>
            <w:r>
              <w:rPr>
                <w:sz w:val="15"/>
                <w:szCs w:val="16"/>
              </w:rPr>
              <w:t>10.049</w:t>
            </w:r>
          </w:p>
        </w:tc>
        <w:tc>
          <w:tcPr>
            <w:tcW w:w="560" w:type="dxa"/>
            <w:noWrap/>
            <w:vAlign w:val="bottom"/>
          </w:tcPr>
          <w:p w:rsidR="00000000" w:rsidRDefault="00000000">
            <w:pPr>
              <w:jc w:val="right"/>
              <w:rPr>
                <w:sz w:val="15"/>
                <w:szCs w:val="16"/>
              </w:rPr>
            </w:pPr>
            <w:r>
              <w:rPr>
                <w:sz w:val="15"/>
                <w:szCs w:val="16"/>
              </w:rPr>
              <w:t>10.448</w:t>
            </w:r>
          </w:p>
        </w:tc>
        <w:tc>
          <w:tcPr>
            <w:tcW w:w="574" w:type="dxa"/>
            <w:noWrap/>
            <w:vAlign w:val="bottom"/>
          </w:tcPr>
          <w:p w:rsidR="00000000" w:rsidRDefault="00000000">
            <w:pPr>
              <w:jc w:val="right"/>
              <w:rPr>
                <w:sz w:val="15"/>
                <w:szCs w:val="16"/>
              </w:rPr>
            </w:pPr>
            <w:r>
              <w:rPr>
                <w:sz w:val="15"/>
                <w:szCs w:val="16"/>
              </w:rPr>
              <w:t>10.885</w:t>
            </w:r>
          </w:p>
        </w:tc>
        <w:tc>
          <w:tcPr>
            <w:tcW w:w="574" w:type="dxa"/>
            <w:noWrap/>
            <w:vAlign w:val="bottom"/>
          </w:tcPr>
          <w:p w:rsidR="00000000" w:rsidRDefault="00000000">
            <w:pPr>
              <w:jc w:val="right"/>
              <w:rPr>
                <w:sz w:val="15"/>
                <w:szCs w:val="16"/>
              </w:rPr>
            </w:pPr>
            <w:r>
              <w:rPr>
                <w:sz w:val="15"/>
                <w:szCs w:val="16"/>
              </w:rPr>
              <w:t>11.320</w:t>
            </w:r>
          </w:p>
        </w:tc>
        <w:tc>
          <w:tcPr>
            <w:tcW w:w="560" w:type="dxa"/>
            <w:noWrap/>
            <w:vAlign w:val="bottom"/>
          </w:tcPr>
          <w:p w:rsidR="00000000" w:rsidRDefault="00000000">
            <w:pPr>
              <w:jc w:val="right"/>
              <w:rPr>
                <w:sz w:val="15"/>
                <w:szCs w:val="16"/>
              </w:rPr>
            </w:pPr>
            <w:r>
              <w:rPr>
                <w:sz w:val="15"/>
                <w:szCs w:val="16"/>
              </w:rPr>
              <w:t>11.713</w:t>
            </w:r>
          </w:p>
        </w:tc>
        <w:tc>
          <w:tcPr>
            <w:tcW w:w="630" w:type="dxa"/>
            <w:noWrap/>
            <w:vAlign w:val="bottom"/>
          </w:tcPr>
          <w:p w:rsidR="00000000" w:rsidRDefault="00000000">
            <w:pPr>
              <w:jc w:val="right"/>
              <w:rPr>
                <w:sz w:val="15"/>
                <w:szCs w:val="16"/>
              </w:rPr>
            </w:pPr>
            <w:r>
              <w:rPr>
                <w:sz w:val="15"/>
                <w:szCs w:val="16"/>
              </w:rPr>
              <w:t>12.021</w:t>
            </w:r>
          </w:p>
        </w:tc>
        <w:tc>
          <w:tcPr>
            <w:tcW w:w="650" w:type="dxa"/>
            <w:noWrap/>
            <w:vAlign w:val="bottom"/>
          </w:tcPr>
          <w:p w:rsidR="00000000" w:rsidRDefault="00000000">
            <w:pPr>
              <w:jc w:val="right"/>
              <w:rPr>
                <w:sz w:val="15"/>
                <w:szCs w:val="16"/>
              </w:rPr>
            </w:pPr>
            <w:r>
              <w:rPr>
                <w:sz w:val="15"/>
                <w:szCs w:val="16"/>
              </w:rPr>
              <w:t>12.174</w:t>
            </w:r>
          </w:p>
        </w:tc>
      </w:tr>
      <w:tr w:rsidR="00000000">
        <w:trPr>
          <w:jc w:val="center"/>
        </w:trPr>
        <w:tc>
          <w:tcPr>
            <w:tcW w:w="1809" w:type="dxa"/>
            <w:noWrap/>
            <w:vAlign w:val="bottom"/>
          </w:tcPr>
          <w:p w:rsidR="00000000" w:rsidRDefault="00000000">
            <w:pPr>
              <w:ind w:left="284"/>
              <w:rPr>
                <w:sz w:val="15"/>
                <w:szCs w:val="16"/>
              </w:rPr>
            </w:pPr>
            <w:r>
              <w:rPr>
                <w:sz w:val="15"/>
                <w:szCs w:val="16"/>
              </w:rPr>
              <w:t>77 años</w:t>
            </w:r>
          </w:p>
        </w:tc>
        <w:tc>
          <w:tcPr>
            <w:tcW w:w="588" w:type="dxa"/>
            <w:noWrap/>
            <w:vAlign w:val="bottom"/>
          </w:tcPr>
          <w:p w:rsidR="00000000" w:rsidRDefault="00000000">
            <w:pPr>
              <w:jc w:val="right"/>
              <w:rPr>
                <w:sz w:val="15"/>
                <w:szCs w:val="16"/>
              </w:rPr>
            </w:pPr>
            <w:r>
              <w:rPr>
                <w:sz w:val="15"/>
                <w:szCs w:val="16"/>
              </w:rPr>
              <w:t>7.350</w:t>
            </w:r>
          </w:p>
        </w:tc>
        <w:tc>
          <w:tcPr>
            <w:tcW w:w="560" w:type="dxa"/>
            <w:noWrap/>
            <w:vAlign w:val="bottom"/>
          </w:tcPr>
          <w:p w:rsidR="00000000" w:rsidRDefault="00000000">
            <w:pPr>
              <w:jc w:val="right"/>
              <w:rPr>
                <w:sz w:val="15"/>
                <w:szCs w:val="16"/>
              </w:rPr>
            </w:pPr>
            <w:r>
              <w:rPr>
                <w:sz w:val="15"/>
                <w:szCs w:val="16"/>
              </w:rPr>
              <w:t>7.637</w:t>
            </w:r>
          </w:p>
        </w:tc>
        <w:tc>
          <w:tcPr>
            <w:tcW w:w="560" w:type="dxa"/>
            <w:noWrap/>
            <w:vAlign w:val="bottom"/>
          </w:tcPr>
          <w:p w:rsidR="00000000" w:rsidRDefault="00000000">
            <w:pPr>
              <w:jc w:val="right"/>
              <w:rPr>
                <w:sz w:val="15"/>
                <w:szCs w:val="16"/>
              </w:rPr>
            </w:pPr>
            <w:r>
              <w:rPr>
                <w:sz w:val="15"/>
                <w:szCs w:val="16"/>
              </w:rPr>
              <w:t>7.910</w:t>
            </w:r>
          </w:p>
        </w:tc>
        <w:tc>
          <w:tcPr>
            <w:tcW w:w="560" w:type="dxa"/>
            <w:noWrap/>
            <w:vAlign w:val="bottom"/>
          </w:tcPr>
          <w:p w:rsidR="00000000" w:rsidRDefault="00000000">
            <w:pPr>
              <w:jc w:val="right"/>
              <w:rPr>
                <w:sz w:val="15"/>
                <w:szCs w:val="16"/>
              </w:rPr>
            </w:pPr>
            <w:r>
              <w:rPr>
                <w:sz w:val="15"/>
                <w:szCs w:val="16"/>
              </w:rPr>
              <w:t>8.175</w:t>
            </w:r>
          </w:p>
        </w:tc>
        <w:tc>
          <w:tcPr>
            <w:tcW w:w="574" w:type="dxa"/>
            <w:noWrap/>
            <w:vAlign w:val="bottom"/>
          </w:tcPr>
          <w:p w:rsidR="00000000" w:rsidRDefault="00000000">
            <w:pPr>
              <w:jc w:val="right"/>
              <w:rPr>
                <w:sz w:val="15"/>
                <w:szCs w:val="16"/>
              </w:rPr>
            </w:pPr>
            <w:r>
              <w:rPr>
                <w:sz w:val="15"/>
                <w:szCs w:val="16"/>
              </w:rPr>
              <w:t>8.450</w:t>
            </w:r>
          </w:p>
        </w:tc>
        <w:tc>
          <w:tcPr>
            <w:tcW w:w="574" w:type="dxa"/>
            <w:noWrap/>
            <w:vAlign w:val="bottom"/>
          </w:tcPr>
          <w:p w:rsidR="00000000" w:rsidRDefault="00000000">
            <w:pPr>
              <w:jc w:val="right"/>
              <w:rPr>
                <w:sz w:val="15"/>
                <w:szCs w:val="16"/>
              </w:rPr>
            </w:pPr>
            <w:r>
              <w:rPr>
                <w:sz w:val="15"/>
                <w:szCs w:val="16"/>
              </w:rPr>
              <w:t>8.755</w:t>
            </w:r>
          </w:p>
        </w:tc>
        <w:tc>
          <w:tcPr>
            <w:tcW w:w="587" w:type="dxa"/>
            <w:noWrap/>
            <w:vAlign w:val="bottom"/>
          </w:tcPr>
          <w:p w:rsidR="00000000" w:rsidRDefault="00000000">
            <w:pPr>
              <w:jc w:val="right"/>
              <w:rPr>
                <w:sz w:val="15"/>
                <w:szCs w:val="16"/>
              </w:rPr>
            </w:pPr>
            <w:r>
              <w:rPr>
                <w:sz w:val="15"/>
                <w:szCs w:val="16"/>
              </w:rPr>
              <w:t>9.109</w:t>
            </w:r>
          </w:p>
        </w:tc>
        <w:tc>
          <w:tcPr>
            <w:tcW w:w="560" w:type="dxa"/>
            <w:noWrap/>
            <w:vAlign w:val="bottom"/>
          </w:tcPr>
          <w:p w:rsidR="00000000" w:rsidRDefault="00000000">
            <w:pPr>
              <w:jc w:val="right"/>
              <w:rPr>
                <w:sz w:val="15"/>
                <w:szCs w:val="16"/>
              </w:rPr>
            </w:pPr>
            <w:r>
              <w:rPr>
                <w:sz w:val="15"/>
                <w:szCs w:val="16"/>
              </w:rPr>
              <w:t>9.566</w:t>
            </w:r>
          </w:p>
        </w:tc>
        <w:tc>
          <w:tcPr>
            <w:tcW w:w="574" w:type="dxa"/>
            <w:noWrap/>
            <w:vAlign w:val="bottom"/>
          </w:tcPr>
          <w:p w:rsidR="00000000" w:rsidRDefault="00000000">
            <w:pPr>
              <w:jc w:val="right"/>
              <w:rPr>
                <w:sz w:val="15"/>
                <w:szCs w:val="16"/>
              </w:rPr>
            </w:pPr>
            <w:r>
              <w:rPr>
                <w:sz w:val="15"/>
                <w:szCs w:val="16"/>
              </w:rPr>
              <w:t>10.112</w:t>
            </w:r>
          </w:p>
        </w:tc>
        <w:tc>
          <w:tcPr>
            <w:tcW w:w="574" w:type="dxa"/>
            <w:noWrap/>
            <w:vAlign w:val="bottom"/>
          </w:tcPr>
          <w:p w:rsidR="00000000" w:rsidRDefault="00000000">
            <w:pPr>
              <w:jc w:val="right"/>
              <w:rPr>
                <w:sz w:val="15"/>
                <w:szCs w:val="16"/>
              </w:rPr>
            </w:pPr>
            <w:r>
              <w:rPr>
                <w:sz w:val="15"/>
                <w:szCs w:val="16"/>
              </w:rPr>
              <w:t>10.667</w:t>
            </w:r>
          </w:p>
        </w:tc>
        <w:tc>
          <w:tcPr>
            <w:tcW w:w="560" w:type="dxa"/>
            <w:noWrap/>
            <w:vAlign w:val="bottom"/>
          </w:tcPr>
          <w:p w:rsidR="00000000" w:rsidRDefault="00000000">
            <w:pPr>
              <w:jc w:val="right"/>
              <w:rPr>
                <w:sz w:val="15"/>
                <w:szCs w:val="16"/>
              </w:rPr>
            </w:pPr>
            <w:r>
              <w:rPr>
                <w:sz w:val="15"/>
                <w:szCs w:val="16"/>
              </w:rPr>
              <w:t>11.152</w:t>
            </w:r>
          </w:p>
        </w:tc>
        <w:tc>
          <w:tcPr>
            <w:tcW w:w="630" w:type="dxa"/>
            <w:noWrap/>
            <w:vAlign w:val="bottom"/>
          </w:tcPr>
          <w:p w:rsidR="00000000" w:rsidRDefault="00000000">
            <w:pPr>
              <w:jc w:val="right"/>
              <w:rPr>
                <w:sz w:val="15"/>
                <w:szCs w:val="16"/>
              </w:rPr>
            </w:pPr>
            <w:r>
              <w:rPr>
                <w:sz w:val="15"/>
                <w:szCs w:val="16"/>
              </w:rPr>
              <w:t>11.486</w:t>
            </w:r>
          </w:p>
        </w:tc>
        <w:tc>
          <w:tcPr>
            <w:tcW w:w="650" w:type="dxa"/>
            <w:noWrap/>
            <w:vAlign w:val="bottom"/>
          </w:tcPr>
          <w:p w:rsidR="00000000" w:rsidRDefault="00000000">
            <w:pPr>
              <w:jc w:val="right"/>
              <w:rPr>
                <w:sz w:val="15"/>
                <w:szCs w:val="16"/>
              </w:rPr>
            </w:pPr>
            <w:r>
              <w:rPr>
                <w:sz w:val="15"/>
                <w:szCs w:val="16"/>
              </w:rPr>
              <w:t>11.570</w:t>
            </w:r>
          </w:p>
        </w:tc>
      </w:tr>
      <w:tr w:rsidR="00000000">
        <w:trPr>
          <w:jc w:val="center"/>
        </w:trPr>
        <w:tc>
          <w:tcPr>
            <w:tcW w:w="1809" w:type="dxa"/>
            <w:noWrap/>
            <w:vAlign w:val="bottom"/>
          </w:tcPr>
          <w:p w:rsidR="00000000" w:rsidRDefault="00000000">
            <w:pPr>
              <w:ind w:left="284"/>
              <w:rPr>
                <w:sz w:val="15"/>
                <w:szCs w:val="16"/>
              </w:rPr>
            </w:pPr>
            <w:r>
              <w:rPr>
                <w:sz w:val="15"/>
                <w:szCs w:val="16"/>
              </w:rPr>
              <w:t>78 años</w:t>
            </w:r>
          </w:p>
        </w:tc>
        <w:tc>
          <w:tcPr>
            <w:tcW w:w="588" w:type="dxa"/>
            <w:noWrap/>
            <w:vAlign w:val="bottom"/>
          </w:tcPr>
          <w:p w:rsidR="00000000" w:rsidRDefault="00000000">
            <w:pPr>
              <w:jc w:val="right"/>
              <w:rPr>
                <w:sz w:val="15"/>
                <w:szCs w:val="16"/>
              </w:rPr>
            </w:pPr>
            <w:r>
              <w:rPr>
                <w:sz w:val="15"/>
                <w:szCs w:val="16"/>
              </w:rPr>
              <w:t>6.622</w:t>
            </w:r>
          </w:p>
        </w:tc>
        <w:tc>
          <w:tcPr>
            <w:tcW w:w="560" w:type="dxa"/>
            <w:noWrap/>
            <w:vAlign w:val="bottom"/>
          </w:tcPr>
          <w:p w:rsidR="00000000" w:rsidRDefault="00000000">
            <w:pPr>
              <w:jc w:val="right"/>
              <w:rPr>
                <w:sz w:val="15"/>
                <w:szCs w:val="16"/>
              </w:rPr>
            </w:pPr>
            <w:r>
              <w:rPr>
                <w:sz w:val="15"/>
                <w:szCs w:val="16"/>
              </w:rPr>
              <w:t>6.887</w:t>
            </w:r>
          </w:p>
        </w:tc>
        <w:tc>
          <w:tcPr>
            <w:tcW w:w="560" w:type="dxa"/>
            <w:noWrap/>
            <w:vAlign w:val="bottom"/>
          </w:tcPr>
          <w:p w:rsidR="00000000" w:rsidRDefault="00000000">
            <w:pPr>
              <w:jc w:val="right"/>
              <w:rPr>
                <w:sz w:val="15"/>
                <w:szCs w:val="16"/>
              </w:rPr>
            </w:pPr>
            <w:r>
              <w:rPr>
                <w:sz w:val="15"/>
                <w:szCs w:val="16"/>
              </w:rPr>
              <w:t>7.139</w:t>
            </w:r>
          </w:p>
        </w:tc>
        <w:tc>
          <w:tcPr>
            <w:tcW w:w="560" w:type="dxa"/>
            <w:noWrap/>
            <w:vAlign w:val="bottom"/>
          </w:tcPr>
          <w:p w:rsidR="00000000" w:rsidRDefault="00000000">
            <w:pPr>
              <w:jc w:val="right"/>
              <w:rPr>
                <w:sz w:val="15"/>
                <w:szCs w:val="16"/>
              </w:rPr>
            </w:pPr>
            <w:r>
              <w:rPr>
                <w:sz w:val="15"/>
                <w:szCs w:val="16"/>
              </w:rPr>
              <w:t>7.382</w:t>
            </w:r>
          </w:p>
        </w:tc>
        <w:tc>
          <w:tcPr>
            <w:tcW w:w="574" w:type="dxa"/>
            <w:noWrap/>
            <w:vAlign w:val="bottom"/>
          </w:tcPr>
          <w:p w:rsidR="00000000" w:rsidRDefault="00000000">
            <w:pPr>
              <w:jc w:val="right"/>
              <w:rPr>
                <w:sz w:val="15"/>
                <w:szCs w:val="16"/>
              </w:rPr>
            </w:pPr>
            <w:r>
              <w:rPr>
                <w:sz w:val="15"/>
                <w:szCs w:val="16"/>
              </w:rPr>
              <w:t>7.635</w:t>
            </w:r>
          </w:p>
        </w:tc>
        <w:tc>
          <w:tcPr>
            <w:tcW w:w="574" w:type="dxa"/>
            <w:noWrap/>
            <w:vAlign w:val="bottom"/>
          </w:tcPr>
          <w:p w:rsidR="00000000" w:rsidRDefault="00000000">
            <w:pPr>
              <w:jc w:val="right"/>
              <w:rPr>
                <w:sz w:val="15"/>
                <w:szCs w:val="16"/>
              </w:rPr>
            </w:pPr>
            <w:r>
              <w:rPr>
                <w:sz w:val="15"/>
                <w:szCs w:val="16"/>
              </w:rPr>
              <w:t>7.920</w:t>
            </w:r>
          </w:p>
        </w:tc>
        <w:tc>
          <w:tcPr>
            <w:tcW w:w="587" w:type="dxa"/>
            <w:noWrap/>
            <w:vAlign w:val="bottom"/>
          </w:tcPr>
          <w:p w:rsidR="00000000" w:rsidRDefault="00000000">
            <w:pPr>
              <w:jc w:val="right"/>
              <w:rPr>
                <w:sz w:val="15"/>
                <w:szCs w:val="16"/>
              </w:rPr>
            </w:pPr>
            <w:r>
              <w:rPr>
                <w:sz w:val="15"/>
                <w:szCs w:val="16"/>
              </w:rPr>
              <w:t>8.256</w:t>
            </w:r>
          </w:p>
        </w:tc>
        <w:tc>
          <w:tcPr>
            <w:tcW w:w="560" w:type="dxa"/>
            <w:noWrap/>
            <w:vAlign w:val="bottom"/>
          </w:tcPr>
          <w:p w:rsidR="00000000" w:rsidRDefault="00000000">
            <w:pPr>
              <w:jc w:val="right"/>
              <w:rPr>
                <w:sz w:val="15"/>
                <w:szCs w:val="16"/>
              </w:rPr>
            </w:pPr>
            <w:r>
              <w:rPr>
                <w:sz w:val="15"/>
                <w:szCs w:val="16"/>
              </w:rPr>
              <w:t>8.695</w:t>
            </w:r>
          </w:p>
        </w:tc>
        <w:tc>
          <w:tcPr>
            <w:tcW w:w="574" w:type="dxa"/>
            <w:noWrap/>
            <w:vAlign w:val="bottom"/>
          </w:tcPr>
          <w:p w:rsidR="00000000" w:rsidRDefault="00000000">
            <w:pPr>
              <w:jc w:val="right"/>
              <w:rPr>
                <w:sz w:val="15"/>
                <w:szCs w:val="16"/>
              </w:rPr>
            </w:pPr>
            <w:r>
              <w:rPr>
                <w:sz w:val="15"/>
                <w:szCs w:val="16"/>
              </w:rPr>
              <w:t>9.224</w:t>
            </w:r>
          </w:p>
        </w:tc>
        <w:tc>
          <w:tcPr>
            <w:tcW w:w="574" w:type="dxa"/>
            <w:noWrap/>
            <w:vAlign w:val="bottom"/>
          </w:tcPr>
          <w:p w:rsidR="00000000" w:rsidRDefault="00000000">
            <w:pPr>
              <w:jc w:val="right"/>
              <w:rPr>
                <w:sz w:val="15"/>
                <w:szCs w:val="16"/>
              </w:rPr>
            </w:pPr>
            <w:r>
              <w:rPr>
                <w:sz w:val="15"/>
                <w:szCs w:val="16"/>
              </w:rPr>
              <w:t>9.765</w:t>
            </w:r>
          </w:p>
        </w:tc>
        <w:tc>
          <w:tcPr>
            <w:tcW w:w="560" w:type="dxa"/>
            <w:noWrap/>
            <w:vAlign w:val="bottom"/>
          </w:tcPr>
          <w:p w:rsidR="00000000" w:rsidRDefault="00000000">
            <w:pPr>
              <w:jc w:val="right"/>
              <w:rPr>
                <w:sz w:val="15"/>
                <w:szCs w:val="16"/>
              </w:rPr>
            </w:pPr>
            <w:r>
              <w:rPr>
                <w:sz w:val="15"/>
                <w:szCs w:val="16"/>
              </w:rPr>
              <w:t>10.240</w:t>
            </w:r>
          </w:p>
        </w:tc>
        <w:tc>
          <w:tcPr>
            <w:tcW w:w="630" w:type="dxa"/>
            <w:noWrap/>
            <w:vAlign w:val="bottom"/>
          </w:tcPr>
          <w:p w:rsidR="00000000" w:rsidRDefault="00000000">
            <w:pPr>
              <w:jc w:val="right"/>
              <w:rPr>
                <w:sz w:val="15"/>
                <w:szCs w:val="16"/>
              </w:rPr>
            </w:pPr>
            <w:r>
              <w:rPr>
                <w:sz w:val="15"/>
                <w:szCs w:val="16"/>
              </w:rPr>
              <w:t>10.573</w:t>
            </w:r>
          </w:p>
        </w:tc>
        <w:tc>
          <w:tcPr>
            <w:tcW w:w="650" w:type="dxa"/>
            <w:noWrap/>
            <w:vAlign w:val="bottom"/>
          </w:tcPr>
          <w:p w:rsidR="00000000" w:rsidRDefault="00000000">
            <w:pPr>
              <w:jc w:val="right"/>
              <w:rPr>
                <w:sz w:val="15"/>
                <w:szCs w:val="16"/>
              </w:rPr>
            </w:pPr>
            <w:r>
              <w:rPr>
                <w:sz w:val="15"/>
                <w:szCs w:val="16"/>
              </w:rPr>
              <w:t>10.676</w:t>
            </w:r>
          </w:p>
        </w:tc>
      </w:tr>
      <w:tr w:rsidR="00000000">
        <w:trPr>
          <w:jc w:val="center"/>
        </w:trPr>
        <w:tc>
          <w:tcPr>
            <w:tcW w:w="1809" w:type="dxa"/>
            <w:noWrap/>
            <w:vAlign w:val="bottom"/>
          </w:tcPr>
          <w:p w:rsidR="00000000" w:rsidRDefault="00000000">
            <w:pPr>
              <w:ind w:left="284"/>
              <w:rPr>
                <w:sz w:val="15"/>
                <w:szCs w:val="16"/>
              </w:rPr>
            </w:pPr>
            <w:r>
              <w:rPr>
                <w:sz w:val="15"/>
                <w:szCs w:val="16"/>
              </w:rPr>
              <w:t>79 años</w:t>
            </w:r>
          </w:p>
        </w:tc>
        <w:tc>
          <w:tcPr>
            <w:tcW w:w="588" w:type="dxa"/>
            <w:noWrap/>
            <w:vAlign w:val="bottom"/>
          </w:tcPr>
          <w:p w:rsidR="00000000" w:rsidRDefault="00000000">
            <w:pPr>
              <w:jc w:val="right"/>
              <w:rPr>
                <w:sz w:val="15"/>
                <w:szCs w:val="16"/>
              </w:rPr>
            </w:pPr>
            <w:r>
              <w:rPr>
                <w:sz w:val="15"/>
                <w:szCs w:val="16"/>
              </w:rPr>
              <w:t>5.894</w:t>
            </w:r>
          </w:p>
        </w:tc>
        <w:tc>
          <w:tcPr>
            <w:tcW w:w="560" w:type="dxa"/>
            <w:noWrap/>
            <w:vAlign w:val="bottom"/>
          </w:tcPr>
          <w:p w:rsidR="00000000" w:rsidRDefault="00000000">
            <w:pPr>
              <w:jc w:val="right"/>
              <w:rPr>
                <w:sz w:val="15"/>
                <w:szCs w:val="16"/>
              </w:rPr>
            </w:pPr>
            <w:r>
              <w:rPr>
                <w:sz w:val="15"/>
                <w:szCs w:val="16"/>
              </w:rPr>
              <w:t>6.138</w:t>
            </w:r>
          </w:p>
        </w:tc>
        <w:tc>
          <w:tcPr>
            <w:tcW w:w="560" w:type="dxa"/>
            <w:noWrap/>
            <w:vAlign w:val="bottom"/>
          </w:tcPr>
          <w:p w:rsidR="00000000" w:rsidRDefault="00000000">
            <w:pPr>
              <w:jc w:val="right"/>
              <w:rPr>
                <w:sz w:val="15"/>
                <w:szCs w:val="16"/>
              </w:rPr>
            </w:pPr>
            <w:r>
              <w:rPr>
                <w:sz w:val="15"/>
                <w:szCs w:val="16"/>
              </w:rPr>
              <w:t>6.382</w:t>
            </w:r>
          </w:p>
        </w:tc>
        <w:tc>
          <w:tcPr>
            <w:tcW w:w="560" w:type="dxa"/>
            <w:noWrap/>
            <w:vAlign w:val="bottom"/>
          </w:tcPr>
          <w:p w:rsidR="00000000" w:rsidRDefault="00000000">
            <w:pPr>
              <w:jc w:val="right"/>
              <w:rPr>
                <w:sz w:val="15"/>
                <w:szCs w:val="16"/>
              </w:rPr>
            </w:pPr>
            <w:r>
              <w:rPr>
                <w:sz w:val="15"/>
                <w:szCs w:val="16"/>
              </w:rPr>
              <w:t>6.625</w:t>
            </w:r>
          </w:p>
        </w:tc>
        <w:tc>
          <w:tcPr>
            <w:tcW w:w="574" w:type="dxa"/>
            <w:noWrap/>
            <w:vAlign w:val="bottom"/>
          </w:tcPr>
          <w:p w:rsidR="00000000" w:rsidRDefault="00000000">
            <w:pPr>
              <w:jc w:val="right"/>
              <w:rPr>
                <w:sz w:val="15"/>
                <w:szCs w:val="16"/>
              </w:rPr>
            </w:pPr>
            <w:r>
              <w:rPr>
                <w:sz w:val="15"/>
                <w:szCs w:val="16"/>
              </w:rPr>
              <w:t>6.880</w:t>
            </w:r>
          </w:p>
        </w:tc>
        <w:tc>
          <w:tcPr>
            <w:tcW w:w="574" w:type="dxa"/>
            <w:noWrap/>
            <w:vAlign w:val="bottom"/>
          </w:tcPr>
          <w:p w:rsidR="00000000" w:rsidRDefault="00000000">
            <w:pPr>
              <w:jc w:val="right"/>
              <w:rPr>
                <w:sz w:val="15"/>
                <w:szCs w:val="16"/>
              </w:rPr>
            </w:pPr>
            <w:r>
              <w:rPr>
                <w:sz w:val="15"/>
                <w:szCs w:val="16"/>
              </w:rPr>
              <w:t>7.157</w:t>
            </w:r>
          </w:p>
        </w:tc>
        <w:tc>
          <w:tcPr>
            <w:tcW w:w="587" w:type="dxa"/>
            <w:noWrap/>
            <w:vAlign w:val="bottom"/>
          </w:tcPr>
          <w:p w:rsidR="00000000" w:rsidRDefault="00000000">
            <w:pPr>
              <w:jc w:val="right"/>
              <w:rPr>
                <w:sz w:val="15"/>
                <w:szCs w:val="16"/>
              </w:rPr>
            </w:pPr>
            <w:r>
              <w:rPr>
                <w:sz w:val="15"/>
                <w:szCs w:val="16"/>
              </w:rPr>
              <w:t>7.466</w:t>
            </w:r>
          </w:p>
        </w:tc>
        <w:tc>
          <w:tcPr>
            <w:tcW w:w="560" w:type="dxa"/>
            <w:noWrap/>
            <w:vAlign w:val="bottom"/>
          </w:tcPr>
          <w:p w:rsidR="00000000" w:rsidRDefault="00000000">
            <w:pPr>
              <w:jc w:val="right"/>
              <w:rPr>
                <w:sz w:val="15"/>
                <w:szCs w:val="16"/>
              </w:rPr>
            </w:pPr>
            <w:r>
              <w:rPr>
                <w:sz w:val="15"/>
                <w:szCs w:val="16"/>
              </w:rPr>
              <w:t>7.840</w:t>
            </w:r>
          </w:p>
        </w:tc>
        <w:tc>
          <w:tcPr>
            <w:tcW w:w="574" w:type="dxa"/>
            <w:noWrap/>
            <w:vAlign w:val="bottom"/>
          </w:tcPr>
          <w:p w:rsidR="00000000" w:rsidRDefault="00000000">
            <w:pPr>
              <w:jc w:val="right"/>
              <w:rPr>
                <w:sz w:val="15"/>
                <w:szCs w:val="16"/>
              </w:rPr>
            </w:pPr>
            <w:r>
              <w:rPr>
                <w:sz w:val="15"/>
                <w:szCs w:val="16"/>
              </w:rPr>
              <w:t>8.272</w:t>
            </w:r>
          </w:p>
        </w:tc>
        <w:tc>
          <w:tcPr>
            <w:tcW w:w="574" w:type="dxa"/>
            <w:noWrap/>
            <w:vAlign w:val="bottom"/>
          </w:tcPr>
          <w:p w:rsidR="00000000" w:rsidRDefault="00000000">
            <w:pPr>
              <w:jc w:val="right"/>
              <w:rPr>
                <w:sz w:val="15"/>
                <w:szCs w:val="16"/>
              </w:rPr>
            </w:pPr>
            <w:r>
              <w:rPr>
                <w:sz w:val="15"/>
                <w:szCs w:val="16"/>
              </w:rPr>
              <w:t>8.713</w:t>
            </w:r>
          </w:p>
        </w:tc>
        <w:tc>
          <w:tcPr>
            <w:tcW w:w="560" w:type="dxa"/>
            <w:noWrap/>
            <w:vAlign w:val="bottom"/>
          </w:tcPr>
          <w:p w:rsidR="00000000" w:rsidRDefault="00000000">
            <w:pPr>
              <w:jc w:val="right"/>
              <w:rPr>
                <w:sz w:val="15"/>
                <w:szCs w:val="16"/>
              </w:rPr>
            </w:pPr>
            <w:r>
              <w:rPr>
                <w:sz w:val="15"/>
                <w:szCs w:val="16"/>
              </w:rPr>
              <w:t>9.114</w:t>
            </w:r>
          </w:p>
        </w:tc>
        <w:tc>
          <w:tcPr>
            <w:tcW w:w="630" w:type="dxa"/>
            <w:noWrap/>
            <w:vAlign w:val="bottom"/>
          </w:tcPr>
          <w:p w:rsidR="00000000" w:rsidRDefault="00000000">
            <w:pPr>
              <w:jc w:val="right"/>
              <w:rPr>
                <w:sz w:val="15"/>
                <w:szCs w:val="16"/>
              </w:rPr>
            </w:pPr>
            <w:r>
              <w:rPr>
                <w:sz w:val="15"/>
                <w:szCs w:val="16"/>
              </w:rPr>
              <w:t>9.428</w:t>
            </w:r>
          </w:p>
        </w:tc>
        <w:tc>
          <w:tcPr>
            <w:tcW w:w="650" w:type="dxa"/>
            <w:noWrap/>
            <w:vAlign w:val="bottom"/>
          </w:tcPr>
          <w:p w:rsidR="00000000" w:rsidRDefault="00000000">
            <w:pPr>
              <w:jc w:val="right"/>
              <w:rPr>
                <w:sz w:val="15"/>
                <w:szCs w:val="16"/>
              </w:rPr>
            </w:pPr>
            <w:r>
              <w:rPr>
                <w:sz w:val="15"/>
                <w:szCs w:val="16"/>
              </w:rPr>
              <w:t>9.605</w:t>
            </w:r>
          </w:p>
        </w:tc>
      </w:tr>
      <w:tr w:rsidR="00000000">
        <w:trPr>
          <w:jc w:val="center"/>
        </w:trPr>
        <w:tc>
          <w:tcPr>
            <w:tcW w:w="1809" w:type="dxa"/>
            <w:noWrap/>
            <w:vAlign w:val="bottom"/>
          </w:tcPr>
          <w:p w:rsidR="00000000" w:rsidRDefault="00000000">
            <w:pPr>
              <w:rPr>
                <w:sz w:val="15"/>
                <w:szCs w:val="16"/>
              </w:rPr>
            </w:pPr>
            <w:r>
              <w:rPr>
                <w:sz w:val="15"/>
                <w:szCs w:val="16"/>
              </w:rPr>
              <w:t xml:space="preserve">De 80 a más </w:t>
            </w:r>
          </w:p>
        </w:tc>
        <w:tc>
          <w:tcPr>
            <w:tcW w:w="588" w:type="dxa"/>
            <w:noWrap/>
            <w:vAlign w:val="bottom"/>
          </w:tcPr>
          <w:p w:rsidR="00000000" w:rsidRDefault="00000000">
            <w:pPr>
              <w:jc w:val="right"/>
              <w:rPr>
                <w:sz w:val="15"/>
                <w:szCs w:val="16"/>
              </w:rPr>
            </w:pPr>
            <w:r>
              <w:rPr>
                <w:sz w:val="15"/>
                <w:szCs w:val="16"/>
              </w:rPr>
              <w:t>27.656</w:t>
            </w:r>
          </w:p>
        </w:tc>
        <w:tc>
          <w:tcPr>
            <w:tcW w:w="560" w:type="dxa"/>
            <w:noWrap/>
            <w:vAlign w:val="bottom"/>
          </w:tcPr>
          <w:p w:rsidR="00000000" w:rsidRDefault="00000000">
            <w:pPr>
              <w:jc w:val="right"/>
              <w:rPr>
                <w:sz w:val="15"/>
                <w:szCs w:val="16"/>
              </w:rPr>
            </w:pPr>
            <w:r>
              <w:rPr>
                <w:sz w:val="15"/>
                <w:szCs w:val="16"/>
              </w:rPr>
              <w:t>29.001</w:t>
            </w:r>
          </w:p>
        </w:tc>
        <w:tc>
          <w:tcPr>
            <w:tcW w:w="560" w:type="dxa"/>
            <w:noWrap/>
            <w:vAlign w:val="bottom"/>
          </w:tcPr>
          <w:p w:rsidR="00000000" w:rsidRDefault="00000000">
            <w:pPr>
              <w:jc w:val="right"/>
              <w:rPr>
                <w:sz w:val="15"/>
                <w:szCs w:val="16"/>
              </w:rPr>
            </w:pPr>
            <w:r>
              <w:rPr>
                <w:sz w:val="15"/>
                <w:szCs w:val="16"/>
              </w:rPr>
              <w:t>30.424</w:t>
            </w:r>
          </w:p>
        </w:tc>
        <w:tc>
          <w:tcPr>
            <w:tcW w:w="560" w:type="dxa"/>
            <w:noWrap/>
            <w:vAlign w:val="bottom"/>
          </w:tcPr>
          <w:p w:rsidR="00000000" w:rsidRDefault="00000000">
            <w:pPr>
              <w:jc w:val="right"/>
              <w:rPr>
                <w:sz w:val="15"/>
                <w:szCs w:val="16"/>
              </w:rPr>
            </w:pPr>
            <w:r>
              <w:rPr>
                <w:sz w:val="15"/>
                <w:szCs w:val="16"/>
              </w:rPr>
              <w:t>31.917</w:t>
            </w:r>
          </w:p>
        </w:tc>
        <w:tc>
          <w:tcPr>
            <w:tcW w:w="574" w:type="dxa"/>
            <w:noWrap/>
            <w:vAlign w:val="bottom"/>
          </w:tcPr>
          <w:p w:rsidR="00000000" w:rsidRDefault="00000000">
            <w:pPr>
              <w:jc w:val="right"/>
              <w:rPr>
                <w:sz w:val="15"/>
                <w:szCs w:val="16"/>
              </w:rPr>
            </w:pPr>
            <w:r>
              <w:rPr>
                <w:sz w:val="15"/>
                <w:szCs w:val="16"/>
              </w:rPr>
              <w:t>33.490</w:t>
            </w:r>
          </w:p>
        </w:tc>
        <w:tc>
          <w:tcPr>
            <w:tcW w:w="574" w:type="dxa"/>
            <w:noWrap/>
            <w:vAlign w:val="bottom"/>
          </w:tcPr>
          <w:p w:rsidR="00000000" w:rsidRDefault="00000000">
            <w:pPr>
              <w:jc w:val="right"/>
              <w:rPr>
                <w:sz w:val="15"/>
                <w:szCs w:val="16"/>
              </w:rPr>
            </w:pPr>
            <w:r>
              <w:rPr>
                <w:sz w:val="15"/>
                <w:szCs w:val="16"/>
              </w:rPr>
              <w:t>35.149</w:t>
            </w:r>
          </w:p>
        </w:tc>
        <w:tc>
          <w:tcPr>
            <w:tcW w:w="587" w:type="dxa"/>
            <w:noWrap/>
            <w:vAlign w:val="bottom"/>
          </w:tcPr>
          <w:p w:rsidR="00000000" w:rsidRDefault="00000000">
            <w:pPr>
              <w:jc w:val="right"/>
              <w:rPr>
                <w:sz w:val="15"/>
                <w:szCs w:val="16"/>
              </w:rPr>
            </w:pPr>
            <w:r>
              <w:rPr>
                <w:sz w:val="15"/>
                <w:szCs w:val="16"/>
              </w:rPr>
              <w:t>36.903</w:t>
            </w:r>
          </w:p>
        </w:tc>
        <w:tc>
          <w:tcPr>
            <w:tcW w:w="560" w:type="dxa"/>
            <w:noWrap/>
            <w:vAlign w:val="bottom"/>
          </w:tcPr>
          <w:p w:rsidR="00000000" w:rsidRDefault="00000000">
            <w:pPr>
              <w:jc w:val="right"/>
              <w:rPr>
                <w:sz w:val="15"/>
                <w:szCs w:val="16"/>
              </w:rPr>
            </w:pPr>
            <w:r>
              <w:rPr>
                <w:sz w:val="15"/>
                <w:szCs w:val="16"/>
              </w:rPr>
              <w:t>38.753</w:t>
            </w:r>
          </w:p>
        </w:tc>
        <w:tc>
          <w:tcPr>
            <w:tcW w:w="574" w:type="dxa"/>
            <w:noWrap/>
            <w:vAlign w:val="bottom"/>
          </w:tcPr>
          <w:p w:rsidR="00000000" w:rsidRDefault="00000000">
            <w:pPr>
              <w:jc w:val="right"/>
              <w:rPr>
                <w:sz w:val="15"/>
                <w:szCs w:val="16"/>
              </w:rPr>
            </w:pPr>
            <w:r>
              <w:rPr>
                <w:sz w:val="15"/>
                <w:szCs w:val="16"/>
              </w:rPr>
              <w:t>40.693</w:t>
            </w:r>
          </w:p>
        </w:tc>
        <w:tc>
          <w:tcPr>
            <w:tcW w:w="574" w:type="dxa"/>
            <w:noWrap/>
            <w:vAlign w:val="bottom"/>
          </w:tcPr>
          <w:p w:rsidR="00000000" w:rsidRDefault="00000000">
            <w:pPr>
              <w:jc w:val="right"/>
              <w:rPr>
                <w:sz w:val="15"/>
                <w:szCs w:val="16"/>
              </w:rPr>
            </w:pPr>
            <w:r>
              <w:rPr>
                <w:sz w:val="15"/>
                <w:szCs w:val="16"/>
              </w:rPr>
              <w:t>42.723</w:t>
            </w:r>
          </w:p>
        </w:tc>
        <w:tc>
          <w:tcPr>
            <w:tcW w:w="560" w:type="dxa"/>
            <w:noWrap/>
            <w:vAlign w:val="bottom"/>
          </w:tcPr>
          <w:p w:rsidR="00000000" w:rsidRDefault="00000000">
            <w:pPr>
              <w:jc w:val="right"/>
              <w:rPr>
                <w:sz w:val="15"/>
                <w:szCs w:val="16"/>
              </w:rPr>
            </w:pPr>
            <w:r>
              <w:rPr>
                <w:sz w:val="15"/>
                <w:szCs w:val="16"/>
              </w:rPr>
              <w:t>44.840</w:t>
            </w:r>
          </w:p>
        </w:tc>
        <w:tc>
          <w:tcPr>
            <w:tcW w:w="630" w:type="dxa"/>
            <w:noWrap/>
            <w:vAlign w:val="bottom"/>
          </w:tcPr>
          <w:p w:rsidR="00000000" w:rsidRDefault="00000000">
            <w:pPr>
              <w:jc w:val="right"/>
              <w:rPr>
                <w:sz w:val="15"/>
                <w:szCs w:val="16"/>
              </w:rPr>
            </w:pPr>
            <w:r>
              <w:rPr>
                <w:sz w:val="15"/>
                <w:szCs w:val="16"/>
              </w:rPr>
              <w:t>47.046</w:t>
            </w:r>
          </w:p>
        </w:tc>
        <w:tc>
          <w:tcPr>
            <w:tcW w:w="650" w:type="dxa"/>
            <w:noWrap/>
            <w:vAlign w:val="bottom"/>
          </w:tcPr>
          <w:p w:rsidR="00000000" w:rsidRDefault="00000000">
            <w:pPr>
              <w:jc w:val="right"/>
              <w:rPr>
                <w:sz w:val="15"/>
                <w:szCs w:val="16"/>
              </w:rPr>
            </w:pPr>
            <w:r>
              <w:rPr>
                <w:sz w:val="15"/>
                <w:szCs w:val="16"/>
              </w:rPr>
              <w:t>49.416</w:t>
            </w:r>
          </w:p>
        </w:tc>
      </w:tr>
    </w:tbl>
    <w:p w:rsidR="00000000" w:rsidRDefault="00000000">
      <w:pPr>
        <w:spacing w:before="180" w:after="360"/>
        <w:rPr>
          <w:b/>
          <w:color w:val="000000"/>
        </w:rPr>
      </w:pPr>
      <w:r>
        <w:rPr>
          <w:i/>
          <w:iCs/>
          <w:sz w:val="15"/>
          <w:szCs w:val="16"/>
        </w:rPr>
        <w:t>Fuente</w:t>
      </w:r>
      <w:r>
        <w:rPr>
          <w:sz w:val="15"/>
          <w:szCs w:val="16"/>
        </w:rPr>
        <w:t>:  STP/DGEEC.  Censo Nacional de Población y Viviendas 2002.</w:t>
      </w:r>
    </w:p>
    <w:p w:rsidR="00000000" w:rsidRDefault="00000000">
      <w:pPr>
        <w:spacing w:after="240"/>
        <w:rPr>
          <w:b/>
          <w:color w:val="000000"/>
        </w:rPr>
      </w:pPr>
      <w:r>
        <w:rPr>
          <w:b/>
          <w:color w:val="000000"/>
        </w:rPr>
        <w:t>6.</w:t>
      </w:r>
      <w:r>
        <w:rPr>
          <w:b/>
          <w:color w:val="000000"/>
        </w:rPr>
        <w:tab/>
        <w:t>Población urbana y rural</w:t>
      </w:r>
    </w:p>
    <w:p w:rsidR="00000000" w:rsidRDefault="00000000">
      <w:pPr>
        <w:autoSpaceDE w:val="0"/>
        <w:autoSpaceDN w:val="0"/>
        <w:adjustRightInd w:val="0"/>
        <w:spacing w:after="240"/>
        <w:rPr>
          <w:b/>
          <w:bCs/>
          <w:sz w:val="20"/>
          <w:szCs w:val="22"/>
        </w:rPr>
      </w:pPr>
      <w:r>
        <w:t>32.</w:t>
      </w:r>
      <w:r>
        <w:tab/>
        <w:t>La tendencia a revertir la histórica mayoría de la población rural sobre la urbana se ve acentuada en la última década ya que según los datos arrojados en el Censo 2002, se puede destacar que la población urbana corresponde al 56,7% de la población, frente al 43,3 % que vive en zonas rurales.  A continuación se puede apreciar la marcada evolución de este fenómeno en el Paraguay.</w:t>
      </w:r>
      <w:r>
        <w:rPr>
          <w:b/>
          <w:bCs/>
          <w:sz w:val="20"/>
          <w:szCs w:val="22"/>
        </w:rPr>
        <w:t xml:space="preserve"> </w:t>
      </w:r>
    </w:p>
    <w:p w:rsidR="00000000" w:rsidRDefault="00000000">
      <w:pPr>
        <w:autoSpaceDE w:val="0"/>
        <w:autoSpaceDN w:val="0"/>
        <w:adjustRightInd w:val="0"/>
        <w:spacing w:after="220"/>
        <w:jc w:val="center"/>
        <w:rPr>
          <w:sz w:val="22"/>
        </w:rPr>
      </w:pPr>
      <w:r>
        <w:rPr>
          <w:b/>
          <w:bCs/>
          <w:sz w:val="22"/>
          <w:szCs w:val="22"/>
        </w:rPr>
        <w:t xml:space="preserve">Paraguay:  Proyección de la población por área urbana-rural y sexo, </w:t>
      </w:r>
      <w:r>
        <w:rPr>
          <w:b/>
          <w:bCs/>
          <w:sz w:val="22"/>
          <w:szCs w:val="22"/>
        </w:rPr>
        <w:br/>
        <w:t>según año calendario</w:t>
      </w:r>
      <w:r>
        <w:rPr>
          <w:b/>
          <w:bCs/>
          <w:sz w:val="22"/>
          <w:szCs w:val="22"/>
          <w:vertAlign w:val="superscript"/>
        </w:rPr>
        <w:t>1</w:t>
      </w:r>
      <w:r>
        <w:rPr>
          <w:b/>
          <w:bCs/>
          <w:sz w:val="22"/>
          <w:szCs w:val="22"/>
        </w:rPr>
        <w:t xml:space="preserve">, </w:t>
      </w:r>
      <w:r>
        <w:rPr>
          <w:b/>
          <w:bCs/>
          <w:sz w:val="22"/>
          <w:szCs w:val="22"/>
          <w:lang w:val="es-MX"/>
        </w:rPr>
        <w:t>2000-2005</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0"/>
        <w:gridCol w:w="1202"/>
        <w:gridCol w:w="1200"/>
        <w:gridCol w:w="1559"/>
        <w:gridCol w:w="962"/>
        <w:gridCol w:w="1080"/>
        <w:gridCol w:w="1080"/>
        <w:gridCol w:w="1436"/>
      </w:tblGrid>
      <w:tr w:rsidR="00000000">
        <w:trPr>
          <w:cantSplit/>
          <w:trHeight w:val="20"/>
        </w:trPr>
        <w:tc>
          <w:tcPr>
            <w:tcW w:w="2564" w:type="pct"/>
            <w:gridSpan w:val="4"/>
            <w:noWrap/>
            <w:vAlign w:val="center"/>
          </w:tcPr>
          <w:p w:rsidR="00000000" w:rsidRDefault="00000000">
            <w:pPr>
              <w:jc w:val="center"/>
              <w:rPr>
                <w:b/>
                <w:bCs/>
                <w:sz w:val="22"/>
                <w:szCs w:val="22"/>
                <w:lang w:val="en-US"/>
              </w:rPr>
            </w:pPr>
            <w:r>
              <w:rPr>
                <w:b/>
                <w:bCs/>
                <w:sz w:val="22"/>
                <w:szCs w:val="22"/>
                <w:lang w:val="en-US"/>
              </w:rPr>
              <w:t>Area urbana</w:t>
            </w:r>
          </w:p>
        </w:tc>
        <w:tc>
          <w:tcPr>
            <w:tcW w:w="2436" w:type="pct"/>
            <w:gridSpan w:val="4"/>
            <w:noWrap/>
            <w:vAlign w:val="center"/>
          </w:tcPr>
          <w:p w:rsidR="00000000" w:rsidRDefault="00000000">
            <w:pPr>
              <w:jc w:val="center"/>
              <w:rPr>
                <w:b/>
                <w:bCs/>
                <w:sz w:val="22"/>
                <w:szCs w:val="22"/>
                <w:lang w:val="en-US"/>
              </w:rPr>
            </w:pPr>
            <w:r>
              <w:rPr>
                <w:b/>
                <w:bCs/>
                <w:sz w:val="22"/>
                <w:szCs w:val="22"/>
                <w:lang w:val="en-US"/>
              </w:rPr>
              <w:t>Area rural</w:t>
            </w:r>
          </w:p>
        </w:tc>
      </w:tr>
      <w:tr w:rsidR="00000000">
        <w:trPr>
          <w:cantSplit/>
          <w:trHeight w:val="20"/>
        </w:trPr>
        <w:tc>
          <w:tcPr>
            <w:tcW w:w="449" w:type="pct"/>
            <w:vMerge w:val="restart"/>
            <w:vAlign w:val="center"/>
          </w:tcPr>
          <w:p w:rsidR="00000000" w:rsidRDefault="00000000">
            <w:pPr>
              <w:jc w:val="center"/>
              <w:rPr>
                <w:b/>
                <w:bCs/>
                <w:sz w:val="22"/>
                <w:szCs w:val="22"/>
                <w:lang w:val="es-MX"/>
              </w:rPr>
            </w:pPr>
            <w:r>
              <w:rPr>
                <w:b/>
                <w:bCs/>
                <w:sz w:val="22"/>
                <w:szCs w:val="22"/>
                <w:lang w:val="es-MX"/>
              </w:rPr>
              <w:t>Año</w:t>
            </w:r>
          </w:p>
        </w:tc>
        <w:tc>
          <w:tcPr>
            <w:tcW w:w="2115" w:type="pct"/>
            <w:gridSpan w:val="3"/>
            <w:noWrap/>
            <w:vAlign w:val="center"/>
          </w:tcPr>
          <w:p w:rsidR="00000000" w:rsidRDefault="00000000">
            <w:pPr>
              <w:jc w:val="center"/>
              <w:rPr>
                <w:b/>
                <w:bCs/>
                <w:sz w:val="22"/>
                <w:szCs w:val="22"/>
              </w:rPr>
            </w:pPr>
            <w:r>
              <w:rPr>
                <w:b/>
                <w:bCs/>
                <w:sz w:val="22"/>
                <w:szCs w:val="22"/>
              </w:rPr>
              <w:t>Población urbana</w:t>
            </w:r>
          </w:p>
        </w:tc>
        <w:tc>
          <w:tcPr>
            <w:tcW w:w="514" w:type="pct"/>
            <w:vMerge w:val="restart"/>
            <w:vAlign w:val="center"/>
          </w:tcPr>
          <w:p w:rsidR="00000000" w:rsidRDefault="00000000">
            <w:pPr>
              <w:jc w:val="center"/>
              <w:rPr>
                <w:b/>
                <w:bCs/>
                <w:sz w:val="22"/>
                <w:szCs w:val="22"/>
              </w:rPr>
            </w:pPr>
            <w:r>
              <w:rPr>
                <w:b/>
                <w:bCs/>
                <w:sz w:val="22"/>
                <w:szCs w:val="22"/>
              </w:rPr>
              <w:t>Año</w:t>
            </w:r>
          </w:p>
        </w:tc>
        <w:tc>
          <w:tcPr>
            <w:tcW w:w="1922" w:type="pct"/>
            <w:gridSpan w:val="3"/>
            <w:noWrap/>
            <w:vAlign w:val="center"/>
          </w:tcPr>
          <w:p w:rsidR="00000000" w:rsidRDefault="00000000">
            <w:pPr>
              <w:jc w:val="center"/>
              <w:rPr>
                <w:b/>
                <w:bCs/>
                <w:sz w:val="22"/>
                <w:szCs w:val="22"/>
              </w:rPr>
            </w:pPr>
            <w:r>
              <w:rPr>
                <w:b/>
                <w:bCs/>
                <w:sz w:val="22"/>
                <w:szCs w:val="22"/>
              </w:rPr>
              <w:t>Población rural</w:t>
            </w:r>
          </w:p>
        </w:tc>
      </w:tr>
      <w:tr w:rsidR="00000000">
        <w:trPr>
          <w:cantSplit/>
          <w:trHeight w:val="20"/>
        </w:trPr>
        <w:tc>
          <w:tcPr>
            <w:tcW w:w="449" w:type="pct"/>
            <w:vMerge/>
            <w:vAlign w:val="center"/>
          </w:tcPr>
          <w:p w:rsidR="00000000" w:rsidRDefault="00000000">
            <w:pPr>
              <w:jc w:val="center"/>
              <w:rPr>
                <w:b/>
                <w:bCs/>
                <w:sz w:val="22"/>
                <w:szCs w:val="22"/>
              </w:rPr>
            </w:pPr>
          </w:p>
        </w:tc>
        <w:tc>
          <w:tcPr>
            <w:tcW w:w="642" w:type="pct"/>
            <w:noWrap/>
            <w:vAlign w:val="center"/>
          </w:tcPr>
          <w:p w:rsidR="00000000" w:rsidRDefault="00000000">
            <w:pPr>
              <w:jc w:val="center"/>
              <w:rPr>
                <w:b/>
                <w:bCs/>
                <w:sz w:val="22"/>
                <w:szCs w:val="22"/>
              </w:rPr>
            </w:pPr>
            <w:r>
              <w:rPr>
                <w:b/>
                <w:bCs/>
                <w:sz w:val="22"/>
                <w:szCs w:val="22"/>
              </w:rPr>
              <w:t>Hombres</w:t>
            </w:r>
          </w:p>
        </w:tc>
        <w:tc>
          <w:tcPr>
            <w:tcW w:w="641" w:type="pct"/>
            <w:noWrap/>
            <w:vAlign w:val="center"/>
          </w:tcPr>
          <w:p w:rsidR="00000000" w:rsidRDefault="00000000">
            <w:pPr>
              <w:jc w:val="center"/>
              <w:rPr>
                <w:b/>
                <w:bCs/>
                <w:sz w:val="22"/>
                <w:szCs w:val="22"/>
              </w:rPr>
            </w:pPr>
            <w:r>
              <w:rPr>
                <w:b/>
                <w:bCs/>
                <w:sz w:val="22"/>
                <w:szCs w:val="22"/>
              </w:rPr>
              <w:t>Mujeres</w:t>
            </w:r>
          </w:p>
        </w:tc>
        <w:tc>
          <w:tcPr>
            <w:tcW w:w="833" w:type="pct"/>
            <w:noWrap/>
            <w:vAlign w:val="center"/>
          </w:tcPr>
          <w:p w:rsidR="00000000" w:rsidRDefault="00000000">
            <w:pPr>
              <w:jc w:val="center"/>
              <w:rPr>
                <w:b/>
                <w:bCs/>
                <w:sz w:val="22"/>
                <w:szCs w:val="22"/>
              </w:rPr>
            </w:pPr>
            <w:r>
              <w:rPr>
                <w:b/>
                <w:bCs/>
                <w:sz w:val="22"/>
                <w:szCs w:val="22"/>
              </w:rPr>
              <w:t>Ambos sexos</w:t>
            </w:r>
          </w:p>
        </w:tc>
        <w:tc>
          <w:tcPr>
            <w:tcW w:w="514" w:type="pct"/>
            <w:vMerge/>
            <w:vAlign w:val="center"/>
          </w:tcPr>
          <w:p w:rsidR="00000000" w:rsidRDefault="00000000">
            <w:pPr>
              <w:jc w:val="center"/>
              <w:rPr>
                <w:b/>
                <w:bCs/>
                <w:sz w:val="22"/>
                <w:szCs w:val="22"/>
              </w:rPr>
            </w:pPr>
          </w:p>
        </w:tc>
        <w:tc>
          <w:tcPr>
            <w:tcW w:w="577" w:type="pct"/>
            <w:noWrap/>
            <w:vAlign w:val="center"/>
          </w:tcPr>
          <w:p w:rsidR="00000000" w:rsidRDefault="00000000">
            <w:pPr>
              <w:jc w:val="center"/>
              <w:rPr>
                <w:b/>
                <w:bCs/>
                <w:sz w:val="22"/>
                <w:szCs w:val="22"/>
              </w:rPr>
            </w:pPr>
            <w:r>
              <w:rPr>
                <w:b/>
                <w:bCs/>
                <w:sz w:val="22"/>
                <w:szCs w:val="22"/>
              </w:rPr>
              <w:t>Hombres</w:t>
            </w:r>
          </w:p>
        </w:tc>
        <w:tc>
          <w:tcPr>
            <w:tcW w:w="577" w:type="pct"/>
            <w:noWrap/>
            <w:vAlign w:val="center"/>
          </w:tcPr>
          <w:p w:rsidR="00000000" w:rsidRDefault="00000000">
            <w:pPr>
              <w:jc w:val="center"/>
              <w:rPr>
                <w:b/>
                <w:bCs/>
                <w:sz w:val="22"/>
                <w:szCs w:val="22"/>
              </w:rPr>
            </w:pPr>
            <w:r>
              <w:rPr>
                <w:b/>
                <w:bCs/>
                <w:sz w:val="22"/>
                <w:szCs w:val="22"/>
              </w:rPr>
              <w:t>Mujeres</w:t>
            </w:r>
          </w:p>
        </w:tc>
        <w:tc>
          <w:tcPr>
            <w:tcW w:w="768" w:type="pct"/>
            <w:noWrap/>
            <w:vAlign w:val="center"/>
          </w:tcPr>
          <w:p w:rsidR="00000000" w:rsidRDefault="00000000">
            <w:pPr>
              <w:jc w:val="center"/>
              <w:rPr>
                <w:b/>
                <w:bCs/>
                <w:sz w:val="22"/>
                <w:szCs w:val="22"/>
              </w:rPr>
            </w:pPr>
            <w:r>
              <w:rPr>
                <w:b/>
                <w:bCs/>
                <w:sz w:val="22"/>
                <w:szCs w:val="22"/>
              </w:rPr>
              <w:t>Ambos sexos</w:t>
            </w:r>
          </w:p>
        </w:tc>
      </w:tr>
      <w:tr w:rsidR="00000000">
        <w:trPr>
          <w:trHeight w:val="20"/>
        </w:trPr>
        <w:tc>
          <w:tcPr>
            <w:tcW w:w="449" w:type="pct"/>
            <w:noWrap/>
            <w:vAlign w:val="bottom"/>
          </w:tcPr>
          <w:p w:rsidR="00000000" w:rsidRDefault="00000000">
            <w:pPr>
              <w:jc w:val="center"/>
              <w:rPr>
                <w:sz w:val="22"/>
                <w:szCs w:val="22"/>
              </w:rPr>
            </w:pPr>
            <w:r>
              <w:rPr>
                <w:sz w:val="22"/>
                <w:szCs w:val="22"/>
              </w:rPr>
              <w:t>2000</w:t>
            </w:r>
          </w:p>
        </w:tc>
        <w:tc>
          <w:tcPr>
            <w:tcW w:w="642" w:type="pct"/>
            <w:noWrap/>
            <w:vAlign w:val="bottom"/>
          </w:tcPr>
          <w:p w:rsidR="00000000" w:rsidRDefault="00000000">
            <w:pPr>
              <w:jc w:val="center"/>
              <w:rPr>
                <w:sz w:val="22"/>
                <w:szCs w:val="22"/>
              </w:rPr>
            </w:pPr>
            <w:r>
              <w:rPr>
                <w:sz w:val="22"/>
                <w:szCs w:val="22"/>
              </w:rPr>
              <w:t>1.433.399</w:t>
            </w:r>
          </w:p>
        </w:tc>
        <w:tc>
          <w:tcPr>
            <w:tcW w:w="641" w:type="pct"/>
            <w:noWrap/>
            <w:vAlign w:val="bottom"/>
          </w:tcPr>
          <w:p w:rsidR="00000000" w:rsidRDefault="00000000">
            <w:pPr>
              <w:jc w:val="center"/>
              <w:rPr>
                <w:sz w:val="22"/>
                <w:szCs w:val="22"/>
              </w:rPr>
            </w:pPr>
            <w:r>
              <w:rPr>
                <w:sz w:val="22"/>
                <w:szCs w:val="22"/>
              </w:rPr>
              <w:t>1.506.545</w:t>
            </w:r>
          </w:p>
        </w:tc>
        <w:tc>
          <w:tcPr>
            <w:tcW w:w="833" w:type="pct"/>
            <w:noWrap/>
            <w:vAlign w:val="bottom"/>
          </w:tcPr>
          <w:p w:rsidR="00000000" w:rsidRDefault="00000000">
            <w:pPr>
              <w:jc w:val="center"/>
              <w:rPr>
                <w:sz w:val="22"/>
                <w:szCs w:val="22"/>
              </w:rPr>
            </w:pPr>
            <w:r>
              <w:rPr>
                <w:sz w:val="22"/>
                <w:szCs w:val="22"/>
              </w:rPr>
              <w:t>2.939.944</w:t>
            </w:r>
          </w:p>
        </w:tc>
        <w:tc>
          <w:tcPr>
            <w:tcW w:w="514" w:type="pct"/>
            <w:noWrap/>
            <w:vAlign w:val="bottom"/>
          </w:tcPr>
          <w:p w:rsidR="00000000" w:rsidRDefault="00000000">
            <w:pPr>
              <w:jc w:val="center"/>
              <w:rPr>
                <w:sz w:val="22"/>
                <w:szCs w:val="22"/>
              </w:rPr>
            </w:pPr>
            <w:r>
              <w:rPr>
                <w:sz w:val="22"/>
                <w:szCs w:val="22"/>
              </w:rPr>
              <w:t>2000</w:t>
            </w:r>
          </w:p>
        </w:tc>
        <w:tc>
          <w:tcPr>
            <w:tcW w:w="577" w:type="pct"/>
            <w:noWrap/>
            <w:vAlign w:val="bottom"/>
          </w:tcPr>
          <w:p w:rsidR="00000000" w:rsidRDefault="00000000">
            <w:pPr>
              <w:jc w:val="center"/>
              <w:rPr>
                <w:sz w:val="22"/>
                <w:szCs w:val="22"/>
              </w:rPr>
            </w:pPr>
            <w:r>
              <w:rPr>
                <w:sz w:val="22"/>
                <w:szCs w:val="22"/>
              </w:rPr>
              <w:t>1.272.125</w:t>
            </w:r>
          </w:p>
        </w:tc>
        <w:tc>
          <w:tcPr>
            <w:tcW w:w="577" w:type="pct"/>
            <w:noWrap/>
            <w:vAlign w:val="bottom"/>
          </w:tcPr>
          <w:p w:rsidR="00000000" w:rsidRDefault="00000000">
            <w:pPr>
              <w:jc w:val="center"/>
              <w:rPr>
                <w:sz w:val="22"/>
                <w:szCs w:val="22"/>
              </w:rPr>
            </w:pPr>
            <w:r>
              <w:rPr>
                <w:sz w:val="22"/>
                <w:szCs w:val="22"/>
              </w:rPr>
              <w:t>1.134.198</w:t>
            </w:r>
          </w:p>
        </w:tc>
        <w:tc>
          <w:tcPr>
            <w:tcW w:w="768" w:type="pct"/>
            <w:noWrap/>
            <w:vAlign w:val="bottom"/>
          </w:tcPr>
          <w:p w:rsidR="00000000" w:rsidRDefault="00000000">
            <w:pPr>
              <w:jc w:val="center"/>
              <w:rPr>
                <w:sz w:val="22"/>
                <w:szCs w:val="22"/>
              </w:rPr>
            </w:pPr>
            <w:r>
              <w:rPr>
                <w:sz w:val="22"/>
                <w:szCs w:val="22"/>
              </w:rPr>
              <w:t>2.406.323</w:t>
            </w:r>
          </w:p>
        </w:tc>
      </w:tr>
      <w:tr w:rsidR="00000000">
        <w:trPr>
          <w:trHeight w:val="20"/>
        </w:trPr>
        <w:tc>
          <w:tcPr>
            <w:tcW w:w="449" w:type="pct"/>
            <w:noWrap/>
            <w:vAlign w:val="bottom"/>
          </w:tcPr>
          <w:p w:rsidR="00000000" w:rsidRDefault="00000000">
            <w:pPr>
              <w:jc w:val="center"/>
              <w:rPr>
                <w:sz w:val="22"/>
                <w:szCs w:val="22"/>
              </w:rPr>
            </w:pPr>
            <w:r>
              <w:rPr>
                <w:sz w:val="22"/>
                <w:szCs w:val="22"/>
              </w:rPr>
              <w:t>2001</w:t>
            </w:r>
          </w:p>
        </w:tc>
        <w:tc>
          <w:tcPr>
            <w:tcW w:w="642" w:type="pct"/>
            <w:noWrap/>
            <w:vAlign w:val="bottom"/>
          </w:tcPr>
          <w:p w:rsidR="00000000" w:rsidRDefault="00000000">
            <w:pPr>
              <w:jc w:val="center"/>
              <w:rPr>
                <w:sz w:val="22"/>
                <w:szCs w:val="22"/>
              </w:rPr>
            </w:pPr>
            <w:r>
              <w:rPr>
                <w:sz w:val="22"/>
                <w:szCs w:val="22"/>
              </w:rPr>
              <w:t>1.473.081</w:t>
            </w:r>
          </w:p>
        </w:tc>
        <w:tc>
          <w:tcPr>
            <w:tcW w:w="641" w:type="pct"/>
            <w:noWrap/>
            <w:vAlign w:val="bottom"/>
          </w:tcPr>
          <w:p w:rsidR="00000000" w:rsidRDefault="00000000">
            <w:pPr>
              <w:jc w:val="center"/>
              <w:rPr>
                <w:sz w:val="22"/>
                <w:szCs w:val="22"/>
              </w:rPr>
            </w:pPr>
            <w:r>
              <w:rPr>
                <w:sz w:val="22"/>
                <w:szCs w:val="22"/>
              </w:rPr>
              <w:t>1.547.200</w:t>
            </w:r>
          </w:p>
        </w:tc>
        <w:tc>
          <w:tcPr>
            <w:tcW w:w="833" w:type="pct"/>
            <w:noWrap/>
            <w:vAlign w:val="bottom"/>
          </w:tcPr>
          <w:p w:rsidR="00000000" w:rsidRDefault="00000000">
            <w:pPr>
              <w:jc w:val="center"/>
              <w:rPr>
                <w:sz w:val="22"/>
                <w:szCs w:val="22"/>
              </w:rPr>
            </w:pPr>
            <w:r>
              <w:rPr>
                <w:sz w:val="22"/>
                <w:szCs w:val="22"/>
              </w:rPr>
              <w:t>3.020.281</w:t>
            </w:r>
          </w:p>
        </w:tc>
        <w:tc>
          <w:tcPr>
            <w:tcW w:w="514" w:type="pct"/>
            <w:noWrap/>
            <w:vAlign w:val="bottom"/>
          </w:tcPr>
          <w:p w:rsidR="00000000" w:rsidRDefault="00000000">
            <w:pPr>
              <w:jc w:val="center"/>
              <w:rPr>
                <w:sz w:val="22"/>
                <w:szCs w:val="22"/>
              </w:rPr>
            </w:pPr>
            <w:r>
              <w:rPr>
                <w:sz w:val="22"/>
                <w:szCs w:val="22"/>
              </w:rPr>
              <w:t>2001</w:t>
            </w:r>
          </w:p>
        </w:tc>
        <w:tc>
          <w:tcPr>
            <w:tcW w:w="577" w:type="pct"/>
            <w:noWrap/>
            <w:vAlign w:val="bottom"/>
          </w:tcPr>
          <w:p w:rsidR="00000000" w:rsidRDefault="00000000">
            <w:pPr>
              <w:jc w:val="center"/>
              <w:rPr>
                <w:sz w:val="22"/>
                <w:szCs w:val="22"/>
              </w:rPr>
            </w:pPr>
            <w:r>
              <w:rPr>
                <w:sz w:val="22"/>
                <w:szCs w:val="22"/>
              </w:rPr>
              <w:t>1.288.060</w:t>
            </w:r>
          </w:p>
        </w:tc>
        <w:tc>
          <w:tcPr>
            <w:tcW w:w="577" w:type="pct"/>
            <w:noWrap/>
            <w:vAlign w:val="bottom"/>
          </w:tcPr>
          <w:p w:rsidR="00000000" w:rsidRDefault="00000000">
            <w:pPr>
              <w:jc w:val="center"/>
              <w:rPr>
                <w:sz w:val="22"/>
                <w:szCs w:val="22"/>
              </w:rPr>
            </w:pPr>
            <w:r>
              <w:rPr>
                <w:sz w:val="22"/>
                <w:szCs w:val="22"/>
              </w:rPr>
              <w:t>1.148.077</w:t>
            </w:r>
          </w:p>
        </w:tc>
        <w:tc>
          <w:tcPr>
            <w:tcW w:w="768" w:type="pct"/>
            <w:noWrap/>
            <w:vAlign w:val="bottom"/>
          </w:tcPr>
          <w:p w:rsidR="00000000" w:rsidRDefault="00000000">
            <w:pPr>
              <w:jc w:val="center"/>
              <w:rPr>
                <w:sz w:val="22"/>
                <w:szCs w:val="22"/>
              </w:rPr>
            </w:pPr>
            <w:r>
              <w:rPr>
                <w:sz w:val="22"/>
                <w:szCs w:val="22"/>
              </w:rPr>
              <w:t>2.436.137</w:t>
            </w:r>
          </w:p>
        </w:tc>
      </w:tr>
      <w:tr w:rsidR="00000000">
        <w:trPr>
          <w:trHeight w:val="20"/>
        </w:trPr>
        <w:tc>
          <w:tcPr>
            <w:tcW w:w="449" w:type="pct"/>
            <w:noWrap/>
            <w:vAlign w:val="bottom"/>
          </w:tcPr>
          <w:p w:rsidR="00000000" w:rsidRDefault="00000000">
            <w:pPr>
              <w:jc w:val="center"/>
              <w:rPr>
                <w:sz w:val="22"/>
                <w:szCs w:val="22"/>
              </w:rPr>
            </w:pPr>
            <w:r>
              <w:rPr>
                <w:sz w:val="22"/>
                <w:szCs w:val="22"/>
              </w:rPr>
              <w:t>2002</w:t>
            </w:r>
          </w:p>
        </w:tc>
        <w:tc>
          <w:tcPr>
            <w:tcW w:w="642" w:type="pct"/>
            <w:noWrap/>
            <w:vAlign w:val="bottom"/>
          </w:tcPr>
          <w:p w:rsidR="00000000" w:rsidRDefault="00000000">
            <w:pPr>
              <w:jc w:val="center"/>
              <w:rPr>
                <w:sz w:val="22"/>
                <w:szCs w:val="22"/>
              </w:rPr>
            </w:pPr>
            <w:r>
              <w:rPr>
                <w:sz w:val="22"/>
                <w:szCs w:val="22"/>
              </w:rPr>
              <w:t>1.513.168</w:t>
            </w:r>
          </w:p>
        </w:tc>
        <w:tc>
          <w:tcPr>
            <w:tcW w:w="641" w:type="pct"/>
            <w:noWrap/>
            <w:vAlign w:val="bottom"/>
          </w:tcPr>
          <w:p w:rsidR="00000000" w:rsidRDefault="00000000">
            <w:pPr>
              <w:jc w:val="center"/>
              <w:rPr>
                <w:sz w:val="22"/>
                <w:szCs w:val="22"/>
              </w:rPr>
            </w:pPr>
            <w:r>
              <w:rPr>
                <w:sz w:val="22"/>
                <w:szCs w:val="22"/>
              </w:rPr>
              <w:t>1.588.244</w:t>
            </w:r>
          </w:p>
        </w:tc>
        <w:tc>
          <w:tcPr>
            <w:tcW w:w="833" w:type="pct"/>
            <w:noWrap/>
            <w:vAlign w:val="bottom"/>
          </w:tcPr>
          <w:p w:rsidR="00000000" w:rsidRDefault="00000000">
            <w:pPr>
              <w:jc w:val="center"/>
              <w:rPr>
                <w:sz w:val="22"/>
                <w:szCs w:val="22"/>
              </w:rPr>
            </w:pPr>
            <w:r>
              <w:rPr>
                <w:sz w:val="22"/>
                <w:szCs w:val="22"/>
              </w:rPr>
              <w:t>3.101.412</w:t>
            </w:r>
          </w:p>
        </w:tc>
        <w:tc>
          <w:tcPr>
            <w:tcW w:w="514" w:type="pct"/>
            <w:noWrap/>
            <w:vAlign w:val="bottom"/>
          </w:tcPr>
          <w:p w:rsidR="00000000" w:rsidRDefault="00000000">
            <w:pPr>
              <w:jc w:val="center"/>
              <w:rPr>
                <w:sz w:val="22"/>
                <w:szCs w:val="22"/>
              </w:rPr>
            </w:pPr>
            <w:r>
              <w:rPr>
                <w:sz w:val="22"/>
                <w:szCs w:val="22"/>
              </w:rPr>
              <w:t>2002</w:t>
            </w:r>
          </w:p>
        </w:tc>
        <w:tc>
          <w:tcPr>
            <w:tcW w:w="577" w:type="pct"/>
            <w:noWrap/>
            <w:vAlign w:val="bottom"/>
          </w:tcPr>
          <w:p w:rsidR="00000000" w:rsidRDefault="00000000">
            <w:pPr>
              <w:jc w:val="center"/>
              <w:rPr>
                <w:sz w:val="22"/>
                <w:szCs w:val="22"/>
              </w:rPr>
            </w:pPr>
            <w:r>
              <w:rPr>
                <w:sz w:val="22"/>
                <w:szCs w:val="22"/>
              </w:rPr>
              <w:t>1.303.520</w:t>
            </w:r>
          </w:p>
        </w:tc>
        <w:tc>
          <w:tcPr>
            <w:tcW w:w="577" w:type="pct"/>
            <w:noWrap/>
            <w:vAlign w:val="bottom"/>
          </w:tcPr>
          <w:p w:rsidR="00000000" w:rsidRDefault="00000000">
            <w:pPr>
              <w:jc w:val="center"/>
              <w:rPr>
                <w:sz w:val="22"/>
                <w:szCs w:val="22"/>
              </w:rPr>
            </w:pPr>
            <w:r>
              <w:rPr>
                <w:sz w:val="22"/>
                <w:szCs w:val="22"/>
              </w:rPr>
              <w:t>1.161.920</w:t>
            </w:r>
          </w:p>
        </w:tc>
        <w:tc>
          <w:tcPr>
            <w:tcW w:w="768" w:type="pct"/>
            <w:noWrap/>
            <w:vAlign w:val="bottom"/>
          </w:tcPr>
          <w:p w:rsidR="00000000" w:rsidRDefault="00000000">
            <w:pPr>
              <w:jc w:val="center"/>
              <w:rPr>
                <w:sz w:val="22"/>
                <w:szCs w:val="22"/>
              </w:rPr>
            </w:pPr>
            <w:r>
              <w:rPr>
                <w:sz w:val="22"/>
                <w:szCs w:val="22"/>
              </w:rPr>
              <w:t>2.465.439</w:t>
            </w:r>
          </w:p>
        </w:tc>
      </w:tr>
      <w:tr w:rsidR="00000000">
        <w:trPr>
          <w:trHeight w:val="20"/>
        </w:trPr>
        <w:tc>
          <w:tcPr>
            <w:tcW w:w="449" w:type="pct"/>
            <w:noWrap/>
            <w:vAlign w:val="bottom"/>
          </w:tcPr>
          <w:p w:rsidR="00000000" w:rsidRDefault="00000000">
            <w:pPr>
              <w:jc w:val="center"/>
              <w:rPr>
                <w:sz w:val="22"/>
                <w:szCs w:val="22"/>
              </w:rPr>
            </w:pPr>
            <w:r>
              <w:rPr>
                <w:sz w:val="22"/>
                <w:szCs w:val="22"/>
              </w:rPr>
              <w:t>2003</w:t>
            </w:r>
          </w:p>
        </w:tc>
        <w:tc>
          <w:tcPr>
            <w:tcW w:w="642" w:type="pct"/>
            <w:noWrap/>
            <w:vAlign w:val="bottom"/>
          </w:tcPr>
          <w:p w:rsidR="00000000" w:rsidRDefault="00000000">
            <w:pPr>
              <w:jc w:val="center"/>
              <w:rPr>
                <w:sz w:val="22"/>
                <w:szCs w:val="22"/>
              </w:rPr>
            </w:pPr>
            <w:r>
              <w:rPr>
                <w:sz w:val="22"/>
                <w:szCs w:val="22"/>
              </w:rPr>
              <w:t>1.553.561</w:t>
            </w:r>
          </w:p>
        </w:tc>
        <w:tc>
          <w:tcPr>
            <w:tcW w:w="641" w:type="pct"/>
            <w:noWrap/>
            <w:vAlign w:val="bottom"/>
          </w:tcPr>
          <w:p w:rsidR="00000000" w:rsidRDefault="00000000">
            <w:pPr>
              <w:jc w:val="center"/>
              <w:rPr>
                <w:sz w:val="22"/>
                <w:szCs w:val="22"/>
              </w:rPr>
            </w:pPr>
            <w:r>
              <w:rPr>
                <w:sz w:val="22"/>
                <w:szCs w:val="22"/>
              </w:rPr>
              <w:t>1.629.599</w:t>
            </w:r>
          </w:p>
        </w:tc>
        <w:tc>
          <w:tcPr>
            <w:tcW w:w="833" w:type="pct"/>
            <w:noWrap/>
            <w:vAlign w:val="bottom"/>
          </w:tcPr>
          <w:p w:rsidR="00000000" w:rsidRDefault="00000000">
            <w:pPr>
              <w:jc w:val="center"/>
              <w:rPr>
                <w:sz w:val="22"/>
                <w:szCs w:val="22"/>
              </w:rPr>
            </w:pPr>
            <w:r>
              <w:rPr>
                <w:sz w:val="22"/>
                <w:szCs w:val="22"/>
              </w:rPr>
              <w:t>3.183.160</w:t>
            </w:r>
          </w:p>
        </w:tc>
        <w:tc>
          <w:tcPr>
            <w:tcW w:w="514" w:type="pct"/>
            <w:noWrap/>
            <w:vAlign w:val="bottom"/>
          </w:tcPr>
          <w:p w:rsidR="00000000" w:rsidRDefault="00000000">
            <w:pPr>
              <w:jc w:val="center"/>
              <w:rPr>
                <w:sz w:val="22"/>
                <w:szCs w:val="22"/>
              </w:rPr>
            </w:pPr>
            <w:r>
              <w:rPr>
                <w:sz w:val="22"/>
                <w:szCs w:val="22"/>
              </w:rPr>
              <w:t>2003</w:t>
            </w:r>
          </w:p>
        </w:tc>
        <w:tc>
          <w:tcPr>
            <w:tcW w:w="577" w:type="pct"/>
            <w:noWrap/>
            <w:vAlign w:val="bottom"/>
          </w:tcPr>
          <w:p w:rsidR="00000000" w:rsidRDefault="00000000">
            <w:pPr>
              <w:jc w:val="center"/>
              <w:rPr>
                <w:sz w:val="22"/>
                <w:szCs w:val="22"/>
              </w:rPr>
            </w:pPr>
            <w:r>
              <w:rPr>
                <w:sz w:val="22"/>
                <w:szCs w:val="22"/>
              </w:rPr>
              <w:t>1.318.625</w:t>
            </w:r>
          </w:p>
        </w:tc>
        <w:tc>
          <w:tcPr>
            <w:tcW w:w="577" w:type="pct"/>
            <w:noWrap/>
            <w:vAlign w:val="bottom"/>
          </w:tcPr>
          <w:p w:rsidR="00000000" w:rsidRDefault="00000000">
            <w:pPr>
              <w:jc w:val="center"/>
              <w:rPr>
                <w:sz w:val="22"/>
                <w:szCs w:val="22"/>
              </w:rPr>
            </w:pPr>
            <w:r>
              <w:rPr>
                <w:sz w:val="22"/>
                <w:szCs w:val="22"/>
              </w:rPr>
              <w:t>1.175.663</w:t>
            </w:r>
          </w:p>
        </w:tc>
        <w:tc>
          <w:tcPr>
            <w:tcW w:w="768" w:type="pct"/>
            <w:noWrap/>
            <w:vAlign w:val="bottom"/>
          </w:tcPr>
          <w:p w:rsidR="00000000" w:rsidRDefault="00000000">
            <w:pPr>
              <w:jc w:val="center"/>
              <w:rPr>
                <w:sz w:val="22"/>
                <w:szCs w:val="22"/>
              </w:rPr>
            </w:pPr>
            <w:r>
              <w:rPr>
                <w:sz w:val="22"/>
                <w:szCs w:val="22"/>
              </w:rPr>
              <w:t>2.494.288</w:t>
            </w:r>
          </w:p>
        </w:tc>
      </w:tr>
      <w:tr w:rsidR="00000000">
        <w:trPr>
          <w:trHeight w:val="20"/>
        </w:trPr>
        <w:tc>
          <w:tcPr>
            <w:tcW w:w="449" w:type="pct"/>
            <w:noWrap/>
            <w:vAlign w:val="bottom"/>
          </w:tcPr>
          <w:p w:rsidR="00000000" w:rsidRDefault="00000000">
            <w:pPr>
              <w:jc w:val="center"/>
              <w:rPr>
                <w:sz w:val="22"/>
                <w:szCs w:val="22"/>
              </w:rPr>
            </w:pPr>
            <w:r>
              <w:rPr>
                <w:sz w:val="22"/>
                <w:szCs w:val="22"/>
              </w:rPr>
              <w:t>2004</w:t>
            </w:r>
          </w:p>
        </w:tc>
        <w:tc>
          <w:tcPr>
            <w:tcW w:w="642" w:type="pct"/>
            <w:noWrap/>
            <w:vAlign w:val="bottom"/>
          </w:tcPr>
          <w:p w:rsidR="00000000" w:rsidRDefault="00000000">
            <w:pPr>
              <w:jc w:val="center"/>
              <w:rPr>
                <w:sz w:val="22"/>
                <w:szCs w:val="22"/>
              </w:rPr>
            </w:pPr>
            <w:r>
              <w:rPr>
                <w:sz w:val="22"/>
                <w:szCs w:val="22"/>
              </w:rPr>
              <w:t>1.594.161</w:t>
            </w:r>
          </w:p>
        </w:tc>
        <w:tc>
          <w:tcPr>
            <w:tcW w:w="641" w:type="pct"/>
            <w:noWrap/>
            <w:vAlign w:val="bottom"/>
          </w:tcPr>
          <w:p w:rsidR="00000000" w:rsidRDefault="00000000">
            <w:pPr>
              <w:jc w:val="center"/>
              <w:rPr>
                <w:sz w:val="22"/>
                <w:szCs w:val="22"/>
              </w:rPr>
            </w:pPr>
            <w:r>
              <w:rPr>
                <w:sz w:val="22"/>
                <w:szCs w:val="22"/>
              </w:rPr>
              <w:t>1.671.185</w:t>
            </w:r>
          </w:p>
        </w:tc>
        <w:tc>
          <w:tcPr>
            <w:tcW w:w="833" w:type="pct"/>
            <w:noWrap/>
            <w:vAlign w:val="bottom"/>
          </w:tcPr>
          <w:p w:rsidR="00000000" w:rsidRDefault="00000000">
            <w:pPr>
              <w:jc w:val="center"/>
              <w:rPr>
                <w:sz w:val="22"/>
                <w:szCs w:val="22"/>
              </w:rPr>
            </w:pPr>
            <w:r>
              <w:rPr>
                <w:sz w:val="22"/>
                <w:szCs w:val="22"/>
              </w:rPr>
              <w:t>3.265.346</w:t>
            </w:r>
          </w:p>
        </w:tc>
        <w:tc>
          <w:tcPr>
            <w:tcW w:w="514" w:type="pct"/>
            <w:noWrap/>
            <w:vAlign w:val="bottom"/>
          </w:tcPr>
          <w:p w:rsidR="00000000" w:rsidRDefault="00000000">
            <w:pPr>
              <w:jc w:val="center"/>
              <w:rPr>
                <w:sz w:val="22"/>
                <w:szCs w:val="22"/>
              </w:rPr>
            </w:pPr>
            <w:r>
              <w:rPr>
                <w:sz w:val="22"/>
                <w:szCs w:val="22"/>
              </w:rPr>
              <w:t>2004</w:t>
            </w:r>
          </w:p>
        </w:tc>
        <w:tc>
          <w:tcPr>
            <w:tcW w:w="577" w:type="pct"/>
            <w:noWrap/>
            <w:vAlign w:val="bottom"/>
          </w:tcPr>
          <w:p w:rsidR="00000000" w:rsidRDefault="00000000">
            <w:pPr>
              <w:jc w:val="center"/>
              <w:rPr>
                <w:sz w:val="22"/>
                <w:szCs w:val="22"/>
              </w:rPr>
            </w:pPr>
            <w:r>
              <w:rPr>
                <w:sz w:val="22"/>
                <w:szCs w:val="22"/>
              </w:rPr>
              <w:t>1.333.497</w:t>
            </w:r>
          </w:p>
        </w:tc>
        <w:tc>
          <w:tcPr>
            <w:tcW w:w="577" w:type="pct"/>
            <w:noWrap/>
            <w:vAlign w:val="bottom"/>
          </w:tcPr>
          <w:p w:rsidR="00000000" w:rsidRDefault="00000000">
            <w:pPr>
              <w:jc w:val="center"/>
              <w:rPr>
                <w:sz w:val="22"/>
                <w:szCs w:val="22"/>
              </w:rPr>
            </w:pPr>
            <w:r>
              <w:rPr>
                <w:sz w:val="22"/>
                <w:szCs w:val="22"/>
              </w:rPr>
              <w:t>1.189.245</w:t>
            </w:r>
          </w:p>
        </w:tc>
        <w:tc>
          <w:tcPr>
            <w:tcW w:w="768" w:type="pct"/>
            <w:noWrap/>
            <w:vAlign w:val="bottom"/>
          </w:tcPr>
          <w:p w:rsidR="00000000" w:rsidRDefault="00000000">
            <w:pPr>
              <w:jc w:val="center"/>
              <w:rPr>
                <w:sz w:val="22"/>
                <w:szCs w:val="22"/>
              </w:rPr>
            </w:pPr>
            <w:r>
              <w:rPr>
                <w:sz w:val="22"/>
                <w:szCs w:val="22"/>
              </w:rPr>
              <w:t>2.522.742</w:t>
            </w:r>
          </w:p>
        </w:tc>
      </w:tr>
      <w:tr w:rsidR="00000000">
        <w:trPr>
          <w:trHeight w:val="20"/>
        </w:trPr>
        <w:tc>
          <w:tcPr>
            <w:tcW w:w="449" w:type="pct"/>
            <w:noWrap/>
            <w:vAlign w:val="bottom"/>
          </w:tcPr>
          <w:p w:rsidR="00000000" w:rsidRDefault="00000000">
            <w:pPr>
              <w:jc w:val="center"/>
              <w:rPr>
                <w:sz w:val="22"/>
                <w:szCs w:val="22"/>
              </w:rPr>
            </w:pPr>
            <w:r>
              <w:rPr>
                <w:sz w:val="22"/>
                <w:szCs w:val="22"/>
              </w:rPr>
              <w:t>2005</w:t>
            </w:r>
          </w:p>
        </w:tc>
        <w:tc>
          <w:tcPr>
            <w:tcW w:w="642" w:type="pct"/>
            <w:noWrap/>
            <w:vAlign w:val="bottom"/>
          </w:tcPr>
          <w:p w:rsidR="00000000" w:rsidRDefault="00000000">
            <w:pPr>
              <w:jc w:val="center"/>
              <w:rPr>
                <w:sz w:val="22"/>
                <w:szCs w:val="22"/>
              </w:rPr>
            </w:pPr>
            <w:r>
              <w:rPr>
                <w:sz w:val="22"/>
                <w:szCs w:val="22"/>
              </w:rPr>
              <w:t>1.634.869</w:t>
            </w:r>
          </w:p>
        </w:tc>
        <w:tc>
          <w:tcPr>
            <w:tcW w:w="641" w:type="pct"/>
            <w:noWrap/>
            <w:vAlign w:val="bottom"/>
          </w:tcPr>
          <w:p w:rsidR="00000000" w:rsidRDefault="00000000">
            <w:pPr>
              <w:jc w:val="center"/>
              <w:rPr>
                <w:sz w:val="22"/>
                <w:szCs w:val="22"/>
              </w:rPr>
            </w:pPr>
            <w:r>
              <w:rPr>
                <w:sz w:val="22"/>
                <w:szCs w:val="22"/>
              </w:rPr>
              <w:t>1.712.924</w:t>
            </w:r>
          </w:p>
        </w:tc>
        <w:tc>
          <w:tcPr>
            <w:tcW w:w="833" w:type="pct"/>
            <w:noWrap/>
            <w:vAlign w:val="bottom"/>
          </w:tcPr>
          <w:p w:rsidR="00000000" w:rsidRDefault="00000000">
            <w:pPr>
              <w:jc w:val="center"/>
              <w:rPr>
                <w:sz w:val="22"/>
                <w:szCs w:val="22"/>
              </w:rPr>
            </w:pPr>
            <w:r>
              <w:rPr>
                <w:sz w:val="22"/>
                <w:szCs w:val="22"/>
              </w:rPr>
              <w:t>3.347.793</w:t>
            </w:r>
          </w:p>
        </w:tc>
        <w:tc>
          <w:tcPr>
            <w:tcW w:w="514" w:type="pct"/>
            <w:noWrap/>
            <w:vAlign w:val="bottom"/>
          </w:tcPr>
          <w:p w:rsidR="00000000" w:rsidRDefault="00000000">
            <w:pPr>
              <w:jc w:val="center"/>
              <w:rPr>
                <w:sz w:val="22"/>
                <w:szCs w:val="22"/>
              </w:rPr>
            </w:pPr>
            <w:r>
              <w:rPr>
                <w:sz w:val="22"/>
                <w:szCs w:val="22"/>
              </w:rPr>
              <w:t>2005</w:t>
            </w:r>
          </w:p>
        </w:tc>
        <w:tc>
          <w:tcPr>
            <w:tcW w:w="577" w:type="pct"/>
            <w:noWrap/>
            <w:vAlign w:val="bottom"/>
          </w:tcPr>
          <w:p w:rsidR="00000000" w:rsidRDefault="00000000">
            <w:pPr>
              <w:jc w:val="center"/>
              <w:rPr>
                <w:sz w:val="22"/>
                <w:szCs w:val="22"/>
              </w:rPr>
            </w:pPr>
            <w:r>
              <w:rPr>
                <w:sz w:val="22"/>
                <w:szCs w:val="22"/>
              </w:rPr>
              <w:t>1.348.254</w:t>
            </w:r>
          </w:p>
        </w:tc>
        <w:tc>
          <w:tcPr>
            <w:tcW w:w="577" w:type="pct"/>
            <w:noWrap/>
            <w:vAlign w:val="bottom"/>
          </w:tcPr>
          <w:p w:rsidR="00000000" w:rsidRDefault="00000000">
            <w:pPr>
              <w:jc w:val="center"/>
              <w:rPr>
                <w:sz w:val="22"/>
                <w:szCs w:val="22"/>
              </w:rPr>
            </w:pPr>
            <w:r>
              <w:rPr>
                <w:sz w:val="22"/>
                <w:szCs w:val="22"/>
              </w:rPr>
              <w:t>1.202.604</w:t>
            </w:r>
          </w:p>
        </w:tc>
        <w:tc>
          <w:tcPr>
            <w:tcW w:w="768" w:type="pct"/>
            <w:noWrap/>
            <w:vAlign w:val="bottom"/>
          </w:tcPr>
          <w:p w:rsidR="00000000" w:rsidRDefault="00000000">
            <w:pPr>
              <w:jc w:val="center"/>
              <w:rPr>
                <w:sz w:val="22"/>
                <w:szCs w:val="22"/>
              </w:rPr>
            </w:pPr>
            <w:r>
              <w:rPr>
                <w:sz w:val="22"/>
                <w:szCs w:val="22"/>
              </w:rPr>
              <w:t>2.550.858</w:t>
            </w:r>
          </w:p>
        </w:tc>
      </w:tr>
    </w:tbl>
    <w:p w:rsidR="00000000" w:rsidRDefault="00000000">
      <w:pPr>
        <w:spacing w:before="200"/>
        <w:rPr>
          <w:sz w:val="22"/>
          <w:szCs w:val="18"/>
        </w:rPr>
      </w:pPr>
      <w:r>
        <w:rPr>
          <w:i/>
          <w:iCs/>
          <w:sz w:val="22"/>
          <w:szCs w:val="18"/>
        </w:rPr>
        <w:t>Fuente</w:t>
      </w:r>
      <w:r>
        <w:rPr>
          <w:sz w:val="22"/>
          <w:szCs w:val="18"/>
        </w:rPr>
        <w:t>:  DGEEC.  Paraguay:  Proyección de la población por sexo y grupos de edad, según áreas urbana y rural 2000-2030.</w:t>
      </w:r>
    </w:p>
    <w:p w:rsidR="00000000" w:rsidRDefault="00000000">
      <w:pPr>
        <w:spacing w:before="200" w:after="240"/>
        <w:rPr>
          <w:sz w:val="22"/>
        </w:rPr>
      </w:pPr>
      <w:r>
        <w:rPr>
          <w:b/>
          <w:bCs/>
          <w:sz w:val="22"/>
          <w:szCs w:val="20"/>
          <w:vertAlign w:val="superscript"/>
        </w:rPr>
        <w:t>1</w:t>
      </w:r>
      <w:r>
        <w:rPr>
          <w:sz w:val="22"/>
          <w:szCs w:val="20"/>
        </w:rPr>
        <w:t xml:space="preserve"> Corresponde a las proyecciones de la población considerando la omisión censal.</w:t>
      </w:r>
    </w:p>
    <w:p w:rsidR="00000000" w:rsidRDefault="00000000">
      <w:pPr>
        <w:spacing w:after="240"/>
        <w:rPr>
          <w:b/>
        </w:rPr>
      </w:pPr>
      <w:r>
        <w:rPr>
          <w:b/>
          <w:color w:val="000000"/>
        </w:rPr>
        <w:t>7.</w:t>
      </w:r>
      <w:r>
        <w:rPr>
          <w:b/>
          <w:color w:val="000000"/>
        </w:rPr>
        <w:tab/>
      </w:r>
      <w:r>
        <w:rPr>
          <w:b/>
        </w:rPr>
        <w:t>Mujeres jefas de hogares</w:t>
      </w:r>
    </w:p>
    <w:p w:rsidR="00000000" w:rsidRDefault="00000000">
      <w:pPr>
        <w:autoSpaceDE w:val="0"/>
        <w:autoSpaceDN w:val="0"/>
        <w:adjustRightInd w:val="0"/>
        <w:spacing w:after="240"/>
      </w:pPr>
      <w:r>
        <w:t>33.</w:t>
      </w:r>
      <w:r>
        <w:tab/>
        <w:t>El sostenido crecimiento de hogares con mujeres como jefas de hogar es significativo, de 20% en 1992 a 25,9% en el 2002.  Según la encuesta de hogares de 2004, uno de cada cuatro hogares paraguayos está encabezado por mujeres.  Esta evolución resulta aún más significativa al considerar que la cantidad de jefas de hogar casi se triplicó en los últimos 20 años.  En 2002, 29,6% de los hogares urbanos y 20,7% de los rurales estaban presididos por mujeres.  Un segmento importante de estos hogares presenta características de pobreza y extrema pobreza.</w:t>
      </w:r>
    </w:p>
    <w:p w:rsidR="00000000" w:rsidRDefault="00000000">
      <w:pPr>
        <w:autoSpaceDE w:val="0"/>
        <w:autoSpaceDN w:val="0"/>
        <w:adjustRightInd w:val="0"/>
        <w:spacing w:after="240"/>
        <w:jc w:val="center"/>
      </w:pPr>
      <w:r>
        <w:rPr>
          <w:b/>
          <w:bCs/>
          <w:szCs w:val="20"/>
        </w:rPr>
        <w:t>Paraguay:  Mujeres jefas de hogares, 1992 y 2002</w:t>
      </w:r>
    </w:p>
    <w:tbl>
      <w:tblPr>
        <w:tblW w:w="5838" w:type="dxa"/>
        <w:jc w:val="center"/>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30"/>
        <w:gridCol w:w="2312"/>
        <w:gridCol w:w="1596"/>
      </w:tblGrid>
      <w:tr w:rsidR="00000000">
        <w:trPr>
          <w:trHeight w:val="20"/>
          <w:jc w:val="center"/>
        </w:trPr>
        <w:tc>
          <w:tcPr>
            <w:tcW w:w="1930" w:type="dxa"/>
            <w:noWrap/>
            <w:vAlign w:val="bottom"/>
          </w:tcPr>
          <w:p w:rsidR="00000000" w:rsidRDefault="00000000">
            <w:pPr>
              <w:jc w:val="center"/>
              <w:rPr>
                <w:b/>
                <w:bCs/>
                <w:szCs w:val="20"/>
              </w:rPr>
            </w:pPr>
            <w:r>
              <w:rPr>
                <w:b/>
                <w:bCs/>
                <w:szCs w:val="20"/>
              </w:rPr>
              <w:t>Censos</w:t>
            </w:r>
          </w:p>
        </w:tc>
        <w:tc>
          <w:tcPr>
            <w:tcW w:w="2312" w:type="dxa"/>
            <w:noWrap/>
            <w:vAlign w:val="bottom"/>
          </w:tcPr>
          <w:p w:rsidR="00000000" w:rsidRDefault="00000000">
            <w:pPr>
              <w:jc w:val="center"/>
              <w:rPr>
                <w:b/>
                <w:bCs/>
                <w:szCs w:val="20"/>
              </w:rPr>
            </w:pPr>
            <w:r>
              <w:rPr>
                <w:b/>
                <w:bCs/>
                <w:szCs w:val="20"/>
              </w:rPr>
              <w:t>Cantidad</w:t>
            </w:r>
          </w:p>
        </w:tc>
        <w:tc>
          <w:tcPr>
            <w:tcW w:w="1596" w:type="dxa"/>
            <w:noWrap/>
            <w:vAlign w:val="bottom"/>
          </w:tcPr>
          <w:p w:rsidR="00000000" w:rsidRDefault="00000000">
            <w:pPr>
              <w:jc w:val="center"/>
              <w:rPr>
                <w:b/>
                <w:bCs/>
                <w:szCs w:val="20"/>
              </w:rPr>
            </w:pPr>
            <w:r>
              <w:rPr>
                <w:b/>
                <w:bCs/>
                <w:szCs w:val="20"/>
              </w:rPr>
              <w:t>Porcentaje</w:t>
            </w:r>
          </w:p>
        </w:tc>
      </w:tr>
      <w:tr w:rsidR="00000000">
        <w:trPr>
          <w:trHeight w:val="20"/>
          <w:jc w:val="center"/>
        </w:trPr>
        <w:tc>
          <w:tcPr>
            <w:tcW w:w="1930" w:type="dxa"/>
            <w:noWrap/>
            <w:vAlign w:val="bottom"/>
          </w:tcPr>
          <w:p w:rsidR="00000000" w:rsidRDefault="00000000">
            <w:pPr>
              <w:jc w:val="center"/>
              <w:rPr>
                <w:szCs w:val="20"/>
              </w:rPr>
            </w:pPr>
            <w:r>
              <w:rPr>
                <w:szCs w:val="20"/>
              </w:rPr>
              <w:t>1992</w:t>
            </w:r>
          </w:p>
        </w:tc>
        <w:tc>
          <w:tcPr>
            <w:tcW w:w="2312" w:type="dxa"/>
            <w:noWrap/>
            <w:vAlign w:val="bottom"/>
          </w:tcPr>
          <w:p w:rsidR="00000000" w:rsidRDefault="00000000">
            <w:pPr>
              <w:jc w:val="center"/>
              <w:rPr>
                <w:szCs w:val="20"/>
              </w:rPr>
            </w:pPr>
            <w:r>
              <w:rPr>
                <w:szCs w:val="20"/>
              </w:rPr>
              <w:t>180.047</w:t>
            </w:r>
          </w:p>
        </w:tc>
        <w:tc>
          <w:tcPr>
            <w:tcW w:w="1596" w:type="dxa"/>
            <w:noWrap/>
            <w:vAlign w:val="bottom"/>
          </w:tcPr>
          <w:p w:rsidR="00000000" w:rsidRDefault="00000000">
            <w:pPr>
              <w:jc w:val="center"/>
              <w:rPr>
                <w:szCs w:val="20"/>
              </w:rPr>
            </w:pPr>
            <w:r>
              <w:rPr>
                <w:szCs w:val="20"/>
              </w:rPr>
              <w:t>20,8</w:t>
            </w:r>
          </w:p>
        </w:tc>
      </w:tr>
      <w:tr w:rsidR="00000000">
        <w:trPr>
          <w:trHeight w:val="20"/>
          <w:jc w:val="center"/>
        </w:trPr>
        <w:tc>
          <w:tcPr>
            <w:tcW w:w="1930" w:type="dxa"/>
            <w:noWrap/>
            <w:vAlign w:val="bottom"/>
          </w:tcPr>
          <w:p w:rsidR="00000000" w:rsidRDefault="00000000">
            <w:pPr>
              <w:jc w:val="center"/>
              <w:rPr>
                <w:szCs w:val="20"/>
              </w:rPr>
            </w:pPr>
            <w:r>
              <w:rPr>
                <w:szCs w:val="20"/>
              </w:rPr>
              <w:t>2002</w:t>
            </w:r>
          </w:p>
        </w:tc>
        <w:tc>
          <w:tcPr>
            <w:tcW w:w="2312" w:type="dxa"/>
            <w:noWrap/>
            <w:vAlign w:val="bottom"/>
          </w:tcPr>
          <w:p w:rsidR="00000000" w:rsidRDefault="00000000">
            <w:pPr>
              <w:jc w:val="center"/>
              <w:rPr>
                <w:szCs w:val="20"/>
              </w:rPr>
            </w:pPr>
            <w:r>
              <w:rPr>
                <w:szCs w:val="20"/>
              </w:rPr>
              <w:t>287.040</w:t>
            </w:r>
          </w:p>
        </w:tc>
        <w:tc>
          <w:tcPr>
            <w:tcW w:w="1596" w:type="dxa"/>
            <w:noWrap/>
            <w:vAlign w:val="bottom"/>
          </w:tcPr>
          <w:p w:rsidR="00000000" w:rsidRDefault="00000000">
            <w:pPr>
              <w:jc w:val="center"/>
              <w:rPr>
                <w:szCs w:val="20"/>
              </w:rPr>
            </w:pPr>
            <w:r>
              <w:rPr>
                <w:szCs w:val="20"/>
              </w:rPr>
              <w:t>25,9</w:t>
            </w:r>
          </w:p>
        </w:tc>
      </w:tr>
      <w:tr w:rsidR="00000000">
        <w:trPr>
          <w:trHeight w:val="20"/>
          <w:jc w:val="center"/>
        </w:trPr>
        <w:tc>
          <w:tcPr>
            <w:tcW w:w="1930" w:type="dxa"/>
            <w:noWrap/>
            <w:vAlign w:val="bottom"/>
          </w:tcPr>
          <w:p w:rsidR="00000000" w:rsidRDefault="00000000">
            <w:pPr>
              <w:jc w:val="center"/>
              <w:rPr>
                <w:szCs w:val="20"/>
              </w:rPr>
            </w:pPr>
            <w:r>
              <w:rPr>
                <w:szCs w:val="20"/>
              </w:rPr>
              <w:t>2005</w:t>
            </w:r>
          </w:p>
        </w:tc>
        <w:tc>
          <w:tcPr>
            <w:tcW w:w="2312" w:type="dxa"/>
            <w:noWrap/>
            <w:vAlign w:val="bottom"/>
          </w:tcPr>
          <w:p w:rsidR="00000000" w:rsidRDefault="00000000">
            <w:pPr>
              <w:jc w:val="center"/>
              <w:rPr>
                <w:szCs w:val="20"/>
              </w:rPr>
            </w:pPr>
            <w:r>
              <w:rPr>
                <w:szCs w:val="20"/>
              </w:rPr>
              <w:t>371.566</w:t>
            </w:r>
          </w:p>
        </w:tc>
        <w:tc>
          <w:tcPr>
            <w:tcW w:w="1596" w:type="dxa"/>
            <w:noWrap/>
            <w:vAlign w:val="bottom"/>
          </w:tcPr>
          <w:p w:rsidR="00000000" w:rsidRDefault="00000000">
            <w:pPr>
              <w:jc w:val="center"/>
              <w:rPr>
                <w:szCs w:val="20"/>
              </w:rPr>
            </w:pPr>
            <w:r>
              <w:rPr>
                <w:szCs w:val="20"/>
              </w:rPr>
              <w:t>27,7</w:t>
            </w:r>
          </w:p>
        </w:tc>
      </w:tr>
    </w:tbl>
    <w:p w:rsidR="00000000" w:rsidRDefault="00000000">
      <w:pPr>
        <w:spacing w:before="200" w:after="400"/>
        <w:ind w:left="1701" w:right="1712"/>
        <w:rPr>
          <w:color w:val="000000"/>
        </w:rPr>
      </w:pPr>
      <w:r>
        <w:rPr>
          <w:i/>
          <w:iCs/>
          <w:szCs w:val="16"/>
        </w:rPr>
        <w:t>Fuente</w:t>
      </w:r>
      <w:r>
        <w:rPr>
          <w:szCs w:val="16"/>
        </w:rPr>
        <w:t>:  DGEEC.  Censos Nacionales de Población y Viviendas, 1992, 2002 y 2005.</w:t>
      </w:r>
    </w:p>
    <w:p w:rsidR="00000000" w:rsidRDefault="00000000">
      <w:pPr>
        <w:spacing w:after="200"/>
        <w:jc w:val="center"/>
        <w:rPr>
          <w:b/>
          <w:bCs/>
          <w:color w:val="000000"/>
        </w:rPr>
      </w:pPr>
      <w:r>
        <w:rPr>
          <w:b/>
          <w:bCs/>
          <w:color w:val="000000"/>
        </w:rPr>
        <w:t>E.  Indicadores socioeconómicos</w:t>
      </w:r>
    </w:p>
    <w:p w:rsidR="00000000" w:rsidRDefault="00000000">
      <w:pPr>
        <w:autoSpaceDE w:val="0"/>
        <w:autoSpaceDN w:val="0"/>
        <w:adjustRightInd w:val="0"/>
        <w:spacing w:after="200"/>
        <w:rPr>
          <w:color w:val="000000"/>
        </w:rPr>
      </w:pPr>
      <w:r>
        <w:rPr>
          <w:color w:val="000000"/>
        </w:rPr>
        <w:t>34.</w:t>
      </w:r>
      <w:r>
        <w:rPr>
          <w:color w:val="000000"/>
        </w:rPr>
        <w:tab/>
        <w:t xml:space="preserve">En esta </w:t>
      </w:r>
      <w:r>
        <w:t xml:space="preserve">sección </w:t>
      </w:r>
      <w:r>
        <w:rPr>
          <w:color w:val="000000"/>
        </w:rPr>
        <w:t>se procederá a agrupar la información disponible en torno a los siguientes rubros.</w:t>
      </w:r>
    </w:p>
    <w:p w:rsidR="00000000" w:rsidRDefault="00000000">
      <w:pPr>
        <w:spacing w:after="200"/>
        <w:rPr>
          <w:b/>
          <w:color w:val="000000"/>
        </w:rPr>
      </w:pPr>
      <w:r>
        <w:rPr>
          <w:b/>
          <w:color w:val="000000"/>
        </w:rPr>
        <w:t>1.</w:t>
      </w:r>
      <w:r>
        <w:rPr>
          <w:b/>
          <w:color w:val="000000"/>
        </w:rPr>
        <w:tab/>
        <w:t xml:space="preserve">Ingreso nacional per cápita </w:t>
      </w:r>
    </w:p>
    <w:p w:rsidR="00000000" w:rsidRDefault="00000000">
      <w:pPr>
        <w:autoSpaceDE w:val="0"/>
        <w:autoSpaceDN w:val="0"/>
        <w:adjustRightInd w:val="0"/>
        <w:spacing w:after="200"/>
      </w:pPr>
      <w:r>
        <w:rPr>
          <w:color w:val="000000"/>
        </w:rPr>
        <w:t>35.</w:t>
      </w:r>
      <w:r>
        <w:rPr>
          <w:color w:val="000000"/>
        </w:rPr>
        <w:tab/>
        <w:t xml:space="preserve">El ingreso </w:t>
      </w:r>
      <w:r>
        <w:t>n</w:t>
      </w:r>
      <w:r>
        <w:rPr>
          <w:color w:val="000000"/>
        </w:rPr>
        <w:t xml:space="preserve">acional per cápita, </w:t>
      </w:r>
      <w:r>
        <w:t>según</w:t>
      </w:r>
      <w:r>
        <w:rPr>
          <w:color w:val="000000"/>
        </w:rPr>
        <w:t xml:space="preserve"> datos proporcionados por el Banco Central del Paraguay es el </w:t>
      </w:r>
      <w:r>
        <w:t>siguiente.</w:t>
      </w:r>
    </w:p>
    <w:p w:rsidR="00000000" w:rsidRDefault="00000000">
      <w:pPr>
        <w:autoSpaceDE w:val="0"/>
        <w:autoSpaceDN w:val="0"/>
        <w:adjustRightInd w:val="0"/>
        <w:spacing w:after="200"/>
        <w:jc w:val="center"/>
        <w:rPr>
          <w:b/>
          <w:bCs/>
          <w:color w:val="000000"/>
        </w:rPr>
      </w:pPr>
      <w:r>
        <w:rPr>
          <w:b/>
          <w:bCs/>
        </w:rPr>
        <w:t>Evolución del ingreso per cápita</w:t>
      </w:r>
    </w:p>
    <w:tbl>
      <w:tblPr>
        <w:tblW w:w="0" w:type="auto"/>
        <w:jc w:val="center"/>
        <w:tblLayout w:type="fixed"/>
        <w:tblCellMar>
          <w:left w:w="70" w:type="dxa"/>
          <w:right w:w="70" w:type="dxa"/>
        </w:tblCellMar>
        <w:tblLook w:val="0000" w:firstRow="0" w:lastRow="0" w:firstColumn="0" w:lastColumn="0" w:noHBand="0" w:noVBand="0"/>
      </w:tblPr>
      <w:tblGrid>
        <w:gridCol w:w="1735"/>
        <w:gridCol w:w="2115"/>
        <w:gridCol w:w="2239"/>
      </w:tblGrid>
      <w:tr w:rsidR="00000000">
        <w:tblPrEx>
          <w:tblCellMar>
            <w:top w:w="0" w:type="dxa"/>
            <w:bottom w:w="0" w:type="dxa"/>
          </w:tblCellMar>
        </w:tblPrEx>
        <w:trPr>
          <w:trHeight w:val="20"/>
          <w:jc w:val="center"/>
        </w:trPr>
        <w:tc>
          <w:tcPr>
            <w:tcW w:w="6089" w:type="dxa"/>
            <w:gridSpan w:val="3"/>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b/>
                <w:bCs/>
                <w:color w:val="000000"/>
                <w:szCs w:val="20"/>
              </w:rPr>
            </w:pPr>
            <w:r>
              <w:rPr>
                <w:b/>
                <w:bCs/>
                <w:color w:val="000000"/>
                <w:szCs w:val="20"/>
              </w:rPr>
              <w:t>Producto interno bruto per cápita</w:t>
            </w:r>
          </w:p>
        </w:tc>
      </w:tr>
      <w:tr w:rsidR="00000000">
        <w:tblPrEx>
          <w:tblCellMar>
            <w:top w:w="0" w:type="dxa"/>
            <w:bottom w:w="0" w:type="dxa"/>
          </w:tblCellMar>
        </w:tblPrEx>
        <w:trPr>
          <w:trHeight w:val="20"/>
          <w:jc w:val="center"/>
        </w:trPr>
        <w:tc>
          <w:tcPr>
            <w:tcW w:w="173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line="228" w:lineRule="auto"/>
              <w:jc w:val="center"/>
              <w:rPr>
                <w:b/>
                <w:bCs/>
                <w:color w:val="000000"/>
                <w:szCs w:val="20"/>
              </w:rPr>
            </w:pPr>
            <w:r>
              <w:rPr>
                <w:b/>
                <w:bCs/>
                <w:color w:val="000000"/>
                <w:szCs w:val="20"/>
              </w:rPr>
              <w:t>Año</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line="228" w:lineRule="auto"/>
              <w:rPr>
                <w:b/>
                <w:bCs/>
                <w:color w:val="000000"/>
                <w:szCs w:val="20"/>
              </w:rPr>
            </w:pPr>
            <w:r>
              <w:rPr>
                <w:b/>
                <w:bCs/>
                <w:color w:val="000000"/>
                <w:szCs w:val="20"/>
              </w:rPr>
              <w:t>Dólares corrientes</w:t>
            </w:r>
          </w:p>
        </w:tc>
        <w:tc>
          <w:tcPr>
            <w:tcW w:w="2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line="228" w:lineRule="auto"/>
              <w:rPr>
                <w:b/>
                <w:bCs/>
                <w:color w:val="000000"/>
                <w:szCs w:val="20"/>
              </w:rPr>
            </w:pPr>
            <w:r>
              <w:rPr>
                <w:b/>
                <w:bCs/>
                <w:color w:val="000000"/>
                <w:szCs w:val="20"/>
              </w:rPr>
              <w:t>Dólares constantes</w:t>
            </w:r>
            <w:r>
              <w:rPr>
                <w:b/>
                <w:bCs/>
                <w:color w:val="000000"/>
                <w:szCs w:val="20"/>
                <w:vertAlign w:val="superscript"/>
              </w:rPr>
              <w:t>*</w:t>
            </w:r>
          </w:p>
        </w:tc>
      </w:tr>
      <w:tr w:rsidR="00000000">
        <w:tblPrEx>
          <w:tblCellMar>
            <w:top w:w="0" w:type="dxa"/>
            <w:bottom w:w="0" w:type="dxa"/>
          </w:tblCellMar>
        </w:tblPrEx>
        <w:trPr>
          <w:trHeight w:val="20"/>
          <w:jc w:val="center"/>
        </w:trPr>
        <w:tc>
          <w:tcPr>
            <w:tcW w:w="1735"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1994</w:t>
            </w:r>
          </w:p>
        </w:tc>
        <w:tc>
          <w:tcPr>
            <w:tcW w:w="2115" w:type="dxa"/>
            <w:tcBorders>
              <w:top w:val="single" w:sz="6" w:space="0" w:color="auto"/>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1.481</w:t>
            </w:r>
          </w:p>
        </w:tc>
        <w:tc>
          <w:tcPr>
            <w:tcW w:w="2239"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1.481</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1995</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1.672</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1.526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1996</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1.785</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1.498</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1997</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1.767</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1.509</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1998</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1.543</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1.485</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1999</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1.394</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1.433</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2000</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1.328</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1.356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2001</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1.182</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1.356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2002</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915</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1.329</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2003</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978</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1.353</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2004</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1.205</w:t>
            </w:r>
          </w:p>
        </w:tc>
        <w:tc>
          <w:tcPr>
            <w:tcW w:w="2239"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1.382</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6" w:space="0" w:color="auto"/>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2005</w:t>
            </w:r>
          </w:p>
        </w:tc>
        <w:tc>
          <w:tcPr>
            <w:tcW w:w="2115" w:type="dxa"/>
            <w:tcBorders>
              <w:top w:val="single" w:sz="2" w:space="0" w:color="000000"/>
              <w:left w:val="single" w:sz="6" w:space="0" w:color="auto"/>
              <w:bottom w:val="single" w:sz="6" w:space="0" w:color="auto"/>
              <w:right w:val="single" w:sz="6" w:space="0" w:color="auto"/>
            </w:tcBorders>
          </w:tcPr>
          <w:p w:rsidR="00000000" w:rsidRDefault="00000000">
            <w:pPr>
              <w:tabs>
                <w:tab w:val="decimal" w:pos="1362"/>
              </w:tabs>
              <w:autoSpaceDE w:val="0"/>
              <w:autoSpaceDN w:val="0"/>
              <w:adjustRightInd w:val="0"/>
              <w:spacing w:line="228" w:lineRule="auto"/>
              <w:rPr>
                <w:color w:val="000000"/>
                <w:szCs w:val="20"/>
              </w:rPr>
            </w:pPr>
            <w:r>
              <w:rPr>
                <w:color w:val="000000"/>
                <w:szCs w:val="20"/>
              </w:rPr>
              <w:t>1.301</w:t>
            </w:r>
          </w:p>
        </w:tc>
        <w:tc>
          <w:tcPr>
            <w:tcW w:w="2239" w:type="dxa"/>
            <w:tcBorders>
              <w:top w:val="single" w:sz="2" w:space="0" w:color="000000"/>
              <w:left w:val="single" w:sz="6" w:space="0" w:color="auto"/>
              <w:bottom w:val="single" w:sz="6" w:space="0" w:color="auto"/>
              <w:right w:val="single" w:sz="6" w:space="0" w:color="auto"/>
            </w:tcBorders>
          </w:tcPr>
          <w:p w:rsidR="00000000" w:rsidRDefault="00000000">
            <w:pPr>
              <w:autoSpaceDE w:val="0"/>
              <w:autoSpaceDN w:val="0"/>
              <w:adjustRightInd w:val="0"/>
              <w:spacing w:line="228" w:lineRule="auto"/>
              <w:jc w:val="center"/>
              <w:rPr>
                <w:color w:val="000000"/>
                <w:szCs w:val="20"/>
              </w:rPr>
            </w:pPr>
            <w:r>
              <w:rPr>
                <w:color w:val="000000"/>
                <w:szCs w:val="20"/>
              </w:rPr>
              <w:t>1.393</w:t>
            </w:r>
          </w:p>
        </w:tc>
      </w:tr>
    </w:tbl>
    <w:p w:rsidR="00000000" w:rsidRDefault="00000000">
      <w:pPr>
        <w:spacing w:before="200" w:after="100"/>
        <w:ind w:left="1638" w:firstLine="1"/>
        <w:rPr>
          <w:color w:val="000000"/>
          <w:szCs w:val="16"/>
        </w:rPr>
      </w:pPr>
      <w:r>
        <w:rPr>
          <w:i/>
          <w:iCs/>
          <w:color w:val="000000"/>
          <w:szCs w:val="16"/>
        </w:rPr>
        <w:t>Fuente:</w:t>
      </w:r>
      <w:r>
        <w:rPr>
          <w:b/>
          <w:bCs/>
          <w:i/>
          <w:iCs/>
          <w:color w:val="000000"/>
          <w:szCs w:val="16"/>
        </w:rPr>
        <w:t xml:space="preserve">  </w:t>
      </w:r>
      <w:r>
        <w:rPr>
          <w:color w:val="000000"/>
          <w:szCs w:val="16"/>
        </w:rPr>
        <w:t xml:space="preserve">Departamento de Cuentas Nacionales y Mercado </w:t>
      </w:r>
      <w:r>
        <w:rPr>
          <w:color w:val="000000"/>
          <w:szCs w:val="16"/>
        </w:rPr>
        <w:br/>
        <w:t>Interno, Banco Central del Paraguay.</w:t>
      </w:r>
    </w:p>
    <w:p w:rsidR="00000000" w:rsidRDefault="00000000">
      <w:pPr>
        <w:spacing w:after="240"/>
        <w:ind w:left="1701" w:hanging="62"/>
        <w:rPr>
          <w:bCs/>
          <w:color w:val="000000"/>
        </w:rPr>
      </w:pPr>
      <w:r>
        <w:rPr>
          <w:b/>
          <w:color w:val="000000"/>
          <w:vertAlign w:val="superscript"/>
        </w:rPr>
        <w:t>*</w:t>
      </w:r>
      <w:r>
        <w:rPr>
          <w:bCs/>
          <w:color w:val="000000"/>
        </w:rPr>
        <w:t xml:space="preserve"> Constantes de 1994.</w:t>
      </w:r>
    </w:p>
    <w:p w:rsidR="00000000" w:rsidRDefault="00000000">
      <w:pPr>
        <w:spacing w:after="240"/>
        <w:rPr>
          <w:b/>
          <w:color w:val="000000"/>
        </w:rPr>
      </w:pPr>
      <w:r>
        <w:rPr>
          <w:b/>
          <w:color w:val="000000"/>
        </w:rPr>
        <w:t>2.</w:t>
      </w:r>
      <w:r>
        <w:rPr>
          <w:b/>
          <w:color w:val="000000"/>
        </w:rPr>
        <w:tab/>
        <w:t>Producto nacional bruto</w:t>
      </w:r>
    </w:p>
    <w:p w:rsidR="00000000" w:rsidRDefault="00000000">
      <w:pPr>
        <w:autoSpaceDE w:val="0"/>
        <w:autoSpaceDN w:val="0"/>
        <w:adjustRightInd w:val="0"/>
        <w:spacing w:after="240"/>
      </w:pPr>
      <w:r>
        <w:rPr>
          <w:color w:val="000000"/>
        </w:rPr>
        <w:t>36.</w:t>
      </w:r>
      <w:r>
        <w:rPr>
          <w:color w:val="000000"/>
        </w:rPr>
        <w:tab/>
        <w:t>El producto nacional b</w:t>
      </w:r>
      <w:r>
        <w:t xml:space="preserve">ruto a precios de mercado, en guaraníes constantes de 1994, ha experimentado una variación de 2,7% en el año 2005 con relación al año 2004, cuyo porcentaje de variación fue de 4,0%.  </w:t>
      </w:r>
    </w:p>
    <w:p w:rsidR="00000000" w:rsidRDefault="00000000">
      <w:pPr>
        <w:autoSpaceDE w:val="0"/>
        <w:autoSpaceDN w:val="0"/>
        <w:adjustRightInd w:val="0"/>
        <w:spacing w:after="240"/>
        <w:rPr>
          <w:color w:val="000000"/>
        </w:rPr>
      </w:pPr>
      <w:r>
        <w:t>37.</w:t>
      </w:r>
      <w:r>
        <w:tab/>
        <w:t>La actividad económica interna ha sido afectada en 2005, entre otros por factores climáticos que redujeron el rendimiento</w:t>
      </w:r>
      <w:r>
        <w:rPr>
          <w:color w:val="000000"/>
        </w:rPr>
        <w:t xml:space="preserve"> de los </w:t>
      </w:r>
      <w:r>
        <w:t>cultivos</w:t>
      </w:r>
      <w:r>
        <w:rPr>
          <w:color w:val="000000"/>
        </w:rPr>
        <w:t xml:space="preserve"> en general y la declinación de los precios internacionales de productos de exportación.  </w:t>
      </w:r>
    </w:p>
    <w:p w:rsidR="00000000" w:rsidRDefault="00000000">
      <w:pPr>
        <w:spacing w:after="240"/>
        <w:rPr>
          <w:b/>
          <w:color w:val="000000"/>
        </w:rPr>
      </w:pPr>
      <w:r>
        <w:rPr>
          <w:b/>
          <w:color w:val="000000"/>
        </w:rPr>
        <w:t>3.</w:t>
      </w:r>
      <w:r>
        <w:rPr>
          <w:b/>
          <w:color w:val="000000"/>
        </w:rPr>
        <w:tab/>
        <w:t xml:space="preserve">Porcentaje de inflación </w:t>
      </w:r>
    </w:p>
    <w:p w:rsidR="00000000" w:rsidRDefault="00000000">
      <w:pPr>
        <w:autoSpaceDE w:val="0"/>
        <w:autoSpaceDN w:val="0"/>
        <w:adjustRightInd w:val="0"/>
        <w:spacing w:after="240"/>
        <w:rPr>
          <w:color w:val="000000"/>
        </w:rPr>
      </w:pPr>
      <w:r>
        <w:rPr>
          <w:color w:val="000000"/>
        </w:rPr>
        <w:t>38.</w:t>
      </w:r>
      <w:r>
        <w:rPr>
          <w:color w:val="000000"/>
        </w:rPr>
        <w:tab/>
        <w:t xml:space="preserve">Según </w:t>
      </w:r>
      <w:r>
        <w:t>cálculos</w:t>
      </w:r>
      <w:r>
        <w:rPr>
          <w:color w:val="000000"/>
        </w:rPr>
        <w:t xml:space="preserve"> del Banco Central del Paraguay, el porcentaje de inflación estimado es el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39"/>
        <w:gridCol w:w="686"/>
        <w:gridCol w:w="686"/>
        <w:gridCol w:w="686"/>
        <w:gridCol w:w="685"/>
        <w:gridCol w:w="686"/>
        <w:gridCol w:w="686"/>
        <w:gridCol w:w="685"/>
        <w:gridCol w:w="686"/>
        <w:gridCol w:w="686"/>
        <w:gridCol w:w="685"/>
        <w:gridCol w:w="686"/>
        <w:gridCol w:w="686"/>
      </w:tblGrid>
      <w:tr w:rsidR="00000000">
        <w:tblPrEx>
          <w:tblCellMar>
            <w:top w:w="0" w:type="dxa"/>
            <w:bottom w:w="0" w:type="dxa"/>
          </w:tblCellMar>
        </w:tblPrEx>
        <w:trPr>
          <w:jc w:val="center"/>
        </w:trPr>
        <w:tc>
          <w:tcPr>
            <w:tcW w:w="1243" w:type="dxa"/>
          </w:tcPr>
          <w:p w:rsidR="00000000" w:rsidRDefault="00000000">
            <w:pPr>
              <w:rPr>
                <w:b/>
                <w:bCs/>
                <w:sz w:val="22"/>
              </w:rPr>
            </w:pPr>
          </w:p>
        </w:tc>
        <w:tc>
          <w:tcPr>
            <w:tcW w:w="687" w:type="dxa"/>
          </w:tcPr>
          <w:p w:rsidR="00000000" w:rsidRDefault="00000000">
            <w:pPr>
              <w:jc w:val="center"/>
              <w:rPr>
                <w:b/>
                <w:bCs/>
                <w:sz w:val="22"/>
              </w:rPr>
            </w:pPr>
            <w:r>
              <w:rPr>
                <w:b/>
                <w:bCs/>
                <w:sz w:val="22"/>
              </w:rPr>
              <w:t>1994</w:t>
            </w:r>
          </w:p>
        </w:tc>
        <w:tc>
          <w:tcPr>
            <w:tcW w:w="688" w:type="dxa"/>
          </w:tcPr>
          <w:p w:rsidR="00000000" w:rsidRDefault="00000000">
            <w:pPr>
              <w:jc w:val="center"/>
              <w:rPr>
                <w:b/>
                <w:bCs/>
                <w:sz w:val="22"/>
              </w:rPr>
            </w:pPr>
            <w:r>
              <w:rPr>
                <w:b/>
                <w:bCs/>
                <w:sz w:val="22"/>
              </w:rPr>
              <w:t>1995</w:t>
            </w:r>
          </w:p>
        </w:tc>
        <w:tc>
          <w:tcPr>
            <w:tcW w:w="688" w:type="dxa"/>
          </w:tcPr>
          <w:p w:rsidR="00000000" w:rsidRDefault="00000000">
            <w:pPr>
              <w:jc w:val="center"/>
              <w:rPr>
                <w:b/>
                <w:bCs/>
                <w:sz w:val="22"/>
              </w:rPr>
            </w:pPr>
            <w:r>
              <w:rPr>
                <w:b/>
                <w:bCs/>
                <w:sz w:val="22"/>
              </w:rPr>
              <w:t>1996</w:t>
            </w:r>
          </w:p>
        </w:tc>
        <w:tc>
          <w:tcPr>
            <w:tcW w:w="687" w:type="dxa"/>
          </w:tcPr>
          <w:p w:rsidR="00000000" w:rsidRDefault="00000000">
            <w:pPr>
              <w:jc w:val="center"/>
              <w:rPr>
                <w:b/>
                <w:bCs/>
                <w:sz w:val="22"/>
              </w:rPr>
            </w:pPr>
            <w:r>
              <w:rPr>
                <w:b/>
                <w:bCs/>
                <w:sz w:val="22"/>
              </w:rPr>
              <w:t>1997</w:t>
            </w:r>
          </w:p>
        </w:tc>
        <w:tc>
          <w:tcPr>
            <w:tcW w:w="688" w:type="dxa"/>
          </w:tcPr>
          <w:p w:rsidR="00000000" w:rsidRDefault="00000000">
            <w:pPr>
              <w:jc w:val="center"/>
              <w:rPr>
                <w:b/>
                <w:bCs/>
                <w:sz w:val="22"/>
              </w:rPr>
            </w:pPr>
            <w:r>
              <w:rPr>
                <w:b/>
                <w:bCs/>
                <w:sz w:val="22"/>
              </w:rPr>
              <w:t>1998</w:t>
            </w:r>
          </w:p>
        </w:tc>
        <w:tc>
          <w:tcPr>
            <w:tcW w:w="688" w:type="dxa"/>
          </w:tcPr>
          <w:p w:rsidR="00000000" w:rsidRDefault="00000000">
            <w:pPr>
              <w:jc w:val="center"/>
              <w:rPr>
                <w:b/>
                <w:bCs/>
                <w:sz w:val="22"/>
              </w:rPr>
            </w:pPr>
            <w:r>
              <w:rPr>
                <w:b/>
                <w:bCs/>
                <w:sz w:val="22"/>
              </w:rPr>
              <w:t>1999</w:t>
            </w:r>
          </w:p>
        </w:tc>
        <w:tc>
          <w:tcPr>
            <w:tcW w:w="687" w:type="dxa"/>
          </w:tcPr>
          <w:p w:rsidR="00000000" w:rsidRDefault="00000000">
            <w:pPr>
              <w:jc w:val="center"/>
              <w:rPr>
                <w:b/>
                <w:bCs/>
                <w:sz w:val="22"/>
              </w:rPr>
            </w:pPr>
            <w:r>
              <w:rPr>
                <w:b/>
                <w:bCs/>
                <w:sz w:val="22"/>
              </w:rPr>
              <w:t>2000</w:t>
            </w:r>
          </w:p>
        </w:tc>
        <w:tc>
          <w:tcPr>
            <w:tcW w:w="688" w:type="dxa"/>
          </w:tcPr>
          <w:p w:rsidR="00000000" w:rsidRDefault="00000000">
            <w:pPr>
              <w:jc w:val="center"/>
              <w:rPr>
                <w:b/>
                <w:bCs/>
                <w:sz w:val="22"/>
              </w:rPr>
            </w:pPr>
            <w:r>
              <w:rPr>
                <w:b/>
                <w:bCs/>
                <w:sz w:val="22"/>
              </w:rPr>
              <w:t>2001</w:t>
            </w:r>
          </w:p>
        </w:tc>
        <w:tc>
          <w:tcPr>
            <w:tcW w:w="688" w:type="dxa"/>
          </w:tcPr>
          <w:p w:rsidR="00000000" w:rsidRDefault="00000000">
            <w:pPr>
              <w:jc w:val="center"/>
              <w:rPr>
                <w:b/>
                <w:bCs/>
                <w:sz w:val="22"/>
              </w:rPr>
            </w:pPr>
            <w:r>
              <w:rPr>
                <w:b/>
                <w:bCs/>
                <w:sz w:val="22"/>
              </w:rPr>
              <w:t>2002</w:t>
            </w:r>
          </w:p>
        </w:tc>
        <w:tc>
          <w:tcPr>
            <w:tcW w:w="687" w:type="dxa"/>
          </w:tcPr>
          <w:p w:rsidR="00000000" w:rsidRDefault="00000000">
            <w:pPr>
              <w:jc w:val="center"/>
              <w:rPr>
                <w:b/>
                <w:bCs/>
                <w:sz w:val="22"/>
              </w:rPr>
            </w:pPr>
            <w:r>
              <w:rPr>
                <w:b/>
                <w:bCs/>
                <w:sz w:val="22"/>
              </w:rPr>
              <w:t>2003</w:t>
            </w:r>
          </w:p>
        </w:tc>
        <w:tc>
          <w:tcPr>
            <w:tcW w:w="688" w:type="dxa"/>
          </w:tcPr>
          <w:p w:rsidR="00000000" w:rsidRDefault="00000000">
            <w:pPr>
              <w:jc w:val="center"/>
              <w:rPr>
                <w:b/>
                <w:bCs/>
                <w:sz w:val="22"/>
              </w:rPr>
            </w:pPr>
            <w:r>
              <w:rPr>
                <w:b/>
                <w:bCs/>
                <w:sz w:val="22"/>
              </w:rPr>
              <w:t>2004</w:t>
            </w:r>
          </w:p>
        </w:tc>
        <w:tc>
          <w:tcPr>
            <w:tcW w:w="688" w:type="dxa"/>
          </w:tcPr>
          <w:p w:rsidR="00000000" w:rsidRDefault="00000000">
            <w:pPr>
              <w:jc w:val="center"/>
              <w:rPr>
                <w:b/>
                <w:bCs/>
                <w:sz w:val="22"/>
              </w:rPr>
            </w:pPr>
            <w:r>
              <w:rPr>
                <w:b/>
                <w:bCs/>
                <w:sz w:val="22"/>
              </w:rPr>
              <w:t>2005</w:t>
            </w:r>
          </w:p>
        </w:tc>
      </w:tr>
      <w:tr w:rsidR="00000000">
        <w:tblPrEx>
          <w:tblCellMar>
            <w:top w:w="0" w:type="dxa"/>
            <w:bottom w:w="0" w:type="dxa"/>
          </w:tblCellMar>
        </w:tblPrEx>
        <w:trPr>
          <w:jc w:val="center"/>
        </w:trPr>
        <w:tc>
          <w:tcPr>
            <w:tcW w:w="1243" w:type="dxa"/>
          </w:tcPr>
          <w:p w:rsidR="00000000" w:rsidRDefault="00000000">
            <w:pPr>
              <w:rPr>
                <w:sz w:val="22"/>
              </w:rPr>
            </w:pPr>
            <w:r>
              <w:rPr>
                <w:sz w:val="22"/>
              </w:rPr>
              <w:t>Inflación</w:t>
            </w:r>
          </w:p>
        </w:tc>
        <w:tc>
          <w:tcPr>
            <w:tcW w:w="687" w:type="dxa"/>
          </w:tcPr>
          <w:p w:rsidR="00000000" w:rsidRDefault="00000000">
            <w:pPr>
              <w:jc w:val="center"/>
              <w:rPr>
                <w:sz w:val="22"/>
              </w:rPr>
            </w:pPr>
            <w:r>
              <w:rPr>
                <w:sz w:val="22"/>
              </w:rPr>
              <w:t>18,3</w:t>
            </w:r>
          </w:p>
        </w:tc>
        <w:tc>
          <w:tcPr>
            <w:tcW w:w="688" w:type="dxa"/>
          </w:tcPr>
          <w:p w:rsidR="00000000" w:rsidRDefault="00000000">
            <w:pPr>
              <w:jc w:val="center"/>
              <w:rPr>
                <w:sz w:val="22"/>
              </w:rPr>
            </w:pPr>
            <w:r>
              <w:rPr>
                <w:sz w:val="22"/>
              </w:rPr>
              <w:t>10,5</w:t>
            </w:r>
          </w:p>
        </w:tc>
        <w:tc>
          <w:tcPr>
            <w:tcW w:w="688" w:type="dxa"/>
          </w:tcPr>
          <w:p w:rsidR="00000000" w:rsidRDefault="00000000">
            <w:pPr>
              <w:jc w:val="center"/>
              <w:rPr>
                <w:sz w:val="22"/>
              </w:rPr>
            </w:pPr>
            <w:r>
              <w:rPr>
                <w:sz w:val="22"/>
              </w:rPr>
              <w:t>8,2</w:t>
            </w:r>
          </w:p>
        </w:tc>
        <w:tc>
          <w:tcPr>
            <w:tcW w:w="687" w:type="dxa"/>
          </w:tcPr>
          <w:p w:rsidR="00000000" w:rsidRDefault="00000000">
            <w:pPr>
              <w:jc w:val="center"/>
              <w:rPr>
                <w:sz w:val="22"/>
              </w:rPr>
            </w:pPr>
            <w:r>
              <w:rPr>
                <w:sz w:val="22"/>
              </w:rPr>
              <w:t>6,2</w:t>
            </w:r>
          </w:p>
        </w:tc>
        <w:tc>
          <w:tcPr>
            <w:tcW w:w="688" w:type="dxa"/>
          </w:tcPr>
          <w:p w:rsidR="00000000" w:rsidRDefault="00000000">
            <w:pPr>
              <w:jc w:val="center"/>
              <w:rPr>
                <w:sz w:val="22"/>
              </w:rPr>
            </w:pPr>
            <w:r>
              <w:rPr>
                <w:sz w:val="22"/>
              </w:rPr>
              <w:t>14,6</w:t>
            </w:r>
          </w:p>
        </w:tc>
        <w:tc>
          <w:tcPr>
            <w:tcW w:w="688" w:type="dxa"/>
          </w:tcPr>
          <w:p w:rsidR="00000000" w:rsidRDefault="00000000">
            <w:pPr>
              <w:jc w:val="center"/>
              <w:rPr>
                <w:sz w:val="22"/>
              </w:rPr>
            </w:pPr>
            <w:r>
              <w:rPr>
                <w:sz w:val="22"/>
              </w:rPr>
              <w:t>5,4</w:t>
            </w:r>
          </w:p>
        </w:tc>
        <w:tc>
          <w:tcPr>
            <w:tcW w:w="687" w:type="dxa"/>
          </w:tcPr>
          <w:p w:rsidR="00000000" w:rsidRDefault="00000000">
            <w:pPr>
              <w:jc w:val="center"/>
              <w:rPr>
                <w:sz w:val="22"/>
              </w:rPr>
            </w:pPr>
            <w:r>
              <w:rPr>
                <w:sz w:val="22"/>
              </w:rPr>
              <w:t>8,6</w:t>
            </w:r>
          </w:p>
        </w:tc>
        <w:tc>
          <w:tcPr>
            <w:tcW w:w="688" w:type="dxa"/>
          </w:tcPr>
          <w:p w:rsidR="00000000" w:rsidRDefault="00000000">
            <w:pPr>
              <w:jc w:val="center"/>
              <w:rPr>
                <w:sz w:val="22"/>
              </w:rPr>
            </w:pPr>
            <w:r>
              <w:rPr>
                <w:sz w:val="22"/>
              </w:rPr>
              <w:t>8,4</w:t>
            </w:r>
          </w:p>
        </w:tc>
        <w:tc>
          <w:tcPr>
            <w:tcW w:w="688" w:type="dxa"/>
          </w:tcPr>
          <w:p w:rsidR="00000000" w:rsidRDefault="00000000">
            <w:pPr>
              <w:jc w:val="center"/>
              <w:rPr>
                <w:sz w:val="22"/>
              </w:rPr>
            </w:pPr>
            <w:r>
              <w:rPr>
                <w:sz w:val="22"/>
              </w:rPr>
              <w:t>14,6</w:t>
            </w:r>
          </w:p>
        </w:tc>
        <w:tc>
          <w:tcPr>
            <w:tcW w:w="687" w:type="dxa"/>
          </w:tcPr>
          <w:p w:rsidR="00000000" w:rsidRDefault="00000000">
            <w:pPr>
              <w:jc w:val="center"/>
              <w:rPr>
                <w:sz w:val="22"/>
              </w:rPr>
            </w:pPr>
            <w:r>
              <w:rPr>
                <w:sz w:val="22"/>
              </w:rPr>
              <w:t>9,3</w:t>
            </w:r>
          </w:p>
        </w:tc>
        <w:tc>
          <w:tcPr>
            <w:tcW w:w="688" w:type="dxa"/>
          </w:tcPr>
          <w:p w:rsidR="00000000" w:rsidRDefault="00000000">
            <w:pPr>
              <w:jc w:val="center"/>
              <w:rPr>
                <w:sz w:val="22"/>
              </w:rPr>
            </w:pPr>
            <w:r>
              <w:rPr>
                <w:sz w:val="22"/>
              </w:rPr>
              <w:t>2,8</w:t>
            </w:r>
          </w:p>
        </w:tc>
        <w:tc>
          <w:tcPr>
            <w:tcW w:w="688" w:type="dxa"/>
          </w:tcPr>
          <w:p w:rsidR="00000000" w:rsidRDefault="00000000">
            <w:pPr>
              <w:jc w:val="center"/>
              <w:rPr>
                <w:sz w:val="22"/>
              </w:rPr>
            </w:pPr>
            <w:r>
              <w:rPr>
                <w:sz w:val="22"/>
              </w:rPr>
              <w:t>9,9</w:t>
            </w:r>
          </w:p>
        </w:tc>
      </w:tr>
    </w:tbl>
    <w:p w:rsidR="00000000" w:rsidRDefault="00000000">
      <w:pPr>
        <w:spacing w:before="480" w:after="240"/>
        <w:rPr>
          <w:b/>
          <w:color w:val="000000"/>
        </w:rPr>
      </w:pPr>
      <w:r>
        <w:rPr>
          <w:b/>
          <w:color w:val="000000"/>
        </w:rPr>
        <w:t>4.</w:t>
      </w:r>
      <w:r>
        <w:rPr>
          <w:b/>
          <w:color w:val="000000"/>
        </w:rPr>
        <w:tab/>
        <w:t xml:space="preserve">Población económicamente activa por sectores económicos (PEA) </w:t>
      </w:r>
    </w:p>
    <w:p w:rsidR="00000000" w:rsidRDefault="00000000">
      <w:pPr>
        <w:spacing w:after="240"/>
      </w:pPr>
      <w:r>
        <w:rPr>
          <w:color w:val="000000"/>
        </w:rPr>
        <w:t>39.</w:t>
      </w:r>
      <w:r>
        <w:rPr>
          <w:color w:val="000000"/>
        </w:rPr>
        <w:tab/>
        <w:t xml:space="preserve">Según los </w:t>
      </w:r>
      <w:r>
        <w:t>datos</w:t>
      </w:r>
      <w:r>
        <w:rPr>
          <w:color w:val="000000"/>
        </w:rPr>
        <w:t xml:space="preserve"> </w:t>
      </w:r>
      <w:r>
        <w:t>arrojados</w:t>
      </w:r>
      <w:r>
        <w:rPr>
          <w:color w:val="000000"/>
        </w:rPr>
        <w:t xml:space="preserve"> por el Censo 2002 a continuación se pueden apreciar los siguientes </w:t>
      </w:r>
      <w:r>
        <w:t>indicadores.</w:t>
      </w:r>
    </w:p>
    <w:p w:rsidR="00000000" w:rsidRDefault="00000000">
      <w:pPr>
        <w:spacing w:after="240"/>
        <w:sectPr w:rsidR="00000000">
          <w:headerReference w:type="even" r:id="rId17"/>
          <w:headerReference w:type="default" r:id="rId18"/>
          <w:headerReference w:type="first" r:id="rId19"/>
          <w:pgSz w:w="11906" w:h="16838" w:code="9"/>
          <w:pgMar w:top="1701" w:right="851" w:bottom="1985" w:left="1701" w:header="851" w:footer="567" w:gutter="0"/>
          <w:cols w:space="708"/>
          <w:docGrid w:linePitch="360"/>
        </w:sectPr>
      </w:pPr>
    </w:p>
    <w:p w:rsidR="00000000" w:rsidRDefault="00000000">
      <w:pPr>
        <w:spacing w:after="240"/>
        <w:ind w:left="567"/>
        <w:rPr>
          <w:b/>
          <w:color w:val="000000"/>
        </w:rPr>
      </w:pPr>
      <w:r>
        <w:rPr>
          <w:b/>
          <w:color w:val="000000"/>
        </w:rPr>
        <w:t>4.1.</w:t>
      </w:r>
      <w:r>
        <w:rPr>
          <w:b/>
          <w:color w:val="000000"/>
        </w:rPr>
        <w:tab/>
        <w:t>Empleo (total de la población)</w:t>
      </w:r>
    </w:p>
    <w:p w:rsidR="00000000" w:rsidRDefault="00000000">
      <w:pPr>
        <w:spacing w:after="180"/>
        <w:jc w:val="center"/>
        <w:rPr>
          <w:b/>
          <w:color w:val="000000"/>
          <w:sz w:val="18"/>
        </w:rPr>
      </w:pPr>
      <w:r>
        <w:rPr>
          <w:b/>
          <w:bCs/>
          <w:color w:val="000000"/>
          <w:sz w:val="18"/>
          <w:szCs w:val="20"/>
        </w:rPr>
        <w:t>Indicadores de empleo de la población total, 1995-2005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795"/>
        <w:gridCol w:w="897"/>
        <w:gridCol w:w="897"/>
        <w:gridCol w:w="902"/>
        <w:gridCol w:w="897"/>
        <w:gridCol w:w="897"/>
        <w:gridCol w:w="897"/>
        <w:gridCol w:w="897"/>
        <w:gridCol w:w="897"/>
        <w:gridCol w:w="897"/>
        <w:gridCol w:w="897"/>
        <w:gridCol w:w="897"/>
        <w:gridCol w:w="883"/>
      </w:tblGrid>
      <w:tr w:rsidR="00000000">
        <w:trPr>
          <w:cantSplit/>
          <w:trHeight w:val="20"/>
          <w:jc w:val="center"/>
        </w:trPr>
        <w:tc>
          <w:tcPr>
            <w:tcW w:w="1031" w:type="pct"/>
            <w:vMerge w:val="restart"/>
            <w:vAlign w:val="center"/>
          </w:tcPr>
          <w:p w:rsidR="00000000" w:rsidRDefault="00000000">
            <w:pPr>
              <w:jc w:val="center"/>
              <w:rPr>
                <w:b/>
                <w:bCs/>
                <w:color w:val="000000"/>
                <w:sz w:val="18"/>
                <w:szCs w:val="20"/>
              </w:rPr>
            </w:pPr>
            <w:r>
              <w:rPr>
                <w:b/>
                <w:bCs/>
                <w:color w:val="000000"/>
                <w:sz w:val="18"/>
                <w:szCs w:val="20"/>
              </w:rPr>
              <w:t>Clasificación</w:t>
            </w:r>
          </w:p>
        </w:tc>
        <w:tc>
          <w:tcPr>
            <w:tcW w:w="995" w:type="pct"/>
            <w:gridSpan w:val="3"/>
            <w:vAlign w:val="center"/>
          </w:tcPr>
          <w:p w:rsidR="00000000" w:rsidRDefault="00000000">
            <w:pPr>
              <w:jc w:val="center"/>
              <w:rPr>
                <w:b/>
                <w:bCs/>
                <w:color w:val="000000"/>
                <w:sz w:val="18"/>
                <w:szCs w:val="20"/>
              </w:rPr>
            </w:pPr>
            <w:r>
              <w:rPr>
                <w:b/>
                <w:bCs/>
                <w:color w:val="000000"/>
                <w:sz w:val="18"/>
                <w:szCs w:val="20"/>
              </w:rPr>
              <w:t>1995*</w:t>
            </w:r>
          </w:p>
        </w:tc>
        <w:tc>
          <w:tcPr>
            <w:tcW w:w="993" w:type="pct"/>
            <w:gridSpan w:val="3"/>
            <w:vAlign w:val="center"/>
          </w:tcPr>
          <w:p w:rsidR="00000000" w:rsidRDefault="00000000">
            <w:pPr>
              <w:jc w:val="center"/>
              <w:rPr>
                <w:b/>
                <w:bCs/>
                <w:color w:val="000000"/>
                <w:sz w:val="18"/>
                <w:szCs w:val="20"/>
              </w:rPr>
            </w:pPr>
            <w:r>
              <w:rPr>
                <w:b/>
                <w:bCs/>
                <w:color w:val="000000"/>
                <w:sz w:val="18"/>
                <w:szCs w:val="20"/>
              </w:rPr>
              <w:t>1999*</w:t>
            </w:r>
          </w:p>
        </w:tc>
        <w:tc>
          <w:tcPr>
            <w:tcW w:w="992" w:type="pct"/>
            <w:gridSpan w:val="3"/>
            <w:vAlign w:val="center"/>
          </w:tcPr>
          <w:p w:rsidR="00000000" w:rsidRDefault="00000000">
            <w:pPr>
              <w:jc w:val="center"/>
              <w:rPr>
                <w:b/>
                <w:bCs/>
                <w:color w:val="000000"/>
                <w:sz w:val="18"/>
                <w:szCs w:val="20"/>
              </w:rPr>
            </w:pPr>
            <w:r>
              <w:rPr>
                <w:b/>
                <w:bCs/>
                <w:color w:val="000000"/>
                <w:sz w:val="18"/>
                <w:szCs w:val="20"/>
              </w:rPr>
              <w:t>2004</w:t>
            </w:r>
          </w:p>
        </w:tc>
        <w:tc>
          <w:tcPr>
            <w:tcW w:w="989" w:type="pct"/>
            <w:gridSpan w:val="3"/>
            <w:vAlign w:val="center"/>
          </w:tcPr>
          <w:p w:rsidR="00000000" w:rsidRDefault="00000000">
            <w:pPr>
              <w:jc w:val="center"/>
              <w:rPr>
                <w:b/>
                <w:bCs/>
                <w:color w:val="000000"/>
                <w:sz w:val="18"/>
                <w:szCs w:val="20"/>
              </w:rPr>
            </w:pPr>
            <w:r>
              <w:rPr>
                <w:b/>
                <w:bCs/>
                <w:color w:val="000000"/>
                <w:sz w:val="18"/>
                <w:szCs w:val="20"/>
              </w:rPr>
              <w:t>2005</w:t>
            </w:r>
          </w:p>
        </w:tc>
      </w:tr>
      <w:tr w:rsidR="00000000">
        <w:trPr>
          <w:cantSplit/>
          <w:trHeight w:val="20"/>
          <w:jc w:val="center"/>
        </w:trPr>
        <w:tc>
          <w:tcPr>
            <w:tcW w:w="1031" w:type="pct"/>
            <w:vMerge/>
            <w:vAlign w:val="center"/>
          </w:tcPr>
          <w:p w:rsidR="00000000" w:rsidRDefault="00000000">
            <w:pPr>
              <w:jc w:val="center"/>
              <w:rPr>
                <w:b/>
                <w:bCs/>
                <w:color w:val="000000"/>
                <w:sz w:val="18"/>
                <w:szCs w:val="20"/>
              </w:rPr>
            </w:pPr>
          </w:p>
        </w:tc>
        <w:tc>
          <w:tcPr>
            <w:tcW w:w="331" w:type="pct"/>
            <w:vAlign w:val="center"/>
          </w:tcPr>
          <w:p w:rsidR="00000000" w:rsidRDefault="00000000">
            <w:pPr>
              <w:jc w:val="center"/>
              <w:rPr>
                <w:b/>
                <w:bCs/>
                <w:color w:val="000000"/>
                <w:sz w:val="18"/>
                <w:szCs w:val="20"/>
              </w:rPr>
            </w:pPr>
            <w:r>
              <w:rPr>
                <w:b/>
                <w:bCs/>
                <w:color w:val="000000"/>
                <w:sz w:val="18"/>
                <w:szCs w:val="20"/>
              </w:rPr>
              <w:t>Total</w:t>
            </w:r>
          </w:p>
        </w:tc>
        <w:tc>
          <w:tcPr>
            <w:tcW w:w="331" w:type="pct"/>
            <w:vAlign w:val="center"/>
          </w:tcPr>
          <w:p w:rsidR="00000000" w:rsidRDefault="00000000">
            <w:pPr>
              <w:jc w:val="center"/>
              <w:rPr>
                <w:b/>
                <w:bCs/>
                <w:color w:val="000000"/>
                <w:sz w:val="18"/>
                <w:szCs w:val="20"/>
              </w:rPr>
            </w:pPr>
            <w:r>
              <w:rPr>
                <w:b/>
                <w:bCs/>
                <w:color w:val="000000"/>
                <w:sz w:val="18"/>
                <w:szCs w:val="20"/>
              </w:rPr>
              <w:t>Hombre</w:t>
            </w:r>
          </w:p>
        </w:tc>
        <w:tc>
          <w:tcPr>
            <w:tcW w:w="333" w:type="pct"/>
            <w:vAlign w:val="center"/>
          </w:tcPr>
          <w:p w:rsidR="00000000" w:rsidRDefault="00000000">
            <w:pPr>
              <w:jc w:val="center"/>
              <w:rPr>
                <w:b/>
                <w:bCs/>
                <w:color w:val="000000"/>
                <w:sz w:val="18"/>
                <w:szCs w:val="20"/>
              </w:rPr>
            </w:pPr>
            <w:r>
              <w:rPr>
                <w:b/>
                <w:bCs/>
                <w:color w:val="000000"/>
                <w:sz w:val="18"/>
                <w:szCs w:val="20"/>
              </w:rPr>
              <w:t>Mujer</w:t>
            </w:r>
          </w:p>
        </w:tc>
        <w:tc>
          <w:tcPr>
            <w:tcW w:w="331" w:type="pct"/>
            <w:vAlign w:val="center"/>
          </w:tcPr>
          <w:p w:rsidR="00000000" w:rsidRDefault="00000000">
            <w:pPr>
              <w:jc w:val="center"/>
              <w:rPr>
                <w:b/>
                <w:bCs/>
                <w:color w:val="000000"/>
                <w:sz w:val="18"/>
                <w:szCs w:val="20"/>
              </w:rPr>
            </w:pPr>
            <w:r>
              <w:rPr>
                <w:b/>
                <w:bCs/>
                <w:color w:val="000000"/>
                <w:sz w:val="18"/>
                <w:szCs w:val="20"/>
              </w:rPr>
              <w:t>Total</w:t>
            </w:r>
          </w:p>
        </w:tc>
        <w:tc>
          <w:tcPr>
            <w:tcW w:w="331" w:type="pct"/>
            <w:vAlign w:val="center"/>
          </w:tcPr>
          <w:p w:rsidR="00000000" w:rsidRDefault="00000000">
            <w:pPr>
              <w:jc w:val="center"/>
              <w:rPr>
                <w:b/>
                <w:bCs/>
                <w:color w:val="000000"/>
                <w:sz w:val="18"/>
                <w:szCs w:val="20"/>
              </w:rPr>
            </w:pPr>
            <w:r>
              <w:rPr>
                <w:b/>
                <w:bCs/>
                <w:color w:val="000000"/>
                <w:sz w:val="18"/>
                <w:szCs w:val="20"/>
              </w:rPr>
              <w:t>Hombre</w:t>
            </w:r>
          </w:p>
        </w:tc>
        <w:tc>
          <w:tcPr>
            <w:tcW w:w="331" w:type="pct"/>
            <w:vAlign w:val="center"/>
          </w:tcPr>
          <w:p w:rsidR="00000000" w:rsidRDefault="00000000">
            <w:pPr>
              <w:jc w:val="center"/>
              <w:rPr>
                <w:b/>
                <w:bCs/>
                <w:color w:val="000000"/>
                <w:sz w:val="18"/>
                <w:szCs w:val="20"/>
              </w:rPr>
            </w:pPr>
            <w:r>
              <w:rPr>
                <w:b/>
                <w:bCs/>
                <w:color w:val="000000"/>
                <w:sz w:val="18"/>
                <w:szCs w:val="20"/>
              </w:rPr>
              <w:t>Mujer</w:t>
            </w:r>
          </w:p>
        </w:tc>
        <w:tc>
          <w:tcPr>
            <w:tcW w:w="331" w:type="pct"/>
            <w:vAlign w:val="center"/>
          </w:tcPr>
          <w:p w:rsidR="00000000" w:rsidRDefault="00000000">
            <w:pPr>
              <w:jc w:val="center"/>
              <w:rPr>
                <w:b/>
                <w:bCs/>
                <w:color w:val="000000"/>
                <w:sz w:val="18"/>
                <w:szCs w:val="20"/>
              </w:rPr>
            </w:pPr>
            <w:r>
              <w:rPr>
                <w:b/>
                <w:bCs/>
                <w:color w:val="000000"/>
                <w:sz w:val="18"/>
                <w:szCs w:val="20"/>
              </w:rPr>
              <w:t>Total</w:t>
            </w:r>
          </w:p>
        </w:tc>
        <w:tc>
          <w:tcPr>
            <w:tcW w:w="331" w:type="pct"/>
            <w:vAlign w:val="center"/>
          </w:tcPr>
          <w:p w:rsidR="00000000" w:rsidRDefault="00000000">
            <w:pPr>
              <w:jc w:val="center"/>
              <w:rPr>
                <w:b/>
                <w:bCs/>
                <w:color w:val="000000"/>
                <w:sz w:val="18"/>
                <w:szCs w:val="20"/>
              </w:rPr>
            </w:pPr>
            <w:r>
              <w:rPr>
                <w:b/>
                <w:bCs/>
                <w:color w:val="000000"/>
                <w:sz w:val="18"/>
                <w:szCs w:val="20"/>
              </w:rPr>
              <w:t>Hombre</w:t>
            </w:r>
          </w:p>
        </w:tc>
        <w:tc>
          <w:tcPr>
            <w:tcW w:w="331" w:type="pct"/>
            <w:vAlign w:val="center"/>
          </w:tcPr>
          <w:p w:rsidR="00000000" w:rsidRDefault="00000000">
            <w:pPr>
              <w:jc w:val="center"/>
              <w:rPr>
                <w:b/>
                <w:bCs/>
                <w:color w:val="000000"/>
                <w:sz w:val="18"/>
                <w:szCs w:val="20"/>
              </w:rPr>
            </w:pPr>
            <w:r>
              <w:rPr>
                <w:b/>
                <w:bCs/>
                <w:color w:val="000000"/>
                <w:sz w:val="18"/>
                <w:szCs w:val="20"/>
              </w:rPr>
              <w:t>Mujer</w:t>
            </w:r>
          </w:p>
        </w:tc>
        <w:tc>
          <w:tcPr>
            <w:tcW w:w="331" w:type="pct"/>
            <w:vAlign w:val="center"/>
          </w:tcPr>
          <w:p w:rsidR="00000000" w:rsidRDefault="00000000">
            <w:pPr>
              <w:jc w:val="center"/>
              <w:rPr>
                <w:b/>
                <w:bCs/>
                <w:color w:val="000000"/>
                <w:sz w:val="18"/>
                <w:szCs w:val="20"/>
              </w:rPr>
            </w:pPr>
            <w:r>
              <w:rPr>
                <w:b/>
                <w:bCs/>
                <w:color w:val="000000"/>
                <w:sz w:val="18"/>
                <w:szCs w:val="20"/>
              </w:rPr>
              <w:t>Total</w:t>
            </w:r>
          </w:p>
        </w:tc>
        <w:tc>
          <w:tcPr>
            <w:tcW w:w="331" w:type="pct"/>
            <w:vAlign w:val="center"/>
          </w:tcPr>
          <w:p w:rsidR="00000000" w:rsidRDefault="00000000">
            <w:pPr>
              <w:jc w:val="center"/>
              <w:rPr>
                <w:b/>
                <w:bCs/>
                <w:color w:val="000000"/>
                <w:sz w:val="18"/>
                <w:szCs w:val="20"/>
              </w:rPr>
            </w:pPr>
            <w:r>
              <w:rPr>
                <w:b/>
                <w:bCs/>
                <w:color w:val="000000"/>
                <w:sz w:val="18"/>
                <w:szCs w:val="20"/>
              </w:rPr>
              <w:t>Hombre</w:t>
            </w:r>
          </w:p>
        </w:tc>
        <w:tc>
          <w:tcPr>
            <w:tcW w:w="326" w:type="pct"/>
            <w:vAlign w:val="center"/>
          </w:tcPr>
          <w:p w:rsidR="00000000" w:rsidRDefault="00000000">
            <w:pPr>
              <w:jc w:val="center"/>
              <w:rPr>
                <w:b/>
                <w:bCs/>
                <w:color w:val="000000"/>
                <w:sz w:val="18"/>
                <w:szCs w:val="20"/>
              </w:rPr>
            </w:pPr>
            <w:r>
              <w:rPr>
                <w:b/>
                <w:bCs/>
                <w:color w:val="000000"/>
                <w:sz w:val="18"/>
                <w:szCs w:val="20"/>
              </w:rPr>
              <w:t>Mujer</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Población económicamente activa (PEA)</w:t>
            </w:r>
            <w:r>
              <w:rPr>
                <w:b/>
                <w:bCs/>
                <w:color w:val="000000"/>
                <w:sz w:val="18"/>
                <w:szCs w:val="20"/>
              </w:rPr>
              <w:t>**</w:t>
            </w:r>
          </w:p>
        </w:tc>
        <w:tc>
          <w:tcPr>
            <w:tcW w:w="331" w:type="pct"/>
            <w:noWrap/>
            <w:vAlign w:val="bottom"/>
          </w:tcPr>
          <w:p w:rsidR="00000000" w:rsidRDefault="00000000">
            <w:pPr>
              <w:jc w:val="right"/>
              <w:rPr>
                <w:color w:val="000000"/>
                <w:sz w:val="18"/>
                <w:szCs w:val="20"/>
              </w:rPr>
            </w:pPr>
            <w:r>
              <w:rPr>
                <w:color w:val="000000"/>
                <w:sz w:val="18"/>
                <w:szCs w:val="20"/>
              </w:rPr>
              <w:t>2.323.585</w:t>
            </w:r>
          </w:p>
        </w:tc>
        <w:tc>
          <w:tcPr>
            <w:tcW w:w="331" w:type="pct"/>
            <w:noWrap/>
            <w:vAlign w:val="bottom"/>
          </w:tcPr>
          <w:p w:rsidR="00000000" w:rsidRDefault="00000000">
            <w:pPr>
              <w:jc w:val="right"/>
              <w:rPr>
                <w:color w:val="000000"/>
                <w:sz w:val="18"/>
                <w:szCs w:val="20"/>
              </w:rPr>
            </w:pPr>
            <w:r>
              <w:rPr>
                <w:color w:val="000000"/>
                <w:sz w:val="18"/>
                <w:szCs w:val="20"/>
              </w:rPr>
              <w:t>1.372.209</w:t>
            </w:r>
          </w:p>
        </w:tc>
        <w:tc>
          <w:tcPr>
            <w:tcW w:w="333" w:type="pct"/>
            <w:noWrap/>
            <w:vAlign w:val="bottom"/>
          </w:tcPr>
          <w:p w:rsidR="00000000" w:rsidRDefault="00000000">
            <w:pPr>
              <w:jc w:val="right"/>
              <w:rPr>
                <w:color w:val="000000"/>
                <w:sz w:val="18"/>
                <w:szCs w:val="20"/>
              </w:rPr>
            </w:pPr>
            <w:r>
              <w:rPr>
                <w:color w:val="000000"/>
                <w:sz w:val="18"/>
                <w:szCs w:val="20"/>
              </w:rPr>
              <w:t>951.376</w:t>
            </w:r>
          </w:p>
        </w:tc>
        <w:tc>
          <w:tcPr>
            <w:tcW w:w="331" w:type="pct"/>
            <w:noWrap/>
            <w:vAlign w:val="bottom"/>
          </w:tcPr>
          <w:p w:rsidR="00000000" w:rsidRDefault="00000000">
            <w:pPr>
              <w:jc w:val="right"/>
              <w:rPr>
                <w:color w:val="000000"/>
                <w:sz w:val="18"/>
                <w:szCs w:val="20"/>
              </w:rPr>
            </w:pPr>
            <w:r>
              <w:rPr>
                <w:color w:val="000000"/>
                <w:sz w:val="18"/>
                <w:szCs w:val="20"/>
              </w:rPr>
              <w:t>2.147.011</w:t>
            </w:r>
          </w:p>
        </w:tc>
        <w:tc>
          <w:tcPr>
            <w:tcW w:w="331" w:type="pct"/>
            <w:noWrap/>
            <w:vAlign w:val="bottom"/>
          </w:tcPr>
          <w:p w:rsidR="00000000" w:rsidRDefault="00000000">
            <w:pPr>
              <w:jc w:val="right"/>
              <w:rPr>
                <w:color w:val="000000"/>
                <w:sz w:val="18"/>
                <w:szCs w:val="20"/>
              </w:rPr>
            </w:pPr>
            <w:r>
              <w:rPr>
                <w:color w:val="000000"/>
                <w:sz w:val="18"/>
                <w:szCs w:val="20"/>
              </w:rPr>
              <w:t>1.358.681</w:t>
            </w:r>
          </w:p>
        </w:tc>
        <w:tc>
          <w:tcPr>
            <w:tcW w:w="331" w:type="pct"/>
            <w:noWrap/>
            <w:vAlign w:val="bottom"/>
          </w:tcPr>
          <w:p w:rsidR="00000000" w:rsidRDefault="00000000">
            <w:pPr>
              <w:jc w:val="right"/>
              <w:rPr>
                <w:color w:val="000000"/>
                <w:sz w:val="18"/>
                <w:szCs w:val="20"/>
              </w:rPr>
            </w:pPr>
            <w:r>
              <w:rPr>
                <w:color w:val="000000"/>
                <w:sz w:val="18"/>
                <w:szCs w:val="20"/>
              </w:rPr>
              <w:t>788.330</w:t>
            </w:r>
          </w:p>
        </w:tc>
        <w:tc>
          <w:tcPr>
            <w:tcW w:w="331" w:type="pct"/>
            <w:noWrap/>
            <w:vAlign w:val="bottom"/>
          </w:tcPr>
          <w:p w:rsidR="00000000" w:rsidRDefault="00000000">
            <w:pPr>
              <w:jc w:val="right"/>
              <w:rPr>
                <w:color w:val="000000"/>
                <w:sz w:val="18"/>
                <w:szCs w:val="20"/>
              </w:rPr>
            </w:pPr>
            <w:r>
              <w:rPr>
                <w:color w:val="000000"/>
                <w:sz w:val="18"/>
                <w:szCs w:val="20"/>
              </w:rPr>
              <w:t>2.762.459</w:t>
            </w:r>
          </w:p>
        </w:tc>
        <w:tc>
          <w:tcPr>
            <w:tcW w:w="331" w:type="pct"/>
            <w:noWrap/>
            <w:vAlign w:val="bottom"/>
          </w:tcPr>
          <w:p w:rsidR="00000000" w:rsidRDefault="00000000">
            <w:pPr>
              <w:jc w:val="right"/>
              <w:rPr>
                <w:color w:val="000000"/>
                <w:sz w:val="18"/>
                <w:szCs w:val="20"/>
              </w:rPr>
            </w:pPr>
            <w:r>
              <w:rPr>
                <w:color w:val="000000"/>
                <w:sz w:val="18"/>
                <w:szCs w:val="20"/>
              </w:rPr>
              <w:t>1.657.617</w:t>
            </w:r>
          </w:p>
        </w:tc>
        <w:tc>
          <w:tcPr>
            <w:tcW w:w="331" w:type="pct"/>
            <w:noWrap/>
            <w:vAlign w:val="bottom"/>
          </w:tcPr>
          <w:p w:rsidR="00000000" w:rsidRDefault="00000000">
            <w:pPr>
              <w:jc w:val="right"/>
              <w:rPr>
                <w:color w:val="000000"/>
                <w:sz w:val="18"/>
                <w:szCs w:val="20"/>
              </w:rPr>
            </w:pPr>
            <w:r>
              <w:rPr>
                <w:color w:val="000000"/>
                <w:sz w:val="18"/>
                <w:szCs w:val="20"/>
              </w:rPr>
              <w:t>1.104.842</w:t>
            </w:r>
          </w:p>
        </w:tc>
        <w:tc>
          <w:tcPr>
            <w:tcW w:w="331" w:type="pct"/>
            <w:noWrap/>
            <w:vAlign w:val="bottom"/>
          </w:tcPr>
          <w:p w:rsidR="00000000" w:rsidRDefault="00000000">
            <w:pPr>
              <w:jc w:val="right"/>
              <w:rPr>
                <w:color w:val="000000"/>
                <w:sz w:val="18"/>
                <w:szCs w:val="20"/>
              </w:rPr>
            </w:pPr>
            <w:r>
              <w:rPr>
                <w:color w:val="000000"/>
                <w:sz w:val="18"/>
                <w:szCs w:val="20"/>
              </w:rPr>
              <w:t>2.779.810</w:t>
            </w:r>
          </w:p>
        </w:tc>
        <w:tc>
          <w:tcPr>
            <w:tcW w:w="331" w:type="pct"/>
            <w:noWrap/>
            <w:vAlign w:val="bottom"/>
          </w:tcPr>
          <w:p w:rsidR="00000000" w:rsidRDefault="00000000">
            <w:pPr>
              <w:jc w:val="right"/>
              <w:rPr>
                <w:color w:val="000000"/>
                <w:sz w:val="18"/>
                <w:szCs w:val="20"/>
              </w:rPr>
            </w:pPr>
            <w:r>
              <w:rPr>
                <w:color w:val="000000"/>
                <w:sz w:val="18"/>
                <w:szCs w:val="20"/>
              </w:rPr>
              <w:t>1.680.474</w:t>
            </w:r>
          </w:p>
        </w:tc>
        <w:tc>
          <w:tcPr>
            <w:tcW w:w="326" w:type="pct"/>
            <w:noWrap/>
            <w:vAlign w:val="bottom"/>
          </w:tcPr>
          <w:p w:rsidR="00000000" w:rsidRDefault="00000000">
            <w:pPr>
              <w:jc w:val="right"/>
              <w:rPr>
                <w:color w:val="000000"/>
                <w:sz w:val="18"/>
                <w:szCs w:val="20"/>
              </w:rPr>
            </w:pPr>
            <w:r>
              <w:rPr>
                <w:color w:val="000000"/>
                <w:sz w:val="18"/>
                <w:szCs w:val="20"/>
              </w:rPr>
              <w:t>1.099.336</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Población económicamente inactiva (PEI)</w:t>
            </w:r>
            <w:r>
              <w:rPr>
                <w:b/>
                <w:bCs/>
                <w:color w:val="000000"/>
                <w:sz w:val="18"/>
                <w:szCs w:val="20"/>
              </w:rPr>
              <w:t>**</w:t>
            </w:r>
          </w:p>
        </w:tc>
        <w:tc>
          <w:tcPr>
            <w:tcW w:w="331" w:type="pct"/>
            <w:noWrap/>
            <w:vAlign w:val="bottom"/>
          </w:tcPr>
          <w:p w:rsidR="00000000" w:rsidRDefault="00000000">
            <w:pPr>
              <w:jc w:val="right"/>
              <w:rPr>
                <w:color w:val="000000"/>
                <w:sz w:val="18"/>
                <w:szCs w:val="20"/>
              </w:rPr>
            </w:pPr>
            <w:r>
              <w:rPr>
                <w:color w:val="000000"/>
                <w:sz w:val="18"/>
                <w:szCs w:val="20"/>
              </w:rPr>
              <w:t>1.034.481</w:t>
            </w:r>
          </w:p>
        </w:tc>
        <w:tc>
          <w:tcPr>
            <w:tcW w:w="331" w:type="pct"/>
            <w:noWrap/>
            <w:vAlign w:val="bottom"/>
          </w:tcPr>
          <w:p w:rsidR="00000000" w:rsidRDefault="00000000">
            <w:pPr>
              <w:jc w:val="right"/>
              <w:rPr>
                <w:color w:val="000000"/>
                <w:sz w:val="18"/>
                <w:szCs w:val="20"/>
              </w:rPr>
            </w:pPr>
            <w:r>
              <w:rPr>
                <w:color w:val="000000"/>
                <w:sz w:val="18"/>
                <w:szCs w:val="20"/>
              </w:rPr>
              <w:t>294.439</w:t>
            </w:r>
          </w:p>
        </w:tc>
        <w:tc>
          <w:tcPr>
            <w:tcW w:w="333" w:type="pct"/>
            <w:noWrap/>
            <w:vAlign w:val="bottom"/>
          </w:tcPr>
          <w:p w:rsidR="00000000" w:rsidRDefault="00000000">
            <w:pPr>
              <w:jc w:val="right"/>
              <w:rPr>
                <w:color w:val="000000"/>
                <w:sz w:val="18"/>
                <w:szCs w:val="20"/>
              </w:rPr>
            </w:pPr>
            <w:r>
              <w:rPr>
                <w:color w:val="000000"/>
                <w:sz w:val="18"/>
                <w:szCs w:val="20"/>
              </w:rPr>
              <w:t>740.043</w:t>
            </w:r>
          </w:p>
        </w:tc>
        <w:tc>
          <w:tcPr>
            <w:tcW w:w="331" w:type="pct"/>
            <w:noWrap/>
            <w:vAlign w:val="bottom"/>
          </w:tcPr>
          <w:p w:rsidR="00000000" w:rsidRDefault="00000000">
            <w:pPr>
              <w:jc w:val="right"/>
              <w:rPr>
                <w:color w:val="000000"/>
                <w:sz w:val="18"/>
                <w:szCs w:val="20"/>
              </w:rPr>
            </w:pPr>
            <w:r>
              <w:rPr>
                <w:color w:val="000000"/>
                <w:sz w:val="18"/>
                <w:szCs w:val="20"/>
              </w:rPr>
              <w:t>1.599.408</w:t>
            </w:r>
          </w:p>
        </w:tc>
        <w:tc>
          <w:tcPr>
            <w:tcW w:w="331" w:type="pct"/>
            <w:noWrap/>
            <w:vAlign w:val="bottom"/>
          </w:tcPr>
          <w:p w:rsidR="00000000" w:rsidRDefault="00000000">
            <w:pPr>
              <w:jc w:val="right"/>
              <w:rPr>
                <w:color w:val="000000"/>
                <w:sz w:val="18"/>
                <w:szCs w:val="20"/>
              </w:rPr>
            </w:pPr>
            <w:r>
              <w:rPr>
                <w:color w:val="000000"/>
                <w:sz w:val="18"/>
                <w:szCs w:val="20"/>
              </w:rPr>
              <w:t>479.352</w:t>
            </w:r>
          </w:p>
        </w:tc>
        <w:tc>
          <w:tcPr>
            <w:tcW w:w="331" w:type="pct"/>
            <w:noWrap/>
            <w:vAlign w:val="bottom"/>
          </w:tcPr>
          <w:p w:rsidR="00000000" w:rsidRDefault="00000000">
            <w:pPr>
              <w:jc w:val="right"/>
              <w:rPr>
                <w:color w:val="000000"/>
                <w:sz w:val="18"/>
                <w:szCs w:val="20"/>
              </w:rPr>
            </w:pPr>
            <w:r>
              <w:rPr>
                <w:color w:val="000000"/>
                <w:sz w:val="18"/>
                <w:szCs w:val="20"/>
              </w:rPr>
              <w:t>1.120.057</w:t>
            </w:r>
          </w:p>
        </w:tc>
        <w:tc>
          <w:tcPr>
            <w:tcW w:w="331" w:type="pct"/>
            <w:noWrap/>
            <w:vAlign w:val="bottom"/>
          </w:tcPr>
          <w:p w:rsidR="00000000" w:rsidRDefault="00000000">
            <w:pPr>
              <w:jc w:val="right"/>
              <w:rPr>
                <w:color w:val="000000"/>
                <w:sz w:val="18"/>
                <w:szCs w:val="20"/>
              </w:rPr>
            </w:pPr>
            <w:r>
              <w:rPr>
                <w:color w:val="000000"/>
                <w:sz w:val="18"/>
                <w:szCs w:val="20"/>
              </w:rPr>
              <w:t>1.592.459</w:t>
            </w:r>
          </w:p>
        </w:tc>
        <w:tc>
          <w:tcPr>
            <w:tcW w:w="331" w:type="pct"/>
            <w:noWrap/>
            <w:vAlign w:val="bottom"/>
          </w:tcPr>
          <w:p w:rsidR="00000000" w:rsidRDefault="00000000">
            <w:pPr>
              <w:jc w:val="right"/>
              <w:rPr>
                <w:color w:val="000000"/>
                <w:sz w:val="18"/>
                <w:szCs w:val="20"/>
              </w:rPr>
            </w:pPr>
            <w:r>
              <w:rPr>
                <w:color w:val="000000"/>
                <w:sz w:val="18"/>
                <w:szCs w:val="20"/>
              </w:rPr>
              <w:t>505.698</w:t>
            </w:r>
          </w:p>
        </w:tc>
        <w:tc>
          <w:tcPr>
            <w:tcW w:w="331" w:type="pct"/>
            <w:noWrap/>
            <w:vAlign w:val="bottom"/>
          </w:tcPr>
          <w:p w:rsidR="00000000" w:rsidRDefault="00000000">
            <w:pPr>
              <w:jc w:val="right"/>
              <w:rPr>
                <w:color w:val="000000"/>
                <w:sz w:val="18"/>
                <w:szCs w:val="20"/>
              </w:rPr>
            </w:pPr>
            <w:r>
              <w:rPr>
                <w:color w:val="000000"/>
                <w:sz w:val="18"/>
                <w:szCs w:val="20"/>
              </w:rPr>
              <w:t>1.086.761</w:t>
            </w:r>
          </w:p>
        </w:tc>
        <w:tc>
          <w:tcPr>
            <w:tcW w:w="331" w:type="pct"/>
            <w:noWrap/>
            <w:vAlign w:val="bottom"/>
          </w:tcPr>
          <w:p w:rsidR="00000000" w:rsidRDefault="00000000">
            <w:pPr>
              <w:jc w:val="right"/>
              <w:rPr>
                <w:color w:val="000000"/>
                <w:sz w:val="18"/>
                <w:szCs w:val="20"/>
              </w:rPr>
            </w:pPr>
            <w:r>
              <w:rPr>
                <w:color w:val="000000"/>
                <w:sz w:val="18"/>
                <w:szCs w:val="20"/>
              </w:rPr>
              <w:t>1.718.453</w:t>
            </w:r>
          </w:p>
        </w:tc>
        <w:tc>
          <w:tcPr>
            <w:tcW w:w="331" w:type="pct"/>
            <w:noWrap/>
            <w:vAlign w:val="bottom"/>
          </w:tcPr>
          <w:p w:rsidR="00000000" w:rsidRDefault="00000000">
            <w:pPr>
              <w:jc w:val="right"/>
              <w:rPr>
                <w:color w:val="000000"/>
                <w:sz w:val="18"/>
                <w:szCs w:val="20"/>
              </w:rPr>
            </w:pPr>
            <w:r>
              <w:rPr>
                <w:color w:val="000000"/>
                <w:sz w:val="18"/>
                <w:szCs w:val="20"/>
              </w:rPr>
              <w:t>556.169</w:t>
            </w:r>
          </w:p>
        </w:tc>
        <w:tc>
          <w:tcPr>
            <w:tcW w:w="326" w:type="pct"/>
            <w:noWrap/>
            <w:vAlign w:val="bottom"/>
          </w:tcPr>
          <w:p w:rsidR="00000000" w:rsidRDefault="00000000">
            <w:pPr>
              <w:jc w:val="right"/>
              <w:rPr>
                <w:color w:val="000000"/>
                <w:sz w:val="18"/>
                <w:szCs w:val="20"/>
              </w:rPr>
            </w:pPr>
            <w:r>
              <w:rPr>
                <w:color w:val="000000"/>
                <w:sz w:val="18"/>
                <w:szCs w:val="20"/>
              </w:rPr>
              <w:t>1.162.284</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Población ocupada</w:t>
            </w:r>
          </w:p>
        </w:tc>
        <w:tc>
          <w:tcPr>
            <w:tcW w:w="331" w:type="pct"/>
            <w:noWrap/>
            <w:vAlign w:val="bottom"/>
          </w:tcPr>
          <w:p w:rsidR="00000000" w:rsidRDefault="00000000">
            <w:pPr>
              <w:jc w:val="right"/>
              <w:rPr>
                <w:color w:val="000000"/>
                <w:sz w:val="18"/>
                <w:szCs w:val="20"/>
              </w:rPr>
            </w:pPr>
            <w:r>
              <w:rPr>
                <w:color w:val="000000"/>
                <w:sz w:val="18"/>
                <w:szCs w:val="20"/>
              </w:rPr>
              <w:t>2.245.742</w:t>
            </w:r>
          </w:p>
        </w:tc>
        <w:tc>
          <w:tcPr>
            <w:tcW w:w="331" w:type="pct"/>
            <w:noWrap/>
            <w:vAlign w:val="bottom"/>
          </w:tcPr>
          <w:p w:rsidR="00000000" w:rsidRDefault="00000000">
            <w:pPr>
              <w:jc w:val="right"/>
              <w:rPr>
                <w:color w:val="000000"/>
                <w:sz w:val="18"/>
                <w:szCs w:val="20"/>
              </w:rPr>
            </w:pPr>
            <w:r>
              <w:rPr>
                <w:color w:val="000000"/>
                <w:sz w:val="18"/>
                <w:szCs w:val="20"/>
              </w:rPr>
              <w:t>1.330.321</w:t>
            </w:r>
          </w:p>
        </w:tc>
        <w:tc>
          <w:tcPr>
            <w:tcW w:w="333" w:type="pct"/>
            <w:noWrap/>
            <w:vAlign w:val="bottom"/>
          </w:tcPr>
          <w:p w:rsidR="00000000" w:rsidRDefault="00000000">
            <w:pPr>
              <w:jc w:val="right"/>
              <w:rPr>
                <w:color w:val="000000"/>
                <w:sz w:val="18"/>
                <w:szCs w:val="20"/>
              </w:rPr>
            </w:pPr>
            <w:r>
              <w:rPr>
                <w:color w:val="000000"/>
                <w:sz w:val="18"/>
                <w:szCs w:val="20"/>
              </w:rPr>
              <w:t>915.421</w:t>
            </w:r>
          </w:p>
        </w:tc>
        <w:tc>
          <w:tcPr>
            <w:tcW w:w="331" w:type="pct"/>
            <w:noWrap/>
            <w:vAlign w:val="bottom"/>
          </w:tcPr>
          <w:p w:rsidR="00000000" w:rsidRDefault="00000000">
            <w:pPr>
              <w:jc w:val="right"/>
              <w:rPr>
                <w:color w:val="000000"/>
                <w:sz w:val="18"/>
                <w:szCs w:val="20"/>
              </w:rPr>
            </w:pPr>
            <w:r>
              <w:rPr>
                <w:color w:val="000000"/>
                <w:sz w:val="18"/>
                <w:szCs w:val="20"/>
              </w:rPr>
              <w:t>2.000.412</w:t>
            </w:r>
          </w:p>
        </w:tc>
        <w:tc>
          <w:tcPr>
            <w:tcW w:w="331" w:type="pct"/>
            <w:noWrap/>
            <w:vAlign w:val="bottom"/>
          </w:tcPr>
          <w:p w:rsidR="00000000" w:rsidRDefault="00000000">
            <w:pPr>
              <w:jc w:val="right"/>
              <w:rPr>
                <w:color w:val="000000"/>
                <w:sz w:val="18"/>
                <w:szCs w:val="20"/>
              </w:rPr>
            </w:pPr>
            <w:r>
              <w:rPr>
                <w:color w:val="000000"/>
                <w:sz w:val="18"/>
                <w:szCs w:val="20"/>
              </w:rPr>
              <w:t>1.270.898</w:t>
            </w:r>
          </w:p>
        </w:tc>
        <w:tc>
          <w:tcPr>
            <w:tcW w:w="331" w:type="pct"/>
            <w:noWrap/>
            <w:vAlign w:val="bottom"/>
          </w:tcPr>
          <w:p w:rsidR="00000000" w:rsidRDefault="00000000">
            <w:pPr>
              <w:jc w:val="right"/>
              <w:rPr>
                <w:color w:val="000000"/>
                <w:sz w:val="18"/>
                <w:szCs w:val="20"/>
              </w:rPr>
            </w:pPr>
            <w:r>
              <w:rPr>
                <w:color w:val="000000"/>
                <w:sz w:val="18"/>
                <w:szCs w:val="20"/>
              </w:rPr>
              <w:t>729.514</w:t>
            </w:r>
          </w:p>
        </w:tc>
        <w:tc>
          <w:tcPr>
            <w:tcW w:w="331" w:type="pct"/>
            <w:noWrap/>
            <w:vAlign w:val="bottom"/>
          </w:tcPr>
          <w:p w:rsidR="00000000" w:rsidRDefault="00000000">
            <w:pPr>
              <w:jc w:val="right"/>
              <w:rPr>
                <w:color w:val="000000"/>
                <w:sz w:val="18"/>
                <w:szCs w:val="20"/>
              </w:rPr>
            </w:pPr>
            <w:r>
              <w:rPr>
                <w:color w:val="000000"/>
                <w:sz w:val="18"/>
                <w:szCs w:val="20"/>
              </w:rPr>
              <w:t>2.560.612</w:t>
            </w:r>
          </w:p>
        </w:tc>
        <w:tc>
          <w:tcPr>
            <w:tcW w:w="331" w:type="pct"/>
            <w:noWrap/>
            <w:vAlign w:val="bottom"/>
          </w:tcPr>
          <w:p w:rsidR="00000000" w:rsidRDefault="00000000">
            <w:pPr>
              <w:jc w:val="right"/>
              <w:rPr>
                <w:color w:val="000000"/>
                <w:sz w:val="18"/>
                <w:szCs w:val="20"/>
              </w:rPr>
            </w:pPr>
            <w:r>
              <w:rPr>
                <w:color w:val="000000"/>
                <w:sz w:val="18"/>
                <w:szCs w:val="20"/>
              </w:rPr>
              <w:t>1.561.745</w:t>
            </w:r>
          </w:p>
        </w:tc>
        <w:tc>
          <w:tcPr>
            <w:tcW w:w="331" w:type="pct"/>
            <w:noWrap/>
            <w:vAlign w:val="bottom"/>
          </w:tcPr>
          <w:p w:rsidR="00000000" w:rsidRDefault="00000000">
            <w:pPr>
              <w:jc w:val="right"/>
              <w:rPr>
                <w:color w:val="000000"/>
                <w:sz w:val="18"/>
                <w:szCs w:val="20"/>
              </w:rPr>
            </w:pPr>
            <w:r>
              <w:rPr>
                <w:color w:val="000000"/>
                <w:sz w:val="18"/>
                <w:szCs w:val="20"/>
              </w:rPr>
              <w:t>998.867</w:t>
            </w:r>
          </w:p>
        </w:tc>
        <w:tc>
          <w:tcPr>
            <w:tcW w:w="331" w:type="pct"/>
            <w:noWrap/>
            <w:vAlign w:val="bottom"/>
          </w:tcPr>
          <w:p w:rsidR="00000000" w:rsidRDefault="00000000">
            <w:pPr>
              <w:jc w:val="right"/>
              <w:rPr>
                <w:color w:val="000000"/>
                <w:sz w:val="18"/>
                <w:szCs w:val="20"/>
              </w:rPr>
            </w:pPr>
            <w:r>
              <w:rPr>
                <w:color w:val="000000"/>
                <w:sz w:val="18"/>
                <w:szCs w:val="20"/>
              </w:rPr>
              <w:t>2.617.708</w:t>
            </w:r>
          </w:p>
        </w:tc>
        <w:tc>
          <w:tcPr>
            <w:tcW w:w="331" w:type="pct"/>
            <w:noWrap/>
            <w:vAlign w:val="bottom"/>
          </w:tcPr>
          <w:p w:rsidR="00000000" w:rsidRDefault="00000000">
            <w:pPr>
              <w:jc w:val="right"/>
              <w:rPr>
                <w:color w:val="000000"/>
                <w:sz w:val="18"/>
                <w:szCs w:val="20"/>
              </w:rPr>
            </w:pPr>
            <w:r>
              <w:rPr>
                <w:color w:val="000000"/>
                <w:sz w:val="18"/>
                <w:szCs w:val="20"/>
              </w:rPr>
              <w:t>1.598.232</w:t>
            </w:r>
          </w:p>
        </w:tc>
        <w:tc>
          <w:tcPr>
            <w:tcW w:w="326" w:type="pct"/>
            <w:noWrap/>
            <w:vAlign w:val="bottom"/>
          </w:tcPr>
          <w:p w:rsidR="00000000" w:rsidRDefault="00000000">
            <w:pPr>
              <w:jc w:val="right"/>
              <w:rPr>
                <w:color w:val="000000"/>
                <w:sz w:val="18"/>
                <w:szCs w:val="20"/>
              </w:rPr>
            </w:pPr>
            <w:r>
              <w:rPr>
                <w:color w:val="000000"/>
                <w:sz w:val="18"/>
                <w:szCs w:val="20"/>
              </w:rPr>
              <w:t>1.019.476</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Desempleo abierto</w:t>
            </w:r>
          </w:p>
        </w:tc>
        <w:tc>
          <w:tcPr>
            <w:tcW w:w="331" w:type="pct"/>
            <w:noWrap/>
            <w:vAlign w:val="bottom"/>
          </w:tcPr>
          <w:p w:rsidR="00000000" w:rsidRDefault="00000000">
            <w:pPr>
              <w:jc w:val="right"/>
              <w:rPr>
                <w:color w:val="000000"/>
                <w:sz w:val="18"/>
                <w:szCs w:val="20"/>
              </w:rPr>
            </w:pPr>
            <w:r>
              <w:rPr>
                <w:color w:val="000000"/>
                <w:sz w:val="18"/>
                <w:szCs w:val="20"/>
              </w:rPr>
              <w:t>77.843</w:t>
            </w:r>
          </w:p>
        </w:tc>
        <w:tc>
          <w:tcPr>
            <w:tcW w:w="331" w:type="pct"/>
            <w:noWrap/>
            <w:vAlign w:val="bottom"/>
          </w:tcPr>
          <w:p w:rsidR="00000000" w:rsidRDefault="00000000">
            <w:pPr>
              <w:jc w:val="right"/>
              <w:rPr>
                <w:color w:val="000000"/>
                <w:sz w:val="18"/>
                <w:szCs w:val="20"/>
              </w:rPr>
            </w:pPr>
            <w:r>
              <w:rPr>
                <w:color w:val="000000"/>
                <w:sz w:val="18"/>
                <w:szCs w:val="20"/>
              </w:rPr>
              <w:t>41.888</w:t>
            </w:r>
          </w:p>
        </w:tc>
        <w:tc>
          <w:tcPr>
            <w:tcW w:w="333" w:type="pct"/>
            <w:noWrap/>
            <w:vAlign w:val="bottom"/>
          </w:tcPr>
          <w:p w:rsidR="00000000" w:rsidRDefault="00000000">
            <w:pPr>
              <w:jc w:val="right"/>
              <w:rPr>
                <w:color w:val="000000"/>
                <w:sz w:val="18"/>
                <w:szCs w:val="20"/>
              </w:rPr>
            </w:pPr>
            <w:r>
              <w:rPr>
                <w:color w:val="000000"/>
                <w:sz w:val="18"/>
                <w:szCs w:val="20"/>
              </w:rPr>
              <w:t>35.955</w:t>
            </w:r>
          </w:p>
        </w:tc>
        <w:tc>
          <w:tcPr>
            <w:tcW w:w="331" w:type="pct"/>
            <w:noWrap/>
            <w:vAlign w:val="bottom"/>
          </w:tcPr>
          <w:p w:rsidR="00000000" w:rsidRDefault="00000000">
            <w:pPr>
              <w:jc w:val="right"/>
              <w:rPr>
                <w:color w:val="000000"/>
                <w:sz w:val="18"/>
                <w:szCs w:val="20"/>
              </w:rPr>
            </w:pPr>
            <w:r>
              <w:rPr>
                <w:color w:val="000000"/>
                <w:sz w:val="18"/>
                <w:szCs w:val="20"/>
              </w:rPr>
              <w:t>146.599</w:t>
            </w:r>
          </w:p>
        </w:tc>
        <w:tc>
          <w:tcPr>
            <w:tcW w:w="331" w:type="pct"/>
            <w:noWrap/>
            <w:vAlign w:val="bottom"/>
          </w:tcPr>
          <w:p w:rsidR="00000000" w:rsidRDefault="00000000">
            <w:pPr>
              <w:jc w:val="right"/>
              <w:rPr>
                <w:color w:val="000000"/>
                <w:sz w:val="18"/>
                <w:szCs w:val="20"/>
              </w:rPr>
            </w:pPr>
            <w:r>
              <w:rPr>
                <w:color w:val="000000"/>
                <w:sz w:val="18"/>
                <w:szCs w:val="20"/>
              </w:rPr>
              <w:t>87.782</w:t>
            </w:r>
          </w:p>
        </w:tc>
        <w:tc>
          <w:tcPr>
            <w:tcW w:w="331" w:type="pct"/>
            <w:noWrap/>
            <w:vAlign w:val="bottom"/>
          </w:tcPr>
          <w:p w:rsidR="00000000" w:rsidRDefault="00000000">
            <w:pPr>
              <w:jc w:val="right"/>
              <w:rPr>
                <w:color w:val="000000"/>
                <w:sz w:val="18"/>
                <w:szCs w:val="20"/>
              </w:rPr>
            </w:pPr>
            <w:r>
              <w:rPr>
                <w:color w:val="000000"/>
                <w:sz w:val="18"/>
                <w:szCs w:val="20"/>
              </w:rPr>
              <w:t>58.816</w:t>
            </w:r>
          </w:p>
        </w:tc>
        <w:tc>
          <w:tcPr>
            <w:tcW w:w="331" w:type="pct"/>
            <w:noWrap/>
            <w:vAlign w:val="bottom"/>
          </w:tcPr>
          <w:p w:rsidR="00000000" w:rsidRDefault="00000000">
            <w:pPr>
              <w:jc w:val="right"/>
              <w:rPr>
                <w:color w:val="000000"/>
                <w:sz w:val="18"/>
                <w:szCs w:val="20"/>
              </w:rPr>
            </w:pPr>
            <w:r>
              <w:rPr>
                <w:color w:val="000000"/>
                <w:sz w:val="18"/>
                <w:szCs w:val="20"/>
              </w:rPr>
              <w:t>201.847</w:t>
            </w:r>
          </w:p>
        </w:tc>
        <w:tc>
          <w:tcPr>
            <w:tcW w:w="331" w:type="pct"/>
            <w:noWrap/>
            <w:vAlign w:val="bottom"/>
          </w:tcPr>
          <w:p w:rsidR="00000000" w:rsidRDefault="00000000">
            <w:pPr>
              <w:jc w:val="right"/>
              <w:rPr>
                <w:color w:val="000000"/>
                <w:sz w:val="18"/>
                <w:szCs w:val="20"/>
              </w:rPr>
            </w:pPr>
            <w:r>
              <w:rPr>
                <w:color w:val="000000"/>
                <w:sz w:val="18"/>
                <w:szCs w:val="20"/>
              </w:rPr>
              <w:t>95.872</w:t>
            </w:r>
          </w:p>
        </w:tc>
        <w:tc>
          <w:tcPr>
            <w:tcW w:w="331" w:type="pct"/>
            <w:noWrap/>
            <w:vAlign w:val="bottom"/>
          </w:tcPr>
          <w:p w:rsidR="00000000" w:rsidRDefault="00000000">
            <w:pPr>
              <w:jc w:val="right"/>
              <w:rPr>
                <w:color w:val="000000"/>
                <w:sz w:val="18"/>
                <w:szCs w:val="20"/>
              </w:rPr>
            </w:pPr>
            <w:r>
              <w:rPr>
                <w:color w:val="000000"/>
                <w:sz w:val="18"/>
                <w:szCs w:val="20"/>
              </w:rPr>
              <w:t>105.975</w:t>
            </w:r>
          </w:p>
        </w:tc>
        <w:tc>
          <w:tcPr>
            <w:tcW w:w="331" w:type="pct"/>
            <w:noWrap/>
            <w:vAlign w:val="bottom"/>
          </w:tcPr>
          <w:p w:rsidR="00000000" w:rsidRDefault="00000000">
            <w:pPr>
              <w:jc w:val="right"/>
              <w:rPr>
                <w:color w:val="000000"/>
                <w:sz w:val="18"/>
                <w:szCs w:val="20"/>
              </w:rPr>
            </w:pPr>
            <w:r>
              <w:rPr>
                <w:color w:val="000000"/>
                <w:sz w:val="18"/>
                <w:szCs w:val="20"/>
              </w:rPr>
              <w:t>162.102</w:t>
            </w:r>
          </w:p>
        </w:tc>
        <w:tc>
          <w:tcPr>
            <w:tcW w:w="331" w:type="pct"/>
            <w:noWrap/>
            <w:vAlign w:val="bottom"/>
          </w:tcPr>
          <w:p w:rsidR="00000000" w:rsidRDefault="00000000">
            <w:pPr>
              <w:jc w:val="right"/>
              <w:rPr>
                <w:color w:val="000000"/>
                <w:sz w:val="18"/>
                <w:szCs w:val="20"/>
              </w:rPr>
            </w:pPr>
            <w:r>
              <w:rPr>
                <w:color w:val="000000"/>
                <w:sz w:val="18"/>
                <w:szCs w:val="20"/>
              </w:rPr>
              <w:t>82.242</w:t>
            </w:r>
          </w:p>
        </w:tc>
        <w:tc>
          <w:tcPr>
            <w:tcW w:w="326" w:type="pct"/>
            <w:noWrap/>
            <w:vAlign w:val="bottom"/>
          </w:tcPr>
          <w:p w:rsidR="00000000" w:rsidRDefault="00000000">
            <w:pPr>
              <w:jc w:val="right"/>
              <w:rPr>
                <w:color w:val="000000"/>
                <w:sz w:val="18"/>
                <w:szCs w:val="20"/>
              </w:rPr>
            </w:pPr>
            <w:r>
              <w:rPr>
                <w:color w:val="000000"/>
                <w:sz w:val="18"/>
                <w:szCs w:val="20"/>
              </w:rPr>
              <w:t>79.860</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Desempleo oculto</w:t>
            </w:r>
          </w:p>
        </w:tc>
        <w:tc>
          <w:tcPr>
            <w:tcW w:w="331" w:type="pct"/>
            <w:noWrap/>
            <w:vAlign w:val="bottom"/>
          </w:tcPr>
          <w:p w:rsidR="00000000" w:rsidRDefault="00000000">
            <w:pPr>
              <w:jc w:val="right"/>
              <w:rPr>
                <w:color w:val="000000"/>
                <w:sz w:val="18"/>
                <w:szCs w:val="20"/>
              </w:rPr>
            </w:pPr>
            <w:r>
              <w:rPr>
                <w:color w:val="000000"/>
                <w:sz w:val="18"/>
                <w:szCs w:val="20"/>
              </w:rPr>
              <w:t>62.021</w:t>
            </w:r>
          </w:p>
        </w:tc>
        <w:tc>
          <w:tcPr>
            <w:tcW w:w="331" w:type="pct"/>
            <w:noWrap/>
            <w:vAlign w:val="bottom"/>
          </w:tcPr>
          <w:p w:rsidR="00000000" w:rsidRDefault="00000000">
            <w:pPr>
              <w:jc w:val="right"/>
              <w:rPr>
                <w:color w:val="000000"/>
                <w:sz w:val="18"/>
                <w:szCs w:val="20"/>
              </w:rPr>
            </w:pPr>
            <w:r>
              <w:rPr>
                <w:color w:val="000000"/>
                <w:sz w:val="18"/>
                <w:szCs w:val="20"/>
              </w:rPr>
              <w:t>26.046</w:t>
            </w:r>
          </w:p>
        </w:tc>
        <w:tc>
          <w:tcPr>
            <w:tcW w:w="333" w:type="pct"/>
            <w:noWrap/>
            <w:vAlign w:val="bottom"/>
          </w:tcPr>
          <w:p w:rsidR="00000000" w:rsidRDefault="00000000">
            <w:pPr>
              <w:jc w:val="right"/>
              <w:rPr>
                <w:color w:val="000000"/>
                <w:sz w:val="18"/>
                <w:szCs w:val="20"/>
              </w:rPr>
            </w:pPr>
            <w:r>
              <w:rPr>
                <w:color w:val="000000"/>
                <w:sz w:val="18"/>
                <w:szCs w:val="20"/>
              </w:rPr>
              <w:t>35.975</w:t>
            </w:r>
          </w:p>
        </w:tc>
        <w:tc>
          <w:tcPr>
            <w:tcW w:w="331" w:type="pct"/>
            <w:noWrap/>
            <w:vAlign w:val="bottom"/>
          </w:tcPr>
          <w:p w:rsidR="00000000" w:rsidRDefault="00000000">
            <w:pPr>
              <w:jc w:val="right"/>
              <w:rPr>
                <w:color w:val="000000"/>
                <w:sz w:val="18"/>
                <w:szCs w:val="20"/>
              </w:rPr>
            </w:pPr>
            <w:r>
              <w:rPr>
                <w:color w:val="000000"/>
                <w:sz w:val="18"/>
                <w:szCs w:val="20"/>
              </w:rPr>
              <w:t>231.852</w:t>
            </w:r>
          </w:p>
        </w:tc>
        <w:tc>
          <w:tcPr>
            <w:tcW w:w="331" w:type="pct"/>
            <w:noWrap/>
            <w:vAlign w:val="bottom"/>
          </w:tcPr>
          <w:p w:rsidR="00000000" w:rsidRDefault="00000000">
            <w:pPr>
              <w:jc w:val="right"/>
              <w:rPr>
                <w:color w:val="000000"/>
                <w:sz w:val="18"/>
                <w:szCs w:val="20"/>
              </w:rPr>
            </w:pPr>
            <w:r>
              <w:rPr>
                <w:color w:val="000000"/>
                <w:sz w:val="18"/>
                <w:szCs w:val="20"/>
              </w:rPr>
              <w:t>80.529</w:t>
            </w:r>
          </w:p>
        </w:tc>
        <w:tc>
          <w:tcPr>
            <w:tcW w:w="331" w:type="pct"/>
            <w:noWrap/>
            <w:vAlign w:val="bottom"/>
          </w:tcPr>
          <w:p w:rsidR="00000000" w:rsidRDefault="00000000">
            <w:pPr>
              <w:jc w:val="right"/>
              <w:rPr>
                <w:color w:val="000000"/>
                <w:sz w:val="18"/>
                <w:szCs w:val="20"/>
              </w:rPr>
            </w:pPr>
            <w:r>
              <w:rPr>
                <w:color w:val="000000"/>
                <w:sz w:val="18"/>
                <w:szCs w:val="20"/>
              </w:rPr>
              <w:t>151.323</w:t>
            </w:r>
          </w:p>
        </w:tc>
        <w:tc>
          <w:tcPr>
            <w:tcW w:w="331" w:type="pct"/>
            <w:noWrap/>
            <w:vAlign w:val="bottom"/>
          </w:tcPr>
          <w:p w:rsidR="00000000" w:rsidRDefault="00000000">
            <w:pPr>
              <w:jc w:val="right"/>
              <w:rPr>
                <w:color w:val="000000"/>
                <w:sz w:val="18"/>
                <w:szCs w:val="20"/>
              </w:rPr>
            </w:pPr>
            <w:r>
              <w:rPr>
                <w:color w:val="000000"/>
                <w:sz w:val="18"/>
                <w:szCs w:val="20"/>
              </w:rPr>
              <w:t>112.297</w:t>
            </w:r>
          </w:p>
        </w:tc>
        <w:tc>
          <w:tcPr>
            <w:tcW w:w="331" w:type="pct"/>
            <w:noWrap/>
            <w:vAlign w:val="bottom"/>
          </w:tcPr>
          <w:p w:rsidR="00000000" w:rsidRDefault="00000000">
            <w:pPr>
              <w:jc w:val="right"/>
              <w:rPr>
                <w:color w:val="000000"/>
                <w:sz w:val="18"/>
                <w:szCs w:val="20"/>
              </w:rPr>
            </w:pPr>
            <w:r>
              <w:rPr>
                <w:color w:val="000000"/>
                <w:sz w:val="18"/>
                <w:szCs w:val="20"/>
              </w:rPr>
              <w:t>40.578</w:t>
            </w:r>
          </w:p>
        </w:tc>
        <w:tc>
          <w:tcPr>
            <w:tcW w:w="331" w:type="pct"/>
            <w:noWrap/>
            <w:vAlign w:val="bottom"/>
          </w:tcPr>
          <w:p w:rsidR="00000000" w:rsidRDefault="00000000">
            <w:pPr>
              <w:jc w:val="right"/>
              <w:rPr>
                <w:color w:val="000000"/>
                <w:sz w:val="18"/>
                <w:szCs w:val="20"/>
              </w:rPr>
            </w:pPr>
            <w:r>
              <w:rPr>
                <w:color w:val="000000"/>
                <w:sz w:val="18"/>
                <w:szCs w:val="20"/>
              </w:rPr>
              <w:t>71.719</w:t>
            </w:r>
          </w:p>
        </w:tc>
        <w:tc>
          <w:tcPr>
            <w:tcW w:w="331" w:type="pct"/>
            <w:noWrap/>
            <w:vAlign w:val="bottom"/>
          </w:tcPr>
          <w:p w:rsidR="00000000" w:rsidRDefault="00000000">
            <w:pPr>
              <w:jc w:val="right"/>
              <w:rPr>
                <w:color w:val="000000"/>
                <w:sz w:val="18"/>
                <w:szCs w:val="20"/>
              </w:rPr>
            </w:pPr>
            <w:r>
              <w:rPr>
                <w:color w:val="000000"/>
                <w:sz w:val="18"/>
                <w:szCs w:val="20"/>
              </w:rPr>
              <w:t>108.132</w:t>
            </w:r>
          </w:p>
        </w:tc>
        <w:tc>
          <w:tcPr>
            <w:tcW w:w="331" w:type="pct"/>
            <w:noWrap/>
            <w:vAlign w:val="bottom"/>
          </w:tcPr>
          <w:p w:rsidR="00000000" w:rsidRDefault="00000000">
            <w:pPr>
              <w:jc w:val="right"/>
              <w:rPr>
                <w:color w:val="000000"/>
                <w:sz w:val="18"/>
                <w:szCs w:val="20"/>
              </w:rPr>
            </w:pPr>
            <w:r>
              <w:rPr>
                <w:color w:val="000000"/>
                <w:sz w:val="18"/>
                <w:szCs w:val="20"/>
              </w:rPr>
              <w:t>42.011</w:t>
            </w:r>
          </w:p>
        </w:tc>
        <w:tc>
          <w:tcPr>
            <w:tcW w:w="326" w:type="pct"/>
            <w:noWrap/>
            <w:vAlign w:val="bottom"/>
          </w:tcPr>
          <w:p w:rsidR="00000000" w:rsidRDefault="00000000">
            <w:pPr>
              <w:jc w:val="right"/>
              <w:rPr>
                <w:color w:val="000000"/>
                <w:sz w:val="18"/>
                <w:szCs w:val="20"/>
              </w:rPr>
            </w:pPr>
            <w:r>
              <w:rPr>
                <w:color w:val="000000"/>
                <w:sz w:val="18"/>
                <w:szCs w:val="20"/>
              </w:rPr>
              <w:t>66.121</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Población subocupada</w:t>
            </w:r>
          </w:p>
        </w:tc>
        <w:tc>
          <w:tcPr>
            <w:tcW w:w="331" w:type="pct"/>
            <w:noWrap/>
            <w:vAlign w:val="bottom"/>
          </w:tcPr>
          <w:p w:rsidR="00000000" w:rsidRDefault="00000000">
            <w:pPr>
              <w:jc w:val="right"/>
              <w:rPr>
                <w:color w:val="000000"/>
                <w:sz w:val="18"/>
                <w:szCs w:val="20"/>
              </w:rPr>
            </w:pPr>
            <w:r>
              <w:rPr>
                <w:color w:val="000000"/>
                <w:sz w:val="18"/>
                <w:szCs w:val="20"/>
              </w:rPr>
              <w:t>388.639</w:t>
            </w:r>
          </w:p>
        </w:tc>
        <w:tc>
          <w:tcPr>
            <w:tcW w:w="331" w:type="pct"/>
            <w:noWrap/>
            <w:vAlign w:val="bottom"/>
          </w:tcPr>
          <w:p w:rsidR="00000000" w:rsidRDefault="00000000">
            <w:pPr>
              <w:jc w:val="right"/>
              <w:rPr>
                <w:color w:val="000000"/>
                <w:sz w:val="18"/>
                <w:szCs w:val="20"/>
              </w:rPr>
            </w:pPr>
            <w:r>
              <w:rPr>
                <w:color w:val="000000"/>
                <w:sz w:val="18"/>
                <w:szCs w:val="20"/>
              </w:rPr>
              <w:t>209.084</w:t>
            </w:r>
          </w:p>
        </w:tc>
        <w:tc>
          <w:tcPr>
            <w:tcW w:w="333" w:type="pct"/>
            <w:noWrap/>
            <w:vAlign w:val="bottom"/>
          </w:tcPr>
          <w:p w:rsidR="00000000" w:rsidRDefault="00000000">
            <w:pPr>
              <w:jc w:val="right"/>
              <w:rPr>
                <w:color w:val="000000"/>
                <w:sz w:val="18"/>
                <w:szCs w:val="20"/>
              </w:rPr>
            </w:pPr>
            <w:r>
              <w:rPr>
                <w:color w:val="000000"/>
                <w:sz w:val="18"/>
                <w:szCs w:val="20"/>
              </w:rPr>
              <w:t>179.555</w:t>
            </w:r>
          </w:p>
        </w:tc>
        <w:tc>
          <w:tcPr>
            <w:tcW w:w="331" w:type="pct"/>
            <w:noWrap/>
            <w:vAlign w:val="bottom"/>
          </w:tcPr>
          <w:p w:rsidR="00000000" w:rsidRDefault="00000000">
            <w:pPr>
              <w:jc w:val="right"/>
              <w:rPr>
                <w:color w:val="000000"/>
                <w:sz w:val="18"/>
                <w:szCs w:val="20"/>
              </w:rPr>
            </w:pPr>
            <w:r>
              <w:rPr>
                <w:color w:val="000000"/>
                <w:sz w:val="18"/>
                <w:szCs w:val="20"/>
              </w:rPr>
              <w:t>377.500</w:t>
            </w:r>
          </w:p>
        </w:tc>
        <w:tc>
          <w:tcPr>
            <w:tcW w:w="331" w:type="pct"/>
            <w:noWrap/>
            <w:vAlign w:val="bottom"/>
          </w:tcPr>
          <w:p w:rsidR="00000000" w:rsidRDefault="00000000">
            <w:pPr>
              <w:jc w:val="right"/>
              <w:rPr>
                <w:color w:val="000000"/>
                <w:sz w:val="18"/>
                <w:szCs w:val="20"/>
              </w:rPr>
            </w:pPr>
            <w:r>
              <w:rPr>
                <w:color w:val="000000"/>
                <w:sz w:val="18"/>
                <w:szCs w:val="20"/>
              </w:rPr>
              <w:t>201.950</w:t>
            </w:r>
          </w:p>
        </w:tc>
        <w:tc>
          <w:tcPr>
            <w:tcW w:w="331" w:type="pct"/>
            <w:noWrap/>
            <w:vAlign w:val="bottom"/>
          </w:tcPr>
          <w:p w:rsidR="00000000" w:rsidRDefault="00000000">
            <w:pPr>
              <w:jc w:val="right"/>
              <w:rPr>
                <w:color w:val="000000"/>
                <w:sz w:val="18"/>
                <w:szCs w:val="20"/>
              </w:rPr>
            </w:pPr>
            <w:r>
              <w:rPr>
                <w:color w:val="000000"/>
                <w:sz w:val="18"/>
                <w:szCs w:val="20"/>
              </w:rPr>
              <w:t>175.551</w:t>
            </w:r>
          </w:p>
        </w:tc>
        <w:tc>
          <w:tcPr>
            <w:tcW w:w="331" w:type="pct"/>
            <w:noWrap/>
            <w:vAlign w:val="bottom"/>
          </w:tcPr>
          <w:p w:rsidR="00000000" w:rsidRDefault="00000000">
            <w:pPr>
              <w:jc w:val="right"/>
              <w:rPr>
                <w:color w:val="000000"/>
                <w:sz w:val="18"/>
                <w:szCs w:val="20"/>
              </w:rPr>
            </w:pPr>
            <w:r>
              <w:rPr>
                <w:color w:val="000000"/>
                <w:sz w:val="18"/>
                <w:szCs w:val="20"/>
              </w:rPr>
              <w:t>667.735</w:t>
            </w:r>
          </w:p>
        </w:tc>
        <w:tc>
          <w:tcPr>
            <w:tcW w:w="331" w:type="pct"/>
            <w:noWrap/>
            <w:vAlign w:val="bottom"/>
          </w:tcPr>
          <w:p w:rsidR="00000000" w:rsidRDefault="00000000">
            <w:pPr>
              <w:jc w:val="right"/>
              <w:rPr>
                <w:color w:val="000000"/>
                <w:sz w:val="18"/>
                <w:szCs w:val="20"/>
              </w:rPr>
            </w:pPr>
            <w:r>
              <w:rPr>
                <w:color w:val="000000"/>
                <w:sz w:val="18"/>
                <w:szCs w:val="20"/>
              </w:rPr>
              <w:t>362.174</w:t>
            </w:r>
          </w:p>
        </w:tc>
        <w:tc>
          <w:tcPr>
            <w:tcW w:w="331" w:type="pct"/>
            <w:noWrap/>
            <w:vAlign w:val="bottom"/>
          </w:tcPr>
          <w:p w:rsidR="00000000" w:rsidRDefault="00000000">
            <w:pPr>
              <w:jc w:val="right"/>
              <w:rPr>
                <w:color w:val="000000"/>
                <w:sz w:val="18"/>
                <w:szCs w:val="20"/>
              </w:rPr>
            </w:pPr>
            <w:r>
              <w:rPr>
                <w:color w:val="000000"/>
                <w:sz w:val="18"/>
                <w:szCs w:val="20"/>
              </w:rPr>
              <w:t>305.561</w:t>
            </w:r>
          </w:p>
        </w:tc>
        <w:tc>
          <w:tcPr>
            <w:tcW w:w="331" w:type="pct"/>
            <w:noWrap/>
            <w:vAlign w:val="bottom"/>
          </w:tcPr>
          <w:p w:rsidR="00000000" w:rsidRDefault="00000000">
            <w:pPr>
              <w:jc w:val="right"/>
              <w:rPr>
                <w:color w:val="000000"/>
                <w:sz w:val="18"/>
                <w:szCs w:val="20"/>
              </w:rPr>
            </w:pPr>
            <w:r>
              <w:rPr>
                <w:color w:val="000000"/>
                <w:sz w:val="18"/>
                <w:szCs w:val="20"/>
              </w:rPr>
              <w:t>698.492</w:t>
            </w:r>
          </w:p>
        </w:tc>
        <w:tc>
          <w:tcPr>
            <w:tcW w:w="331" w:type="pct"/>
            <w:noWrap/>
            <w:vAlign w:val="bottom"/>
          </w:tcPr>
          <w:p w:rsidR="00000000" w:rsidRDefault="00000000">
            <w:pPr>
              <w:jc w:val="right"/>
              <w:rPr>
                <w:color w:val="000000"/>
                <w:sz w:val="18"/>
                <w:szCs w:val="20"/>
              </w:rPr>
            </w:pPr>
            <w:r>
              <w:rPr>
                <w:color w:val="000000"/>
                <w:sz w:val="18"/>
                <w:szCs w:val="20"/>
              </w:rPr>
              <w:t>372.649</w:t>
            </w:r>
          </w:p>
        </w:tc>
        <w:tc>
          <w:tcPr>
            <w:tcW w:w="326" w:type="pct"/>
            <w:noWrap/>
            <w:vAlign w:val="bottom"/>
          </w:tcPr>
          <w:p w:rsidR="00000000" w:rsidRDefault="00000000">
            <w:pPr>
              <w:jc w:val="right"/>
              <w:rPr>
                <w:color w:val="000000"/>
                <w:sz w:val="18"/>
                <w:szCs w:val="20"/>
              </w:rPr>
            </w:pPr>
            <w:r>
              <w:rPr>
                <w:color w:val="000000"/>
                <w:sz w:val="18"/>
                <w:szCs w:val="20"/>
              </w:rPr>
              <w:t>325.843</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Población subocupada visible</w:t>
            </w:r>
          </w:p>
        </w:tc>
        <w:tc>
          <w:tcPr>
            <w:tcW w:w="331" w:type="pct"/>
            <w:noWrap/>
            <w:vAlign w:val="bottom"/>
          </w:tcPr>
          <w:p w:rsidR="00000000" w:rsidRDefault="00000000">
            <w:pPr>
              <w:jc w:val="right"/>
              <w:rPr>
                <w:color w:val="000000"/>
                <w:sz w:val="18"/>
                <w:szCs w:val="20"/>
              </w:rPr>
            </w:pPr>
            <w:r>
              <w:rPr>
                <w:color w:val="000000"/>
                <w:sz w:val="18"/>
                <w:szCs w:val="20"/>
              </w:rPr>
              <w:t>141.582</w:t>
            </w:r>
          </w:p>
        </w:tc>
        <w:tc>
          <w:tcPr>
            <w:tcW w:w="331" w:type="pct"/>
            <w:noWrap/>
            <w:vAlign w:val="bottom"/>
          </w:tcPr>
          <w:p w:rsidR="00000000" w:rsidRDefault="00000000">
            <w:pPr>
              <w:jc w:val="right"/>
              <w:rPr>
                <w:color w:val="000000"/>
                <w:sz w:val="18"/>
                <w:szCs w:val="20"/>
              </w:rPr>
            </w:pPr>
            <w:r>
              <w:rPr>
                <w:color w:val="000000"/>
                <w:sz w:val="18"/>
                <w:szCs w:val="20"/>
              </w:rPr>
              <w:t>60.712</w:t>
            </w:r>
          </w:p>
        </w:tc>
        <w:tc>
          <w:tcPr>
            <w:tcW w:w="333" w:type="pct"/>
            <w:noWrap/>
            <w:vAlign w:val="bottom"/>
          </w:tcPr>
          <w:p w:rsidR="00000000" w:rsidRDefault="00000000">
            <w:pPr>
              <w:jc w:val="right"/>
              <w:rPr>
                <w:color w:val="000000"/>
                <w:sz w:val="18"/>
                <w:szCs w:val="20"/>
              </w:rPr>
            </w:pPr>
            <w:r>
              <w:rPr>
                <w:color w:val="000000"/>
                <w:sz w:val="18"/>
                <w:szCs w:val="20"/>
              </w:rPr>
              <w:t>80.870</w:t>
            </w:r>
          </w:p>
        </w:tc>
        <w:tc>
          <w:tcPr>
            <w:tcW w:w="331" w:type="pct"/>
            <w:noWrap/>
            <w:vAlign w:val="bottom"/>
          </w:tcPr>
          <w:p w:rsidR="00000000" w:rsidRDefault="00000000">
            <w:pPr>
              <w:jc w:val="right"/>
              <w:rPr>
                <w:color w:val="000000"/>
                <w:sz w:val="18"/>
                <w:szCs w:val="20"/>
              </w:rPr>
            </w:pPr>
            <w:r>
              <w:rPr>
                <w:color w:val="000000"/>
                <w:sz w:val="18"/>
                <w:szCs w:val="20"/>
              </w:rPr>
              <w:t>130.549</w:t>
            </w:r>
          </w:p>
        </w:tc>
        <w:tc>
          <w:tcPr>
            <w:tcW w:w="331" w:type="pct"/>
            <w:noWrap/>
            <w:vAlign w:val="bottom"/>
          </w:tcPr>
          <w:p w:rsidR="00000000" w:rsidRDefault="00000000">
            <w:pPr>
              <w:jc w:val="right"/>
              <w:rPr>
                <w:color w:val="000000"/>
                <w:sz w:val="18"/>
                <w:szCs w:val="20"/>
              </w:rPr>
            </w:pPr>
            <w:r>
              <w:rPr>
                <w:color w:val="000000"/>
                <w:sz w:val="18"/>
                <w:szCs w:val="20"/>
              </w:rPr>
              <w:t>50.640</w:t>
            </w:r>
          </w:p>
        </w:tc>
        <w:tc>
          <w:tcPr>
            <w:tcW w:w="331" w:type="pct"/>
            <w:noWrap/>
            <w:vAlign w:val="bottom"/>
          </w:tcPr>
          <w:p w:rsidR="00000000" w:rsidRDefault="00000000">
            <w:pPr>
              <w:jc w:val="right"/>
              <w:rPr>
                <w:color w:val="000000"/>
                <w:sz w:val="18"/>
                <w:szCs w:val="20"/>
              </w:rPr>
            </w:pPr>
            <w:r>
              <w:rPr>
                <w:color w:val="000000"/>
                <w:sz w:val="18"/>
                <w:szCs w:val="20"/>
              </w:rPr>
              <w:t>79.909</w:t>
            </w:r>
          </w:p>
        </w:tc>
        <w:tc>
          <w:tcPr>
            <w:tcW w:w="331" w:type="pct"/>
            <w:noWrap/>
            <w:vAlign w:val="bottom"/>
          </w:tcPr>
          <w:p w:rsidR="00000000" w:rsidRDefault="00000000">
            <w:pPr>
              <w:jc w:val="right"/>
              <w:rPr>
                <w:color w:val="000000"/>
                <w:sz w:val="18"/>
                <w:szCs w:val="20"/>
              </w:rPr>
            </w:pPr>
            <w:r>
              <w:rPr>
                <w:color w:val="000000"/>
                <w:sz w:val="18"/>
                <w:szCs w:val="20"/>
              </w:rPr>
              <w:t>223.010</w:t>
            </w:r>
          </w:p>
        </w:tc>
        <w:tc>
          <w:tcPr>
            <w:tcW w:w="331" w:type="pct"/>
            <w:noWrap/>
            <w:vAlign w:val="bottom"/>
          </w:tcPr>
          <w:p w:rsidR="00000000" w:rsidRDefault="00000000">
            <w:pPr>
              <w:jc w:val="right"/>
              <w:rPr>
                <w:color w:val="000000"/>
                <w:sz w:val="18"/>
                <w:szCs w:val="20"/>
              </w:rPr>
            </w:pPr>
            <w:r>
              <w:rPr>
                <w:color w:val="000000"/>
                <w:sz w:val="18"/>
                <w:szCs w:val="20"/>
              </w:rPr>
              <w:t>96.493</w:t>
            </w:r>
          </w:p>
        </w:tc>
        <w:tc>
          <w:tcPr>
            <w:tcW w:w="331" w:type="pct"/>
            <w:noWrap/>
            <w:vAlign w:val="bottom"/>
          </w:tcPr>
          <w:p w:rsidR="00000000" w:rsidRDefault="00000000">
            <w:pPr>
              <w:jc w:val="right"/>
              <w:rPr>
                <w:color w:val="000000"/>
                <w:sz w:val="18"/>
                <w:szCs w:val="20"/>
              </w:rPr>
            </w:pPr>
            <w:r>
              <w:rPr>
                <w:color w:val="000000"/>
                <w:sz w:val="18"/>
                <w:szCs w:val="20"/>
              </w:rPr>
              <w:t>126.517</w:t>
            </w:r>
          </w:p>
        </w:tc>
        <w:tc>
          <w:tcPr>
            <w:tcW w:w="331" w:type="pct"/>
            <w:noWrap/>
            <w:vAlign w:val="bottom"/>
          </w:tcPr>
          <w:p w:rsidR="00000000" w:rsidRDefault="00000000">
            <w:pPr>
              <w:jc w:val="right"/>
              <w:rPr>
                <w:color w:val="000000"/>
                <w:sz w:val="18"/>
                <w:szCs w:val="20"/>
              </w:rPr>
            </w:pPr>
            <w:r>
              <w:rPr>
                <w:color w:val="000000"/>
                <w:sz w:val="18"/>
                <w:szCs w:val="20"/>
              </w:rPr>
              <w:t>187.029</w:t>
            </w:r>
          </w:p>
        </w:tc>
        <w:tc>
          <w:tcPr>
            <w:tcW w:w="331" w:type="pct"/>
            <w:noWrap/>
            <w:vAlign w:val="bottom"/>
          </w:tcPr>
          <w:p w:rsidR="00000000" w:rsidRDefault="00000000">
            <w:pPr>
              <w:jc w:val="right"/>
              <w:rPr>
                <w:color w:val="000000"/>
                <w:sz w:val="18"/>
                <w:szCs w:val="20"/>
              </w:rPr>
            </w:pPr>
            <w:r>
              <w:rPr>
                <w:color w:val="000000"/>
                <w:sz w:val="18"/>
                <w:szCs w:val="20"/>
              </w:rPr>
              <w:t>72.851</w:t>
            </w:r>
          </w:p>
        </w:tc>
        <w:tc>
          <w:tcPr>
            <w:tcW w:w="326" w:type="pct"/>
            <w:noWrap/>
            <w:vAlign w:val="bottom"/>
          </w:tcPr>
          <w:p w:rsidR="00000000" w:rsidRDefault="00000000">
            <w:pPr>
              <w:jc w:val="right"/>
              <w:rPr>
                <w:color w:val="000000"/>
                <w:sz w:val="18"/>
                <w:szCs w:val="20"/>
              </w:rPr>
            </w:pPr>
            <w:r>
              <w:rPr>
                <w:color w:val="000000"/>
                <w:sz w:val="18"/>
                <w:szCs w:val="20"/>
              </w:rPr>
              <w:t>114.178</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Población subocupada invisible</w:t>
            </w:r>
          </w:p>
        </w:tc>
        <w:tc>
          <w:tcPr>
            <w:tcW w:w="331" w:type="pct"/>
            <w:noWrap/>
            <w:vAlign w:val="bottom"/>
          </w:tcPr>
          <w:p w:rsidR="00000000" w:rsidRDefault="00000000">
            <w:pPr>
              <w:jc w:val="right"/>
              <w:rPr>
                <w:color w:val="000000"/>
                <w:sz w:val="18"/>
                <w:szCs w:val="20"/>
              </w:rPr>
            </w:pPr>
            <w:r>
              <w:rPr>
                <w:color w:val="000000"/>
                <w:sz w:val="18"/>
                <w:szCs w:val="20"/>
              </w:rPr>
              <w:t>247.057</w:t>
            </w:r>
          </w:p>
        </w:tc>
        <w:tc>
          <w:tcPr>
            <w:tcW w:w="331" w:type="pct"/>
            <w:noWrap/>
            <w:vAlign w:val="bottom"/>
          </w:tcPr>
          <w:p w:rsidR="00000000" w:rsidRDefault="00000000">
            <w:pPr>
              <w:jc w:val="right"/>
              <w:rPr>
                <w:color w:val="000000"/>
                <w:sz w:val="18"/>
                <w:szCs w:val="20"/>
              </w:rPr>
            </w:pPr>
            <w:r>
              <w:rPr>
                <w:color w:val="000000"/>
                <w:sz w:val="18"/>
                <w:szCs w:val="20"/>
              </w:rPr>
              <w:t>148.372</w:t>
            </w:r>
          </w:p>
        </w:tc>
        <w:tc>
          <w:tcPr>
            <w:tcW w:w="333" w:type="pct"/>
            <w:noWrap/>
            <w:vAlign w:val="bottom"/>
          </w:tcPr>
          <w:p w:rsidR="00000000" w:rsidRDefault="00000000">
            <w:pPr>
              <w:jc w:val="right"/>
              <w:rPr>
                <w:color w:val="000000"/>
                <w:sz w:val="18"/>
                <w:szCs w:val="20"/>
              </w:rPr>
            </w:pPr>
            <w:r>
              <w:rPr>
                <w:color w:val="000000"/>
                <w:sz w:val="18"/>
                <w:szCs w:val="20"/>
              </w:rPr>
              <w:t>98.685</w:t>
            </w:r>
          </w:p>
        </w:tc>
        <w:tc>
          <w:tcPr>
            <w:tcW w:w="331" w:type="pct"/>
            <w:noWrap/>
            <w:vAlign w:val="bottom"/>
          </w:tcPr>
          <w:p w:rsidR="00000000" w:rsidRDefault="00000000">
            <w:pPr>
              <w:jc w:val="right"/>
              <w:rPr>
                <w:color w:val="000000"/>
                <w:sz w:val="18"/>
                <w:szCs w:val="20"/>
              </w:rPr>
            </w:pPr>
            <w:r>
              <w:rPr>
                <w:color w:val="000000"/>
                <w:sz w:val="18"/>
                <w:szCs w:val="20"/>
              </w:rPr>
              <w:t>246.951</w:t>
            </w:r>
          </w:p>
        </w:tc>
        <w:tc>
          <w:tcPr>
            <w:tcW w:w="331" w:type="pct"/>
            <w:noWrap/>
            <w:vAlign w:val="bottom"/>
          </w:tcPr>
          <w:p w:rsidR="00000000" w:rsidRDefault="00000000">
            <w:pPr>
              <w:jc w:val="right"/>
              <w:rPr>
                <w:color w:val="000000"/>
                <w:sz w:val="18"/>
                <w:szCs w:val="20"/>
              </w:rPr>
            </w:pPr>
            <w:r>
              <w:rPr>
                <w:color w:val="000000"/>
                <w:sz w:val="18"/>
                <w:szCs w:val="20"/>
              </w:rPr>
              <w:t>151.309</w:t>
            </w:r>
          </w:p>
        </w:tc>
        <w:tc>
          <w:tcPr>
            <w:tcW w:w="331" w:type="pct"/>
            <w:noWrap/>
            <w:vAlign w:val="bottom"/>
          </w:tcPr>
          <w:p w:rsidR="00000000" w:rsidRDefault="00000000">
            <w:pPr>
              <w:jc w:val="right"/>
              <w:rPr>
                <w:color w:val="000000"/>
                <w:sz w:val="18"/>
                <w:szCs w:val="20"/>
              </w:rPr>
            </w:pPr>
            <w:r>
              <w:rPr>
                <w:color w:val="000000"/>
                <w:sz w:val="18"/>
                <w:szCs w:val="20"/>
              </w:rPr>
              <w:t>95.642</w:t>
            </w:r>
          </w:p>
        </w:tc>
        <w:tc>
          <w:tcPr>
            <w:tcW w:w="331" w:type="pct"/>
            <w:noWrap/>
            <w:vAlign w:val="bottom"/>
          </w:tcPr>
          <w:p w:rsidR="00000000" w:rsidRDefault="00000000">
            <w:pPr>
              <w:jc w:val="right"/>
              <w:rPr>
                <w:color w:val="000000"/>
                <w:sz w:val="18"/>
                <w:szCs w:val="20"/>
              </w:rPr>
            </w:pPr>
            <w:r>
              <w:rPr>
                <w:color w:val="000000"/>
                <w:sz w:val="18"/>
                <w:szCs w:val="20"/>
              </w:rPr>
              <w:t>444.725</w:t>
            </w:r>
          </w:p>
        </w:tc>
        <w:tc>
          <w:tcPr>
            <w:tcW w:w="331" w:type="pct"/>
            <w:noWrap/>
            <w:vAlign w:val="bottom"/>
          </w:tcPr>
          <w:p w:rsidR="00000000" w:rsidRDefault="00000000">
            <w:pPr>
              <w:jc w:val="right"/>
              <w:rPr>
                <w:color w:val="000000"/>
                <w:sz w:val="18"/>
                <w:szCs w:val="20"/>
              </w:rPr>
            </w:pPr>
            <w:r>
              <w:rPr>
                <w:color w:val="000000"/>
                <w:sz w:val="18"/>
                <w:szCs w:val="20"/>
              </w:rPr>
              <w:t>265.681</w:t>
            </w:r>
          </w:p>
        </w:tc>
        <w:tc>
          <w:tcPr>
            <w:tcW w:w="331" w:type="pct"/>
            <w:noWrap/>
            <w:vAlign w:val="bottom"/>
          </w:tcPr>
          <w:p w:rsidR="00000000" w:rsidRDefault="00000000">
            <w:pPr>
              <w:jc w:val="right"/>
              <w:rPr>
                <w:color w:val="000000"/>
                <w:sz w:val="18"/>
                <w:szCs w:val="20"/>
              </w:rPr>
            </w:pPr>
            <w:r>
              <w:rPr>
                <w:color w:val="000000"/>
                <w:sz w:val="18"/>
                <w:szCs w:val="20"/>
              </w:rPr>
              <w:t>179.044</w:t>
            </w:r>
          </w:p>
        </w:tc>
        <w:tc>
          <w:tcPr>
            <w:tcW w:w="331" w:type="pct"/>
            <w:noWrap/>
            <w:vAlign w:val="bottom"/>
          </w:tcPr>
          <w:p w:rsidR="00000000" w:rsidRDefault="00000000">
            <w:pPr>
              <w:jc w:val="right"/>
              <w:rPr>
                <w:color w:val="000000"/>
                <w:sz w:val="18"/>
                <w:szCs w:val="20"/>
              </w:rPr>
            </w:pPr>
            <w:r>
              <w:rPr>
                <w:color w:val="000000"/>
                <w:sz w:val="18"/>
                <w:szCs w:val="20"/>
              </w:rPr>
              <w:t>511.463</w:t>
            </w:r>
          </w:p>
        </w:tc>
        <w:tc>
          <w:tcPr>
            <w:tcW w:w="331" w:type="pct"/>
            <w:noWrap/>
            <w:vAlign w:val="bottom"/>
          </w:tcPr>
          <w:p w:rsidR="00000000" w:rsidRDefault="00000000">
            <w:pPr>
              <w:jc w:val="right"/>
              <w:rPr>
                <w:color w:val="000000"/>
                <w:sz w:val="18"/>
                <w:szCs w:val="20"/>
              </w:rPr>
            </w:pPr>
            <w:r>
              <w:rPr>
                <w:color w:val="000000"/>
                <w:sz w:val="18"/>
                <w:szCs w:val="20"/>
              </w:rPr>
              <w:t>299.798</w:t>
            </w:r>
          </w:p>
        </w:tc>
        <w:tc>
          <w:tcPr>
            <w:tcW w:w="326" w:type="pct"/>
            <w:noWrap/>
            <w:vAlign w:val="bottom"/>
          </w:tcPr>
          <w:p w:rsidR="00000000" w:rsidRDefault="00000000">
            <w:pPr>
              <w:jc w:val="right"/>
              <w:rPr>
                <w:color w:val="000000"/>
                <w:sz w:val="18"/>
                <w:szCs w:val="20"/>
              </w:rPr>
            </w:pPr>
            <w:r>
              <w:rPr>
                <w:color w:val="000000"/>
                <w:sz w:val="18"/>
                <w:szCs w:val="20"/>
              </w:rPr>
              <w:t>211.665</w:t>
            </w:r>
          </w:p>
        </w:tc>
      </w:tr>
      <w:tr w:rsidR="00000000">
        <w:trPr>
          <w:trHeight w:val="20"/>
          <w:jc w:val="center"/>
        </w:trPr>
        <w:tc>
          <w:tcPr>
            <w:tcW w:w="1031" w:type="pct"/>
            <w:noWrap/>
            <w:vAlign w:val="bottom"/>
          </w:tcPr>
          <w:p w:rsidR="00000000" w:rsidRDefault="00000000">
            <w:pPr>
              <w:tabs>
                <w:tab w:val="left" w:pos="308"/>
              </w:tabs>
              <w:rPr>
                <w:b/>
                <w:bCs/>
                <w:color w:val="000000"/>
                <w:sz w:val="18"/>
                <w:szCs w:val="20"/>
              </w:rPr>
            </w:pPr>
            <w:r>
              <w:rPr>
                <w:b/>
                <w:bCs/>
                <w:color w:val="000000"/>
                <w:sz w:val="18"/>
                <w:szCs w:val="20"/>
              </w:rPr>
              <w:tab/>
              <w:t>Población total</w:t>
            </w:r>
          </w:p>
        </w:tc>
        <w:tc>
          <w:tcPr>
            <w:tcW w:w="331" w:type="pct"/>
            <w:noWrap/>
            <w:vAlign w:val="bottom"/>
          </w:tcPr>
          <w:p w:rsidR="00000000" w:rsidRDefault="00000000">
            <w:pPr>
              <w:jc w:val="right"/>
              <w:rPr>
                <w:b/>
                <w:bCs/>
                <w:color w:val="000000"/>
                <w:sz w:val="18"/>
                <w:szCs w:val="20"/>
              </w:rPr>
            </w:pPr>
            <w:r>
              <w:rPr>
                <w:b/>
                <w:bCs/>
                <w:color w:val="000000"/>
                <w:sz w:val="18"/>
                <w:szCs w:val="20"/>
              </w:rPr>
              <w:t>4.707.341</w:t>
            </w:r>
          </w:p>
        </w:tc>
        <w:tc>
          <w:tcPr>
            <w:tcW w:w="331" w:type="pct"/>
            <w:noWrap/>
            <w:vAlign w:val="bottom"/>
          </w:tcPr>
          <w:p w:rsidR="00000000" w:rsidRDefault="00000000">
            <w:pPr>
              <w:jc w:val="right"/>
              <w:rPr>
                <w:b/>
                <w:bCs/>
                <w:color w:val="000000"/>
                <w:sz w:val="18"/>
                <w:szCs w:val="20"/>
              </w:rPr>
            </w:pPr>
            <w:r>
              <w:rPr>
                <w:b/>
                <w:bCs/>
                <w:color w:val="000000"/>
                <w:sz w:val="18"/>
                <w:szCs w:val="20"/>
              </w:rPr>
              <w:t>2.354.873</w:t>
            </w:r>
          </w:p>
        </w:tc>
        <w:tc>
          <w:tcPr>
            <w:tcW w:w="333" w:type="pct"/>
            <w:noWrap/>
            <w:vAlign w:val="bottom"/>
          </w:tcPr>
          <w:p w:rsidR="00000000" w:rsidRDefault="00000000">
            <w:pPr>
              <w:jc w:val="right"/>
              <w:rPr>
                <w:b/>
                <w:bCs/>
                <w:color w:val="000000"/>
                <w:sz w:val="18"/>
                <w:szCs w:val="20"/>
              </w:rPr>
            </w:pPr>
            <w:r>
              <w:rPr>
                <w:b/>
                <w:bCs/>
                <w:color w:val="000000"/>
                <w:sz w:val="18"/>
                <w:szCs w:val="20"/>
              </w:rPr>
              <w:t>2.352.468</w:t>
            </w:r>
          </w:p>
        </w:tc>
        <w:tc>
          <w:tcPr>
            <w:tcW w:w="331" w:type="pct"/>
            <w:noWrap/>
            <w:vAlign w:val="bottom"/>
          </w:tcPr>
          <w:p w:rsidR="00000000" w:rsidRDefault="00000000">
            <w:pPr>
              <w:jc w:val="right"/>
              <w:rPr>
                <w:b/>
                <w:bCs/>
                <w:color w:val="000000"/>
                <w:sz w:val="18"/>
                <w:szCs w:val="20"/>
              </w:rPr>
            </w:pPr>
            <w:r>
              <w:rPr>
                <w:b/>
                <w:bCs/>
                <w:color w:val="000000"/>
                <w:sz w:val="18"/>
                <w:szCs w:val="20"/>
              </w:rPr>
              <w:t>5.132.678</w:t>
            </w:r>
          </w:p>
        </w:tc>
        <w:tc>
          <w:tcPr>
            <w:tcW w:w="331" w:type="pct"/>
            <w:noWrap/>
            <w:vAlign w:val="bottom"/>
          </w:tcPr>
          <w:p w:rsidR="00000000" w:rsidRDefault="00000000">
            <w:pPr>
              <w:jc w:val="right"/>
              <w:rPr>
                <w:b/>
                <w:bCs/>
                <w:color w:val="000000"/>
                <w:sz w:val="18"/>
                <w:szCs w:val="20"/>
              </w:rPr>
            </w:pPr>
            <w:r>
              <w:rPr>
                <w:b/>
                <w:bCs/>
                <w:color w:val="000000"/>
                <w:sz w:val="18"/>
                <w:szCs w:val="20"/>
              </w:rPr>
              <w:t>2.526.387</w:t>
            </w:r>
          </w:p>
        </w:tc>
        <w:tc>
          <w:tcPr>
            <w:tcW w:w="331" w:type="pct"/>
            <w:noWrap/>
            <w:vAlign w:val="bottom"/>
          </w:tcPr>
          <w:p w:rsidR="00000000" w:rsidRDefault="00000000">
            <w:pPr>
              <w:jc w:val="right"/>
              <w:rPr>
                <w:b/>
                <w:bCs/>
                <w:color w:val="000000"/>
                <w:sz w:val="18"/>
                <w:szCs w:val="20"/>
              </w:rPr>
            </w:pPr>
            <w:r>
              <w:rPr>
                <w:b/>
                <w:bCs/>
                <w:color w:val="000000"/>
                <w:sz w:val="18"/>
                <w:szCs w:val="20"/>
              </w:rPr>
              <w:t>2.606.291</w:t>
            </w:r>
          </w:p>
        </w:tc>
        <w:tc>
          <w:tcPr>
            <w:tcW w:w="331" w:type="pct"/>
            <w:noWrap/>
            <w:vAlign w:val="bottom"/>
          </w:tcPr>
          <w:p w:rsidR="00000000" w:rsidRDefault="00000000">
            <w:pPr>
              <w:jc w:val="right"/>
              <w:rPr>
                <w:b/>
                <w:bCs/>
                <w:color w:val="000000"/>
                <w:sz w:val="18"/>
                <w:szCs w:val="20"/>
              </w:rPr>
            </w:pPr>
            <w:r>
              <w:rPr>
                <w:b/>
                <w:bCs/>
                <w:color w:val="000000"/>
                <w:sz w:val="18"/>
                <w:szCs w:val="20"/>
              </w:rPr>
              <w:t>5.701.675</w:t>
            </w:r>
          </w:p>
        </w:tc>
        <w:tc>
          <w:tcPr>
            <w:tcW w:w="331" w:type="pct"/>
            <w:noWrap/>
            <w:vAlign w:val="bottom"/>
          </w:tcPr>
          <w:p w:rsidR="00000000" w:rsidRDefault="00000000">
            <w:pPr>
              <w:jc w:val="right"/>
              <w:rPr>
                <w:b/>
                <w:bCs/>
                <w:color w:val="000000"/>
                <w:sz w:val="18"/>
                <w:szCs w:val="20"/>
              </w:rPr>
            </w:pPr>
            <w:r>
              <w:rPr>
                <w:b/>
                <w:bCs/>
                <w:color w:val="000000"/>
                <w:sz w:val="18"/>
                <w:szCs w:val="20"/>
              </w:rPr>
              <w:t>2.859.583</w:t>
            </w:r>
          </w:p>
        </w:tc>
        <w:tc>
          <w:tcPr>
            <w:tcW w:w="331" w:type="pct"/>
            <w:noWrap/>
            <w:vAlign w:val="bottom"/>
          </w:tcPr>
          <w:p w:rsidR="00000000" w:rsidRDefault="00000000">
            <w:pPr>
              <w:jc w:val="right"/>
              <w:rPr>
                <w:b/>
                <w:bCs/>
                <w:color w:val="000000"/>
                <w:sz w:val="18"/>
                <w:szCs w:val="20"/>
              </w:rPr>
            </w:pPr>
            <w:r>
              <w:rPr>
                <w:b/>
                <w:bCs/>
                <w:color w:val="000000"/>
                <w:sz w:val="18"/>
                <w:szCs w:val="20"/>
              </w:rPr>
              <w:t>2.842.092</w:t>
            </w:r>
          </w:p>
        </w:tc>
        <w:tc>
          <w:tcPr>
            <w:tcW w:w="331" w:type="pct"/>
            <w:noWrap/>
            <w:vAlign w:val="bottom"/>
          </w:tcPr>
          <w:p w:rsidR="00000000" w:rsidRDefault="00000000">
            <w:pPr>
              <w:jc w:val="right"/>
              <w:rPr>
                <w:b/>
                <w:bCs/>
                <w:color w:val="000000"/>
                <w:sz w:val="18"/>
                <w:szCs w:val="20"/>
              </w:rPr>
            </w:pPr>
            <w:r>
              <w:rPr>
                <w:b/>
                <w:bCs/>
                <w:color w:val="000000"/>
                <w:sz w:val="18"/>
                <w:szCs w:val="20"/>
              </w:rPr>
              <w:t>5.837.253</w:t>
            </w:r>
          </w:p>
        </w:tc>
        <w:tc>
          <w:tcPr>
            <w:tcW w:w="331" w:type="pct"/>
            <w:noWrap/>
            <w:vAlign w:val="bottom"/>
          </w:tcPr>
          <w:p w:rsidR="00000000" w:rsidRDefault="00000000">
            <w:pPr>
              <w:jc w:val="right"/>
              <w:rPr>
                <w:b/>
                <w:bCs/>
                <w:color w:val="000000"/>
                <w:sz w:val="18"/>
                <w:szCs w:val="20"/>
              </w:rPr>
            </w:pPr>
            <w:r>
              <w:rPr>
                <w:b/>
                <w:bCs/>
                <w:color w:val="000000"/>
                <w:sz w:val="18"/>
                <w:szCs w:val="20"/>
              </w:rPr>
              <w:t>2.916.060</w:t>
            </w:r>
          </w:p>
        </w:tc>
        <w:tc>
          <w:tcPr>
            <w:tcW w:w="326" w:type="pct"/>
            <w:noWrap/>
            <w:vAlign w:val="bottom"/>
          </w:tcPr>
          <w:p w:rsidR="00000000" w:rsidRDefault="00000000">
            <w:pPr>
              <w:jc w:val="right"/>
              <w:rPr>
                <w:b/>
                <w:bCs/>
                <w:color w:val="000000"/>
                <w:sz w:val="18"/>
                <w:szCs w:val="20"/>
              </w:rPr>
            </w:pPr>
            <w:r>
              <w:rPr>
                <w:b/>
                <w:bCs/>
                <w:color w:val="000000"/>
                <w:sz w:val="18"/>
                <w:szCs w:val="20"/>
              </w:rPr>
              <w:t>2.921.193</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Tasa de actividad</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69,2</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82,3</w:t>
            </w:r>
          </w:p>
        </w:tc>
        <w:tc>
          <w:tcPr>
            <w:tcW w:w="333" w:type="pct"/>
            <w:noWrap/>
            <w:vAlign w:val="bottom"/>
          </w:tcPr>
          <w:p w:rsidR="00000000" w:rsidRDefault="00000000">
            <w:pPr>
              <w:tabs>
                <w:tab w:val="decimal" w:pos="419"/>
              </w:tabs>
              <w:jc w:val="right"/>
              <w:rPr>
                <w:color w:val="000000"/>
                <w:sz w:val="18"/>
                <w:szCs w:val="20"/>
              </w:rPr>
            </w:pPr>
            <w:r>
              <w:rPr>
                <w:color w:val="000000"/>
                <w:sz w:val="18"/>
                <w:szCs w:val="20"/>
              </w:rPr>
              <w:t>56,2</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57,3</w:t>
            </w:r>
          </w:p>
        </w:tc>
        <w:tc>
          <w:tcPr>
            <w:tcW w:w="331" w:type="pct"/>
            <w:noWrap/>
            <w:vAlign w:val="bottom"/>
          </w:tcPr>
          <w:p w:rsidR="00000000" w:rsidRDefault="00000000">
            <w:pPr>
              <w:tabs>
                <w:tab w:val="decimal" w:pos="380"/>
              </w:tabs>
              <w:jc w:val="right"/>
              <w:rPr>
                <w:color w:val="000000"/>
                <w:sz w:val="18"/>
                <w:szCs w:val="20"/>
              </w:rPr>
            </w:pPr>
            <w:r>
              <w:rPr>
                <w:color w:val="000000"/>
                <w:sz w:val="18"/>
                <w:szCs w:val="20"/>
              </w:rPr>
              <w:t>73,9</w:t>
            </w:r>
          </w:p>
        </w:tc>
        <w:tc>
          <w:tcPr>
            <w:tcW w:w="331" w:type="pct"/>
            <w:noWrap/>
            <w:vAlign w:val="bottom"/>
          </w:tcPr>
          <w:p w:rsidR="00000000" w:rsidRDefault="00000000">
            <w:pPr>
              <w:tabs>
                <w:tab w:val="decimal" w:pos="405"/>
              </w:tabs>
              <w:jc w:val="right"/>
              <w:rPr>
                <w:color w:val="000000"/>
                <w:sz w:val="18"/>
                <w:szCs w:val="20"/>
              </w:rPr>
            </w:pPr>
            <w:r>
              <w:rPr>
                <w:color w:val="000000"/>
                <w:sz w:val="18"/>
                <w:szCs w:val="20"/>
              </w:rPr>
              <w:t>41,3</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63,4</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76,6</w:t>
            </w:r>
          </w:p>
        </w:tc>
        <w:tc>
          <w:tcPr>
            <w:tcW w:w="331" w:type="pct"/>
            <w:noWrap/>
            <w:vAlign w:val="bottom"/>
          </w:tcPr>
          <w:p w:rsidR="00000000" w:rsidRDefault="00000000">
            <w:pPr>
              <w:tabs>
                <w:tab w:val="decimal" w:pos="424"/>
              </w:tabs>
              <w:jc w:val="right"/>
              <w:rPr>
                <w:color w:val="000000"/>
                <w:sz w:val="18"/>
                <w:szCs w:val="20"/>
              </w:rPr>
            </w:pPr>
            <w:r>
              <w:rPr>
                <w:color w:val="000000"/>
                <w:sz w:val="18"/>
                <w:szCs w:val="20"/>
              </w:rPr>
              <w:t>50,4</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61,8</w:t>
            </w:r>
          </w:p>
        </w:tc>
        <w:tc>
          <w:tcPr>
            <w:tcW w:w="331" w:type="pct"/>
            <w:noWrap/>
            <w:vAlign w:val="bottom"/>
          </w:tcPr>
          <w:p w:rsidR="00000000" w:rsidRDefault="00000000">
            <w:pPr>
              <w:tabs>
                <w:tab w:val="decimal" w:pos="390"/>
              </w:tabs>
              <w:jc w:val="right"/>
              <w:rPr>
                <w:color w:val="000000"/>
                <w:sz w:val="18"/>
                <w:szCs w:val="20"/>
              </w:rPr>
            </w:pPr>
            <w:r>
              <w:rPr>
                <w:color w:val="000000"/>
                <w:sz w:val="18"/>
                <w:szCs w:val="20"/>
              </w:rPr>
              <w:t>75,1</w:t>
            </w:r>
          </w:p>
        </w:tc>
        <w:tc>
          <w:tcPr>
            <w:tcW w:w="326" w:type="pct"/>
            <w:noWrap/>
            <w:vAlign w:val="bottom"/>
          </w:tcPr>
          <w:p w:rsidR="00000000" w:rsidRDefault="00000000">
            <w:pPr>
              <w:tabs>
                <w:tab w:val="decimal" w:pos="400"/>
              </w:tabs>
              <w:jc w:val="right"/>
              <w:rPr>
                <w:color w:val="000000"/>
                <w:sz w:val="18"/>
                <w:szCs w:val="20"/>
              </w:rPr>
            </w:pPr>
            <w:r>
              <w:rPr>
                <w:color w:val="000000"/>
                <w:sz w:val="18"/>
                <w:szCs w:val="20"/>
              </w:rPr>
              <w:t>48,6</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Tasa de ocupación</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96,6</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96,9</w:t>
            </w:r>
          </w:p>
        </w:tc>
        <w:tc>
          <w:tcPr>
            <w:tcW w:w="333" w:type="pct"/>
            <w:noWrap/>
            <w:vAlign w:val="bottom"/>
          </w:tcPr>
          <w:p w:rsidR="00000000" w:rsidRDefault="00000000">
            <w:pPr>
              <w:tabs>
                <w:tab w:val="decimal" w:pos="419"/>
              </w:tabs>
              <w:jc w:val="right"/>
              <w:rPr>
                <w:color w:val="000000"/>
                <w:sz w:val="18"/>
                <w:szCs w:val="20"/>
              </w:rPr>
            </w:pPr>
            <w:r>
              <w:rPr>
                <w:color w:val="000000"/>
                <w:sz w:val="18"/>
                <w:szCs w:val="20"/>
              </w:rPr>
              <w:t>96,2</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93,2</w:t>
            </w:r>
          </w:p>
        </w:tc>
        <w:tc>
          <w:tcPr>
            <w:tcW w:w="331" w:type="pct"/>
            <w:noWrap/>
            <w:vAlign w:val="bottom"/>
          </w:tcPr>
          <w:p w:rsidR="00000000" w:rsidRDefault="00000000">
            <w:pPr>
              <w:tabs>
                <w:tab w:val="decimal" w:pos="380"/>
              </w:tabs>
              <w:jc w:val="right"/>
              <w:rPr>
                <w:color w:val="000000"/>
                <w:sz w:val="18"/>
                <w:szCs w:val="20"/>
              </w:rPr>
            </w:pPr>
            <w:r>
              <w:rPr>
                <w:color w:val="000000"/>
                <w:sz w:val="18"/>
                <w:szCs w:val="20"/>
              </w:rPr>
              <w:t>93,5</w:t>
            </w:r>
          </w:p>
        </w:tc>
        <w:tc>
          <w:tcPr>
            <w:tcW w:w="331" w:type="pct"/>
            <w:noWrap/>
            <w:vAlign w:val="bottom"/>
          </w:tcPr>
          <w:p w:rsidR="00000000" w:rsidRDefault="00000000">
            <w:pPr>
              <w:tabs>
                <w:tab w:val="decimal" w:pos="405"/>
              </w:tabs>
              <w:jc w:val="right"/>
              <w:rPr>
                <w:color w:val="000000"/>
                <w:sz w:val="18"/>
                <w:szCs w:val="20"/>
              </w:rPr>
            </w:pPr>
            <w:r>
              <w:rPr>
                <w:color w:val="000000"/>
                <w:sz w:val="18"/>
                <w:szCs w:val="20"/>
              </w:rPr>
              <w:t>92,5</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92,7</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94,2</w:t>
            </w:r>
          </w:p>
        </w:tc>
        <w:tc>
          <w:tcPr>
            <w:tcW w:w="331" w:type="pct"/>
            <w:noWrap/>
            <w:vAlign w:val="bottom"/>
          </w:tcPr>
          <w:p w:rsidR="00000000" w:rsidRDefault="00000000">
            <w:pPr>
              <w:tabs>
                <w:tab w:val="decimal" w:pos="424"/>
              </w:tabs>
              <w:jc w:val="right"/>
              <w:rPr>
                <w:color w:val="000000"/>
                <w:sz w:val="18"/>
                <w:szCs w:val="20"/>
              </w:rPr>
            </w:pPr>
            <w:r>
              <w:rPr>
                <w:color w:val="000000"/>
                <w:sz w:val="18"/>
                <w:szCs w:val="20"/>
              </w:rPr>
              <w:t>90,4</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94,2</w:t>
            </w:r>
          </w:p>
        </w:tc>
        <w:tc>
          <w:tcPr>
            <w:tcW w:w="331" w:type="pct"/>
            <w:noWrap/>
            <w:vAlign w:val="bottom"/>
          </w:tcPr>
          <w:p w:rsidR="00000000" w:rsidRDefault="00000000">
            <w:pPr>
              <w:tabs>
                <w:tab w:val="decimal" w:pos="390"/>
              </w:tabs>
              <w:jc w:val="right"/>
              <w:rPr>
                <w:color w:val="000000"/>
                <w:sz w:val="18"/>
                <w:szCs w:val="20"/>
              </w:rPr>
            </w:pPr>
            <w:r>
              <w:rPr>
                <w:color w:val="000000"/>
                <w:sz w:val="18"/>
                <w:szCs w:val="20"/>
              </w:rPr>
              <w:t>95,1</w:t>
            </w:r>
          </w:p>
        </w:tc>
        <w:tc>
          <w:tcPr>
            <w:tcW w:w="326" w:type="pct"/>
            <w:noWrap/>
            <w:vAlign w:val="bottom"/>
          </w:tcPr>
          <w:p w:rsidR="00000000" w:rsidRDefault="00000000">
            <w:pPr>
              <w:tabs>
                <w:tab w:val="decimal" w:pos="400"/>
              </w:tabs>
              <w:jc w:val="right"/>
              <w:rPr>
                <w:color w:val="000000"/>
                <w:sz w:val="18"/>
                <w:szCs w:val="20"/>
              </w:rPr>
            </w:pPr>
            <w:r>
              <w:rPr>
                <w:color w:val="000000"/>
                <w:sz w:val="18"/>
                <w:szCs w:val="20"/>
              </w:rPr>
              <w:t>92,7</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Tasa de desempleo abierto</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3,4</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3,1</w:t>
            </w:r>
          </w:p>
        </w:tc>
        <w:tc>
          <w:tcPr>
            <w:tcW w:w="333" w:type="pct"/>
            <w:noWrap/>
            <w:vAlign w:val="bottom"/>
          </w:tcPr>
          <w:p w:rsidR="00000000" w:rsidRDefault="00000000">
            <w:pPr>
              <w:tabs>
                <w:tab w:val="decimal" w:pos="419"/>
              </w:tabs>
              <w:jc w:val="right"/>
              <w:rPr>
                <w:color w:val="000000"/>
                <w:sz w:val="18"/>
                <w:szCs w:val="20"/>
              </w:rPr>
            </w:pPr>
            <w:r>
              <w:rPr>
                <w:color w:val="000000"/>
                <w:sz w:val="18"/>
                <w:szCs w:val="20"/>
              </w:rPr>
              <w:t>3,8</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6,8</w:t>
            </w:r>
          </w:p>
        </w:tc>
        <w:tc>
          <w:tcPr>
            <w:tcW w:w="331" w:type="pct"/>
            <w:noWrap/>
            <w:vAlign w:val="bottom"/>
          </w:tcPr>
          <w:p w:rsidR="00000000" w:rsidRDefault="00000000">
            <w:pPr>
              <w:tabs>
                <w:tab w:val="decimal" w:pos="380"/>
              </w:tabs>
              <w:jc w:val="right"/>
              <w:rPr>
                <w:color w:val="000000"/>
                <w:sz w:val="18"/>
                <w:szCs w:val="20"/>
              </w:rPr>
            </w:pPr>
            <w:r>
              <w:rPr>
                <w:color w:val="000000"/>
                <w:sz w:val="18"/>
                <w:szCs w:val="20"/>
              </w:rPr>
              <w:t>6,5</w:t>
            </w:r>
          </w:p>
        </w:tc>
        <w:tc>
          <w:tcPr>
            <w:tcW w:w="331" w:type="pct"/>
            <w:noWrap/>
            <w:vAlign w:val="bottom"/>
          </w:tcPr>
          <w:p w:rsidR="00000000" w:rsidRDefault="00000000">
            <w:pPr>
              <w:tabs>
                <w:tab w:val="decimal" w:pos="405"/>
              </w:tabs>
              <w:jc w:val="right"/>
              <w:rPr>
                <w:color w:val="000000"/>
                <w:sz w:val="18"/>
                <w:szCs w:val="20"/>
              </w:rPr>
            </w:pPr>
            <w:r>
              <w:rPr>
                <w:color w:val="000000"/>
                <w:sz w:val="18"/>
                <w:szCs w:val="20"/>
              </w:rPr>
              <w:t>7,5</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7,3</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5,8</w:t>
            </w:r>
          </w:p>
        </w:tc>
        <w:tc>
          <w:tcPr>
            <w:tcW w:w="331" w:type="pct"/>
            <w:noWrap/>
            <w:vAlign w:val="bottom"/>
          </w:tcPr>
          <w:p w:rsidR="00000000" w:rsidRDefault="00000000">
            <w:pPr>
              <w:tabs>
                <w:tab w:val="decimal" w:pos="424"/>
              </w:tabs>
              <w:jc w:val="right"/>
              <w:rPr>
                <w:color w:val="000000"/>
                <w:sz w:val="18"/>
                <w:szCs w:val="20"/>
              </w:rPr>
            </w:pPr>
            <w:r>
              <w:rPr>
                <w:color w:val="000000"/>
                <w:sz w:val="18"/>
                <w:szCs w:val="20"/>
              </w:rPr>
              <w:t>9,6</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5,8</w:t>
            </w:r>
          </w:p>
        </w:tc>
        <w:tc>
          <w:tcPr>
            <w:tcW w:w="331" w:type="pct"/>
            <w:noWrap/>
            <w:vAlign w:val="bottom"/>
          </w:tcPr>
          <w:p w:rsidR="00000000" w:rsidRDefault="00000000">
            <w:pPr>
              <w:tabs>
                <w:tab w:val="decimal" w:pos="390"/>
              </w:tabs>
              <w:jc w:val="right"/>
              <w:rPr>
                <w:color w:val="000000"/>
                <w:sz w:val="18"/>
                <w:szCs w:val="20"/>
              </w:rPr>
            </w:pPr>
            <w:r>
              <w:rPr>
                <w:color w:val="000000"/>
                <w:sz w:val="18"/>
                <w:szCs w:val="20"/>
              </w:rPr>
              <w:t>4,9</w:t>
            </w:r>
          </w:p>
        </w:tc>
        <w:tc>
          <w:tcPr>
            <w:tcW w:w="326" w:type="pct"/>
            <w:noWrap/>
            <w:vAlign w:val="bottom"/>
          </w:tcPr>
          <w:p w:rsidR="00000000" w:rsidRDefault="00000000">
            <w:pPr>
              <w:tabs>
                <w:tab w:val="decimal" w:pos="400"/>
              </w:tabs>
              <w:jc w:val="right"/>
              <w:rPr>
                <w:color w:val="000000"/>
                <w:sz w:val="18"/>
                <w:szCs w:val="20"/>
              </w:rPr>
            </w:pPr>
            <w:r>
              <w:rPr>
                <w:color w:val="000000"/>
                <w:sz w:val="18"/>
                <w:szCs w:val="20"/>
              </w:rPr>
              <w:t>7,3</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Tasa de desempleo oculto</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2,6</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1,9</w:t>
            </w:r>
          </w:p>
        </w:tc>
        <w:tc>
          <w:tcPr>
            <w:tcW w:w="333" w:type="pct"/>
            <w:noWrap/>
            <w:vAlign w:val="bottom"/>
          </w:tcPr>
          <w:p w:rsidR="00000000" w:rsidRDefault="00000000">
            <w:pPr>
              <w:tabs>
                <w:tab w:val="decimal" w:pos="419"/>
              </w:tabs>
              <w:jc w:val="right"/>
              <w:rPr>
                <w:color w:val="000000"/>
                <w:sz w:val="18"/>
                <w:szCs w:val="20"/>
              </w:rPr>
            </w:pPr>
            <w:r>
              <w:rPr>
                <w:color w:val="000000"/>
                <w:sz w:val="18"/>
                <w:szCs w:val="20"/>
              </w:rPr>
              <w:t>3,6</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9,7</w:t>
            </w:r>
          </w:p>
        </w:tc>
        <w:tc>
          <w:tcPr>
            <w:tcW w:w="331" w:type="pct"/>
            <w:noWrap/>
            <w:vAlign w:val="bottom"/>
          </w:tcPr>
          <w:p w:rsidR="00000000" w:rsidRDefault="00000000">
            <w:pPr>
              <w:tabs>
                <w:tab w:val="decimal" w:pos="380"/>
              </w:tabs>
              <w:jc w:val="right"/>
              <w:rPr>
                <w:color w:val="000000"/>
                <w:sz w:val="18"/>
                <w:szCs w:val="20"/>
              </w:rPr>
            </w:pPr>
            <w:r>
              <w:rPr>
                <w:color w:val="000000"/>
                <w:sz w:val="18"/>
                <w:szCs w:val="20"/>
              </w:rPr>
              <w:t>5,6</w:t>
            </w:r>
          </w:p>
        </w:tc>
        <w:tc>
          <w:tcPr>
            <w:tcW w:w="331" w:type="pct"/>
            <w:noWrap/>
            <w:vAlign w:val="bottom"/>
          </w:tcPr>
          <w:p w:rsidR="00000000" w:rsidRDefault="00000000">
            <w:pPr>
              <w:tabs>
                <w:tab w:val="decimal" w:pos="405"/>
              </w:tabs>
              <w:jc w:val="right"/>
              <w:rPr>
                <w:color w:val="000000"/>
                <w:sz w:val="18"/>
                <w:szCs w:val="20"/>
              </w:rPr>
            </w:pPr>
            <w:r>
              <w:rPr>
                <w:color w:val="000000"/>
                <w:sz w:val="18"/>
                <w:szCs w:val="20"/>
              </w:rPr>
              <w:t>16,1</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3,9</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2,4</w:t>
            </w:r>
          </w:p>
        </w:tc>
        <w:tc>
          <w:tcPr>
            <w:tcW w:w="331" w:type="pct"/>
            <w:noWrap/>
            <w:vAlign w:val="bottom"/>
          </w:tcPr>
          <w:p w:rsidR="00000000" w:rsidRDefault="00000000">
            <w:pPr>
              <w:tabs>
                <w:tab w:val="decimal" w:pos="424"/>
              </w:tabs>
              <w:jc w:val="right"/>
              <w:rPr>
                <w:color w:val="000000"/>
                <w:sz w:val="18"/>
                <w:szCs w:val="20"/>
              </w:rPr>
            </w:pPr>
            <w:r>
              <w:rPr>
                <w:color w:val="000000"/>
                <w:sz w:val="18"/>
                <w:szCs w:val="20"/>
              </w:rPr>
              <w:t>6,1</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3,7</w:t>
            </w:r>
          </w:p>
        </w:tc>
        <w:tc>
          <w:tcPr>
            <w:tcW w:w="331" w:type="pct"/>
            <w:noWrap/>
            <w:vAlign w:val="bottom"/>
          </w:tcPr>
          <w:p w:rsidR="00000000" w:rsidRDefault="00000000">
            <w:pPr>
              <w:tabs>
                <w:tab w:val="decimal" w:pos="390"/>
              </w:tabs>
              <w:jc w:val="right"/>
              <w:rPr>
                <w:color w:val="000000"/>
                <w:sz w:val="18"/>
                <w:szCs w:val="20"/>
              </w:rPr>
            </w:pPr>
            <w:r>
              <w:rPr>
                <w:color w:val="000000"/>
                <w:sz w:val="18"/>
                <w:szCs w:val="20"/>
              </w:rPr>
              <w:t>2,4</w:t>
            </w:r>
          </w:p>
        </w:tc>
        <w:tc>
          <w:tcPr>
            <w:tcW w:w="326" w:type="pct"/>
            <w:noWrap/>
            <w:vAlign w:val="bottom"/>
          </w:tcPr>
          <w:p w:rsidR="00000000" w:rsidRDefault="00000000">
            <w:pPr>
              <w:tabs>
                <w:tab w:val="decimal" w:pos="400"/>
              </w:tabs>
              <w:jc w:val="right"/>
              <w:rPr>
                <w:color w:val="000000"/>
                <w:sz w:val="18"/>
                <w:szCs w:val="20"/>
              </w:rPr>
            </w:pPr>
            <w:r>
              <w:rPr>
                <w:color w:val="000000"/>
                <w:sz w:val="18"/>
                <w:szCs w:val="20"/>
              </w:rPr>
              <w:t>5,7</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Tasa de subocupación total</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16,7</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15,2</w:t>
            </w:r>
          </w:p>
        </w:tc>
        <w:tc>
          <w:tcPr>
            <w:tcW w:w="333" w:type="pct"/>
            <w:noWrap/>
            <w:vAlign w:val="bottom"/>
          </w:tcPr>
          <w:p w:rsidR="00000000" w:rsidRDefault="00000000">
            <w:pPr>
              <w:tabs>
                <w:tab w:val="decimal" w:pos="419"/>
              </w:tabs>
              <w:jc w:val="right"/>
              <w:rPr>
                <w:color w:val="000000"/>
                <w:sz w:val="18"/>
                <w:szCs w:val="20"/>
              </w:rPr>
            </w:pPr>
            <w:r>
              <w:rPr>
                <w:color w:val="000000"/>
                <w:sz w:val="18"/>
                <w:szCs w:val="20"/>
              </w:rPr>
              <w:t>18,9</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17,6</w:t>
            </w:r>
          </w:p>
        </w:tc>
        <w:tc>
          <w:tcPr>
            <w:tcW w:w="331" w:type="pct"/>
            <w:noWrap/>
            <w:vAlign w:val="bottom"/>
          </w:tcPr>
          <w:p w:rsidR="00000000" w:rsidRDefault="00000000">
            <w:pPr>
              <w:tabs>
                <w:tab w:val="decimal" w:pos="380"/>
              </w:tabs>
              <w:jc w:val="right"/>
              <w:rPr>
                <w:color w:val="000000"/>
                <w:sz w:val="18"/>
                <w:szCs w:val="20"/>
              </w:rPr>
            </w:pPr>
            <w:r>
              <w:rPr>
                <w:color w:val="000000"/>
                <w:sz w:val="18"/>
                <w:szCs w:val="20"/>
              </w:rPr>
              <w:t>14,9</w:t>
            </w:r>
          </w:p>
        </w:tc>
        <w:tc>
          <w:tcPr>
            <w:tcW w:w="331" w:type="pct"/>
            <w:noWrap/>
            <w:vAlign w:val="bottom"/>
          </w:tcPr>
          <w:p w:rsidR="00000000" w:rsidRDefault="00000000">
            <w:pPr>
              <w:tabs>
                <w:tab w:val="decimal" w:pos="405"/>
              </w:tabs>
              <w:jc w:val="right"/>
              <w:rPr>
                <w:color w:val="000000"/>
                <w:sz w:val="18"/>
                <w:szCs w:val="20"/>
              </w:rPr>
            </w:pPr>
            <w:r>
              <w:rPr>
                <w:color w:val="000000"/>
                <w:sz w:val="18"/>
                <w:szCs w:val="20"/>
              </w:rPr>
              <w:t>22,3</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24,2</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21,8</w:t>
            </w:r>
          </w:p>
        </w:tc>
        <w:tc>
          <w:tcPr>
            <w:tcW w:w="331" w:type="pct"/>
            <w:noWrap/>
            <w:vAlign w:val="bottom"/>
          </w:tcPr>
          <w:p w:rsidR="00000000" w:rsidRDefault="00000000">
            <w:pPr>
              <w:tabs>
                <w:tab w:val="decimal" w:pos="424"/>
              </w:tabs>
              <w:jc w:val="right"/>
              <w:rPr>
                <w:color w:val="000000"/>
                <w:sz w:val="18"/>
                <w:szCs w:val="20"/>
              </w:rPr>
            </w:pPr>
            <w:r>
              <w:rPr>
                <w:color w:val="000000"/>
                <w:sz w:val="18"/>
                <w:szCs w:val="20"/>
              </w:rPr>
              <w:t>27,7</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25,1</w:t>
            </w:r>
          </w:p>
        </w:tc>
        <w:tc>
          <w:tcPr>
            <w:tcW w:w="331" w:type="pct"/>
            <w:noWrap/>
            <w:vAlign w:val="bottom"/>
          </w:tcPr>
          <w:p w:rsidR="00000000" w:rsidRDefault="00000000">
            <w:pPr>
              <w:tabs>
                <w:tab w:val="decimal" w:pos="390"/>
              </w:tabs>
              <w:jc w:val="right"/>
              <w:rPr>
                <w:color w:val="000000"/>
                <w:sz w:val="18"/>
                <w:szCs w:val="20"/>
              </w:rPr>
            </w:pPr>
            <w:r>
              <w:rPr>
                <w:color w:val="000000"/>
                <w:sz w:val="18"/>
                <w:szCs w:val="20"/>
              </w:rPr>
              <w:t>22,2</w:t>
            </w:r>
          </w:p>
        </w:tc>
        <w:tc>
          <w:tcPr>
            <w:tcW w:w="326" w:type="pct"/>
            <w:noWrap/>
            <w:vAlign w:val="bottom"/>
          </w:tcPr>
          <w:p w:rsidR="00000000" w:rsidRDefault="00000000">
            <w:pPr>
              <w:tabs>
                <w:tab w:val="decimal" w:pos="400"/>
              </w:tabs>
              <w:jc w:val="right"/>
              <w:rPr>
                <w:color w:val="000000"/>
                <w:sz w:val="18"/>
                <w:szCs w:val="20"/>
              </w:rPr>
            </w:pPr>
            <w:r>
              <w:rPr>
                <w:color w:val="000000"/>
                <w:sz w:val="18"/>
                <w:szCs w:val="20"/>
              </w:rPr>
              <w:t>29,6</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Tasa de subocupación visible</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6,1</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4,4</w:t>
            </w:r>
          </w:p>
        </w:tc>
        <w:tc>
          <w:tcPr>
            <w:tcW w:w="333" w:type="pct"/>
            <w:noWrap/>
            <w:vAlign w:val="bottom"/>
          </w:tcPr>
          <w:p w:rsidR="00000000" w:rsidRDefault="00000000">
            <w:pPr>
              <w:tabs>
                <w:tab w:val="decimal" w:pos="419"/>
              </w:tabs>
              <w:jc w:val="right"/>
              <w:rPr>
                <w:color w:val="000000"/>
                <w:sz w:val="18"/>
                <w:szCs w:val="20"/>
              </w:rPr>
            </w:pPr>
            <w:r>
              <w:rPr>
                <w:color w:val="000000"/>
                <w:sz w:val="18"/>
                <w:szCs w:val="20"/>
              </w:rPr>
              <w:t>8,5</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6,1</w:t>
            </w:r>
          </w:p>
        </w:tc>
        <w:tc>
          <w:tcPr>
            <w:tcW w:w="331" w:type="pct"/>
            <w:noWrap/>
            <w:vAlign w:val="bottom"/>
          </w:tcPr>
          <w:p w:rsidR="00000000" w:rsidRDefault="00000000">
            <w:pPr>
              <w:tabs>
                <w:tab w:val="decimal" w:pos="380"/>
              </w:tabs>
              <w:jc w:val="right"/>
              <w:rPr>
                <w:color w:val="000000"/>
                <w:sz w:val="18"/>
                <w:szCs w:val="20"/>
              </w:rPr>
            </w:pPr>
            <w:r>
              <w:rPr>
                <w:color w:val="000000"/>
                <w:sz w:val="18"/>
                <w:szCs w:val="20"/>
              </w:rPr>
              <w:t>3,7</w:t>
            </w:r>
          </w:p>
        </w:tc>
        <w:tc>
          <w:tcPr>
            <w:tcW w:w="331" w:type="pct"/>
            <w:noWrap/>
            <w:vAlign w:val="bottom"/>
          </w:tcPr>
          <w:p w:rsidR="00000000" w:rsidRDefault="00000000">
            <w:pPr>
              <w:tabs>
                <w:tab w:val="decimal" w:pos="405"/>
              </w:tabs>
              <w:jc w:val="right"/>
              <w:rPr>
                <w:color w:val="000000"/>
                <w:sz w:val="18"/>
                <w:szCs w:val="20"/>
              </w:rPr>
            </w:pPr>
            <w:r>
              <w:rPr>
                <w:color w:val="000000"/>
                <w:sz w:val="18"/>
                <w:szCs w:val="20"/>
              </w:rPr>
              <w:t>10,1</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8,1</w:t>
            </w:r>
          </w:p>
        </w:tc>
        <w:tc>
          <w:tcPr>
            <w:tcW w:w="331" w:type="pct"/>
            <w:noWrap/>
            <w:vAlign w:val="bottom"/>
          </w:tcPr>
          <w:p w:rsidR="00000000" w:rsidRDefault="00000000">
            <w:pPr>
              <w:tabs>
                <w:tab w:val="decimal" w:pos="410"/>
              </w:tabs>
              <w:jc w:val="right"/>
              <w:rPr>
                <w:color w:val="000000"/>
                <w:sz w:val="18"/>
                <w:szCs w:val="20"/>
              </w:rPr>
            </w:pPr>
            <w:r>
              <w:rPr>
                <w:color w:val="000000"/>
                <w:sz w:val="18"/>
                <w:szCs w:val="20"/>
              </w:rPr>
              <w:t>5,8</w:t>
            </w:r>
          </w:p>
        </w:tc>
        <w:tc>
          <w:tcPr>
            <w:tcW w:w="331" w:type="pct"/>
            <w:noWrap/>
            <w:vAlign w:val="bottom"/>
          </w:tcPr>
          <w:p w:rsidR="00000000" w:rsidRDefault="00000000">
            <w:pPr>
              <w:tabs>
                <w:tab w:val="decimal" w:pos="424"/>
              </w:tabs>
              <w:jc w:val="right"/>
              <w:rPr>
                <w:color w:val="000000"/>
                <w:sz w:val="18"/>
                <w:szCs w:val="20"/>
              </w:rPr>
            </w:pPr>
            <w:r>
              <w:rPr>
                <w:color w:val="000000"/>
                <w:sz w:val="18"/>
                <w:szCs w:val="20"/>
              </w:rPr>
              <w:t>11,5</w:t>
            </w:r>
          </w:p>
        </w:tc>
        <w:tc>
          <w:tcPr>
            <w:tcW w:w="331" w:type="pct"/>
            <w:noWrap/>
            <w:vAlign w:val="bottom"/>
          </w:tcPr>
          <w:p w:rsidR="00000000" w:rsidRDefault="00000000">
            <w:pPr>
              <w:tabs>
                <w:tab w:val="decimal" w:pos="393"/>
              </w:tabs>
              <w:jc w:val="right"/>
              <w:rPr>
                <w:color w:val="000000"/>
                <w:sz w:val="18"/>
                <w:szCs w:val="20"/>
              </w:rPr>
            </w:pPr>
            <w:r>
              <w:rPr>
                <w:color w:val="000000"/>
                <w:sz w:val="18"/>
                <w:szCs w:val="20"/>
              </w:rPr>
              <w:t>6,7</w:t>
            </w:r>
          </w:p>
        </w:tc>
        <w:tc>
          <w:tcPr>
            <w:tcW w:w="331" w:type="pct"/>
            <w:noWrap/>
            <w:vAlign w:val="bottom"/>
          </w:tcPr>
          <w:p w:rsidR="00000000" w:rsidRDefault="00000000">
            <w:pPr>
              <w:tabs>
                <w:tab w:val="decimal" w:pos="390"/>
              </w:tabs>
              <w:jc w:val="right"/>
              <w:rPr>
                <w:color w:val="000000"/>
                <w:sz w:val="18"/>
                <w:szCs w:val="20"/>
              </w:rPr>
            </w:pPr>
            <w:r>
              <w:rPr>
                <w:color w:val="000000"/>
                <w:sz w:val="18"/>
                <w:szCs w:val="20"/>
              </w:rPr>
              <w:t>4,3</w:t>
            </w:r>
          </w:p>
        </w:tc>
        <w:tc>
          <w:tcPr>
            <w:tcW w:w="326" w:type="pct"/>
            <w:noWrap/>
            <w:vAlign w:val="bottom"/>
          </w:tcPr>
          <w:p w:rsidR="00000000" w:rsidRDefault="00000000">
            <w:pPr>
              <w:tabs>
                <w:tab w:val="decimal" w:pos="400"/>
              </w:tabs>
              <w:jc w:val="right"/>
              <w:rPr>
                <w:color w:val="000000"/>
                <w:sz w:val="18"/>
                <w:szCs w:val="20"/>
              </w:rPr>
            </w:pPr>
            <w:r>
              <w:rPr>
                <w:color w:val="000000"/>
                <w:sz w:val="18"/>
                <w:szCs w:val="20"/>
              </w:rPr>
              <w:t>10,4</w:t>
            </w:r>
          </w:p>
        </w:tc>
      </w:tr>
      <w:tr w:rsidR="00000000">
        <w:trPr>
          <w:trHeight w:val="20"/>
          <w:jc w:val="center"/>
        </w:trPr>
        <w:tc>
          <w:tcPr>
            <w:tcW w:w="1031" w:type="pct"/>
            <w:noWrap/>
            <w:vAlign w:val="bottom"/>
          </w:tcPr>
          <w:p w:rsidR="00000000" w:rsidRDefault="00000000">
            <w:pPr>
              <w:rPr>
                <w:color w:val="000000"/>
                <w:sz w:val="18"/>
                <w:szCs w:val="20"/>
              </w:rPr>
            </w:pPr>
            <w:r>
              <w:rPr>
                <w:color w:val="000000"/>
                <w:sz w:val="18"/>
                <w:szCs w:val="20"/>
              </w:rPr>
              <w:t>Tasa de subocupación invisible</w:t>
            </w:r>
          </w:p>
        </w:tc>
        <w:tc>
          <w:tcPr>
            <w:tcW w:w="331" w:type="pct"/>
            <w:noWrap/>
            <w:vAlign w:val="bottom"/>
          </w:tcPr>
          <w:p w:rsidR="00000000" w:rsidRDefault="00000000">
            <w:pPr>
              <w:jc w:val="right"/>
              <w:rPr>
                <w:color w:val="000000"/>
                <w:sz w:val="18"/>
                <w:szCs w:val="20"/>
              </w:rPr>
            </w:pPr>
            <w:r>
              <w:rPr>
                <w:color w:val="000000"/>
                <w:sz w:val="18"/>
                <w:szCs w:val="20"/>
              </w:rPr>
              <w:t>10,6</w:t>
            </w:r>
          </w:p>
        </w:tc>
        <w:tc>
          <w:tcPr>
            <w:tcW w:w="331" w:type="pct"/>
            <w:noWrap/>
            <w:vAlign w:val="bottom"/>
          </w:tcPr>
          <w:p w:rsidR="00000000" w:rsidRDefault="00000000">
            <w:pPr>
              <w:jc w:val="right"/>
              <w:rPr>
                <w:color w:val="000000"/>
                <w:sz w:val="18"/>
                <w:szCs w:val="20"/>
              </w:rPr>
            </w:pPr>
            <w:r>
              <w:rPr>
                <w:color w:val="000000"/>
                <w:sz w:val="18"/>
                <w:szCs w:val="20"/>
              </w:rPr>
              <w:t>10,8</w:t>
            </w:r>
          </w:p>
        </w:tc>
        <w:tc>
          <w:tcPr>
            <w:tcW w:w="333" w:type="pct"/>
            <w:noWrap/>
            <w:vAlign w:val="bottom"/>
          </w:tcPr>
          <w:p w:rsidR="00000000" w:rsidRDefault="00000000">
            <w:pPr>
              <w:jc w:val="right"/>
              <w:rPr>
                <w:color w:val="000000"/>
                <w:sz w:val="18"/>
                <w:szCs w:val="20"/>
              </w:rPr>
            </w:pPr>
            <w:r>
              <w:rPr>
                <w:color w:val="000000"/>
                <w:sz w:val="18"/>
                <w:szCs w:val="20"/>
              </w:rPr>
              <w:t>10,4</w:t>
            </w:r>
          </w:p>
        </w:tc>
        <w:tc>
          <w:tcPr>
            <w:tcW w:w="331" w:type="pct"/>
            <w:noWrap/>
            <w:vAlign w:val="bottom"/>
          </w:tcPr>
          <w:p w:rsidR="00000000" w:rsidRDefault="00000000">
            <w:pPr>
              <w:jc w:val="right"/>
              <w:rPr>
                <w:color w:val="000000"/>
                <w:sz w:val="18"/>
                <w:szCs w:val="20"/>
              </w:rPr>
            </w:pPr>
            <w:r>
              <w:rPr>
                <w:color w:val="000000"/>
                <w:sz w:val="18"/>
                <w:szCs w:val="20"/>
              </w:rPr>
              <w:t>11,5</w:t>
            </w:r>
          </w:p>
        </w:tc>
        <w:tc>
          <w:tcPr>
            <w:tcW w:w="331" w:type="pct"/>
            <w:noWrap/>
            <w:vAlign w:val="bottom"/>
          </w:tcPr>
          <w:p w:rsidR="00000000" w:rsidRDefault="00000000">
            <w:pPr>
              <w:jc w:val="right"/>
              <w:rPr>
                <w:color w:val="000000"/>
                <w:sz w:val="18"/>
                <w:szCs w:val="20"/>
              </w:rPr>
            </w:pPr>
            <w:r>
              <w:rPr>
                <w:color w:val="000000"/>
                <w:sz w:val="18"/>
                <w:szCs w:val="20"/>
              </w:rPr>
              <w:t>11,1</w:t>
            </w:r>
          </w:p>
        </w:tc>
        <w:tc>
          <w:tcPr>
            <w:tcW w:w="331" w:type="pct"/>
            <w:noWrap/>
            <w:vAlign w:val="bottom"/>
          </w:tcPr>
          <w:p w:rsidR="00000000" w:rsidRDefault="00000000">
            <w:pPr>
              <w:jc w:val="right"/>
              <w:rPr>
                <w:color w:val="000000"/>
                <w:sz w:val="18"/>
                <w:szCs w:val="20"/>
              </w:rPr>
            </w:pPr>
            <w:r>
              <w:rPr>
                <w:color w:val="000000"/>
                <w:sz w:val="18"/>
                <w:szCs w:val="20"/>
              </w:rPr>
              <w:t>12,1</w:t>
            </w:r>
          </w:p>
        </w:tc>
        <w:tc>
          <w:tcPr>
            <w:tcW w:w="331" w:type="pct"/>
            <w:noWrap/>
            <w:vAlign w:val="bottom"/>
          </w:tcPr>
          <w:p w:rsidR="00000000" w:rsidRDefault="00000000">
            <w:pPr>
              <w:jc w:val="right"/>
              <w:rPr>
                <w:color w:val="000000"/>
                <w:sz w:val="18"/>
                <w:szCs w:val="20"/>
              </w:rPr>
            </w:pPr>
            <w:r>
              <w:rPr>
                <w:color w:val="000000"/>
                <w:sz w:val="18"/>
                <w:szCs w:val="20"/>
              </w:rPr>
              <w:t>16,1</w:t>
            </w:r>
          </w:p>
        </w:tc>
        <w:tc>
          <w:tcPr>
            <w:tcW w:w="331" w:type="pct"/>
            <w:noWrap/>
            <w:vAlign w:val="bottom"/>
          </w:tcPr>
          <w:p w:rsidR="00000000" w:rsidRDefault="00000000">
            <w:pPr>
              <w:jc w:val="right"/>
              <w:rPr>
                <w:color w:val="000000"/>
                <w:sz w:val="18"/>
                <w:szCs w:val="20"/>
              </w:rPr>
            </w:pPr>
            <w:r>
              <w:rPr>
                <w:color w:val="000000"/>
                <w:sz w:val="18"/>
                <w:szCs w:val="20"/>
              </w:rPr>
              <w:t>16,0</w:t>
            </w:r>
          </w:p>
        </w:tc>
        <w:tc>
          <w:tcPr>
            <w:tcW w:w="331" w:type="pct"/>
            <w:noWrap/>
            <w:vAlign w:val="bottom"/>
          </w:tcPr>
          <w:p w:rsidR="00000000" w:rsidRDefault="00000000">
            <w:pPr>
              <w:jc w:val="right"/>
              <w:rPr>
                <w:color w:val="000000"/>
                <w:sz w:val="18"/>
                <w:szCs w:val="20"/>
              </w:rPr>
            </w:pPr>
            <w:r>
              <w:rPr>
                <w:color w:val="000000"/>
                <w:sz w:val="18"/>
                <w:szCs w:val="20"/>
              </w:rPr>
              <w:t>16,2</w:t>
            </w:r>
          </w:p>
        </w:tc>
        <w:tc>
          <w:tcPr>
            <w:tcW w:w="331" w:type="pct"/>
            <w:noWrap/>
            <w:vAlign w:val="bottom"/>
          </w:tcPr>
          <w:p w:rsidR="00000000" w:rsidRDefault="00000000">
            <w:pPr>
              <w:jc w:val="right"/>
              <w:rPr>
                <w:color w:val="000000"/>
                <w:sz w:val="18"/>
                <w:szCs w:val="20"/>
              </w:rPr>
            </w:pPr>
            <w:r>
              <w:rPr>
                <w:color w:val="000000"/>
                <w:sz w:val="18"/>
                <w:szCs w:val="20"/>
              </w:rPr>
              <w:t>18,4</w:t>
            </w:r>
          </w:p>
        </w:tc>
        <w:tc>
          <w:tcPr>
            <w:tcW w:w="331" w:type="pct"/>
            <w:noWrap/>
            <w:vAlign w:val="bottom"/>
          </w:tcPr>
          <w:p w:rsidR="00000000" w:rsidRDefault="00000000">
            <w:pPr>
              <w:jc w:val="right"/>
              <w:rPr>
                <w:color w:val="000000"/>
                <w:sz w:val="18"/>
                <w:szCs w:val="20"/>
              </w:rPr>
            </w:pPr>
            <w:r>
              <w:rPr>
                <w:color w:val="000000"/>
                <w:sz w:val="18"/>
                <w:szCs w:val="20"/>
              </w:rPr>
              <w:t>17,8</w:t>
            </w:r>
          </w:p>
        </w:tc>
        <w:tc>
          <w:tcPr>
            <w:tcW w:w="326" w:type="pct"/>
            <w:noWrap/>
            <w:vAlign w:val="bottom"/>
          </w:tcPr>
          <w:p w:rsidR="00000000" w:rsidRDefault="00000000">
            <w:pPr>
              <w:jc w:val="right"/>
              <w:rPr>
                <w:color w:val="000000"/>
                <w:sz w:val="18"/>
                <w:szCs w:val="20"/>
              </w:rPr>
            </w:pPr>
            <w:r>
              <w:rPr>
                <w:color w:val="000000"/>
                <w:sz w:val="18"/>
                <w:szCs w:val="20"/>
              </w:rPr>
              <w:t>19,3</w:t>
            </w:r>
          </w:p>
        </w:tc>
      </w:tr>
    </w:tbl>
    <w:p w:rsidR="00000000" w:rsidRDefault="00000000">
      <w:pPr>
        <w:spacing w:before="200" w:after="180"/>
        <w:rPr>
          <w:color w:val="000000"/>
          <w:sz w:val="18"/>
          <w:szCs w:val="16"/>
        </w:rPr>
      </w:pPr>
      <w:r>
        <w:rPr>
          <w:i/>
          <w:iCs/>
          <w:color w:val="000000"/>
          <w:sz w:val="18"/>
          <w:szCs w:val="16"/>
        </w:rPr>
        <w:t>Fuente</w:t>
      </w:r>
      <w:r>
        <w:rPr>
          <w:color w:val="000000"/>
          <w:sz w:val="18"/>
          <w:szCs w:val="16"/>
        </w:rPr>
        <w:t>:  STP/DGEEC.  Encuesta permanente de hogares 1995, 1999, 2004, 2005.</w:t>
      </w:r>
    </w:p>
    <w:p w:rsidR="00000000" w:rsidRDefault="00000000">
      <w:pPr>
        <w:spacing w:after="180"/>
        <w:rPr>
          <w:color w:val="000000"/>
          <w:sz w:val="18"/>
          <w:szCs w:val="16"/>
        </w:rPr>
      </w:pPr>
      <w:r>
        <w:rPr>
          <w:b/>
          <w:bCs/>
          <w:color w:val="000000"/>
          <w:sz w:val="18"/>
          <w:szCs w:val="16"/>
        </w:rPr>
        <w:t>*</w:t>
      </w:r>
      <w:r>
        <w:rPr>
          <w:color w:val="000000"/>
          <w:sz w:val="18"/>
          <w:szCs w:val="16"/>
        </w:rPr>
        <w:t xml:space="preserve"> En la EPH 1995-1999, los datos están ajustados a los resultados del Censo 2002.</w:t>
      </w:r>
    </w:p>
    <w:p w:rsidR="00000000" w:rsidRDefault="00000000">
      <w:pPr>
        <w:spacing w:after="180"/>
        <w:rPr>
          <w:color w:val="000000"/>
          <w:sz w:val="18"/>
        </w:rPr>
      </w:pPr>
      <w:r>
        <w:rPr>
          <w:b/>
          <w:bCs/>
          <w:color w:val="000000"/>
          <w:sz w:val="18"/>
          <w:szCs w:val="16"/>
        </w:rPr>
        <w:t>**</w:t>
      </w:r>
      <w:r>
        <w:rPr>
          <w:color w:val="000000"/>
          <w:sz w:val="18"/>
          <w:szCs w:val="16"/>
        </w:rPr>
        <w:t xml:space="preserve"> Población de 10 años o más de edad.</w:t>
      </w:r>
    </w:p>
    <w:p w:rsidR="00000000" w:rsidRDefault="00000000">
      <w:pPr>
        <w:spacing w:after="240"/>
        <w:ind w:left="567"/>
        <w:rPr>
          <w:b/>
          <w:color w:val="000000"/>
        </w:rPr>
      </w:pPr>
      <w:r>
        <w:rPr>
          <w:color w:val="000000"/>
        </w:rPr>
        <w:br w:type="page"/>
      </w:r>
      <w:r>
        <w:rPr>
          <w:b/>
          <w:color w:val="000000"/>
        </w:rPr>
        <w:t>4.1.1.  Empleo (población adulta)</w:t>
      </w:r>
    </w:p>
    <w:p w:rsidR="00000000" w:rsidRDefault="00000000">
      <w:pPr>
        <w:spacing w:after="180"/>
        <w:jc w:val="center"/>
        <w:rPr>
          <w:b/>
          <w:color w:val="000000"/>
        </w:rPr>
      </w:pPr>
      <w:r>
        <w:rPr>
          <w:b/>
          <w:bCs/>
          <w:color w:val="000000"/>
          <w:sz w:val="18"/>
          <w:szCs w:val="20"/>
        </w:rPr>
        <w:t>Indicadores de empleo de la población adulta, 1995-2005</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794"/>
        <w:gridCol w:w="891"/>
        <w:gridCol w:w="910"/>
        <w:gridCol w:w="893"/>
        <w:gridCol w:w="910"/>
        <w:gridCol w:w="904"/>
        <w:gridCol w:w="891"/>
        <w:gridCol w:w="904"/>
        <w:gridCol w:w="893"/>
        <w:gridCol w:w="907"/>
        <w:gridCol w:w="874"/>
        <w:gridCol w:w="893"/>
        <w:gridCol w:w="872"/>
      </w:tblGrid>
      <w:tr w:rsidR="00000000">
        <w:trPr>
          <w:cantSplit/>
          <w:trHeight w:val="20"/>
        </w:trPr>
        <w:tc>
          <w:tcPr>
            <w:tcW w:w="1032" w:type="pct"/>
            <w:vMerge w:val="restart"/>
            <w:vAlign w:val="center"/>
          </w:tcPr>
          <w:p w:rsidR="00000000" w:rsidRDefault="00000000">
            <w:pPr>
              <w:jc w:val="center"/>
              <w:rPr>
                <w:b/>
                <w:bCs/>
                <w:color w:val="000000"/>
                <w:sz w:val="18"/>
                <w:szCs w:val="18"/>
              </w:rPr>
            </w:pPr>
            <w:r>
              <w:rPr>
                <w:b/>
                <w:bCs/>
                <w:color w:val="000000"/>
                <w:sz w:val="18"/>
                <w:szCs w:val="18"/>
              </w:rPr>
              <w:t>Clasificación</w:t>
            </w:r>
          </w:p>
        </w:tc>
        <w:tc>
          <w:tcPr>
            <w:tcW w:w="995" w:type="pct"/>
            <w:gridSpan w:val="3"/>
            <w:vAlign w:val="center"/>
          </w:tcPr>
          <w:p w:rsidR="00000000" w:rsidRDefault="00000000">
            <w:pPr>
              <w:jc w:val="center"/>
              <w:rPr>
                <w:b/>
                <w:bCs/>
                <w:color w:val="000000"/>
                <w:sz w:val="18"/>
                <w:szCs w:val="20"/>
              </w:rPr>
            </w:pPr>
            <w:r>
              <w:rPr>
                <w:b/>
                <w:bCs/>
                <w:color w:val="000000"/>
                <w:sz w:val="18"/>
                <w:szCs w:val="20"/>
              </w:rPr>
              <w:t>1995*</w:t>
            </w:r>
          </w:p>
        </w:tc>
        <w:tc>
          <w:tcPr>
            <w:tcW w:w="999" w:type="pct"/>
            <w:gridSpan w:val="3"/>
            <w:vAlign w:val="center"/>
          </w:tcPr>
          <w:p w:rsidR="00000000" w:rsidRDefault="00000000">
            <w:pPr>
              <w:jc w:val="center"/>
              <w:rPr>
                <w:b/>
                <w:bCs/>
                <w:color w:val="000000"/>
                <w:sz w:val="18"/>
                <w:szCs w:val="20"/>
              </w:rPr>
            </w:pPr>
            <w:r>
              <w:rPr>
                <w:b/>
                <w:bCs/>
                <w:color w:val="000000"/>
                <w:sz w:val="18"/>
                <w:szCs w:val="20"/>
              </w:rPr>
              <w:t>1999*</w:t>
            </w:r>
          </w:p>
        </w:tc>
        <w:tc>
          <w:tcPr>
            <w:tcW w:w="999" w:type="pct"/>
            <w:gridSpan w:val="3"/>
            <w:vAlign w:val="center"/>
          </w:tcPr>
          <w:p w:rsidR="00000000" w:rsidRDefault="00000000">
            <w:pPr>
              <w:jc w:val="center"/>
              <w:rPr>
                <w:b/>
                <w:bCs/>
                <w:color w:val="000000"/>
                <w:sz w:val="18"/>
                <w:szCs w:val="20"/>
              </w:rPr>
            </w:pPr>
            <w:r>
              <w:rPr>
                <w:b/>
                <w:bCs/>
                <w:color w:val="000000"/>
                <w:sz w:val="18"/>
                <w:szCs w:val="20"/>
              </w:rPr>
              <w:t>2004</w:t>
            </w:r>
          </w:p>
        </w:tc>
        <w:tc>
          <w:tcPr>
            <w:tcW w:w="975" w:type="pct"/>
            <w:gridSpan w:val="3"/>
            <w:vAlign w:val="center"/>
          </w:tcPr>
          <w:p w:rsidR="00000000" w:rsidRDefault="00000000">
            <w:pPr>
              <w:jc w:val="center"/>
              <w:rPr>
                <w:b/>
                <w:bCs/>
                <w:color w:val="000000"/>
                <w:sz w:val="18"/>
                <w:szCs w:val="20"/>
              </w:rPr>
            </w:pPr>
            <w:r>
              <w:rPr>
                <w:b/>
                <w:bCs/>
                <w:color w:val="000000"/>
                <w:sz w:val="18"/>
                <w:szCs w:val="20"/>
              </w:rPr>
              <w:t>2005</w:t>
            </w:r>
          </w:p>
        </w:tc>
      </w:tr>
      <w:tr w:rsidR="00000000">
        <w:trPr>
          <w:cantSplit/>
          <w:trHeight w:val="20"/>
        </w:trPr>
        <w:tc>
          <w:tcPr>
            <w:tcW w:w="1032" w:type="pct"/>
            <w:vMerge/>
            <w:vAlign w:val="center"/>
          </w:tcPr>
          <w:p w:rsidR="00000000" w:rsidRDefault="00000000">
            <w:pPr>
              <w:jc w:val="center"/>
              <w:rPr>
                <w:b/>
                <w:bCs/>
                <w:color w:val="000000"/>
                <w:sz w:val="18"/>
                <w:szCs w:val="18"/>
              </w:rPr>
            </w:pPr>
          </w:p>
        </w:tc>
        <w:tc>
          <w:tcPr>
            <w:tcW w:w="329" w:type="pct"/>
            <w:vAlign w:val="center"/>
          </w:tcPr>
          <w:p w:rsidR="00000000" w:rsidRDefault="00000000">
            <w:pPr>
              <w:jc w:val="center"/>
              <w:rPr>
                <w:b/>
                <w:bCs/>
                <w:color w:val="000000"/>
                <w:sz w:val="18"/>
                <w:szCs w:val="20"/>
              </w:rPr>
            </w:pPr>
            <w:r>
              <w:rPr>
                <w:b/>
                <w:bCs/>
                <w:color w:val="000000"/>
                <w:sz w:val="18"/>
                <w:szCs w:val="20"/>
              </w:rPr>
              <w:t>Total</w:t>
            </w:r>
          </w:p>
        </w:tc>
        <w:tc>
          <w:tcPr>
            <w:tcW w:w="336" w:type="pct"/>
            <w:vAlign w:val="center"/>
          </w:tcPr>
          <w:p w:rsidR="00000000" w:rsidRDefault="00000000">
            <w:pPr>
              <w:jc w:val="center"/>
              <w:rPr>
                <w:b/>
                <w:bCs/>
                <w:color w:val="000000"/>
                <w:sz w:val="18"/>
                <w:szCs w:val="20"/>
              </w:rPr>
            </w:pPr>
            <w:r>
              <w:rPr>
                <w:b/>
                <w:bCs/>
                <w:color w:val="000000"/>
                <w:sz w:val="18"/>
                <w:szCs w:val="20"/>
              </w:rPr>
              <w:t>Hombre</w:t>
            </w:r>
          </w:p>
        </w:tc>
        <w:tc>
          <w:tcPr>
            <w:tcW w:w="330" w:type="pct"/>
            <w:vAlign w:val="center"/>
          </w:tcPr>
          <w:p w:rsidR="00000000" w:rsidRDefault="00000000">
            <w:pPr>
              <w:jc w:val="center"/>
              <w:rPr>
                <w:b/>
                <w:bCs/>
                <w:color w:val="000000"/>
                <w:sz w:val="18"/>
                <w:szCs w:val="20"/>
              </w:rPr>
            </w:pPr>
            <w:r>
              <w:rPr>
                <w:b/>
                <w:bCs/>
                <w:color w:val="000000"/>
                <w:sz w:val="18"/>
                <w:szCs w:val="20"/>
              </w:rPr>
              <w:t>Mujer</w:t>
            </w:r>
          </w:p>
        </w:tc>
        <w:tc>
          <w:tcPr>
            <w:tcW w:w="336" w:type="pct"/>
            <w:vAlign w:val="center"/>
          </w:tcPr>
          <w:p w:rsidR="00000000" w:rsidRDefault="00000000">
            <w:pPr>
              <w:jc w:val="center"/>
              <w:rPr>
                <w:b/>
                <w:bCs/>
                <w:color w:val="000000"/>
                <w:sz w:val="18"/>
                <w:szCs w:val="20"/>
              </w:rPr>
            </w:pPr>
            <w:r>
              <w:rPr>
                <w:b/>
                <w:bCs/>
                <w:color w:val="000000"/>
                <w:sz w:val="18"/>
                <w:szCs w:val="20"/>
              </w:rPr>
              <w:t>Total</w:t>
            </w:r>
          </w:p>
        </w:tc>
        <w:tc>
          <w:tcPr>
            <w:tcW w:w="334" w:type="pct"/>
            <w:vAlign w:val="center"/>
          </w:tcPr>
          <w:p w:rsidR="00000000" w:rsidRDefault="00000000">
            <w:pPr>
              <w:jc w:val="center"/>
              <w:rPr>
                <w:b/>
                <w:bCs/>
                <w:color w:val="000000"/>
                <w:sz w:val="18"/>
                <w:szCs w:val="20"/>
              </w:rPr>
            </w:pPr>
            <w:r>
              <w:rPr>
                <w:b/>
                <w:bCs/>
                <w:color w:val="000000"/>
                <w:sz w:val="18"/>
                <w:szCs w:val="20"/>
              </w:rPr>
              <w:t>Hombre</w:t>
            </w:r>
          </w:p>
        </w:tc>
        <w:tc>
          <w:tcPr>
            <w:tcW w:w="329" w:type="pct"/>
            <w:vAlign w:val="center"/>
          </w:tcPr>
          <w:p w:rsidR="00000000" w:rsidRDefault="00000000">
            <w:pPr>
              <w:jc w:val="center"/>
              <w:rPr>
                <w:b/>
                <w:bCs/>
                <w:color w:val="000000"/>
                <w:sz w:val="18"/>
                <w:szCs w:val="20"/>
              </w:rPr>
            </w:pPr>
            <w:r>
              <w:rPr>
                <w:b/>
                <w:bCs/>
                <w:color w:val="000000"/>
                <w:sz w:val="18"/>
                <w:szCs w:val="20"/>
              </w:rPr>
              <w:t>Mujer</w:t>
            </w:r>
          </w:p>
        </w:tc>
        <w:tc>
          <w:tcPr>
            <w:tcW w:w="334" w:type="pct"/>
            <w:vAlign w:val="center"/>
          </w:tcPr>
          <w:p w:rsidR="00000000" w:rsidRDefault="00000000">
            <w:pPr>
              <w:jc w:val="center"/>
              <w:rPr>
                <w:b/>
                <w:bCs/>
                <w:color w:val="000000"/>
                <w:sz w:val="18"/>
                <w:szCs w:val="20"/>
              </w:rPr>
            </w:pPr>
            <w:r>
              <w:rPr>
                <w:b/>
                <w:bCs/>
                <w:color w:val="000000"/>
                <w:sz w:val="18"/>
                <w:szCs w:val="20"/>
              </w:rPr>
              <w:t>Total</w:t>
            </w:r>
          </w:p>
        </w:tc>
        <w:tc>
          <w:tcPr>
            <w:tcW w:w="330" w:type="pct"/>
            <w:vAlign w:val="center"/>
          </w:tcPr>
          <w:p w:rsidR="00000000" w:rsidRDefault="00000000">
            <w:pPr>
              <w:jc w:val="center"/>
              <w:rPr>
                <w:b/>
                <w:bCs/>
                <w:color w:val="000000"/>
                <w:sz w:val="18"/>
                <w:szCs w:val="20"/>
              </w:rPr>
            </w:pPr>
            <w:r>
              <w:rPr>
                <w:b/>
                <w:bCs/>
                <w:color w:val="000000"/>
                <w:sz w:val="18"/>
                <w:szCs w:val="20"/>
              </w:rPr>
              <w:t>Hombre</w:t>
            </w:r>
          </w:p>
        </w:tc>
        <w:tc>
          <w:tcPr>
            <w:tcW w:w="335" w:type="pct"/>
            <w:vAlign w:val="center"/>
          </w:tcPr>
          <w:p w:rsidR="00000000" w:rsidRDefault="00000000">
            <w:pPr>
              <w:jc w:val="center"/>
              <w:rPr>
                <w:b/>
                <w:bCs/>
                <w:color w:val="000000"/>
                <w:sz w:val="18"/>
                <w:szCs w:val="20"/>
              </w:rPr>
            </w:pPr>
            <w:r>
              <w:rPr>
                <w:b/>
                <w:bCs/>
                <w:color w:val="000000"/>
                <w:sz w:val="18"/>
                <w:szCs w:val="20"/>
              </w:rPr>
              <w:t>Mujer</w:t>
            </w:r>
          </w:p>
        </w:tc>
        <w:tc>
          <w:tcPr>
            <w:tcW w:w="323" w:type="pct"/>
            <w:vAlign w:val="center"/>
          </w:tcPr>
          <w:p w:rsidR="00000000" w:rsidRDefault="00000000">
            <w:pPr>
              <w:jc w:val="center"/>
              <w:rPr>
                <w:b/>
                <w:bCs/>
                <w:color w:val="000000"/>
                <w:sz w:val="18"/>
                <w:szCs w:val="20"/>
              </w:rPr>
            </w:pPr>
            <w:r>
              <w:rPr>
                <w:b/>
                <w:bCs/>
                <w:color w:val="000000"/>
                <w:sz w:val="18"/>
                <w:szCs w:val="20"/>
              </w:rPr>
              <w:t>Total</w:t>
            </w:r>
          </w:p>
        </w:tc>
        <w:tc>
          <w:tcPr>
            <w:tcW w:w="330" w:type="pct"/>
            <w:vAlign w:val="center"/>
          </w:tcPr>
          <w:p w:rsidR="00000000" w:rsidRDefault="00000000">
            <w:pPr>
              <w:jc w:val="center"/>
              <w:rPr>
                <w:b/>
                <w:bCs/>
                <w:color w:val="000000"/>
                <w:sz w:val="18"/>
                <w:szCs w:val="20"/>
              </w:rPr>
            </w:pPr>
            <w:r>
              <w:rPr>
                <w:b/>
                <w:bCs/>
                <w:color w:val="000000"/>
                <w:sz w:val="18"/>
                <w:szCs w:val="20"/>
              </w:rPr>
              <w:t>Hombre</w:t>
            </w:r>
          </w:p>
        </w:tc>
        <w:tc>
          <w:tcPr>
            <w:tcW w:w="322" w:type="pct"/>
            <w:vAlign w:val="center"/>
          </w:tcPr>
          <w:p w:rsidR="00000000" w:rsidRDefault="00000000">
            <w:pPr>
              <w:jc w:val="center"/>
              <w:rPr>
                <w:b/>
                <w:bCs/>
                <w:color w:val="000000"/>
                <w:sz w:val="18"/>
                <w:szCs w:val="20"/>
              </w:rPr>
            </w:pPr>
            <w:r>
              <w:rPr>
                <w:b/>
                <w:bCs/>
                <w:color w:val="000000"/>
                <w:sz w:val="18"/>
                <w:szCs w:val="20"/>
              </w:rPr>
              <w:t>Mujer</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Población económicamente activa (PEA)</w:t>
            </w:r>
            <w:r>
              <w:rPr>
                <w:b/>
                <w:bCs/>
                <w:color w:val="000000"/>
                <w:sz w:val="18"/>
                <w:szCs w:val="18"/>
              </w:rPr>
              <w:t>**</w:t>
            </w:r>
          </w:p>
        </w:tc>
        <w:tc>
          <w:tcPr>
            <w:tcW w:w="329" w:type="pct"/>
            <w:noWrap/>
            <w:vAlign w:val="bottom"/>
          </w:tcPr>
          <w:p w:rsidR="00000000" w:rsidRDefault="00000000">
            <w:pPr>
              <w:jc w:val="right"/>
              <w:rPr>
                <w:color w:val="000000"/>
                <w:sz w:val="18"/>
                <w:szCs w:val="20"/>
              </w:rPr>
            </w:pPr>
            <w:r>
              <w:rPr>
                <w:color w:val="000000"/>
                <w:sz w:val="18"/>
                <w:szCs w:val="20"/>
              </w:rPr>
              <w:t>1.267.684</w:t>
            </w:r>
          </w:p>
        </w:tc>
        <w:tc>
          <w:tcPr>
            <w:tcW w:w="336" w:type="pct"/>
            <w:noWrap/>
            <w:vAlign w:val="bottom"/>
          </w:tcPr>
          <w:p w:rsidR="00000000" w:rsidRDefault="00000000">
            <w:pPr>
              <w:jc w:val="right"/>
              <w:rPr>
                <w:color w:val="000000"/>
                <w:sz w:val="18"/>
                <w:szCs w:val="20"/>
              </w:rPr>
            </w:pPr>
            <w:r>
              <w:rPr>
                <w:color w:val="000000"/>
                <w:sz w:val="18"/>
                <w:szCs w:val="20"/>
              </w:rPr>
              <w:t>731.620</w:t>
            </w:r>
          </w:p>
        </w:tc>
        <w:tc>
          <w:tcPr>
            <w:tcW w:w="330" w:type="pct"/>
            <w:noWrap/>
            <w:vAlign w:val="bottom"/>
          </w:tcPr>
          <w:p w:rsidR="00000000" w:rsidRDefault="00000000">
            <w:pPr>
              <w:jc w:val="right"/>
              <w:rPr>
                <w:color w:val="000000"/>
                <w:sz w:val="18"/>
                <w:szCs w:val="20"/>
              </w:rPr>
            </w:pPr>
            <w:r>
              <w:rPr>
                <w:color w:val="000000"/>
                <w:sz w:val="18"/>
                <w:szCs w:val="20"/>
              </w:rPr>
              <w:t>536.064</w:t>
            </w:r>
          </w:p>
        </w:tc>
        <w:tc>
          <w:tcPr>
            <w:tcW w:w="336" w:type="pct"/>
            <w:noWrap/>
            <w:vAlign w:val="bottom"/>
          </w:tcPr>
          <w:p w:rsidR="00000000" w:rsidRDefault="00000000">
            <w:pPr>
              <w:jc w:val="right"/>
              <w:rPr>
                <w:color w:val="000000"/>
                <w:sz w:val="18"/>
                <w:szCs w:val="20"/>
              </w:rPr>
            </w:pPr>
            <w:r>
              <w:rPr>
                <w:color w:val="000000"/>
                <w:sz w:val="18"/>
                <w:szCs w:val="20"/>
              </w:rPr>
              <w:t>1.257.094</w:t>
            </w:r>
          </w:p>
        </w:tc>
        <w:tc>
          <w:tcPr>
            <w:tcW w:w="334" w:type="pct"/>
            <w:noWrap/>
            <w:vAlign w:val="bottom"/>
          </w:tcPr>
          <w:p w:rsidR="00000000" w:rsidRDefault="00000000">
            <w:pPr>
              <w:jc w:val="right"/>
              <w:rPr>
                <w:color w:val="000000"/>
                <w:sz w:val="18"/>
                <w:szCs w:val="20"/>
              </w:rPr>
            </w:pPr>
            <w:r>
              <w:rPr>
                <w:color w:val="000000"/>
                <w:sz w:val="18"/>
                <w:szCs w:val="20"/>
              </w:rPr>
              <w:t>785.094</w:t>
            </w:r>
          </w:p>
        </w:tc>
        <w:tc>
          <w:tcPr>
            <w:tcW w:w="329" w:type="pct"/>
            <w:noWrap/>
            <w:vAlign w:val="bottom"/>
          </w:tcPr>
          <w:p w:rsidR="00000000" w:rsidRDefault="00000000">
            <w:pPr>
              <w:jc w:val="right"/>
              <w:rPr>
                <w:color w:val="000000"/>
                <w:sz w:val="18"/>
                <w:szCs w:val="20"/>
              </w:rPr>
            </w:pPr>
            <w:r>
              <w:rPr>
                <w:color w:val="000000"/>
                <w:sz w:val="18"/>
                <w:szCs w:val="20"/>
              </w:rPr>
              <w:t>471.999</w:t>
            </w:r>
          </w:p>
        </w:tc>
        <w:tc>
          <w:tcPr>
            <w:tcW w:w="334" w:type="pct"/>
            <w:noWrap/>
            <w:vAlign w:val="bottom"/>
          </w:tcPr>
          <w:p w:rsidR="00000000" w:rsidRDefault="00000000">
            <w:pPr>
              <w:jc w:val="right"/>
              <w:rPr>
                <w:color w:val="000000"/>
                <w:sz w:val="18"/>
                <w:szCs w:val="20"/>
              </w:rPr>
            </w:pPr>
            <w:r>
              <w:rPr>
                <w:color w:val="000000"/>
                <w:sz w:val="18"/>
                <w:szCs w:val="20"/>
              </w:rPr>
              <w:t>1.553.183</w:t>
            </w:r>
          </w:p>
        </w:tc>
        <w:tc>
          <w:tcPr>
            <w:tcW w:w="330" w:type="pct"/>
            <w:noWrap/>
            <w:vAlign w:val="bottom"/>
          </w:tcPr>
          <w:p w:rsidR="00000000" w:rsidRDefault="00000000">
            <w:pPr>
              <w:jc w:val="right"/>
              <w:rPr>
                <w:color w:val="000000"/>
                <w:sz w:val="18"/>
                <w:szCs w:val="20"/>
              </w:rPr>
            </w:pPr>
            <w:r>
              <w:rPr>
                <w:color w:val="000000"/>
                <w:sz w:val="18"/>
                <w:szCs w:val="20"/>
              </w:rPr>
              <w:t>911.086</w:t>
            </w:r>
          </w:p>
        </w:tc>
        <w:tc>
          <w:tcPr>
            <w:tcW w:w="335" w:type="pct"/>
            <w:noWrap/>
            <w:vAlign w:val="bottom"/>
          </w:tcPr>
          <w:p w:rsidR="00000000" w:rsidRDefault="00000000">
            <w:pPr>
              <w:jc w:val="right"/>
              <w:rPr>
                <w:color w:val="000000"/>
                <w:sz w:val="18"/>
                <w:szCs w:val="20"/>
              </w:rPr>
            </w:pPr>
            <w:r>
              <w:rPr>
                <w:color w:val="000000"/>
                <w:sz w:val="18"/>
                <w:szCs w:val="20"/>
              </w:rPr>
              <w:t>642.097</w:t>
            </w:r>
          </w:p>
        </w:tc>
        <w:tc>
          <w:tcPr>
            <w:tcW w:w="323" w:type="pct"/>
            <w:noWrap/>
            <w:vAlign w:val="bottom"/>
          </w:tcPr>
          <w:p w:rsidR="00000000" w:rsidRDefault="00000000">
            <w:pPr>
              <w:jc w:val="right"/>
              <w:rPr>
                <w:color w:val="000000"/>
                <w:sz w:val="18"/>
                <w:szCs w:val="20"/>
              </w:rPr>
            </w:pPr>
            <w:r>
              <w:rPr>
                <w:color w:val="000000"/>
                <w:sz w:val="18"/>
                <w:szCs w:val="20"/>
              </w:rPr>
              <w:t>1.639.604</w:t>
            </w:r>
          </w:p>
        </w:tc>
        <w:tc>
          <w:tcPr>
            <w:tcW w:w="330" w:type="pct"/>
            <w:noWrap/>
            <w:vAlign w:val="bottom"/>
          </w:tcPr>
          <w:p w:rsidR="00000000" w:rsidRDefault="00000000">
            <w:pPr>
              <w:jc w:val="right"/>
              <w:rPr>
                <w:color w:val="000000"/>
                <w:sz w:val="18"/>
                <w:szCs w:val="20"/>
              </w:rPr>
            </w:pPr>
            <w:r>
              <w:rPr>
                <w:color w:val="000000"/>
                <w:sz w:val="18"/>
                <w:szCs w:val="20"/>
              </w:rPr>
              <w:t>962.208</w:t>
            </w:r>
          </w:p>
        </w:tc>
        <w:tc>
          <w:tcPr>
            <w:tcW w:w="322" w:type="pct"/>
            <w:noWrap/>
            <w:vAlign w:val="bottom"/>
          </w:tcPr>
          <w:p w:rsidR="00000000" w:rsidRDefault="00000000">
            <w:pPr>
              <w:jc w:val="right"/>
              <w:rPr>
                <w:color w:val="000000"/>
                <w:sz w:val="18"/>
                <w:szCs w:val="20"/>
              </w:rPr>
            </w:pPr>
            <w:r>
              <w:rPr>
                <w:color w:val="000000"/>
                <w:sz w:val="18"/>
                <w:szCs w:val="20"/>
              </w:rPr>
              <w:t>677.396</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Población económicamente inactiva (PEI)</w:t>
            </w:r>
            <w:r>
              <w:rPr>
                <w:b/>
                <w:bCs/>
                <w:color w:val="000000"/>
                <w:sz w:val="18"/>
                <w:szCs w:val="18"/>
              </w:rPr>
              <w:t>**</w:t>
            </w:r>
          </w:p>
        </w:tc>
        <w:tc>
          <w:tcPr>
            <w:tcW w:w="329" w:type="pct"/>
            <w:noWrap/>
            <w:vAlign w:val="bottom"/>
          </w:tcPr>
          <w:p w:rsidR="00000000" w:rsidRDefault="00000000">
            <w:pPr>
              <w:jc w:val="right"/>
              <w:rPr>
                <w:color w:val="000000"/>
                <w:sz w:val="18"/>
                <w:szCs w:val="20"/>
              </w:rPr>
            </w:pPr>
            <w:r>
              <w:rPr>
                <w:color w:val="000000"/>
                <w:sz w:val="18"/>
                <w:szCs w:val="20"/>
              </w:rPr>
              <w:t>347.908</w:t>
            </w:r>
          </w:p>
        </w:tc>
        <w:tc>
          <w:tcPr>
            <w:tcW w:w="336" w:type="pct"/>
            <w:noWrap/>
            <w:vAlign w:val="bottom"/>
          </w:tcPr>
          <w:p w:rsidR="00000000" w:rsidRDefault="00000000">
            <w:pPr>
              <w:jc w:val="right"/>
              <w:rPr>
                <w:color w:val="000000"/>
                <w:sz w:val="18"/>
                <w:szCs w:val="20"/>
              </w:rPr>
            </w:pPr>
            <w:r>
              <w:rPr>
                <w:color w:val="000000"/>
                <w:sz w:val="18"/>
                <w:szCs w:val="20"/>
              </w:rPr>
              <w:t>65.791</w:t>
            </w:r>
          </w:p>
        </w:tc>
        <w:tc>
          <w:tcPr>
            <w:tcW w:w="330" w:type="pct"/>
            <w:noWrap/>
            <w:vAlign w:val="bottom"/>
          </w:tcPr>
          <w:p w:rsidR="00000000" w:rsidRDefault="00000000">
            <w:pPr>
              <w:jc w:val="right"/>
              <w:rPr>
                <w:color w:val="000000"/>
                <w:sz w:val="18"/>
                <w:szCs w:val="20"/>
              </w:rPr>
            </w:pPr>
            <w:r>
              <w:rPr>
                <w:color w:val="000000"/>
                <w:sz w:val="18"/>
                <w:szCs w:val="20"/>
              </w:rPr>
              <w:t>282.117</w:t>
            </w:r>
          </w:p>
        </w:tc>
        <w:tc>
          <w:tcPr>
            <w:tcW w:w="336" w:type="pct"/>
            <w:noWrap/>
            <w:vAlign w:val="bottom"/>
          </w:tcPr>
          <w:p w:rsidR="00000000" w:rsidRDefault="00000000">
            <w:pPr>
              <w:jc w:val="right"/>
              <w:rPr>
                <w:color w:val="000000"/>
                <w:sz w:val="18"/>
                <w:szCs w:val="20"/>
              </w:rPr>
            </w:pPr>
            <w:r>
              <w:rPr>
                <w:color w:val="000000"/>
                <w:sz w:val="18"/>
                <w:szCs w:val="20"/>
              </w:rPr>
              <w:t>531.396</w:t>
            </w:r>
          </w:p>
        </w:tc>
        <w:tc>
          <w:tcPr>
            <w:tcW w:w="334" w:type="pct"/>
            <w:noWrap/>
            <w:vAlign w:val="bottom"/>
          </w:tcPr>
          <w:p w:rsidR="00000000" w:rsidRDefault="00000000">
            <w:pPr>
              <w:jc w:val="right"/>
              <w:rPr>
                <w:color w:val="000000"/>
                <w:sz w:val="18"/>
                <w:szCs w:val="20"/>
              </w:rPr>
            </w:pPr>
            <w:r>
              <w:rPr>
                <w:color w:val="000000"/>
                <w:sz w:val="18"/>
                <w:szCs w:val="20"/>
              </w:rPr>
              <w:t>83.604</w:t>
            </w:r>
          </w:p>
        </w:tc>
        <w:tc>
          <w:tcPr>
            <w:tcW w:w="329" w:type="pct"/>
            <w:noWrap/>
            <w:vAlign w:val="bottom"/>
          </w:tcPr>
          <w:p w:rsidR="00000000" w:rsidRDefault="00000000">
            <w:pPr>
              <w:jc w:val="right"/>
              <w:rPr>
                <w:color w:val="000000"/>
                <w:sz w:val="18"/>
                <w:szCs w:val="20"/>
              </w:rPr>
            </w:pPr>
            <w:r>
              <w:rPr>
                <w:color w:val="000000"/>
                <w:sz w:val="18"/>
                <w:szCs w:val="20"/>
              </w:rPr>
              <w:t>447.792</w:t>
            </w:r>
          </w:p>
        </w:tc>
        <w:tc>
          <w:tcPr>
            <w:tcW w:w="334" w:type="pct"/>
            <w:noWrap/>
            <w:vAlign w:val="bottom"/>
          </w:tcPr>
          <w:p w:rsidR="00000000" w:rsidRDefault="00000000">
            <w:pPr>
              <w:jc w:val="right"/>
              <w:rPr>
                <w:color w:val="000000"/>
                <w:sz w:val="18"/>
                <w:szCs w:val="20"/>
              </w:rPr>
            </w:pPr>
            <w:r>
              <w:rPr>
                <w:color w:val="000000"/>
                <w:sz w:val="18"/>
                <w:szCs w:val="20"/>
              </w:rPr>
              <w:t>505.209</w:t>
            </w:r>
          </w:p>
        </w:tc>
        <w:tc>
          <w:tcPr>
            <w:tcW w:w="330" w:type="pct"/>
            <w:noWrap/>
            <w:vAlign w:val="bottom"/>
          </w:tcPr>
          <w:p w:rsidR="00000000" w:rsidRDefault="00000000">
            <w:pPr>
              <w:jc w:val="right"/>
              <w:rPr>
                <w:color w:val="000000"/>
                <w:sz w:val="18"/>
                <w:szCs w:val="20"/>
              </w:rPr>
            </w:pPr>
            <w:r>
              <w:rPr>
                <w:color w:val="000000"/>
                <w:sz w:val="18"/>
                <w:szCs w:val="20"/>
              </w:rPr>
              <w:t>102.844</w:t>
            </w:r>
          </w:p>
        </w:tc>
        <w:tc>
          <w:tcPr>
            <w:tcW w:w="335" w:type="pct"/>
            <w:noWrap/>
            <w:vAlign w:val="bottom"/>
          </w:tcPr>
          <w:p w:rsidR="00000000" w:rsidRDefault="00000000">
            <w:pPr>
              <w:jc w:val="right"/>
              <w:rPr>
                <w:color w:val="000000"/>
                <w:sz w:val="18"/>
                <w:szCs w:val="20"/>
              </w:rPr>
            </w:pPr>
            <w:r>
              <w:rPr>
                <w:color w:val="000000"/>
                <w:sz w:val="18"/>
                <w:szCs w:val="20"/>
              </w:rPr>
              <w:t>402.365</w:t>
            </w:r>
          </w:p>
        </w:tc>
        <w:tc>
          <w:tcPr>
            <w:tcW w:w="323" w:type="pct"/>
            <w:noWrap/>
            <w:vAlign w:val="bottom"/>
          </w:tcPr>
          <w:p w:rsidR="00000000" w:rsidRDefault="00000000">
            <w:pPr>
              <w:jc w:val="right"/>
              <w:rPr>
                <w:color w:val="000000"/>
                <w:sz w:val="18"/>
                <w:szCs w:val="20"/>
              </w:rPr>
            </w:pPr>
            <w:r>
              <w:rPr>
                <w:color w:val="000000"/>
                <w:sz w:val="18"/>
                <w:szCs w:val="20"/>
              </w:rPr>
              <w:t>550.301</w:t>
            </w:r>
          </w:p>
        </w:tc>
        <w:tc>
          <w:tcPr>
            <w:tcW w:w="330" w:type="pct"/>
            <w:noWrap/>
            <w:vAlign w:val="bottom"/>
          </w:tcPr>
          <w:p w:rsidR="00000000" w:rsidRDefault="00000000">
            <w:pPr>
              <w:jc w:val="right"/>
              <w:rPr>
                <w:color w:val="000000"/>
                <w:sz w:val="18"/>
                <w:szCs w:val="20"/>
              </w:rPr>
            </w:pPr>
            <w:r>
              <w:rPr>
                <w:color w:val="000000"/>
                <w:sz w:val="18"/>
                <w:szCs w:val="20"/>
              </w:rPr>
              <w:t>104.797</w:t>
            </w:r>
          </w:p>
        </w:tc>
        <w:tc>
          <w:tcPr>
            <w:tcW w:w="322" w:type="pct"/>
            <w:noWrap/>
            <w:vAlign w:val="bottom"/>
          </w:tcPr>
          <w:p w:rsidR="00000000" w:rsidRDefault="00000000">
            <w:pPr>
              <w:jc w:val="right"/>
              <w:rPr>
                <w:color w:val="000000"/>
                <w:sz w:val="18"/>
                <w:szCs w:val="20"/>
              </w:rPr>
            </w:pPr>
            <w:r>
              <w:rPr>
                <w:color w:val="000000"/>
                <w:sz w:val="18"/>
                <w:szCs w:val="20"/>
              </w:rPr>
              <w:t>445.504</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Población ocupada</w:t>
            </w:r>
          </w:p>
        </w:tc>
        <w:tc>
          <w:tcPr>
            <w:tcW w:w="329" w:type="pct"/>
            <w:noWrap/>
            <w:vAlign w:val="bottom"/>
          </w:tcPr>
          <w:p w:rsidR="00000000" w:rsidRDefault="00000000">
            <w:pPr>
              <w:jc w:val="right"/>
              <w:rPr>
                <w:color w:val="000000"/>
                <w:sz w:val="18"/>
                <w:szCs w:val="20"/>
              </w:rPr>
            </w:pPr>
            <w:r>
              <w:rPr>
                <w:color w:val="000000"/>
                <w:sz w:val="18"/>
                <w:szCs w:val="20"/>
              </w:rPr>
              <w:t>1.240.322</w:t>
            </w:r>
          </w:p>
        </w:tc>
        <w:tc>
          <w:tcPr>
            <w:tcW w:w="336" w:type="pct"/>
            <w:noWrap/>
            <w:vAlign w:val="bottom"/>
          </w:tcPr>
          <w:p w:rsidR="00000000" w:rsidRDefault="00000000">
            <w:pPr>
              <w:jc w:val="right"/>
              <w:rPr>
                <w:color w:val="000000"/>
                <w:sz w:val="18"/>
                <w:szCs w:val="20"/>
              </w:rPr>
            </w:pPr>
            <w:r>
              <w:rPr>
                <w:color w:val="000000"/>
                <w:sz w:val="18"/>
                <w:szCs w:val="20"/>
              </w:rPr>
              <w:t>716.363</w:t>
            </w:r>
          </w:p>
        </w:tc>
        <w:tc>
          <w:tcPr>
            <w:tcW w:w="330" w:type="pct"/>
            <w:noWrap/>
            <w:vAlign w:val="bottom"/>
          </w:tcPr>
          <w:p w:rsidR="00000000" w:rsidRDefault="00000000">
            <w:pPr>
              <w:jc w:val="right"/>
              <w:rPr>
                <w:color w:val="000000"/>
                <w:sz w:val="18"/>
                <w:szCs w:val="20"/>
              </w:rPr>
            </w:pPr>
            <w:r>
              <w:rPr>
                <w:color w:val="000000"/>
                <w:sz w:val="18"/>
                <w:szCs w:val="20"/>
              </w:rPr>
              <w:t>523.959</w:t>
            </w:r>
          </w:p>
        </w:tc>
        <w:tc>
          <w:tcPr>
            <w:tcW w:w="336" w:type="pct"/>
            <w:noWrap/>
            <w:vAlign w:val="bottom"/>
          </w:tcPr>
          <w:p w:rsidR="00000000" w:rsidRDefault="00000000">
            <w:pPr>
              <w:jc w:val="right"/>
              <w:rPr>
                <w:color w:val="000000"/>
                <w:sz w:val="18"/>
                <w:szCs w:val="20"/>
              </w:rPr>
            </w:pPr>
            <w:r>
              <w:rPr>
                <w:color w:val="000000"/>
                <w:sz w:val="18"/>
                <w:szCs w:val="20"/>
              </w:rPr>
              <w:t>1.201.604</w:t>
            </w:r>
          </w:p>
        </w:tc>
        <w:tc>
          <w:tcPr>
            <w:tcW w:w="334" w:type="pct"/>
            <w:noWrap/>
            <w:vAlign w:val="bottom"/>
          </w:tcPr>
          <w:p w:rsidR="00000000" w:rsidRDefault="00000000">
            <w:pPr>
              <w:jc w:val="right"/>
              <w:rPr>
                <w:color w:val="000000"/>
                <w:sz w:val="18"/>
                <w:szCs w:val="20"/>
              </w:rPr>
            </w:pPr>
            <w:r>
              <w:rPr>
                <w:color w:val="000000"/>
                <w:sz w:val="18"/>
                <w:szCs w:val="20"/>
              </w:rPr>
              <w:t>752.059</w:t>
            </w:r>
          </w:p>
        </w:tc>
        <w:tc>
          <w:tcPr>
            <w:tcW w:w="329" w:type="pct"/>
            <w:noWrap/>
            <w:vAlign w:val="bottom"/>
          </w:tcPr>
          <w:p w:rsidR="00000000" w:rsidRDefault="00000000">
            <w:pPr>
              <w:jc w:val="right"/>
              <w:rPr>
                <w:color w:val="000000"/>
                <w:sz w:val="18"/>
                <w:szCs w:val="20"/>
              </w:rPr>
            </w:pPr>
            <w:r>
              <w:rPr>
                <w:color w:val="000000"/>
                <w:sz w:val="18"/>
                <w:szCs w:val="20"/>
              </w:rPr>
              <w:t>449.545</w:t>
            </w:r>
          </w:p>
        </w:tc>
        <w:tc>
          <w:tcPr>
            <w:tcW w:w="334" w:type="pct"/>
            <w:noWrap/>
            <w:vAlign w:val="bottom"/>
          </w:tcPr>
          <w:p w:rsidR="00000000" w:rsidRDefault="00000000">
            <w:pPr>
              <w:jc w:val="right"/>
              <w:rPr>
                <w:color w:val="000000"/>
                <w:sz w:val="18"/>
                <w:szCs w:val="20"/>
              </w:rPr>
            </w:pPr>
            <w:r>
              <w:rPr>
                <w:color w:val="000000"/>
                <w:sz w:val="18"/>
                <w:szCs w:val="20"/>
              </w:rPr>
              <w:t>1.484.480</w:t>
            </w:r>
          </w:p>
        </w:tc>
        <w:tc>
          <w:tcPr>
            <w:tcW w:w="330" w:type="pct"/>
            <w:noWrap/>
            <w:vAlign w:val="bottom"/>
          </w:tcPr>
          <w:p w:rsidR="00000000" w:rsidRDefault="00000000">
            <w:pPr>
              <w:jc w:val="right"/>
              <w:rPr>
                <w:color w:val="000000"/>
                <w:sz w:val="18"/>
                <w:szCs w:val="20"/>
              </w:rPr>
            </w:pPr>
            <w:r>
              <w:rPr>
                <w:color w:val="000000"/>
                <w:sz w:val="18"/>
                <w:szCs w:val="20"/>
              </w:rPr>
              <w:t>874.669</w:t>
            </w:r>
          </w:p>
        </w:tc>
        <w:tc>
          <w:tcPr>
            <w:tcW w:w="335" w:type="pct"/>
            <w:noWrap/>
            <w:vAlign w:val="bottom"/>
          </w:tcPr>
          <w:p w:rsidR="00000000" w:rsidRDefault="00000000">
            <w:pPr>
              <w:jc w:val="right"/>
              <w:rPr>
                <w:color w:val="000000"/>
                <w:sz w:val="18"/>
                <w:szCs w:val="20"/>
              </w:rPr>
            </w:pPr>
            <w:r>
              <w:rPr>
                <w:color w:val="000000"/>
                <w:sz w:val="18"/>
                <w:szCs w:val="20"/>
              </w:rPr>
              <w:t>609.811</w:t>
            </w:r>
          </w:p>
        </w:tc>
        <w:tc>
          <w:tcPr>
            <w:tcW w:w="323" w:type="pct"/>
            <w:noWrap/>
            <w:vAlign w:val="bottom"/>
          </w:tcPr>
          <w:p w:rsidR="00000000" w:rsidRDefault="00000000">
            <w:pPr>
              <w:jc w:val="right"/>
              <w:rPr>
                <w:color w:val="000000"/>
                <w:sz w:val="18"/>
                <w:szCs w:val="20"/>
              </w:rPr>
            </w:pPr>
            <w:r>
              <w:rPr>
                <w:color w:val="000000"/>
                <w:sz w:val="18"/>
                <w:szCs w:val="20"/>
              </w:rPr>
              <w:t>1.587.170</w:t>
            </w:r>
          </w:p>
        </w:tc>
        <w:tc>
          <w:tcPr>
            <w:tcW w:w="330" w:type="pct"/>
            <w:noWrap/>
            <w:vAlign w:val="bottom"/>
          </w:tcPr>
          <w:p w:rsidR="00000000" w:rsidRDefault="00000000">
            <w:pPr>
              <w:jc w:val="right"/>
              <w:rPr>
                <w:color w:val="000000"/>
                <w:sz w:val="18"/>
                <w:szCs w:val="20"/>
              </w:rPr>
            </w:pPr>
            <w:r>
              <w:rPr>
                <w:color w:val="000000"/>
                <w:sz w:val="18"/>
                <w:szCs w:val="20"/>
              </w:rPr>
              <w:t>934.295</w:t>
            </w:r>
          </w:p>
        </w:tc>
        <w:tc>
          <w:tcPr>
            <w:tcW w:w="322" w:type="pct"/>
            <w:noWrap/>
            <w:vAlign w:val="bottom"/>
          </w:tcPr>
          <w:p w:rsidR="00000000" w:rsidRDefault="00000000">
            <w:pPr>
              <w:jc w:val="right"/>
              <w:rPr>
                <w:color w:val="000000"/>
                <w:sz w:val="18"/>
                <w:szCs w:val="20"/>
              </w:rPr>
            </w:pPr>
            <w:r>
              <w:rPr>
                <w:color w:val="000000"/>
                <w:sz w:val="18"/>
                <w:szCs w:val="20"/>
              </w:rPr>
              <w:t>652.875</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Desempleo abierto</w:t>
            </w:r>
          </w:p>
        </w:tc>
        <w:tc>
          <w:tcPr>
            <w:tcW w:w="329" w:type="pct"/>
            <w:noWrap/>
            <w:vAlign w:val="bottom"/>
          </w:tcPr>
          <w:p w:rsidR="00000000" w:rsidRDefault="00000000">
            <w:pPr>
              <w:jc w:val="right"/>
              <w:rPr>
                <w:color w:val="000000"/>
                <w:sz w:val="18"/>
                <w:szCs w:val="20"/>
              </w:rPr>
            </w:pPr>
            <w:r>
              <w:rPr>
                <w:color w:val="000000"/>
                <w:sz w:val="18"/>
                <w:szCs w:val="20"/>
              </w:rPr>
              <w:t>27.362</w:t>
            </w:r>
          </w:p>
        </w:tc>
        <w:tc>
          <w:tcPr>
            <w:tcW w:w="336" w:type="pct"/>
            <w:noWrap/>
            <w:vAlign w:val="bottom"/>
          </w:tcPr>
          <w:p w:rsidR="00000000" w:rsidRDefault="00000000">
            <w:pPr>
              <w:jc w:val="right"/>
              <w:rPr>
                <w:color w:val="000000"/>
                <w:sz w:val="18"/>
                <w:szCs w:val="20"/>
              </w:rPr>
            </w:pPr>
            <w:r>
              <w:rPr>
                <w:color w:val="000000"/>
                <w:sz w:val="18"/>
                <w:szCs w:val="20"/>
              </w:rPr>
              <w:t>15.257</w:t>
            </w:r>
          </w:p>
        </w:tc>
        <w:tc>
          <w:tcPr>
            <w:tcW w:w="330" w:type="pct"/>
            <w:noWrap/>
            <w:vAlign w:val="bottom"/>
          </w:tcPr>
          <w:p w:rsidR="00000000" w:rsidRDefault="00000000">
            <w:pPr>
              <w:jc w:val="right"/>
              <w:rPr>
                <w:color w:val="000000"/>
                <w:sz w:val="18"/>
                <w:szCs w:val="20"/>
              </w:rPr>
            </w:pPr>
            <w:r>
              <w:rPr>
                <w:color w:val="000000"/>
                <w:sz w:val="18"/>
                <w:szCs w:val="20"/>
              </w:rPr>
              <w:t>12.105</w:t>
            </w:r>
          </w:p>
        </w:tc>
        <w:tc>
          <w:tcPr>
            <w:tcW w:w="336" w:type="pct"/>
            <w:noWrap/>
            <w:vAlign w:val="bottom"/>
          </w:tcPr>
          <w:p w:rsidR="00000000" w:rsidRDefault="00000000">
            <w:pPr>
              <w:jc w:val="right"/>
              <w:rPr>
                <w:color w:val="000000"/>
                <w:sz w:val="18"/>
                <w:szCs w:val="20"/>
              </w:rPr>
            </w:pPr>
            <w:r>
              <w:rPr>
                <w:color w:val="000000"/>
                <w:sz w:val="18"/>
                <w:szCs w:val="20"/>
              </w:rPr>
              <w:t>55.489</w:t>
            </w:r>
          </w:p>
        </w:tc>
        <w:tc>
          <w:tcPr>
            <w:tcW w:w="334" w:type="pct"/>
            <w:noWrap/>
            <w:vAlign w:val="bottom"/>
          </w:tcPr>
          <w:p w:rsidR="00000000" w:rsidRDefault="00000000">
            <w:pPr>
              <w:jc w:val="right"/>
              <w:rPr>
                <w:color w:val="000000"/>
                <w:sz w:val="18"/>
                <w:szCs w:val="20"/>
              </w:rPr>
            </w:pPr>
            <w:r>
              <w:rPr>
                <w:color w:val="000000"/>
                <w:sz w:val="18"/>
                <w:szCs w:val="20"/>
              </w:rPr>
              <w:t>33.035</w:t>
            </w:r>
          </w:p>
        </w:tc>
        <w:tc>
          <w:tcPr>
            <w:tcW w:w="329" w:type="pct"/>
            <w:noWrap/>
            <w:vAlign w:val="bottom"/>
          </w:tcPr>
          <w:p w:rsidR="00000000" w:rsidRDefault="00000000">
            <w:pPr>
              <w:jc w:val="right"/>
              <w:rPr>
                <w:color w:val="000000"/>
                <w:sz w:val="18"/>
                <w:szCs w:val="20"/>
              </w:rPr>
            </w:pPr>
            <w:r>
              <w:rPr>
                <w:color w:val="000000"/>
                <w:sz w:val="18"/>
                <w:szCs w:val="20"/>
              </w:rPr>
              <w:t>22.454</w:t>
            </w:r>
          </w:p>
        </w:tc>
        <w:tc>
          <w:tcPr>
            <w:tcW w:w="334" w:type="pct"/>
            <w:noWrap/>
            <w:vAlign w:val="bottom"/>
          </w:tcPr>
          <w:p w:rsidR="00000000" w:rsidRDefault="00000000">
            <w:pPr>
              <w:jc w:val="right"/>
              <w:rPr>
                <w:color w:val="000000"/>
                <w:sz w:val="18"/>
                <w:szCs w:val="20"/>
              </w:rPr>
            </w:pPr>
            <w:r>
              <w:rPr>
                <w:color w:val="000000"/>
                <w:sz w:val="18"/>
                <w:szCs w:val="20"/>
              </w:rPr>
              <w:t>68.703</w:t>
            </w:r>
          </w:p>
        </w:tc>
        <w:tc>
          <w:tcPr>
            <w:tcW w:w="330" w:type="pct"/>
            <w:noWrap/>
            <w:vAlign w:val="bottom"/>
          </w:tcPr>
          <w:p w:rsidR="00000000" w:rsidRDefault="00000000">
            <w:pPr>
              <w:jc w:val="right"/>
              <w:rPr>
                <w:color w:val="000000"/>
                <w:sz w:val="18"/>
                <w:szCs w:val="20"/>
              </w:rPr>
            </w:pPr>
            <w:r>
              <w:rPr>
                <w:color w:val="000000"/>
                <w:sz w:val="18"/>
                <w:szCs w:val="20"/>
              </w:rPr>
              <w:t>36.417</w:t>
            </w:r>
          </w:p>
        </w:tc>
        <w:tc>
          <w:tcPr>
            <w:tcW w:w="335" w:type="pct"/>
            <w:noWrap/>
            <w:vAlign w:val="bottom"/>
          </w:tcPr>
          <w:p w:rsidR="00000000" w:rsidRDefault="00000000">
            <w:pPr>
              <w:jc w:val="right"/>
              <w:rPr>
                <w:color w:val="000000"/>
                <w:sz w:val="18"/>
                <w:szCs w:val="20"/>
              </w:rPr>
            </w:pPr>
            <w:r>
              <w:rPr>
                <w:color w:val="000000"/>
                <w:sz w:val="18"/>
                <w:szCs w:val="20"/>
              </w:rPr>
              <w:t>32.286</w:t>
            </w:r>
          </w:p>
        </w:tc>
        <w:tc>
          <w:tcPr>
            <w:tcW w:w="323" w:type="pct"/>
            <w:noWrap/>
            <w:vAlign w:val="bottom"/>
          </w:tcPr>
          <w:p w:rsidR="00000000" w:rsidRDefault="00000000">
            <w:pPr>
              <w:jc w:val="right"/>
              <w:rPr>
                <w:color w:val="000000"/>
                <w:sz w:val="18"/>
                <w:szCs w:val="20"/>
              </w:rPr>
            </w:pPr>
            <w:r>
              <w:rPr>
                <w:color w:val="000000"/>
                <w:sz w:val="18"/>
                <w:szCs w:val="20"/>
              </w:rPr>
              <w:t xml:space="preserve"> 52.434 </w:t>
            </w:r>
          </w:p>
        </w:tc>
        <w:tc>
          <w:tcPr>
            <w:tcW w:w="330" w:type="pct"/>
            <w:noWrap/>
            <w:vAlign w:val="bottom"/>
          </w:tcPr>
          <w:p w:rsidR="00000000" w:rsidRDefault="00000000">
            <w:pPr>
              <w:jc w:val="right"/>
              <w:rPr>
                <w:color w:val="000000"/>
                <w:sz w:val="18"/>
                <w:szCs w:val="20"/>
              </w:rPr>
            </w:pPr>
            <w:r>
              <w:rPr>
                <w:color w:val="000000"/>
                <w:sz w:val="18"/>
                <w:szCs w:val="20"/>
              </w:rPr>
              <w:t xml:space="preserve"> 27.913 </w:t>
            </w:r>
          </w:p>
        </w:tc>
        <w:tc>
          <w:tcPr>
            <w:tcW w:w="322" w:type="pct"/>
            <w:noWrap/>
            <w:vAlign w:val="bottom"/>
          </w:tcPr>
          <w:p w:rsidR="00000000" w:rsidRDefault="00000000">
            <w:pPr>
              <w:jc w:val="right"/>
              <w:rPr>
                <w:color w:val="000000"/>
                <w:sz w:val="18"/>
                <w:szCs w:val="20"/>
              </w:rPr>
            </w:pPr>
            <w:r>
              <w:rPr>
                <w:color w:val="000000"/>
                <w:sz w:val="18"/>
                <w:szCs w:val="20"/>
              </w:rPr>
              <w:t xml:space="preserve"> 24.521 </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Desempleo oculto</w:t>
            </w:r>
          </w:p>
        </w:tc>
        <w:tc>
          <w:tcPr>
            <w:tcW w:w="329" w:type="pct"/>
            <w:noWrap/>
            <w:vAlign w:val="bottom"/>
          </w:tcPr>
          <w:p w:rsidR="00000000" w:rsidRDefault="00000000">
            <w:pPr>
              <w:jc w:val="right"/>
              <w:rPr>
                <w:color w:val="000000"/>
                <w:sz w:val="18"/>
                <w:szCs w:val="20"/>
              </w:rPr>
            </w:pPr>
            <w:r>
              <w:rPr>
                <w:color w:val="000000"/>
                <w:sz w:val="18"/>
                <w:szCs w:val="20"/>
              </w:rPr>
              <w:t>14.068</w:t>
            </w:r>
          </w:p>
        </w:tc>
        <w:tc>
          <w:tcPr>
            <w:tcW w:w="336" w:type="pct"/>
            <w:noWrap/>
            <w:vAlign w:val="bottom"/>
          </w:tcPr>
          <w:p w:rsidR="00000000" w:rsidRDefault="00000000">
            <w:pPr>
              <w:jc w:val="right"/>
              <w:rPr>
                <w:color w:val="000000"/>
                <w:sz w:val="18"/>
                <w:szCs w:val="20"/>
              </w:rPr>
            </w:pPr>
            <w:r>
              <w:rPr>
                <w:color w:val="000000"/>
                <w:sz w:val="18"/>
                <w:szCs w:val="20"/>
              </w:rPr>
              <w:t>2.928</w:t>
            </w:r>
          </w:p>
        </w:tc>
        <w:tc>
          <w:tcPr>
            <w:tcW w:w="330" w:type="pct"/>
            <w:noWrap/>
            <w:vAlign w:val="bottom"/>
          </w:tcPr>
          <w:p w:rsidR="00000000" w:rsidRDefault="00000000">
            <w:pPr>
              <w:jc w:val="right"/>
              <w:rPr>
                <w:color w:val="000000"/>
                <w:sz w:val="18"/>
                <w:szCs w:val="20"/>
              </w:rPr>
            </w:pPr>
            <w:r>
              <w:rPr>
                <w:color w:val="000000"/>
                <w:sz w:val="18"/>
                <w:szCs w:val="20"/>
              </w:rPr>
              <w:t>11.140</w:t>
            </w:r>
          </w:p>
        </w:tc>
        <w:tc>
          <w:tcPr>
            <w:tcW w:w="336" w:type="pct"/>
            <w:noWrap/>
            <w:vAlign w:val="bottom"/>
          </w:tcPr>
          <w:p w:rsidR="00000000" w:rsidRDefault="00000000">
            <w:pPr>
              <w:jc w:val="right"/>
              <w:rPr>
                <w:color w:val="000000"/>
                <w:sz w:val="18"/>
                <w:szCs w:val="20"/>
              </w:rPr>
            </w:pPr>
            <w:r>
              <w:rPr>
                <w:color w:val="000000"/>
                <w:sz w:val="18"/>
                <w:szCs w:val="20"/>
              </w:rPr>
              <w:t>62.735</w:t>
            </w:r>
          </w:p>
        </w:tc>
        <w:tc>
          <w:tcPr>
            <w:tcW w:w="334" w:type="pct"/>
            <w:noWrap/>
            <w:vAlign w:val="bottom"/>
          </w:tcPr>
          <w:p w:rsidR="00000000" w:rsidRDefault="00000000">
            <w:pPr>
              <w:jc w:val="right"/>
              <w:rPr>
                <w:color w:val="000000"/>
                <w:sz w:val="18"/>
                <w:szCs w:val="20"/>
              </w:rPr>
            </w:pPr>
            <w:r>
              <w:rPr>
                <w:color w:val="000000"/>
                <w:sz w:val="18"/>
                <w:szCs w:val="20"/>
              </w:rPr>
              <w:t>12.308</w:t>
            </w:r>
          </w:p>
        </w:tc>
        <w:tc>
          <w:tcPr>
            <w:tcW w:w="329" w:type="pct"/>
            <w:noWrap/>
            <w:vAlign w:val="bottom"/>
          </w:tcPr>
          <w:p w:rsidR="00000000" w:rsidRDefault="00000000">
            <w:pPr>
              <w:jc w:val="right"/>
              <w:rPr>
                <w:color w:val="000000"/>
                <w:sz w:val="18"/>
                <w:szCs w:val="20"/>
              </w:rPr>
            </w:pPr>
            <w:r>
              <w:rPr>
                <w:color w:val="000000"/>
                <w:sz w:val="18"/>
                <w:szCs w:val="20"/>
              </w:rPr>
              <w:t>50.427</w:t>
            </w:r>
          </w:p>
        </w:tc>
        <w:tc>
          <w:tcPr>
            <w:tcW w:w="334" w:type="pct"/>
            <w:noWrap/>
            <w:vAlign w:val="bottom"/>
          </w:tcPr>
          <w:p w:rsidR="00000000" w:rsidRDefault="00000000">
            <w:pPr>
              <w:jc w:val="right"/>
              <w:rPr>
                <w:color w:val="000000"/>
                <w:sz w:val="18"/>
                <w:szCs w:val="20"/>
              </w:rPr>
            </w:pPr>
            <w:r>
              <w:rPr>
                <w:color w:val="000000"/>
                <w:sz w:val="18"/>
                <w:szCs w:val="20"/>
              </w:rPr>
              <w:t>31.453</w:t>
            </w:r>
          </w:p>
        </w:tc>
        <w:tc>
          <w:tcPr>
            <w:tcW w:w="330" w:type="pct"/>
            <w:noWrap/>
            <w:vAlign w:val="bottom"/>
          </w:tcPr>
          <w:p w:rsidR="00000000" w:rsidRDefault="00000000">
            <w:pPr>
              <w:jc w:val="right"/>
              <w:rPr>
                <w:color w:val="000000"/>
                <w:sz w:val="18"/>
                <w:szCs w:val="20"/>
              </w:rPr>
            </w:pPr>
            <w:r>
              <w:rPr>
                <w:color w:val="000000"/>
                <w:sz w:val="18"/>
                <w:szCs w:val="20"/>
              </w:rPr>
              <w:t>8.483</w:t>
            </w:r>
          </w:p>
        </w:tc>
        <w:tc>
          <w:tcPr>
            <w:tcW w:w="335" w:type="pct"/>
            <w:noWrap/>
            <w:vAlign w:val="bottom"/>
          </w:tcPr>
          <w:p w:rsidR="00000000" w:rsidRDefault="00000000">
            <w:pPr>
              <w:jc w:val="right"/>
              <w:rPr>
                <w:color w:val="000000"/>
                <w:sz w:val="18"/>
                <w:szCs w:val="20"/>
              </w:rPr>
            </w:pPr>
            <w:r>
              <w:rPr>
                <w:color w:val="000000"/>
                <w:sz w:val="18"/>
                <w:szCs w:val="20"/>
              </w:rPr>
              <w:t>22.970</w:t>
            </w:r>
          </w:p>
        </w:tc>
        <w:tc>
          <w:tcPr>
            <w:tcW w:w="323" w:type="pct"/>
            <w:noWrap/>
            <w:vAlign w:val="bottom"/>
          </w:tcPr>
          <w:p w:rsidR="00000000" w:rsidRDefault="00000000">
            <w:pPr>
              <w:jc w:val="right"/>
              <w:rPr>
                <w:color w:val="000000"/>
                <w:sz w:val="18"/>
                <w:szCs w:val="20"/>
              </w:rPr>
            </w:pPr>
            <w:r>
              <w:rPr>
                <w:color w:val="000000"/>
                <w:sz w:val="18"/>
                <w:szCs w:val="20"/>
              </w:rPr>
              <w:t>38.915</w:t>
            </w:r>
          </w:p>
        </w:tc>
        <w:tc>
          <w:tcPr>
            <w:tcW w:w="330" w:type="pct"/>
            <w:noWrap/>
            <w:vAlign w:val="bottom"/>
          </w:tcPr>
          <w:p w:rsidR="00000000" w:rsidRDefault="00000000">
            <w:pPr>
              <w:jc w:val="right"/>
              <w:rPr>
                <w:color w:val="000000"/>
                <w:sz w:val="18"/>
                <w:szCs w:val="20"/>
              </w:rPr>
            </w:pPr>
            <w:r>
              <w:rPr>
                <w:color w:val="000000"/>
                <w:sz w:val="18"/>
                <w:szCs w:val="20"/>
              </w:rPr>
              <w:t>15.457</w:t>
            </w:r>
          </w:p>
        </w:tc>
        <w:tc>
          <w:tcPr>
            <w:tcW w:w="322" w:type="pct"/>
            <w:noWrap/>
            <w:vAlign w:val="bottom"/>
          </w:tcPr>
          <w:p w:rsidR="00000000" w:rsidRDefault="00000000">
            <w:pPr>
              <w:jc w:val="right"/>
              <w:rPr>
                <w:color w:val="000000"/>
                <w:sz w:val="18"/>
                <w:szCs w:val="20"/>
              </w:rPr>
            </w:pPr>
            <w:r>
              <w:rPr>
                <w:color w:val="000000"/>
                <w:sz w:val="18"/>
                <w:szCs w:val="20"/>
              </w:rPr>
              <w:t>23.458</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Población subocupada</w:t>
            </w:r>
          </w:p>
        </w:tc>
        <w:tc>
          <w:tcPr>
            <w:tcW w:w="329" w:type="pct"/>
            <w:noWrap/>
            <w:vAlign w:val="bottom"/>
          </w:tcPr>
          <w:p w:rsidR="00000000" w:rsidRDefault="00000000">
            <w:pPr>
              <w:jc w:val="right"/>
              <w:rPr>
                <w:color w:val="000000"/>
                <w:sz w:val="18"/>
                <w:szCs w:val="20"/>
              </w:rPr>
            </w:pPr>
            <w:r>
              <w:rPr>
                <w:color w:val="000000"/>
                <w:sz w:val="18"/>
                <w:szCs w:val="20"/>
              </w:rPr>
              <w:t>163.421</w:t>
            </w:r>
          </w:p>
        </w:tc>
        <w:tc>
          <w:tcPr>
            <w:tcW w:w="336" w:type="pct"/>
            <w:noWrap/>
            <w:vAlign w:val="bottom"/>
          </w:tcPr>
          <w:p w:rsidR="00000000" w:rsidRDefault="00000000">
            <w:pPr>
              <w:jc w:val="right"/>
              <w:rPr>
                <w:color w:val="000000"/>
                <w:sz w:val="18"/>
                <w:szCs w:val="20"/>
              </w:rPr>
            </w:pPr>
            <w:r>
              <w:rPr>
                <w:color w:val="000000"/>
                <w:sz w:val="18"/>
                <w:szCs w:val="20"/>
              </w:rPr>
              <w:t>85.261</w:t>
            </w:r>
          </w:p>
        </w:tc>
        <w:tc>
          <w:tcPr>
            <w:tcW w:w="330" w:type="pct"/>
            <w:noWrap/>
            <w:vAlign w:val="bottom"/>
          </w:tcPr>
          <w:p w:rsidR="00000000" w:rsidRDefault="00000000">
            <w:pPr>
              <w:jc w:val="right"/>
              <w:rPr>
                <w:color w:val="000000"/>
                <w:sz w:val="18"/>
                <w:szCs w:val="20"/>
              </w:rPr>
            </w:pPr>
            <w:r>
              <w:rPr>
                <w:color w:val="000000"/>
                <w:sz w:val="18"/>
                <w:szCs w:val="20"/>
              </w:rPr>
              <w:t>78.160</w:t>
            </w:r>
          </w:p>
        </w:tc>
        <w:tc>
          <w:tcPr>
            <w:tcW w:w="336" w:type="pct"/>
            <w:noWrap/>
            <w:vAlign w:val="bottom"/>
          </w:tcPr>
          <w:p w:rsidR="00000000" w:rsidRDefault="00000000">
            <w:pPr>
              <w:jc w:val="right"/>
              <w:rPr>
                <w:color w:val="000000"/>
                <w:sz w:val="18"/>
                <w:szCs w:val="20"/>
              </w:rPr>
            </w:pPr>
            <w:r>
              <w:rPr>
                <w:color w:val="000000"/>
                <w:sz w:val="18"/>
                <w:szCs w:val="20"/>
              </w:rPr>
              <w:t>164.197</w:t>
            </w:r>
          </w:p>
        </w:tc>
        <w:tc>
          <w:tcPr>
            <w:tcW w:w="334" w:type="pct"/>
            <w:noWrap/>
            <w:vAlign w:val="bottom"/>
          </w:tcPr>
          <w:p w:rsidR="00000000" w:rsidRDefault="00000000">
            <w:pPr>
              <w:jc w:val="right"/>
              <w:rPr>
                <w:color w:val="000000"/>
                <w:sz w:val="18"/>
                <w:szCs w:val="20"/>
              </w:rPr>
            </w:pPr>
            <w:r>
              <w:rPr>
                <w:color w:val="000000"/>
                <w:sz w:val="18"/>
                <w:szCs w:val="20"/>
              </w:rPr>
              <w:t>81.525</w:t>
            </w:r>
          </w:p>
        </w:tc>
        <w:tc>
          <w:tcPr>
            <w:tcW w:w="329" w:type="pct"/>
            <w:noWrap/>
            <w:vAlign w:val="bottom"/>
          </w:tcPr>
          <w:p w:rsidR="00000000" w:rsidRDefault="00000000">
            <w:pPr>
              <w:jc w:val="right"/>
              <w:rPr>
                <w:color w:val="000000"/>
                <w:sz w:val="18"/>
                <w:szCs w:val="20"/>
              </w:rPr>
            </w:pPr>
            <w:r>
              <w:rPr>
                <w:color w:val="000000"/>
                <w:sz w:val="18"/>
                <w:szCs w:val="20"/>
              </w:rPr>
              <w:t>82.673</w:t>
            </w:r>
          </w:p>
        </w:tc>
        <w:tc>
          <w:tcPr>
            <w:tcW w:w="334" w:type="pct"/>
            <w:noWrap/>
            <w:vAlign w:val="bottom"/>
          </w:tcPr>
          <w:p w:rsidR="00000000" w:rsidRDefault="00000000">
            <w:pPr>
              <w:jc w:val="right"/>
              <w:rPr>
                <w:color w:val="000000"/>
                <w:sz w:val="18"/>
                <w:szCs w:val="20"/>
              </w:rPr>
            </w:pPr>
            <w:r>
              <w:rPr>
                <w:color w:val="000000"/>
                <w:sz w:val="18"/>
                <w:szCs w:val="20"/>
              </w:rPr>
              <w:t>280.790</w:t>
            </w:r>
          </w:p>
        </w:tc>
        <w:tc>
          <w:tcPr>
            <w:tcW w:w="330" w:type="pct"/>
            <w:noWrap/>
            <w:vAlign w:val="bottom"/>
          </w:tcPr>
          <w:p w:rsidR="00000000" w:rsidRDefault="00000000">
            <w:pPr>
              <w:jc w:val="right"/>
              <w:rPr>
                <w:color w:val="000000"/>
                <w:sz w:val="18"/>
                <w:szCs w:val="20"/>
              </w:rPr>
            </w:pPr>
            <w:r>
              <w:rPr>
                <w:color w:val="000000"/>
                <w:sz w:val="18"/>
                <w:szCs w:val="20"/>
              </w:rPr>
              <w:t>142.771</w:t>
            </w:r>
          </w:p>
        </w:tc>
        <w:tc>
          <w:tcPr>
            <w:tcW w:w="335" w:type="pct"/>
            <w:noWrap/>
            <w:vAlign w:val="bottom"/>
          </w:tcPr>
          <w:p w:rsidR="00000000" w:rsidRDefault="00000000">
            <w:pPr>
              <w:jc w:val="right"/>
              <w:rPr>
                <w:color w:val="000000"/>
                <w:sz w:val="18"/>
                <w:szCs w:val="20"/>
              </w:rPr>
            </w:pPr>
            <w:r>
              <w:rPr>
                <w:color w:val="000000"/>
                <w:sz w:val="18"/>
                <w:szCs w:val="20"/>
              </w:rPr>
              <w:t>138.019</w:t>
            </w:r>
          </w:p>
        </w:tc>
        <w:tc>
          <w:tcPr>
            <w:tcW w:w="323" w:type="pct"/>
            <w:noWrap/>
            <w:vAlign w:val="bottom"/>
          </w:tcPr>
          <w:p w:rsidR="00000000" w:rsidRDefault="00000000">
            <w:pPr>
              <w:jc w:val="right"/>
              <w:rPr>
                <w:color w:val="000000"/>
                <w:sz w:val="18"/>
                <w:szCs w:val="20"/>
              </w:rPr>
            </w:pPr>
            <w:r>
              <w:rPr>
                <w:color w:val="000000"/>
                <w:sz w:val="18"/>
                <w:szCs w:val="20"/>
              </w:rPr>
              <w:t>307.205</w:t>
            </w:r>
          </w:p>
        </w:tc>
        <w:tc>
          <w:tcPr>
            <w:tcW w:w="330" w:type="pct"/>
            <w:noWrap/>
            <w:vAlign w:val="bottom"/>
          </w:tcPr>
          <w:p w:rsidR="00000000" w:rsidRDefault="00000000">
            <w:pPr>
              <w:jc w:val="right"/>
              <w:rPr>
                <w:color w:val="000000"/>
                <w:sz w:val="18"/>
                <w:szCs w:val="20"/>
              </w:rPr>
            </w:pPr>
            <w:r>
              <w:rPr>
                <w:color w:val="000000"/>
                <w:sz w:val="18"/>
                <w:szCs w:val="20"/>
              </w:rPr>
              <w:t>151.976</w:t>
            </w:r>
          </w:p>
        </w:tc>
        <w:tc>
          <w:tcPr>
            <w:tcW w:w="322" w:type="pct"/>
            <w:noWrap/>
            <w:vAlign w:val="bottom"/>
          </w:tcPr>
          <w:p w:rsidR="00000000" w:rsidRDefault="00000000">
            <w:pPr>
              <w:jc w:val="right"/>
              <w:rPr>
                <w:color w:val="000000"/>
                <w:sz w:val="18"/>
                <w:szCs w:val="20"/>
              </w:rPr>
            </w:pPr>
            <w:r>
              <w:rPr>
                <w:color w:val="000000"/>
                <w:sz w:val="18"/>
                <w:szCs w:val="20"/>
              </w:rPr>
              <w:t>155.229</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Población subocupada visible</w:t>
            </w:r>
          </w:p>
        </w:tc>
        <w:tc>
          <w:tcPr>
            <w:tcW w:w="329" w:type="pct"/>
            <w:noWrap/>
            <w:vAlign w:val="bottom"/>
          </w:tcPr>
          <w:p w:rsidR="00000000" w:rsidRDefault="00000000">
            <w:pPr>
              <w:jc w:val="right"/>
              <w:rPr>
                <w:color w:val="000000"/>
                <w:sz w:val="18"/>
                <w:szCs w:val="20"/>
              </w:rPr>
            </w:pPr>
            <w:r>
              <w:rPr>
                <w:color w:val="000000"/>
                <w:sz w:val="18"/>
                <w:szCs w:val="20"/>
              </w:rPr>
              <w:t>69.941</w:t>
            </w:r>
          </w:p>
        </w:tc>
        <w:tc>
          <w:tcPr>
            <w:tcW w:w="336" w:type="pct"/>
            <w:noWrap/>
            <w:vAlign w:val="bottom"/>
          </w:tcPr>
          <w:p w:rsidR="00000000" w:rsidRDefault="00000000">
            <w:pPr>
              <w:jc w:val="right"/>
              <w:rPr>
                <w:color w:val="000000"/>
                <w:sz w:val="18"/>
                <w:szCs w:val="20"/>
              </w:rPr>
            </w:pPr>
            <w:r>
              <w:rPr>
                <w:color w:val="000000"/>
                <w:sz w:val="18"/>
                <w:szCs w:val="20"/>
              </w:rPr>
              <w:t>26.201</w:t>
            </w:r>
          </w:p>
        </w:tc>
        <w:tc>
          <w:tcPr>
            <w:tcW w:w="330" w:type="pct"/>
            <w:noWrap/>
            <w:vAlign w:val="bottom"/>
          </w:tcPr>
          <w:p w:rsidR="00000000" w:rsidRDefault="00000000">
            <w:pPr>
              <w:jc w:val="right"/>
              <w:rPr>
                <w:color w:val="000000"/>
                <w:sz w:val="18"/>
                <w:szCs w:val="20"/>
              </w:rPr>
            </w:pPr>
            <w:r>
              <w:rPr>
                <w:color w:val="000000"/>
                <w:sz w:val="18"/>
                <w:szCs w:val="20"/>
              </w:rPr>
              <w:t>43.740</w:t>
            </w:r>
          </w:p>
        </w:tc>
        <w:tc>
          <w:tcPr>
            <w:tcW w:w="336" w:type="pct"/>
            <w:noWrap/>
            <w:vAlign w:val="bottom"/>
          </w:tcPr>
          <w:p w:rsidR="00000000" w:rsidRDefault="00000000">
            <w:pPr>
              <w:jc w:val="right"/>
              <w:rPr>
                <w:color w:val="000000"/>
                <w:sz w:val="18"/>
                <w:szCs w:val="20"/>
              </w:rPr>
            </w:pPr>
            <w:r>
              <w:rPr>
                <w:color w:val="000000"/>
                <w:sz w:val="18"/>
                <w:szCs w:val="20"/>
              </w:rPr>
              <w:t>66.441</w:t>
            </w:r>
          </w:p>
        </w:tc>
        <w:tc>
          <w:tcPr>
            <w:tcW w:w="334" w:type="pct"/>
            <w:noWrap/>
            <w:vAlign w:val="bottom"/>
          </w:tcPr>
          <w:p w:rsidR="00000000" w:rsidRDefault="00000000">
            <w:pPr>
              <w:jc w:val="right"/>
              <w:rPr>
                <w:color w:val="000000"/>
                <w:sz w:val="18"/>
                <w:szCs w:val="20"/>
              </w:rPr>
            </w:pPr>
            <w:r>
              <w:rPr>
                <w:color w:val="000000"/>
                <w:sz w:val="18"/>
                <w:szCs w:val="20"/>
              </w:rPr>
              <w:t>18.933</w:t>
            </w:r>
          </w:p>
        </w:tc>
        <w:tc>
          <w:tcPr>
            <w:tcW w:w="329" w:type="pct"/>
            <w:noWrap/>
            <w:vAlign w:val="bottom"/>
          </w:tcPr>
          <w:p w:rsidR="00000000" w:rsidRDefault="00000000">
            <w:pPr>
              <w:jc w:val="right"/>
              <w:rPr>
                <w:color w:val="000000"/>
                <w:sz w:val="18"/>
                <w:szCs w:val="20"/>
              </w:rPr>
            </w:pPr>
            <w:r>
              <w:rPr>
                <w:color w:val="000000"/>
                <w:sz w:val="18"/>
                <w:szCs w:val="20"/>
              </w:rPr>
              <w:t>47.508</w:t>
            </w:r>
          </w:p>
        </w:tc>
        <w:tc>
          <w:tcPr>
            <w:tcW w:w="334" w:type="pct"/>
            <w:noWrap/>
            <w:vAlign w:val="bottom"/>
          </w:tcPr>
          <w:p w:rsidR="00000000" w:rsidRDefault="00000000">
            <w:pPr>
              <w:jc w:val="right"/>
              <w:rPr>
                <w:color w:val="000000"/>
                <w:sz w:val="18"/>
                <w:szCs w:val="20"/>
              </w:rPr>
            </w:pPr>
            <w:r>
              <w:rPr>
                <w:color w:val="000000"/>
                <w:sz w:val="18"/>
                <w:szCs w:val="20"/>
              </w:rPr>
              <w:t>106.954</w:t>
            </w:r>
          </w:p>
        </w:tc>
        <w:tc>
          <w:tcPr>
            <w:tcW w:w="330" w:type="pct"/>
            <w:noWrap/>
            <w:vAlign w:val="bottom"/>
          </w:tcPr>
          <w:p w:rsidR="00000000" w:rsidRDefault="00000000">
            <w:pPr>
              <w:jc w:val="right"/>
              <w:rPr>
                <w:color w:val="000000"/>
                <w:sz w:val="18"/>
                <w:szCs w:val="20"/>
              </w:rPr>
            </w:pPr>
            <w:r>
              <w:rPr>
                <w:color w:val="000000"/>
                <w:sz w:val="18"/>
                <w:szCs w:val="20"/>
              </w:rPr>
              <w:t>36.105</w:t>
            </w:r>
          </w:p>
        </w:tc>
        <w:tc>
          <w:tcPr>
            <w:tcW w:w="335" w:type="pct"/>
            <w:noWrap/>
            <w:vAlign w:val="bottom"/>
          </w:tcPr>
          <w:p w:rsidR="00000000" w:rsidRDefault="00000000">
            <w:pPr>
              <w:jc w:val="right"/>
              <w:rPr>
                <w:color w:val="000000"/>
                <w:sz w:val="18"/>
                <w:szCs w:val="20"/>
              </w:rPr>
            </w:pPr>
            <w:r>
              <w:rPr>
                <w:color w:val="000000"/>
                <w:sz w:val="18"/>
                <w:szCs w:val="20"/>
              </w:rPr>
              <w:t>70.849</w:t>
            </w:r>
          </w:p>
        </w:tc>
        <w:tc>
          <w:tcPr>
            <w:tcW w:w="323" w:type="pct"/>
            <w:noWrap/>
            <w:vAlign w:val="bottom"/>
          </w:tcPr>
          <w:p w:rsidR="00000000" w:rsidRDefault="00000000">
            <w:pPr>
              <w:jc w:val="right"/>
              <w:rPr>
                <w:color w:val="000000"/>
                <w:sz w:val="18"/>
                <w:szCs w:val="20"/>
              </w:rPr>
            </w:pPr>
            <w:r>
              <w:rPr>
                <w:color w:val="000000"/>
                <w:sz w:val="18"/>
                <w:szCs w:val="20"/>
              </w:rPr>
              <w:t>99.212</w:t>
            </w:r>
          </w:p>
        </w:tc>
        <w:tc>
          <w:tcPr>
            <w:tcW w:w="330" w:type="pct"/>
            <w:noWrap/>
            <w:vAlign w:val="bottom"/>
          </w:tcPr>
          <w:p w:rsidR="00000000" w:rsidRDefault="00000000">
            <w:pPr>
              <w:jc w:val="right"/>
              <w:rPr>
                <w:color w:val="000000"/>
                <w:sz w:val="18"/>
                <w:szCs w:val="20"/>
              </w:rPr>
            </w:pPr>
            <w:r>
              <w:rPr>
                <w:color w:val="000000"/>
                <w:sz w:val="18"/>
                <w:szCs w:val="20"/>
              </w:rPr>
              <w:t>29.934</w:t>
            </w:r>
          </w:p>
        </w:tc>
        <w:tc>
          <w:tcPr>
            <w:tcW w:w="322" w:type="pct"/>
            <w:noWrap/>
            <w:vAlign w:val="bottom"/>
          </w:tcPr>
          <w:p w:rsidR="00000000" w:rsidRDefault="00000000">
            <w:pPr>
              <w:jc w:val="right"/>
              <w:rPr>
                <w:color w:val="000000"/>
                <w:sz w:val="18"/>
                <w:szCs w:val="20"/>
              </w:rPr>
            </w:pPr>
            <w:r>
              <w:rPr>
                <w:color w:val="000000"/>
                <w:sz w:val="18"/>
                <w:szCs w:val="20"/>
              </w:rPr>
              <w:t>69.278</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Población subocupada invisible</w:t>
            </w:r>
          </w:p>
        </w:tc>
        <w:tc>
          <w:tcPr>
            <w:tcW w:w="329" w:type="pct"/>
            <w:noWrap/>
            <w:vAlign w:val="bottom"/>
          </w:tcPr>
          <w:p w:rsidR="00000000" w:rsidRDefault="00000000">
            <w:pPr>
              <w:jc w:val="right"/>
              <w:rPr>
                <w:color w:val="000000"/>
                <w:sz w:val="18"/>
                <w:szCs w:val="20"/>
              </w:rPr>
            </w:pPr>
            <w:r>
              <w:rPr>
                <w:color w:val="000000"/>
                <w:sz w:val="18"/>
                <w:szCs w:val="20"/>
              </w:rPr>
              <w:t>93.480</w:t>
            </w:r>
          </w:p>
        </w:tc>
        <w:tc>
          <w:tcPr>
            <w:tcW w:w="336" w:type="pct"/>
            <w:noWrap/>
            <w:vAlign w:val="bottom"/>
          </w:tcPr>
          <w:p w:rsidR="00000000" w:rsidRDefault="00000000">
            <w:pPr>
              <w:jc w:val="right"/>
              <w:rPr>
                <w:color w:val="000000"/>
                <w:sz w:val="18"/>
                <w:szCs w:val="20"/>
              </w:rPr>
            </w:pPr>
            <w:r>
              <w:rPr>
                <w:color w:val="000000"/>
                <w:sz w:val="18"/>
                <w:szCs w:val="20"/>
              </w:rPr>
              <w:t>59.059</w:t>
            </w:r>
          </w:p>
        </w:tc>
        <w:tc>
          <w:tcPr>
            <w:tcW w:w="330" w:type="pct"/>
            <w:noWrap/>
            <w:vAlign w:val="bottom"/>
          </w:tcPr>
          <w:p w:rsidR="00000000" w:rsidRDefault="00000000">
            <w:pPr>
              <w:jc w:val="right"/>
              <w:rPr>
                <w:color w:val="000000"/>
                <w:sz w:val="18"/>
                <w:szCs w:val="20"/>
              </w:rPr>
            </w:pPr>
            <w:r>
              <w:rPr>
                <w:color w:val="000000"/>
                <w:sz w:val="18"/>
                <w:szCs w:val="20"/>
              </w:rPr>
              <w:t>34.421</w:t>
            </w:r>
          </w:p>
        </w:tc>
        <w:tc>
          <w:tcPr>
            <w:tcW w:w="336" w:type="pct"/>
            <w:noWrap/>
            <w:vAlign w:val="bottom"/>
          </w:tcPr>
          <w:p w:rsidR="00000000" w:rsidRDefault="00000000">
            <w:pPr>
              <w:jc w:val="right"/>
              <w:rPr>
                <w:color w:val="000000"/>
                <w:sz w:val="18"/>
                <w:szCs w:val="20"/>
              </w:rPr>
            </w:pPr>
            <w:r>
              <w:rPr>
                <w:color w:val="000000"/>
                <w:sz w:val="18"/>
                <w:szCs w:val="20"/>
              </w:rPr>
              <w:t>97.756</w:t>
            </w:r>
          </w:p>
        </w:tc>
        <w:tc>
          <w:tcPr>
            <w:tcW w:w="334" w:type="pct"/>
            <w:noWrap/>
            <w:vAlign w:val="bottom"/>
          </w:tcPr>
          <w:p w:rsidR="00000000" w:rsidRDefault="00000000">
            <w:pPr>
              <w:jc w:val="right"/>
              <w:rPr>
                <w:color w:val="000000"/>
                <w:sz w:val="18"/>
                <w:szCs w:val="20"/>
              </w:rPr>
            </w:pPr>
            <w:r>
              <w:rPr>
                <w:color w:val="000000"/>
                <w:sz w:val="18"/>
                <w:szCs w:val="20"/>
              </w:rPr>
              <w:t>62.591</w:t>
            </w:r>
          </w:p>
        </w:tc>
        <w:tc>
          <w:tcPr>
            <w:tcW w:w="329" w:type="pct"/>
            <w:noWrap/>
            <w:vAlign w:val="bottom"/>
          </w:tcPr>
          <w:p w:rsidR="00000000" w:rsidRDefault="00000000">
            <w:pPr>
              <w:jc w:val="right"/>
              <w:rPr>
                <w:color w:val="000000"/>
                <w:sz w:val="18"/>
                <w:szCs w:val="20"/>
              </w:rPr>
            </w:pPr>
            <w:r>
              <w:rPr>
                <w:color w:val="000000"/>
                <w:sz w:val="18"/>
                <w:szCs w:val="20"/>
              </w:rPr>
              <w:t>35.165</w:t>
            </w:r>
          </w:p>
        </w:tc>
        <w:tc>
          <w:tcPr>
            <w:tcW w:w="334" w:type="pct"/>
            <w:noWrap/>
            <w:vAlign w:val="bottom"/>
          </w:tcPr>
          <w:p w:rsidR="00000000" w:rsidRDefault="00000000">
            <w:pPr>
              <w:jc w:val="right"/>
              <w:rPr>
                <w:color w:val="000000"/>
                <w:sz w:val="18"/>
                <w:szCs w:val="20"/>
              </w:rPr>
            </w:pPr>
            <w:r>
              <w:rPr>
                <w:color w:val="000000"/>
                <w:sz w:val="18"/>
                <w:szCs w:val="20"/>
              </w:rPr>
              <w:t>173.836</w:t>
            </w:r>
          </w:p>
        </w:tc>
        <w:tc>
          <w:tcPr>
            <w:tcW w:w="330" w:type="pct"/>
            <w:noWrap/>
            <w:vAlign w:val="bottom"/>
          </w:tcPr>
          <w:p w:rsidR="00000000" w:rsidRDefault="00000000">
            <w:pPr>
              <w:jc w:val="right"/>
              <w:rPr>
                <w:color w:val="000000"/>
                <w:sz w:val="18"/>
                <w:szCs w:val="20"/>
              </w:rPr>
            </w:pPr>
            <w:r>
              <w:rPr>
                <w:color w:val="000000"/>
                <w:sz w:val="18"/>
                <w:szCs w:val="20"/>
              </w:rPr>
              <w:t>106.666</w:t>
            </w:r>
          </w:p>
        </w:tc>
        <w:tc>
          <w:tcPr>
            <w:tcW w:w="335" w:type="pct"/>
            <w:noWrap/>
            <w:vAlign w:val="bottom"/>
          </w:tcPr>
          <w:p w:rsidR="00000000" w:rsidRDefault="00000000">
            <w:pPr>
              <w:jc w:val="right"/>
              <w:rPr>
                <w:color w:val="000000"/>
                <w:sz w:val="18"/>
                <w:szCs w:val="20"/>
              </w:rPr>
            </w:pPr>
            <w:r>
              <w:rPr>
                <w:color w:val="000000"/>
                <w:sz w:val="18"/>
                <w:szCs w:val="20"/>
              </w:rPr>
              <w:t>67.170</w:t>
            </w:r>
          </w:p>
        </w:tc>
        <w:tc>
          <w:tcPr>
            <w:tcW w:w="323" w:type="pct"/>
            <w:noWrap/>
            <w:vAlign w:val="bottom"/>
          </w:tcPr>
          <w:p w:rsidR="00000000" w:rsidRDefault="00000000">
            <w:pPr>
              <w:jc w:val="right"/>
              <w:rPr>
                <w:color w:val="000000"/>
                <w:sz w:val="18"/>
                <w:szCs w:val="20"/>
              </w:rPr>
            </w:pPr>
            <w:r>
              <w:rPr>
                <w:color w:val="000000"/>
                <w:sz w:val="18"/>
                <w:szCs w:val="20"/>
              </w:rPr>
              <w:t>207.993</w:t>
            </w:r>
          </w:p>
        </w:tc>
        <w:tc>
          <w:tcPr>
            <w:tcW w:w="330" w:type="pct"/>
            <w:noWrap/>
            <w:vAlign w:val="bottom"/>
          </w:tcPr>
          <w:p w:rsidR="00000000" w:rsidRDefault="00000000">
            <w:pPr>
              <w:jc w:val="right"/>
              <w:rPr>
                <w:color w:val="000000"/>
                <w:sz w:val="18"/>
                <w:szCs w:val="20"/>
              </w:rPr>
            </w:pPr>
            <w:r>
              <w:rPr>
                <w:color w:val="000000"/>
                <w:sz w:val="18"/>
                <w:szCs w:val="20"/>
              </w:rPr>
              <w:t>122.042</w:t>
            </w:r>
          </w:p>
        </w:tc>
        <w:tc>
          <w:tcPr>
            <w:tcW w:w="322" w:type="pct"/>
            <w:noWrap/>
            <w:vAlign w:val="bottom"/>
          </w:tcPr>
          <w:p w:rsidR="00000000" w:rsidRDefault="00000000">
            <w:pPr>
              <w:jc w:val="right"/>
              <w:rPr>
                <w:color w:val="000000"/>
                <w:sz w:val="18"/>
                <w:szCs w:val="20"/>
              </w:rPr>
            </w:pPr>
            <w:r>
              <w:rPr>
                <w:color w:val="000000"/>
                <w:sz w:val="18"/>
                <w:szCs w:val="20"/>
              </w:rPr>
              <w:t>85.951</w:t>
            </w:r>
          </w:p>
        </w:tc>
      </w:tr>
      <w:tr w:rsidR="00000000">
        <w:trPr>
          <w:trHeight w:val="20"/>
        </w:trPr>
        <w:tc>
          <w:tcPr>
            <w:tcW w:w="1032" w:type="pct"/>
            <w:noWrap/>
            <w:vAlign w:val="bottom"/>
          </w:tcPr>
          <w:p w:rsidR="00000000" w:rsidRDefault="00000000">
            <w:pPr>
              <w:tabs>
                <w:tab w:val="left" w:pos="308"/>
              </w:tabs>
              <w:rPr>
                <w:b/>
                <w:bCs/>
                <w:color w:val="000000"/>
                <w:sz w:val="18"/>
                <w:szCs w:val="18"/>
              </w:rPr>
            </w:pPr>
            <w:r>
              <w:rPr>
                <w:b/>
                <w:bCs/>
                <w:color w:val="000000"/>
                <w:sz w:val="18"/>
                <w:szCs w:val="20"/>
              </w:rPr>
              <w:tab/>
              <w:t>Población</w:t>
            </w:r>
            <w:r>
              <w:rPr>
                <w:b/>
                <w:bCs/>
                <w:color w:val="000000"/>
                <w:sz w:val="18"/>
                <w:szCs w:val="18"/>
              </w:rPr>
              <w:t xml:space="preserve"> total</w:t>
            </w:r>
          </w:p>
        </w:tc>
        <w:tc>
          <w:tcPr>
            <w:tcW w:w="329" w:type="pct"/>
            <w:noWrap/>
            <w:vAlign w:val="bottom"/>
          </w:tcPr>
          <w:p w:rsidR="00000000" w:rsidRDefault="00000000">
            <w:pPr>
              <w:jc w:val="right"/>
              <w:rPr>
                <w:b/>
                <w:bCs/>
                <w:color w:val="000000"/>
                <w:sz w:val="18"/>
                <w:szCs w:val="20"/>
              </w:rPr>
            </w:pPr>
            <w:r>
              <w:rPr>
                <w:b/>
                <w:bCs/>
                <w:color w:val="000000"/>
                <w:sz w:val="18"/>
                <w:szCs w:val="20"/>
              </w:rPr>
              <w:t>1.615.592</w:t>
            </w:r>
          </w:p>
        </w:tc>
        <w:tc>
          <w:tcPr>
            <w:tcW w:w="336" w:type="pct"/>
            <w:noWrap/>
            <w:vAlign w:val="bottom"/>
          </w:tcPr>
          <w:p w:rsidR="00000000" w:rsidRDefault="00000000">
            <w:pPr>
              <w:jc w:val="right"/>
              <w:rPr>
                <w:b/>
                <w:bCs/>
                <w:color w:val="000000"/>
                <w:sz w:val="18"/>
                <w:szCs w:val="20"/>
              </w:rPr>
            </w:pPr>
            <w:r>
              <w:rPr>
                <w:b/>
                <w:bCs/>
                <w:color w:val="000000"/>
                <w:sz w:val="18"/>
                <w:szCs w:val="20"/>
              </w:rPr>
              <w:t>797.411</w:t>
            </w:r>
          </w:p>
        </w:tc>
        <w:tc>
          <w:tcPr>
            <w:tcW w:w="330" w:type="pct"/>
            <w:noWrap/>
            <w:vAlign w:val="bottom"/>
          </w:tcPr>
          <w:p w:rsidR="00000000" w:rsidRDefault="00000000">
            <w:pPr>
              <w:jc w:val="right"/>
              <w:rPr>
                <w:b/>
                <w:bCs/>
                <w:color w:val="000000"/>
                <w:sz w:val="18"/>
                <w:szCs w:val="20"/>
              </w:rPr>
            </w:pPr>
            <w:r>
              <w:rPr>
                <w:b/>
                <w:bCs/>
                <w:color w:val="000000"/>
                <w:sz w:val="18"/>
                <w:szCs w:val="20"/>
              </w:rPr>
              <w:t>818.181</w:t>
            </w:r>
          </w:p>
        </w:tc>
        <w:tc>
          <w:tcPr>
            <w:tcW w:w="336" w:type="pct"/>
            <w:noWrap/>
            <w:vAlign w:val="bottom"/>
          </w:tcPr>
          <w:p w:rsidR="00000000" w:rsidRDefault="00000000">
            <w:pPr>
              <w:jc w:val="right"/>
              <w:rPr>
                <w:b/>
                <w:bCs/>
                <w:color w:val="000000"/>
                <w:sz w:val="18"/>
                <w:szCs w:val="20"/>
              </w:rPr>
            </w:pPr>
            <w:r>
              <w:rPr>
                <w:b/>
                <w:bCs/>
                <w:color w:val="000000"/>
                <w:sz w:val="18"/>
                <w:szCs w:val="20"/>
              </w:rPr>
              <w:t>1.788.489</w:t>
            </w:r>
          </w:p>
        </w:tc>
        <w:tc>
          <w:tcPr>
            <w:tcW w:w="334" w:type="pct"/>
            <w:noWrap/>
            <w:vAlign w:val="bottom"/>
          </w:tcPr>
          <w:p w:rsidR="00000000" w:rsidRDefault="00000000">
            <w:pPr>
              <w:jc w:val="right"/>
              <w:rPr>
                <w:b/>
                <w:bCs/>
                <w:color w:val="000000"/>
                <w:sz w:val="18"/>
                <w:szCs w:val="20"/>
              </w:rPr>
            </w:pPr>
            <w:r>
              <w:rPr>
                <w:b/>
                <w:bCs/>
                <w:color w:val="000000"/>
                <w:sz w:val="18"/>
                <w:szCs w:val="20"/>
              </w:rPr>
              <w:t>868.698</w:t>
            </w:r>
          </w:p>
        </w:tc>
        <w:tc>
          <w:tcPr>
            <w:tcW w:w="329" w:type="pct"/>
            <w:noWrap/>
            <w:vAlign w:val="bottom"/>
          </w:tcPr>
          <w:p w:rsidR="00000000" w:rsidRDefault="00000000">
            <w:pPr>
              <w:jc w:val="right"/>
              <w:rPr>
                <w:b/>
                <w:bCs/>
                <w:color w:val="000000"/>
                <w:sz w:val="18"/>
                <w:szCs w:val="20"/>
              </w:rPr>
            </w:pPr>
            <w:r>
              <w:rPr>
                <w:b/>
                <w:bCs/>
                <w:color w:val="000000"/>
                <w:sz w:val="18"/>
                <w:szCs w:val="20"/>
              </w:rPr>
              <w:t>919.791</w:t>
            </w:r>
          </w:p>
        </w:tc>
        <w:tc>
          <w:tcPr>
            <w:tcW w:w="334" w:type="pct"/>
            <w:noWrap/>
            <w:vAlign w:val="bottom"/>
          </w:tcPr>
          <w:p w:rsidR="00000000" w:rsidRDefault="00000000">
            <w:pPr>
              <w:jc w:val="right"/>
              <w:rPr>
                <w:b/>
                <w:bCs/>
                <w:color w:val="000000"/>
                <w:sz w:val="18"/>
                <w:szCs w:val="20"/>
              </w:rPr>
            </w:pPr>
            <w:r>
              <w:rPr>
                <w:b/>
                <w:bCs/>
                <w:color w:val="000000"/>
                <w:sz w:val="18"/>
                <w:szCs w:val="20"/>
              </w:rPr>
              <w:t>2.058.392</w:t>
            </w:r>
          </w:p>
        </w:tc>
        <w:tc>
          <w:tcPr>
            <w:tcW w:w="330" w:type="pct"/>
            <w:noWrap/>
            <w:vAlign w:val="bottom"/>
          </w:tcPr>
          <w:p w:rsidR="00000000" w:rsidRDefault="00000000">
            <w:pPr>
              <w:jc w:val="right"/>
              <w:rPr>
                <w:b/>
                <w:bCs/>
                <w:color w:val="000000"/>
                <w:sz w:val="18"/>
                <w:szCs w:val="20"/>
              </w:rPr>
            </w:pPr>
            <w:r>
              <w:rPr>
                <w:b/>
                <w:bCs/>
                <w:color w:val="000000"/>
                <w:sz w:val="18"/>
                <w:szCs w:val="20"/>
              </w:rPr>
              <w:t>1.013.930</w:t>
            </w:r>
          </w:p>
        </w:tc>
        <w:tc>
          <w:tcPr>
            <w:tcW w:w="335" w:type="pct"/>
            <w:noWrap/>
            <w:vAlign w:val="bottom"/>
          </w:tcPr>
          <w:p w:rsidR="00000000" w:rsidRDefault="00000000">
            <w:pPr>
              <w:jc w:val="right"/>
              <w:rPr>
                <w:b/>
                <w:bCs/>
                <w:color w:val="000000"/>
                <w:sz w:val="18"/>
                <w:szCs w:val="20"/>
              </w:rPr>
            </w:pPr>
            <w:r>
              <w:rPr>
                <w:b/>
                <w:bCs/>
                <w:color w:val="000000"/>
                <w:sz w:val="18"/>
                <w:szCs w:val="20"/>
              </w:rPr>
              <w:t>1.044.462</w:t>
            </w:r>
          </w:p>
        </w:tc>
        <w:tc>
          <w:tcPr>
            <w:tcW w:w="323" w:type="pct"/>
            <w:noWrap/>
            <w:vAlign w:val="bottom"/>
          </w:tcPr>
          <w:p w:rsidR="00000000" w:rsidRDefault="00000000">
            <w:pPr>
              <w:jc w:val="right"/>
              <w:rPr>
                <w:b/>
                <w:bCs/>
                <w:color w:val="000000"/>
                <w:sz w:val="18"/>
                <w:szCs w:val="20"/>
              </w:rPr>
            </w:pPr>
            <w:r>
              <w:rPr>
                <w:b/>
                <w:bCs/>
                <w:color w:val="000000"/>
                <w:sz w:val="18"/>
                <w:szCs w:val="20"/>
              </w:rPr>
              <w:t>2.189.905</w:t>
            </w:r>
          </w:p>
        </w:tc>
        <w:tc>
          <w:tcPr>
            <w:tcW w:w="330" w:type="pct"/>
            <w:noWrap/>
            <w:vAlign w:val="bottom"/>
          </w:tcPr>
          <w:p w:rsidR="00000000" w:rsidRDefault="00000000">
            <w:pPr>
              <w:jc w:val="right"/>
              <w:rPr>
                <w:b/>
                <w:bCs/>
                <w:color w:val="000000"/>
                <w:sz w:val="18"/>
                <w:szCs w:val="20"/>
              </w:rPr>
            </w:pPr>
            <w:r>
              <w:rPr>
                <w:b/>
                <w:bCs/>
                <w:color w:val="000000"/>
                <w:sz w:val="18"/>
                <w:szCs w:val="20"/>
              </w:rPr>
              <w:t>1.067.005</w:t>
            </w:r>
          </w:p>
        </w:tc>
        <w:tc>
          <w:tcPr>
            <w:tcW w:w="322" w:type="pct"/>
            <w:noWrap/>
            <w:vAlign w:val="bottom"/>
          </w:tcPr>
          <w:p w:rsidR="00000000" w:rsidRDefault="00000000">
            <w:pPr>
              <w:jc w:val="right"/>
              <w:rPr>
                <w:b/>
                <w:bCs/>
                <w:color w:val="000000"/>
                <w:sz w:val="18"/>
                <w:szCs w:val="20"/>
              </w:rPr>
            </w:pPr>
            <w:r>
              <w:rPr>
                <w:b/>
                <w:bCs/>
                <w:color w:val="000000"/>
                <w:sz w:val="18"/>
                <w:szCs w:val="20"/>
              </w:rPr>
              <w:t>1.122.900</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Tasa de actividad</w:t>
            </w:r>
          </w:p>
        </w:tc>
        <w:tc>
          <w:tcPr>
            <w:tcW w:w="329" w:type="pct"/>
            <w:noWrap/>
            <w:vAlign w:val="bottom"/>
          </w:tcPr>
          <w:p w:rsidR="00000000" w:rsidRDefault="00000000">
            <w:pPr>
              <w:tabs>
                <w:tab w:val="decimal" w:pos="351"/>
              </w:tabs>
              <w:jc w:val="right"/>
              <w:rPr>
                <w:color w:val="000000"/>
                <w:sz w:val="18"/>
                <w:szCs w:val="20"/>
              </w:rPr>
            </w:pPr>
            <w:r>
              <w:rPr>
                <w:color w:val="000000"/>
                <w:sz w:val="18"/>
                <w:szCs w:val="20"/>
              </w:rPr>
              <w:t>78,5</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91,7</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65,5</w:t>
            </w:r>
          </w:p>
        </w:tc>
        <w:tc>
          <w:tcPr>
            <w:tcW w:w="336" w:type="pct"/>
            <w:noWrap/>
            <w:vAlign w:val="bottom"/>
          </w:tcPr>
          <w:p w:rsidR="00000000" w:rsidRDefault="00000000">
            <w:pPr>
              <w:tabs>
                <w:tab w:val="decimal" w:pos="367"/>
              </w:tabs>
              <w:jc w:val="right"/>
              <w:rPr>
                <w:color w:val="000000"/>
                <w:sz w:val="18"/>
                <w:szCs w:val="20"/>
              </w:rPr>
            </w:pPr>
            <w:r>
              <w:rPr>
                <w:color w:val="000000"/>
                <w:sz w:val="18"/>
                <w:szCs w:val="20"/>
              </w:rPr>
              <w:t>70,3</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90,4</w:t>
            </w:r>
          </w:p>
        </w:tc>
        <w:tc>
          <w:tcPr>
            <w:tcW w:w="329" w:type="pct"/>
            <w:noWrap/>
            <w:vAlign w:val="bottom"/>
          </w:tcPr>
          <w:p w:rsidR="00000000" w:rsidRDefault="00000000">
            <w:pPr>
              <w:tabs>
                <w:tab w:val="decimal" w:pos="367"/>
              </w:tabs>
              <w:jc w:val="right"/>
              <w:rPr>
                <w:color w:val="000000"/>
                <w:sz w:val="18"/>
                <w:szCs w:val="20"/>
              </w:rPr>
            </w:pPr>
            <w:r>
              <w:rPr>
                <w:color w:val="000000"/>
                <w:sz w:val="18"/>
                <w:szCs w:val="20"/>
              </w:rPr>
              <w:t>51,3</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75,5</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89,9</w:t>
            </w:r>
          </w:p>
        </w:tc>
        <w:tc>
          <w:tcPr>
            <w:tcW w:w="335" w:type="pct"/>
            <w:noWrap/>
            <w:vAlign w:val="bottom"/>
          </w:tcPr>
          <w:p w:rsidR="00000000" w:rsidRDefault="00000000">
            <w:pPr>
              <w:tabs>
                <w:tab w:val="decimal" w:pos="367"/>
              </w:tabs>
              <w:jc w:val="right"/>
              <w:rPr>
                <w:color w:val="000000"/>
                <w:sz w:val="18"/>
                <w:szCs w:val="20"/>
              </w:rPr>
            </w:pPr>
            <w:r>
              <w:rPr>
                <w:color w:val="000000"/>
                <w:sz w:val="18"/>
                <w:szCs w:val="20"/>
              </w:rPr>
              <w:t>61,5</w:t>
            </w:r>
          </w:p>
        </w:tc>
        <w:tc>
          <w:tcPr>
            <w:tcW w:w="323" w:type="pct"/>
            <w:noWrap/>
            <w:vAlign w:val="bottom"/>
          </w:tcPr>
          <w:p w:rsidR="00000000" w:rsidRDefault="00000000">
            <w:pPr>
              <w:tabs>
                <w:tab w:val="decimal" w:pos="367"/>
              </w:tabs>
              <w:jc w:val="right"/>
              <w:rPr>
                <w:color w:val="000000"/>
                <w:sz w:val="18"/>
                <w:szCs w:val="20"/>
              </w:rPr>
            </w:pPr>
            <w:r>
              <w:rPr>
                <w:color w:val="000000"/>
                <w:sz w:val="18"/>
                <w:szCs w:val="20"/>
              </w:rPr>
              <w:t>74,9</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90,2</w:t>
            </w:r>
          </w:p>
        </w:tc>
        <w:tc>
          <w:tcPr>
            <w:tcW w:w="322" w:type="pct"/>
            <w:noWrap/>
            <w:vAlign w:val="bottom"/>
          </w:tcPr>
          <w:p w:rsidR="00000000" w:rsidRDefault="00000000">
            <w:pPr>
              <w:tabs>
                <w:tab w:val="decimal" w:pos="367"/>
              </w:tabs>
              <w:jc w:val="right"/>
              <w:rPr>
                <w:color w:val="000000"/>
                <w:sz w:val="18"/>
                <w:szCs w:val="20"/>
              </w:rPr>
            </w:pPr>
            <w:r>
              <w:rPr>
                <w:color w:val="000000"/>
                <w:sz w:val="18"/>
                <w:szCs w:val="20"/>
              </w:rPr>
              <w:t>60,3</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Tasa de ocupación</w:t>
            </w:r>
          </w:p>
        </w:tc>
        <w:tc>
          <w:tcPr>
            <w:tcW w:w="329" w:type="pct"/>
            <w:noWrap/>
            <w:vAlign w:val="bottom"/>
          </w:tcPr>
          <w:p w:rsidR="00000000" w:rsidRDefault="00000000">
            <w:pPr>
              <w:tabs>
                <w:tab w:val="decimal" w:pos="351"/>
              </w:tabs>
              <w:jc w:val="right"/>
              <w:rPr>
                <w:color w:val="000000"/>
                <w:sz w:val="18"/>
                <w:szCs w:val="20"/>
              </w:rPr>
            </w:pPr>
            <w:r>
              <w:rPr>
                <w:color w:val="000000"/>
                <w:sz w:val="18"/>
                <w:szCs w:val="20"/>
              </w:rPr>
              <w:t>97,8</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97,9</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97,7</w:t>
            </w:r>
          </w:p>
        </w:tc>
        <w:tc>
          <w:tcPr>
            <w:tcW w:w="336" w:type="pct"/>
            <w:noWrap/>
            <w:vAlign w:val="bottom"/>
          </w:tcPr>
          <w:p w:rsidR="00000000" w:rsidRDefault="00000000">
            <w:pPr>
              <w:tabs>
                <w:tab w:val="decimal" w:pos="367"/>
              </w:tabs>
              <w:jc w:val="right"/>
              <w:rPr>
                <w:color w:val="000000"/>
                <w:sz w:val="18"/>
                <w:szCs w:val="20"/>
              </w:rPr>
            </w:pPr>
            <w:r>
              <w:rPr>
                <w:color w:val="000000"/>
                <w:sz w:val="18"/>
                <w:szCs w:val="20"/>
              </w:rPr>
              <w:t>95,6</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95,8</w:t>
            </w:r>
          </w:p>
        </w:tc>
        <w:tc>
          <w:tcPr>
            <w:tcW w:w="329" w:type="pct"/>
            <w:noWrap/>
            <w:vAlign w:val="bottom"/>
          </w:tcPr>
          <w:p w:rsidR="00000000" w:rsidRDefault="00000000">
            <w:pPr>
              <w:tabs>
                <w:tab w:val="decimal" w:pos="367"/>
              </w:tabs>
              <w:jc w:val="right"/>
              <w:rPr>
                <w:color w:val="000000"/>
                <w:sz w:val="18"/>
                <w:szCs w:val="20"/>
              </w:rPr>
            </w:pPr>
            <w:r>
              <w:rPr>
                <w:color w:val="000000"/>
                <w:sz w:val="18"/>
                <w:szCs w:val="20"/>
              </w:rPr>
              <w:t>95,2</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95,6</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96,0</w:t>
            </w:r>
          </w:p>
        </w:tc>
        <w:tc>
          <w:tcPr>
            <w:tcW w:w="335" w:type="pct"/>
            <w:noWrap/>
            <w:vAlign w:val="bottom"/>
          </w:tcPr>
          <w:p w:rsidR="00000000" w:rsidRDefault="00000000">
            <w:pPr>
              <w:tabs>
                <w:tab w:val="decimal" w:pos="367"/>
              </w:tabs>
              <w:jc w:val="right"/>
              <w:rPr>
                <w:color w:val="000000"/>
                <w:sz w:val="18"/>
                <w:szCs w:val="20"/>
              </w:rPr>
            </w:pPr>
            <w:r>
              <w:rPr>
                <w:color w:val="000000"/>
                <w:sz w:val="18"/>
                <w:szCs w:val="20"/>
              </w:rPr>
              <w:t>95,0</w:t>
            </w:r>
          </w:p>
        </w:tc>
        <w:tc>
          <w:tcPr>
            <w:tcW w:w="323" w:type="pct"/>
            <w:noWrap/>
            <w:vAlign w:val="bottom"/>
          </w:tcPr>
          <w:p w:rsidR="00000000" w:rsidRDefault="00000000">
            <w:pPr>
              <w:tabs>
                <w:tab w:val="decimal" w:pos="367"/>
              </w:tabs>
              <w:jc w:val="right"/>
              <w:rPr>
                <w:color w:val="000000"/>
                <w:sz w:val="18"/>
                <w:szCs w:val="20"/>
              </w:rPr>
            </w:pPr>
            <w:r>
              <w:rPr>
                <w:color w:val="000000"/>
                <w:sz w:val="18"/>
                <w:szCs w:val="20"/>
              </w:rPr>
              <w:t>96,8</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97,1</w:t>
            </w:r>
          </w:p>
        </w:tc>
        <w:tc>
          <w:tcPr>
            <w:tcW w:w="322" w:type="pct"/>
            <w:noWrap/>
            <w:vAlign w:val="bottom"/>
          </w:tcPr>
          <w:p w:rsidR="00000000" w:rsidRDefault="00000000">
            <w:pPr>
              <w:tabs>
                <w:tab w:val="decimal" w:pos="367"/>
              </w:tabs>
              <w:jc w:val="right"/>
              <w:rPr>
                <w:color w:val="000000"/>
                <w:sz w:val="18"/>
                <w:szCs w:val="20"/>
              </w:rPr>
            </w:pPr>
            <w:r>
              <w:rPr>
                <w:color w:val="000000"/>
                <w:sz w:val="18"/>
                <w:szCs w:val="20"/>
              </w:rPr>
              <w:t>96,4</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Tasa de desempleo abierto</w:t>
            </w:r>
          </w:p>
        </w:tc>
        <w:tc>
          <w:tcPr>
            <w:tcW w:w="329" w:type="pct"/>
            <w:noWrap/>
            <w:vAlign w:val="bottom"/>
          </w:tcPr>
          <w:p w:rsidR="00000000" w:rsidRDefault="00000000">
            <w:pPr>
              <w:tabs>
                <w:tab w:val="decimal" w:pos="351"/>
              </w:tabs>
              <w:jc w:val="right"/>
              <w:rPr>
                <w:color w:val="000000"/>
                <w:sz w:val="18"/>
                <w:szCs w:val="20"/>
              </w:rPr>
            </w:pPr>
            <w:r>
              <w:rPr>
                <w:color w:val="000000"/>
                <w:sz w:val="18"/>
                <w:szCs w:val="20"/>
              </w:rPr>
              <w:t>2,2</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2,1</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2,3</w:t>
            </w:r>
          </w:p>
        </w:tc>
        <w:tc>
          <w:tcPr>
            <w:tcW w:w="336" w:type="pct"/>
            <w:noWrap/>
            <w:vAlign w:val="bottom"/>
          </w:tcPr>
          <w:p w:rsidR="00000000" w:rsidRDefault="00000000">
            <w:pPr>
              <w:tabs>
                <w:tab w:val="decimal" w:pos="367"/>
              </w:tabs>
              <w:jc w:val="right"/>
              <w:rPr>
                <w:color w:val="000000"/>
                <w:sz w:val="18"/>
                <w:szCs w:val="20"/>
              </w:rPr>
            </w:pPr>
            <w:r>
              <w:rPr>
                <w:color w:val="000000"/>
                <w:sz w:val="18"/>
                <w:szCs w:val="20"/>
              </w:rPr>
              <w:t>4,4</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4,2</w:t>
            </w:r>
          </w:p>
        </w:tc>
        <w:tc>
          <w:tcPr>
            <w:tcW w:w="329" w:type="pct"/>
            <w:noWrap/>
            <w:vAlign w:val="bottom"/>
          </w:tcPr>
          <w:p w:rsidR="00000000" w:rsidRDefault="00000000">
            <w:pPr>
              <w:tabs>
                <w:tab w:val="decimal" w:pos="367"/>
              </w:tabs>
              <w:jc w:val="right"/>
              <w:rPr>
                <w:color w:val="000000"/>
                <w:sz w:val="18"/>
                <w:szCs w:val="20"/>
              </w:rPr>
            </w:pPr>
            <w:r>
              <w:rPr>
                <w:color w:val="000000"/>
                <w:sz w:val="18"/>
                <w:szCs w:val="20"/>
              </w:rPr>
              <w:t>4,8</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4,4</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4,0</w:t>
            </w:r>
          </w:p>
        </w:tc>
        <w:tc>
          <w:tcPr>
            <w:tcW w:w="335" w:type="pct"/>
            <w:noWrap/>
            <w:vAlign w:val="bottom"/>
          </w:tcPr>
          <w:p w:rsidR="00000000" w:rsidRDefault="00000000">
            <w:pPr>
              <w:tabs>
                <w:tab w:val="decimal" w:pos="367"/>
              </w:tabs>
              <w:jc w:val="right"/>
              <w:rPr>
                <w:color w:val="000000"/>
                <w:sz w:val="18"/>
                <w:szCs w:val="20"/>
              </w:rPr>
            </w:pPr>
            <w:r>
              <w:rPr>
                <w:color w:val="000000"/>
                <w:sz w:val="18"/>
                <w:szCs w:val="20"/>
              </w:rPr>
              <w:t>5,0</w:t>
            </w:r>
          </w:p>
        </w:tc>
        <w:tc>
          <w:tcPr>
            <w:tcW w:w="323" w:type="pct"/>
            <w:noWrap/>
            <w:vAlign w:val="bottom"/>
          </w:tcPr>
          <w:p w:rsidR="00000000" w:rsidRDefault="00000000">
            <w:pPr>
              <w:tabs>
                <w:tab w:val="decimal" w:pos="367"/>
              </w:tabs>
              <w:jc w:val="right"/>
              <w:rPr>
                <w:color w:val="000000"/>
                <w:sz w:val="18"/>
                <w:szCs w:val="20"/>
              </w:rPr>
            </w:pPr>
            <w:r>
              <w:rPr>
                <w:color w:val="000000"/>
                <w:sz w:val="18"/>
                <w:szCs w:val="20"/>
              </w:rPr>
              <w:t>3,2</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2,9</w:t>
            </w:r>
          </w:p>
        </w:tc>
        <w:tc>
          <w:tcPr>
            <w:tcW w:w="322" w:type="pct"/>
            <w:noWrap/>
            <w:vAlign w:val="bottom"/>
          </w:tcPr>
          <w:p w:rsidR="00000000" w:rsidRDefault="00000000">
            <w:pPr>
              <w:tabs>
                <w:tab w:val="decimal" w:pos="367"/>
              </w:tabs>
              <w:jc w:val="right"/>
              <w:rPr>
                <w:color w:val="000000"/>
                <w:sz w:val="18"/>
                <w:szCs w:val="20"/>
              </w:rPr>
            </w:pPr>
            <w:r>
              <w:rPr>
                <w:color w:val="000000"/>
                <w:sz w:val="18"/>
                <w:szCs w:val="20"/>
              </w:rPr>
              <w:t>3,6</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Tasa de desempleo oculto</w:t>
            </w:r>
          </w:p>
        </w:tc>
        <w:tc>
          <w:tcPr>
            <w:tcW w:w="329" w:type="pct"/>
            <w:noWrap/>
            <w:vAlign w:val="bottom"/>
          </w:tcPr>
          <w:p w:rsidR="00000000" w:rsidRDefault="00000000">
            <w:pPr>
              <w:tabs>
                <w:tab w:val="decimal" w:pos="351"/>
              </w:tabs>
              <w:jc w:val="right"/>
              <w:rPr>
                <w:color w:val="000000"/>
                <w:sz w:val="18"/>
                <w:szCs w:val="20"/>
              </w:rPr>
            </w:pPr>
            <w:r>
              <w:rPr>
                <w:color w:val="000000"/>
                <w:sz w:val="18"/>
                <w:szCs w:val="20"/>
              </w:rPr>
              <w:t>1,1</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0,4</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2,0</w:t>
            </w:r>
          </w:p>
        </w:tc>
        <w:tc>
          <w:tcPr>
            <w:tcW w:w="336" w:type="pct"/>
            <w:noWrap/>
            <w:vAlign w:val="bottom"/>
          </w:tcPr>
          <w:p w:rsidR="00000000" w:rsidRDefault="00000000">
            <w:pPr>
              <w:tabs>
                <w:tab w:val="decimal" w:pos="367"/>
              </w:tabs>
              <w:jc w:val="right"/>
              <w:rPr>
                <w:color w:val="000000"/>
                <w:sz w:val="18"/>
                <w:szCs w:val="20"/>
              </w:rPr>
            </w:pPr>
            <w:r>
              <w:rPr>
                <w:color w:val="000000"/>
                <w:sz w:val="18"/>
                <w:szCs w:val="20"/>
              </w:rPr>
              <w:t>4,8</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1,5</w:t>
            </w:r>
          </w:p>
        </w:tc>
        <w:tc>
          <w:tcPr>
            <w:tcW w:w="329" w:type="pct"/>
            <w:noWrap/>
            <w:vAlign w:val="bottom"/>
          </w:tcPr>
          <w:p w:rsidR="00000000" w:rsidRDefault="00000000">
            <w:pPr>
              <w:tabs>
                <w:tab w:val="decimal" w:pos="367"/>
              </w:tabs>
              <w:jc w:val="right"/>
              <w:rPr>
                <w:color w:val="000000"/>
                <w:sz w:val="18"/>
                <w:szCs w:val="20"/>
              </w:rPr>
            </w:pPr>
            <w:r>
              <w:rPr>
                <w:color w:val="000000"/>
                <w:sz w:val="18"/>
                <w:szCs w:val="20"/>
              </w:rPr>
              <w:t>9,7</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2,0</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0,9</w:t>
            </w:r>
          </w:p>
        </w:tc>
        <w:tc>
          <w:tcPr>
            <w:tcW w:w="335" w:type="pct"/>
            <w:noWrap/>
            <w:vAlign w:val="bottom"/>
          </w:tcPr>
          <w:p w:rsidR="00000000" w:rsidRDefault="00000000">
            <w:pPr>
              <w:tabs>
                <w:tab w:val="decimal" w:pos="367"/>
              </w:tabs>
              <w:jc w:val="right"/>
              <w:rPr>
                <w:color w:val="000000"/>
                <w:sz w:val="18"/>
                <w:szCs w:val="20"/>
              </w:rPr>
            </w:pPr>
            <w:r>
              <w:rPr>
                <w:color w:val="000000"/>
                <w:sz w:val="18"/>
                <w:szCs w:val="20"/>
              </w:rPr>
              <w:t>3,5</w:t>
            </w:r>
          </w:p>
        </w:tc>
        <w:tc>
          <w:tcPr>
            <w:tcW w:w="323" w:type="pct"/>
            <w:noWrap/>
            <w:vAlign w:val="bottom"/>
          </w:tcPr>
          <w:p w:rsidR="00000000" w:rsidRDefault="00000000">
            <w:pPr>
              <w:tabs>
                <w:tab w:val="decimal" w:pos="367"/>
              </w:tabs>
              <w:jc w:val="right"/>
              <w:rPr>
                <w:color w:val="000000"/>
                <w:sz w:val="18"/>
                <w:szCs w:val="20"/>
              </w:rPr>
            </w:pPr>
            <w:r>
              <w:rPr>
                <w:color w:val="000000"/>
                <w:sz w:val="18"/>
                <w:szCs w:val="20"/>
              </w:rPr>
              <w:t>2,3</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1,6</w:t>
            </w:r>
          </w:p>
        </w:tc>
        <w:tc>
          <w:tcPr>
            <w:tcW w:w="322" w:type="pct"/>
            <w:noWrap/>
            <w:vAlign w:val="bottom"/>
          </w:tcPr>
          <w:p w:rsidR="00000000" w:rsidRDefault="00000000">
            <w:pPr>
              <w:tabs>
                <w:tab w:val="decimal" w:pos="367"/>
              </w:tabs>
              <w:jc w:val="right"/>
              <w:rPr>
                <w:color w:val="000000"/>
                <w:sz w:val="18"/>
                <w:szCs w:val="20"/>
              </w:rPr>
            </w:pPr>
            <w:r>
              <w:rPr>
                <w:color w:val="000000"/>
                <w:sz w:val="18"/>
                <w:szCs w:val="20"/>
              </w:rPr>
              <w:t>3,3</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Tasa de subocupación total</w:t>
            </w:r>
          </w:p>
        </w:tc>
        <w:tc>
          <w:tcPr>
            <w:tcW w:w="329" w:type="pct"/>
            <w:noWrap/>
            <w:vAlign w:val="bottom"/>
          </w:tcPr>
          <w:p w:rsidR="00000000" w:rsidRDefault="00000000">
            <w:pPr>
              <w:tabs>
                <w:tab w:val="decimal" w:pos="351"/>
              </w:tabs>
              <w:jc w:val="right"/>
              <w:rPr>
                <w:color w:val="000000"/>
                <w:sz w:val="18"/>
                <w:szCs w:val="20"/>
              </w:rPr>
            </w:pPr>
            <w:r>
              <w:rPr>
                <w:color w:val="000000"/>
                <w:sz w:val="18"/>
                <w:szCs w:val="20"/>
              </w:rPr>
              <w:t>12,9</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11,7</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14,6</w:t>
            </w:r>
          </w:p>
        </w:tc>
        <w:tc>
          <w:tcPr>
            <w:tcW w:w="336" w:type="pct"/>
            <w:noWrap/>
            <w:vAlign w:val="bottom"/>
          </w:tcPr>
          <w:p w:rsidR="00000000" w:rsidRDefault="00000000">
            <w:pPr>
              <w:tabs>
                <w:tab w:val="decimal" w:pos="367"/>
              </w:tabs>
              <w:jc w:val="right"/>
              <w:rPr>
                <w:color w:val="000000"/>
                <w:sz w:val="18"/>
                <w:szCs w:val="20"/>
              </w:rPr>
            </w:pPr>
            <w:r>
              <w:rPr>
                <w:color w:val="000000"/>
                <w:sz w:val="18"/>
                <w:szCs w:val="20"/>
              </w:rPr>
              <w:t>13,1</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10,4</w:t>
            </w:r>
          </w:p>
        </w:tc>
        <w:tc>
          <w:tcPr>
            <w:tcW w:w="329" w:type="pct"/>
            <w:noWrap/>
            <w:vAlign w:val="bottom"/>
          </w:tcPr>
          <w:p w:rsidR="00000000" w:rsidRDefault="00000000">
            <w:pPr>
              <w:tabs>
                <w:tab w:val="decimal" w:pos="367"/>
              </w:tabs>
              <w:jc w:val="right"/>
              <w:rPr>
                <w:color w:val="000000"/>
                <w:sz w:val="18"/>
                <w:szCs w:val="20"/>
              </w:rPr>
            </w:pPr>
            <w:r>
              <w:rPr>
                <w:color w:val="000000"/>
                <w:sz w:val="18"/>
                <w:szCs w:val="20"/>
              </w:rPr>
              <w:t>17,5</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18,1</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15,7</w:t>
            </w:r>
          </w:p>
        </w:tc>
        <w:tc>
          <w:tcPr>
            <w:tcW w:w="335" w:type="pct"/>
            <w:noWrap/>
            <w:vAlign w:val="bottom"/>
          </w:tcPr>
          <w:p w:rsidR="00000000" w:rsidRDefault="00000000">
            <w:pPr>
              <w:tabs>
                <w:tab w:val="decimal" w:pos="367"/>
              </w:tabs>
              <w:jc w:val="right"/>
              <w:rPr>
                <w:color w:val="000000"/>
                <w:sz w:val="18"/>
                <w:szCs w:val="20"/>
              </w:rPr>
            </w:pPr>
            <w:r>
              <w:rPr>
                <w:color w:val="000000"/>
                <w:sz w:val="18"/>
                <w:szCs w:val="20"/>
              </w:rPr>
              <w:t>21,5</w:t>
            </w:r>
          </w:p>
        </w:tc>
        <w:tc>
          <w:tcPr>
            <w:tcW w:w="323" w:type="pct"/>
            <w:noWrap/>
            <w:vAlign w:val="bottom"/>
          </w:tcPr>
          <w:p w:rsidR="00000000" w:rsidRDefault="00000000">
            <w:pPr>
              <w:tabs>
                <w:tab w:val="decimal" w:pos="367"/>
              </w:tabs>
              <w:jc w:val="right"/>
              <w:rPr>
                <w:color w:val="000000"/>
                <w:sz w:val="18"/>
                <w:szCs w:val="20"/>
              </w:rPr>
            </w:pPr>
            <w:r>
              <w:rPr>
                <w:color w:val="000000"/>
                <w:sz w:val="18"/>
                <w:szCs w:val="20"/>
              </w:rPr>
              <w:t>18,7</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15,8</w:t>
            </w:r>
          </w:p>
        </w:tc>
        <w:tc>
          <w:tcPr>
            <w:tcW w:w="322" w:type="pct"/>
            <w:noWrap/>
            <w:vAlign w:val="bottom"/>
          </w:tcPr>
          <w:p w:rsidR="00000000" w:rsidRDefault="00000000">
            <w:pPr>
              <w:tabs>
                <w:tab w:val="decimal" w:pos="367"/>
              </w:tabs>
              <w:jc w:val="right"/>
              <w:rPr>
                <w:color w:val="000000"/>
                <w:sz w:val="18"/>
                <w:szCs w:val="20"/>
              </w:rPr>
            </w:pPr>
            <w:r>
              <w:rPr>
                <w:color w:val="000000"/>
                <w:sz w:val="18"/>
                <w:szCs w:val="20"/>
              </w:rPr>
              <w:t>22,9</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Tasa de subocupación visible</w:t>
            </w:r>
          </w:p>
        </w:tc>
        <w:tc>
          <w:tcPr>
            <w:tcW w:w="329" w:type="pct"/>
            <w:noWrap/>
            <w:vAlign w:val="bottom"/>
          </w:tcPr>
          <w:p w:rsidR="00000000" w:rsidRDefault="00000000">
            <w:pPr>
              <w:tabs>
                <w:tab w:val="decimal" w:pos="351"/>
              </w:tabs>
              <w:jc w:val="right"/>
              <w:rPr>
                <w:color w:val="000000"/>
                <w:sz w:val="18"/>
                <w:szCs w:val="20"/>
              </w:rPr>
            </w:pPr>
            <w:r>
              <w:rPr>
                <w:color w:val="000000"/>
                <w:sz w:val="18"/>
                <w:szCs w:val="20"/>
              </w:rPr>
              <w:t>5,5</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3,6</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8,2</w:t>
            </w:r>
          </w:p>
        </w:tc>
        <w:tc>
          <w:tcPr>
            <w:tcW w:w="336" w:type="pct"/>
            <w:noWrap/>
            <w:vAlign w:val="bottom"/>
          </w:tcPr>
          <w:p w:rsidR="00000000" w:rsidRDefault="00000000">
            <w:pPr>
              <w:tabs>
                <w:tab w:val="decimal" w:pos="367"/>
              </w:tabs>
              <w:jc w:val="right"/>
              <w:rPr>
                <w:color w:val="000000"/>
                <w:sz w:val="18"/>
                <w:szCs w:val="20"/>
              </w:rPr>
            </w:pPr>
            <w:r>
              <w:rPr>
                <w:color w:val="000000"/>
                <w:sz w:val="18"/>
                <w:szCs w:val="20"/>
              </w:rPr>
              <w:t>5,3</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2,4</w:t>
            </w:r>
          </w:p>
        </w:tc>
        <w:tc>
          <w:tcPr>
            <w:tcW w:w="329" w:type="pct"/>
            <w:noWrap/>
            <w:vAlign w:val="bottom"/>
          </w:tcPr>
          <w:p w:rsidR="00000000" w:rsidRDefault="00000000">
            <w:pPr>
              <w:tabs>
                <w:tab w:val="decimal" w:pos="367"/>
              </w:tabs>
              <w:jc w:val="right"/>
              <w:rPr>
                <w:color w:val="000000"/>
                <w:sz w:val="18"/>
                <w:szCs w:val="20"/>
              </w:rPr>
            </w:pPr>
            <w:r>
              <w:rPr>
                <w:color w:val="000000"/>
                <w:sz w:val="18"/>
                <w:szCs w:val="20"/>
              </w:rPr>
              <w:t>10,1</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6,9</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4,0</w:t>
            </w:r>
          </w:p>
        </w:tc>
        <w:tc>
          <w:tcPr>
            <w:tcW w:w="335" w:type="pct"/>
            <w:noWrap/>
            <w:vAlign w:val="bottom"/>
          </w:tcPr>
          <w:p w:rsidR="00000000" w:rsidRDefault="00000000">
            <w:pPr>
              <w:tabs>
                <w:tab w:val="decimal" w:pos="367"/>
              </w:tabs>
              <w:jc w:val="right"/>
              <w:rPr>
                <w:color w:val="000000"/>
                <w:sz w:val="18"/>
                <w:szCs w:val="20"/>
              </w:rPr>
            </w:pPr>
            <w:r>
              <w:rPr>
                <w:color w:val="000000"/>
                <w:sz w:val="18"/>
                <w:szCs w:val="20"/>
              </w:rPr>
              <w:t>11,0</w:t>
            </w:r>
          </w:p>
        </w:tc>
        <w:tc>
          <w:tcPr>
            <w:tcW w:w="323" w:type="pct"/>
            <w:noWrap/>
            <w:vAlign w:val="bottom"/>
          </w:tcPr>
          <w:p w:rsidR="00000000" w:rsidRDefault="00000000">
            <w:pPr>
              <w:tabs>
                <w:tab w:val="decimal" w:pos="367"/>
              </w:tabs>
              <w:jc w:val="right"/>
              <w:rPr>
                <w:color w:val="000000"/>
                <w:sz w:val="18"/>
                <w:szCs w:val="20"/>
              </w:rPr>
            </w:pPr>
            <w:r>
              <w:rPr>
                <w:color w:val="000000"/>
                <w:sz w:val="18"/>
                <w:szCs w:val="20"/>
              </w:rPr>
              <w:t>6,1</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3,1</w:t>
            </w:r>
          </w:p>
        </w:tc>
        <w:tc>
          <w:tcPr>
            <w:tcW w:w="322" w:type="pct"/>
            <w:noWrap/>
            <w:vAlign w:val="bottom"/>
          </w:tcPr>
          <w:p w:rsidR="00000000" w:rsidRDefault="00000000">
            <w:pPr>
              <w:tabs>
                <w:tab w:val="decimal" w:pos="367"/>
              </w:tabs>
              <w:jc w:val="right"/>
              <w:rPr>
                <w:color w:val="000000"/>
                <w:sz w:val="18"/>
                <w:szCs w:val="20"/>
              </w:rPr>
            </w:pPr>
            <w:r>
              <w:rPr>
                <w:color w:val="000000"/>
                <w:sz w:val="18"/>
                <w:szCs w:val="20"/>
              </w:rPr>
              <w:t>10,2</w:t>
            </w:r>
          </w:p>
        </w:tc>
      </w:tr>
      <w:tr w:rsidR="00000000">
        <w:trPr>
          <w:trHeight w:val="20"/>
        </w:trPr>
        <w:tc>
          <w:tcPr>
            <w:tcW w:w="1032" w:type="pct"/>
            <w:noWrap/>
            <w:vAlign w:val="bottom"/>
          </w:tcPr>
          <w:p w:rsidR="00000000" w:rsidRDefault="00000000">
            <w:pPr>
              <w:rPr>
                <w:color w:val="000000"/>
                <w:sz w:val="18"/>
                <w:szCs w:val="18"/>
              </w:rPr>
            </w:pPr>
            <w:r>
              <w:rPr>
                <w:color w:val="000000"/>
                <w:sz w:val="18"/>
                <w:szCs w:val="18"/>
              </w:rPr>
              <w:t>Tasa de subocupación invisible</w:t>
            </w:r>
          </w:p>
        </w:tc>
        <w:tc>
          <w:tcPr>
            <w:tcW w:w="329" w:type="pct"/>
            <w:noWrap/>
            <w:vAlign w:val="bottom"/>
          </w:tcPr>
          <w:p w:rsidR="00000000" w:rsidRDefault="00000000">
            <w:pPr>
              <w:tabs>
                <w:tab w:val="decimal" w:pos="351"/>
              </w:tabs>
              <w:jc w:val="right"/>
              <w:rPr>
                <w:color w:val="000000"/>
                <w:sz w:val="18"/>
                <w:szCs w:val="20"/>
              </w:rPr>
            </w:pPr>
            <w:r>
              <w:rPr>
                <w:color w:val="000000"/>
                <w:sz w:val="18"/>
                <w:szCs w:val="20"/>
              </w:rPr>
              <w:t>7,4</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8,1</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6,4</w:t>
            </w:r>
          </w:p>
        </w:tc>
        <w:tc>
          <w:tcPr>
            <w:tcW w:w="336" w:type="pct"/>
            <w:noWrap/>
            <w:vAlign w:val="bottom"/>
          </w:tcPr>
          <w:p w:rsidR="00000000" w:rsidRDefault="00000000">
            <w:pPr>
              <w:tabs>
                <w:tab w:val="decimal" w:pos="367"/>
              </w:tabs>
              <w:jc w:val="right"/>
              <w:rPr>
                <w:color w:val="000000"/>
                <w:sz w:val="18"/>
                <w:szCs w:val="20"/>
              </w:rPr>
            </w:pPr>
            <w:r>
              <w:rPr>
                <w:color w:val="000000"/>
                <w:sz w:val="18"/>
                <w:szCs w:val="20"/>
              </w:rPr>
              <w:t>7,8</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8,0</w:t>
            </w:r>
          </w:p>
        </w:tc>
        <w:tc>
          <w:tcPr>
            <w:tcW w:w="329" w:type="pct"/>
            <w:noWrap/>
            <w:vAlign w:val="bottom"/>
          </w:tcPr>
          <w:p w:rsidR="00000000" w:rsidRDefault="00000000">
            <w:pPr>
              <w:tabs>
                <w:tab w:val="decimal" w:pos="367"/>
              </w:tabs>
              <w:jc w:val="right"/>
              <w:rPr>
                <w:color w:val="000000"/>
                <w:sz w:val="18"/>
                <w:szCs w:val="20"/>
              </w:rPr>
            </w:pPr>
            <w:r>
              <w:rPr>
                <w:color w:val="000000"/>
                <w:sz w:val="18"/>
                <w:szCs w:val="20"/>
              </w:rPr>
              <w:t>7,5</w:t>
            </w:r>
          </w:p>
        </w:tc>
        <w:tc>
          <w:tcPr>
            <w:tcW w:w="334" w:type="pct"/>
            <w:noWrap/>
            <w:vAlign w:val="bottom"/>
          </w:tcPr>
          <w:p w:rsidR="00000000" w:rsidRDefault="00000000">
            <w:pPr>
              <w:tabs>
                <w:tab w:val="decimal" w:pos="367"/>
              </w:tabs>
              <w:jc w:val="right"/>
              <w:rPr>
                <w:color w:val="000000"/>
                <w:sz w:val="18"/>
                <w:szCs w:val="20"/>
              </w:rPr>
            </w:pPr>
            <w:r>
              <w:rPr>
                <w:color w:val="000000"/>
                <w:sz w:val="18"/>
                <w:szCs w:val="20"/>
              </w:rPr>
              <w:t>11,2</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11,7</w:t>
            </w:r>
          </w:p>
        </w:tc>
        <w:tc>
          <w:tcPr>
            <w:tcW w:w="335" w:type="pct"/>
            <w:noWrap/>
            <w:vAlign w:val="bottom"/>
          </w:tcPr>
          <w:p w:rsidR="00000000" w:rsidRDefault="00000000">
            <w:pPr>
              <w:tabs>
                <w:tab w:val="decimal" w:pos="367"/>
              </w:tabs>
              <w:jc w:val="right"/>
              <w:rPr>
                <w:color w:val="000000"/>
                <w:sz w:val="18"/>
                <w:szCs w:val="20"/>
              </w:rPr>
            </w:pPr>
            <w:r>
              <w:rPr>
                <w:color w:val="000000"/>
                <w:sz w:val="18"/>
                <w:szCs w:val="20"/>
              </w:rPr>
              <w:t>10,5</w:t>
            </w:r>
          </w:p>
        </w:tc>
        <w:tc>
          <w:tcPr>
            <w:tcW w:w="323" w:type="pct"/>
            <w:noWrap/>
            <w:vAlign w:val="bottom"/>
          </w:tcPr>
          <w:p w:rsidR="00000000" w:rsidRDefault="00000000">
            <w:pPr>
              <w:tabs>
                <w:tab w:val="decimal" w:pos="367"/>
              </w:tabs>
              <w:jc w:val="right"/>
              <w:rPr>
                <w:color w:val="000000"/>
                <w:sz w:val="18"/>
                <w:szCs w:val="20"/>
              </w:rPr>
            </w:pPr>
            <w:r>
              <w:rPr>
                <w:color w:val="000000"/>
                <w:sz w:val="18"/>
                <w:szCs w:val="20"/>
              </w:rPr>
              <w:t>12,7</w:t>
            </w:r>
          </w:p>
        </w:tc>
        <w:tc>
          <w:tcPr>
            <w:tcW w:w="330" w:type="pct"/>
            <w:noWrap/>
            <w:vAlign w:val="bottom"/>
          </w:tcPr>
          <w:p w:rsidR="00000000" w:rsidRDefault="00000000">
            <w:pPr>
              <w:tabs>
                <w:tab w:val="decimal" w:pos="367"/>
              </w:tabs>
              <w:jc w:val="right"/>
              <w:rPr>
                <w:color w:val="000000"/>
                <w:sz w:val="18"/>
                <w:szCs w:val="20"/>
              </w:rPr>
            </w:pPr>
            <w:r>
              <w:rPr>
                <w:color w:val="000000"/>
                <w:sz w:val="18"/>
                <w:szCs w:val="20"/>
              </w:rPr>
              <w:t>12,7</w:t>
            </w:r>
          </w:p>
        </w:tc>
        <w:tc>
          <w:tcPr>
            <w:tcW w:w="322" w:type="pct"/>
            <w:noWrap/>
            <w:vAlign w:val="bottom"/>
          </w:tcPr>
          <w:p w:rsidR="00000000" w:rsidRDefault="00000000">
            <w:pPr>
              <w:tabs>
                <w:tab w:val="decimal" w:pos="367"/>
              </w:tabs>
              <w:jc w:val="right"/>
              <w:rPr>
                <w:color w:val="000000"/>
                <w:sz w:val="18"/>
                <w:szCs w:val="20"/>
              </w:rPr>
            </w:pPr>
            <w:r>
              <w:rPr>
                <w:color w:val="000000"/>
                <w:sz w:val="18"/>
                <w:szCs w:val="20"/>
              </w:rPr>
              <w:t>12,7</w:t>
            </w:r>
          </w:p>
        </w:tc>
      </w:tr>
    </w:tbl>
    <w:p w:rsidR="00000000" w:rsidRDefault="00000000">
      <w:pPr>
        <w:spacing w:before="200" w:after="200"/>
        <w:rPr>
          <w:color w:val="000000"/>
          <w:sz w:val="18"/>
          <w:szCs w:val="16"/>
        </w:rPr>
      </w:pPr>
      <w:r>
        <w:rPr>
          <w:i/>
          <w:iCs/>
          <w:color w:val="000000"/>
          <w:sz w:val="18"/>
          <w:szCs w:val="16"/>
        </w:rPr>
        <w:t>Fuente</w:t>
      </w:r>
      <w:r>
        <w:rPr>
          <w:color w:val="000000"/>
          <w:sz w:val="18"/>
          <w:szCs w:val="16"/>
        </w:rPr>
        <w:t>:  STP/DGEEC.  Encuesta permanente de hogares 1995, 1999, 2004, 2005.</w:t>
      </w:r>
    </w:p>
    <w:p w:rsidR="00000000" w:rsidRDefault="00000000">
      <w:pPr>
        <w:spacing w:before="200" w:after="200"/>
        <w:rPr>
          <w:color w:val="000000"/>
          <w:sz w:val="18"/>
          <w:szCs w:val="16"/>
        </w:rPr>
      </w:pPr>
      <w:r>
        <w:rPr>
          <w:b/>
          <w:bCs/>
          <w:color w:val="000000"/>
          <w:sz w:val="18"/>
          <w:szCs w:val="16"/>
        </w:rPr>
        <w:t>*</w:t>
      </w:r>
      <w:r>
        <w:rPr>
          <w:color w:val="000000"/>
          <w:sz w:val="18"/>
          <w:szCs w:val="16"/>
        </w:rPr>
        <w:t xml:space="preserve"> En la EPH 1995-1999, los datos están ajustados a los resultados del Censo 2002. </w:t>
      </w:r>
    </w:p>
    <w:p w:rsidR="00000000" w:rsidRDefault="00000000">
      <w:pPr>
        <w:spacing w:before="200" w:after="200"/>
        <w:rPr>
          <w:b/>
          <w:color w:val="000000"/>
          <w:u w:val="single"/>
        </w:rPr>
      </w:pPr>
      <w:r>
        <w:rPr>
          <w:b/>
          <w:bCs/>
          <w:color w:val="000000"/>
          <w:sz w:val="18"/>
          <w:szCs w:val="16"/>
        </w:rPr>
        <w:t>**</w:t>
      </w:r>
      <w:r>
        <w:rPr>
          <w:color w:val="000000"/>
          <w:sz w:val="18"/>
          <w:szCs w:val="16"/>
        </w:rPr>
        <w:t xml:space="preserve"> Población de 30 años o más de edad.</w:t>
      </w:r>
    </w:p>
    <w:p w:rsidR="00000000" w:rsidRDefault="00000000">
      <w:pPr>
        <w:spacing w:after="240"/>
        <w:ind w:left="567"/>
        <w:rPr>
          <w:b/>
          <w:color w:val="000000"/>
        </w:rPr>
      </w:pPr>
      <w:r>
        <w:rPr>
          <w:b/>
          <w:color w:val="000000"/>
          <w:u w:val="single"/>
        </w:rPr>
        <w:br w:type="page"/>
      </w:r>
      <w:r>
        <w:rPr>
          <w:b/>
          <w:color w:val="000000"/>
        </w:rPr>
        <w:t>4.1.2.  Empleo (población juvenil)</w:t>
      </w:r>
    </w:p>
    <w:p w:rsidR="00000000" w:rsidRDefault="00000000">
      <w:pPr>
        <w:spacing w:after="180"/>
        <w:jc w:val="center"/>
        <w:rPr>
          <w:b/>
          <w:color w:val="000000"/>
        </w:rPr>
      </w:pPr>
      <w:r>
        <w:rPr>
          <w:b/>
          <w:bCs/>
          <w:color w:val="000000"/>
          <w:sz w:val="18"/>
          <w:szCs w:val="20"/>
        </w:rPr>
        <w:t>Indicadores de empleo de la población juvenil, 1995-2005</w:t>
      </w:r>
    </w:p>
    <w:tbl>
      <w:tblPr>
        <w:tblW w:w="49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763"/>
        <w:gridCol w:w="879"/>
        <w:gridCol w:w="925"/>
        <w:gridCol w:w="896"/>
        <w:gridCol w:w="906"/>
        <w:gridCol w:w="893"/>
        <w:gridCol w:w="882"/>
        <w:gridCol w:w="920"/>
        <w:gridCol w:w="882"/>
        <w:gridCol w:w="923"/>
        <w:gridCol w:w="879"/>
        <w:gridCol w:w="879"/>
        <w:gridCol w:w="861"/>
      </w:tblGrid>
      <w:tr w:rsidR="00000000">
        <w:trPr>
          <w:cantSplit/>
          <w:trHeight w:val="20"/>
          <w:jc w:val="center"/>
        </w:trPr>
        <w:tc>
          <w:tcPr>
            <w:tcW w:w="1024" w:type="pct"/>
            <w:vMerge w:val="restart"/>
            <w:vAlign w:val="center"/>
          </w:tcPr>
          <w:p w:rsidR="00000000" w:rsidRDefault="00000000">
            <w:pPr>
              <w:jc w:val="center"/>
              <w:rPr>
                <w:b/>
                <w:bCs/>
                <w:color w:val="000000"/>
                <w:sz w:val="18"/>
                <w:szCs w:val="20"/>
              </w:rPr>
            </w:pPr>
            <w:r>
              <w:rPr>
                <w:b/>
                <w:bCs/>
                <w:color w:val="000000"/>
                <w:sz w:val="18"/>
                <w:szCs w:val="20"/>
              </w:rPr>
              <w:t>Clasificación</w:t>
            </w:r>
          </w:p>
        </w:tc>
        <w:tc>
          <w:tcPr>
            <w:tcW w:w="1001" w:type="pct"/>
            <w:gridSpan w:val="3"/>
            <w:vAlign w:val="center"/>
          </w:tcPr>
          <w:p w:rsidR="00000000" w:rsidRDefault="00000000">
            <w:pPr>
              <w:jc w:val="center"/>
              <w:rPr>
                <w:b/>
                <w:bCs/>
                <w:color w:val="000000"/>
                <w:sz w:val="18"/>
                <w:szCs w:val="20"/>
              </w:rPr>
            </w:pPr>
            <w:r>
              <w:rPr>
                <w:b/>
                <w:bCs/>
                <w:color w:val="000000"/>
                <w:sz w:val="18"/>
                <w:szCs w:val="20"/>
              </w:rPr>
              <w:t>1995*</w:t>
            </w:r>
          </w:p>
        </w:tc>
        <w:tc>
          <w:tcPr>
            <w:tcW w:w="994" w:type="pct"/>
            <w:gridSpan w:val="3"/>
            <w:vAlign w:val="center"/>
          </w:tcPr>
          <w:p w:rsidR="00000000" w:rsidRDefault="00000000">
            <w:pPr>
              <w:jc w:val="center"/>
              <w:rPr>
                <w:b/>
                <w:bCs/>
                <w:color w:val="000000"/>
                <w:sz w:val="18"/>
                <w:szCs w:val="20"/>
              </w:rPr>
            </w:pPr>
            <w:r>
              <w:rPr>
                <w:b/>
                <w:bCs/>
                <w:color w:val="000000"/>
                <w:sz w:val="18"/>
                <w:szCs w:val="20"/>
              </w:rPr>
              <w:t>1999*</w:t>
            </w:r>
          </w:p>
        </w:tc>
        <w:tc>
          <w:tcPr>
            <w:tcW w:w="1010" w:type="pct"/>
            <w:gridSpan w:val="3"/>
            <w:vAlign w:val="center"/>
          </w:tcPr>
          <w:p w:rsidR="00000000" w:rsidRDefault="00000000">
            <w:pPr>
              <w:jc w:val="center"/>
              <w:rPr>
                <w:b/>
                <w:bCs/>
                <w:color w:val="000000"/>
                <w:sz w:val="18"/>
                <w:szCs w:val="20"/>
              </w:rPr>
            </w:pPr>
            <w:r>
              <w:rPr>
                <w:b/>
                <w:bCs/>
                <w:color w:val="000000"/>
                <w:sz w:val="18"/>
                <w:szCs w:val="20"/>
              </w:rPr>
              <w:t>2004</w:t>
            </w:r>
          </w:p>
        </w:tc>
        <w:tc>
          <w:tcPr>
            <w:tcW w:w="971" w:type="pct"/>
            <w:gridSpan w:val="3"/>
            <w:vAlign w:val="center"/>
          </w:tcPr>
          <w:p w:rsidR="00000000" w:rsidRDefault="00000000">
            <w:pPr>
              <w:jc w:val="center"/>
              <w:rPr>
                <w:b/>
                <w:bCs/>
                <w:color w:val="000000"/>
                <w:sz w:val="18"/>
                <w:szCs w:val="20"/>
              </w:rPr>
            </w:pPr>
            <w:r>
              <w:rPr>
                <w:b/>
                <w:bCs/>
                <w:color w:val="000000"/>
                <w:sz w:val="18"/>
                <w:szCs w:val="20"/>
              </w:rPr>
              <w:t>2005</w:t>
            </w:r>
          </w:p>
        </w:tc>
      </w:tr>
      <w:tr w:rsidR="00000000">
        <w:trPr>
          <w:cantSplit/>
          <w:trHeight w:val="20"/>
          <w:jc w:val="center"/>
        </w:trPr>
        <w:tc>
          <w:tcPr>
            <w:tcW w:w="1024" w:type="pct"/>
            <w:vMerge/>
            <w:vAlign w:val="center"/>
          </w:tcPr>
          <w:p w:rsidR="00000000" w:rsidRDefault="00000000">
            <w:pPr>
              <w:jc w:val="center"/>
              <w:rPr>
                <w:b/>
                <w:bCs/>
                <w:color w:val="000000"/>
                <w:sz w:val="18"/>
                <w:szCs w:val="20"/>
              </w:rPr>
            </w:pPr>
          </w:p>
        </w:tc>
        <w:tc>
          <w:tcPr>
            <w:tcW w:w="326" w:type="pct"/>
            <w:vAlign w:val="center"/>
          </w:tcPr>
          <w:p w:rsidR="00000000" w:rsidRDefault="00000000">
            <w:pPr>
              <w:jc w:val="center"/>
              <w:rPr>
                <w:b/>
                <w:bCs/>
                <w:color w:val="000000"/>
                <w:sz w:val="18"/>
                <w:szCs w:val="20"/>
              </w:rPr>
            </w:pPr>
            <w:r>
              <w:rPr>
                <w:b/>
                <w:bCs/>
                <w:color w:val="000000"/>
                <w:sz w:val="18"/>
                <w:szCs w:val="20"/>
              </w:rPr>
              <w:t>Total</w:t>
            </w:r>
          </w:p>
        </w:tc>
        <w:tc>
          <w:tcPr>
            <w:tcW w:w="343" w:type="pct"/>
            <w:vAlign w:val="center"/>
          </w:tcPr>
          <w:p w:rsidR="00000000" w:rsidRDefault="00000000">
            <w:pPr>
              <w:jc w:val="center"/>
              <w:rPr>
                <w:b/>
                <w:bCs/>
                <w:color w:val="000000"/>
                <w:sz w:val="18"/>
                <w:szCs w:val="20"/>
              </w:rPr>
            </w:pPr>
            <w:r>
              <w:rPr>
                <w:b/>
                <w:bCs/>
                <w:color w:val="000000"/>
                <w:sz w:val="18"/>
                <w:szCs w:val="20"/>
              </w:rPr>
              <w:t>Hombre</w:t>
            </w:r>
          </w:p>
        </w:tc>
        <w:tc>
          <w:tcPr>
            <w:tcW w:w="332" w:type="pct"/>
            <w:vAlign w:val="center"/>
          </w:tcPr>
          <w:p w:rsidR="00000000" w:rsidRDefault="00000000">
            <w:pPr>
              <w:jc w:val="center"/>
              <w:rPr>
                <w:b/>
                <w:bCs/>
                <w:color w:val="000000"/>
                <w:sz w:val="18"/>
                <w:szCs w:val="20"/>
              </w:rPr>
            </w:pPr>
            <w:r>
              <w:rPr>
                <w:b/>
                <w:bCs/>
                <w:color w:val="000000"/>
                <w:sz w:val="18"/>
                <w:szCs w:val="20"/>
              </w:rPr>
              <w:t>Mujer</w:t>
            </w:r>
          </w:p>
        </w:tc>
        <w:tc>
          <w:tcPr>
            <w:tcW w:w="336" w:type="pct"/>
            <w:vAlign w:val="center"/>
          </w:tcPr>
          <w:p w:rsidR="00000000" w:rsidRDefault="00000000">
            <w:pPr>
              <w:jc w:val="center"/>
              <w:rPr>
                <w:b/>
                <w:bCs/>
                <w:color w:val="000000"/>
                <w:sz w:val="18"/>
                <w:szCs w:val="20"/>
              </w:rPr>
            </w:pPr>
            <w:r>
              <w:rPr>
                <w:b/>
                <w:bCs/>
                <w:color w:val="000000"/>
                <w:sz w:val="18"/>
                <w:szCs w:val="20"/>
              </w:rPr>
              <w:t>Total</w:t>
            </w:r>
          </w:p>
        </w:tc>
        <w:tc>
          <w:tcPr>
            <w:tcW w:w="331" w:type="pct"/>
            <w:vAlign w:val="center"/>
          </w:tcPr>
          <w:p w:rsidR="00000000" w:rsidRDefault="00000000">
            <w:pPr>
              <w:jc w:val="center"/>
              <w:rPr>
                <w:b/>
                <w:bCs/>
                <w:color w:val="000000"/>
                <w:sz w:val="18"/>
                <w:szCs w:val="20"/>
              </w:rPr>
            </w:pPr>
            <w:r>
              <w:rPr>
                <w:b/>
                <w:bCs/>
                <w:color w:val="000000"/>
                <w:sz w:val="18"/>
                <w:szCs w:val="20"/>
              </w:rPr>
              <w:t>Hombre</w:t>
            </w:r>
          </w:p>
        </w:tc>
        <w:tc>
          <w:tcPr>
            <w:tcW w:w="327" w:type="pct"/>
            <w:vAlign w:val="center"/>
          </w:tcPr>
          <w:p w:rsidR="00000000" w:rsidRDefault="00000000">
            <w:pPr>
              <w:jc w:val="center"/>
              <w:rPr>
                <w:b/>
                <w:bCs/>
                <w:color w:val="000000"/>
                <w:sz w:val="18"/>
                <w:szCs w:val="20"/>
              </w:rPr>
            </w:pPr>
            <w:r>
              <w:rPr>
                <w:b/>
                <w:bCs/>
                <w:color w:val="000000"/>
                <w:sz w:val="18"/>
                <w:szCs w:val="20"/>
              </w:rPr>
              <w:t>Mujer</w:t>
            </w:r>
          </w:p>
        </w:tc>
        <w:tc>
          <w:tcPr>
            <w:tcW w:w="341" w:type="pct"/>
            <w:vAlign w:val="center"/>
          </w:tcPr>
          <w:p w:rsidR="00000000" w:rsidRDefault="00000000">
            <w:pPr>
              <w:jc w:val="center"/>
              <w:rPr>
                <w:b/>
                <w:bCs/>
                <w:color w:val="000000"/>
                <w:sz w:val="18"/>
                <w:szCs w:val="20"/>
              </w:rPr>
            </w:pPr>
            <w:r>
              <w:rPr>
                <w:b/>
                <w:bCs/>
                <w:color w:val="000000"/>
                <w:sz w:val="18"/>
                <w:szCs w:val="20"/>
              </w:rPr>
              <w:t>Total</w:t>
            </w:r>
          </w:p>
        </w:tc>
        <w:tc>
          <w:tcPr>
            <w:tcW w:w="327" w:type="pct"/>
            <w:vAlign w:val="center"/>
          </w:tcPr>
          <w:p w:rsidR="00000000" w:rsidRDefault="00000000">
            <w:pPr>
              <w:jc w:val="center"/>
              <w:rPr>
                <w:b/>
                <w:bCs/>
                <w:color w:val="000000"/>
                <w:sz w:val="18"/>
                <w:szCs w:val="20"/>
              </w:rPr>
            </w:pPr>
            <w:r>
              <w:rPr>
                <w:b/>
                <w:bCs/>
                <w:color w:val="000000"/>
                <w:sz w:val="18"/>
                <w:szCs w:val="20"/>
              </w:rPr>
              <w:t>Hombre</w:t>
            </w:r>
          </w:p>
        </w:tc>
        <w:tc>
          <w:tcPr>
            <w:tcW w:w="342" w:type="pct"/>
            <w:vAlign w:val="center"/>
          </w:tcPr>
          <w:p w:rsidR="00000000" w:rsidRDefault="00000000">
            <w:pPr>
              <w:jc w:val="center"/>
              <w:rPr>
                <w:b/>
                <w:bCs/>
                <w:color w:val="000000"/>
                <w:sz w:val="18"/>
                <w:szCs w:val="20"/>
              </w:rPr>
            </w:pPr>
            <w:r>
              <w:rPr>
                <w:b/>
                <w:bCs/>
                <w:color w:val="000000"/>
                <w:sz w:val="18"/>
                <w:szCs w:val="20"/>
              </w:rPr>
              <w:t>Mujer</w:t>
            </w:r>
          </w:p>
        </w:tc>
        <w:tc>
          <w:tcPr>
            <w:tcW w:w="326" w:type="pct"/>
            <w:vAlign w:val="center"/>
          </w:tcPr>
          <w:p w:rsidR="00000000" w:rsidRDefault="00000000">
            <w:pPr>
              <w:jc w:val="center"/>
              <w:rPr>
                <w:b/>
                <w:bCs/>
                <w:color w:val="000000"/>
                <w:sz w:val="18"/>
                <w:szCs w:val="20"/>
              </w:rPr>
            </w:pPr>
            <w:r>
              <w:rPr>
                <w:b/>
                <w:bCs/>
                <w:color w:val="000000"/>
                <w:sz w:val="18"/>
                <w:szCs w:val="20"/>
              </w:rPr>
              <w:t>Total</w:t>
            </w:r>
          </w:p>
        </w:tc>
        <w:tc>
          <w:tcPr>
            <w:tcW w:w="326" w:type="pct"/>
            <w:vAlign w:val="center"/>
          </w:tcPr>
          <w:p w:rsidR="00000000" w:rsidRDefault="00000000">
            <w:pPr>
              <w:jc w:val="center"/>
              <w:rPr>
                <w:b/>
                <w:bCs/>
                <w:color w:val="000000"/>
                <w:sz w:val="18"/>
                <w:szCs w:val="20"/>
              </w:rPr>
            </w:pPr>
            <w:r>
              <w:rPr>
                <w:b/>
                <w:bCs/>
                <w:color w:val="000000"/>
                <w:sz w:val="18"/>
                <w:szCs w:val="20"/>
              </w:rPr>
              <w:t>Hombre</w:t>
            </w:r>
          </w:p>
        </w:tc>
        <w:tc>
          <w:tcPr>
            <w:tcW w:w="319" w:type="pct"/>
            <w:vAlign w:val="center"/>
          </w:tcPr>
          <w:p w:rsidR="00000000" w:rsidRDefault="00000000">
            <w:pPr>
              <w:jc w:val="center"/>
              <w:rPr>
                <w:b/>
                <w:bCs/>
                <w:color w:val="000000"/>
                <w:sz w:val="18"/>
                <w:szCs w:val="20"/>
              </w:rPr>
            </w:pPr>
            <w:r>
              <w:rPr>
                <w:b/>
                <w:bCs/>
                <w:color w:val="000000"/>
                <w:sz w:val="18"/>
                <w:szCs w:val="20"/>
              </w:rPr>
              <w:t>Mujer</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Población económicamente activa (PEA)</w:t>
            </w:r>
            <w:r>
              <w:rPr>
                <w:b/>
                <w:bCs/>
                <w:color w:val="000000"/>
                <w:sz w:val="18"/>
                <w:szCs w:val="20"/>
              </w:rPr>
              <w:t>**</w:t>
            </w:r>
          </w:p>
        </w:tc>
        <w:tc>
          <w:tcPr>
            <w:tcW w:w="326" w:type="pct"/>
            <w:noWrap/>
            <w:vAlign w:val="bottom"/>
          </w:tcPr>
          <w:p w:rsidR="00000000" w:rsidRDefault="00000000">
            <w:pPr>
              <w:jc w:val="right"/>
              <w:rPr>
                <w:color w:val="000000"/>
                <w:sz w:val="18"/>
                <w:szCs w:val="20"/>
              </w:rPr>
            </w:pPr>
            <w:r>
              <w:rPr>
                <w:color w:val="000000"/>
                <w:sz w:val="18"/>
                <w:szCs w:val="20"/>
              </w:rPr>
              <w:t>834.623</w:t>
            </w:r>
          </w:p>
        </w:tc>
        <w:tc>
          <w:tcPr>
            <w:tcW w:w="343" w:type="pct"/>
            <w:noWrap/>
            <w:vAlign w:val="bottom"/>
          </w:tcPr>
          <w:p w:rsidR="00000000" w:rsidRDefault="00000000">
            <w:pPr>
              <w:jc w:val="right"/>
              <w:rPr>
                <w:color w:val="000000"/>
                <w:sz w:val="18"/>
                <w:szCs w:val="20"/>
              </w:rPr>
            </w:pPr>
            <w:r>
              <w:rPr>
                <w:color w:val="000000"/>
                <w:sz w:val="18"/>
                <w:szCs w:val="20"/>
              </w:rPr>
              <w:t>492.677</w:t>
            </w:r>
          </w:p>
        </w:tc>
        <w:tc>
          <w:tcPr>
            <w:tcW w:w="332" w:type="pct"/>
            <w:noWrap/>
            <w:vAlign w:val="bottom"/>
          </w:tcPr>
          <w:p w:rsidR="00000000" w:rsidRDefault="00000000">
            <w:pPr>
              <w:jc w:val="right"/>
              <w:rPr>
                <w:color w:val="000000"/>
                <w:sz w:val="18"/>
                <w:szCs w:val="20"/>
              </w:rPr>
            </w:pPr>
            <w:r>
              <w:rPr>
                <w:color w:val="000000"/>
                <w:sz w:val="18"/>
                <w:szCs w:val="20"/>
              </w:rPr>
              <w:t>341.947</w:t>
            </w:r>
          </w:p>
        </w:tc>
        <w:tc>
          <w:tcPr>
            <w:tcW w:w="336" w:type="pct"/>
            <w:noWrap/>
            <w:vAlign w:val="bottom"/>
          </w:tcPr>
          <w:p w:rsidR="00000000" w:rsidRDefault="00000000">
            <w:pPr>
              <w:jc w:val="right"/>
              <w:rPr>
                <w:color w:val="000000"/>
                <w:sz w:val="18"/>
                <w:szCs w:val="20"/>
              </w:rPr>
            </w:pPr>
            <w:r>
              <w:rPr>
                <w:color w:val="000000"/>
                <w:sz w:val="18"/>
                <w:szCs w:val="20"/>
              </w:rPr>
              <w:t>792.389</w:t>
            </w:r>
          </w:p>
        </w:tc>
        <w:tc>
          <w:tcPr>
            <w:tcW w:w="331" w:type="pct"/>
            <w:noWrap/>
            <w:vAlign w:val="bottom"/>
          </w:tcPr>
          <w:p w:rsidR="00000000" w:rsidRDefault="00000000">
            <w:pPr>
              <w:jc w:val="right"/>
              <w:rPr>
                <w:color w:val="000000"/>
                <w:sz w:val="18"/>
                <w:szCs w:val="20"/>
              </w:rPr>
            </w:pPr>
            <w:r>
              <w:rPr>
                <w:color w:val="000000"/>
                <w:sz w:val="18"/>
                <w:szCs w:val="20"/>
              </w:rPr>
              <w:t>501.736</w:t>
            </w:r>
          </w:p>
        </w:tc>
        <w:tc>
          <w:tcPr>
            <w:tcW w:w="327" w:type="pct"/>
            <w:noWrap/>
            <w:vAlign w:val="bottom"/>
          </w:tcPr>
          <w:p w:rsidR="00000000" w:rsidRDefault="00000000">
            <w:pPr>
              <w:jc w:val="right"/>
              <w:rPr>
                <w:color w:val="000000"/>
                <w:sz w:val="18"/>
                <w:szCs w:val="20"/>
              </w:rPr>
            </w:pPr>
            <w:r>
              <w:rPr>
                <w:color w:val="000000"/>
                <w:sz w:val="18"/>
                <w:szCs w:val="20"/>
              </w:rPr>
              <w:t>290.653</w:t>
            </w:r>
          </w:p>
        </w:tc>
        <w:tc>
          <w:tcPr>
            <w:tcW w:w="341" w:type="pct"/>
            <w:noWrap/>
            <w:vAlign w:val="bottom"/>
          </w:tcPr>
          <w:p w:rsidR="00000000" w:rsidRDefault="00000000">
            <w:pPr>
              <w:jc w:val="right"/>
              <w:rPr>
                <w:color w:val="000000"/>
                <w:sz w:val="18"/>
                <w:szCs w:val="20"/>
              </w:rPr>
            </w:pPr>
            <w:r>
              <w:rPr>
                <w:color w:val="000000"/>
                <w:sz w:val="18"/>
                <w:szCs w:val="20"/>
              </w:rPr>
              <w:t>1.058.824</w:t>
            </w:r>
          </w:p>
        </w:tc>
        <w:tc>
          <w:tcPr>
            <w:tcW w:w="327" w:type="pct"/>
            <w:noWrap/>
            <w:vAlign w:val="bottom"/>
          </w:tcPr>
          <w:p w:rsidR="00000000" w:rsidRDefault="00000000">
            <w:pPr>
              <w:jc w:val="right"/>
              <w:rPr>
                <w:color w:val="000000"/>
                <w:sz w:val="18"/>
                <w:szCs w:val="20"/>
              </w:rPr>
            </w:pPr>
            <w:r>
              <w:rPr>
                <w:color w:val="000000"/>
                <w:sz w:val="18"/>
                <w:szCs w:val="20"/>
              </w:rPr>
              <w:t>641.378</w:t>
            </w:r>
          </w:p>
        </w:tc>
        <w:tc>
          <w:tcPr>
            <w:tcW w:w="342" w:type="pct"/>
            <w:noWrap/>
            <w:vAlign w:val="bottom"/>
          </w:tcPr>
          <w:p w:rsidR="00000000" w:rsidRDefault="00000000">
            <w:pPr>
              <w:jc w:val="right"/>
              <w:rPr>
                <w:color w:val="000000"/>
                <w:sz w:val="18"/>
                <w:szCs w:val="20"/>
              </w:rPr>
            </w:pPr>
            <w:r>
              <w:rPr>
                <w:color w:val="000000"/>
                <w:sz w:val="18"/>
                <w:szCs w:val="20"/>
              </w:rPr>
              <w:t>417.446</w:t>
            </w:r>
          </w:p>
        </w:tc>
        <w:tc>
          <w:tcPr>
            <w:tcW w:w="326" w:type="pct"/>
            <w:noWrap/>
            <w:vAlign w:val="bottom"/>
          </w:tcPr>
          <w:p w:rsidR="00000000" w:rsidRDefault="00000000">
            <w:pPr>
              <w:jc w:val="right"/>
              <w:rPr>
                <w:color w:val="000000"/>
                <w:sz w:val="18"/>
                <w:szCs w:val="20"/>
              </w:rPr>
            </w:pPr>
            <w:r>
              <w:rPr>
                <w:color w:val="000000"/>
                <w:sz w:val="18"/>
                <w:szCs w:val="20"/>
              </w:rPr>
              <w:t>1.018.817</w:t>
            </w:r>
          </w:p>
        </w:tc>
        <w:tc>
          <w:tcPr>
            <w:tcW w:w="326" w:type="pct"/>
            <w:noWrap/>
            <w:vAlign w:val="bottom"/>
          </w:tcPr>
          <w:p w:rsidR="00000000" w:rsidRDefault="00000000">
            <w:pPr>
              <w:jc w:val="right"/>
              <w:rPr>
                <w:color w:val="000000"/>
                <w:sz w:val="18"/>
                <w:szCs w:val="20"/>
              </w:rPr>
            </w:pPr>
            <w:r>
              <w:rPr>
                <w:color w:val="000000"/>
                <w:sz w:val="18"/>
                <w:szCs w:val="20"/>
              </w:rPr>
              <w:t>628.076</w:t>
            </w:r>
          </w:p>
        </w:tc>
        <w:tc>
          <w:tcPr>
            <w:tcW w:w="319" w:type="pct"/>
            <w:noWrap/>
            <w:vAlign w:val="bottom"/>
          </w:tcPr>
          <w:p w:rsidR="00000000" w:rsidRDefault="00000000">
            <w:pPr>
              <w:jc w:val="right"/>
              <w:rPr>
                <w:color w:val="000000"/>
                <w:sz w:val="18"/>
                <w:szCs w:val="20"/>
              </w:rPr>
            </w:pPr>
            <w:r>
              <w:rPr>
                <w:color w:val="000000"/>
                <w:sz w:val="18"/>
                <w:szCs w:val="20"/>
              </w:rPr>
              <w:t>390.741</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Población económicamente inactiva (PEI)</w:t>
            </w:r>
            <w:r>
              <w:rPr>
                <w:b/>
                <w:bCs/>
                <w:color w:val="000000"/>
                <w:sz w:val="18"/>
                <w:szCs w:val="20"/>
              </w:rPr>
              <w:t>**</w:t>
            </w:r>
          </w:p>
        </w:tc>
        <w:tc>
          <w:tcPr>
            <w:tcW w:w="326" w:type="pct"/>
            <w:noWrap/>
            <w:vAlign w:val="bottom"/>
          </w:tcPr>
          <w:p w:rsidR="00000000" w:rsidRDefault="00000000">
            <w:pPr>
              <w:jc w:val="right"/>
              <w:rPr>
                <w:color w:val="000000"/>
                <w:sz w:val="18"/>
                <w:szCs w:val="20"/>
              </w:rPr>
            </w:pPr>
            <w:r>
              <w:rPr>
                <w:color w:val="000000"/>
                <w:sz w:val="18"/>
                <w:szCs w:val="20"/>
              </w:rPr>
              <w:t>282.666</w:t>
            </w:r>
          </w:p>
        </w:tc>
        <w:tc>
          <w:tcPr>
            <w:tcW w:w="343" w:type="pct"/>
            <w:noWrap/>
            <w:vAlign w:val="bottom"/>
          </w:tcPr>
          <w:p w:rsidR="00000000" w:rsidRDefault="00000000">
            <w:pPr>
              <w:jc w:val="right"/>
              <w:rPr>
                <w:color w:val="000000"/>
                <w:sz w:val="18"/>
                <w:szCs w:val="20"/>
              </w:rPr>
            </w:pPr>
            <w:r>
              <w:rPr>
                <w:color w:val="000000"/>
                <w:sz w:val="18"/>
                <w:szCs w:val="20"/>
              </w:rPr>
              <w:t>54.506</w:t>
            </w:r>
          </w:p>
        </w:tc>
        <w:tc>
          <w:tcPr>
            <w:tcW w:w="332" w:type="pct"/>
            <w:noWrap/>
            <w:vAlign w:val="bottom"/>
          </w:tcPr>
          <w:p w:rsidR="00000000" w:rsidRDefault="00000000">
            <w:pPr>
              <w:jc w:val="right"/>
              <w:rPr>
                <w:color w:val="000000"/>
                <w:sz w:val="18"/>
                <w:szCs w:val="20"/>
              </w:rPr>
            </w:pPr>
            <w:r>
              <w:rPr>
                <w:color w:val="000000"/>
                <w:sz w:val="18"/>
                <w:szCs w:val="20"/>
              </w:rPr>
              <w:t>228.161</w:t>
            </w:r>
          </w:p>
        </w:tc>
        <w:tc>
          <w:tcPr>
            <w:tcW w:w="336" w:type="pct"/>
            <w:noWrap/>
            <w:vAlign w:val="bottom"/>
          </w:tcPr>
          <w:p w:rsidR="00000000" w:rsidRDefault="00000000">
            <w:pPr>
              <w:jc w:val="right"/>
              <w:rPr>
                <w:color w:val="000000"/>
                <w:sz w:val="18"/>
                <w:szCs w:val="20"/>
              </w:rPr>
            </w:pPr>
            <w:r>
              <w:rPr>
                <w:color w:val="000000"/>
                <w:sz w:val="18"/>
                <w:szCs w:val="20"/>
              </w:rPr>
              <w:t>499.746</w:t>
            </w:r>
          </w:p>
        </w:tc>
        <w:tc>
          <w:tcPr>
            <w:tcW w:w="331" w:type="pct"/>
            <w:noWrap/>
            <w:vAlign w:val="bottom"/>
          </w:tcPr>
          <w:p w:rsidR="00000000" w:rsidRDefault="00000000">
            <w:pPr>
              <w:jc w:val="right"/>
              <w:rPr>
                <w:color w:val="000000"/>
                <w:sz w:val="18"/>
                <w:szCs w:val="20"/>
              </w:rPr>
            </w:pPr>
            <w:r>
              <w:rPr>
                <w:color w:val="000000"/>
                <w:sz w:val="18"/>
                <w:szCs w:val="20"/>
              </w:rPr>
              <w:t>135.122</w:t>
            </w:r>
          </w:p>
        </w:tc>
        <w:tc>
          <w:tcPr>
            <w:tcW w:w="327" w:type="pct"/>
            <w:noWrap/>
            <w:vAlign w:val="bottom"/>
          </w:tcPr>
          <w:p w:rsidR="00000000" w:rsidRDefault="00000000">
            <w:pPr>
              <w:jc w:val="right"/>
              <w:rPr>
                <w:color w:val="000000"/>
                <w:sz w:val="18"/>
                <w:szCs w:val="20"/>
              </w:rPr>
            </w:pPr>
            <w:r>
              <w:rPr>
                <w:color w:val="000000"/>
                <w:sz w:val="18"/>
                <w:szCs w:val="20"/>
              </w:rPr>
              <w:t>364.624</w:t>
            </w:r>
          </w:p>
        </w:tc>
        <w:tc>
          <w:tcPr>
            <w:tcW w:w="341" w:type="pct"/>
            <w:noWrap/>
            <w:vAlign w:val="bottom"/>
          </w:tcPr>
          <w:p w:rsidR="00000000" w:rsidRDefault="00000000">
            <w:pPr>
              <w:jc w:val="right"/>
              <w:rPr>
                <w:color w:val="000000"/>
                <w:sz w:val="18"/>
                <w:szCs w:val="20"/>
              </w:rPr>
            </w:pPr>
            <w:r>
              <w:rPr>
                <w:color w:val="000000"/>
                <w:sz w:val="18"/>
                <w:szCs w:val="20"/>
              </w:rPr>
              <w:t>515.966</w:t>
            </w:r>
          </w:p>
        </w:tc>
        <w:tc>
          <w:tcPr>
            <w:tcW w:w="327" w:type="pct"/>
            <w:noWrap/>
            <w:vAlign w:val="bottom"/>
          </w:tcPr>
          <w:p w:rsidR="00000000" w:rsidRDefault="00000000">
            <w:pPr>
              <w:jc w:val="right"/>
              <w:rPr>
                <w:color w:val="000000"/>
                <w:sz w:val="18"/>
                <w:szCs w:val="20"/>
              </w:rPr>
            </w:pPr>
            <w:r>
              <w:rPr>
                <w:color w:val="000000"/>
                <w:sz w:val="18"/>
                <w:szCs w:val="20"/>
              </w:rPr>
              <w:t>140.477</w:t>
            </w:r>
          </w:p>
        </w:tc>
        <w:tc>
          <w:tcPr>
            <w:tcW w:w="342" w:type="pct"/>
            <w:noWrap/>
            <w:vAlign w:val="bottom"/>
          </w:tcPr>
          <w:p w:rsidR="00000000" w:rsidRDefault="00000000">
            <w:pPr>
              <w:jc w:val="right"/>
              <w:rPr>
                <w:color w:val="000000"/>
                <w:sz w:val="18"/>
                <w:szCs w:val="20"/>
              </w:rPr>
            </w:pPr>
            <w:r>
              <w:rPr>
                <w:color w:val="000000"/>
                <w:sz w:val="18"/>
                <w:szCs w:val="20"/>
              </w:rPr>
              <w:t>375.489</w:t>
            </w:r>
          </w:p>
        </w:tc>
        <w:tc>
          <w:tcPr>
            <w:tcW w:w="326" w:type="pct"/>
            <w:noWrap/>
            <w:vAlign w:val="bottom"/>
          </w:tcPr>
          <w:p w:rsidR="00000000" w:rsidRDefault="00000000">
            <w:pPr>
              <w:jc w:val="right"/>
              <w:rPr>
                <w:color w:val="000000"/>
                <w:sz w:val="18"/>
                <w:szCs w:val="20"/>
              </w:rPr>
            </w:pPr>
            <w:r>
              <w:rPr>
                <w:color w:val="000000"/>
                <w:sz w:val="18"/>
                <w:szCs w:val="20"/>
              </w:rPr>
              <w:t>549.765</w:t>
            </w:r>
          </w:p>
        </w:tc>
        <w:tc>
          <w:tcPr>
            <w:tcW w:w="326" w:type="pct"/>
            <w:noWrap/>
            <w:vAlign w:val="bottom"/>
          </w:tcPr>
          <w:p w:rsidR="00000000" w:rsidRDefault="00000000">
            <w:pPr>
              <w:jc w:val="right"/>
              <w:rPr>
                <w:color w:val="000000"/>
                <w:sz w:val="18"/>
                <w:szCs w:val="20"/>
              </w:rPr>
            </w:pPr>
            <w:r>
              <w:rPr>
                <w:color w:val="000000"/>
                <w:sz w:val="18"/>
                <w:szCs w:val="20"/>
              </w:rPr>
              <w:t>166.466</w:t>
            </w:r>
          </w:p>
        </w:tc>
        <w:tc>
          <w:tcPr>
            <w:tcW w:w="319" w:type="pct"/>
            <w:noWrap/>
            <w:vAlign w:val="bottom"/>
          </w:tcPr>
          <w:p w:rsidR="00000000" w:rsidRDefault="00000000">
            <w:pPr>
              <w:jc w:val="right"/>
              <w:rPr>
                <w:color w:val="000000"/>
                <w:sz w:val="18"/>
                <w:szCs w:val="20"/>
              </w:rPr>
            </w:pPr>
            <w:r>
              <w:rPr>
                <w:color w:val="000000"/>
                <w:sz w:val="18"/>
                <w:szCs w:val="20"/>
              </w:rPr>
              <w:t>383.299</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Población ocupada</w:t>
            </w:r>
          </w:p>
        </w:tc>
        <w:tc>
          <w:tcPr>
            <w:tcW w:w="326" w:type="pct"/>
            <w:noWrap/>
            <w:vAlign w:val="bottom"/>
          </w:tcPr>
          <w:p w:rsidR="00000000" w:rsidRDefault="00000000">
            <w:pPr>
              <w:jc w:val="right"/>
              <w:rPr>
                <w:color w:val="000000"/>
                <w:sz w:val="18"/>
                <w:szCs w:val="20"/>
              </w:rPr>
            </w:pPr>
            <w:r>
              <w:rPr>
                <w:color w:val="000000"/>
                <w:sz w:val="18"/>
                <w:szCs w:val="20"/>
              </w:rPr>
              <w:t>791.151</w:t>
            </w:r>
          </w:p>
        </w:tc>
        <w:tc>
          <w:tcPr>
            <w:tcW w:w="343" w:type="pct"/>
            <w:noWrap/>
            <w:vAlign w:val="bottom"/>
          </w:tcPr>
          <w:p w:rsidR="00000000" w:rsidRDefault="00000000">
            <w:pPr>
              <w:jc w:val="right"/>
              <w:rPr>
                <w:color w:val="000000"/>
                <w:sz w:val="18"/>
                <w:szCs w:val="20"/>
              </w:rPr>
            </w:pPr>
            <w:r>
              <w:rPr>
                <w:color w:val="000000"/>
                <w:sz w:val="18"/>
                <w:szCs w:val="20"/>
              </w:rPr>
              <w:t>469.791</w:t>
            </w:r>
          </w:p>
        </w:tc>
        <w:tc>
          <w:tcPr>
            <w:tcW w:w="332" w:type="pct"/>
            <w:noWrap/>
            <w:vAlign w:val="bottom"/>
          </w:tcPr>
          <w:p w:rsidR="00000000" w:rsidRDefault="00000000">
            <w:pPr>
              <w:jc w:val="right"/>
              <w:rPr>
                <w:color w:val="000000"/>
                <w:sz w:val="18"/>
                <w:szCs w:val="20"/>
              </w:rPr>
            </w:pPr>
            <w:r>
              <w:rPr>
                <w:color w:val="000000"/>
                <w:sz w:val="18"/>
                <w:szCs w:val="20"/>
              </w:rPr>
              <w:t>321.360</w:t>
            </w:r>
          </w:p>
        </w:tc>
        <w:tc>
          <w:tcPr>
            <w:tcW w:w="336" w:type="pct"/>
            <w:noWrap/>
            <w:vAlign w:val="bottom"/>
          </w:tcPr>
          <w:p w:rsidR="00000000" w:rsidRDefault="00000000">
            <w:pPr>
              <w:jc w:val="right"/>
              <w:rPr>
                <w:color w:val="000000"/>
                <w:sz w:val="18"/>
                <w:szCs w:val="20"/>
              </w:rPr>
            </w:pPr>
            <w:r>
              <w:rPr>
                <w:color w:val="000000"/>
                <w:sz w:val="18"/>
                <w:szCs w:val="20"/>
              </w:rPr>
              <w:t>712.740</w:t>
            </w:r>
          </w:p>
        </w:tc>
        <w:tc>
          <w:tcPr>
            <w:tcW w:w="331" w:type="pct"/>
            <w:noWrap/>
            <w:vAlign w:val="bottom"/>
          </w:tcPr>
          <w:p w:rsidR="00000000" w:rsidRDefault="00000000">
            <w:pPr>
              <w:jc w:val="right"/>
              <w:rPr>
                <w:color w:val="000000"/>
                <w:sz w:val="18"/>
                <w:szCs w:val="20"/>
              </w:rPr>
            </w:pPr>
            <w:r>
              <w:rPr>
                <w:color w:val="000000"/>
                <w:sz w:val="18"/>
                <w:szCs w:val="20"/>
              </w:rPr>
              <w:t>456.537</w:t>
            </w:r>
          </w:p>
        </w:tc>
        <w:tc>
          <w:tcPr>
            <w:tcW w:w="327" w:type="pct"/>
            <w:noWrap/>
            <w:vAlign w:val="bottom"/>
          </w:tcPr>
          <w:p w:rsidR="00000000" w:rsidRDefault="00000000">
            <w:pPr>
              <w:jc w:val="right"/>
              <w:rPr>
                <w:color w:val="000000"/>
                <w:sz w:val="18"/>
                <w:szCs w:val="20"/>
              </w:rPr>
            </w:pPr>
            <w:r>
              <w:rPr>
                <w:color w:val="000000"/>
                <w:sz w:val="18"/>
                <w:szCs w:val="20"/>
              </w:rPr>
              <w:t>256.203</w:t>
            </w:r>
          </w:p>
        </w:tc>
        <w:tc>
          <w:tcPr>
            <w:tcW w:w="341" w:type="pct"/>
            <w:noWrap/>
            <w:vAlign w:val="bottom"/>
          </w:tcPr>
          <w:p w:rsidR="00000000" w:rsidRDefault="00000000">
            <w:pPr>
              <w:jc w:val="right"/>
              <w:rPr>
                <w:color w:val="000000"/>
                <w:sz w:val="18"/>
                <w:szCs w:val="20"/>
              </w:rPr>
            </w:pPr>
            <w:r>
              <w:rPr>
                <w:color w:val="000000"/>
                <w:sz w:val="18"/>
                <w:szCs w:val="20"/>
              </w:rPr>
              <w:t>935.416</w:t>
            </w:r>
          </w:p>
        </w:tc>
        <w:tc>
          <w:tcPr>
            <w:tcW w:w="327" w:type="pct"/>
            <w:noWrap/>
            <w:vAlign w:val="bottom"/>
          </w:tcPr>
          <w:p w:rsidR="00000000" w:rsidRDefault="00000000">
            <w:pPr>
              <w:jc w:val="right"/>
              <w:rPr>
                <w:color w:val="000000"/>
                <w:sz w:val="18"/>
                <w:szCs w:val="20"/>
              </w:rPr>
            </w:pPr>
            <w:r>
              <w:rPr>
                <w:color w:val="000000"/>
                <w:sz w:val="18"/>
                <w:szCs w:val="20"/>
              </w:rPr>
              <w:t>585.842</w:t>
            </w:r>
          </w:p>
        </w:tc>
        <w:tc>
          <w:tcPr>
            <w:tcW w:w="342" w:type="pct"/>
            <w:noWrap/>
            <w:vAlign w:val="bottom"/>
          </w:tcPr>
          <w:p w:rsidR="00000000" w:rsidRDefault="00000000">
            <w:pPr>
              <w:jc w:val="right"/>
              <w:rPr>
                <w:color w:val="000000"/>
                <w:sz w:val="18"/>
                <w:szCs w:val="20"/>
              </w:rPr>
            </w:pPr>
            <w:r>
              <w:rPr>
                <w:color w:val="000000"/>
                <w:sz w:val="18"/>
                <w:szCs w:val="20"/>
              </w:rPr>
              <w:t>349.574</w:t>
            </w:r>
          </w:p>
        </w:tc>
        <w:tc>
          <w:tcPr>
            <w:tcW w:w="326" w:type="pct"/>
            <w:noWrap/>
            <w:vAlign w:val="bottom"/>
          </w:tcPr>
          <w:p w:rsidR="00000000" w:rsidRDefault="00000000">
            <w:pPr>
              <w:jc w:val="right"/>
              <w:rPr>
                <w:color w:val="000000"/>
                <w:sz w:val="18"/>
                <w:szCs w:val="20"/>
              </w:rPr>
            </w:pPr>
            <w:r>
              <w:rPr>
                <w:color w:val="000000"/>
                <w:sz w:val="18"/>
                <w:szCs w:val="20"/>
              </w:rPr>
              <w:t>917.466</w:t>
            </w:r>
          </w:p>
        </w:tc>
        <w:tc>
          <w:tcPr>
            <w:tcW w:w="326" w:type="pct"/>
            <w:noWrap/>
            <w:vAlign w:val="bottom"/>
          </w:tcPr>
          <w:p w:rsidR="00000000" w:rsidRDefault="00000000">
            <w:pPr>
              <w:jc w:val="right"/>
              <w:rPr>
                <w:color w:val="000000"/>
                <w:sz w:val="18"/>
                <w:szCs w:val="20"/>
              </w:rPr>
            </w:pPr>
            <w:r>
              <w:rPr>
                <w:color w:val="000000"/>
                <w:sz w:val="18"/>
                <w:szCs w:val="20"/>
              </w:rPr>
              <w:t>579.022</w:t>
            </w:r>
          </w:p>
        </w:tc>
        <w:tc>
          <w:tcPr>
            <w:tcW w:w="319" w:type="pct"/>
            <w:noWrap/>
            <w:vAlign w:val="bottom"/>
          </w:tcPr>
          <w:p w:rsidR="00000000" w:rsidRDefault="00000000">
            <w:pPr>
              <w:jc w:val="right"/>
              <w:rPr>
                <w:color w:val="000000"/>
                <w:sz w:val="18"/>
                <w:szCs w:val="20"/>
              </w:rPr>
            </w:pPr>
            <w:r>
              <w:rPr>
                <w:color w:val="000000"/>
                <w:sz w:val="18"/>
                <w:szCs w:val="20"/>
              </w:rPr>
              <w:t>338.444</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Desempleo abierto</w:t>
            </w:r>
          </w:p>
        </w:tc>
        <w:tc>
          <w:tcPr>
            <w:tcW w:w="326" w:type="pct"/>
            <w:noWrap/>
            <w:vAlign w:val="bottom"/>
          </w:tcPr>
          <w:p w:rsidR="00000000" w:rsidRDefault="00000000">
            <w:pPr>
              <w:jc w:val="right"/>
              <w:rPr>
                <w:color w:val="000000"/>
                <w:sz w:val="18"/>
                <w:szCs w:val="20"/>
              </w:rPr>
            </w:pPr>
            <w:r>
              <w:rPr>
                <w:color w:val="000000"/>
                <w:sz w:val="18"/>
                <w:szCs w:val="20"/>
              </w:rPr>
              <w:t>43.472</w:t>
            </w:r>
          </w:p>
        </w:tc>
        <w:tc>
          <w:tcPr>
            <w:tcW w:w="343" w:type="pct"/>
            <w:noWrap/>
            <w:vAlign w:val="bottom"/>
          </w:tcPr>
          <w:p w:rsidR="00000000" w:rsidRDefault="00000000">
            <w:pPr>
              <w:jc w:val="right"/>
              <w:rPr>
                <w:color w:val="000000"/>
                <w:sz w:val="18"/>
                <w:szCs w:val="20"/>
              </w:rPr>
            </w:pPr>
            <w:r>
              <w:rPr>
                <w:color w:val="000000"/>
                <w:sz w:val="18"/>
                <w:szCs w:val="20"/>
              </w:rPr>
              <w:t>22.886</w:t>
            </w:r>
          </w:p>
        </w:tc>
        <w:tc>
          <w:tcPr>
            <w:tcW w:w="332" w:type="pct"/>
            <w:noWrap/>
            <w:vAlign w:val="bottom"/>
          </w:tcPr>
          <w:p w:rsidR="00000000" w:rsidRDefault="00000000">
            <w:pPr>
              <w:jc w:val="right"/>
              <w:rPr>
                <w:color w:val="000000"/>
                <w:sz w:val="18"/>
                <w:szCs w:val="20"/>
              </w:rPr>
            </w:pPr>
            <w:r>
              <w:rPr>
                <w:color w:val="000000"/>
                <w:sz w:val="18"/>
                <w:szCs w:val="20"/>
              </w:rPr>
              <w:t>20.586</w:t>
            </w:r>
          </w:p>
        </w:tc>
        <w:tc>
          <w:tcPr>
            <w:tcW w:w="336" w:type="pct"/>
            <w:noWrap/>
            <w:vAlign w:val="bottom"/>
          </w:tcPr>
          <w:p w:rsidR="00000000" w:rsidRDefault="00000000">
            <w:pPr>
              <w:jc w:val="right"/>
              <w:rPr>
                <w:color w:val="000000"/>
                <w:sz w:val="18"/>
                <w:szCs w:val="20"/>
              </w:rPr>
            </w:pPr>
            <w:r>
              <w:rPr>
                <w:color w:val="000000"/>
                <w:sz w:val="18"/>
                <w:szCs w:val="20"/>
              </w:rPr>
              <w:t>79.648</w:t>
            </w:r>
          </w:p>
        </w:tc>
        <w:tc>
          <w:tcPr>
            <w:tcW w:w="331" w:type="pct"/>
            <w:noWrap/>
            <w:vAlign w:val="bottom"/>
          </w:tcPr>
          <w:p w:rsidR="00000000" w:rsidRDefault="00000000">
            <w:pPr>
              <w:jc w:val="right"/>
              <w:rPr>
                <w:color w:val="000000"/>
                <w:sz w:val="18"/>
                <w:szCs w:val="20"/>
              </w:rPr>
            </w:pPr>
            <w:r>
              <w:rPr>
                <w:color w:val="000000"/>
                <w:sz w:val="18"/>
                <w:szCs w:val="20"/>
              </w:rPr>
              <w:t>45.198</w:t>
            </w:r>
          </w:p>
        </w:tc>
        <w:tc>
          <w:tcPr>
            <w:tcW w:w="327" w:type="pct"/>
            <w:noWrap/>
            <w:vAlign w:val="bottom"/>
          </w:tcPr>
          <w:p w:rsidR="00000000" w:rsidRDefault="00000000">
            <w:pPr>
              <w:jc w:val="right"/>
              <w:rPr>
                <w:color w:val="000000"/>
                <w:sz w:val="18"/>
                <w:szCs w:val="20"/>
              </w:rPr>
            </w:pPr>
            <w:r>
              <w:rPr>
                <w:color w:val="000000"/>
                <w:sz w:val="18"/>
                <w:szCs w:val="20"/>
              </w:rPr>
              <w:t>34.450</w:t>
            </w:r>
          </w:p>
        </w:tc>
        <w:tc>
          <w:tcPr>
            <w:tcW w:w="341" w:type="pct"/>
            <w:noWrap/>
            <w:vAlign w:val="bottom"/>
          </w:tcPr>
          <w:p w:rsidR="00000000" w:rsidRDefault="00000000">
            <w:pPr>
              <w:jc w:val="right"/>
              <w:rPr>
                <w:color w:val="000000"/>
                <w:sz w:val="18"/>
                <w:szCs w:val="20"/>
              </w:rPr>
            </w:pPr>
            <w:r>
              <w:rPr>
                <w:color w:val="000000"/>
                <w:sz w:val="18"/>
                <w:szCs w:val="20"/>
              </w:rPr>
              <w:t>123.408</w:t>
            </w:r>
          </w:p>
        </w:tc>
        <w:tc>
          <w:tcPr>
            <w:tcW w:w="327" w:type="pct"/>
            <w:noWrap/>
            <w:vAlign w:val="bottom"/>
          </w:tcPr>
          <w:p w:rsidR="00000000" w:rsidRDefault="00000000">
            <w:pPr>
              <w:jc w:val="right"/>
              <w:rPr>
                <w:color w:val="000000"/>
                <w:sz w:val="18"/>
                <w:szCs w:val="20"/>
              </w:rPr>
            </w:pPr>
            <w:r>
              <w:rPr>
                <w:color w:val="000000"/>
                <w:sz w:val="18"/>
                <w:szCs w:val="20"/>
              </w:rPr>
              <w:t>55.536</w:t>
            </w:r>
          </w:p>
        </w:tc>
        <w:tc>
          <w:tcPr>
            <w:tcW w:w="342" w:type="pct"/>
            <w:noWrap/>
            <w:vAlign w:val="bottom"/>
          </w:tcPr>
          <w:p w:rsidR="00000000" w:rsidRDefault="00000000">
            <w:pPr>
              <w:jc w:val="right"/>
              <w:rPr>
                <w:color w:val="000000"/>
                <w:sz w:val="18"/>
                <w:szCs w:val="20"/>
              </w:rPr>
            </w:pPr>
            <w:r>
              <w:rPr>
                <w:color w:val="000000"/>
                <w:sz w:val="18"/>
                <w:szCs w:val="20"/>
              </w:rPr>
              <w:t>67.872</w:t>
            </w:r>
          </w:p>
        </w:tc>
        <w:tc>
          <w:tcPr>
            <w:tcW w:w="326" w:type="pct"/>
            <w:noWrap/>
            <w:vAlign w:val="bottom"/>
          </w:tcPr>
          <w:p w:rsidR="00000000" w:rsidRDefault="00000000">
            <w:pPr>
              <w:jc w:val="right"/>
              <w:rPr>
                <w:color w:val="000000"/>
                <w:sz w:val="18"/>
                <w:szCs w:val="20"/>
              </w:rPr>
            </w:pPr>
            <w:r>
              <w:rPr>
                <w:color w:val="000000"/>
                <w:sz w:val="18"/>
                <w:szCs w:val="20"/>
              </w:rPr>
              <w:t>101.351</w:t>
            </w:r>
          </w:p>
        </w:tc>
        <w:tc>
          <w:tcPr>
            <w:tcW w:w="326" w:type="pct"/>
            <w:noWrap/>
            <w:vAlign w:val="bottom"/>
          </w:tcPr>
          <w:p w:rsidR="00000000" w:rsidRDefault="00000000">
            <w:pPr>
              <w:jc w:val="right"/>
              <w:rPr>
                <w:color w:val="000000"/>
                <w:sz w:val="18"/>
                <w:szCs w:val="20"/>
              </w:rPr>
            </w:pPr>
            <w:r>
              <w:rPr>
                <w:color w:val="000000"/>
                <w:sz w:val="18"/>
                <w:szCs w:val="20"/>
              </w:rPr>
              <w:t>49.054</w:t>
            </w:r>
          </w:p>
        </w:tc>
        <w:tc>
          <w:tcPr>
            <w:tcW w:w="319" w:type="pct"/>
            <w:noWrap/>
            <w:vAlign w:val="bottom"/>
          </w:tcPr>
          <w:p w:rsidR="00000000" w:rsidRDefault="00000000">
            <w:pPr>
              <w:jc w:val="right"/>
              <w:rPr>
                <w:color w:val="000000"/>
                <w:sz w:val="18"/>
                <w:szCs w:val="20"/>
              </w:rPr>
            </w:pPr>
            <w:r>
              <w:rPr>
                <w:color w:val="000000"/>
                <w:sz w:val="18"/>
                <w:szCs w:val="20"/>
              </w:rPr>
              <w:t>52.297</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Desempleo oculto</w:t>
            </w:r>
          </w:p>
        </w:tc>
        <w:tc>
          <w:tcPr>
            <w:tcW w:w="326" w:type="pct"/>
            <w:noWrap/>
            <w:vAlign w:val="bottom"/>
          </w:tcPr>
          <w:p w:rsidR="00000000" w:rsidRDefault="00000000">
            <w:pPr>
              <w:jc w:val="right"/>
              <w:rPr>
                <w:color w:val="000000"/>
                <w:sz w:val="18"/>
                <w:szCs w:val="20"/>
              </w:rPr>
            </w:pPr>
            <w:r>
              <w:rPr>
                <w:color w:val="000000"/>
                <w:sz w:val="18"/>
                <w:szCs w:val="20"/>
              </w:rPr>
              <w:t>29.196</w:t>
            </w:r>
          </w:p>
        </w:tc>
        <w:tc>
          <w:tcPr>
            <w:tcW w:w="343" w:type="pct"/>
            <w:noWrap/>
            <w:vAlign w:val="bottom"/>
          </w:tcPr>
          <w:p w:rsidR="00000000" w:rsidRDefault="00000000">
            <w:pPr>
              <w:jc w:val="right"/>
              <w:rPr>
                <w:color w:val="000000"/>
                <w:sz w:val="18"/>
                <w:szCs w:val="20"/>
              </w:rPr>
            </w:pPr>
            <w:r>
              <w:rPr>
                <w:color w:val="000000"/>
                <w:sz w:val="18"/>
                <w:szCs w:val="20"/>
              </w:rPr>
              <w:t>10.021</w:t>
            </w:r>
          </w:p>
        </w:tc>
        <w:tc>
          <w:tcPr>
            <w:tcW w:w="332" w:type="pct"/>
            <w:noWrap/>
            <w:vAlign w:val="bottom"/>
          </w:tcPr>
          <w:p w:rsidR="00000000" w:rsidRDefault="00000000">
            <w:pPr>
              <w:jc w:val="right"/>
              <w:rPr>
                <w:color w:val="000000"/>
                <w:sz w:val="18"/>
                <w:szCs w:val="20"/>
              </w:rPr>
            </w:pPr>
            <w:r>
              <w:rPr>
                <w:color w:val="000000"/>
                <w:sz w:val="18"/>
                <w:szCs w:val="20"/>
              </w:rPr>
              <w:t>19.175</w:t>
            </w:r>
          </w:p>
        </w:tc>
        <w:tc>
          <w:tcPr>
            <w:tcW w:w="336" w:type="pct"/>
            <w:noWrap/>
            <w:vAlign w:val="bottom"/>
          </w:tcPr>
          <w:p w:rsidR="00000000" w:rsidRDefault="00000000">
            <w:pPr>
              <w:jc w:val="right"/>
              <w:rPr>
                <w:color w:val="000000"/>
                <w:sz w:val="18"/>
                <w:szCs w:val="20"/>
              </w:rPr>
            </w:pPr>
            <w:r>
              <w:rPr>
                <w:color w:val="000000"/>
                <w:sz w:val="18"/>
                <w:szCs w:val="20"/>
              </w:rPr>
              <w:t>121.461</w:t>
            </w:r>
          </w:p>
        </w:tc>
        <w:tc>
          <w:tcPr>
            <w:tcW w:w="331" w:type="pct"/>
            <w:noWrap/>
            <w:vAlign w:val="bottom"/>
          </w:tcPr>
          <w:p w:rsidR="00000000" w:rsidRDefault="00000000">
            <w:pPr>
              <w:jc w:val="right"/>
              <w:rPr>
                <w:color w:val="000000"/>
                <w:sz w:val="18"/>
                <w:szCs w:val="20"/>
              </w:rPr>
            </w:pPr>
            <w:r>
              <w:rPr>
                <w:color w:val="000000"/>
                <w:sz w:val="18"/>
                <w:szCs w:val="20"/>
              </w:rPr>
              <w:t>41.246</w:t>
            </w:r>
          </w:p>
        </w:tc>
        <w:tc>
          <w:tcPr>
            <w:tcW w:w="327" w:type="pct"/>
            <w:noWrap/>
            <w:vAlign w:val="bottom"/>
          </w:tcPr>
          <w:p w:rsidR="00000000" w:rsidRDefault="00000000">
            <w:pPr>
              <w:jc w:val="right"/>
              <w:rPr>
                <w:color w:val="000000"/>
                <w:sz w:val="18"/>
                <w:szCs w:val="20"/>
              </w:rPr>
            </w:pPr>
            <w:r>
              <w:rPr>
                <w:color w:val="000000"/>
                <w:sz w:val="18"/>
                <w:szCs w:val="20"/>
              </w:rPr>
              <w:t>80.215</w:t>
            </w:r>
          </w:p>
        </w:tc>
        <w:tc>
          <w:tcPr>
            <w:tcW w:w="341" w:type="pct"/>
            <w:noWrap/>
            <w:vAlign w:val="bottom"/>
          </w:tcPr>
          <w:p w:rsidR="00000000" w:rsidRDefault="00000000">
            <w:pPr>
              <w:jc w:val="right"/>
              <w:rPr>
                <w:color w:val="000000"/>
                <w:sz w:val="18"/>
                <w:szCs w:val="20"/>
              </w:rPr>
            </w:pPr>
            <w:r>
              <w:rPr>
                <w:color w:val="000000"/>
                <w:sz w:val="18"/>
                <w:szCs w:val="20"/>
              </w:rPr>
              <w:t>60.490</w:t>
            </w:r>
          </w:p>
        </w:tc>
        <w:tc>
          <w:tcPr>
            <w:tcW w:w="327" w:type="pct"/>
            <w:noWrap/>
            <w:vAlign w:val="bottom"/>
          </w:tcPr>
          <w:p w:rsidR="00000000" w:rsidRDefault="00000000">
            <w:pPr>
              <w:jc w:val="right"/>
              <w:rPr>
                <w:color w:val="000000"/>
                <w:sz w:val="18"/>
                <w:szCs w:val="20"/>
              </w:rPr>
            </w:pPr>
            <w:r>
              <w:rPr>
                <w:color w:val="000000"/>
                <w:sz w:val="18"/>
                <w:szCs w:val="20"/>
              </w:rPr>
              <w:t>21.280</w:t>
            </w:r>
          </w:p>
        </w:tc>
        <w:tc>
          <w:tcPr>
            <w:tcW w:w="342" w:type="pct"/>
            <w:noWrap/>
            <w:vAlign w:val="bottom"/>
          </w:tcPr>
          <w:p w:rsidR="00000000" w:rsidRDefault="00000000">
            <w:pPr>
              <w:jc w:val="right"/>
              <w:rPr>
                <w:color w:val="000000"/>
                <w:sz w:val="18"/>
                <w:szCs w:val="20"/>
              </w:rPr>
            </w:pPr>
            <w:r>
              <w:rPr>
                <w:color w:val="000000"/>
                <w:sz w:val="18"/>
                <w:szCs w:val="20"/>
              </w:rPr>
              <w:t>39.210</w:t>
            </w:r>
          </w:p>
        </w:tc>
        <w:tc>
          <w:tcPr>
            <w:tcW w:w="326" w:type="pct"/>
            <w:noWrap/>
            <w:vAlign w:val="bottom"/>
          </w:tcPr>
          <w:p w:rsidR="00000000" w:rsidRDefault="00000000">
            <w:pPr>
              <w:jc w:val="right"/>
              <w:rPr>
                <w:color w:val="000000"/>
                <w:sz w:val="18"/>
                <w:szCs w:val="20"/>
              </w:rPr>
            </w:pPr>
            <w:r>
              <w:rPr>
                <w:color w:val="000000"/>
                <w:sz w:val="18"/>
                <w:szCs w:val="20"/>
              </w:rPr>
              <w:t>58.235</w:t>
            </w:r>
          </w:p>
        </w:tc>
        <w:tc>
          <w:tcPr>
            <w:tcW w:w="326" w:type="pct"/>
            <w:noWrap/>
            <w:vAlign w:val="bottom"/>
          </w:tcPr>
          <w:p w:rsidR="00000000" w:rsidRDefault="00000000">
            <w:pPr>
              <w:jc w:val="right"/>
              <w:rPr>
                <w:color w:val="000000"/>
                <w:sz w:val="18"/>
                <w:szCs w:val="20"/>
              </w:rPr>
            </w:pPr>
            <w:r>
              <w:rPr>
                <w:color w:val="000000"/>
                <w:sz w:val="18"/>
                <w:szCs w:val="20"/>
              </w:rPr>
              <w:t>21.884</w:t>
            </w:r>
          </w:p>
        </w:tc>
        <w:tc>
          <w:tcPr>
            <w:tcW w:w="319" w:type="pct"/>
            <w:noWrap/>
            <w:vAlign w:val="bottom"/>
          </w:tcPr>
          <w:p w:rsidR="00000000" w:rsidRDefault="00000000">
            <w:pPr>
              <w:jc w:val="right"/>
              <w:rPr>
                <w:color w:val="000000"/>
                <w:sz w:val="18"/>
                <w:szCs w:val="20"/>
              </w:rPr>
            </w:pPr>
            <w:r>
              <w:rPr>
                <w:color w:val="000000"/>
                <w:sz w:val="18"/>
                <w:szCs w:val="20"/>
              </w:rPr>
              <w:t>36.351</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Población subocupada</w:t>
            </w:r>
          </w:p>
        </w:tc>
        <w:tc>
          <w:tcPr>
            <w:tcW w:w="326" w:type="pct"/>
            <w:noWrap/>
            <w:vAlign w:val="bottom"/>
          </w:tcPr>
          <w:p w:rsidR="00000000" w:rsidRDefault="00000000">
            <w:pPr>
              <w:jc w:val="right"/>
              <w:rPr>
                <w:color w:val="000000"/>
                <w:sz w:val="18"/>
                <w:szCs w:val="20"/>
              </w:rPr>
            </w:pPr>
            <w:r>
              <w:rPr>
                <w:color w:val="000000"/>
                <w:sz w:val="18"/>
                <w:szCs w:val="20"/>
              </w:rPr>
              <w:t>187.217</w:t>
            </w:r>
          </w:p>
        </w:tc>
        <w:tc>
          <w:tcPr>
            <w:tcW w:w="343" w:type="pct"/>
            <w:noWrap/>
            <w:vAlign w:val="bottom"/>
          </w:tcPr>
          <w:p w:rsidR="00000000" w:rsidRDefault="00000000">
            <w:pPr>
              <w:jc w:val="right"/>
              <w:rPr>
                <w:color w:val="000000"/>
                <w:sz w:val="18"/>
                <w:szCs w:val="20"/>
              </w:rPr>
            </w:pPr>
            <w:r>
              <w:rPr>
                <w:color w:val="000000"/>
                <w:sz w:val="18"/>
                <w:szCs w:val="20"/>
              </w:rPr>
              <w:t>97.568</w:t>
            </w:r>
          </w:p>
        </w:tc>
        <w:tc>
          <w:tcPr>
            <w:tcW w:w="332" w:type="pct"/>
            <w:noWrap/>
            <w:vAlign w:val="bottom"/>
          </w:tcPr>
          <w:p w:rsidR="00000000" w:rsidRDefault="00000000">
            <w:pPr>
              <w:jc w:val="right"/>
              <w:rPr>
                <w:color w:val="000000"/>
                <w:sz w:val="18"/>
                <w:szCs w:val="20"/>
              </w:rPr>
            </w:pPr>
            <w:r>
              <w:rPr>
                <w:color w:val="000000"/>
                <w:sz w:val="18"/>
                <w:szCs w:val="20"/>
              </w:rPr>
              <w:t>89.649</w:t>
            </w:r>
          </w:p>
        </w:tc>
        <w:tc>
          <w:tcPr>
            <w:tcW w:w="336" w:type="pct"/>
            <w:noWrap/>
            <w:vAlign w:val="bottom"/>
          </w:tcPr>
          <w:p w:rsidR="00000000" w:rsidRDefault="00000000">
            <w:pPr>
              <w:jc w:val="right"/>
              <w:rPr>
                <w:color w:val="000000"/>
                <w:sz w:val="18"/>
                <w:szCs w:val="20"/>
              </w:rPr>
            </w:pPr>
            <w:r>
              <w:rPr>
                <w:color w:val="000000"/>
                <w:sz w:val="18"/>
                <w:szCs w:val="20"/>
              </w:rPr>
              <w:t>185.075</w:t>
            </w:r>
          </w:p>
        </w:tc>
        <w:tc>
          <w:tcPr>
            <w:tcW w:w="331" w:type="pct"/>
            <w:noWrap/>
            <w:vAlign w:val="bottom"/>
          </w:tcPr>
          <w:p w:rsidR="00000000" w:rsidRDefault="00000000">
            <w:pPr>
              <w:jc w:val="right"/>
              <w:rPr>
                <w:color w:val="000000"/>
                <w:sz w:val="18"/>
                <w:szCs w:val="20"/>
              </w:rPr>
            </w:pPr>
            <w:r>
              <w:rPr>
                <w:color w:val="000000"/>
                <w:sz w:val="18"/>
                <w:szCs w:val="20"/>
              </w:rPr>
              <w:t>102.428</w:t>
            </w:r>
          </w:p>
        </w:tc>
        <w:tc>
          <w:tcPr>
            <w:tcW w:w="327" w:type="pct"/>
            <w:noWrap/>
            <w:vAlign w:val="bottom"/>
          </w:tcPr>
          <w:p w:rsidR="00000000" w:rsidRDefault="00000000">
            <w:pPr>
              <w:jc w:val="right"/>
              <w:rPr>
                <w:color w:val="000000"/>
                <w:sz w:val="18"/>
                <w:szCs w:val="20"/>
              </w:rPr>
            </w:pPr>
            <w:r>
              <w:rPr>
                <w:color w:val="000000"/>
                <w:sz w:val="18"/>
                <w:szCs w:val="20"/>
              </w:rPr>
              <w:t>82.647</w:t>
            </w:r>
          </w:p>
        </w:tc>
        <w:tc>
          <w:tcPr>
            <w:tcW w:w="341" w:type="pct"/>
            <w:noWrap/>
            <w:vAlign w:val="bottom"/>
          </w:tcPr>
          <w:p w:rsidR="00000000" w:rsidRDefault="00000000">
            <w:pPr>
              <w:jc w:val="right"/>
              <w:rPr>
                <w:color w:val="000000"/>
                <w:sz w:val="18"/>
                <w:szCs w:val="20"/>
              </w:rPr>
            </w:pPr>
            <w:r>
              <w:rPr>
                <w:color w:val="000000"/>
                <w:sz w:val="18"/>
                <w:szCs w:val="20"/>
              </w:rPr>
              <w:t>344.349</w:t>
            </w:r>
          </w:p>
        </w:tc>
        <w:tc>
          <w:tcPr>
            <w:tcW w:w="327" w:type="pct"/>
            <w:noWrap/>
            <w:vAlign w:val="bottom"/>
          </w:tcPr>
          <w:p w:rsidR="00000000" w:rsidRDefault="00000000">
            <w:pPr>
              <w:jc w:val="right"/>
              <w:rPr>
                <w:color w:val="000000"/>
                <w:sz w:val="18"/>
                <w:szCs w:val="20"/>
              </w:rPr>
            </w:pPr>
            <w:r>
              <w:rPr>
                <w:color w:val="000000"/>
                <w:sz w:val="18"/>
                <w:szCs w:val="20"/>
              </w:rPr>
              <w:t>189.642</w:t>
            </w:r>
          </w:p>
        </w:tc>
        <w:tc>
          <w:tcPr>
            <w:tcW w:w="342" w:type="pct"/>
            <w:noWrap/>
            <w:vAlign w:val="bottom"/>
          </w:tcPr>
          <w:p w:rsidR="00000000" w:rsidRDefault="00000000">
            <w:pPr>
              <w:jc w:val="right"/>
              <w:rPr>
                <w:color w:val="000000"/>
                <w:sz w:val="18"/>
                <w:szCs w:val="20"/>
              </w:rPr>
            </w:pPr>
            <w:r>
              <w:rPr>
                <w:color w:val="000000"/>
                <w:sz w:val="18"/>
                <w:szCs w:val="20"/>
              </w:rPr>
              <w:t>154.707</w:t>
            </w:r>
          </w:p>
        </w:tc>
        <w:tc>
          <w:tcPr>
            <w:tcW w:w="326" w:type="pct"/>
            <w:noWrap/>
            <w:vAlign w:val="bottom"/>
          </w:tcPr>
          <w:p w:rsidR="00000000" w:rsidRDefault="00000000">
            <w:pPr>
              <w:jc w:val="right"/>
              <w:rPr>
                <w:color w:val="000000"/>
                <w:sz w:val="18"/>
                <w:szCs w:val="20"/>
              </w:rPr>
            </w:pPr>
            <w:r>
              <w:rPr>
                <w:color w:val="000000"/>
                <w:sz w:val="18"/>
                <w:szCs w:val="20"/>
              </w:rPr>
              <w:t>361.973</w:t>
            </w:r>
          </w:p>
        </w:tc>
        <w:tc>
          <w:tcPr>
            <w:tcW w:w="326" w:type="pct"/>
            <w:noWrap/>
            <w:vAlign w:val="bottom"/>
          </w:tcPr>
          <w:p w:rsidR="00000000" w:rsidRDefault="00000000">
            <w:pPr>
              <w:jc w:val="right"/>
              <w:rPr>
                <w:color w:val="000000"/>
                <w:sz w:val="18"/>
                <w:szCs w:val="20"/>
              </w:rPr>
            </w:pPr>
            <w:r>
              <w:rPr>
                <w:color w:val="000000"/>
                <w:sz w:val="18"/>
                <w:szCs w:val="20"/>
              </w:rPr>
              <w:t>201.901</w:t>
            </w:r>
          </w:p>
        </w:tc>
        <w:tc>
          <w:tcPr>
            <w:tcW w:w="319" w:type="pct"/>
            <w:noWrap/>
            <w:vAlign w:val="bottom"/>
          </w:tcPr>
          <w:p w:rsidR="00000000" w:rsidRDefault="00000000">
            <w:pPr>
              <w:jc w:val="right"/>
              <w:rPr>
                <w:color w:val="000000"/>
                <w:sz w:val="18"/>
                <w:szCs w:val="20"/>
              </w:rPr>
            </w:pPr>
            <w:r>
              <w:rPr>
                <w:color w:val="000000"/>
                <w:sz w:val="18"/>
                <w:szCs w:val="20"/>
              </w:rPr>
              <w:t>160.072</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Población subocupada visible</w:t>
            </w:r>
          </w:p>
        </w:tc>
        <w:tc>
          <w:tcPr>
            <w:tcW w:w="326" w:type="pct"/>
            <w:noWrap/>
            <w:vAlign w:val="bottom"/>
          </w:tcPr>
          <w:p w:rsidR="00000000" w:rsidRDefault="00000000">
            <w:pPr>
              <w:jc w:val="right"/>
              <w:rPr>
                <w:color w:val="000000"/>
                <w:sz w:val="18"/>
                <w:szCs w:val="20"/>
              </w:rPr>
            </w:pPr>
            <w:r>
              <w:rPr>
                <w:color w:val="000000"/>
                <w:sz w:val="18"/>
                <w:szCs w:val="20"/>
              </w:rPr>
              <w:t>53.244</w:t>
            </w:r>
          </w:p>
        </w:tc>
        <w:tc>
          <w:tcPr>
            <w:tcW w:w="343" w:type="pct"/>
            <w:noWrap/>
            <w:vAlign w:val="bottom"/>
          </w:tcPr>
          <w:p w:rsidR="00000000" w:rsidRDefault="00000000">
            <w:pPr>
              <w:jc w:val="right"/>
              <w:rPr>
                <w:color w:val="000000"/>
                <w:sz w:val="18"/>
                <w:szCs w:val="20"/>
              </w:rPr>
            </w:pPr>
            <w:r>
              <w:rPr>
                <w:color w:val="000000"/>
                <w:sz w:val="18"/>
                <w:szCs w:val="20"/>
              </w:rPr>
              <w:t>20.999</w:t>
            </w:r>
          </w:p>
        </w:tc>
        <w:tc>
          <w:tcPr>
            <w:tcW w:w="332" w:type="pct"/>
            <w:noWrap/>
            <w:vAlign w:val="bottom"/>
          </w:tcPr>
          <w:p w:rsidR="00000000" w:rsidRDefault="00000000">
            <w:pPr>
              <w:jc w:val="right"/>
              <w:rPr>
                <w:color w:val="000000"/>
                <w:sz w:val="18"/>
                <w:szCs w:val="20"/>
              </w:rPr>
            </w:pPr>
            <w:r>
              <w:rPr>
                <w:color w:val="000000"/>
                <w:sz w:val="18"/>
                <w:szCs w:val="20"/>
              </w:rPr>
              <w:t>32.245</w:t>
            </w:r>
          </w:p>
        </w:tc>
        <w:tc>
          <w:tcPr>
            <w:tcW w:w="336" w:type="pct"/>
            <w:noWrap/>
            <w:vAlign w:val="bottom"/>
          </w:tcPr>
          <w:p w:rsidR="00000000" w:rsidRDefault="00000000">
            <w:pPr>
              <w:jc w:val="right"/>
              <w:rPr>
                <w:color w:val="000000"/>
                <w:sz w:val="18"/>
                <w:szCs w:val="20"/>
              </w:rPr>
            </w:pPr>
            <w:r>
              <w:rPr>
                <w:color w:val="000000"/>
                <w:sz w:val="18"/>
                <w:szCs w:val="20"/>
              </w:rPr>
              <w:t>48.904</w:t>
            </w:r>
          </w:p>
        </w:tc>
        <w:tc>
          <w:tcPr>
            <w:tcW w:w="331" w:type="pct"/>
            <w:noWrap/>
            <w:vAlign w:val="bottom"/>
          </w:tcPr>
          <w:p w:rsidR="00000000" w:rsidRDefault="00000000">
            <w:pPr>
              <w:jc w:val="right"/>
              <w:rPr>
                <w:color w:val="000000"/>
                <w:sz w:val="18"/>
                <w:szCs w:val="20"/>
              </w:rPr>
            </w:pPr>
            <w:r>
              <w:rPr>
                <w:color w:val="000000"/>
                <w:sz w:val="18"/>
                <w:szCs w:val="20"/>
              </w:rPr>
              <w:t>21.528</w:t>
            </w:r>
          </w:p>
        </w:tc>
        <w:tc>
          <w:tcPr>
            <w:tcW w:w="327" w:type="pct"/>
            <w:noWrap/>
            <w:vAlign w:val="bottom"/>
          </w:tcPr>
          <w:p w:rsidR="00000000" w:rsidRDefault="00000000">
            <w:pPr>
              <w:jc w:val="right"/>
              <w:rPr>
                <w:color w:val="000000"/>
                <w:sz w:val="18"/>
                <w:szCs w:val="20"/>
              </w:rPr>
            </w:pPr>
            <w:r>
              <w:rPr>
                <w:color w:val="000000"/>
                <w:sz w:val="18"/>
                <w:szCs w:val="20"/>
              </w:rPr>
              <w:t>27.376</w:t>
            </w:r>
          </w:p>
        </w:tc>
        <w:tc>
          <w:tcPr>
            <w:tcW w:w="341" w:type="pct"/>
            <w:noWrap/>
            <w:vAlign w:val="bottom"/>
          </w:tcPr>
          <w:p w:rsidR="00000000" w:rsidRDefault="00000000">
            <w:pPr>
              <w:jc w:val="right"/>
              <w:rPr>
                <w:color w:val="000000"/>
                <w:sz w:val="18"/>
                <w:szCs w:val="20"/>
              </w:rPr>
            </w:pPr>
            <w:r>
              <w:rPr>
                <w:color w:val="000000"/>
                <w:sz w:val="18"/>
                <w:szCs w:val="20"/>
              </w:rPr>
              <w:t>90.946</w:t>
            </w:r>
          </w:p>
        </w:tc>
        <w:tc>
          <w:tcPr>
            <w:tcW w:w="327" w:type="pct"/>
            <w:noWrap/>
            <w:vAlign w:val="bottom"/>
          </w:tcPr>
          <w:p w:rsidR="00000000" w:rsidRDefault="00000000">
            <w:pPr>
              <w:jc w:val="right"/>
              <w:rPr>
                <w:color w:val="000000"/>
                <w:sz w:val="18"/>
                <w:szCs w:val="20"/>
              </w:rPr>
            </w:pPr>
            <w:r>
              <w:rPr>
                <w:color w:val="000000"/>
                <w:sz w:val="18"/>
                <w:szCs w:val="20"/>
              </w:rPr>
              <w:t>42.300</w:t>
            </w:r>
          </w:p>
        </w:tc>
        <w:tc>
          <w:tcPr>
            <w:tcW w:w="342" w:type="pct"/>
            <w:noWrap/>
            <w:vAlign w:val="bottom"/>
          </w:tcPr>
          <w:p w:rsidR="00000000" w:rsidRDefault="00000000">
            <w:pPr>
              <w:jc w:val="right"/>
              <w:rPr>
                <w:color w:val="000000"/>
                <w:sz w:val="18"/>
                <w:szCs w:val="20"/>
              </w:rPr>
            </w:pPr>
            <w:r>
              <w:rPr>
                <w:color w:val="000000"/>
                <w:sz w:val="18"/>
                <w:szCs w:val="20"/>
              </w:rPr>
              <w:t>48.646</w:t>
            </w:r>
          </w:p>
        </w:tc>
        <w:tc>
          <w:tcPr>
            <w:tcW w:w="326" w:type="pct"/>
            <w:noWrap/>
            <w:vAlign w:val="bottom"/>
          </w:tcPr>
          <w:p w:rsidR="00000000" w:rsidRDefault="00000000">
            <w:pPr>
              <w:jc w:val="right"/>
              <w:rPr>
                <w:color w:val="000000"/>
                <w:sz w:val="18"/>
                <w:szCs w:val="20"/>
              </w:rPr>
            </w:pPr>
            <w:r>
              <w:rPr>
                <w:color w:val="000000"/>
                <w:sz w:val="18"/>
                <w:szCs w:val="20"/>
              </w:rPr>
              <w:t>76.913</w:t>
            </w:r>
          </w:p>
        </w:tc>
        <w:tc>
          <w:tcPr>
            <w:tcW w:w="326" w:type="pct"/>
            <w:noWrap/>
            <w:vAlign w:val="bottom"/>
          </w:tcPr>
          <w:p w:rsidR="00000000" w:rsidRDefault="00000000">
            <w:pPr>
              <w:jc w:val="right"/>
              <w:rPr>
                <w:color w:val="000000"/>
                <w:sz w:val="18"/>
                <w:szCs w:val="20"/>
              </w:rPr>
            </w:pPr>
            <w:r>
              <w:rPr>
                <w:color w:val="000000"/>
                <w:sz w:val="18"/>
                <w:szCs w:val="20"/>
              </w:rPr>
              <w:t>34.443</w:t>
            </w:r>
          </w:p>
        </w:tc>
        <w:tc>
          <w:tcPr>
            <w:tcW w:w="319" w:type="pct"/>
            <w:noWrap/>
            <w:vAlign w:val="bottom"/>
          </w:tcPr>
          <w:p w:rsidR="00000000" w:rsidRDefault="00000000">
            <w:pPr>
              <w:jc w:val="right"/>
              <w:rPr>
                <w:color w:val="000000"/>
                <w:sz w:val="18"/>
                <w:szCs w:val="20"/>
              </w:rPr>
            </w:pPr>
            <w:r>
              <w:rPr>
                <w:color w:val="000000"/>
                <w:sz w:val="18"/>
                <w:szCs w:val="20"/>
              </w:rPr>
              <w:t>42.470</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Población subocupada invisible</w:t>
            </w:r>
          </w:p>
        </w:tc>
        <w:tc>
          <w:tcPr>
            <w:tcW w:w="326" w:type="pct"/>
            <w:noWrap/>
            <w:vAlign w:val="bottom"/>
          </w:tcPr>
          <w:p w:rsidR="00000000" w:rsidRDefault="00000000">
            <w:pPr>
              <w:jc w:val="right"/>
              <w:rPr>
                <w:color w:val="000000"/>
                <w:sz w:val="18"/>
                <w:szCs w:val="20"/>
              </w:rPr>
            </w:pPr>
            <w:r>
              <w:rPr>
                <w:color w:val="000000"/>
                <w:sz w:val="18"/>
                <w:szCs w:val="20"/>
              </w:rPr>
              <w:t>133.973</w:t>
            </w:r>
          </w:p>
        </w:tc>
        <w:tc>
          <w:tcPr>
            <w:tcW w:w="343" w:type="pct"/>
            <w:noWrap/>
            <w:vAlign w:val="bottom"/>
          </w:tcPr>
          <w:p w:rsidR="00000000" w:rsidRDefault="00000000">
            <w:pPr>
              <w:jc w:val="right"/>
              <w:rPr>
                <w:color w:val="000000"/>
                <w:sz w:val="18"/>
                <w:szCs w:val="20"/>
              </w:rPr>
            </w:pPr>
            <w:r>
              <w:rPr>
                <w:color w:val="000000"/>
                <w:sz w:val="18"/>
                <w:szCs w:val="20"/>
              </w:rPr>
              <w:t>76.569</w:t>
            </w:r>
          </w:p>
        </w:tc>
        <w:tc>
          <w:tcPr>
            <w:tcW w:w="332" w:type="pct"/>
            <w:noWrap/>
            <w:vAlign w:val="bottom"/>
          </w:tcPr>
          <w:p w:rsidR="00000000" w:rsidRDefault="00000000">
            <w:pPr>
              <w:jc w:val="right"/>
              <w:rPr>
                <w:color w:val="000000"/>
                <w:sz w:val="18"/>
                <w:szCs w:val="20"/>
              </w:rPr>
            </w:pPr>
            <w:r>
              <w:rPr>
                <w:color w:val="000000"/>
                <w:sz w:val="18"/>
                <w:szCs w:val="20"/>
              </w:rPr>
              <w:t>57.404</w:t>
            </w:r>
          </w:p>
        </w:tc>
        <w:tc>
          <w:tcPr>
            <w:tcW w:w="336" w:type="pct"/>
            <w:noWrap/>
            <w:vAlign w:val="bottom"/>
          </w:tcPr>
          <w:p w:rsidR="00000000" w:rsidRDefault="00000000">
            <w:pPr>
              <w:jc w:val="right"/>
              <w:rPr>
                <w:color w:val="000000"/>
                <w:sz w:val="18"/>
                <w:szCs w:val="20"/>
              </w:rPr>
            </w:pPr>
            <w:r>
              <w:rPr>
                <w:color w:val="000000"/>
                <w:sz w:val="18"/>
                <w:szCs w:val="20"/>
              </w:rPr>
              <w:t>136.171</w:t>
            </w:r>
          </w:p>
        </w:tc>
        <w:tc>
          <w:tcPr>
            <w:tcW w:w="331" w:type="pct"/>
            <w:noWrap/>
            <w:vAlign w:val="bottom"/>
          </w:tcPr>
          <w:p w:rsidR="00000000" w:rsidRDefault="00000000">
            <w:pPr>
              <w:jc w:val="right"/>
              <w:rPr>
                <w:color w:val="000000"/>
                <w:sz w:val="18"/>
                <w:szCs w:val="20"/>
              </w:rPr>
            </w:pPr>
            <w:r>
              <w:rPr>
                <w:color w:val="000000"/>
                <w:sz w:val="18"/>
                <w:szCs w:val="20"/>
              </w:rPr>
              <w:t>80.900</w:t>
            </w:r>
          </w:p>
        </w:tc>
        <w:tc>
          <w:tcPr>
            <w:tcW w:w="327" w:type="pct"/>
            <w:noWrap/>
            <w:vAlign w:val="bottom"/>
          </w:tcPr>
          <w:p w:rsidR="00000000" w:rsidRDefault="00000000">
            <w:pPr>
              <w:jc w:val="right"/>
              <w:rPr>
                <w:color w:val="000000"/>
                <w:sz w:val="18"/>
                <w:szCs w:val="20"/>
              </w:rPr>
            </w:pPr>
            <w:r>
              <w:rPr>
                <w:color w:val="000000"/>
                <w:sz w:val="18"/>
                <w:szCs w:val="20"/>
              </w:rPr>
              <w:t>55.271</w:t>
            </w:r>
          </w:p>
        </w:tc>
        <w:tc>
          <w:tcPr>
            <w:tcW w:w="341" w:type="pct"/>
            <w:noWrap/>
            <w:vAlign w:val="bottom"/>
          </w:tcPr>
          <w:p w:rsidR="00000000" w:rsidRDefault="00000000">
            <w:pPr>
              <w:jc w:val="right"/>
              <w:rPr>
                <w:color w:val="000000"/>
                <w:sz w:val="18"/>
                <w:szCs w:val="20"/>
              </w:rPr>
            </w:pPr>
            <w:r>
              <w:rPr>
                <w:color w:val="000000"/>
                <w:sz w:val="18"/>
                <w:szCs w:val="20"/>
              </w:rPr>
              <w:t>253.403</w:t>
            </w:r>
          </w:p>
        </w:tc>
        <w:tc>
          <w:tcPr>
            <w:tcW w:w="327" w:type="pct"/>
            <w:noWrap/>
            <w:vAlign w:val="bottom"/>
          </w:tcPr>
          <w:p w:rsidR="00000000" w:rsidRDefault="00000000">
            <w:pPr>
              <w:jc w:val="right"/>
              <w:rPr>
                <w:color w:val="000000"/>
                <w:sz w:val="18"/>
                <w:szCs w:val="20"/>
              </w:rPr>
            </w:pPr>
            <w:r>
              <w:rPr>
                <w:color w:val="000000"/>
                <w:sz w:val="18"/>
                <w:szCs w:val="20"/>
              </w:rPr>
              <w:t>147.342</w:t>
            </w:r>
          </w:p>
        </w:tc>
        <w:tc>
          <w:tcPr>
            <w:tcW w:w="342" w:type="pct"/>
            <w:noWrap/>
            <w:vAlign w:val="bottom"/>
          </w:tcPr>
          <w:p w:rsidR="00000000" w:rsidRDefault="00000000">
            <w:pPr>
              <w:jc w:val="right"/>
              <w:rPr>
                <w:color w:val="000000"/>
                <w:sz w:val="18"/>
                <w:szCs w:val="20"/>
              </w:rPr>
            </w:pPr>
            <w:r>
              <w:rPr>
                <w:color w:val="000000"/>
                <w:sz w:val="18"/>
                <w:szCs w:val="20"/>
              </w:rPr>
              <w:t>106.061</w:t>
            </w:r>
          </w:p>
        </w:tc>
        <w:tc>
          <w:tcPr>
            <w:tcW w:w="326" w:type="pct"/>
            <w:noWrap/>
            <w:vAlign w:val="bottom"/>
          </w:tcPr>
          <w:p w:rsidR="00000000" w:rsidRDefault="00000000">
            <w:pPr>
              <w:jc w:val="right"/>
              <w:rPr>
                <w:color w:val="000000"/>
                <w:sz w:val="18"/>
                <w:szCs w:val="20"/>
              </w:rPr>
            </w:pPr>
            <w:r>
              <w:rPr>
                <w:color w:val="000000"/>
                <w:sz w:val="18"/>
                <w:szCs w:val="20"/>
              </w:rPr>
              <w:t>285.060</w:t>
            </w:r>
          </w:p>
        </w:tc>
        <w:tc>
          <w:tcPr>
            <w:tcW w:w="326" w:type="pct"/>
            <w:noWrap/>
            <w:vAlign w:val="bottom"/>
          </w:tcPr>
          <w:p w:rsidR="00000000" w:rsidRDefault="00000000">
            <w:pPr>
              <w:jc w:val="right"/>
              <w:rPr>
                <w:color w:val="000000"/>
                <w:sz w:val="18"/>
                <w:szCs w:val="20"/>
              </w:rPr>
            </w:pPr>
            <w:r>
              <w:rPr>
                <w:color w:val="000000"/>
                <w:sz w:val="18"/>
                <w:szCs w:val="20"/>
              </w:rPr>
              <w:t>167.458</w:t>
            </w:r>
          </w:p>
        </w:tc>
        <w:tc>
          <w:tcPr>
            <w:tcW w:w="319" w:type="pct"/>
            <w:noWrap/>
            <w:vAlign w:val="bottom"/>
          </w:tcPr>
          <w:p w:rsidR="00000000" w:rsidRDefault="00000000">
            <w:pPr>
              <w:jc w:val="right"/>
              <w:rPr>
                <w:color w:val="000000"/>
                <w:sz w:val="18"/>
                <w:szCs w:val="20"/>
              </w:rPr>
            </w:pPr>
            <w:r>
              <w:rPr>
                <w:color w:val="000000"/>
                <w:sz w:val="18"/>
                <w:szCs w:val="20"/>
              </w:rPr>
              <w:t>117.602</w:t>
            </w:r>
          </w:p>
        </w:tc>
      </w:tr>
      <w:tr w:rsidR="00000000">
        <w:trPr>
          <w:trHeight w:val="20"/>
          <w:jc w:val="center"/>
        </w:trPr>
        <w:tc>
          <w:tcPr>
            <w:tcW w:w="1024" w:type="pct"/>
            <w:noWrap/>
            <w:vAlign w:val="bottom"/>
          </w:tcPr>
          <w:p w:rsidR="00000000" w:rsidRDefault="00000000">
            <w:pPr>
              <w:tabs>
                <w:tab w:val="left" w:pos="308"/>
              </w:tabs>
              <w:rPr>
                <w:b/>
                <w:bCs/>
                <w:color w:val="000000"/>
                <w:sz w:val="18"/>
                <w:szCs w:val="20"/>
              </w:rPr>
            </w:pPr>
            <w:r>
              <w:rPr>
                <w:b/>
                <w:bCs/>
                <w:color w:val="000000"/>
                <w:sz w:val="18"/>
                <w:szCs w:val="18"/>
              </w:rPr>
              <w:tab/>
              <w:t>Población</w:t>
            </w:r>
            <w:r>
              <w:rPr>
                <w:b/>
                <w:bCs/>
                <w:color w:val="000000"/>
                <w:sz w:val="18"/>
                <w:szCs w:val="20"/>
              </w:rPr>
              <w:t xml:space="preserve"> total</w:t>
            </w:r>
          </w:p>
        </w:tc>
        <w:tc>
          <w:tcPr>
            <w:tcW w:w="326" w:type="pct"/>
            <w:noWrap/>
            <w:vAlign w:val="bottom"/>
          </w:tcPr>
          <w:p w:rsidR="00000000" w:rsidRDefault="00000000">
            <w:pPr>
              <w:jc w:val="right"/>
              <w:rPr>
                <w:b/>
                <w:bCs/>
                <w:color w:val="000000"/>
                <w:sz w:val="18"/>
                <w:szCs w:val="20"/>
              </w:rPr>
            </w:pPr>
            <w:r>
              <w:rPr>
                <w:b/>
                <w:bCs/>
                <w:color w:val="000000"/>
                <w:sz w:val="18"/>
                <w:szCs w:val="20"/>
              </w:rPr>
              <w:t>1.117.290</w:t>
            </w:r>
          </w:p>
        </w:tc>
        <w:tc>
          <w:tcPr>
            <w:tcW w:w="343" w:type="pct"/>
            <w:noWrap/>
            <w:vAlign w:val="bottom"/>
          </w:tcPr>
          <w:p w:rsidR="00000000" w:rsidRDefault="00000000">
            <w:pPr>
              <w:jc w:val="right"/>
              <w:rPr>
                <w:b/>
                <w:bCs/>
                <w:color w:val="000000"/>
                <w:sz w:val="18"/>
                <w:szCs w:val="20"/>
              </w:rPr>
            </w:pPr>
            <w:r>
              <w:rPr>
                <w:b/>
                <w:bCs/>
                <w:color w:val="000000"/>
                <w:sz w:val="18"/>
                <w:szCs w:val="20"/>
              </w:rPr>
              <w:t>547.183</w:t>
            </w:r>
          </w:p>
        </w:tc>
        <w:tc>
          <w:tcPr>
            <w:tcW w:w="332" w:type="pct"/>
            <w:noWrap/>
            <w:vAlign w:val="bottom"/>
          </w:tcPr>
          <w:p w:rsidR="00000000" w:rsidRDefault="00000000">
            <w:pPr>
              <w:jc w:val="right"/>
              <w:rPr>
                <w:b/>
                <w:bCs/>
                <w:color w:val="000000"/>
                <w:sz w:val="18"/>
                <w:szCs w:val="20"/>
              </w:rPr>
            </w:pPr>
            <w:r>
              <w:rPr>
                <w:b/>
                <w:bCs/>
                <w:color w:val="000000"/>
                <w:sz w:val="18"/>
                <w:szCs w:val="20"/>
              </w:rPr>
              <w:t>570.107</w:t>
            </w:r>
          </w:p>
        </w:tc>
        <w:tc>
          <w:tcPr>
            <w:tcW w:w="336" w:type="pct"/>
            <w:noWrap/>
            <w:vAlign w:val="bottom"/>
          </w:tcPr>
          <w:p w:rsidR="00000000" w:rsidRDefault="00000000">
            <w:pPr>
              <w:jc w:val="right"/>
              <w:rPr>
                <w:b/>
                <w:bCs/>
                <w:color w:val="000000"/>
                <w:sz w:val="18"/>
                <w:szCs w:val="20"/>
              </w:rPr>
            </w:pPr>
            <w:r>
              <w:rPr>
                <w:b/>
                <w:bCs/>
                <w:color w:val="000000"/>
                <w:sz w:val="18"/>
                <w:szCs w:val="20"/>
              </w:rPr>
              <w:t>1.292.135</w:t>
            </w:r>
          </w:p>
        </w:tc>
        <w:tc>
          <w:tcPr>
            <w:tcW w:w="331" w:type="pct"/>
            <w:noWrap/>
            <w:vAlign w:val="bottom"/>
          </w:tcPr>
          <w:p w:rsidR="00000000" w:rsidRDefault="00000000">
            <w:pPr>
              <w:jc w:val="right"/>
              <w:rPr>
                <w:b/>
                <w:bCs/>
                <w:color w:val="000000"/>
                <w:sz w:val="18"/>
                <w:szCs w:val="20"/>
              </w:rPr>
            </w:pPr>
            <w:r>
              <w:rPr>
                <w:b/>
                <w:bCs/>
                <w:color w:val="000000"/>
                <w:sz w:val="18"/>
                <w:szCs w:val="20"/>
              </w:rPr>
              <w:t>636.858</w:t>
            </w:r>
          </w:p>
        </w:tc>
        <w:tc>
          <w:tcPr>
            <w:tcW w:w="327" w:type="pct"/>
            <w:noWrap/>
            <w:vAlign w:val="bottom"/>
          </w:tcPr>
          <w:p w:rsidR="00000000" w:rsidRDefault="00000000">
            <w:pPr>
              <w:jc w:val="right"/>
              <w:rPr>
                <w:b/>
                <w:bCs/>
                <w:color w:val="000000"/>
                <w:sz w:val="18"/>
                <w:szCs w:val="20"/>
              </w:rPr>
            </w:pPr>
            <w:r>
              <w:rPr>
                <w:b/>
                <w:bCs/>
                <w:color w:val="000000"/>
                <w:sz w:val="18"/>
                <w:szCs w:val="20"/>
              </w:rPr>
              <w:t>655.277</w:t>
            </w:r>
          </w:p>
        </w:tc>
        <w:tc>
          <w:tcPr>
            <w:tcW w:w="341" w:type="pct"/>
            <w:noWrap/>
            <w:vAlign w:val="bottom"/>
          </w:tcPr>
          <w:p w:rsidR="00000000" w:rsidRDefault="00000000">
            <w:pPr>
              <w:jc w:val="right"/>
              <w:rPr>
                <w:b/>
                <w:bCs/>
                <w:color w:val="000000"/>
                <w:sz w:val="18"/>
                <w:szCs w:val="20"/>
              </w:rPr>
            </w:pPr>
            <w:r>
              <w:rPr>
                <w:b/>
                <w:bCs/>
                <w:color w:val="000000"/>
                <w:sz w:val="18"/>
                <w:szCs w:val="20"/>
              </w:rPr>
              <w:t>1.574.790</w:t>
            </w:r>
          </w:p>
        </w:tc>
        <w:tc>
          <w:tcPr>
            <w:tcW w:w="327" w:type="pct"/>
            <w:noWrap/>
            <w:vAlign w:val="bottom"/>
          </w:tcPr>
          <w:p w:rsidR="00000000" w:rsidRDefault="00000000">
            <w:pPr>
              <w:jc w:val="right"/>
              <w:rPr>
                <w:b/>
                <w:bCs/>
                <w:color w:val="000000"/>
                <w:sz w:val="18"/>
                <w:szCs w:val="20"/>
              </w:rPr>
            </w:pPr>
            <w:r>
              <w:rPr>
                <w:b/>
                <w:bCs/>
                <w:color w:val="000000"/>
                <w:sz w:val="18"/>
                <w:szCs w:val="20"/>
              </w:rPr>
              <w:t>781.855</w:t>
            </w:r>
          </w:p>
        </w:tc>
        <w:tc>
          <w:tcPr>
            <w:tcW w:w="342" w:type="pct"/>
            <w:noWrap/>
            <w:vAlign w:val="bottom"/>
          </w:tcPr>
          <w:p w:rsidR="00000000" w:rsidRDefault="00000000">
            <w:pPr>
              <w:jc w:val="right"/>
              <w:rPr>
                <w:b/>
                <w:bCs/>
                <w:color w:val="000000"/>
                <w:sz w:val="18"/>
                <w:szCs w:val="20"/>
              </w:rPr>
            </w:pPr>
            <w:r>
              <w:rPr>
                <w:b/>
                <w:bCs/>
                <w:color w:val="000000"/>
                <w:sz w:val="18"/>
                <w:szCs w:val="20"/>
              </w:rPr>
              <w:t>792.935</w:t>
            </w:r>
          </w:p>
        </w:tc>
        <w:tc>
          <w:tcPr>
            <w:tcW w:w="326" w:type="pct"/>
            <w:noWrap/>
            <w:vAlign w:val="bottom"/>
          </w:tcPr>
          <w:p w:rsidR="00000000" w:rsidRDefault="00000000">
            <w:pPr>
              <w:jc w:val="right"/>
              <w:rPr>
                <w:b/>
                <w:bCs/>
                <w:color w:val="000000"/>
                <w:sz w:val="18"/>
                <w:szCs w:val="20"/>
              </w:rPr>
            </w:pPr>
            <w:r>
              <w:rPr>
                <w:b/>
                <w:bCs/>
                <w:color w:val="000000"/>
                <w:sz w:val="18"/>
                <w:szCs w:val="20"/>
              </w:rPr>
              <w:t>1.568.582</w:t>
            </w:r>
          </w:p>
        </w:tc>
        <w:tc>
          <w:tcPr>
            <w:tcW w:w="326" w:type="pct"/>
            <w:noWrap/>
            <w:vAlign w:val="bottom"/>
          </w:tcPr>
          <w:p w:rsidR="00000000" w:rsidRDefault="00000000">
            <w:pPr>
              <w:jc w:val="right"/>
              <w:rPr>
                <w:b/>
                <w:bCs/>
                <w:color w:val="000000"/>
                <w:sz w:val="18"/>
                <w:szCs w:val="20"/>
              </w:rPr>
            </w:pPr>
            <w:r>
              <w:rPr>
                <w:b/>
                <w:bCs/>
                <w:color w:val="000000"/>
                <w:sz w:val="18"/>
                <w:szCs w:val="20"/>
              </w:rPr>
              <w:t>794.542</w:t>
            </w:r>
          </w:p>
        </w:tc>
        <w:tc>
          <w:tcPr>
            <w:tcW w:w="319" w:type="pct"/>
            <w:noWrap/>
            <w:vAlign w:val="bottom"/>
          </w:tcPr>
          <w:p w:rsidR="00000000" w:rsidRDefault="00000000">
            <w:pPr>
              <w:jc w:val="right"/>
              <w:rPr>
                <w:b/>
                <w:bCs/>
                <w:color w:val="000000"/>
                <w:sz w:val="18"/>
                <w:szCs w:val="20"/>
              </w:rPr>
            </w:pPr>
            <w:r>
              <w:rPr>
                <w:b/>
                <w:bCs/>
                <w:color w:val="000000"/>
                <w:sz w:val="18"/>
                <w:szCs w:val="20"/>
              </w:rPr>
              <w:t>774.040</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Tasa de actividad</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74,7</w:t>
            </w:r>
          </w:p>
        </w:tc>
        <w:tc>
          <w:tcPr>
            <w:tcW w:w="343" w:type="pct"/>
            <w:noWrap/>
            <w:vAlign w:val="bottom"/>
          </w:tcPr>
          <w:p w:rsidR="00000000" w:rsidRDefault="00000000">
            <w:pPr>
              <w:tabs>
                <w:tab w:val="decimal" w:pos="404"/>
              </w:tabs>
              <w:jc w:val="right"/>
              <w:rPr>
                <w:color w:val="000000"/>
                <w:sz w:val="18"/>
                <w:szCs w:val="20"/>
              </w:rPr>
            </w:pPr>
            <w:r>
              <w:rPr>
                <w:color w:val="000000"/>
                <w:sz w:val="18"/>
                <w:szCs w:val="20"/>
              </w:rPr>
              <w:t>90,0</w:t>
            </w:r>
          </w:p>
        </w:tc>
        <w:tc>
          <w:tcPr>
            <w:tcW w:w="332" w:type="pct"/>
            <w:noWrap/>
            <w:vAlign w:val="bottom"/>
          </w:tcPr>
          <w:p w:rsidR="00000000" w:rsidRDefault="00000000">
            <w:pPr>
              <w:tabs>
                <w:tab w:val="decimal" w:pos="404"/>
              </w:tabs>
              <w:jc w:val="right"/>
              <w:rPr>
                <w:color w:val="000000"/>
                <w:sz w:val="18"/>
                <w:szCs w:val="20"/>
              </w:rPr>
            </w:pPr>
            <w:r>
              <w:rPr>
                <w:color w:val="000000"/>
                <w:sz w:val="18"/>
                <w:szCs w:val="20"/>
              </w:rPr>
              <w:t>60,0</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61,3</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78,8</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44,4</w:t>
            </w:r>
          </w:p>
        </w:tc>
        <w:tc>
          <w:tcPr>
            <w:tcW w:w="341" w:type="pct"/>
            <w:noWrap/>
            <w:vAlign w:val="bottom"/>
          </w:tcPr>
          <w:p w:rsidR="00000000" w:rsidRDefault="00000000">
            <w:pPr>
              <w:tabs>
                <w:tab w:val="decimal" w:pos="404"/>
              </w:tabs>
              <w:jc w:val="right"/>
              <w:rPr>
                <w:color w:val="000000"/>
                <w:sz w:val="18"/>
                <w:szCs w:val="20"/>
              </w:rPr>
            </w:pPr>
            <w:r>
              <w:rPr>
                <w:color w:val="000000"/>
                <w:sz w:val="18"/>
                <w:szCs w:val="20"/>
              </w:rPr>
              <w:t>67,2</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82,0</w:t>
            </w:r>
          </w:p>
        </w:tc>
        <w:tc>
          <w:tcPr>
            <w:tcW w:w="342" w:type="pct"/>
            <w:noWrap/>
            <w:vAlign w:val="bottom"/>
          </w:tcPr>
          <w:p w:rsidR="00000000" w:rsidRDefault="00000000">
            <w:pPr>
              <w:tabs>
                <w:tab w:val="decimal" w:pos="404"/>
              </w:tabs>
              <w:jc w:val="right"/>
              <w:rPr>
                <w:color w:val="000000"/>
                <w:sz w:val="18"/>
                <w:szCs w:val="20"/>
              </w:rPr>
            </w:pPr>
            <w:r>
              <w:rPr>
                <w:color w:val="000000"/>
                <w:sz w:val="18"/>
                <w:szCs w:val="20"/>
              </w:rPr>
              <w:t>52,6</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65,0</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79,0</w:t>
            </w:r>
          </w:p>
        </w:tc>
        <w:tc>
          <w:tcPr>
            <w:tcW w:w="319" w:type="pct"/>
            <w:noWrap/>
            <w:vAlign w:val="bottom"/>
          </w:tcPr>
          <w:p w:rsidR="00000000" w:rsidRDefault="00000000">
            <w:pPr>
              <w:tabs>
                <w:tab w:val="decimal" w:pos="404"/>
              </w:tabs>
              <w:jc w:val="right"/>
              <w:rPr>
                <w:color w:val="000000"/>
                <w:sz w:val="18"/>
                <w:szCs w:val="20"/>
              </w:rPr>
            </w:pPr>
            <w:r>
              <w:rPr>
                <w:color w:val="000000"/>
                <w:sz w:val="18"/>
                <w:szCs w:val="20"/>
              </w:rPr>
              <w:t>50,5</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Tasa de ocupación</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94,8</w:t>
            </w:r>
          </w:p>
        </w:tc>
        <w:tc>
          <w:tcPr>
            <w:tcW w:w="343" w:type="pct"/>
            <w:noWrap/>
            <w:vAlign w:val="bottom"/>
          </w:tcPr>
          <w:p w:rsidR="00000000" w:rsidRDefault="00000000">
            <w:pPr>
              <w:tabs>
                <w:tab w:val="decimal" w:pos="404"/>
              </w:tabs>
              <w:jc w:val="right"/>
              <w:rPr>
                <w:color w:val="000000"/>
                <w:sz w:val="18"/>
                <w:szCs w:val="20"/>
              </w:rPr>
            </w:pPr>
            <w:r>
              <w:rPr>
                <w:color w:val="000000"/>
                <w:sz w:val="18"/>
                <w:szCs w:val="20"/>
              </w:rPr>
              <w:t>95,4</w:t>
            </w:r>
          </w:p>
        </w:tc>
        <w:tc>
          <w:tcPr>
            <w:tcW w:w="332" w:type="pct"/>
            <w:noWrap/>
            <w:vAlign w:val="bottom"/>
          </w:tcPr>
          <w:p w:rsidR="00000000" w:rsidRDefault="00000000">
            <w:pPr>
              <w:tabs>
                <w:tab w:val="decimal" w:pos="404"/>
              </w:tabs>
              <w:jc w:val="right"/>
              <w:rPr>
                <w:color w:val="000000"/>
                <w:sz w:val="18"/>
                <w:szCs w:val="20"/>
              </w:rPr>
            </w:pPr>
            <w:r>
              <w:rPr>
                <w:color w:val="000000"/>
                <w:sz w:val="18"/>
                <w:szCs w:val="20"/>
              </w:rPr>
              <w:t>94,0</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89,9</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91,0</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88,1</w:t>
            </w:r>
          </w:p>
        </w:tc>
        <w:tc>
          <w:tcPr>
            <w:tcW w:w="341" w:type="pct"/>
            <w:noWrap/>
            <w:vAlign w:val="bottom"/>
          </w:tcPr>
          <w:p w:rsidR="00000000" w:rsidRDefault="00000000">
            <w:pPr>
              <w:tabs>
                <w:tab w:val="decimal" w:pos="404"/>
              </w:tabs>
              <w:jc w:val="right"/>
              <w:rPr>
                <w:color w:val="000000"/>
                <w:sz w:val="18"/>
                <w:szCs w:val="20"/>
              </w:rPr>
            </w:pPr>
            <w:r>
              <w:rPr>
                <w:color w:val="000000"/>
                <w:sz w:val="18"/>
                <w:szCs w:val="20"/>
              </w:rPr>
              <w:t>88,3</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91,3</w:t>
            </w:r>
          </w:p>
        </w:tc>
        <w:tc>
          <w:tcPr>
            <w:tcW w:w="342" w:type="pct"/>
            <w:noWrap/>
            <w:vAlign w:val="bottom"/>
          </w:tcPr>
          <w:p w:rsidR="00000000" w:rsidRDefault="00000000">
            <w:pPr>
              <w:tabs>
                <w:tab w:val="decimal" w:pos="404"/>
              </w:tabs>
              <w:jc w:val="right"/>
              <w:rPr>
                <w:color w:val="000000"/>
                <w:sz w:val="18"/>
                <w:szCs w:val="20"/>
              </w:rPr>
            </w:pPr>
            <w:r>
              <w:rPr>
                <w:color w:val="000000"/>
                <w:sz w:val="18"/>
                <w:szCs w:val="20"/>
              </w:rPr>
              <w:t>83,7</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90,1</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92,2</w:t>
            </w:r>
          </w:p>
        </w:tc>
        <w:tc>
          <w:tcPr>
            <w:tcW w:w="319" w:type="pct"/>
            <w:noWrap/>
            <w:vAlign w:val="bottom"/>
          </w:tcPr>
          <w:p w:rsidR="00000000" w:rsidRDefault="00000000">
            <w:pPr>
              <w:tabs>
                <w:tab w:val="decimal" w:pos="404"/>
              </w:tabs>
              <w:jc w:val="right"/>
              <w:rPr>
                <w:color w:val="000000"/>
                <w:sz w:val="18"/>
                <w:szCs w:val="20"/>
              </w:rPr>
            </w:pPr>
            <w:r>
              <w:rPr>
                <w:color w:val="000000"/>
                <w:sz w:val="18"/>
                <w:szCs w:val="20"/>
              </w:rPr>
              <w:t>86,6</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Tasa de desempleo abierto</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5,2</w:t>
            </w:r>
          </w:p>
        </w:tc>
        <w:tc>
          <w:tcPr>
            <w:tcW w:w="343" w:type="pct"/>
            <w:noWrap/>
            <w:vAlign w:val="bottom"/>
          </w:tcPr>
          <w:p w:rsidR="00000000" w:rsidRDefault="00000000">
            <w:pPr>
              <w:tabs>
                <w:tab w:val="decimal" w:pos="404"/>
              </w:tabs>
              <w:jc w:val="right"/>
              <w:rPr>
                <w:color w:val="000000"/>
                <w:sz w:val="18"/>
                <w:szCs w:val="20"/>
              </w:rPr>
            </w:pPr>
            <w:r>
              <w:rPr>
                <w:color w:val="000000"/>
                <w:sz w:val="18"/>
                <w:szCs w:val="20"/>
              </w:rPr>
              <w:t>4,6</w:t>
            </w:r>
          </w:p>
        </w:tc>
        <w:tc>
          <w:tcPr>
            <w:tcW w:w="332" w:type="pct"/>
            <w:noWrap/>
            <w:vAlign w:val="bottom"/>
          </w:tcPr>
          <w:p w:rsidR="00000000" w:rsidRDefault="00000000">
            <w:pPr>
              <w:tabs>
                <w:tab w:val="decimal" w:pos="404"/>
              </w:tabs>
              <w:jc w:val="right"/>
              <w:rPr>
                <w:color w:val="000000"/>
                <w:sz w:val="18"/>
                <w:szCs w:val="20"/>
              </w:rPr>
            </w:pPr>
            <w:r>
              <w:rPr>
                <w:color w:val="000000"/>
                <w:sz w:val="18"/>
                <w:szCs w:val="20"/>
              </w:rPr>
              <w:t>6,0</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10,1</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9,0</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11,9</w:t>
            </w:r>
          </w:p>
        </w:tc>
        <w:tc>
          <w:tcPr>
            <w:tcW w:w="341" w:type="pct"/>
            <w:noWrap/>
            <w:vAlign w:val="bottom"/>
          </w:tcPr>
          <w:p w:rsidR="00000000" w:rsidRDefault="00000000">
            <w:pPr>
              <w:tabs>
                <w:tab w:val="decimal" w:pos="404"/>
              </w:tabs>
              <w:jc w:val="right"/>
              <w:rPr>
                <w:color w:val="000000"/>
                <w:sz w:val="18"/>
                <w:szCs w:val="20"/>
              </w:rPr>
            </w:pPr>
            <w:r>
              <w:rPr>
                <w:color w:val="000000"/>
                <w:sz w:val="18"/>
                <w:szCs w:val="20"/>
              </w:rPr>
              <w:t>11,7</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8,7</w:t>
            </w:r>
          </w:p>
        </w:tc>
        <w:tc>
          <w:tcPr>
            <w:tcW w:w="342" w:type="pct"/>
            <w:noWrap/>
            <w:vAlign w:val="bottom"/>
          </w:tcPr>
          <w:p w:rsidR="00000000" w:rsidRDefault="00000000">
            <w:pPr>
              <w:tabs>
                <w:tab w:val="decimal" w:pos="404"/>
              </w:tabs>
              <w:jc w:val="right"/>
              <w:rPr>
                <w:color w:val="000000"/>
                <w:sz w:val="18"/>
                <w:szCs w:val="20"/>
              </w:rPr>
            </w:pPr>
            <w:r>
              <w:rPr>
                <w:color w:val="000000"/>
                <w:sz w:val="18"/>
                <w:szCs w:val="20"/>
              </w:rPr>
              <w:t>16,3</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9,9</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7,8</w:t>
            </w:r>
          </w:p>
        </w:tc>
        <w:tc>
          <w:tcPr>
            <w:tcW w:w="319" w:type="pct"/>
            <w:noWrap/>
            <w:vAlign w:val="bottom"/>
          </w:tcPr>
          <w:p w:rsidR="00000000" w:rsidRDefault="00000000">
            <w:pPr>
              <w:tabs>
                <w:tab w:val="decimal" w:pos="404"/>
              </w:tabs>
              <w:jc w:val="right"/>
              <w:rPr>
                <w:color w:val="000000"/>
                <w:sz w:val="18"/>
                <w:szCs w:val="20"/>
              </w:rPr>
            </w:pPr>
            <w:r>
              <w:rPr>
                <w:color w:val="000000"/>
                <w:sz w:val="18"/>
                <w:szCs w:val="20"/>
              </w:rPr>
              <w:t>13,4</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Tasa de desempleo oculto</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3,4</w:t>
            </w:r>
          </w:p>
        </w:tc>
        <w:tc>
          <w:tcPr>
            <w:tcW w:w="343" w:type="pct"/>
            <w:noWrap/>
            <w:vAlign w:val="bottom"/>
          </w:tcPr>
          <w:p w:rsidR="00000000" w:rsidRDefault="00000000">
            <w:pPr>
              <w:tabs>
                <w:tab w:val="decimal" w:pos="404"/>
              </w:tabs>
              <w:jc w:val="right"/>
              <w:rPr>
                <w:color w:val="000000"/>
                <w:sz w:val="18"/>
                <w:szCs w:val="20"/>
              </w:rPr>
            </w:pPr>
            <w:r>
              <w:rPr>
                <w:color w:val="000000"/>
                <w:sz w:val="18"/>
                <w:szCs w:val="20"/>
              </w:rPr>
              <w:t>2,0</w:t>
            </w:r>
          </w:p>
        </w:tc>
        <w:tc>
          <w:tcPr>
            <w:tcW w:w="332" w:type="pct"/>
            <w:noWrap/>
            <w:vAlign w:val="bottom"/>
          </w:tcPr>
          <w:p w:rsidR="00000000" w:rsidRDefault="00000000">
            <w:pPr>
              <w:tabs>
                <w:tab w:val="decimal" w:pos="404"/>
              </w:tabs>
              <w:jc w:val="right"/>
              <w:rPr>
                <w:color w:val="000000"/>
                <w:sz w:val="18"/>
                <w:szCs w:val="20"/>
              </w:rPr>
            </w:pPr>
            <w:r>
              <w:rPr>
                <w:color w:val="000000"/>
                <w:sz w:val="18"/>
                <w:szCs w:val="20"/>
              </w:rPr>
              <w:t>5,3</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13,3</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7,6</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21,6</w:t>
            </w:r>
          </w:p>
        </w:tc>
        <w:tc>
          <w:tcPr>
            <w:tcW w:w="341" w:type="pct"/>
            <w:noWrap/>
            <w:vAlign w:val="bottom"/>
          </w:tcPr>
          <w:p w:rsidR="00000000" w:rsidRDefault="00000000">
            <w:pPr>
              <w:tabs>
                <w:tab w:val="decimal" w:pos="404"/>
              </w:tabs>
              <w:jc w:val="right"/>
              <w:rPr>
                <w:color w:val="000000"/>
                <w:sz w:val="18"/>
                <w:szCs w:val="20"/>
              </w:rPr>
            </w:pPr>
            <w:r>
              <w:rPr>
                <w:color w:val="000000"/>
                <w:sz w:val="18"/>
                <w:szCs w:val="20"/>
              </w:rPr>
              <w:t>5,4</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3,2</w:t>
            </w:r>
          </w:p>
        </w:tc>
        <w:tc>
          <w:tcPr>
            <w:tcW w:w="342" w:type="pct"/>
            <w:noWrap/>
            <w:vAlign w:val="bottom"/>
          </w:tcPr>
          <w:p w:rsidR="00000000" w:rsidRDefault="00000000">
            <w:pPr>
              <w:tabs>
                <w:tab w:val="decimal" w:pos="404"/>
              </w:tabs>
              <w:jc w:val="right"/>
              <w:rPr>
                <w:color w:val="000000"/>
                <w:sz w:val="18"/>
                <w:szCs w:val="20"/>
              </w:rPr>
            </w:pPr>
            <w:r>
              <w:rPr>
                <w:color w:val="000000"/>
                <w:sz w:val="18"/>
                <w:szCs w:val="20"/>
              </w:rPr>
              <w:t>8,6</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5,4</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3,4</w:t>
            </w:r>
          </w:p>
        </w:tc>
        <w:tc>
          <w:tcPr>
            <w:tcW w:w="319" w:type="pct"/>
            <w:noWrap/>
            <w:vAlign w:val="bottom"/>
          </w:tcPr>
          <w:p w:rsidR="00000000" w:rsidRDefault="00000000">
            <w:pPr>
              <w:tabs>
                <w:tab w:val="decimal" w:pos="404"/>
              </w:tabs>
              <w:jc w:val="right"/>
              <w:rPr>
                <w:color w:val="000000"/>
                <w:sz w:val="18"/>
                <w:szCs w:val="20"/>
              </w:rPr>
            </w:pPr>
            <w:r>
              <w:rPr>
                <w:color w:val="000000"/>
                <w:sz w:val="18"/>
                <w:szCs w:val="20"/>
              </w:rPr>
              <w:t>8,5</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Tasa de subocupación total</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22,4</w:t>
            </w:r>
          </w:p>
        </w:tc>
        <w:tc>
          <w:tcPr>
            <w:tcW w:w="343" w:type="pct"/>
            <w:noWrap/>
            <w:vAlign w:val="bottom"/>
          </w:tcPr>
          <w:p w:rsidR="00000000" w:rsidRDefault="00000000">
            <w:pPr>
              <w:tabs>
                <w:tab w:val="decimal" w:pos="404"/>
              </w:tabs>
              <w:jc w:val="right"/>
              <w:rPr>
                <w:color w:val="000000"/>
                <w:sz w:val="18"/>
                <w:szCs w:val="20"/>
              </w:rPr>
            </w:pPr>
            <w:r>
              <w:rPr>
                <w:color w:val="000000"/>
                <w:sz w:val="18"/>
                <w:szCs w:val="20"/>
              </w:rPr>
              <w:t>19,8</w:t>
            </w:r>
          </w:p>
        </w:tc>
        <w:tc>
          <w:tcPr>
            <w:tcW w:w="332" w:type="pct"/>
            <w:noWrap/>
            <w:vAlign w:val="bottom"/>
          </w:tcPr>
          <w:p w:rsidR="00000000" w:rsidRDefault="00000000">
            <w:pPr>
              <w:tabs>
                <w:tab w:val="decimal" w:pos="404"/>
              </w:tabs>
              <w:jc w:val="right"/>
              <w:rPr>
                <w:color w:val="000000"/>
                <w:sz w:val="18"/>
                <w:szCs w:val="20"/>
              </w:rPr>
            </w:pPr>
            <w:r>
              <w:rPr>
                <w:color w:val="000000"/>
                <w:sz w:val="18"/>
                <w:szCs w:val="20"/>
              </w:rPr>
              <w:t>26,2</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23,4</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20,4</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28,4</w:t>
            </w:r>
          </w:p>
        </w:tc>
        <w:tc>
          <w:tcPr>
            <w:tcW w:w="341" w:type="pct"/>
            <w:noWrap/>
            <w:vAlign w:val="bottom"/>
          </w:tcPr>
          <w:p w:rsidR="00000000" w:rsidRDefault="00000000">
            <w:pPr>
              <w:tabs>
                <w:tab w:val="decimal" w:pos="404"/>
              </w:tabs>
              <w:jc w:val="right"/>
              <w:rPr>
                <w:color w:val="000000"/>
                <w:sz w:val="18"/>
                <w:szCs w:val="20"/>
              </w:rPr>
            </w:pPr>
            <w:r>
              <w:rPr>
                <w:color w:val="000000"/>
                <w:sz w:val="18"/>
                <w:szCs w:val="20"/>
              </w:rPr>
              <w:t>32,5</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29,6</w:t>
            </w:r>
          </w:p>
        </w:tc>
        <w:tc>
          <w:tcPr>
            <w:tcW w:w="342" w:type="pct"/>
            <w:noWrap/>
            <w:vAlign w:val="bottom"/>
          </w:tcPr>
          <w:p w:rsidR="00000000" w:rsidRDefault="00000000">
            <w:pPr>
              <w:tabs>
                <w:tab w:val="decimal" w:pos="404"/>
              </w:tabs>
              <w:jc w:val="right"/>
              <w:rPr>
                <w:color w:val="000000"/>
                <w:sz w:val="18"/>
                <w:szCs w:val="20"/>
              </w:rPr>
            </w:pPr>
            <w:r>
              <w:rPr>
                <w:color w:val="000000"/>
                <w:sz w:val="18"/>
                <w:szCs w:val="20"/>
              </w:rPr>
              <w:t>37,1</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35,5</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32,1</w:t>
            </w:r>
          </w:p>
        </w:tc>
        <w:tc>
          <w:tcPr>
            <w:tcW w:w="319" w:type="pct"/>
            <w:noWrap/>
            <w:vAlign w:val="bottom"/>
          </w:tcPr>
          <w:p w:rsidR="00000000" w:rsidRDefault="00000000">
            <w:pPr>
              <w:tabs>
                <w:tab w:val="decimal" w:pos="404"/>
              </w:tabs>
              <w:jc w:val="right"/>
              <w:rPr>
                <w:color w:val="000000"/>
                <w:sz w:val="18"/>
                <w:szCs w:val="20"/>
              </w:rPr>
            </w:pPr>
            <w:r>
              <w:rPr>
                <w:color w:val="000000"/>
                <w:sz w:val="18"/>
                <w:szCs w:val="20"/>
              </w:rPr>
              <w:t>41,0</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Tasa de subocupación visible</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6,4</w:t>
            </w:r>
          </w:p>
        </w:tc>
        <w:tc>
          <w:tcPr>
            <w:tcW w:w="343" w:type="pct"/>
            <w:noWrap/>
            <w:vAlign w:val="bottom"/>
          </w:tcPr>
          <w:p w:rsidR="00000000" w:rsidRDefault="00000000">
            <w:pPr>
              <w:tabs>
                <w:tab w:val="decimal" w:pos="404"/>
              </w:tabs>
              <w:jc w:val="right"/>
              <w:rPr>
                <w:color w:val="000000"/>
                <w:sz w:val="18"/>
                <w:szCs w:val="20"/>
              </w:rPr>
            </w:pPr>
            <w:r>
              <w:rPr>
                <w:color w:val="000000"/>
                <w:sz w:val="18"/>
                <w:szCs w:val="20"/>
              </w:rPr>
              <w:t>4,3</w:t>
            </w:r>
          </w:p>
        </w:tc>
        <w:tc>
          <w:tcPr>
            <w:tcW w:w="332" w:type="pct"/>
            <w:noWrap/>
            <w:vAlign w:val="bottom"/>
          </w:tcPr>
          <w:p w:rsidR="00000000" w:rsidRDefault="00000000">
            <w:pPr>
              <w:tabs>
                <w:tab w:val="decimal" w:pos="404"/>
              </w:tabs>
              <w:jc w:val="right"/>
              <w:rPr>
                <w:color w:val="000000"/>
                <w:sz w:val="18"/>
                <w:szCs w:val="20"/>
              </w:rPr>
            </w:pPr>
            <w:r>
              <w:rPr>
                <w:color w:val="000000"/>
                <w:sz w:val="18"/>
                <w:szCs w:val="20"/>
              </w:rPr>
              <w:t>9,4</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6,2</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4,3</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9,4</w:t>
            </w:r>
          </w:p>
        </w:tc>
        <w:tc>
          <w:tcPr>
            <w:tcW w:w="341" w:type="pct"/>
            <w:noWrap/>
            <w:vAlign w:val="bottom"/>
          </w:tcPr>
          <w:p w:rsidR="00000000" w:rsidRDefault="00000000">
            <w:pPr>
              <w:tabs>
                <w:tab w:val="decimal" w:pos="404"/>
              </w:tabs>
              <w:jc w:val="right"/>
              <w:rPr>
                <w:color w:val="000000"/>
                <w:sz w:val="18"/>
                <w:szCs w:val="20"/>
              </w:rPr>
            </w:pPr>
            <w:r>
              <w:rPr>
                <w:color w:val="000000"/>
                <w:sz w:val="18"/>
                <w:szCs w:val="20"/>
              </w:rPr>
              <w:t>8,6</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6,6</w:t>
            </w:r>
          </w:p>
        </w:tc>
        <w:tc>
          <w:tcPr>
            <w:tcW w:w="342" w:type="pct"/>
            <w:noWrap/>
            <w:vAlign w:val="bottom"/>
          </w:tcPr>
          <w:p w:rsidR="00000000" w:rsidRDefault="00000000">
            <w:pPr>
              <w:tabs>
                <w:tab w:val="decimal" w:pos="404"/>
              </w:tabs>
              <w:jc w:val="right"/>
              <w:rPr>
                <w:color w:val="000000"/>
                <w:sz w:val="18"/>
                <w:szCs w:val="20"/>
              </w:rPr>
            </w:pPr>
            <w:r>
              <w:rPr>
                <w:color w:val="000000"/>
                <w:sz w:val="18"/>
                <w:szCs w:val="20"/>
              </w:rPr>
              <w:t>11,7</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7,5</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5,5</w:t>
            </w:r>
          </w:p>
        </w:tc>
        <w:tc>
          <w:tcPr>
            <w:tcW w:w="319" w:type="pct"/>
            <w:noWrap/>
            <w:vAlign w:val="bottom"/>
          </w:tcPr>
          <w:p w:rsidR="00000000" w:rsidRDefault="00000000">
            <w:pPr>
              <w:tabs>
                <w:tab w:val="decimal" w:pos="404"/>
              </w:tabs>
              <w:jc w:val="right"/>
              <w:rPr>
                <w:color w:val="000000"/>
                <w:sz w:val="18"/>
                <w:szCs w:val="20"/>
              </w:rPr>
            </w:pPr>
            <w:r>
              <w:rPr>
                <w:color w:val="000000"/>
                <w:sz w:val="18"/>
                <w:szCs w:val="20"/>
              </w:rPr>
              <w:t>10,9</w:t>
            </w:r>
          </w:p>
        </w:tc>
      </w:tr>
      <w:tr w:rsidR="00000000">
        <w:trPr>
          <w:trHeight w:val="20"/>
          <w:jc w:val="center"/>
        </w:trPr>
        <w:tc>
          <w:tcPr>
            <w:tcW w:w="1024" w:type="pct"/>
            <w:noWrap/>
            <w:vAlign w:val="bottom"/>
          </w:tcPr>
          <w:p w:rsidR="00000000" w:rsidRDefault="00000000">
            <w:pPr>
              <w:rPr>
                <w:color w:val="000000"/>
                <w:sz w:val="18"/>
                <w:szCs w:val="20"/>
              </w:rPr>
            </w:pPr>
            <w:r>
              <w:rPr>
                <w:color w:val="000000"/>
                <w:sz w:val="18"/>
                <w:szCs w:val="20"/>
              </w:rPr>
              <w:t>Tasa de subocupación invisible</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16,1</w:t>
            </w:r>
          </w:p>
        </w:tc>
        <w:tc>
          <w:tcPr>
            <w:tcW w:w="343" w:type="pct"/>
            <w:noWrap/>
            <w:vAlign w:val="bottom"/>
          </w:tcPr>
          <w:p w:rsidR="00000000" w:rsidRDefault="00000000">
            <w:pPr>
              <w:tabs>
                <w:tab w:val="decimal" w:pos="404"/>
              </w:tabs>
              <w:jc w:val="right"/>
              <w:rPr>
                <w:color w:val="000000"/>
                <w:sz w:val="18"/>
                <w:szCs w:val="20"/>
              </w:rPr>
            </w:pPr>
            <w:r>
              <w:rPr>
                <w:color w:val="000000"/>
                <w:sz w:val="18"/>
                <w:szCs w:val="20"/>
              </w:rPr>
              <w:t>15,5</w:t>
            </w:r>
          </w:p>
        </w:tc>
        <w:tc>
          <w:tcPr>
            <w:tcW w:w="332" w:type="pct"/>
            <w:noWrap/>
            <w:vAlign w:val="bottom"/>
          </w:tcPr>
          <w:p w:rsidR="00000000" w:rsidRDefault="00000000">
            <w:pPr>
              <w:tabs>
                <w:tab w:val="decimal" w:pos="404"/>
              </w:tabs>
              <w:jc w:val="right"/>
              <w:rPr>
                <w:color w:val="000000"/>
                <w:sz w:val="18"/>
                <w:szCs w:val="20"/>
              </w:rPr>
            </w:pPr>
            <w:r>
              <w:rPr>
                <w:color w:val="000000"/>
                <w:sz w:val="18"/>
                <w:szCs w:val="20"/>
              </w:rPr>
              <w:t>16,8</w:t>
            </w:r>
          </w:p>
        </w:tc>
        <w:tc>
          <w:tcPr>
            <w:tcW w:w="336" w:type="pct"/>
            <w:noWrap/>
            <w:vAlign w:val="bottom"/>
          </w:tcPr>
          <w:p w:rsidR="00000000" w:rsidRDefault="00000000">
            <w:pPr>
              <w:tabs>
                <w:tab w:val="decimal" w:pos="404"/>
              </w:tabs>
              <w:jc w:val="right"/>
              <w:rPr>
                <w:color w:val="000000"/>
                <w:sz w:val="18"/>
                <w:szCs w:val="20"/>
              </w:rPr>
            </w:pPr>
            <w:r>
              <w:rPr>
                <w:color w:val="000000"/>
                <w:sz w:val="18"/>
                <w:szCs w:val="20"/>
              </w:rPr>
              <w:t>17,2</w:t>
            </w:r>
          </w:p>
        </w:tc>
        <w:tc>
          <w:tcPr>
            <w:tcW w:w="331" w:type="pct"/>
            <w:noWrap/>
            <w:vAlign w:val="bottom"/>
          </w:tcPr>
          <w:p w:rsidR="00000000" w:rsidRDefault="00000000">
            <w:pPr>
              <w:tabs>
                <w:tab w:val="decimal" w:pos="404"/>
              </w:tabs>
              <w:jc w:val="right"/>
              <w:rPr>
                <w:color w:val="000000"/>
                <w:sz w:val="18"/>
                <w:szCs w:val="20"/>
              </w:rPr>
            </w:pPr>
            <w:r>
              <w:rPr>
                <w:color w:val="000000"/>
                <w:sz w:val="18"/>
                <w:szCs w:val="20"/>
              </w:rPr>
              <w:t>16,1</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19,0</w:t>
            </w:r>
          </w:p>
        </w:tc>
        <w:tc>
          <w:tcPr>
            <w:tcW w:w="341" w:type="pct"/>
            <w:noWrap/>
            <w:vAlign w:val="bottom"/>
          </w:tcPr>
          <w:p w:rsidR="00000000" w:rsidRDefault="00000000">
            <w:pPr>
              <w:tabs>
                <w:tab w:val="decimal" w:pos="404"/>
              </w:tabs>
              <w:jc w:val="right"/>
              <w:rPr>
                <w:color w:val="000000"/>
                <w:sz w:val="18"/>
                <w:szCs w:val="20"/>
              </w:rPr>
            </w:pPr>
            <w:r>
              <w:rPr>
                <w:color w:val="000000"/>
                <w:sz w:val="18"/>
                <w:szCs w:val="20"/>
              </w:rPr>
              <w:t>23,9</w:t>
            </w:r>
          </w:p>
        </w:tc>
        <w:tc>
          <w:tcPr>
            <w:tcW w:w="327" w:type="pct"/>
            <w:noWrap/>
            <w:vAlign w:val="bottom"/>
          </w:tcPr>
          <w:p w:rsidR="00000000" w:rsidRDefault="00000000">
            <w:pPr>
              <w:tabs>
                <w:tab w:val="decimal" w:pos="404"/>
              </w:tabs>
              <w:jc w:val="right"/>
              <w:rPr>
                <w:color w:val="000000"/>
                <w:sz w:val="18"/>
                <w:szCs w:val="20"/>
              </w:rPr>
            </w:pPr>
            <w:r>
              <w:rPr>
                <w:color w:val="000000"/>
                <w:sz w:val="18"/>
                <w:szCs w:val="20"/>
              </w:rPr>
              <w:t>23,0</w:t>
            </w:r>
          </w:p>
        </w:tc>
        <w:tc>
          <w:tcPr>
            <w:tcW w:w="342" w:type="pct"/>
            <w:noWrap/>
            <w:vAlign w:val="bottom"/>
          </w:tcPr>
          <w:p w:rsidR="00000000" w:rsidRDefault="00000000">
            <w:pPr>
              <w:tabs>
                <w:tab w:val="decimal" w:pos="404"/>
              </w:tabs>
              <w:jc w:val="right"/>
              <w:rPr>
                <w:color w:val="000000"/>
                <w:sz w:val="18"/>
                <w:szCs w:val="20"/>
              </w:rPr>
            </w:pPr>
            <w:r>
              <w:rPr>
                <w:color w:val="000000"/>
                <w:sz w:val="18"/>
                <w:szCs w:val="20"/>
              </w:rPr>
              <w:t>25,4</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28,0</w:t>
            </w:r>
          </w:p>
        </w:tc>
        <w:tc>
          <w:tcPr>
            <w:tcW w:w="326" w:type="pct"/>
            <w:noWrap/>
            <w:vAlign w:val="bottom"/>
          </w:tcPr>
          <w:p w:rsidR="00000000" w:rsidRDefault="00000000">
            <w:pPr>
              <w:tabs>
                <w:tab w:val="decimal" w:pos="404"/>
              </w:tabs>
              <w:jc w:val="right"/>
              <w:rPr>
                <w:color w:val="000000"/>
                <w:sz w:val="18"/>
                <w:szCs w:val="20"/>
              </w:rPr>
            </w:pPr>
            <w:r>
              <w:rPr>
                <w:color w:val="000000"/>
                <w:sz w:val="18"/>
                <w:szCs w:val="20"/>
              </w:rPr>
              <w:t>26,7</w:t>
            </w:r>
          </w:p>
        </w:tc>
        <w:tc>
          <w:tcPr>
            <w:tcW w:w="319" w:type="pct"/>
            <w:noWrap/>
            <w:vAlign w:val="bottom"/>
          </w:tcPr>
          <w:p w:rsidR="00000000" w:rsidRDefault="00000000">
            <w:pPr>
              <w:tabs>
                <w:tab w:val="decimal" w:pos="404"/>
              </w:tabs>
              <w:jc w:val="right"/>
              <w:rPr>
                <w:color w:val="000000"/>
                <w:sz w:val="18"/>
                <w:szCs w:val="20"/>
              </w:rPr>
            </w:pPr>
            <w:r>
              <w:rPr>
                <w:color w:val="000000"/>
                <w:sz w:val="18"/>
                <w:szCs w:val="20"/>
              </w:rPr>
              <w:t>30,1</w:t>
            </w:r>
          </w:p>
        </w:tc>
      </w:tr>
    </w:tbl>
    <w:p w:rsidR="00000000" w:rsidRDefault="00000000">
      <w:pPr>
        <w:spacing w:before="200"/>
        <w:rPr>
          <w:color w:val="000000"/>
          <w:sz w:val="18"/>
          <w:szCs w:val="16"/>
        </w:rPr>
      </w:pPr>
      <w:r>
        <w:rPr>
          <w:i/>
          <w:iCs/>
          <w:color w:val="000000"/>
          <w:sz w:val="18"/>
          <w:szCs w:val="16"/>
        </w:rPr>
        <w:t>Fuente:</w:t>
      </w:r>
      <w:r>
        <w:rPr>
          <w:color w:val="000000"/>
          <w:sz w:val="18"/>
          <w:szCs w:val="16"/>
        </w:rPr>
        <w:t xml:space="preserve">  STP/DGEEC.  Encuesta permanente de hogares 1995, 1999, 2004, 2005.</w:t>
      </w:r>
    </w:p>
    <w:p w:rsidR="00000000" w:rsidRDefault="00000000">
      <w:pPr>
        <w:spacing w:before="200"/>
        <w:rPr>
          <w:color w:val="000000"/>
          <w:sz w:val="18"/>
          <w:szCs w:val="16"/>
        </w:rPr>
      </w:pPr>
      <w:r>
        <w:rPr>
          <w:b/>
          <w:bCs/>
          <w:color w:val="000000"/>
          <w:sz w:val="18"/>
          <w:szCs w:val="16"/>
        </w:rPr>
        <w:t>*</w:t>
      </w:r>
      <w:r>
        <w:rPr>
          <w:color w:val="000000"/>
          <w:sz w:val="18"/>
          <w:szCs w:val="16"/>
        </w:rPr>
        <w:t xml:space="preserve"> En la EPH 1995-1999, los datos están ajustados a los resultados del Censo 2002.</w:t>
      </w:r>
    </w:p>
    <w:p w:rsidR="00000000" w:rsidRDefault="00000000">
      <w:pPr>
        <w:spacing w:before="200"/>
        <w:rPr>
          <w:color w:val="000000"/>
          <w:u w:val="single"/>
        </w:rPr>
      </w:pPr>
      <w:r>
        <w:rPr>
          <w:b/>
          <w:bCs/>
          <w:color w:val="000000"/>
          <w:sz w:val="18"/>
          <w:szCs w:val="16"/>
        </w:rPr>
        <w:t>**</w:t>
      </w:r>
      <w:r>
        <w:rPr>
          <w:color w:val="000000"/>
          <w:sz w:val="18"/>
          <w:szCs w:val="16"/>
        </w:rPr>
        <w:t xml:space="preserve"> Población de 15 a 29 años de edad.</w:t>
      </w:r>
    </w:p>
    <w:p w:rsidR="00000000" w:rsidRDefault="00000000">
      <w:pPr>
        <w:spacing w:after="240"/>
        <w:sectPr w:rsidR="00000000">
          <w:headerReference w:type="even" r:id="rId20"/>
          <w:headerReference w:type="default" r:id="rId21"/>
          <w:headerReference w:type="first" r:id="rId22"/>
          <w:pgSz w:w="16838" w:h="11906" w:orient="landscape" w:code="9"/>
          <w:pgMar w:top="1701" w:right="1701" w:bottom="1701" w:left="1701" w:header="851" w:footer="567" w:gutter="0"/>
          <w:cols w:space="708"/>
          <w:docGrid w:linePitch="360"/>
        </w:sectPr>
      </w:pPr>
    </w:p>
    <w:p w:rsidR="00000000" w:rsidRDefault="00000000">
      <w:pPr>
        <w:spacing w:after="240"/>
        <w:rPr>
          <w:b/>
          <w:color w:val="000000"/>
        </w:rPr>
      </w:pPr>
      <w:r>
        <w:rPr>
          <w:b/>
          <w:color w:val="000000"/>
        </w:rPr>
        <w:tab/>
        <w:t>4.2.</w:t>
      </w:r>
      <w:r>
        <w:rPr>
          <w:b/>
          <w:color w:val="000000"/>
        </w:rPr>
        <w:tab/>
        <w:t>Distribución de ingresos y alcance de la pobreza</w:t>
      </w:r>
    </w:p>
    <w:p w:rsidR="00000000" w:rsidRDefault="00000000">
      <w:pPr>
        <w:spacing w:after="240"/>
        <w:jc w:val="center"/>
        <w:rPr>
          <w:b/>
          <w:color w:val="000000"/>
          <w:sz w:val="22"/>
        </w:rPr>
      </w:pPr>
      <w:r>
        <w:rPr>
          <w:b/>
          <w:bCs/>
          <w:color w:val="000000"/>
          <w:sz w:val="22"/>
          <w:szCs w:val="20"/>
        </w:rPr>
        <w:t>Indicadores de ingresos y pobreza</w:t>
      </w: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13"/>
        <w:gridCol w:w="957"/>
        <w:gridCol w:w="957"/>
        <w:gridCol w:w="957"/>
        <w:gridCol w:w="957"/>
      </w:tblGrid>
      <w:tr w:rsidR="00000000">
        <w:trPr>
          <w:trHeight w:val="20"/>
          <w:jc w:val="center"/>
        </w:trPr>
        <w:tc>
          <w:tcPr>
            <w:tcW w:w="5513" w:type="dxa"/>
            <w:vAlign w:val="center"/>
          </w:tcPr>
          <w:p w:rsidR="00000000" w:rsidRDefault="00000000">
            <w:pPr>
              <w:jc w:val="center"/>
              <w:rPr>
                <w:b/>
                <w:bCs/>
                <w:color w:val="000000"/>
                <w:sz w:val="22"/>
                <w:szCs w:val="20"/>
              </w:rPr>
            </w:pPr>
          </w:p>
        </w:tc>
        <w:tc>
          <w:tcPr>
            <w:tcW w:w="957" w:type="dxa"/>
            <w:vAlign w:val="center"/>
          </w:tcPr>
          <w:p w:rsidR="00000000" w:rsidRDefault="00000000">
            <w:pPr>
              <w:jc w:val="center"/>
              <w:rPr>
                <w:b/>
                <w:bCs/>
                <w:color w:val="000000"/>
                <w:sz w:val="22"/>
                <w:szCs w:val="20"/>
              </w:rPr>
            </w:pPr>
            <w:r>
              <w:rPr>
                <w:b/>
                <w:bCs/>
                <w:color w:val="000000"/>
                <w:sz w:val="22"/>
                <w:szCs w:val="20"/>
              </w:rPr>
              <w:t>1995</w:t>
            </w:r>
          </w:p>
        </w:tc>
        <w:tc>
          <w:tcPr>
            <w:tcW w:w="957" w:type="dxa"/>
            <w:vAlign w:val="center"/>
          </w:tcPr>
          <w:p w:rsidR="00000000" w:rsidRDefault="00000000">
            <w:pPr>
              <w:jc w:val="center"/>
              <w:rPr>
                <w:b/>
                <w:bCs/>
                <w:color w:val="000000"/>
                <w:sz w:val="22"/>
                <w:szCs w:val="20"/>
              </w:rPr>
            </w:pPr>
            <w:r>
              <w:rPr>
                <w:b/>
                <w:bCs/>
                <w:color w:val="000000"/>
                <w:sz w:val="22"/>
                <w:szCs w:val="20"/>
              </w:rPr>
              <w:t>1999</w:t>
            </w:r>
          </w:p>
        </w:tc>
        <w:tc>
          <w:tcPr>
            <w:tcW w:w="957" w:type="dxa"/>
            <w:vAlign w:val="center"/>
          </w:tcPr>
          <w:p w:rsidR="00000000" w:rsidRDefault="00000000">
            <w:pPr>
              <w:jc w:val="center"/>
              <w:rPr>
                <w:b/>
                <w:bCs/>
                <w:color w:val="000000"/>
                <w:sz w:val="22"/>
                <w:szCs w:val="20"/>
              </w:rPr>
            </w:pPr>
            <w:r>
              <w:rPr>
                <w:b/>
                <w:bCs/>
                <w:color w:val="000000"/>
                <w:sz w:val="22"/>
                <w:szCs w:val="20"/>
              </w:rPr>
              <w:t>2004</w:t>
            </w:r>
          </w:p>
        </w:tc>
        <w:tc>
          <w:tcPr>
            <w:tcW w:w="957" w:type="dxa"/>
            <w:vAlign w:val="center"/>
          </w:tcPr>
          <w:p w:rsidR="00000000" w:rsidRDefault="00000000">
            <w:pPr>
              <w:jc w:val="center"/>
              <w:rPr>
                <w:b/>
                <w:bCs/>
                <w:color w:val="000000"/>
                <w:sz w:val="22"/>
                <w:szCs w:val="20"/>
              </w:rPr>
            </w:pPr>
            <w:r>
              <w:rPr>
                <w:b/>
                <w:bCs/>
                <w:color w:val="000000"/>
                <w:sz w:val="22"/>
                <w:szCs w:val="20"/>
              </w:rPr>
              <w:t>2005</w:t>
            </w:r>
          </w:p>
        </w:tc>
      </w:tr>
      <w:tr w:rsidR="00000000">
        <w:trPr>
          <w:trHeight w:val="20"/>
          <w:jc w:val="center"/>
        </w:trPr>
        <w:tc>
          <w:tcPr>
            <w:tcW w:w="5513" w:type="dxa"/>
            <w:tcBorders>
              <w:bottom w:val="single" w:sz="4" w:space="0" w:color="auto"/>
            </w:tcBorders>
            <w:noWrap/>
            <w:vAlign w:val="bottom"/>
          </w:tcPr>
          <w:p w:rsidR="00000000" w:rsidRDefault="00000000">
            <w:pPr>
              <w:rPr>
                <w:color w:val="000000"/>
                <w:sz w:val="22"/>
                <w:szCs w:val="20"/>
              </w:rPr>
            </w:pPr>
            <w:r>
              <w:rPr>
                <w:color w:val="000000"/>
                <w:sz w:val="22"/>
                <w:szCs w:val="20"/>
              </w:rPr>
              <w:t>Porcentaje acumulado de ingresos de los dos primeros quintiles de ingresos (40% del total de la población)</w:t>
            </w:r>
          </w:p>
        </w:tc>
        <w:tc>
          <w:tcPr>
            <w:tcW w:w="957" w:type="dxa"/>
            <w:tcBorders>
              <w:bottom w:val="single" w:sz="4" w:space="0" w:color="auto"/>
            </w:tcBorders>
            <w:noWrap/>
            <w:vAlign w:val="bottom"/>
          </w:tcPr>
          <w:p w:rsidR="00000000" w:rsidRDefault="00000000">
            <w:pPr>
              <w:jc w:val="right"/>
              <w:rPr>
                <w:color w:val="000000"/>
                <w:sz w:val="22"/>
                <w:szCs w:val="20"/>
              </w:rPr>
            </w:pPr>
            <w:r>
              <w:rPr>
                <w:color w:val="000000"/>
                <w:sz w:val="22"/>
                <w:szCs w:val="20"/>
              </w:rPr>
              <w:t>7,4</w:t>
            </w:r>
          </w:p>
        </w:tc>
        <w:tc>
          <w:tcPr>
            <w:tcW w:w="957" w:type="dxa"/>
            <w:tcBorders>
              <w:bottom w:val="single" w:sz="4" w:space="0" w:color="auto"/>
            </w:tcBorders>
            <w:noWrap/>
            <w:vAlign w:val="bottom"/>
          </w:tcPr>
          <w:p w:rsidR="00000000" w:rsidRDefault="00000000">
            <w:pPr>
              <w:jc w:val="right"/>
              <w:rPr>
                <w:color w:val="000000"/>
                <w:sz w:val="22"/>
                <w:szCs w:val="20"/>
              </w:rPr>
            </w:pPr>
            <w:r>
              <w:rPr>
                <w:color w:val="000000"/>
                <w:sz w:val="22"/>
                <w:szCs w:val="20"/>
              </w:rPr>
              <w:t>10,4</w:t>
            </w:r>
          </w:p>
        </w:tc>
        <w:tc>
          <w:tcPr>
            <w:tcW w:w="957" w:type="dxa"/>
            <w:tcBorders>
              <w:bottom w:val="single" w:sz="4" w:space="0" w:color="auto"/>
            </w:tcBorders>
            <w:noWrap/>
            <w:vAlign w:val="bottom"/>
          </w:tcPr>
          <w:p w:rsidR="00000000" w:rsidRDefault="00000000">
            <w:pPr>
              <w:jc w:val="right"/>
              <w:rPr>
                <w:color w:val="000000"/>
                <w:sz w:val="22"/>
                <w:szCs w:val="20"/>
              </w:rPr>
            </w:pPr>
            <w:r>
              <w:rPr>
                <w:color w:val="000000"/>
                <w:sz w:val="22"/>
                <w:szCs w:val="20"/>
              </w:rPr>
              <w:t>11,5</w:t>
            </w:r>
          </w:p>
        </w:tc>
        <w:tc>
          <w:tcPr>
            <w:tcW w:w="957" w:type="dxa"/>
            <w:tcBorders>
              <w:bottom w:val="single" w:sz="4" w:space="0" w:color="auto"/>
            </w:tcBorders>
            <w:noWrap/>
            <w:vAlign w:val="bottom"/>
          </w:tcPr>
          <w:p w:rsidR="00000000" w:rsidRDefault="00000000">
            <w:pPr>
              <w:jc w:val="right"/>
              <w:rPr>
                <w:color w:val="000000"/>
                <w:sz w:val="22"/>
                <w:szCs w:val="20"/>
              </w:rPr>
            </w:pPr>
            <w:r>
              <w:rPr>
                <w:color w:val="000000"/>
                <w:sz w:val="22"/>
                <w:szCs w:val="20"/>
              </w:rPr>
              <w:t>11,2</w:t>
            </w:r>
          </w:p>
        </w:tc>
      </w:tr>
      <w:tr w:rsidR="00000000">
        <w:trPr>
          <w:trHeight w:val="20"/>
          <w:jc w:val="center"/>
        </w:trPr>
        <w:tc>
          <w:tcPr>
            <w:tcW w:w="5513" w:type="dxa"/>
            <w:noWrap/>
            <w:vAlign w:val="bottom"/>
          </w:tcPr>
          <w:p w:rsidR="00000000" w:rsidRDefault="00000000">
            <w:pPr>
              <w:ind w:firstLine="283"/>
              <w:rPr>
                <w:color w:val="000000"/>
                <w:sz w:val="22"/>
                <w:szCs w:val="20"/>
              </w:rPr>
            </w:pPr>
            <w:r>
              <w:rPr>
                <w:color w:val="000000"/>
                <w:sz w:val="22"/>
                <w:szCs w:val="20"/>
              </w:rPr>
              <w:t>Líneas de Pobreza (en Gs)</w:t>
            </w:r>
          </w:p>
        </w:tc>
        <w:tc>
          <w:tcPr>
            <w:tcW w:w="957" w:type="dxa"/>
            <w:noWrap/>
            <w:vAlign w:val="bottom"/>
          </w:tcPr>
          <w:p w:rsidR="00000000" w:rsidRDefault="00000000">
            <w:pPr>
              <w:jc w:val="right"/>
              <w:rPr>
                <w:color w:val="000000"/>
                <w:sz w:val="22"/>
                <w:szCs w:val="20"/>
              </w:rPr>
            </w:pPr>
          </w:p>
        </w:tc>
        <w:tc>
          <w:tcPr>
            <w:tcW w:w="957" w:type="dxa"/>
            <w:noWrap/>
            <w:vAlign w:val="bottom"/>
          </w:tcPr>
          <w:p w:rsidR="00000000" w:rsidRDefault="00000000">
            <w:pPr>
              <w:jc w:val="right"/>
              <w:rPr>
                <w:color w:val="000000"/>
                <w:sz w:val="22"/>
                <w:szCs w:val="20"/>
              </w:rPr>
            </w:pPr>
          </w:p>
        </w:tc>
        <w:tc>
          <w:tcPr>
            <w:tcW w:w="957" w:type="dxa"/>
            <w:noWrap/>
            <w:vAlign w:val="bottom"/>
          </w:tcPr>
          <w:p w:rsidR="00000000" w:rsidRDefault="00000000">
            <w:pPr>
              <w:jc w:val="right"/>
              <w:rPr>
                <w:color w:val="000000"/>
                <w:sz w:val="22"/>
                <w:szCs w:val="20"/>
              </w:rPr>
            </w:pPr>
          </w:p>
        </w:tc>
        <w:tc>
          <w:tcPr>
            <w:tcW w:w="957" w:type="dxa"/>
            <w:noWrap/>
            <w:vAlign w:val="bottom"/>
          </w:tcPr>
          <w:p w:rsidR="00000000" w:rsidRDefault="00000000">
            <w:pPr>
              <w:jc w:val="right"/>
              <w:rPr>
                <w:color w:val="000000"/>
                <w:sz w:val="22"/>
                <w:szCs w:val="20"/>
              </w:rPr>
            </w:pPr>
          </w:p>
        </w:tc>
      </w:tr>
      <w:tr w:rsidR="00000000">
        <w:trPr>
          <w:trHeight w:val="20"/>
          <w:jc w:val="center"/>
        </w:trPr>
        <w:tc>
          <w:tcPr>
            <w:tcW w:w="5513" w:type="dxa"/>
            <w:noWrap/>
            <w:vAlign w:val="bottom"/>
          </w:tcPr>
          <w:p w:rsidR="00000000" w:rsidRDefault="00000000">
            <w:pPr>
              <w:ind w:firstLine="525"/>
              <w:rPr>
                <w:color w:val="000000"/>
                <w:sz w:val="22"/>
                <w:szCs w:val="20"/>
              </w:rPr>
            </w:pPr>
            <w:r>
              <w:rPr>
                <w:color w:val="000000"/>
                <w:sz w:val="22"/>
                <w:szCs w:val="20"/>
              </w:rPr>
              <w:t>Asunción</w:t>
            </w:r>
          </w:p>
        </w:tc>
        <w:tc>
          <w:tcPr>
            <w:tcW w:w="957" w:type="dxa"/>
            <w:noWrap/>
            <w:vAlign w:val="bottom"/>
          </w:tcPr>
          <w:p w:rsidR="00000000" w:rsidRDefault="00000000">
            <w:pPr>
              <w:jc w:val="right"/>
              <w:rPr>
                <w:color w:val="000000"/>
                <w:sz w:val="22"/>
                <w:szCs w:val="20"/>
              </w:rPr>
            </w:pPr>
            <w:r>
              <w:rPr>
                <w:color w:val="000000"/>
                <w:sz w:val="22"/>
                <w:szCs w:val="20"/>
              </w:rPr>
              <w:t>170.394</w:t>
            </w:r>
          </w:p>
        </w:tc>
        <w:tc>
          <w:tcPr>
            <w:tcW w:w="957" w:type="dxa"/>
            <w:noWrap/>
            <w:vAlign w:val="bottom"/>
          </w:tcPr>
          <w:p w:rsidR="00000000" w:rsidRDefault="00000000">
            <w:pPr>
              <w:jc w:val="right"/>
              <w:rPr>
                <w:color w:val="000000"/>
                <w:sz w:val="22"/>
                <w:szCs w:val="20"/>
              </w:rPr>
            </w:pPr>
            <w:r>
              <w:rPr>
                <w:color w:val="000000"/>
                <w:sz w:val="22"/>
                <w:szCs w:val="20"/>
              </w:rPr>
              <w:t>235.359</w:t>
            </w:r>
          </w:p>
        </w:tc>
        <w:tc>
          <w:tcPr>
            <w:tcW w:w="957" w:type="dxa"/>
            <w:noWrap/>
            <w:vAlign w:val="bottom"/>
          </w:tcPr>
          <w:p w:rsidR="00000000" w:rsidRDefault="00000000">
            <w:pPr>
              <w:jc w:val="right"/>
              <w:rPr>
                <w:color w:val="000000"/>
                <w:sz w:val="22"/>
                <w:szCs w:val="20"/>
              </w:rPr>
            </w:pPr>
            <w:r>
              <w:rPr>
                <w:color w:val="000000"/>
                <w:sz w:val="22"/>
                <w:szCs w:val="20"/>
              </w:rPr>
              <w:t>358.822</w:t>
            </w:r>
          </w:p>
        </w:tc>
        <w:tc>
          <w:tcPr>
            <w:tcW w:w="957" w:type="dxa"/>
            <w:noWrap/>
            <w:vAlign w:val="bottom"/>
          </w:tcPr>
          <w:p w:rsidR="00000000" w:rsidRDefault="00000000">
            <w:pPr>
              <w:jc w:val="right"/>
              <w:rPr>
                <w:color w:val="000000"/>
                <w:sz w:val="22"/>
                <w:szCs w:val="20"/>
              </w:rPr>
            </w:pPr>
            <w:r>
              <w:rPr>
                <w:color w:val="000000"/>
                <w:sz w:val="22"/>
                <w:szCs w:val="20"/>
              </w:rPr>
              <w:t>400.753</w:t>
            </w:r>
          </w:p>
        </w:tc>
      </w:tr>
      <w:tr w:rsidR="00000000">
        <w:trPr>
          <w:trHeight w:val="20"/>
          <w:jc w:val="center"/>
        </w:trPr>
        <w:tc>
          <w:tcPr>
            <w:tcW w:w="5513" w:type="dxa"/>
            <w:noWrap/>
            <w:vAlign w:val="bottom"/>
          </w:tcPr>
          <w:p w:rsidR="00000000" w:rsidRDefault="00000000">
            <w:pPr>
              <w:ind w:firstLine="525"/>
              <w:rPr>
                <w:color w:val="000000"/>
                <w:sz w:val="22"/>
                <w:szCs w:val="20"/>
              </w:rPr>
            </w:pPr>
            <w:r>
              <w:rPr>
                <w:color w:val="000000"/>
                <w:sz w:val="22"/>
                <w:szCs w:val="20"/>
              </w:rPr>
              <w:t>Central urbano</w:t>
            </w:r>
          </w:p>
        </w:tc>
        <w:tc>
          <w:tcPr>
            <w:tcW w:w="957" w:type="dxa"/>
            <w:noWrap/>
            <w:vAlign w:val="bottom"/>
          </w:tcPr>
          <w:p w:rsidR="00000000" w:rsidRDefault="00000000">
            <w:pPr>
              <w:jc w:val="right"/>
              <w:rPr>
                <w:color w:val="000000"/>
                <w:sz w:val="22"/>
                <w:szCs w:val="20"/>
              </w:rPr>
            </w:pPr>
            <w:r>
              <w:rPr>
                <w:color w:val="000000"/>
                <w:sz w:val="22"/>
                <w:szCs w:val="20"/>
              </w:rPr>
              <w:t>168.658</w:t>
            </w:r>
          </w:p>
        </w:tc>
        <w:tc>
          <w:tcPr>
            <w:tcW w:w="957" w:type="dxa"/>
            <w:noWrap/>
            <w:vAlign w:val="bottom"/>
          </w:tcPr>
          <w:p w:rsidR="00000000" w:rsidRDefault="00000000">
            <w:pPr>
              <w:jc w:val="right"/>
              <w:rPr>
                <w:color w:val="000000"/>
                <w:sz w:val="22"/>
                <w:szCs w:val="20"/>
              </w:rPr>
            </w:pPr>
            <w:r>
              <w:rPr>
                <w:color w:val="000000"/>
                <w:sz w:val="22"/>
                <w:szCs w:val="20"/>
              </w:rPr>
              <w:t>232.981</w:t>
            </w:r>
          </w:p>
        </w:tc>
        <w:tc>
          <w:tcPr>
            <w:tcW w:w="957" w:type="dxa"/>
            <w:noWrap/>
            <w:vAlign w:val="bottom"/>
          </w:tcPr>
          <w:p w:rsidR="00000000" w:rsidRDefault="00000000">
            <w:pPr>
              <w:jc w:val="right"/>
              <w:rPr>
                <w:color w:val="000000"/>
                <w:sz w:val="22"/>
                <w:szCs w:val="20"/>
              </w:rPr>
            </w:pPr>
            <w:r>
              <w:rPr>
                <w:color w:val="000000"/>
                <w:sz w:val="22"/>
                <w:szCs w:val="20"/>
              </w:rPr>
              <w:t>355.181</w:t>
            </w:r>
          </w:p>
        </w:tc>
        <w:tc>
          <w:tcPr>
            <w:tcW w:w="957" w:type="dxa"/>
            <w:noWrap/>
            <w:vAlign w:val="bottom"/>
          </w:tcPr>
          <w:p w:rsidR="00000000" w:rsidRDefault="00000000">
            <w:pPr>
              <w:jc w:val="right"/>
              <w:rPr>
                <w:color w:val="000000"/>
                <w:sz w:val="22"/>
                <w:szCs w:val="20"/>
              </w:rPr>
            </w:pPr>
            <w:r>
              <w:rPr>
                <w:color w:val="000000"/>
                <w:sz w:val="22"/>
                <w:szCs w:val="20"/>
              </w:rPr>
              <w:t>396.683</w:t>
            </w:r>
          </w:p>
        </w:tc>
      </w:tr>
      <w:tr w:rsidR="00000000">
        <w:trPr>
          <w:trHeight w:val="20"/>
          <w:jc w:val="center"/>
        </w:trPr>
        <w:tc>
          <w:tcPr>
            <w:tcW w:w="5513" w:type="dxa"/>
            <w:noWrap/>
            <w:vAlign w:val="bottom"/>
          </w:tcPr>
          <w:p w:rsidR="00000000" w:rsidRDefault="00000000">
            <w:pPr>
              <w:ind w:firstLine="525"/>
              <w:rPr>
                <w:color w:val="000000"/>
                <w:sz w:val="22"/>
                <w:szCs w:val="20"/>
              </w:rPr>
            </w:pPr>
            <w:r>
              <w:rPr>
                <w:color w:val="000000"/>
                <w:sz w:val="22"/>
                <w:szCs w:val="20"/>
              </w:rPr>
              <w:t>Resto urbano</w:t>
            </w:r>
          </w:p>
        </w:tc>
        <w:tc>
          <w:tcPr>
            <w:tcW w:w="957" w:type="dxa"/>
            <w:noWrap/>
            <w:vAlign w:val="bottom"/>
          </w:tcPr>
          <w:p w:rsidR="00000000" w:rsidRDefault="00000000">
            <w:pPr>
              <w:jc w:val="right"/>
              <w:rPr>
                <w:color w:val="000000"/>
                <w:sz w:val="22"/>
                <w:szCs w:val="20"/>
              </w:rPr>
            </w:pPr>
            <w:r>
              <w:rPr>
                <w:color w:val="000000"/>
                <w:sz w:val="22"/>
                <w:szCs w:val="20"/>
              </w:rPr>
              <w:t>106.928</w:t>
            </w:r>
          </w:p>
        </w:tc>
        <w:tc>
          <w:tcPr>
            <w:tcW w:w="957" w:type="dxa"/>
            <w:noWrap/>
            <w:vAlign w:val="bottom"/>
          </w:tcPr>
          <w:p w:rsidR="00000000" w:rsidRDefault="00000000">
            <w:pPr>
              <w:jc w:val="right"/>
              <w:rPr>
                <w:color w:val="000000"/>
                <w:sz w:val="22"/>
                <w:szCs w:val="20"/>
              </w:rPr>
            </w:pPr>
            <w:r>
              <w:rPr>
                <w:color w:val="000000"/>
                <w:sz w:val="22"/>
                <w:szCs w:val="20"/>
              </w:rPr>
              <w:t>145.412</w:t>
            </w:r>
          </w:p>
        </w:tc>
        <w:tc>
          <w:tcPr>
            <w:tcW w:w="957" w:type="dxa"/>
            <w:noWrap/>
            <w:vAlign w:val="bottom"/>
          </w:tcPr>
          <w:p w:rsidR="00000000" w:rsidRDefault="00000000">
            <w:pPr>
              <w:jc w:val="right"/>
              <w:rPr>
                <w:color w:val="000000"/>
                <w:sz w:val="22"/>
                <w:szCs w:val="20"/>
              </w:rPr>
            </w:pPr>
            <w:r>
              <w:rPr>
                <w:color w:val="000000"/>
                <w:sz w:val="22"/>
                <w:szCs w:val="20"/>
              </w:rPr>
              <w:t>223.469</w:t>
            </w:r>
          </w:p>
        </w:tc>
        <w:tc>
          <w:tcPr>
            <w:tcW w:w="957" w:type="dxa"/>
            <w:noWrap/>
            <w:vAlign w:val="bottom"/>
          </w:tcPr>
          <w:p w:rsidR="00000000" w:rsidRDefault="00000000">
            <w:pPr>
              <w:jc w:val="right"/>
              <w:rPr>
                <w:color w:val="000000"/>
                <w:sz w:val="22"/>
                <w:szCs w:val="20"/>
              </w:rPr>
            </w:pPr>
            <w:r>
              <w:rPr>
                <w:color w:val="000000"/>
                <w:sz w:val="22"/>
                <w:szCs w:val="20"/>
              </w:rPr>
              <w:t>250.074</w:t>
            </w:r>
          </w:p>
        </w:tc>
      </w:tr>
      <w:tr w:rsidR="00000000">
        <w:trPr>
          <w:trHeight w:val="20"/>
          <w:jc w:val="center"/>
        </w:trPr>
        <w:tc>
          <w:tcPr>
            <w:tcW w:w="5513" w:type="dxa"/>
            <w:noWrap/>
            <w:vAlign w:val="bottom"/>
          </w:tcPr>
          <w:p w:rsidR="00000000" w:rsidRDefault="00000000">
            <w:pPr>
              <w:ind w:firstLine="525"/>
              <w:rPr>
                <w:color w:val="000000"/>
                <w:sz w:val="22"/>
                <w:szCs w:val="20"/>
              </w:rPr>
            </w:pPr>
            <w:r>
              <w:rPr>
                <w:color w:val="000000"/>
                <w:sz w:val="22"/>
                <w:szCs w:val="20"/>
              </w:rPr>
              <w:t xml:space="preserve">Área rural </w:t>
            </w:r>
          </w:p>
        </w:tc>
        <w:tc>
          <w:tcPr>
            <w:tcW w:w="957" w:type="dxa"/>
            <w:noWrap/>
            <w:vAlign w:val="bottom"/>
          </w:tcPr>
          <w:p w:rsidR="00000000" w:rsidRDefault="00000000">
            <w:pPr>
              <w:jc w:val="right"/>
              <w:rPr>
                <w:color w:val="000000"/>
                <w:sz w:val="22"/>
                <w:szCs w:val="20"/>
              </w:rPr>
            </w:pPr>
            <w:r>
              <w:rPr>
                <w:color w:val="000000"/>
                <w:sz w:val="22"/>
                <w:szCs w:val="20"/>
              </w:rPr>
              <w:t>64.996</w:t>
            </w:r>
          </w:p>
        </w:tc>
        <w:tc>
          <w:tcPr>
            <w:tcW w:w="957" w:type="dxa"/>
            <w:noWrap/>
            <w:vAlign w:val="bottom"/>
          </w:tcPr>
          <w:p w:rsidR="00000000" w:rsidRDefault="00000000">
            <w:pPr>
              <w:jc w:val="right"/>
              <w:rPr>
                <w:color w:val="000000"/>
                <w:sz w:val="22"/>
                <w:szCs w:val="20"/>
              </w:rPr>
            </w:pPr>
            <w:r>
              <w:rPr>
                <w:color w:val="000000"/>
                <w:sz w:val="22"/>
                <w:szCs w:val="20"/>
              </w:rPr>
              <w:t>87.269</w:t>
            </w:r>
          </w:p>
        </w:tc>
        <w:tc>
          <w:tcPr>
            <w:tcW w:w="957" w:type="dxa"/>
            <w:noWrap/>
            <w:vAlign w:val="bottom"/>
          </w:tcPr>
          <w:p w:rsidR="00000000" w:rsidRDefault="00000000">
            <w:pPr>
              <w:jc w:val="right"/>
              <w:rPr>
                <w:color w:val="000000"/>
                <w:sz w:val="22"/>
                <w:szCs w:val="20"/>
              </w:rPr>
            </w:pPr>
            <w:r>
              <w:rPr>
                <w:color w:val="000000"/>
                <w:sz w:val="22"/>
                <w:szCs w:val="20"/>
              </w:rPr>
              <w:t>135.000</w:t>
            </w:r>
          </w:p>
        </w:tc>
        <w:tc>
          <w:tcPr>
            <w:tcW w:w="957" w:type="dxa"/>
            <w:noWrap/>
            <w:vAlign w:val="bottom"/>
          </w:tcPr>
          <w:p w:rsidR="00000000" w:rsidRDefault="00000000">
            <w:pPr>
              <w:jc w:val="right"/>
              <w:rPr>
                <w:color w:val="000000"/>
                <w:sz w:val="22"/>
                <w:szCs w:val="20"/>
              </w:rPr>
            </w:pPr>
            <w:r>
              <w:rPr>
                <w:color w:val="000000"/>
                <w:sz w:val="22"/>
                <w:szCs w:val="20"/>
              </w:rPr>
              <w:t>151.315</w:t>
            </w:r>
          </w:p>
        </w:tc>
      </w:tr>
      <w:tr w:rsidR="00000000">
        <w:trPr>
          <w:trHeight w:val="20"/>
          <w:jc w:val="center"/>
        </w:trPr>
        <w:tc>
          <w:tcPr>
            <w:tcW w:w="5513" w:type="dxa"/>
            <w:noWrap/>
            <w:vAlign w:val="bottom"/>
          </w:tcPr>
          <w:p w:rsidR="00000000" w:rsidRDefault="00000000">
            <w:pPr>
              <w:rPr>
                <w:color w:val="000000"/>
                <w:sz w:val="22"/>
                <w:szCs w:val="20"/>
              </w:rPr>
            </w:pPr>
            <w:r>
              <w:rPr>
                <w:color w:val="000000"/>
                <w:sz w:val="22"/>
                <w:szCs w:val="20"/>
              </w:rPr>
              <w:t>Porcentaje de población en situación de pobreza</w:t>
            </w:r>
          </w:p>
        </w:tc>
        <w:tc>
          <w:tcPr>
            <w:tcW w:w="957" w:type="dxa"/>
            <w:noWrap/>
            <w:vAlign w:val="bottom"/>
          </w:tcPr>
          <w:p w:rsidR="00000000" w:rsidRDefault="00000000">
            <w:pPr>
              <w:jc w:val="right"/>
              <w:rPr>
                <w:color w:val="000000"/>
                <w:sz w:val="22"/>
                <w:szCs w:val="20"/>
              </w:rPr>
            </w:pPr>
            <w:r>
              <w:rPr>
                <w:color w:val="000000"/>
                <w:sz w:val="22"/>
                <w:szCs w:val="20"/>
              </w:rPr>
              <w:t> </w:t>
            </w:r>
          </w:p>
        </w:tc>
        <w:tc>
          <w:tcPr>
            <w:tcW w:w="957" w:type="dxa"/>
            <w:noWrap/>
            <w:vAlign w:val="bottom"/>
          </w:tcPr>
          <w:p w:rsidR="00000000" w:rsidRDefault="00000000">
            <w:pPr>
              <w:jc w:val="right"/>
              <w:rPr>
                <w:color w:val="000000"/>
                <w:sz w:val="22"/>
                <w:szCs w:val="20"/>
              </w:rPr>
            </w:pPr>
          </w:p>
        </w:tc>
        <w:tc>
          <w:tcPr>
            <w:tcW w:w="957" w:type="dxa"/>
            <w:noWrap/>
            <w:vAlign w:val="bottom"/>
          </w:tcPr>
          <w:p w:rsidR="00000000" w:rsidRDefault="00000000">
            <w:pPr>
              <w:jc w:val="right"/>
              <w:rPr>
                <w:color w:val="000000"/>
                <w:sz w:val="22"/>
                <w:szCs w:val="20"/>
              </w:rPr>
            </w:pPr>
            <w:r>
              <w:rPr>
                <w:color w:val="000000"/>
                <w:sz w:val="22"/>
                <w:szCs w:val="20"/>
              </w:rPr>
              <w:t> </w:t>
            </w:r>
          </w:p>
        </w:tc>
        <w:tc>
          <w:tcPr>
            <w:tcW w:w="957" w:type="dxa"/>
            <w:noWrap/>
            <w:vAlign w:val="bottom"/>
          </w:tcPr>
          <w:p w:rsidR="00000000" w:rsidRDefault="00000000">
            <w:pPr>
              <w:jc w:val="right"/>
              <w:rPr>
                <w:color w:val="000000"/>
                <w:sz w:val="22"/>
                <w:szCs w:val="20"/>
              </w:rPr>
            </w:pPr>
            <w:r>
              <w:rPr>
                <w:color w:val="000000"/>
                <w:sz w:val="22"/>
                <w:szCs w:val="20"/>
              </w:rPr>
              <w:t> </w:t>
            </w:r>
          </w:p>
        </w:tc>
      </w:tr>
      <w:tr w:rsidR="00000000">
        <w:trPr>
          <w:trHeight w:val="20"/>
          <w:jc w:val="center"/>
        </w:trPr>
        <w:tc>
          <w:tcPr>
            <w:tcW w:w="5513" w:type="dxa"/>
            <w:noWrap/>
            <w:vAlign w:val="bottom"/>
          </w:tcPr>
          <w:p w:rsidR="00000000" w:rsidRDefault="00000000">
            <w:pPr>
              <w:ind w:firstLine="283"/>
              <w:rPr>
                <w:color w:val="000000"/>
                <w:sz w:val="22"/>
                <w:szCs w:val="20"/>
              </w:rPr>
            </w:pPr>
            <w:r>
              <w:rPr>
                <w:color w:val="000000"/>
                <w:sz w:val="22"/>
                <w:szCs w:val="20"/>
              </w:rPr>
              <w:t>Urbana</w:t>
            </w:r>
          </w:p>
        </w:tc>
        <w:tc>
          <w:tcPr>
            <w:tcW w:w="957" w:type="dxa"/>
            <w:noWrap/>
            <w:vAlign w:val="bottom"/>
          </w:tcPr>
          <w:p w:rsidR="00000000" w:rsidRDefault="00000000">
            <w:pPr>
              <w:jc w:val="right"/>
              <w:rPr>
                <w:color w:val="000000"/>
                <w:sz w:val="22"/>
                <w:szCs w:val="20"/>
              </w:rPr>
            </w:pPr>
            <w:r>
              <w:rPr>
                <w:color w:val="000000"/>
                <w:sz w:val="22"/>
                <w:szCs w:val="20"/>
              </w:rPr>
              <w:t> </w:t>
            </w:r>
          </w:p>
        </w:tc>
        <w:tc>
          <w:tcPr>
            <w:tcW w:w="957" w:type="dxa"/>
            <w:noWrap/>
            <w:vAlign w:val="bottom"/>
          </w:tcPr>
          <w:p w:rsidR="00000000" w:rsidRDefault="00000000">
            <w:pPr>
              <w:jc w:val="right"/>
              <w:rPr>
                <w:color w:val="000000"/>
                <w:sz w:val="22"/>
                <w:szCs w:val="20"/>
              </w:rPr>
            </w:pPr>
          </w:p>
        </w:tc>
        <w:tc>
          <w:tcPr>
            <w:tcW w:w="957" w:type="dxa"/>
            <w:noWrap/>
            <w:vAlign w:val="bottom"/>
          </w:tcPr>
          <w:p w:rsidR="00000000" w:rsidRDefault="00000000">
            <w:pPr>
              <w:jc w:val="right"/>
              <w:rPr>
                <w:color w:val="000000"/>
                <w:sz w:val="22"/>
                <w:szCs w:val="20"/>
              </w:rPr>
            </w:pPr>
            <w:r>
              <w:rPr>
                <w:color w:val="000000"/>
                <w:sz w:val="22"/>
                <w:szCs w:val="20"/>
              </w:rPr>
              <w:t> </w:t>
            </w:r>
          </w:p>
        </w:tc>
        <w:tc>
          <w:tcPr>
            <w:tcW w:w="957" w:type="dxa"/>
            <w:noWrap/>
            <w:vAlign w:val="bottom"/>
          </w:tcPr>
          <w:p w:rsidR="00000000" w:rsidRDefault="00000000">
            <w:pPr>
              <w:jc w:val="right"/>
              <w:rPr>
                <w:color w:val="000000"/>
                <w:sz w:val="22"/>
                <w:szCs w:val="20"/>
              </w:rPr>
            </w:pPr>
            <w:r>
              <w:rPr>
                <w:color w:val="000000"/>
                <w:sz w:val="22"/>
                <w:szCs w:val="20"/>
              </w:rPr>
              <w:t> </w:t>
            </w:r>
          </w:p>
        </w:tc>
      </w:tr>
      <w:tr w:rsidR="00000000">
        <w:trPr>
          <w:trHeight w:val="20"/>
          <w:jc w:val="center"/>
        </w:trPr>
        <w:tc>
          <w:tcPr>
            <w:tcW w:w="5513" w:type="dxa"/>
            <w:noWrap/>
            <w:vAlign w:val="bottom"/>
          </w:tcPr>
          <w:p w:rsidR="00000000" w:rsidRDefault="00000000">
            <w:pPr>
              <w:ind w:firstLine="525"/>
              <w:rPr>
                <w:color w:val="000000"/>
                <w:sz w:val="22"/>
                <w:szCs w:val="20"/>
              </w:rPr>
            </w:pPr>
            <w:r>
              <w:rPr>
                <w:color w:val="000000"/>
                <w:sz w:val="22"/>
                <w:szCs w:val="20"/>
              </w:rPr>
              <w:t>Pobres extremos</w:t>
            </w:r>
          </w:p>
        </w:tc>
        <w:tc>
          <w:tcPr>
            <w:tcW w:w="957" w:type="dxa"/>
            <w:noWrap/>
            <w:vAlign w:val="bottom"/>
          </w:tcPr>
          <w:p w:rsidR="00000000" w:rsidRDefault="00000000">
            <w:pPr>
              <w:tabs>
                <w:tab w:val="decimal" w:pos="289"/>
              </w:tabs>
              <w:jc w:val="right"/>
              <w:rPr>
                <w:color w:val="000000"/>
                <w:sz w:val="22"/>
                <w:szCs w:val="20"/>
              </w:rPr>
            </w:pPr>
            <w:r>
              <w:rPr>
                <w:color w:val="000000"/>
                <w:sz w:val="22"/>
                <w:szCs w:val="20"/>
              </w:rPr>
              <w:t>6,8</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6,1</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12,8</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11,6</w:t>
            </w:r>
          </w:p>
        </w:tc>
      </w:tr>
      <w:tr w:rsidR="00000000">
        <w:trPr>
          <w:trHeight w:val="20"/>
          <w:jc w:val="center"/>
        </w:trPr>
        <w:tc>
          <w:tcPr>
            <w:tcW w:w="5513" w:type="dxa"/>
            <w:noWrap/>
            <w:vAlign w:val="bottom"/>
          </w:tcPr>
          <w:p w:rsidR="00000000" w:rsidRDefault="00000000">
            <w:pPr>
              <w:ind w:firstLine="525"/>
              <w:rPr>
                <w:color w:val="000000"/>
                <w:sz w:val="22"/>
                <w:szCs w:val="20"/>
              </w:rPr>
            </w:pPr>
            <w:r>
              <w:rPr>
                <w:color w:val="000000"/>
                <w:sz w:val="22"/>
                <w:szCs w:val="20"/>
              </w:rPr>
              <w:t>Pobres no extremos</w:t>
            </w:r>
          </w:p>
        </w:tc>
        <w:tc>
          <w:tcPr>
            <w:tcW w:w="957" w:type="dxa"/>
            <w:noWrap/>
            <w:vAlign w:val="bottom"/>
          </w:tcPr>
          <w:p w:rsidR="00000000" w:rsidRDefault="00000000">
            <w:pPr>
              <w:tabs>
                <w:tab w:val="decimal" w:pos="289"/>
              </w:tabs>
              <w:jc w:val="right"/>
              <w:rPr>
                <w:color w:val="000000"/>
                <w:sz w:val="22"/>
                <w:szCs w:val="20"/>
              </w:rPr>
            </w:pPr>
            <w:r>
              <w:rPr>
                <w:color w:val="000000"/>
                <w:sz w:val="22"/>
                <w:szCs w:val="20"/>
              </w:rPr>
              <w:t>16,9</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20,6</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25,7</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27,8</w:t>
            </w:r>
          </w:p>
        </w:tc>
      </w:tr>
      <w:tr w:rsidR="00000000">
        <w:trPr>
          <w:trHeight w:val="20"/>
          <w:jc w:val="center"/>
        </w:trPr>
        <w:tc>
          <w:tcPr>
            <w:tcW w:w="5513" w:type="dxa"/>
            <w:noWrap/>
            <w:vAlign w:val="bottom"/>
          </w:tcPr>
          <w:p w:rsidR="00000000" w:rsidRDefault="00000000">
            <w:pPr>
              <w:ind w:firstLine="283"/>
              <w:rPr>
                <w:b/>
                <w:bCs/>
                <w:color w:val="000000"/>
                <w:sz w:val="22"/>
                <w:szCs w:val="20"/>
              </w:rPr>
            </w:pPr>
            <w:r>
              <w:rPr>
                <w:b/>
                <w:bCs/>
                <w:color w:val="000000"/>
                <w:sz w:val="22"/>
                <w:szCs w:val="20"/>
              </w:rPr>
              <w:t>Subtotal</w:t>
            </w:r>
          </w:p>
        </w:tc>
        <w:tc>
          <w:tcPr>
            <w:tcW w:w="957" w:type="dxa"/>
            <w:noWrap/>
            <w:vAlign w:val="bottom"/>
          </w:tcPr>
          <w:p w:rsidR="00000000" w:rsidRDefault="00000000">
            <w:pPr>
              <w:tabs>
                <w:tab w:val="decimal" w:pos="289"/>
              </w:tabs>
              <w:jc w:val="right"/>
              <w:rPr>
                <w:b/>
                <w:bCs/>
                <w:color w:val="000000"/>
                <w:sz w:val="22"/>
                <w:szCs w:val="20"/>
              </w:rPr>
            </w:pPr>
            <w:r>
              <w:rPr>
                <w:b/>
                <w:bCs/>
                <w:color w:val="000000"/>
                <w:sz w:val="22"/>
                <w:szCs w:val="20"/>
              </w:rPr>
              <w:t>23,7</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26,7</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38,4</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39,4</w:t>
            </w:r>
          </w:p>
        </w:tc>
      </w:tr>
      <w:tr w:rsidR="00000000">
        <w:trPr>
          <w:trHeight w:val="20"/>
          <w:jc w:val="center"/>
        </w:trPr>
        <w:tc>
          <w:tcPr>
            <w:tcW w:w="5513" w:type="dxa"/>
            <w:noWrap/>
            <w:vAlign w:val="bottom"/>
          </w:tcPr>
          <w:p w:rsidR="00000000" w:rsidRDefault="00000000">
            <w:pPr>
              <w:ind w:firstLine="283"/>
              <w:rPr>
                <w:color w:val="000000"/>
                <w:sz w:val="22"/>
                <w:szCs w:val="20"/>
              </w:rPr>
            </w:pPr>
            <w:r>
              <w:rPr>
                <w:color w:val="000000"/>
                <w:sz w:val="22"/>
                <w:szCs w:val="20"/>
              </w:rPr>
              <w:t>Rural</w:t>
            </w:r>
          </w:p>
        </w:tc>
        <w:tc>
          <w:tcPr>
            <w:tcW w:w="957" w:type="dxa"/>
            <w:noWrap/>
            <w:vAlign w:val="bottom"/>
          </w:tcPr>
          <w:p w:rsidR="00000000" w:rsidRDefault="00000000">
            <w:pPr>
              <w:tabs>
                <w:tab w:val="decimal" w:pos="289"/>
              </w:tabs>
              <w:jc w:val="right"/>
              <w:rPr>
                <w:color w:val="000000"/>
                <w:sz w:val="22"/>
                <w:szCs w:val="20"/>
              </w:rPr>
            </w:pPr>
            <w:r>
              <w:rPr>
                <w:color w:val="000000"/>
                <w:sz w:val="22"/>
                <w:szCs w:val="20"/>
              </w:rPr>
              <w:t> </w:t>
            </w:r>
          </w:p>
        </w:tc>
        <w:tc>
          <w:tcPr>
            <w:tcW w:w="957" w:type="dxa"/>
            <w:noWrap/>
            <w:vAlign w:val="bottom"/>
          </w:tcPr>
          <w:p w:rsidR="00000000" w:rsidRDefault="00000000">
            <w:pPr>
              <w:tabs>
                <w:tab w:val="decimal" w:pos="257"/>
              </w:tabs>
              <w:jc w:val="right"/>
              <w:rPr>
                <w:color w:val="000000"/>
                <w:sz w:val="22"/>
                <w:szCs w:val="20"/>
              </w:rPr>
            </w:pP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 </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 </w:t>
            </w:r>
          </w:p>
        </w:tc>
      </w:tr>
      <w:tr w:rsidR="00000000">
        <w:trPr>
          <w:trHeight w:val="20"/>
          <w:jc w:val="center"/>
        </w:trPr>
        <w:tc>
          <w:tcPr>
            <w:tcW w:w="5513" w:type="dxa"/>
            <w:noWrap/>
            <w:vAlign w:val="bottom"/>
          </w:tcPr>
          <w:p w:rsidR="00000000" w:rsidRDefault="00000000">
            <w:pPr>
              <w:ind w:firstLine="525"/>
              <w:rPr>
                <w:color w:val="000000"/>
                <w:sz w:val="22"/>
                <w:szCs w:val="20"/>
              </w:rPr>
            </w:pPr>
            <w:r>
              <w:rPr>
                <w:color w:val="000000"/>
                <w:sz w:val="22"/>
                <w:szCs w:val="20"/>
              </w:rPr>
              <w:t>Pobres extremos</w:t>
            </w:r>
          </w:p>
        </w:tc>
        <w:tc>
          <w:tcPr>
            <w:tcW w:w="957" w:type="dxa"/>
            <w:noWrap/>
            <w:vAlign w:val="bottom"/>
          </w:tcPr>
          <w:p w:rsidR="00000000" w:rsidRDefault="00000000">
            <w:pPr>
              <w:tabs>
                <w:tab w:val="decimal" w:pos="289"/>
              </w:tabs>
              <w:jc w:val="right"/>
              <w:rPr>
                <w:color w:val="000000"/>
                <w:sz w:val="22"/>
                <w:szCs w:val="20"/>
              </w:rPr>
            </w:pPr>
            <w:r>
              <w:rPr>
                <w:color w:val="000000"/>
                <w:sz w:val="22"/>
                <w:szCs w:val="20"/>
              </w:rPr>
              <w:t>21,4</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26,5</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22,8</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20,8</w:t>
            </w:r>
          </w:p>
        </w:tc>
      </w:tr>
      <w:tr w:rsidR="00000000">
        <w:trPr>
          <w:trHeight w:val="20"/>
          <w:jc w:val="center"/>
        </w:trPr>
        <w:tc>
          <w:tcPr>
            <w:tcW w:w="5513" w:type="dxa"/>
            <w:noWrap/>
            <w:vAlign w:val="bottom"/>
          </w:tcPr>
          <w:p w:rsidR="00000000" w:rsidRDefault="00000000">
            <w:pPr>
              <w:ind w:firstLine="525"/>
              <w:rPr>
                <w:color w:val="000000"/>
                <w:sz w:val="22"/>
                <w:szCs w:val="20"/>
              </w:rPr>
            </w:pPr>
            <w:r>
              <w:rPr>
                <w:color w:val="000000"/>
                <w:sz w:val="22"/>
                <w:szCs w:val="20"/>
              </w:rPr>
              <w:t>Pobres no extremos</w:t>
            </w:r>
          </w:p>
        </w:tc>
        <w:tc>
          <w:tcPr>
            <w:tcW w:w="957" w:type="dxa"/>
            <w:noWrap/>
            <w:vAlign w:val="bottom"/>
          </w:tcPr>
          <w:p w:rsidR="00000000" w:rsidRDefault="00000000">
            <w:pPr>
              <w:tabs>
                <w:tab w:val="decimal" w:pos="289"/>
              </w:tabs>
              <w:jc w:val="right"/>
              <w:rPr>
                <w:color w:val="000000"/>
                <w:sz w:val="22"/>
                <w:szCs w:val="20"/>
              </w:rPr>
            </w:pPr>
            <w:r>
              <w:rPr>
                <w:color w:val="000000"/>
                <w:sz w:val="22"/>
                <w:szCs w:val="20"/>
              </w:rPr>
              <w:t>15,8</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15,4</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17,3</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15,8</w:t>
            </w:r>
          </w:p>
        </w:tc>
      </w:tr>
      <w:tr w:rsidR="00000000">
        <w:trPr>
          <w:trHeight w:val="20"/>
          <w:jc w:val="center"/>
        </w:trPr>
        <w:tc>
          <w:tcPr>
            <w:tcW w:w="5513" w:type="dxa"/>
            <w:noWrap/>
            <w:vAlign w:val="bottom"/>
          </w:tcPr>
          <w:p w:rsidR="00000000" w:rsidRDefault="00000000">
            <w:pPr>
              <w:ind w:firstLine="283"/>
              <w:rPr>
                <w:b/>
                <w:bCs/>
                <w:color w:val="000000"/>
                <w:sz w:val="22"/>
                <w:szCs w:val="20"/>
              </w:rPr>
            </w:pPr>
            <w:r>
              <w:rPr>
                <w:b/>
                <w:bCs/>
                <w:color w:val="000000"/>
                <w:sz w:val="22"/>
                <w:szCs w:val="20"/>
              </w:rPr>
              <w:t>Subtotal</w:t>
            </w:r>
          </w:p>
        </w:tc>
        <w:tc>
          <w:tcPr>
            <w:tcW w:w="957" w:type="dxa"/>
            <w:noWrap/>
            <w:vAlign w:val="bottom"/>
          </w:tcPr>
          <w:p w:rsidR="00000000" w:rsidRDefault="00000000">
            <w:pPr>
              <w:tabs>
                <w:tab w:val="decimal" w:pos="289"/>
              </w:tabs>
              <w:jc w:val="right"/>
              <w:rPr>
                <w:b/>
                <w:bCs/>
                <w:color w:val="000000"/>
                <w:sz w:val="22"/>
                <w:szCs w:val="20"/>
              </w:rPr>
            </w:pPr>
            <w:r>
              <w:rPr>
                <w:b/>
                <w:bCs/>
                <w:color w:val="000000"/>
                <w:sz w:val="22"/>
                <w:szCs w:val="20"/>
              </w:rPr>
              <w:t>37,2</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42,0</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40,1</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36,6</w:t>
            </w:r>
          </w:p>
        </w:tc>
      </w:tr>
      <w:tr w:rsidR="00000000">
        <w:trPr>
          <w:trHeight w:val="20"/>
          <w:jc w:val="center"/>
        </w:trPr>
        <w:tc>
          <w:tcPr>
            <w:tcW w:w="5513" w:type="dxa"/>
            <w:noWrap/>
            <w:vAlign w:val="bottom"/>
          </w:tcPr>
          <w:p w:rsidR="00000000" w:rsidRDefault="00000000">
            <w:pPr>
              <w:ind w:firstLine="283"/>
              <w:rPr>
                <w:color w:val="000000"/>
                <w:sz w:val="22"/>
                <w:szCs w:val="20"/>
              </w:rPr>
            </w:pPr>
            <w:r>
              <w:rPr>
                <w:color w:val="000000"/>
                <w:sz w:val="22"/>
                <w:szCs w:val="20"/>
              </w:rPr>
              <w:t>Total urbana y rural</w:t>
            </w:r>
          </w:p>
        </w:tc>
        <w:tc>
          <w:tcPr>
            <w:tcW w:w="957" w:type="dxa"/>
            <w:noWrap/>
            <w:vAlign w:val="bottom"/>
          </w:tcPr>
          <w:p w:rsidR="00000000" w:rsidRDefault="00000000">
            <w:pPr>
              <w:tabs>
                <w:tab w:val="decimal" w:pos="289"/>
              </w:tabs>
              <w:jc w:val="right"/>
              <w:rPr>
                <w:color w:val="000000"/>
                <w:sz w:val="22"/>
                <w:szCs w:val="20"/>
              </w:rPr>
            </w:pPr>
            <w:r>
              <w:rPr>
                <w:color w:val="000000"/>
                <w:sz w:val="22"/>
                <w:szCs w:val="20"/>
              </w:rPr>
              <w:t> </w:t>
            </w:r>
          </w:p>
        </w:tc>
        <w:tc>
          <w:tcPr>
            <w:tcW w:w="957" w:type="dxa"/>
            <w:noWrap/>
            <w:vAlign w:val="bottom"/>
          </w:tcPr>
          <w:p w:rsidR="00000000" w:rsidRDefault="00000000">
            <w:pPr>
              <w:tabs>
                <w:tab w:val="decimal" w:pos="257"/>
              </w:tabs>
              <w:jc w:val="right"/>
              <w:rPr>
                <w:color w:val="000000"/>
                <w:sz w:val="22"/>
                <w:szCs w:val="20"/>
              </w:rPr>
            </w:pP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 </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 </w:t>
            </w:r>
          </w:p>
        </w:tc>
      </w:tr>
      <w:tr w:rsidR="00000000">
        <w:trPr>
          <w:trHeight w:val="20"/>
          <w:jc w:val="center"/>
        </w:trPr>
        <w:tc>
          <w:tcPr>
            <w:tcW w:w="5513" w:type="dxa"/>
            <w:noWrap/>
            <w:vAlign w:val="bottom"/>
          </w:tcPr>
          <w:p w:rsidR="00000000" w:rsidRDefault="00000000">
            <w:pPr>
              <w:ind w:firstLine="525"/>
              <w:jc w:val="both"/>
              <w:rPr>
                <w:color w:val="000000"/>
                <w:sz w:val="22"/>
                <w:szCs w:val="20"/>
              </w:rPr>
            </w:pPr>
            <w:r>
              <w:rPr>
                <w:color w:val="000000"/>
                <w:sz w:val="22"/>
                <w:szCs w:val="20"/>
              </w:rPr>
              <w:t>Pobres extremos</w:t>
            </w:r>
          </w:p>
        </w:tc>
        <w:tc>
          <w:tcPr>
            <w:tcW w:w="957" w:type="dxa"/>
            <w:noWrap/>
            <w:vAlign w:val="bottom"/>
          </w:tcPr>
          <w:p w:rsidR="00000000" w:rsidRDefault="00000000">
            <w:pPr>
              <w:tabs>
                <w:tab w:val="decimal" w:pos="289"/>
              </w:tabs>
              <w:jc w:val="right"/>
              <w:rPr>
                <w:color w:val="000000"/>
                <w:sz w:val="22"/>
                <w:szCs w:val="20"/>
              </w:rPr>
            </w:pPr>
            <w:r>
              <w:rPr>
                <w:color w:val="000000"/>
                <w:sz w:val="22"/>
                <w:szCs w:val="20"/>
              </w:rPr>
              <w:t>13,9</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15,5</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17,1</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15,5</w:t>
            </w:r>
          </w:p>
        </w:tc>
      </w:tr>
      <w:tr w:rsidR="00000000">
        <w:trPr>
          <w:trHeight w:val="20"/>
          <w:jc w:val="center"/>
        </w:trPr>
        <w:tc>
          <w:tcPr>
            <w:tcW w:w="5513" w:type="dxa"/>
            <w:noWrap/>
            <w:vAlign w:val="bottom"/>
          </w:tcPr>
          <w:p w:rsidR="00000000" w:rsidRDefault="00000000">
            <w:pPr>
              <w:ind w:firstLine="525"/>
              <w:jc w:val="both"/>
              <w:rPr>
                <w:color w:val="000000"/>
                <w:sz w:val="22"/>
                <w:szCs w:val="20"/>
              </w:rPr>
            </w:pPr>
            <w:r>
              <w:rPr>
                <w:color w:val="000000"/>
                <w:sz w:val="22"/>
                <w:szCs w:val="20"/>
              </w:rPr>
              <w:t>Pobres no extremos</w:t>
            </w:r>
          </w:p>
        </w:tc>
        <w:tc>
          <w:tcPr>
            <w:tcW w:w="957" w:type="dxa"/>
            <w:noWrap/>
            <w:vAlign w:val="bottom"/>
          </w:tcPr>
          <w:p w:rsidR="00000000" w:rsidRDefault="00000000">
            <w:pPr>
              <w:tabs>
                <w:tab w:val="decimal" w:pos="289"/>
              </w:tabs>
              <w:jc w:val="right"/>
              <w:rPr>
                <w:color w:val="000000"/>
                <w:sz w:val="22"/>
                <w:szCs w:val="20"/>
              </w:rPr>
            </w:pPr>
            <w:r>
              <w:rPr>
                <w:color w:val="000000"/>
                <w:sz w:val="22"/>
                <w:szCs w:val="20"/>
              </w:rPr>
              <w:t>16,4</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18,2</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22,1</w:t>
            </w:r>
          </w:p>
        </w:tc>
        <w:tc>
          <w:tcPr>
            <w:tcW w:w="957" w:type="dxa"/>
            <w:noWrap/>
            <w:vAlign w:val="bottom"/>
          </w:tcPr>
          <w:p w:rsidR="00000000" w:rsidRDefault="00000000">
            <w:pPr>
              <w:tabs>
                <w:tab w:val="decimal" w:pos="257"/>
              </w:tabs>
              <w:jc w:val="right"/>
              <w:rPr>
                <w:color w:val="000000"/>
                <w:sz w:val="22"/>
                <w:szCs w:val="20"/>
              </w:rPr>
            </w:pPr>
            <w:r>
              <w:rPr>
                <w:color w:val="000000"/>
                <w:sz w:val="22"/>
                <w:szCs w:val="20"/>
              </w:rPr>
              <w:t>22,7</w:t>
            </w:r>
          </w:p>
        </w:tc>
      </w:tr>
      <w:tr w:rsidR="00000000">
        <w:trPr>
          <w:trHeight w:val="20"/>
          <w:jc w:val="center"/>
        </w:trPr>
        <w:tc>
          <w:tcPr>
            <w:tcW w:w="5513" w:type="dxa"/>
            <w:noWrap/>
            <w:vAlign w:val="bottom"/>
          </w:tcPr>
          <w:p w:rsidR="00000000" w:rsidRDefault="00000000">
            <w:pPr>
              <w:ind w:firstLine="525"/>
              <w:rPr>
                <w:b/>
                <w:bCs/>
                <w:color w:val="000000"/>
                <w:sz w:val="22"/>
                <w:szCs w:val="20"/>
              </w:rPr>
            </w:pPr>
            <w:r>
              <w:rPr>
                <w:b/>
                <w:bCs/>
                <w:color w:val="000000"/>
                <w:sz w:val="22"/>
                <w:szCs w:val="20"/>
              </w:rPr>
              <w:t>Total</w:t>
            </w:r>
          </w:p>
        </w:tc>
        <w:tc>
          <w:tcPr>
            <w:tcW w:w="957" w:type="dxa"/>
            <w:noWrap/>
            <w:vAlign w:val="bottom"/>
          </w:tcPr>
          <w:p w:rsidR="00000000" w:rsidRDefault="00000000">
            <w:pPr>
              <w:tabs>
                <w:tab w:val="decimal" w:pos="289"/>
              </w:tabs>
              <w:jc w:val="right"/>
              <w:rPr>
                <w:b/>
                <w:bCs/>
                <w:color w:val="000000"/>
                <w:sz w:val="22"/>
                <w:szCs w:val="20"/>
              </w:rPr>
            </w:pPr>
            <w:r>
              <w:rPr>
                <w:b/>
                <w:bCs/>
                <w:color w:val="000000"/>
                <w:sz w:val="22"/>
                <w:szCs w:val="20"/>
              </w:rPr>
              <w:t>30,3</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33,7</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39,2</w:t>
            </w:r>
          </w:p>
        </w:tc>
        <w:tc>
          <w:tcPr>
            <w:tcW w:w="957" w:type="dxa"/>
            <w:noWrap/>
            <w:vAlign w:val="bottom"/>
          </w:tcPr>
          <w:p w:rsidR="00000000" w:rsidRDefault="00000000">
            <w:pPr>
              <w:tabs>
                <w:tab w:val="decimal" w:pos="257"/>
              </w:tabs>
              <w:jc w:val="right"/>
              <w:rPr>
                <w:b/>
                <w:bCs/>
                <w:color w:val="000000"/>
                <w:sz w:val="22"/>
                <w:szCs w:val="20"/>
              </w:rPr>
            </w:pPr>
            <w:r>
              <w:rPr>
                <w:b/>
                <w:bCs/>
                <w:color w:val="000000"/>
                <w:sz w:val="22"/>
                <w:szCs w:val="20"/>
              </w:rPr>
              <w:t>38,2</w:t>
            </w:r>
          </w:p>
        </w:tc>
      </w:tr>
      <w:tr w:rsidR="00000000">
        <w:trPr>
          <w:trHeight w:val="20"/>
          <w:jc w:val="center"/>
        </w:trPr>
        <w:tc>
          <w:tcPr>
            <w:tcW w:w="5513" w:type="dxa"/>
            <w:noWrap/>
            <w:vAlign w:val="bottom"/>
          </w:tcPr>
          <w:p w:rsidR="00000000" w:rsidRDefault="00000000">
            <w:pPr>
              <w:rPr>
                <w:color w:val="000000"/>
                <w:sz w:val="22"/>
                <w:szCs w:val="20"/>
              </w:rPr>
            </w:pPr>
            <w:r>
              <w:rPr>
                <w:color w:val="000000"/>
                <w:sz w:val="22"/>
                <w:szCs w:val="20"/>
              </w:rPr>
              <w:t>Índice de Gini</w:t>
            </w:r>
          </w:p>
        </w:tc>
        <w:tc>
          <w:tcPr>
            <w:tcW w:w="957" w:type="dxa"/>
            <w:noWrap/>
            <w:vAlign w:val="bottom"/>
          </w:tcPr>
          <w:p w:rsidR="00000000" w:rsidRDefault="00000000">
            <w:pPr>
              <w:jc w:val="right"/>
              <w:rPr>
                <w:color w:val="000000"/>
                <w:sz w:val="22"/>
                <w:szCs w:val="20"/>
              </w:rPr>
            </w:pPr>
            <w:r>
              <w:rPr>
                <w:color w:val="000000"/>
                <w:sz w:val="22"/>
                <w:szCs w:val="20"/>
              </w:rPr>
              <w:t>0,618</w:t>
            </w:r>
          </w:p>
        </w:tc>
        <w:tc>
          <w:tcPr>
            <w:tcW w:w="957" w:type="dxa"/>
            <w:noWrap/>
            <w:vAlign w:val="bottom"/>
          </w:tcPr>
          <w:p w:rsidR="00000000" w:rsidRDefault="00000000">
            <w:pPr>
              <w:jc w:val="right"/>
              <w:rPr>
                <w:color w:val="000000"/>
                <w:sz w:val="22"/>
                <w:szCs w:val="20"/>
              </w:rPr>
            </w:pPr>
            <w:r>
              <w:rPr>
                <w:color w:val="000000"/>
                <w:sz w:val="22"/>
                <w:szCs w:val="20"/>
              </w:rPr>
              <w:t>0,529</w:t>
            </w:r>
          </w:p>
        </w:tc>
        <w:tc>
          <w:tcPr>
            <w:tcW w:w="957" w:type="dxa"/>
            <w:noWrap/>
            <w:vAlign w:val="bottom"/>
          </w:tcPr>
          <w:p w:rsidR="00000000" w:rsidRDefault="00000000">
            <w:pPr>
              <w:jc w:val="right"/>
              <w:rPr>
                <w:color w:val="000000"/>
                <w:sz w:val="22"/>
                <w:szCs w:val="20"/>
              </w:rPr>
            </w:pPr>
            <w:r>
              <w:rPr>
                <w:color w:val="000000"/>
                <w:sz w:val="22"/>
                <w:szCs w:val="20"/>
              </w:rPr>
              <w:t>0,522</w:t>
            </w:r>
          </w:p>
        </w:tc>
        <w:tc>
          <w:tcPr>
            <w:tcW w:w="957" w:type="dxa"/>
            <w:noWrap/>
            <w:vAlign w:val="bottom"/>
          </w:tcPr>
          <w:p w:rsidR="00000000" w:rsidRDefault="00000000">
            <w:pPr>
              <w:jc w:val="right"/>
              <w:rPr>
                <w:color w:val="000000"/>
                <w:sz w:val="22"/>
                <w:szCs w:val="20"/>
              </w:rPr>
            </w:pPr>
            <w:r>
              <w:rPr>
                <w:color w:val="000000"/>
                <w:sz w:val="22"/>
                <w:szCs w:val="20"/>
              </w:rPr>
              <w:t>0,506</w:t>
            </w:r>
          </w:p>
        </w:tc>
      </w:tr>
    </w:tbl>
    <w:p w:rsidR="00000000" w:rsidRDefault="00000000">
      <w:pPr>
        <w:spacing w:before="180" w:after="400"/>
        <w:rPr>
          <w:b/>
          <w:color w:val="000000"/>
        </w:rPr>
      </w:pPr>
      <w:r>
        <w:rPr>
          <w:i/>
          <w:iCs/>
          <w:color w:val="000000"/>
          <w:sz w:val="22"/>
          <w:szCs w:val="16"/>
        </w:rPr>
        <w:t>Fuente:</w:t>
      </w:r>
      <w:r>
        <w:rPr>
          <w:color w:val="000000"/>
          <w:sz w:val="22"/>
          <w:szCs w:val="16"/>
        </w:rPr>
        <w:t xml:space="preserve">  STP/DGEEC.  Encuesta permanente de hogares 1995, 1999, 2004.</w:t>
      </w:r>
    </w:p>
    <w:p w:rsidR="00000000" w:rsidRDefault="00000000">
      <w:pPr>
        <w:spacing w:after="240"/>
        <w:rPr>
          <w:b/>
          <w:color w:val="000000"/>
        </w:rPr>
      </w:pPr>
      <w:r>
        <w:rPr>
          <w:b/>
          <w:color w:val="000000"/>
        </w:rPr>
        <w:t>5.</w:t>
      </w:r>
      <w:r>
        <w:rPr>
          <w:b/>
          <w:color w:val="000000"/>
        </w:rPr>
        <w:tab/>
        <w:t xml:space="preserve">Deuda pública externa </w:t>
      </w:r>
    </w:p>
    <w:p w:rsidR="00000000" w:rsidRDefault="00000000">
      <w:pPr>
        <w:autoSpaceDE w:val="0"/>
        <w:autoSpaceDN w:val="0"/>
        <w:adjustRightInd w:val="0"/>
        <w:spacing w:after="240"/>
        <w:rPr>
          <w:color w:val="000000"/>
        </w:rPr>
      </w:pPr>
      <w:r>
        <w:rPr>
          <w:color w:val="000000"/>
        </w:rPr>
        <w:t>40.</w:t>
      </w:r>
      <w:r>
        <w:rPr>
          <w:color w:val="000000"/>
        </w:rPr>
        <w:tab/>
        <w:t xml:space="preserve">Con </w:t>
      </w:r>
      <w:r>
        <w:t>relación</w:t>
      </w:r>
      <w:r>
        <w:rPr>
          <w:color w:val="000000"/>
        </w:rPr>
        <w:t xml:space="preserve"> a la deuda pública externa, las informaciones suministradas por el Banco Central del </w:t>
      </w:r>
      <w:r>
        <w:t>Paraguay</w:t>
      </w:r>
      <w:r>
        <w:rPr>
          <w:color w:val="000000"/>
        </w:rPr>
        <w:t>, son las siguientes.</w:t>
      </w:r>
    </w:p>
    <w:p w:rsidR="00000000" w:rsidRDefault="00000000">
      <w:pPr>
        <w:autoSpaceDE w:val="0"/>
        <w:autoSpaceDN w:val="0"/>
        <w:adjustRightInd w:val="0"/>
        <w:spacing w:after="240"/>
        <w:jc w:val="center"/>
        <w:rPr>
          <w:b/>
          <w:bCs/>
          <w:color w:val="000000"/>
        </w:rPr>
      </w:pPr>
      <w:r>
        <w:rPr>
          <w:b/>
          <w:bCs/>
          <w:color w:val="000000"/>
        </w:rPr>
        <w:t>Deuda pública externa, saldo insoluto al 31 de diciembre de 2005</w:t>
      </w:r>
    </w:p>
    <w:p w:rsidR="00000000" w:rsidRDefault="00000000">
      <w:pPr>
        <w:autoSpaceDE w:val="0"/>
        <w:autoSpaceDN w:val="0"/>
        <w:adjustRightInd w:val="0"/>
        <w:spacing w:after="240"/>
        <w:jc w:val="center"/>
        <w:rPr>
          <w:color w:val="000000"/>
        </w:rPr>
      </w:pPr>
      <w:r>
        <w:rPr>
          <w:color w:val="000000"/>
        </w:rPr>
        <w:t>(En dólares de los EE.UU.)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94"/>
        <w:gridCol w:w="1750"/>
        <w:gridCol w:w="1741"/>
      </w:tblGrid>
      <w:tr w:rsidR="00000000">
        <w:tblPrEx>
          <w:tblCellMar>
            <w:top w:w="0" w:type="dxa"/>
            <w:bottom w:w="0" w:type="dxa"/>
          </w:tblCellMar>
        </w:tblPrEx>
        <w:trPr>
          <w:cantSplit/>
          <w:trHeight w:val="20"/>
          <w:tblHeader/>
          <w:jc w:val="center"/>
        </w:trPr>
        <w:tc>
          <w:tcPr>
            <w:tcW w:w="5894" w:type="dxa"/>
            <w:vMerge w:val="restart"/>
            <w:vAlign w:val="center"/>
          </w:tcPr>
          <w:p w:rsidR="00000000" w:rsidRDefault="00000000">
            <w:pPr>
              <w:autoSpaceDE w:val="0"/>
              <w:autoSpaceDN w:val="0"/>
              <w:adjustRightInd w:val="0"/>
              <w:jc w:val="center"/>
              <w:rPr>
                <w:b/>
                <w:bCs/>
                <w:color w:val="000000"/>
                <w:szCs w:val="20"/>
              </w:rPr>
            </w:pPr>
            <w:r>
              <w:rPr>
                <w:b/>
                <w:bCs/>
                <w:color w:val="000000"/>
                <w:szCs w:val="20"/>
              </w:rPr>
              <w:t>Estructura del sector público</w:t>
            </w:r>
          </w:p>
        </w:tc>
        <w:tc>
          <w:tcPr>
            <w:tcW w:w="3491" w:type="dxa"/>
            <w:gridSpan w:val="2"/>
            <w:vAlign w:val="center"/>
          </w:tcPr>
          <w:p w:rsidR="00000000" w:rsidRDefault="00000000">
            <w:pPr>
              <w:autoSpaceDE w:val="0"/>
              <w:autoSpaceDN w:val="0"/>
              <w:adjustRightInd w:val="0"/>
              <w:jc w:val="center"/>
              <w:rPr>
                <w:b/>
                <w:bCs/>
                <w:color w:val="000000"/>
                <w:szCs w:val="20"/>
              </w:rPr>
            </w:pPr>
            <w:r>
              <w:rPr>
                <w:b/>
                <w:bCs/>
                <w:color w:val="000000"/>
                <w:szCs w:val="20"/>
              </w:rPr>
              <w:t>Saldo insoluto</w:t>
            </w:r>
          </w:p>
        </w:tc>
      </w:tr>
      <w:tr w:rsidR="00000000">
        <w:tblPrEx>
          <w:tblCellMar>
            <w:top w:w="0" w:type="dxa"/>
            <w:bottom w:w="0" w:type="dxa"/>
          </w:tblCellMar>
        </w:tblPrEx>
        <w:trPr>
          <w:cantSplit/>
          <w:trHeight w:val="20"/>
          <w:tblHeader/>
          <w:jc w:val="center"/>
        </w:trPr>
        <w:tc>
          <w:tcPr>
            <w:tcW w:w="5894" w:type="dxa"/>
            <w:vMerge/>
            <w:vAlign w:val="center"/>
          </w:tcPr>
          <w:p w:rsidR="00000000" w:rsidRDefault="00000000">
            <w:pPr>
              <w:autoSpaceDE w:val="0"/>
              <w:autoSpaceDN w:val="0"/>
              <w:adjustRightInd w:val="0"/>
              <w:jc w:val="center"/>
              <w:rPr>
                <w:b/>
                <w:bCs/>
                <w:color w:val="000000"/>
                <w:szCs w:val="20"/>
              </w:rPr>
            </w:pPr>
          </w:p>
        </w:tc>
        <w:tc>
          <w:tcPr>
            <w:tcW w:w="1750" w:type="dxa"/>
            <w:vAlign w:val="center"/>
          </w:tcPr>
          <w:p w:rsidR="00000000" w:rsidRDefault="00000000">
            <w:pPr>
              <w:autoSpaceDE w:val="0"/>
              <w:autoSpaceDN w:val="0"/>
              <w:adjustRightInd w:val="0"/>
              <w:jc w:val="center"/>
              <w:rPr>
                <w:b/>
                <w:bCs/>
                <w:color w:val="000000"/>
                <w:szCs w:val="20"/>
              </w:rPr>
            </w:pPr>
            <w:r>
              <w:rPr>
                <w:b/>
                <w:bCs/>
                <w:color w:val="000000"/>
                <w:szCs w:val="20"/>
              </w:rPr>
              <w:t>Deudor</w:t>
            </w:r>
          </w:p>
        </w:tc>
        <w:tc>
          <w:tcPr>
            <w:tcW w:w="1741" w:type="dxa"/>
            <w:vAlign w:val="center"/>
          </w:tcPr>
          <w:p w:rsidR="00000000" w:rsidRDefault="00000000">
            <w:pPr>
              <w:autoSpaceDE w:val="0"/>
              <w:autoSpaceDN w:val="0"/>
              <w:adjustRightInd w:val="0"/>
              <w:jc w:val="center"/>
              <w:rPr>
                <w:b/>
                <w:bCs/>
                <w:color w:val="000000"/>
                <w:szCs w:val="20"/>
              </w:rPr>
            </w:pPr>
            <w:r>
              <w:rPr>
                <w:b/>
                <w:bCs/>
                <w:color w:val="000000"/>
                <w:szCs w:val="20"/>
              </w:rPr>
              <w:t>Pagador</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rPr>
                <w:color w:val="000000"/>
                <w:szCs w:val="18"/>
              </w:rPr>
            </w:pPr>
            <w:r>
              <w:rPr>
                <w:color w:val="000000"/>
                <w:szCs w:val="18"/>
              </w:rPr>
              <w:t xml:space="preserve">I. Sector público no financiero </w:t>
            </w:r>
          </w:p>
        </w:tc>
        <w:tc>
          <w:tcPr>
            <w:tcW w:w="1750" w:type="dxa"/>
          </w:tcPr>
          <w:p w:rsidR="00000000" w:rsidRDefault="00000000">
            <w:pPr>
              <w:autoSpaceDE w:val="0"/>
              <w:autoSpaceDN w:val="0"/>
              <w:adjustRightInd w:val="0"/>
              <w:jc w:val="right"/>
              <w:rPr>
                <w:color w:val="000000"/>
                <w:szCs w:val="18"/>
              </w:rPr>
            </w:pPr>
            <w:r>
              <w:rPr>
                <w:color w:val="000000"/>
                <w:szCs w:val="18"/>
              </w:rPr>
              <w:t>2.234.816.889,6</w:t>
            </w:r>
          </w:p>
        </w:tc>
        <w:tc>
          <w:tcPr>
            <w:tcW w:w="1741" w:type="dxa"/>
          </w:tcPr>
          <w:p w:rsidR="00000000" w:rsidRDefault="00000000">
            <w:pPr>
              <w:autoSpaceDE w:val="0"/>
              <w:autoSpaceDN w:val="0"/>
              <w:adjustRightInd w:val="0"/>
              <w:jc w:val="right"/>
              <w:rPr>
                <w:color w:val="000000"/>
                <w:szCs w:val="18"/>
              </w:rPr>
            </w:pPr>
            <w:r>
              <w:rPr>
                <w:color w:val="000000"/>
                <w:szCs w:val="18"/>
              </w:rPr>
              <w:t>2.230.738.643,5</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225"/>
              <w:rPr>
                <w:color w:val="000000"/>
                <w:szCs w:val="16"/>
              </w:rPr>
            </w:pPr>
            <w:r>
              <w:rPr>
                <w:color w:val="000000"/>
                <w:szCs w:val="16"/>
              </w:rPr>
              <w:t>I.I. Gobierno general</w:t>
            </w:r>
          </w:p>
        </w:tc>
        <w:tc>
          <w:tcPr>
            <w:tcW w:w="1750" w:type="dxa"/>
          </w:tcPr>
          <w:p w:rsidR="00000000" w:rsidRDefault="00000000">
            <w:pPr>
              <w:autoSpaceDE w:val="0"/>
              <w:autoSpaceDN w:val="0"/>
              <w:adjustRightInd w:val="0"/>
              <w:jc w:val="right"/>
              <w:rPr>
                <w:color w:val="000000"/>
                <w:szCs w:val="16"/>
              </w:rPr>
            </w:pPr>
            <w:r>
              <w:rPr>
                <w:color w:val="000000"/>
                <w:szCs w:val="16"/>
              </w:rPr>
              <w:t>2.234.816.889,6</w:t>
            </w:r>
          </w:p>
        </w:tc>
        <w:tc>
          <w:tcPr>
            <w:tcW w:w="1741" w:type="dxa"/>
          </w:tcPr>
          <w:p w:rsidR="00000000" w:rsidRDefault="00000000">
            <w:pPr>
              <w:autoSpaceDE w:val="0"/>
              <w:autoSpaceDN w:val="0"/>
              <w:adjustRightInd w:val="0"/>
              <w:jc w:val="right"/>
              <w:rPr>
                <w:color w:val="000000"/>
                <w:szCs w:val="16"/>
              </w:rPr>
            </w:pPr>
            <w:r>
              <w:rPr>
                <w:color w:val="000000"/>
                <w:szCs w:val="16"/>
              </w:rPr>
              <w:t>1.816.779.439,1</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575"/>
              <w:rPr>
                <w:color w:val="000000"/>
                <w:szCs w:val="16"/>
              </w:rPr>
            </w:pPr>
            <w:r>
              <w:rPr>
                <w:color w:val="000000"/>
                <w:szCs w:val="16"/>
              </w:rPr>
              <w:t>I.I.I. Gobierno central</w:t>
            </w:r>
          </w:p>
        </w:tc>
        <w:tc>
          <w:tcPr>
            <w:tcW w:w="1750" w:type="dxa"/>
          </w:tcPr>
          <w:p w:rsidR="00000000" w:rsidRDefault="00000000">
            <w:pPr>
              <w:autoSpaceDE w:val="0"/>
              <w:autoSpaceDN w:val="0"/>
              <w:adjustRightInd w:val="0"/>
              <w:jc w:val="right"/>
              <w:rPr>
                <w:color w:val="000000"/>
                <w:szCs w:val="16"/>
              </w:rPr>
            </w:pPr>
            <w:r>
              <w:rPr>
                <w:color w:val="000000"/>
                <w:szCs w:val="16"/>
              </w:rPr>
              <w:t>2.129.506.574,0</w:t>
            </w:r>
          </w:p>
        </w:tc>
        <w:tc>
          <w:tcPr>
            <w:tcW w:w="1741" w:type="dxa"/>
          </w:tcPr>
          <w:p w:rsidR="00000000" w:rsidRDefault="00000000">
            <w:pPr>
              <w:autoSpaceDE w:val="0"/>
              <w:autoSpaceDN w:val="0"/>
              <w:adjustRightInd w:val="0"/>
              <w:jc w:val="right"/>
              <w:rPr>
                <w:color w:val="000000"/>
                <w:szCs w:val="16"/>
              </w:rPr>
            </w:pPr>
            <w:r>
              <w:rPr>
                <w:color w:val="000000"/>
                <w:szCs w:val="16"/>
              </w:rPr>
              <w:t>1.815.868.461,3</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1065"/>
              <w:rPr>
                <w:color w:val="000000"/>
                <w:szCs w:val="16"/>
              </w:rPr>
            </w:pPr>
            <w:r>
              <w:rPr>
                <w:color w:val="000000"/>
                <w:szCs w:val="16"/>
              </w:rPr>
              <w:t>I.I.I.1. Administración central</w:t>
            </w:r>
          </w:p>
        </w:tc>
        <w:tc>
          <w:tcPr>
            <w:tcW w:w="1750" w:type="dxa"/>
          </w:tcPr>
          <w:p w:rsidR="00000000" w:rsidRDefault="00000000">
            <w:pPr>
              <w:autoSpaceDE w:val="0"/>
              <w:autoSpaceDN w:val="0"/>
              <w:adjustRightInd w:val="0"/>
              <w:jc w:val="right"/>
              <w:rPr>
                <w:color w:val="000000"/>
                <w:szCs w:val="16"/>
              </w:rPr>
            </w:pPr>
            <w:r>
              <w:rPr>
                <w:color w:val="000000"/>
                <w:szCs w:val="16"/>
              </w:rPr>
              <w:t>2.129.506.574,0</w:t>
            </w:r>
          </w:p>
        </w:tc>
        <w:tc>
          <w:tcPr>
            <w:tcW w:w="1741" w:type="dxa"/>
          </w:tcPr>
          <w:p w:rsidR="00000000" w:rsidRDefault="00000000">
            <w:pPr>
              <w:autoSpaceDE w:val="0"/>
              <w:autoSpaceDN w:val="0"/>
              <w:adjustRightInd w:val="0"/>
              <w:jc w:val="right"/>
              <w:rPr>
                <w:color w:val="000000"/>
                <w:szCs w:val="16"/>
              </w:rPr>
            </w:pPr>
            <w:r>
              <w:rPr>
                <w:color w:val="000000"/>
                <w:szCs w:val="16"/>
              </w:rPr>
              <w:t>1.815.868.461,3</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1065"/>
              <w:rPr>
                <w:color w:val="000000"/>
                <w:szCs w:val="16"/>
              </w:rPr>
            </w:pPr>
            <w:r>
              <w:rPr>
                <w:color w:val="000000"/>
                <w:szCs w:val="16"/>
              </w:rPr>
              <w:t>I.I.I.2. Administración descentralizada</w:t>
            </w:r>
          </w:p>
        </w:tc>
        <w:tc>
          <w:tcPr>
            <w:tcW w:w="1750" w:type="dxa"/>
          </w:tcPr>
          <w:p w:rsidR="00000000" w:rsidRDefault="00000000">
            <w:pPr>
              <w:autoSpaceDE w:val="0"/>
              <w:autoSpaceDN w:val="0"/>
              <w:adjustRightInd w:val="0"/>
              <w:jc w:val="right"/>
              <w:rPr>
                <w:color w:val="000000"/>
                <w:szCs w:val="16"/>
              </w:rPr>
            </w:pPr>
            <w:r>
              <w:rPr>
                <w:color w:val="000000"/>
                <w:szCs w:val="16"/>
              </w:rPr>
              <w:t>0,0</w:t>
            </w:r>
          </w:p>
        </w:tc>
        <w:tc>
          <w:tcPr>
            <w:tcW w:w="1741" w:type="dxa"/>
          </w:tcPr>
          <w:p w:rsidR="00000000" w:rsidRDefault="00000000">
            <w:pPr>
              <w:autoSpaceDE w:val="0"/>
              <w:autoSpaceDN w:val="0"/>
              <w:adjustRightInd w:val="0"/>
              <w:jc w:val="right"/>
              <w:rPr>
                <w:color w:val="000000"/>
                <w:szCs w:val="16"/>
              </w:rPr>
            </w:pPr>
            <w:r>
              <w:rPr>
                <w:color w:val="000000"/>
                <w:szCs w:val="16"/>
              </w:rPr>
              <w:t>0,0</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1065"/>
              <w:rPr>
                <w:color w:val="000000"/>
                <w:szCs w:val="16"/>
              </w:rPr>
            </w:pPr>
            <w:r>
              <w:rPr>
                <w:color w:val="000000"/>
                <w:szCs w:val="16"/>
              </w:rPr>
              <w:t>I.I.I.3. Seguridad social</w:t>
            </w:r>
          </w:p>
        </w:tc>
        <w:tc>
          <w:tcPr>
            <w:tcW w:w="1750" w:type="dxa"/>
          </w:tcPr>
          <w:p w:rsidR="00000000" w:rsidRDefault="00000000">
            <w:pPr>
              <w:autoSpaceDE w:val="0"/>
              <w:autoSpaceDN w:val="0"/>
              <w:adjustRightInd w:val="0"/>
              <w:jc w:val="right"/>
              <w:rPr>
                <w:color w:val="000000"/>
                <w:szCs w:val="16"/>
              </w:rPr>
            </w:pPr>
            <w:r>
              <w:rPr>
                <w:color w:val="000000"/>
                <w:szCs w:val="16"/>
              </w:rPr>
              <w:t>0,0</w:t>
            </w:r>
          </w:p>
        </w:tc>
        <w:tc>
          <w:tcPr>
            <w:tcW w:w="1741" w:type="dxa"/>
          </w:tcPr>
          <w:p w:rsidR="00000000" w:rsidRDefault="00000000">
            <w:pPr>
              <w:autoSpaceDE w:val="0"/>
              <w:autoSpaceDN w:val="0"/>
              <w:adjustRightInd w:val="0"/>
              <w:jc w:val="right"/>
              <w:rPr>
                <w:color w:val="000000"/>
                <w:szCs w:val="16"/>
              </w:rPr>
            </w:pPr>
            <w:r>
              <w:rPr>
                <w:color w:val="000000"/>
                <w:szCs w:val="16"/>
              </w:rPr>
              <w:t>0,0</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575"/>
              <w:rPr>
                <w:color w:val="000000"/>
                <w:szCs w:val="16"/>
              </w:rPr>
            </w:pPr>
            <w:r>
              <w:rPr>
                <w:color w:val="000000"/>
                <w:szCs w:val="16"/>
              </w:rPr>
              <w:t>I.I.II. Gobiernos locales</w:t>
            </w:r>
          </w:p>
        </w:tc>
        <w:tc>
          <w:tcPr>
            <w:tcW w:w="1750" w:type="dxa"/>
          </w:tcPr>
          <w:p w:rsidR="00000000" w:rsidRDefault="00000000">
            <w:pPr>
              <w:autoSpaceDE w:val="0"/>
              <w:autoSpaceDN w:val="0"/>
              <w:adjustRightInd w:val="0"/>
              <w:jc w:val="right"/>
              <w:rPr>
                <w:color w:val="000000"/>
                <w:szCs w:val="16"/>
              </w:rPr>
            </w:pPr>
            <w:r>
              <w:rPr>
                <w:color w:val="000000"/>
                <w:szCs w:val="16"/>
              </w:rPr>
              <w:t>0,0</w:t>
            </w:r>
          </w:p>
        </w:tc>
        <w:tc>
          <w:tcPr>
            <w:tcW w:w="1741" w:type="dxa"/>
          </w:tcPr>
          <w:p w:rsidR="00000000" w:rsidRDefault="00000000">
            <w:pPr>
              <w:autoSpaceDE w:val="0"/>
              <w:autoSpaceDN w:val="0"/>
              <w:adjustRightInd w:val="0"/>
              <w:jc w:val="right"/>
              <w:rPr>
                <w:color w:val="000000"/>
                <w:szCs w:val="16"/>
              </w:rPr>
            </w:pPr>
            <w:r>
              <w:rPr>
                <w:color w:val="000000"/>
                <w:szCs w:val="16"/>
              </w:rPr>
              <w:t>910.977,8</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225"/>
              <w:rPr>
                <w:color w:val="000000"/>
                <w:szCs w:val="16"/>
              </w:rPr>
            </w:pPr>
            <w:r>
              <w:rPr>
                <w:color w:val="000000"/>
                <w:szCs w:val="16"/>
              </w:rPr>
              <w:t>I.II. Empresas públicas no financieras</w:t>
            </w:r>
          </w:p>
        </w:tc>
        <w:tc>
          <w:tcPr>
            <w:tcW w:w="1750" w:type="dxa"/>
          </w:tcPr>
          <w:p w:rsidR="00000000" w:rsidRDefault="00000000">
            <w:pPr>
              <w:autoSpaceDE w:val="0"/>
              <w:autoSpaceDN w:val="0"/>
              <w:adjustRightInd w:val="0"/>
              <w:jc w:val="right"/>
              <w:rPr>
                <w:color w:val="000000"/>
                <w:szCs w:val="16"/>
              </w:rPr>
            </w:pPr>
            <w:r>
              <w:rPr>
                <w:color w:val="000000"/>
                <w:szCs w:val="16"/>
              </w:rPr>
              <w:t>105.310.315,6</w:t>
            </w:r>
          </w:p>
        </w:tc>
        <w:tc>
          <w:tcPr>
            <w:tcW w:w="1741" w:type="dxa"/>
          </w:tcPr>
          <w:p w:rsidR="00000000" w:rsidRDefault="00000000">
            <w:pPr>
              <w:autoSpaceDE w:val="0"/>
              <w:autoSpaceDN w:val="0"/>
              <w:adjustRightInd w:val="0"/>
              <w:jc w:val="right"/>
              <w:rPr>
                <w:color w:val="000000"/>
                <w:szCs w:val="16"/>
              </w:rPr>
            </w:pPr>
            <w:r>
              <w:rPr>
                <w:color w:val="000000"/>
                <w:szCs w:val="16"/>
              </w:rPr>
              <w:t>413.959.204,4</w:t>
            </w:r>
          </w:p>
        </w:tc>
      </w:tr>
      <w:tr w:rsidR="00000000">
        <w:tblPrEx>
          <w:tblCellMar>
            <w:top w:w="0" w:type="dxa"/>
            <w:bottom w:w="0" w:type="dxa"/>
          </w:tblCellMar>
        </w:tblPrEx>
        <w:trPr>
          <w:trHeight w:val="20"/>
          <w:jc w:val="center"/>
        </w:trPr>
        <w:tc>
          <w:tcPr>
            <w:tcW w:w="5894" w:type="dxa"/>
          </w:tcPr>
          <w:p w:rsidR="00000000" w:rsidRDefault="00000000">
            <w:pPr>
              <w:keepNext/>
              <w:autoSpaceDE w:val="0"/>
              <w:autoSpaceDN w:val="0"/>
              <w:adjustRightInd w:val="0"/>
              <w:rPr>
                <w:color w:val="000000"/>
                <w:szCs w:val="16"/>
              </w:rPr>
            </w:pPr>
            <w:r>
              <w:rPr>
                <w:color w:val="000000"/>
                <w:szCs w:val="16"/>
              </w:rPr>
              <w:t>II. Sector público financiero</w:t>
            </w:r>
          </w:p>
        </w:tc>
        <w:tc>
          <w:tcPr>
            <w:tcW w:w="1750" w:type="dxa"/>
          </w:tcPr>
          <w:p w:rsidR="00000000" w:rsidRDefault="00000000">
            <w:pPr>
              <w:keepNext/>
              <w:autoSpaceDE w:val="0"/>
              <w:autoSpaceDN w:val="0"/>
              <w:adjustRightInd w:val="0"/>
              <w:jc w:val="right"/>
              <w:rPr>
                <w:color w:val="000000"/>
                <w:szCs w:val="16"/>
              </w:rPr>
            </w:pPr>
            <w:r>
              <w:rPr>
                <w:color w:val="000000"/>
                <w:szCs w:val="16"/>
              </w:rPr>
              <w:t>23.314.373,0</w:t>
            </w:r>
          </w:p>
        </w:tc>
        <w:tc>
          <w:tcPr>
            <w:tcW w:w="1741" w:type="dxa"/>
          </w:tcPr>
          <w:p w:rsidR="00000000" w:rsidRDefault="00000000">
            <w:pPr>
              <w:keepNext/>
              <w:autoSpaceDE w:val="0"/>
              <w:autoSpaceDN w:val="0"/>
              <w:adjustRightInd w:val="0"/>
              <w:jc w:val="right"/>
              <w:rPr>
                <w:color w:val="000000"/>
                <w:szCs w:val="16"/>
              </w:rPr>
            </w:pPr>
            <w:r>
              <w:rPr>
                <w:color w:val="000000"/>
                <w:szCs w:val="16"/>
              </w:rPr>
              <w:t>27.392.619,0</w:t>
            </w:r>
          </w:p>
        </w:tc>
      </w:tr>
      <w:tr w:rsidR="00000000">
        <w:tblPrEx>
          <w:tblCellMar>
            <w:top w:w="0" w:type="dxa"/>
            <w:bottom w:w="0" w:type="dxa"/>
          </w:tblCellMar>
        </w:tblPrEx>
        <w:trPr>
          <w:trHeight w:val="20"/>
          <w:jc w:val="center"/>
        </w:trPr>
        <w:tc>
          <w:tcPr>
            <w:tcW w:w="5894" w:type="dxa"/>
          </w:tcPr>
          <w:p w:rsidR="00000000" w:rsidRDefault="00000000">
            <w:pPr>
              <w:tabs>
                <w:tab w:val="left" w:pos="306"/>
                <w:tab w:val="left" w:pos="666"/>
              </w:tabs>
              <w:autoSpaceDE w:val="0"/>
              <w:autoSpaceDN w:val="0"/>
              <w:adjustRightInd w:val="0"/>
              <w:rPr>
                <w:color w:val="000000"/>
                <w:szCs w:val="16"/>
              </w:rPr>
            </w:pPr>
            <w:r>
              <w:rPr>
                <w:color w:val="000000"/>
                <w:szCs w:val="16"/>
              </w:rPr>
              <w:tab/>
              <w:t>A.</w:t>
            </w:r>
            <w:r>
              <w:rPr>
                <w:color w:val="000000"/>
                <w:szCs w:val="16"/>
              </w:rPr>
              <w:tab/>
              <w:t>Organismos multilaterales</w:t>
            </w:r>
          </w:p>
        </w:tc>
        <w:tc>
          <w:tcPr>
            <w:tcW w:w="1750" w:type="dxa"/>
          </w:tcPr>
          <w:p w:rsidR="00000000" w:rsidRDefault="00000000">
            <w:pPr>
              <w:autoSpaceDE w:val="0"/>
              <w:autoSpaceDN w:val="0"/>
              <w:adjustRightInd w:val="0"/>
              <w:rPr>
                <w:color w:val="000000"/>
                <w:szCs w:val="22"/>
              </w:rPr>
            </w:pPr>
            <w:r>
              <w:rPr>
                <w:color w:val="000000"/>
                <w:szCs w:val="22"/>
              </w:rPr>
              <w:t xml:space="preserve">1.256.626.048,4 </w:t>
            </w:r>
          </w:p>
        </w:tc>
        <w:tc>
          <w:tcPr>
            <w:tcW w:w="1741" w:type="dxa"/>
          </w:tcPr>
          <w:p w:rsidR="00000000" w:rsidRDefault="00000000">
            <w:pPr>
              <w:tabs>
                <w:tab w:val="decimal" w:pos="896"/>
              </w:tabs>
              <w:autoSpaceDE w:val="0"/>
              <w:autoSpaceDN w:val="0"/>
              <w:adjustRightInd w:val="0"/>
              <w:jc w:val="right"/>
              <w:rPr>
                <w:color w:val="000000"/>
                <w:szCs w:val="16"/>
              </w:rPr>
            </w:pPr>
            <w:r>
              <w:rPr>
                <w:color w:val="000000"/>
                <w:szCs w:val="16"/>
              </w:rPr>
              <w:t>55,6</w:t>
            </w:r>
          </w:p>
        </w:tc>
      </w:tr>
      <w:tr w:rsidR="00000000">
        <w:tblPrEx>
          <w:tblCellMar>
            <w:top w:w="0" w:type="dxa"/>
            <w:bottom w:w="0" w:type="dxa"/>
          </w:tblCellMar>
        </w:tblPrEx>
        <w:trPr>
          <w:trHeight w:val="20"/>
          <w:jc w:val="center"/>
        </w:trPr>
        <w:tc>
          <w:tcPr>
            <w:tcW w:w="5894" w:type="dxa"/>
          </w:tcPr>
          <w:p w:rsidR="00000000" w:rsidRDefault="00000000">
            <w:pPr>
              <w:tabs>
                <w:tab w:val="left" w:pos="306"/>
                <w:tab w:val="left" w:pos="666"/>
              </w:tabs>
              <w:autoSpaceDE w:val="0"/>
              <w:autoSpaceDN w:val="0"/>
              <w:adjustRightInd w:val="0"/>
              <w:rPr>
                <w:color w:val="000000"/>
                <w:szCs w:val="16"/>
              </w:rPr>
            </w:pPr>
            <w:r>
              <w:rPr>
                <w:color w:val="000000"/>
                <w:szCs w:val="16"/>
              </w:rPr>
              <w:tab/>
              <w:t>B.</w:t>
            </w:r>
            <w:r>
              <w:rPr>
                <w:color w:val="000000"/>
                <w:szCs w:val="16"/>
              </w:rPr>
              <w:tab/>
              <w:t>Bilaterales oficiales</w:t>
            </w:r>
          </w:p>
        </w:tc>
        <w:tc>
          <w:tcPr>
            <w:tcW w:w="1750" w:type="dxa"/>
          </w:tcPr>
          <w:p w:rsidR="00000000" w:rsidRDefault="00000000">
            <w:pPr>
              <w:autoSpaceDE w:val="0"/>
              <w:autoSpaceDN w:val="0"/>
              <w:adjustRightInd w:val="0"/>
              <w:rPr>
                <w:color w:val="000000"/>
                <w:szCs w:val="22"/>
              </w:rPr>
            </w:pPr>
            <w:r>
              <w:rPr>
                <w:color w:val="000000"/>
                <w:szCs w:val="22"/>
              </w:rPr>
              <w:t xml:space="preserve">1.001.505.214,1 </w:t>
            </w:r>
          </w:p>
        </w:tc>
        <w:tc>
          <w:tcPr>
            <w:tcW w:w="1741" w:type="dxa"/>
          </w:tcPr>
          <w:p w:rsidR="00000000" w:rsidRDefault="00000000">
            <w:pPr>
              <w:tabs>
                <w:tab w:val="decimal" w:pos="896"/>
              </w:tabs>
              <w:autoSpaceDE w:val="0"/>
              <w:autoSpaceDN w:val="0"/>
              <w:adjustRightInd w:val="0"/>
              <w:jc w:val="right"/>
              <w:rPr>
                <w:color w:val="000000"/>
                <w:szCs w:val="16"/>
              </w:rPr>
            </w:pPr>
            <w:r>
              <w:rPr>
                <w:color w:val="000000"/>
                <w:szCs w:val="16"/>
              </w:rPr>
              <w:t>44,4</w:t>
            </w:r>
          </w:p>
        </w:tc>
      </w:tr>
      <w:tr w:rsidR="00000000">
        <w:tblPrEx>
          <w:tblCellMar>
            <w:top w:w="0" w:type="dxa"/>
            <w:bottom w:w="0" w:type="dxa"/>
          </w:tblCellMar>
        </w:tblPrEx>
        <w:trPr>
          <w:trHeight w:val="20"/>
          <w:jc w:val="center"/>
        </w:trPr>
        <w:tc>
          <w:tcPr>
            <w:tcW w:w="5894" w:type="dxa"/>
          </w:tcPr>
          <w:p w:rsidR="00000000" w:rsidRDefault="00000000">
            <w:pPr>
              <w:tabs>
                <w:tab w:val="left" w:pos="306"/>
                <w:tab w:val="left" w:pos="666"/>
              </w:tabs>
              <w:autoSpaceDE w:val="0"/>
              <w:autoSpaceDN w:val="0"/>
              <w:adjustRightInd w:val="0"/>
              <w:rPr>
                <w:color w:val="000000"/>
                <w:szCs w:val="16"/>
              </w:rPr>
            </w:pPr>
            <w:r>
              <w:rPr>
                <w:color w:val="000000"/>
                <w:szCs w:val="16"/>
              </w:rPr>
              <w:tab/>
              <w:t>C.</w:t>
            </w:r>
            <w:r>
              <w:rPr>
                <w:color w:val="000000"/>
                <w:szCs w:val="16"/>
              </w:rPr>
              <w:tab/>
              <w:t>Bancos comerciales y provinciales privados</w:t>
            </w:r>
          </w:p>
        </w:tc>
        <w:tc>
          <w:tcPr>
            <w:tcW w:w="1750" w:type="dxa"/>
          </w:tcPr>
          <w:p w:rsidR="00000000" w:rsidRDefault="00000000">
            <w:pPr>
              <w:autoSpaceDE w:val="0"/>
              <w:autoSpaceDN w:val="0"/>
              <w:adjustRightInd w:val="0"/>
              <w:jc w:val="right"/>
              <w:rPr>
                <w:color w:val="000000"/>
                <w:szCs w:val="16"/>
              </w:rPr>
            </w:pPr>
            <w:r>
              <w:rPr>
                <w:color w:val="000000"/>
                <w:szCs w:val="16"/>
              </w:rPr>
              <w:t>0,0</w:t>
            </w:r>
          </w:p>
        </w:tc>
        <w:tc>
          <w:tcPr>
            <w:tcW w:w="1741" w:type="dxa"/>
          </w:tcPr>
          <w:p w:rsidR="00000000" w:rsidRDefault="00000000">
            <w:pPr>
              <w:tabs>
                <w:tab w:val="decimal" w:pos="896"/>
              </w:tabs>
              <w:autoSpaceDE w:val="0"/>
              <w:autoSpaceDN w:val="0"/>
              <w:adjustRightInd w:val="0"/>
              <w:jc w:val="right"/>
              <w:rPr>
                <w:color w:val="000000"/>
                <w:szCs w:val="16"/>
              </w:rPr>
            </w:pPr>
            <w:r>
              <w:rPr>
                <w:color w:val="000000"/>
                <w:szCs w:val="16"/>
              </w:rPr>
              <w:t>0,0</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left="666"/>
              <w:rPr>
                <w:b/>
                <w:bCs/>
                <w:color w:val="000000"/>
                <w:szCs w:val="16"/>
              </w:rPr>
            </w:pPr>
            <w:r>
              <w:rPr>
                <w:b/>
                <w:bCs/>
                <w:color w:val="000000"/>
                <w:szCs w:val="16"/>
              </w:rPr>
              <w:t>Total (A+B+C)</w:t>
            </w:r>
          </w:p>
        </w:tc>
        <w:tc>
          <w:tcPr>
            <w:tcW w:w="1750" w:type="dxa"/>
          </w:tcPr>
          <w:p w:rsidR="00000000" w:rsidRDefault="00000000">
            <w:pPr>
              <w:autoSpaceDE w:val="0"/>
              <w:autoSpaceDN w:val="0"/>
              <w:adjustRightInd w:val="0"/>
              <w:rPr>
                <w:b/>
                <w:bCs/>
                <w:color w:val="000000"/>
                <w:szCs w:val="26"/>
              </w:rPr>
            </w:pPr>
            <w:r>
              <w:rPr>
                <w:b/>
                <w:bCs/>
                <w:color w:val="000000"/>
                <w:szCs w:val="26"/>
              </w:rPr>
              <w:t xml:space="preserve">2.258.131.262,5 </w:t>
            </w:r>
          </w:p>
        </w:tc>
        <w:tc>
          <w:tcPr>
            <w:tcW w:w="1741" w:type="dxa"/>
          </w:tcPr>
          <w:p w:rsidR="00000000" w:rsidRDefault="00000000">
            <w:pPr>
              <w:autoSpaceDE w:val="0"/>
              <w:autoSpaceDN w:val="0"/>
              <w:adjustRightInd w:val="0"/>
              <w:jc w:val="right"/>
              <w:rPr>
                <w:b/>
                <w:bCs/>
                <w:color w:val="000000"/>
                <w:szCs w:val="26"/>
              </w:rPr>
            </w:pPr>
            <w:r>
              <w:rPr>
                <w:b/>
                <w:bCs/>
                <w:color w:val="000000"/>
                <w:szCs w:val="26"/>
              </w:rPr>
              <w:t>100,0</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left="1026"/>
              <w:rPr>
                <w:b/>
                <w:bCs/>
                <w:color w:val="000000"/>
                <w:szCs w:val="16"/>
              </w:rPr>
            </w:pPr>
            <w:r>
              <w:rPr>
                <w:b/>
                <w:bCs/>
                <w:color w:val="000000"/>
                <w:szCs w:val="16"/>
              </w:rPr>
              <w:t>Total del sector público (I+II)</w:t>
            </w:r>
          </w:p>
        </w:tc>
        <w:tc>
          <w:tcPr>
            <w:tcW w:w="1750" w:type="dxa"/>
          </w:tcPr>
          <w:p w:rsidR="00000000" w:rsidRDefault="00000000">
            <w:pPr>
              <w:autoSpaceDE w:val="0"/>
              <w:autoSpaceDN w:val="0"/>
              <w:adjustRightInd w:val="0"/>
              <w:rPr>
                <w:b/>
                <w:bCs/>
                <w:color w:val="000000"/>
                <w:szCs w:val="26"/>
              </w:rPr>
            </w:pPr>
            <w:r>
              <w:rPr>
                <w:b/>
                <w:bCs/>
                <w:color w:val="000000"/>
                <w:szCs w:val="26"/>
              </w:rPr>
              <w:t>2.258.131.262,5</w:t>
            </w:r>
          </w:p>
        </w:tc>
        <w:tc>
          <w:tcPr>
            <w:tcW w:w="1741" w:type="dxa"/>
          </w:tcPr>
          <w:p w:rsidR="00000000" w:rsidRDefault="00000000">
            <w:pPr>
              <w:autoSpaceDE w:val="0"/>
              <w:autoSpaceDN w:val="0"/>
              <w:adjustRightInd w:val="0"/>
              <w:jc w:val="center"/>
              <w:rPr>
                <w:b/>
                <w:bCs/>
                <w:color w:val="000000"/>
                <w:szCs w:val="26"/>
              </w:rPr>
            </w:pPr>
            <w:r>
              <w:rPr>
                <w:b/>
                <w:bCs/>
                <w:color w:val="000000"/>
                <w:szCs w:val="26"/>
              </w:rPr>
              <w:t>2.258.131.262,5</w:t>
            </w:r>
          </w:p>
        </w:tc>
      </w:tr>
    </w:tbl>
    <w:p w:rsidR="00000000" w:rsidRDefault="00000000">
      <w:pPr>
        <w:spacing w:before="240" w:after="240"/>
        <w:rPr>
          <w:color w:val="000000"/>
          <w:szCs w:val="16"/>
        </w:rPr>
      </w:pPr>
      <w:r>
        <w:rPr>
          <w:i/>
          <w:iCs/>
          <w:color w:val="000000"/>
          <w:szCs w:val="16"/>
        </w:rPr>
        <w:t>Fuente</w:t>
      </w:r>
      <w:r>
        <w:rPr>
          <w:color w:val="000000"/>
          <w:szCs w:val="16"/>
        </w:rPr>
        <w:t>:  SIGADE-BROWSER 2.0, Reporte del 1º de febrero de 2006, 11.05 horas.  Tipo de cambio al 30 de diciembre de 2005, cifras preliminares.</w:t>
      </w:r>
    </w:p>
    <w:p w:rsidR="00000000" w:rsidRDefault="00000000">
      <w:pPr>
        <w:spacing w:after="240"/>
        <w:rPr>
          <w:color w:val="000000"/>
          <w:szCs w:val="16"/>
        </w:rPr>
      </w:pPr>
      <w:r>
        <w:rPr>
          <w:i/>
          <w:iCs/>
          <w:color w:val="000000"/>
          <w:szCs w:val="16"/>
        </w:rPr>
        <w:t xml:space="preserve">Nota:  </w:t>
      </w:r>
      <w:r>
        <w:rPr>
          <w:color w:val="000000"/>
          <w:szCs w:val="16"/>
        </w:rPr>
        <w:t>El saldo insoluto es el monto desembolsado y pendiente de reembolso más los compromisos vencidos e impagos.</w:t>
      </w:r>
    </w:p>
    <w:p w:rsidR="00000000" w:rsidRDefault="00000000">
      <w:pPr>
        <w:spacing w:after="240"/>
        <w:rPr>
          <w:color w:val="000000"/>
          <w:szCs w:val="16"/>
        </w:rPr>
      </w:pPr>
      <w:r>
        <w:rPr>
          <w:color w:val="000000"/>
          <w:szCs w:val="16"/>
        </w:rPr>
        <w:tab/>
        <w:t>Deudor:  es el deudor legal del préstamo de acuerdo al convenio.</w:t>
      </w:r>
    </w:p>
    <w:p w:rsidR="00000000" w:rsidRDefault="00000000">
      <w:pPr>
        <w:spacing w:after="240"/>
        <w:rPr>
          <w:color w:val="000000"/>
          <w:szCs w:val="16"/>
        </w:rPr>
      </w:pPr>
      <w:r>
        <w:rPr>
          <w:color w:val="000000"/>
          <w:szCs w:val="16"/>
        </w:rPr>
        <w:tab/>
        <w:t>Pagador:  es el que efectivamente asume el servicio de la deuda.</w:t>
      </w:r>
    </w:p>
    <w:p w:rsidR="00000000" w:rsidRDefault="00000000">
      <w:pPr>
        <w:spacing w:after="240"/>
        <w:rPr>
          <w:color w:val="000000"/>
          <w:szCs w:val="16"/>
        </w:rPr>
      </w:pPr>
      <w:r>
        <w:rPr>
          <w:b/>
          <w:bCs/>
          <w:color w:val="000000"/>
          <w:szCs w:val="16"/>
          <w:vertAlign w:val="superscript"/>
        </w:rPr>
        <w:t>*</w:t>
      </w:r>
      <w:r>
        <w:rPr>
          <w:color w:val="000000"/>
          <w:szCs w:val="16"/>
        </w:rPr>
        <w:t xml:space="preserve"> En MH de la Administración central (AC) se incluye los montos pagados con cargo a otras Entidades Públicas fuera de la AC.</w:t>
      </w:r>
    </w:p>
    <w:p w:rsidR="00000000" w:rsidRDefault="00000000">
      <w:pPr>
        <w:spacing w:after="240"/>
        <w:rPr>
          <w:color w:val="000000"/>
          <w:szCs w:val="16"/>
        </w:rPr>
      </w:pPr>
      <w:r>
        <w:rPr>
          <w:b/>
          <w:bCs/>
          <w:color w:val="000000"/>
          <w:szCs w:val="16"/>
          <w:vertAlign w:val="superscript"/>
        </w:rPr>
        <w:t>**</w:t>
      </w:r>
      <w:r>
        <w:rPr>
          <w:color w:val="000000"/>
          <w:szCs w:val="16"/>
        </w:rPr>
        <w:t xml:space="preserve"> No incluye préstamos de la ANDE con el Banco do Brasil S.A. (saldo al 31 de diciembre de 2003, 66,7 millones de dólares de los EE.UU.) y Banco Nación Argentina.  Saldo al 31 de diciembre de 2003, 48,3 millones de dólares de los EE.UU., para integración de capital a las entidades Binacional Itaipú y Yacyretá.</w:t>
      </w:r>
    </w:p>
    <w:p w:rsidR="00000000" w:rsidRDefault="00000000">
      <w:pPr>
        <w:spacing w:after="480"/>
        <w:rPr>
          <w:color w:val="000000"/>
        </w:rPr>
      </w:pPr>
      <w:r>
        <w:rPr>
          <w:b/>
          <w:bCs/>
          <w:color w:val="000000"/>
          <w:szCs w:val="16"/>
          <w:vertAlign w:val="superscript"/>
        </w:rPr>
        <w:t>1</w:t>
      </w:r>
      <w:r>
        <w:rPr>
          <w:color w:val="000000"/>
          <w:szCs w:val="16"/>
          <w:vertAlign w:val="superscript"/>
        </w:rPr>
        <w:t xml:space="preserve"> </w:t>
      </w:r>
      <w:r>
        <w:rPr>
          <w:color w:val="000000"/>
          <w:szCs w:val="16"/>
        </w:rPr>
        <w:t>Deuda bonificada:  Chinatrust 200.000.000 dólares - ICBC 200.000.000 dólares.</w:t>
      </w:r>
    </w:p>
    <w:p w:rsidR="00000000" w:rsidRDefault="00000000">
      <w:pPr>
        <w:autoSpaceDE w:val="0"/>
        <w:autoSpaceDN w:val="0"/>
        <w:adjustRightInd w:val="0"/>
        <w:spacing w:after="240"/>
        <w:rPr>
          <w:color w:val="000000"/>
        </w:rPr>
      </w:pPr>
      <w:r>
        <w:rPr>
          <w:color w:val="000000"/>
        </w:rPr>
        <w:t>41.</w:t>
      </w:r>
      <w:r>
        <w:rPr>
          <w:color w:val="000000"/>
        </w:rPr>
        <w:tab/>
        <w:t xml:space="preserve">Según datos </w:t>
      </w:r>
      <w:r>
        <w:t>más</w:t>
      </w:r>
      <w:r>
        <w:rPr>
          <w:color w:val="000000"/>
        </w:rPr>
        <w:t xml:space="preserve"> actualizados proporcionados por la misma institución, con relación a la deuda pública externa se puede distinguir los siguientes agregados.  </w:t>
      </w:r>
    </w:p>
    <w:p w:rsidR="00000000" w:rsidRDefault="00000000">
      <w:pPr>
        <w:spacing w:after="240"/>
        <w:jc w:val="center"/>
        <w:rPr>
          <w:b/>
          <w:bCs/>
          <w:color w:val="000000"/>
        </w:rPr>
      </w:pPr>
      <w:r>
        <w:rPr>
          <w:b/>
          <w:bCs/>
          <w:color w:val="000000"/>
        </w:rPr>
        <w:t>F.  Indicadores culturales</w:t>
      </w:r>
      <w:r>
        <w:rPr>
          <w:rStyle w:val="FootnoteReference"/>
          <w:color w:val="000000"/>
        </w:rPr>
        <w:footnoteReference w:id="7"/>
      </w:r>
    </w:p>
    <w:p w:rsidR="00000000" w:rsidRDefault="00000000">
      <w:pPr>
        <w:spacing w:after="240"/>
        <w:rPr>
          <w:b/>
          <w:color w:val="000000"/>
        </w:rPr>
      </w:pPr>
      <w:r>
        <w:rPr>
          <w:b/>
          <w:color w:val="000000"/>
        </w:rPr>
        <w:t>1.</w:t>
      </w:r>
      <w:r>
        <w:rPr>
          <w:b/>
          <w:color w:val="000000"/>
        </w:rPr>
        <w:tab/>
        <w:t>Índice de matriculación escolar</w:t>
      </w:r>
    </w:p>
    <w:p w:rsidR="00000000" w:rsidRDefault="00000000">
      <w:pPr>
        <w:autoSpaceDE w:val="0"/>
        <w:autoSpaceDN w:val="0"/>
        <w:adjustRightInd w:val="0"/>
        <w:spacing w:after="240"/>
      </w:pPr>
      <w:r>
        <w:t>42.</w:t>
      </w:r>
      <w:r>
        <w:tab/>
        <w:t>Los índices globales de matriculación en educación primaria y secundaria (zonas urbanas y rurales) se conocen como tasa bruta y tasa neta de escolarización.  A continuación el cuadro respectivo.</w:t>
      </w:r>
    </w:p>
    <w:p w:rsidR="00000000" w:rsidRDefault="00000000">
      <w:pPr>
        <w:keepNext/>
        <w:spacing w:after="200"/>
        <w:jc w:val="center"/>
        <w:rPr>
          <w:b/>
          <w:bCs/>
          <w:szCs w:val="20"/>
        </w:rPr>
      </w:pPr>
      <w:r>
        <w:rPr>
          <w:b/>
          <w:bCs/>
          <w:szCs w:val="20"/>
        </w:rPr>
        <w:t>Tasa de escolarización bruta y neta, por nivel, según zona, 1994-2000</w:t>
      </w:r>
    </w:p>
    <w:p w:rsidR="00000000" w:rsidRDefault="00000000">
      <w:pPr>
        <w:keepNext/>
        <w:spacing w:after="200"/>
        <w:jc w:val="center"/>
        <w:rPr>
          <w:szCs w:val="20"/>
        </w:rPr>
      </w:pPr>
      <w:r>
        <w:rPr>
          <w:szCs w:val="20"/>
        </w:rP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4"/>
        <w:gridCol w:w="1055"/>
        <w:gridCol w:w="1055"/>
        <w:gridCol w:w="1055"/>
        <w:gridCol w:w="1055"/>
        <w:gridCol w:w="1055"/>
        <w:gridCol w:w="1055"/>
        <w:gridCol w:w="1055"/>
        <w:gridCol w:w="1055"/>
      </w:tblGrid>
      <w:tr w:rsidR="00000000">
        <w:tblPrEx>
          <w:tblCellMar>
            <w:top w:w="0" w:type="dxa"/>
            <w:bottom w:w="0" w:type="dxa"/>
          </w:tblCellMar>
        </w:tblPrEx>
        <w:trPr>
          <w:cantSplit/>
        </w:trPr>
        <w:tc>
          <w:tcPr>
            <w:tcW w:w="1055" w:type="dxa"/>
            <w:vMerge w:val="restart"/>
            <w:vAlign w:val="center"/>
          </w:tcPr>
          <w:p w:rsidR="00000000" w:rsidRDefault="00000000">
            <w:pPr>
              <w:jc w:val="center"/>
              <w:rPr>
                <w:b/>
                <w:bCs/>
                <w:szCs w:val="20"/>
              </w:rPr>
            </w:pPr>
            <w:r>
              <w:rPr>
                <w:b/>
                <w:bCs/>
                <w:szCs w:val="20"/>
              </w:rPr>
              <w:t>Año</w:t>
            </w:r>
          </w:p>
        </w:tc>
        <w:tc>
          <w:tcPr>
            <w:tcW w:w="4220" w:type="dxa"/>
            <w:gridSpan w:val="4"/>
            <w:vAlign w:val="center"/>
          </w:tcPr>
          <w:p w:rsidR="00000000" w:rsidRDefault="00000000">
            <w:pPr>
              <w:jc w:val="center"/>
              <w:rPr>
                <w:b/>
                <w:bCs/>
                <w:szCs w:val="20"/>
              </w:rPr>
            </w:pPr>
            <w:r>
              <w:rPr>
                <w:b/>
                <w:bCs/>
                <w:szCs w:val="20"/>
              </w:rPr>
              <w:t>Educación escolar básica</w:t>
            </w:r>
          </w:p>
        </w:tc>
        <w:tc>
          <w:tcPr>
            <w:tcW w:w="4220" w:type="dxa"/>
            <w:gridSpan w:val="4"/>
            <w:vAlign w:val="center"/>
          </w:tcPr>
          <w:p w:rsidR="00000000" w:rsidRDefault="00000000">
            <w:pPr>
              <w:jc w:val="center"/>
              <w:rPr>
                <w:b/>
                <w:bCs/>
                <w:szCs w:val="20"/>
              </w:rPr>
            </w:pPr>
            <w:r>
              <w:rPr>
                <w:b/>
                <w:bCs/>
                <w:szCs w:val="20"/>
              </w:rPr>
              <w:t>Educación media</w:t>
            </w:r>
          </w:p>
        </w:tc>
      </w:tr>
      <w:tr w:rsidR="00000000">
        <w:tblPrEx>
          <w:tblCellMar>
            <w:top w:w="0" w:type="dxa"/>
            <w:bottom w:w="0" w:type="dxa"/>
          </w:tblCellMar>
        </w:tblPrEx>
        <w:trPr>
          <w:cantSplit/>
        </w:trPr>
        <w:tc>
          <w:tcPr>
            <w:tcW w:w="1055" w:type="dxa"/>
            <w:vMerge/>
            <w:vAlign w:val="center"/>
          </w:tcPr>
          <w:p w:rsidR="00000000" w:rsidRDefault="00000000">
            <w:pPr>
              <w:jc w:val="center"/>
              <w:rPr>
                <w:b/>
                <w:bCs/>
                <w:szCs w:val="20"/>
              </w:rPr>
            </w:pPr>
          </w:p>
        </w:tc>
        <w:tc>
          <w:tcPr>
            <w:tcW w:w="2110" w:type="dxa"/>
            <w:gridSpan w:val="2"/>
            <w:vAlign w:val="center"/>
          </w:tcPr>
          <w:p w:rsidR="00000000" w:rsidRDefault="00000000">
            <w:pPr>
              <w:jc w:val="center"/>
              <w:rPr>
                <w:b/>
                <w:bCs/>
                <w:szCs w:val="20"/>
              </w:rPr>
            </w:pPr>
            <w:r>
              <w:rPr>
                <w:b/>
                <w:bCs/>
                <w:szCs w:val="20"/>
              </w:rPr>
              <w:t>Zona urbana</w:t>
            </w:r>
          </w:p>
        </w:tc>
        <w:tc>
          <w:tcPr>
            <w:tcW w:w="2110" w:type="dxa"/>
            <w:gridSpan w:val="2"/>
            <w:vAlign w:val="center"/>
          </w:tcPr>
          <w:p w:rsidR="00000000" w:rsidRDefault="00000000">
            <w:pPr>
              <w:jc w:val="center"/>
              <w:rPr>
                <w:b/>
                <w:bCs/>
                <w:szCs w:val="20"/>
              </w:rPr>
            </w:pPr>
            <w:r>
              <w:rPr>
                <w:b/>
                <w:bCs/>
                <w:szCs w:val="20"/>
              </w:rPr>
              <w:t>Zona rural</w:t>
            </w:r>
          </w:p>
        </w:tc>
        <w:tc>
          <w:tcPr>
            <w:tcW w:w="2110" w:type="dxa"/>
            <w:gridSpan w:val="2"/>
            <w:vAlign w:val="center"/>
          </w:tcPr>
          <w:p w:rsidR="00000000" w:rsidRDefault="00000000">
            <w:pPr>
              <w:jc w:val="center"/>
              <w:rPr>
                <w:b/>
                <w:bCs/>
                <w:szCs w:val="20"/>
              </w:rPr>
            </w:pPr>
            <w:r>
              <w:rPr>
                <w:b/>
                <w:bCs/>
                <w:szCs w:val="20"/>
              </w:rPr>
              <w:t>Zona urbana</w:t>
            </w:r>
          </w:p>
        </w:tc>
        <w:tc>
          <w:tcPr>
            <w:tcW w:w="2110" w:type="dxa"/>
            <w:gridSpan w:val="2"/>
            <w:vAlign w:val="center"/>
          </w:tcPr>
          <w:p w:rsidR="00000000" w:rsidRDefault="00000000">
            <w:pPr>
              <w:jc w:val="center"/>
              <w:rPr>
                <w:b/>
                <w:bCs/>
                <w:szCs w:val="20"/>
              </w:rPr>
            </w:pPr>
            <w:r>
              <w:rPr>
                <w:b/>
                <w:bCs/>
                <w:szCs w:val="20"/>
              </w:rPr>
              <w:t>Zona rural</w:t>
            </w:r>
          </w:p>
        </w:tc>
      </w:tr>
      <w:tr w:rsidR="00000000">
        <w:tblPrEx>
          <w:tblCellMar>
            <w:top w:w="0" w:type="dxa"/>
            <w:bottom w:w="0" w:type="dxa"/>
          </w:tblCellMar>
        </w:tblPrEx>
        <w:tc>
          <w:tcPr>
            <w:tcW w:w="1055" w:type="dxa"/>
          </w:tcPr>
          <w:p w:rsidR="00000000" w:rsidRDefault="00000000">
            <w:pPr>
              <w:jc w:val="center"/>
              <w:rPr>
                <w:szCs w:val="20"/>
              </w:rPr>
            </w:pPr>
            <w:r>
              <w:rPr>
                <w:szCs w:val="20"/>
              </w:rPr>
              <w:t>1994</w:t>
            </w:r>
          </w:p>
        </w:tc>
        <w:tc>
          <w:tcPr>
            <w:tcW w:w="1055" w:type="dxa"/>
          </w:tcPr>
          <w:p w:rsidR="00000000" w:rsidRDefault="00000000">
            <w:pPr>
              <w:jc w:val="center"/>
              <w:rPr>
                <w:szCs w:val="20"/>
              </w:rPr>
            </w:pPr>
            <w:r>
              <w:rPr>
                <w:szCs w:val="20"/>
              </w:rPr>
              <w:t>133</w:t>
            </w:r>
          </w:p>
        </w:tc>
        <w:tc>
          <w:tcPr>
            <w:tcW w:w="1055" w:type="dxa"/>
          </w:tcPr>
          <w:p w:rsidR="00000000" w:rsidRDefault="00000000">
            <w:pPr>
              <w:jc w:val="center"/>
              <w:rPr>
                <w:szCs w:val="20"/>
              </w:rPr>
            </w:pPr>
            <w:r>
              <w:rPr>
                <w:szCs w:val="20"/>
              </w:rPr>
              <w:t>69</w:t>
            </w:r>
          </w:p>
        </w:tc>
        <w:tc>
          <w:tcPr>
            <w:tcW w:w="1055" w:type="dxa"/>
          </w:tcPr>
          <w:p w:rsidR="00000000" w:rsidRDefault="00000000">
            <w:pPr>
              <w:jc w:val="center"/>
              <w:rPr>
                <w:szCs w:val="20"/>
              </w:rPr>
            </w:pPr>
            <w:r>
              <w:rPr>
                <w:szCs w:val="20"/>
              </w:rPr>
              <w:t>127</w:t>
            </w:r>
          </w:p>
        </w:tc>
        <w:tc>
          <w:tcPr>
            <w:tcW w:w="1055" w:type="dxa"/>
          </w:tcPr>
          <w:p w:rsidR="00000000" w:rsidRDefault="00000000">
            <w:pPr>
              <w:jc w:val="center"/>
              <w:rPr>
                <w:szCs w:val="20"/>
              </w:rPr>
            </w:pPr>
            <w:r>
              <w:rPr>
                <w:szCs w:val="20"/>
              </w:rPr>
              <w:t>56</w:t>
            </w:r>
          </w:p>
        </w:tc>
        <w:tc>
          <w:tcPr>
            <w:tcW w:w="1055" w:type="dxa"/>
          </w:tcPr>
          <w:p w:rsidR="00000000" w:rsidRDefault="00000000">
            <w:pPr>
              <w:jc w:val="center"/>
              <w:rPr>
                <w:szCs w:val="20"/>
              </w:rPr>
            </w:pPr>
            <w:r>
              <w:rPr>
                <w:szCs w:val="20"/>
              </w:rPr>
              <w:t>45</w:t>
            </w:r>
          </w:p>
        </w:tc>
        <w:tc>
          <w:tcPr>
            <w:tcW w:w="1055" w:type="dxa"/>
          </w:tcPr>
          <w:p w:rsidR="00000000" w:rsidRDefault="00000000">
            <w:pPr>
              <w:jc w:val="center"/>
              <w:rPr>
                <w:szCs w:val="20"/>
              </w:rPr>
            </w:pPr>
            <w:r>
              <w:rPr>
                <w:szCs w:val="20"/>
              </w:rPr>
              <w:t>33</w:t>
            </w:r>
          </w:p>
        </w:tc>
        <w:tc>
          <w:tcPr>
            <w:tcW w:w="1055" w:type="dxa"/>
          </w:tcPr>
          <w:p w:rsidR="00000000" w:rsidRDefault="00000000">
            <w:pPr>
              <w:ind w:right="340"/>
              <w:jc w:val="right"/>
              <w:rPr>
                <w:szCs w:val="20"/>
              </w:rPr>
            </w:pPr>
            <w:r>
              <w:rPr>
                <w:szCs w:val="20"/>
              </w:rPr>
              <w:t>6</w:t>
            </w:r>
          </w:p>
        </w:tc>
        <w:tc>
          <w:tcPr>
            <w:tcW w:w="1055" w:type="dxa"/>
          </w:tcPr>
          <w:p w:rsidR="00000000" w:rsidRDefault="00000000">
            <w:pPr>
              <w:ind w:right="340"/>
              <w:jc w:val="right"/>
              <w:rPr>
                <w:szCs w:val="20"/>
              </w:rPr>
            </w:pPr>
            <w:r>
              <w:rPr>
                <w:szCs w:val="20"/>
              </w:rPr>
              <w:t>4</w:t>
            </w:r>
          </w:p>
        </w:tc>
      </w:tr>
      <w:tr w:rsidR="00000000">
        <w:tblPrEx>
          <w:tblCellMar>
            <w:top w:w="0" w:type="dxa"/>
            <w:bottom w:w="0" w:type="dxa"/>
          </w:tblCellMar>
        </w:tblPrEx>
        <w:tc>
          <w:tcPr>
            <w:tcW w:w="1055" w:type="dxa"/>
          </w:tcPr>
          <w:p w:rsidR="00000000" w:rsidRDefault="00000000">
            <w:pPr>
              <w:jc w:val="center"/>
              <w:rPr>
                <w:szCs w:val="20"/>
              </w:rPr>
            </w:pPr>
            <w:r>
              <w:rPr>
                <w:szCs w:val="20"/>
              </w:rPr>
              <w:t>1995</w:t>
            </w:r>
          </w:p>
        </w:tc>
        <w:tc>
          <w:tcPr>
            <w:tcW w:w="1055" w:type="dxa"/>
          </w:tcPr>
          <w:p w:rsidR="00000000" w:rsidRDefault="00000000">
            <w:pPr>
              <w:jc w:val="center"/>
              <w:rPr>
                <w:szCs w:val="20"/>
              </w:rPr>
            </w:pPr>
            <w:r>
              <w:rPr>
                <w:szCs w:val="20"/>
              </w:rPr>
              <w:t>125</w:t>
            </w:r>
          </w:p>
        </w:tc>
        <w:tc>
          <w:tcPr>
            <w:tcW w:w="1055" w:type="dxa"/>
          </w:tcPr>
          <w:p w:rsidR="00000000" w:rsidRDefault="00000000">
            <w:pPr>
              <w:jc w:val="center"/>
              <w:rPr>
                <w:szCs w:val="20"/>
              </w:rPr>
            </w:pPr>
            <w:r>
              <w:rPr>
                <w:szCs w:val="20"/>
              </w:rPr>
              <w:t>76</w:t>
            </w:r>
          </w:p>
        </w:tc>
        <w:tc>
          <w:tcPr>
            <w:tcW w:w="1055" w:type="dxa"/>
          </w:tcPr>
          <w:p w:rsidR="00000000" w:rsidRDefault="00000000">
            <w:pPr>
              <w:jc w:val="center"/>
              <w:rPr>
                <w:szCs w:val="20"/>
              </w:rPr>
            </w:pPr>
            <w:r>
              <w:rPr>
                <w:szCs w:val="20"/>
              </w:rPr>
              <w:t>122</w:t>
            </w:r>
          </w:p>
        </w:tc>
        <w:tc>
          <w:tcPr>
            <w:tcW w:w="1055" w:type="dxa"/>
          </w:tcPr>
          <w:p w:rsidR="00000000" w:rsidRDefault="00000000">
            <w:pPr>
              <w:jc w:val="center"/>
              <w:rPr>
                <w:szCs w:val="20"/>
              </w:rPr>
            </w:pPr>
            <w:r>
              <w:rPr>
                <w:szCs w:val="20"/>
              </w:rPr>
              <w:t>61</w:t>
            </w:r>
          </w:p>
        </w:tc>
        <w:tc>
          <w:tcPr>
            <w:tcW w:w="1055" w:type="dxa"/>
          </w:tcPr>
          <w:p w:rsidR="00000000" w:rsidRDefault="00000000">
            <w:pPr>
              <w:jc w:val="center"/>
              <w:rPr>
                <w:szCs w:val="20"/>
              </w:rPr>
            </w:pPr>
            <w:r>
              <w:rPr>
                <w:szCs w:val="20"/>
              </w:rPr>
              <w:t>49</w:t>
            </w:r>
          </w:p>
        </w:tc>
        <w:tc>
          <w:tcPr>
            <w:tcW w:w="1055" w:type="dxa"/>
          </w:tcPr>
          <w:p w:rsidR="00000000" w:rsidRDefault="00000000">
            <w:pPr>
              <w:jc w:val="center"/>
              <w:rPr>
                <w:szCs w:val="20"/>
              </w:rPr>
            </w:pPr>
            <w:r>
              <w:rPr>
                <w:szCs w:val="20"/>
              </w:rPr>
              <w:t>36</w:t>
            </w:r>
          </w:p>
        </w:tc>
        <w:tc>
          <w:tcPr>
            <w:tcW w:w="1055" w:type="dxa"/>
          </w:tcPr>
          <w:p w:rsidR="00000000" w:rsidRDefault="00000000">
            <w:pPr>
              <w:ind w:right="340"/>
              <w:jc w:val="right"/>
              <w:rPr>
                <w:szCs w:val="20"/>
              </w:rPr>
            </w:pPr>
            <w:r>
              <w:rPr>
                <w:szCs w:val="20"/>
              </w:rPr>
              <w:t>7</w:t>
            </w:r>
          </w:p>
        </w:tc>
        <w:tc>
          <w:tcPr>
            <w:tcW w:w="1055" w:type="dxa"/>
          </w:tcPr>
          <w:p w:rsidR="00000000" w:rsidRDefault="00000000">
            <w:pPr>
              <w:ind w:right="340"/>
              <w:jc w:val="right"/>
              <w:rPr>
                <w:szCs w:val="20"/>
              </w:rPr>
            </w:pPr>
            <w:r>
              <w:rPr>
                <w:szCs w:val="20"/>
              </w:rPr>
              <w:t>5</w:t>
            </w:r>
          </w:p>
        </w:tc>
      </w:tr>
      <w:tr w:rsidR="00000000">
        <w:tblPrEx>
          <w:tblCellMar>
            <w:top w:w="0" w:type="dxa"/>
            <w:bottom w:w="0" w:type="dxa"/>
          </w:tblCellMar>
        </w:tblPrEx>
        <w:tc>
          <w:tcPr>
            <w:tcW w:w="1055" w:type="dxa"/>
          </w:tcPr>
          <w:p w:rsidR="00000000" w:rsidRDefault="00000000">
            <w:pPr>
              <w:jc w:val="center"/>
              <w:rPr>
                <w:szCs w:val="20"/>
              </w:rPr>
            </w:pPr>
            <w:r>
              <w:rPr>
                <w:szCs w:val="20"/>
              </w:rPr>
              <w:t>1996</w:t>
            </w:r>
          </w:p>
        </w:tc>
        <w:tc>
          <w:tcPr>
            <w:tcW w:w="1055" w:type="dxa"/>
          </w:tcPr>
          <w:p w:rsidR="00000000" w:rsidRDefault="00000000">
            <w:pPr>
              <w:jc w:val="center"/>
              <w:rPr>
                <w:szCs w:val="20"/>
              </w:rPr>
            </w:pPr>
            <w:r>
              <w:rPr>
                <w:szCs w:val="20"/>
              </w:rPr>
              <w:t>120</w:t>
            </w:r>
          </w:p>
        </w:tc>
        <w:tc>
          <w:tcPr>
            <w:tcW w:w="1055" w:type="dxa"/>
          </w:tcPr>
          <w:p w:rsidR="00000000" w:rsidRDefault="00000000">
            <w:pPr>
              <w:jc w:val="center"/>
              <w:rPr>
                <w:szCs w:val="20"/>
              </w:rPr>
            </w:pPr>
            <w:r>
              <w:rPr>
                <w:szCs w:val="20"/>
              </w:rPr>
              <w:t>78</w:t>
            </w:r>
          </w:p>
        </w:tc>
        <w:tc>
          <w:tcPr>
            <w:tcW w:w="1055" w:type="dxa"/>
          </w:tcPr>
          <w:p w:rsidR="00000000" w:rsidRDefault="00000000">
            <w:pPr>
              <w:jc w:val="center"/>
              <w:rPr>
                <w:szCs w:val="20"/>
              </w:rPr>
            </w:pPr>
            <w:r>
              <w:rPr>
                <w:szCs w:val="20"/>
              </w:rPr>
              <w:t>123</w:t>
            </w:r>
          </w:p>
        </w:tc>
        <w:tc>
          <w:tcPr>
            <w:tcW w:w="1055" w:type="dxa"/>
          </w:tcPr>
          <w:p w:rsidR="00000000" w:rsidRDefault="00000000">
            <w:pPr>
              <w:jc w:val="center"/>
              <w:rPr>
                <w:szCs w:val="20"/>
              </w:rPr>
            </w:pPr>
            <w:r>
              <w:rPr>
                <w:szCs w:val="20"/>
              </w:rPr>
              <w:t>66</w:t>
            </w:r>
          </w:p>
        </w:tc>
        <w:tc>
          <w:tcPr>
            <w:tcW w:w="1055" w:type="dxa"/>
          </w:tcPr>
          <w:p w:rsidR="00000000" w:rsidRDefault="00000000">
            <w:pPr>
              <w:jc w:val="center"/>
              <w:rPr>
                <w:szCs w:val="20"/>
              </w:rPr>
            </w:pPr>
            <w:r>
              <w:rPr>
                <w:szCs w:val="20"/>
              </w:rPr>
              <w:t>54</w:t>
            </w:r>
          </w:p>
        </w:tc>
        <w:tc>
          <w:tcPr>
            <w:tcW w:w="1055" w:type="dxa"/>
          </w:tcPr>
          <w:p w:rsidR="00000000" w:rsidRDefault="00000000">
            <w:pPr>
              <w:jc w:val="center"/>
              <w:rPr>
                <w:szCs w:val="20"/>
              </w:rPr>
            </w:pPr>
            <w:r>
              <w:rPr>
                <w:szCs w:val="20"/>
              </w:rPr>
              <w:t>40</w:t>
            </w:r>
          </w:p>
        </w:tc>
        <w:tc>
          <w:tcPr>
            <w:tcW w:w="1055" w:type="dxa"/>
          </w:tcPr>
          <w:p w:rsidR="00000000" w:rsidRDefault="00000000">
            <w:pPr>
              <w:ind w:right="340"/>
              <w:jc w:val="right"/>
              <w:rPr>
                <w:szCs w:val="20"/>
              </w:rPr>
            </w:pPr>
            <w:r>
              <w:rPr>
                <w:szCs w:val="20"/>
              </w:rPr>
              <w:t>9</w:t>
            </w:r>
          </w:p>
        </w:tc>
        <w:tc>
          <w:tcPr>
            <w:tcW w:w="1055" w:type="dxa"/>
          </w:tcPr>
          <w:p w:rsidR="00000000" w:rsidRDefault="00000000">
            <w:pPr>
              <w:ind w:right="340"/>
              <w:jc w:val="right"/>
              <w:rPr>
                <w:szCs w:val="20"/>
              </w:rPr>
            </w:pPr>
            <w:r>
              <w:rPr>
                <w:szCs w:val="20"/>
              </w:rPr>
              <w:t>6</w:t>
            </w:r>
          </w:p>
        </w:tc>
      </w:tr>
      <w:tr w:rsidR="00000000">
        <w:tblPrEx>
          <w:tblCellMar>
            <w:top w:w="0" w:type="dxa"/>
            <w:bottom w:w="0" w:type="dxa"/>
          </w:tblCellMar>
        </w:tblPrEx>
        <w:tc>
          <w:tcPr>
            <w:tcW w:w="1055" w:type="dxa"/>
          </w:tcPr>
          <w:p w:rsidR="00000000" w:rsidRDefault="00000000">
            <w:pPr>
              <w:jc w:val="center"/>
              <w:rPr>
                <w:szCs w:val="20"/>
              </w:rPr>
            </w:pPr>
            <w:r>
              <w:rPr>
                <w:szCs w:val="20"/>
              </w:rPr>
              <w:t>1997</w:t>
            </w:r>
          </w:p>
        </w:tc>
        <w:tc>
          <w:tcPr>
            <w:tcW w:w="1055" w:type="dxa"/>
          </w:tcPr>
          <w:p w:rsidR="00000000" w:rsidRDefault="00000000">
            <w:pPr>
              <w:jc w:val="center"/>
              <w:rPr>
                <w:szCs w:val="20"/>
              </w:rPr>
            </w:pPr>
            <w:r>
              <w:rPr>
                <w:szCs w:val="20"/>
              </w:rPr>
              <w:t>124</w:t>
            </w:r>
          </w:p>
        </w:tc>
        <w:tc>
          <w:tcPr>
            <w:tcW w:w="1055" w:type="dxa"/>
          </w:tcPr>
          <w:p w:rsidR="00000000" w:rsidRDefault="00000000">
            <w:pPr>
              <w:jc w:val="center"/>
              <w:rPr>
                <w:szCs w:val="20"/>
              </w:rPr>
            </w:pPr>
            <w:r>
              <w:rPr>
                <w:szCs w:val="20"/>
              </w:rPr>
              <w:t>77</w:t>
            </w:r>
          </w:p>
        </w:tc>
        <w:tc>
          <w:tcPr>
            <w:tcW w:w="1055" w:type="dxa"/>
          </w:tcPr>
          <w:p w:rsidR="00000000" w:rsidRDefault="00000000">
            <w:pPr>
              <w:jc w:val="center"/>
              <w:rPr>
                <w:szCs w:val="20"/>
              </w:rPr>
            </w:pPr>
            <w:r>
              <w:rPr>
                <w:szCs w:val="20"/>
              </w:rPr>
              <w:t>122</w:t>
            </w:r>
          </w:p>
        </w:tc>
        <w:tc>
          <w:tcPr>
            <w:tcW w:w="1055" w:type="dxa"/>
          </w:tcPr>
          <w:p w:rsidR="00000000" w:rsidRDefault="00000000">
            <w:pPr>
              <w:jc w:val="center"/>
              <w:rPr>
                <w:szCs w:val="20"/>
              </w:rPr>
            </w:pPr>
            <w:r>
              <w:rPr>
                <w:szCs w:val="20"/>
              </w:rPr>
              <w:t>65</w:t>
            </w:r>
          </w:p>
        </w:tc>
        <w:tc>
          <w:tcPr>
            <w:tcW w:w="1055" w:type="dxa"/>
          </w:tcPr>
          <w:p w:rsidR="00000000" w:rsidRDefault="00000000">
            <w:pPr>
              <w:jc w:val="center"/>
              <w:rPr>
                <w:szCs w:val="20"/>
              </w:rPr>
            </w:pPr>
            <w:r>
              <w:rPr>
                <w:szCs w:val="20"/>
              </w:rPr>
              <w:t>57</w:t>
            </w:r>
          </w:p>
        </w:tc>
        <w:tc>
          <w:tcPr>
            <w:tcW w:w="1055" w:type="dxa"/>
          </w:tcPr>
          <w:p w:rsidR="00000000" w:rsidRDefault="00000000">
            <w:pPr>
              <w:jc w:val="center"/>
              <w:rPr>
                <w:szCs w:val="20"/>
              </w:rPr>
            </w:pPr>
            <w:r>
              <w:rPr>
                <w:szCs w:val="20"/>
              </w:rPr>
              <w:t>44</w:t>
            </w:r>
          </w:p>
        </w:tc>
        <w:tc>
          <w:tcPr>
            <w:tcW w:w="1055" w:type="dxa"/>
          </w:tcPr>
          <w:p w:rsidR="00000000" w:rsidRDefault="00000000">
            <w:pPr>
              <w:ind w:right="340"/>
              <w:jc w:val="right"/>
              <w:rPr>
                <w:szCs w:val="20"/>
              </w:rPr>
            </w:pPr>
            <w:r>
              <w:rPr>
                <w:szCs w:val="20"/>
              </w:rPr>
              <w:t>9</w:t>
            </w:r>
          </w:p>
        </w:tc>
        <w:tc>
          <w:tcPr>
            <w:tcW w:w="1055" w:type="dxa"/>
          </w:tcPr>
          <w:p w:rsidR="00000000" w:rsidRDefault="00000000">
            <w:pPr>
              <w:ind w:right="340"/>
              <w:jc w:val="right"/>
              <w:rPr>
                <w:szCs w:val="20"/>
              </w:rPr>
            </w:pPr>
            <w:r>
              <w:rPr>
                <w:szCs w:val="20"/>
              </w:rPr>
              <w:t>6</w:t>
            </w:r>
          </w:p>
        </w:tc>
      </w:tr>
      <w:tr w:rsidR="00000000">
        <w:tblPrEx>
          <w:tblCellMar>
            <w:top w:w="0" w:type="dxa"/>
            <w:bottom w:w="0" w:type="dxa"/>
          </w:tblCellMar>
        </w:tblPrEx>
        <w:tc>
          <w:tcPr>
            <w:tcW w:w="1055" w:type="dxa"/>
          </w:tcPr>
          <w:p w:rsidR="00000000" w:rsidRDefault="00000000">
            <w:pPr>
              <w:jc w:val="center"/>
              <w:rPr>
                <w:szCs w:val="20"/>
              </w:rPr>
            </w:pPr>
            <w:r>
              <w:rPr>
                <w:szCs w:val="20"/>
              </w:rPr>
              <w:t>1998</w:t>
            </w:r>
          </w:p>
        </w:tc>
        <w:tc>
          <w:tcPr>
            <w:tcW w:w="1055" w:type="dxa"/>
          </w:tcPr>
          <w:p w:rsidR="00000000" w:rsidRDefault="00000000">
            <w:pPr>
              <w:jc w:val="center"/>
              <w:rPr>
                <w:szCs w:val="20"/>
              </w:rPr>
            </w:pPr>
            <w:r>
              <w:rPr>
                <w:szCs w:val="20"/>
              </w:rPr>
              <w:t>124</w:t>
            </w:r>
          </w:p>
        </w:tc>
        <w:tc>
          <w:tcPr>
            <w:tcW w:w="1055" w:type="dxa"/>
          </w:tcPr>
          <w:p w:rsidR="00000000" w:rsidRDefault="00000000">
            <w:pPr>
              <w:jc w:val="center"/>
              <w:rPr>
                <w:szCs w:val="20"/>
              </w:rPr>
            </w:pPr>
            <w:r>
              <w:rPr>
                <w:szCs w:val="20"/>
              </w:rPr>
              <w:t>77</w:t>
            </w:r>
          </w:p>
        </w:tc>
        <w:tc>
          <w:tcPr>
            <w:tcW w:w="1055" w:type="dxa"/>
          </w:tcPr>
          <w:p w:rsidR="00000000" w:rsidRDefault="00000000">
            <w:pPr>
              <w:jc w:val="center"/>
              <w:rPr>
                <w:szCs w:val="20"/>
              </w:rPr>
            </w:pPr>
            <w:r>
              <w:rPr>
                <w:szCs w:val="20"/>
              </w:rPr>
              <w:t>121</w:t>
            </w:r>
          </w:p>
        </w:tc>
        <w:tc>
          <w:tcPr>
            <w:tcW w:w="1055" w:type="dxa"/>
          </w:tcPr>
          <w:p w:rsidR="00000000" w:rsidRDefault="00000000">
            <w:pPr>
              <w:jc w:val="center"/>
              <w:rPr>
                <w:szCs w:val="20"/>
              </w:rPr>
            </w:pPr>
            <w:r>
              <w:rPr>
                <w:szCs w:val="20"/>
              </w:rPr>
              <w:t>65</w:t>
            </w:r>
          </w:p>
        </w:tc>
        <w:tc>
          <w:tcPr>
            <w:tcW w:w="1055" w:type="dxa"/>
          </w:tcPr>
          <w:p w:rsidR="00000000" w:rsidRDefault="00000000">
            <w:pPr>
              <w:jc w:val="center"/>
              <w:rPr>
                <w:szCs w:val="20"/>
              </w:rPr>
            </w:pPr>
            <w:r>
              <w:rPr>
                <w:szCs w:val="20"/>
              </w:rPr>
              <w:t>60</w:t>
            </w:r>
          </w:p>
        </w:tc>
        <w:tc>
          <w:tcPr>
            <w:tcW w:w="1055" w:type="dxa"/>
          </w:tcPr>
          <w:p w:rsidR="00000000" w:rsidRDefault="00000000">
            <w:pPr>
              <w:jc w:val="center"/>
              <w:rPr>
                <w:szCs w:val="20"/>
              </w:rPr>
            </w:pPr>
            <w:r>
              <w:rPr>
                <w:szCs w:val="20"/>
              </w:rPr>
              <w:t>45</w:t>
            </w:r>
          </w:p>
        </w:tc>
        <w:tc>
          <w:tcPr>
            <w:tcW w:w="1055" w:type="dxa"/>
          </w:tcPr>
          <w:p w:rsidR="00000000" w:rsidRDefault="00000000">
            <w:pPr>
              <w:ind w:right="340"/>
              <w:jc w:val="right"/>
              <w:rPr>
                <w:szCs w:val="20"/>
              </w:rPr>
            </w:pPr>
            <w:r>
              <w:rPr>
                <w:szCs w:val="20"/>
              </w:rPr>
              <w:t>12</w:t>
            </w:r>
          </w:p>
        </w:tc>
        <w:tc>
          <w:tcPr>
            <w:tcW w:w="1055" w:type="dxa"/>
          </w:tcPr>
          <w:p w:rsidR="00000000" w:rsidRDefault="00000000">
            <w:pPr>
              <w:ind w:right="340"/>
              <w:jc w:val="right"/>
              <w:rPr>
                <w:szCs w:val="20"/>
              </w:rPr>
            </w:pPr>
            <w:r>
              <w:rPr>
                <w:szCs w:val="20"/>
              </w:rPr>
              <w:t>8</w:t>
            </w:r>
          </w:p>
        </w:tc>
      </w:tr>
      <w:tr w:rsidR="00000000">
        <w:tblPrEx>
          <w:tblCellMar>
            <w:top w:w="0" w:type="dxa"/>
            <w:bottom w:w="0" w:type="dxa"/>
          </w:tblCellMar>
        </w:tblPrEx>
        <w:tc>
          <w:tcPr>
            <w:tcW w:w="1055" w:type="dxa"/>
          </w:tcPr>
          <w:p w:rsidR="00000000" w:rsidRDefault="00000000">
            <w:pPr>
              <w:jc w:val="center"/>
              <w:rPr>
                <w:szCs w:val="20"/>
              </w:rPr>
            </w:pPr>
            <w:r>
              <w:rPr>
                <w:szCs w:val="20"/>
              </w:rPr>
              <w:t>1999</w:t>
            </w:r>
          </w:p>
        </w:tc>
        <w:tc>
          <w:tcPr>
            <w:tcW w:w="1055" w:type="dxa"/>
          </w:tcPr>
          <w:p w:rsidR="00000000" w:rsidRDefault="00000000">
            <w:pPr>
              <w:jc w:val="center"/>
              <w:rPr>
                <w:szCs w:val="20"/>
              </w:rPr>
            </w:pPr>
            <w:r>
              <w:rPr>
                <w:szCs w:val="20"/>
              </w:rPr>
              <w:t>118</w:t>
            </w:r>
          </w:p>
        </w:tc>
        <w:tc>
          <w:tcPr>
            <w:tcW w:w="1055" w:type="dxa"/>
          </w:tcPr>
          <w:p w:rsidR="00000000" w:rsidRDefault="00000000">
            <w:pPr>
              <w:jc w:val="center"/>
              <w:rPr>
                <w:szCs w:val="20"/>
              </w:rPr>
            </w:pPr>
            <w:r>
              <w:rPr>
                <w:szCs w:val="20"/>
              </w:rPr>
              <w:t>73</w:t>
            </w:r>
          </w:p>
        </w:tc>
        <w:tc>
          <w:tcPr>
            <w:tcW w:w="1055" w:type="dxa"/>
          </w:tcPr>
          <w:p w:rsidR="00000000" w:rsidRDefault="00000000">
            <w:pPr>
              <w:jc w:val="center"/>
              <w:rPr>
                <w:szCs w:val="20"/>
              </w:rPr>
            </w:pPr>
            <w:r>
              <w:rPr>
                <w:szCs w:val="20"/>
              </w:rPr>
              <w:t>119</w:t>
            </w:r>
          </w:p>
        </w:tc>
        <w:tc>
          <w:tcPr>
            <w:tcW w:w="1055" w:type="dxa"/>
          </w:tcPr>
          <w:p w:rsidR="00000000" w:rsidRDefault="00000000">
            <w:pPr>
              <w:jc w:val="center"/>
              <w:rPr>
                <w:szCs w:val="20"/>
              </w:rPr>
            </w:pPr>
            <w:r>
              <w:rPr>
                <w:szCs w:val="20"/>
              </w:rPr>
              <w:t>63</w:t>
            </w:r>
          </w:p>
        </w:tc>
        <w:tc>
          <w:tcPr>
            <w:tcW w:w="1055" w:type="dxa"/>
          </w:tcPr>
          <w:p w:rsidR="00000000" w:rsidRDefault="00000000">
            <w:pPr>
              <w:jc w:val="center"/>
              <w:rPr>
                <w:szCs w:val="20"/>
              </w:rPr>
            </w:pPr>
            <w:r>
              <w:rPr>
                <w:szCs w:val="20"/>
              </w:rPr>
              <w:t>63</w:t>
            </w:r>
          </w:p>
        </w:tc>
        <w:tc>
          <w:tcPr>
            <w:tcW w:w="1055" w:type="dxa"/>
          </w:tcPr>
          <w:p w:rsidR="00000000" w:rsidRDefault="00000000">
            <w:pPr>
              <w:jc w:val="center"/>
              <w:rPr>
                <w:szCs w:val="20"/>
              </w:rPr>
            </w:pPr>
            <w:r>
              <w:rPr>
                <w:szCs w:val="20"/>
              </w:rPr>
              <w:t>48</w:t>
            </w:r>
          </w:p>
        </w:tc>
        <w:tc>
          <w:tcPr>
            <w:tcW w:w="1055" w:type="dxa"/>
          </w:tcPr>
          <w:p w:rsidR="00000000" w:rsidRDefault="00000000">
            <w:pPr>
              <w:ind w:right="340"/>
              <w:jc w:val="right"/>
              <w:rPr>
                <w:szCs w:val="20"/>
              </w:rPr>
            </w:pPr>
            <w:r>
              <w:rPr>
                <w:szCs w:val="20"/>
              </w:rPr>
              <w:t>14</w:t>
            </w:r>
          </w:p>
        </w:tc>
        <w:tc>
          <w:tcPr>
            <w:tcW w:w="1055" w:type="dxa"/>
          </w:tcPr>
          <w:p w:rsidR="00000000" w:rsidRDefault="00000000">
            <w:pPr>
              <w:ind w:right="340"/>
              <w:jc w:val="right"/>
              <w:rPr>
                <w:szCs w:val="20"/>
              </w:rPr>
            </w:pPr>
            <w:r>
              <w:rPr>
                <w:szCs w:val="20"/>
              </w:rPr>
              <w:t>10</w:t>
            </w:r>
          </w:p>
        </w:tc>
      </w:tr>
      <w:tr w:rsidR="00000000">
        <w:tblPrEx>
          <w:tblCellMar>
            <w:top w:w="0" w:type="dxa"/>
            <w:bottom w:w="0" w:type="dxa"/>
          </w:tblCellMar>
        </w:tblPrEx>
        <w:tc>
          <w:tcPr>
            <w:tcW w:w="1055" w:type="dxa"/>
          </w:tcPr>
          <w:p w:rsidR="00000000" w:rsidRDefault="00000000">
            <w:pPr>
              <w:jc w:val="center"/>
              <w:rPr>
                <w:szCs w:val="20"/>
              </w:rPr>
            </w:pPr>
            <w:r>
              <w:rPr>
                <w:szCs w:val="20"/>
              </w:rPr>
              <w:t>2000</w:t>
            </w:r>
          </w:p>
        </w:tc>
        <w:tc>
          <w:tcPr>
            <w:tcW w:w="1055" w:type="dxa"/>
          </w:tcPr>
          <w:p w:rsidR="00000000" w:rsidRDefault="00000000">
            <w:pPr>
              <w:jc w:val="center"/>
              <w:rPr>
                <w:szCs w:val="20"/>
              </w:rPr>
            </w:pPr>
            <w:r>
              <w:rPr>
                <w:szCs w:val="20"/>
              </w:rPr>
              <w:t>108</w:t>
            </w:r>
          </w:p>
        </w:tc>
        <w:tc>
          <w:tcPr>
            <w:tcW w:w="1055" w:type="dxa"/>
          </w:tcPr>
          <w:p w:rsidR="00000000" w:rsidRDefault="00000000">
            <w:pPr>
              <w:jc w:val="center"/>
              <w:rPr>
                <w:szCs w:val="20"/>
              </w:rPr>
            </w:pPr>
            <w:r>
              <w:rPr>
                <w:szCs w:val="20"/>
              </w:rPr>
              <w:t>70</w:t>
            </w:r>
          </w:p>
        </w:tc>
        <w:tc>
          <w:tcPr>
            <w:tcW w:w="1055" w:type="dxa"/>
          </w:tcPr>
          <w:p w:rsidR="00000000" w:rsidRDefault="00000000">
            <w:pPr>
              <w:jc w:val="center"/>
              <w:rPr>
                <w:szCs w:val="20"/>
              </w:rPr>
            </w:pPr>
            <w:r>
              <w:rPr>
                <w:szCs w:val="20"/>
              </w:rPr>
              <w:t>123</w:t>
            </w:r>
          </w:p>
        </w:tc>
        <w:tc>
          <w:tcPr>
            <w:tcW w:w="1055" w:type="dxa"/>
          </w:tcPr>
          <w:p w:rsidR="00000000" w:rsidRDefault="00000000">
            <w:pPr>
              <w:jc w:val="center"/>
              <w:rPr>
                <w:szCs w:val="20"/>
              </w:rPr>
            </w:pPr>
            <w:r>
              <w:rPr>
                <w:szCs w:val="20"/>
              </w:rPr>
              <w:t>68</w:t>
            </w:r>
          </w:p>
        </w:tc>
        <w:tc>
          <w:tcPr>
            <w:tcW w:w="1055" w:type="dxa"/>
          </w:tcPr>
          <w:p w:rsidR="00000000" w:rsidRDefault="00000000">
            <w:pPr>
              <w:jc w:val="center"/>
              <w:rPr>
                <w:szCs w:val="20"/>
              </w:rPr>
            </w:pPr>
            <w:r>
              <w:rPr>
                <w:szCs w:val="20"/>
              </w:rPr>
              <w:t>63</w:t>
            </w:r>
          </w:p>
        </w:tc>
        <w:tc>
          <w:tcPr>
            <w:tcW w:w="1055" w:type="dxa"/>
          </w:tcPr>
          <w:p w:rsidR="00000000" w:rsidRDefault="00000000">
            <w:pPr>
              <w:jc w:val="center"/>
              <w:rPr>
                <w:szCs w:val="20"/>
              </w:rPr>
            </w:pPr>
            <w:r>
              <w:rPr>
                <w:szCs w:val="20"/>
              </w:rPr>
              <w:t>49</w:t>
            </w:r>
          </w:p>
        </w:tc>
        <w:tc>
          <w:tcPr>
            <w:tcW w:w="1055" w:type="dxa"/>
          </w:tcPr>
          <w:p w:rsidR="00000000" w:rsidRDefault="00000000">
            <w:pPr>
              <w:ind w:right="340"/>
              <w:jc w:val="right"/>
              <w:rPr>
                <w:szCs w:val="20"/>
              </w:rPr>
            </w:pPr>
            <w:r>
              <w:rPr>
                <w:szCs w:val="20"/>
              </w:rPr>
              <w:t>18</w:t>
            </w:r>
          </w:p>
        </w:tc>
        <w:tc>
          <w:tcPr>
            <w:tcW w:w="1055" w:type="dxa"/>
          </w:tcPr>
          <w:p w:rsidR="00000000" w:rsidRDefault="00000000">
            <w:pPr>
              <w:ind w:right="340"/>
              <w:jc w:val="right"/>
              <w:rPr>
                <w:szCs w:val="20"/>
              </w:rPr>
            </w:pPr>
            <w:r>
              <w:rPr>
                <w:szCs w:val="20"/>
              </w:rPr>
              <w:t>12</w:t>
            </w:r>
          </w:p>
        </w:tc>
      </w:tr>
    </w:tbl>
    <w:p w:rsidR="00000000" w:rsidRDefault="00000000">
      <w:pPr>
        <w:spacing w:before="240" w:after="240"/>
        <w:rPr>
          <w:szCs w:val="20"/>
        </w:rPr>
      </w:pPr>
      <w:r>
        <w:rPr>
          <w:i/>
          <w:iCs/>
          <w:szCs w:val="20"/>
        </w:rPr>
        <w:t>Fuente</w:t>
      </w:r>
      <w:r>
        <w:rPr>
          <w:szCs w:val="20"/>
        </w:rPr>
        <w:t>:  MEC, DGPEC.</w:t>
      </w:r>
    </w:p>
    <w:p w:rsidR="00000000" w:rsidRDefault="00000000">
      <w:pPr>
        <w:spacing w:after="480"/>
        <w:rPr>
          <w:szCs w:val="20"/>
        </w:rPr>
      </w:pPr>
      <w:r>
        <w:rPr>
          <w:i/>
          <w:iCs/>
          <w:szCs w:val="20"/>
        </w:rPr>
        <w:t>Nota</w:t>
      </w:r>
      <w:r>
        <w:rPr>
          <w:szCs w:val="20"/>
        </w:rPr>
        <w:t xml:space="preserve">:  En la Dirección de Planificación Educativa y Cultural del Ministerio de Educación y Cultura (DGPEC, MEC) no se ha podido procesar la tasa bruta y tasa neta </w:t>
      </w:r>
      <w:r>
        <w:rPr>
          <w:bCs/>
          <w:szCs w:val="20"/>
        </w:rPr>
        <w:t>por zona</w:t>
      </w:r>
      <w:r>
        <w:rPr>
          <w:szCs w:val="20"/>
        </w:rPr>
        <w:t xml:space="preserve"> (desde 2001 a 2005) por carecer de la proyección de la población por edades simples y áreas geográficas.  (La citada información se encuentra en proceso de ajuste en la Dirección General de Estadística, Encuestas y Censo.) </w:t>
      </w:r>
    </w:p>
    <w:p w:rsidR="00000000" w:rsidRDefault="00000000">
      <w:pPr>
        <w:pStyle w:val="Heading1"/>
        <w:spacing w:before="0" w:after="200"/>
        <w:ind w:left="567"/>
        <w:rPr>
          <w:rFonts w:ascii="Times New Roman" w:hAnsi="Times New Roman" w:cs="Times New Roman"/>
          <w:iCs/>
          <w:sz w:val="24"/>
        </w:rPr>
      </w:pPr>
      <w:r>
        <w:rPr>
          <w:rFonts w:ascii="Times New Roman" w:hAnsi="Times New Roman" w:cs="Times New Roman"/>
          <w:iCs/>
          <w:sz w:val="24"/>
        </w:rPr>
        <w:t>1.2.</w:t>
      </w:r>
      <w:r>
        <w:rPr>
          <w:rFonts w:ascii="Times New Roman" w:hAnsi="Times New Roman" w:cs="Times New Roman"/>
          <w:iCs/>
          <w:sz w:val="24"/>
        </w:rPr>
        <w:tab/>
        <w:t>Educación escolar básica</w:t>
      </w:r>
    </w:p>
    <w:p w:rsidR="00000000" w:rsidRDefault="00000000">
      <w:pPr>
        <w:autoSpaceDE w:val="0"/>
        <w:autoSpaceDN w:val="0"/>
        <w:adjustRightInd w:val="0"/>
        <w:spacing w:after="200"/>
      </w:pPr>
      <w:r>
        <w:t>43.</w:t>
      </w:r>
      <w:r>
        <w:tab/>
        <w:t>En todo el período considerado, la tasa bruta es superior al 100% por tanto debe tenerse en cuenta que la información base proviene de proyecciones de la población, además se evidencia un alto índice de extraedad en el acceso, lo cual repercute en todo el sistema.  Con respecto a la tasa neta se puede observar que en 1994 era de 69%, en los siguientes años, esta tasa presenta una tendencia creciente.</w:t>
      </w:r>
    </w:p>
    <w:p w:rsidR="00000000" w:rsidRDefault="00000000">
      <w:pPr>
        <w:pStyle w:val="Heading1"/>
        <w:spacing w:before="0" w:after="200"/>
        <w:ind w:left="567"/>
        <w:rPr>
          <w:rFonts w:ascii="Times New Roman" w:hAnsi="Times New Roman" w:cs="Times New Roman"/>
          <w:iCs/>
          <w:sz w:val="24"/>
        </w:rPr>
      </w:pPr>
      <w:r>
        <w:rPr>
          <w:rFonts w:ascii="Times New Roman" w:hAnsi="Times New Roman" w:cs="Times New Roman"/>
          <w:iCs/>
          <w:sz w:val="24"/>
        </w:rPr>
        <w:t>1.3.</w:t>
      </w:r>
      <w:r>
        <w:rPr>
          <w:rFonts w:ascii="Times New Roman" w:hAnsi="Times New Roman" w:cs="Times New Roman"/>
          <w:iCs/>
          <w:sz w:val="24"/>
        </w:rPr>
        <w:tab/>
        <w:t>Educación media</w:t>
      </w:r>
    </w:p>
    <w:p w:rsidR="00000000" w:rsidRDefault="00000000">
      <w:pPr>
        <w:autoSpaceDE w:val="0"/>
        <w:autoSpaceDN w:val="0"/>
        <w:adjustRightInd w:val="0"/>
        <w:spacing w:after="240"/>
        <w:rPr>
          <w:bCs/>
          <w:iCs/>
        </w:rPr>
      </w:pPr>
      <w:r>
        <w:rPr>
          <w:bCs/>
          <w:iCs/>
        </w:rPr>
        <w:t>44.</w:t>
      </w:r>
      <w:r>
        <w:rPr>
          <w:bCs/>
          <w:iCs/>
        </w:rPr>
        <w:tab/>
        <w:t xml:space="preserve">En el período 1994-2005 las tasas bruta y neta de escolaridad registraron incrementos de 22 y 18 puntos porcentuales respectivamente, sin embargo, la cobertura en este nivel sigue siendo insuficiente, considerando que dichas tasas se mantienen por debajo del 45% en el ámbito nacional.  La desagregación de la cobertura por zona demuestra que la escolarización rural es notoriamente inferior a la de la urbana, así el crecimiento de la tasa bruta de la zona urbana es superior a la de la zona rural.  La diferencia existente en la cobertura entre zonas a favor de la urbana podría explicarse por un lado por las migraciones internas y los procesos de urbanización, y por el otro deberse a la menor oferta educativa existente en zonas rurales.  Seguido una síntesis estadística. </w:t>
      </w:r>
    </w:p>
    <w:p w:rsidR="00000000" w:rsidRDefault="00000000">
      <w:pPr>
        <w:keepNext/>
        <w:autoSpaceDE w:val="0"/>
        <w:autoSpaceDN w:val="0"/>
        <w:adjustRightInd w:val="0"/>
        <w:spacing w:after="160"/>
        <w:jc w:val="center"/>
        <w:rPr>
          <w:bCs/>
          <w:iCs/>
          <w:sz w:val="16"/>
        </w:rPr>
      </w:pPr>
      <w:r>
        <w:rPr>
          <w:b/>
          <w:bCs/>
          <w:sz w:val="16"/>
          <w:szCs w:val="28"/>
        </w:rPr>
        <w:t>Crecimiento de la matrícula por zona, nivel y/o ciclo, 1994-2006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6"/>
        <w:gridCol w:w="952"/>
        <w:gridCol w:w="924"/>
        <w:gridCol w:w="812"/>
        <w:gridCol w:w="909"/>
        <w:gridCol w:w="896"/>
        <w:gridCol w:w="910"/>
        <w:gridCol w:w="784"/>
        <w:gridCol w:w="872"/>
      </w:tblGrid>
      <w:tr w:rsidR="00000000">
        <w:tblPrEx>
          <w:tblCellMar>
            <w:top w:w="0" w:type="dxa"/>
            <w:bottom w:w="0" w:type="dxa"/>
          </w:tblCellMar>
        </w:tblPrEx>
        <w:trPr>
          <w:cantSplit/>
          <w:jc w:val="center"/>
        </w:trPr>
        <w:tc>
          <w:tcPr>
            <w:tcW w:w="2436" w:type="dxa"/>
            <w:vMerge w:val="restart"/>
            <w:vAlign w:val="center"/>
          </w:tcPr>
          <w:p w:rsidR="00000000" w:rsidRDefault="00000000">
            <w:pPr>
              <w:keepNext/>
              <w:jc w:val="center"/>
              <w:rPr>
                <w:b/>
                <w:bCs/>
                <w:sz w:val="16"/>
                <w:szCs w:val="20"/>
              </w:rPr>
            </w:pPr>
            <w:r>
              <w:rPr>
                <w:b/>
                <w:bCs/>
                <w:sz w:val="16"/>
                <w:szCs w:val="20"/>
              </w:rPr>
              <w:t>Año</w:t>
            </w:r>
          </w:p>
        </w:tc>
        <w:tc>
          <w:tcPr>
            <w:tcW w:w="3597" w:type="dxa"/>
            <w:gridSpan w:val="4"/>
            <w:vAlign w:val="center"/>
          </w:tcPr>
          <w:p w:rsidR="00000000" w:rsidRDefault="00000000">
            <w:pPr>
              <w:keepNext/>
              <w:jc w:val="center"/>
              <w:rPr>
                <w:b/>
                <w:bCs/>
                <w:sz w:val="16"/>
                <w:szCs w:val="20"/>
              </w:rPr>
            </w:pPr>
            <w:r>
              <w:rPr>
                <w:b/>
                <w:bCs/>
                <w:sz w:val="16"/>
                <w:szCs w:val="20"/>
              </w:rPr>
              <w:t>Urbana</w:t>
            </w:r>
          </w:p>
        </w:tc>
        <w:tc>
          <w:tcPr>
            <w:tcW w:w="3462" w:type="dxa"/>
            <w:gridSpan w:val="4"/>
            <w:vAlign w:val="center"/>
          </w:tcPr>
          <w:p w:rsidR="00000000" w:rsidRDefault="00000000">
            <w:pPr>
              <w:keepNext/>
              <w:jc w:val="center"/>
              <w:rPr>
                <w:b/>
                <w:bCs/>
                <w:sz w:val="16"/>
                <w:szCs w:val="20"/>
              </w:rPr>
            </w:pPr>
            <w:r>
              <w:rPr>
                <w:b/>
                <w:bCs/>
                <w:sz w:val="16"/>
                <w:szCs w:val="20"/>
              </w:rPr>
              <w:t>Rural</w:t>
            </w:r>
          </w:p>
        </w:tc>
      </w:tr>
      <w:tr w:rsidR="00000000">
        <w:tblPrEx>
          <w:tblCellMar>
            <w:top w:w="0" w:type="dxa"/>
            <w:bottom w:w="0" w:type="dxa"/>
          </w:tblCellMar>
        </w:tblPrEx>
        <w:trPr>
          <w:cantSplit/>
          <w:jc w:val="center"/>
        </w:trPr>
        <w:tc>
          <w:tcPr>
            <w:tcW w:w="2436" w:type="dxa"/>
            <w:vMerge/>
            <w:vAlign w:val="center"/>
          </w:tcPr>
          <w:p w:rsidR="00000000" w:rsidRDefault="00000000">
            <w:pPr>
              <w:keepNext/>
              <w:jc w:val="center"/>
              <w:rPr>
                <w:b/>
                <w:bCs/>
                <w:sz w:val="16"/>
                <w:szCs w:val="20"/>
              </w:rPr>
            </w:pPr>
          </w:p>
        </w:tc>
        <w:tc>
          <w:tcPr>
            <w:tcW w:w="952" w:type="dxa"/>
            <w:vAlign w:val="center"/>
          </w:tcPr>
          <w:p w:rsidR="00000000" w:rsidRDefault="00000000">
            <w:pPr>
              <w:keepNext/>
              <w:jc w:val="center"/>
              <w:rPr>
                <w:b/>
                <w:bCs/>
                <w:sz w:val="16"/>
                <w:szCs w:val="20"/>
              </w:rPr>
            </w:pPr>
            <w:r>
              <w:rPr>
                <w:b/>
                <w:bCs/>
                <w:sz w:val="16"/>
                <w:szCs w:val="20"/>
              </w:rPr>
              <w:t>Preescolar</w:t>
            </w:r>
          </w:p>
        </w:tc>
        <w:tc>
          <w:tcPr>
            <w:tcW w:w="924" w:type="dxa"/>
            <w:vAlign w:val="center"/>
          </w:tcPr>
          <w:p w:rsidR="00000000" w:rsidRDefault="00000000">
            <w:pPr>
              <w:keepNext/>
              <w:jc w:val="center"/>
              <w:rPr>
                <w:b/>
                <w:bCs/>
                <w:sz w:val="16"/>
                <w:szCs w:val="20"/>
              </w:rPr>
            </w:pPr>
            <w:r>
              <w:rPr>
                <w:b/>
                <w:bCs/>
                <w:sz w:val="16"/>
                <w:szCs w:val="20"/>
              </w:rPr>
              <w:t>EEB 1º y 2º ciclo (primaria)</w:t>
            </w:r>
          </w:p>
        </w:tc>
        <w:tc>
          <w:tcPr>
            <w:tcW w:w="812" w:type="dxa"/>
            <w:vAlign w:val="center"/>
          </w:tcPr>
          <w:p w:rsidR="00000000" w:rsidRDefault="00000000">
            <w:pPr>
              <w:keepNext/>
              <w:jc w:val="center"/>
              <w:rPr>
                <w:b/>
                <w:bCs/>
                <w:sz w:val="16"/>
                <w:szCs w:val="20"/>
              </w:rPr>
            </w:pPr>
            <w:r>
              <w:rPr>
                <w:b/>
                <w:bCs/>
                <w:sz w:val="16"/>
                <w:szCs w:val="20"/>
              </w:rPr>
              <w:t>EEB 3º ciclo (básico)</w:t>
            </w:r>
          </w:p>
        </w:tc>
        <w:tc>
          <w:tcPr>
            <w:tcW w:w="909" w:type="dxa"/>
            <w:vAlign w:val="center"/>
          </w:tcPr>
          <w:p w:rsidR="00000000" w:rsidRDefault="00000000">
            <w:pPr>
              <w:keepNext/>
              <w:jc w:val="center"/>
              <w:rPr>
                <w:b/>
                <w:bCs/>
                <w:sz w:val="16"/>
                <w:szCs w:val="20"/>
              </w:rPr>
            </w:pPr>
            <w:r>
              <w:rPr>
                <w:b/>
                <w:bCs/>
                <w:sz w:val="16"/>
                <w:szCs w:val="20"/>
              </w:rPr>
              <w:t>Educación media</w:t>
            </w:r>
          </w:p>
        </w:tc>
        <w:tc>
          <w:tcPr>
            <w:tcW w:w="896" w:type="dxa"/>
            <w:vAlign w:val="center"/>
          </w:tcPr>
          <w:p w:rsidR="00000000" w:rsidRDefault="00000000">
            <w:pPr>
              <w:keepNext/>
              <w:jc w:val="center"/>
              <w:rPr>
                <w:b/>
                <w:bCs/>
                <w:sz w:val="16"/>
                <w:szCs w:val="20"/>
              </w:rPr>
            </w:pPr>
            <w:r>
              <w:rPr>
                <w:b/>
                <w:bCs/>
                <w:sz w:val="16"/>
                <w:szCs w:val="20"/>
              </w:rPr>
              <w:t>Preescolar</w:t>
            </w:r>
          </w:p>
        </w:tc>
        <w:tc>
          <w:tcPr>
            <w:tcW w:w="910" w:type="dxa"/>
            <w:vAlign w:val="center"/>
          </w:tcPr>
          <w:p w:rsidR="00000000" w:rsidRDefault="00000000">
            <w:pPr>
              <w:keepNext/>
              <w:jc w:val="center"/>
              <w:rPr>
                <w:b/>
                <w:bCs/>
                <w:sz w:val="16"/>
                <w:szCs w:val="20"/>
              </w:rPr>
            </w:pPr>
            <w:r>
              <w:rPr>
                <w:b/>
                <w:bCs/>
                <w:sz w:val="16"/>
                <w:szCs w:val="20"/>
              </w:rPr>
              <w:t>EEB 1º y 2º ciclo (primaria)</w:t>
            </w:r>
          </w:p>
        </w:tc>
        <w:tc>
          <w:tcPr>
            <w:tcW w:w="784" w:type="dxa"/>
            <w:vAlign w:val="center"/>
          </w:tcPr>
          <w:p w:rsidR="00000000" w:rsidRDefault="00000000">
            <w:pPr>
              <w:keepNext/>
              <w:jc w:val="center"/>
              <w:rPr>
                <w:b/>
                <w:bCs/>
                <w:sz w:val="16"/>
                <w:szCs w:val="20"/>
              </w:rPr>
            </w:pPr>
            <w:r>
              <w:rPr>
                <w:b/>
                <w:bCs/>
                <w:sz w:val="16"/>
                <w:szCs w:val="20"/>
              </w:rPr>
              <w:t>EEB 3º ciclo (básico)</w:t>
            </w:r>
          </w:p>
        </w:tc>
        <w:tc>
          <w:tcPr>
            <w:tcW w:w="872" w:type="dxa"/>
            <w:vAlign w:val="center"/>
          </w:tcPr>
          <w:p w:rsidR="00000000" w:rsidRDefault="00000000">
            <w:pPr>
              <w:keepNext/>
              <w:jc w:val="center"/>
              <w:rPr>
                <w:b/>
                <w:bCs/>
                <w:sz w:val="16"/>
                <w:szCs w:val="20"/>
              </w:rPr>
            </w:pPr>
            <w:r>
              <w:rPr>
                <w:b/>
                <w:bCs/>
                <w:sz w:val="16"/>
                <w:szCs w:val="20"/>
              </w:rPr>
              <w:t>Educación media</w:t>
            </w:r>
          </w:p>
        </w:tc>
      </w:tr>
      <w:tr w:rsidR="00000000">
        <w:tblPrEx>
          <w:tblCellMar>
            <w:top w:w="0" w:type="dxa"/>
            <w:bottom w:w="0" w:type="dxa"/>
          </w:tblCellMar>
        </w:tblPrEx>
        <w:trPr>
          <w:jc w:val="center"/>
        </w:trPr>
        <w:tc>
          <w:tcPr>
            <w:tcW w:w="2436" w:type="dxa"/>
          </w:tcPr>
          <w:p w:rsidR="00000000" w:rsidRDefault="00000000">
            <w:pPr>
              <w:keepNext/>
              <w:rPr>
                <w:sz w:val="16"/>
                <w:szCs w:val="20"/>
              </w:rPr>
            </w:pPr>
            <w:r>
              <w:rPr>
                <w:sz w:val="16"/>
                <w:szCs w:val="20"/>
              </w:rPr>
              <w:t>1994</w:t>
            </w:r>
          </w:p>
        </w:tc>
        <w:tc>
          <w:tcPr>
            <w:tcW w:w="952" w:type="dxa"/>
          </w:tcPr>
          <w:p w:rsidR="00000000" w:rsidRDefault="00000000">
            <w:pPr>
              <w:keepNext/>
              <w:ind w:right="170"/>
              <w:jc w:val="right"/>
              <w:rPr>
                <w:sz w:val="16"/>
                <w:szCs w:val="20"/>
              </w:rPr>
            </w:pPr>
            <w:r>
              <w:rPr>
                <w:sz w:val="16"/>
                <w:szCs w:val="20"/>
              </w:rPr>
              <w:t>39.946</w:t>
            </w:r>
          </w:p>
        </w:tc>
        <w:tc>
          <w:tcPr>
            <w:tcW w:w="924" w:type="dxa"/>
          </w:tcPr>
          <w:p w:rsidR="00000000" w:rsidRDefault="00000000">
            <w:pPr>
              <w:keepNext/>
              <w:ind w:right="170"/>
              <w:jc w:val="right"/>
              <w:rPr>
                <w:sz w:val="16"/>
                <w:szCs w:val="20"/>
              </w:rPr>
            </w:pPr>
            <w:r>
              <w:rPr>
                <w:sz w:val="16"/>
                <w:szCs w:val="20"/>
              </w:rPr>
              <w:t>387.682</w:t>
            </w:r>
          </w:p>
        </w:tc>
        <w:tc>
          <w:tcPr>
            <w:tcW w:w="812" w:type="dxa"/>
          </w:tcPr>
          <w:p w:rsidR="00000000" w:rsidRDefault="00000000">
            <w:pPr>
              <w:keepNext/>
              <w:ind w:right="113"/>
              <w:jc w:val="right"/>
              <w:rPr>
                <w:sz w:val="16"/>
                <w:szCs w:val="20"/>
              </w:rPr>
            </w:pPr>
            <w:r>
              <w:rPr>
                <w:sz w:val="16"/>
                <w:szCs w:val="20"/>
              </w:rPr>
              <w:t>129.011</w:t>
            </w:r>
          </w:p>
        </w:tc>
        <w:tc>
          <w:tcPr>
            <w:tcW w:w="909" w:type="dxa"/>
          </w:tcPr>
          <w:p w:rsidR="00000000" w:rsidRDefault="00000000">
            <w:pPr>
              <w:keepNext/>
              <w:ind w:right="170"/>
              <w:jc w:val="right"/>
              <w:rPr>
                <w:sz w:val="16"/>
                <w:szCs w:val="20"/>
              </w:rPr>
            </w:pPr>
            <w:r>
              <w:rPr>
                <w:sz w:val="16"/>
                <w:szCs w:val="20"/>
              </w:rPr>
              <w:t>68.419</w:t>
            </w:r>
          </w:p>
        </w:tc>
        <w:tc>
          <w:tcPr>
            <w:tcW w:w="896" w:type="dxa"/>
          </w:tcPr>
          <w:p w:rsidR="00000000" w:rsidRDefault="00000000">
            <w:pPr>
              <w:keepNext/>
              <w:ind w:right="170"/>
              <w:jc w:val="right"/>
              <w:rPr>
                <w:sz w:val="16"/>
                <w:szCs w:val="20"/>
              </w:rPr>
            </w:pPr>
            <w:r>
              <w:rPr>
                <w:sz w:val="16"/>
                <w:szCs w:val="20"/>
              </w:rPr>
              <w:t>10.680</w:t>
            </w:r>
          </w:p>
        </w:tc>
        <w:tc>
          <w:tcPr>
            <w:tcW w:w="910" w:type="dxa"/>
          </w:tcPr>
          <w:p w:rsidR="00000000" w:rsidRDefault="00000000">
            <w:pPr>
              <w:keepNext/>
              <w:ind w:right="170"/>
              <w:jc w:val="right"/>
              <w:rPr>
                <w:sz w:val="16"/>
                <w:szCs w:val="20"/>
              </w:rPr>
            </w:pPr>
            <w:r>
              <w:rPr>
                <w:sz w:val="16"/>
                <w:szCs w:val="20"/>
              </w:rPr>
              <w:t>447.407</w:t>
            </w:r>
          </w:p>
        </w:tc>
        <w:tc>
          <w:tcPr>
            <w:tcW w:w="784" w:type="dxa"/>
          </w:tcPr>
          <w:p w:rsidR="00000000" w:rsidRDefault="00000000">
            <w:pPr>
              <w:keepNext/>
              <w:ind w:right="113"/>
              <w:jc w:val="right"/>
              <w:rPr>
                <w:sz w:val="16"/>
                <w:szCs w:val="20"/>
              </w:rPr>
            </w:pPr>
            <w:r>
              <w:rPr>
                <w:sz w:val="16"/>
                <w:szCs w:val="20"/>
              </w:rPr>
              <w:t>30.664</w:t>
            </w:r>
          </w:p>
        </w:tc>
        <w:tc>
          <w:tcPr>
            <w:tcW w:w="872" w:type="dxa"/>
          </w:tcPr>
          <w:p w:rsidR="00000000" w:rsidRDefault="00000000">
            <w:pPr>
              <w:keepNext/>
              <w:ind w:right="170"/>
              <w:jc w:val="right"/>
              <w:rPr>
                <w:sz w:val="16"/>
                <w:szCs w:val="20"/>
              </w:rPr>
            </w:pPr>
            <w:r>
              <w:rPr>
                <w:sz w:val="16"/>
                <w:szCs w:val="20"/>
              </w:rPr>
              <w:t>7.820</w:t>
            </w:r>
          </w:p>
        </w:tc>
      </w:tr>
      <w:tr w:rsidR="00000000">
        <w:tblPrEx>
          <w:tblCellMar>
            <w:top w:w="0" w:type="dxa"/>
            <w:bottom w:w="0" w:type="dxa"/>
          </w:tblCellMar>
        </w:tblPrEx>
        <w:trPr>
          <w:jc w:val="center"/>
        </w:trPr>
        <w:tc>
          <w:tcPr>
            <w:tcW w:w="2436" w:type="dxa"/>
          </w:tcPr>
          <w:p w:rsidR="00000000" w:rsidRDefault="00000000">
            <w:pPr>
              <w:keepNext/>
              <w:rPr>
                <w:sz w:val="16"/>
                <w:szCs w:val="20"/>
              </w:rPr>
            </w:pPr>
            <w:r>
              <w:rPr>
                <w:sz w:val="16"/>
                <w:szCs w:val="20"/>
              </w:rPr>
              <w:t>2005</w:t>
            </w:r>
          </w:p>
        </w:tc>
        <w:tc>
          <w:tcPr>
            <w:tcW w:w="952" w:type="dxa"/>
          </w:tcPr>
          <w:p w:rsidR="00000000" w:rsidRDefault="00000000">
            <w:pPr>
              <w:keepNext/>
              <w:ind w:right="170"/>
              <w:jc w:val="right"/>
              <w:rPr>
                <w:sz w:val="16"/>
                <w:szCs w:val="20"/>
              </w:rPr>
            </w:pPr>
            <w:r>
              <w:rPr>
                <w:sz w:val="16"/>
                <w:szCs w:val="20"/>
              </w:rPr>
              <w:t>66.592</w:t>
            </w:r>
          </w:p>
        </w:tc>
        <w:tc>
          <w:tcPr>
            <w:tcW w:w="924" w:type="dxa"/>
          </w:tcPr>
          <w:p w:rsidR="00000000" w:rsidRDefault="00000000">
            <w:pPr>
              <w:keepNext/>
              <w:ind w:right="170"/>
              <w:jc w:val="right"/>
              <w:rPr>
                <w:sz w:val="16"/>
                <w:szCs w:val="20"/>
              </w:rPr>
            </w:pPr>
            <w:r>
              <w:rPr>
                <w:sz w:val="16"/>
                <w:szCs w:val="20"/>
              </w:rPr>
              <w:t>454.378</w:t>
            </w:r>
          </w:p>
        </w:tc>
        <w:tc>
          <w:tcPr>
            <w:tcW w:w="812" w:type="dxa"/>
          </w:tcPr>
          <w:p w:rsidR="00000000" w:rsidRDefault="00000000">
            <w:pPr>
              <w:keepNext/>
              <w:ind w:right="113"/>
              <w:jc w:val="right"/>
              <w:rPr>
                <w:sz w:val="16"/>
                <w:szCs w:val="20"/>
              </w:rPr>
            </w:pPr>
            <w:r>
              <w:rPr>
                <w:sz w:val="16"/>
                <w:szCs w:val="20"/>
              </w:rPr>
              <w:t>205.918</w:t>
            </w:r>
          </w:p>
        </w:tc>
        <w:tc>
          <w:tcPr>
            <w:tcW w:w="909" w:type="dxa"/>
          </w:tcPr>
          <w:p w:rsidR="00000000" w:rsidRDefault="00000000">
            <w:pPr>
              <w:keepNext/>
              <w:ind w:right="170"/>
              <w:jc w:val="right"/>
              <w:rPr>
                <w:sz w:val="16"/>
                <w:szCs w:val="20"/>
              </w:rPr>
            </w:pPr>
            <w:r>
              <w:rPr>
                <w:sz w:val="16"/>
                <w:szCs w:val="20"/>
              </w:rPr>
              <w:t>159.059</w:t>
            </w:r>
          </w:p>
        </w:tc>
        <w:tc>
          <w:tcPr>
            <w:tcW w:w="896" w:type="dxa"/>
          </w:tcPr>
          <w:p w:rsidR="00000000" w:rsidRDefault="00000000">
            <w:pPr>
              <w:keepNext/>
              <w:ind w:right="170"/>
              <w:jc w:val="right"/>
              <w:rPr>
                <w:sz w:val="16"/>
                <w:szCs w:val="20"/>
              </w:rPr>
            </w:pPr>
            <w:r>
              <w:rPr>
                <w:sz w:val="16"/>
                <w:szCs w:val="20"/>
              </w:rPr>
              <w:t>58.181</w:t>
            </w:r>
          </w:p>
        </w:tc>
        <w:tc>
          <w:tcPr>
            <w:tcW w:w="910" w:type="dxa"/>
          </w:tcPr>
          <w:p w:rsidR="00000000" w:rsidRDefault="00000000">
            <w:pPr>
              <w:keepNext/>
              <w:ind w:right="170"/>
              <w:jc w:val="right"/>
              <w:rPr>
                <w:sz w:val="16"/>
                <w:szCs w:val="20"/>
              </w:rPr>
            </w:pPr>
            <w:r>
              <w:rPr>
                <w:sz w:val="16"/>
                <w:szCs w:val="20"/>
              </w:rPr>
              <w:t>479.155</w:t>
            </w:r>
          </w:p>
        </w:tc>
        <w:tc>
          <w:tcPr>
            <w:tcW w:w="784" w:type="dxa"/>
          </w:tcPr>
          <w:p w:rsidR="00000000" w:rsidRDefault="00000000">
            <w:pPr>
              <w:keepNext/>
              <w:ind w:right="113"/>
              <w:jc w:val="right"/>
              <w:rPr>
                <w:sz w:val="16"/>
                <w:szCs w:val="20"/>
              </w:rPr>
            </w:pPr>
            <w:r>
              <w:rPr>
                <w:sz w:val="16"/>
                <w:szCs w:val="20"/>
              </w:rPr>
              <w:t>117.845</w:t>
            </w:r>
          </w:p>
        </w:tc>
        <w:tc>
          <w:tcPr>
            <w:tcW w:w="872" w:type="dxa"/>
          </w:tcPr>
          <w:p w:rsidR="00000000" w:rsidRDefault="00000000">
            <w:pPr>
              <w:keepNext/>
              <w:ind w:right="170"/>
              <w:jc w:val="right"/>
              <w:rPr>
                <w:sz w:val="16"/>
                <w:szCs w:val="20"/>
              </w:rPr>
            </w:pPr>
            <w:r>
              <w:rPr>
                <w:sz w:val="16"/>
                <w:szCs w:val="20"/>
              </w:rPr>
              <w:t>57.272</w:t>
            </w:r>
          </w:p>
        </w:tc>
      </w:tr>
      <w:tr w:rsidR="00000000">
        <w:tblPrEx>
          <w:tblCellMar>
            <w:top w:w="0" w:type="dxa"/>
            <w:bottom w:w="0" w:type="dxa"/>
          </w:tblCellMar>
        </w:tblPrEx>
        <w:trPr>
          <w:jc w:val="center"/>
        </w:trPr>
        <w:tc>
          <w:tcPr>
            <w:tcW w:w="2436" w:type="dxa"/>
          </w:tcPr>
          <w:p w:rsidR="00000000" w:rsidRDefault="00000000">
            <w:pPr>
              <w:keepNext/>
              <w:rPr>
                <w:sz w:val="16"/>
                <w:szCs w:val="20"/>
              </w:rPr>
            </w:pPr>
            <w:r>
              <w:rPr>
                <w:sz w:val="16"/>
                <w:szCs w:val="20"/>
              </w:rPr>
              <w:t>2006</w:t>
            </w:r>
          </w:p>
        </w:tc>
        <w:tc>
          <w:tcPr>
            <w:tcW w:w="952" w:type="dxa"/>
          </w:tcPr>
          <w:p w:rsidR="00000000" w:rsidRDefault="00000000">
            <w:pPr>
              <w:keepNext/>
              <w:ind w:right="170"/>
              <w:jc w:val="right"/>
              <w:rPr>
                <w:sz w:val="16"/>
                <w:szCs w:val="20"/>
              </w:rPr>
            </w:pPr>
            <w:r>
              <w:rPr>
                <w:sz w:val="16"/>
                <w:szCs w:val="20"/>
              </w:rPr>
              <w:t>68.360</w:t>
            </w:r>
          </w:p>
        </w:tc>
        <w:tc>
          <w:tcPr>
            <w:tcW w:w="924" w:type="dxa"/>
          </w:tcPr>
          <w:p w:rsidR="00000000" w:rsidRDefault="00000000">
            <w:pPr>
              <w:keepNext/>
              <w:ind w:right="170"/>
              <w:jc w:val="right"/>
              <w:rPr>
                <w:sz w:val="16"/>
                <w:szCs w:val="20"/>
              </w:rPr>
            </w:pPr>
            <w:r>
              <w:rPr>
                <w:sz w:val="16"/>
                <w:szCs w:val="20"/>
              </w:rPr>
              <w:t>457.437</w:t>
            </w:r>
          </w:p>
        </w:tc>
        <w:tc>
          <w:tcPr>
            <w:tcW w:w="812" w:type="dxa"/>
          </w:tcPr>
          <w:p w:rsidR="00000000" w:rsidRDefault="00000000">
            <w:pPr>
              <w:keepNext/>
              <w:ind w:right="113"/>
              <w:jc w:val="right"/>
              <w:rPr>
                <w:sz w:val="16"/>
                <w:szCs w:val="20"/>
              </w:rPr>
            </w:pPr>
            <w:r>
              <w:rPr>
                <w:sz w:val="16"/>
                <w:szCs w:val="20"/>
              </w:rPr>
              <w:t>208.923</w:t>
            </w:r>
          </w:p>
        </w:tc>
        <w:tc>
          <w:tcPr>
            <w:tcW w:w="909" w:type="dxa"/>
          </w:tcPr>
          <w:p w:rsidR="00000000" w:rsidRDefault="00000000">
            <w:pPr>
              <w:keepNext/>
              <w:ind w:right="170"/>
              <w:jc w:val="right"/>
              <w:rPr>
                <w:sz w:val="16"/>
                <w:szCs w:val="20"/>
              </w:rPr>
            </w:pPr>
            <w:r>
              <w:rPr>
                <w:sz w:val="16"/>
                <w:szCs w:val="20"/>
              </w:rPr>
              <w:t>164.948</w:t>
            </w:r>
          </w:p>
        </w:tc>
        <w:tc>
          <w:tcPr>
            <w:tcW w:w="896" w:type="dxa"/>
          </w:tcPr>
          <w:p w:rsidR="00000000" w:rsidRDefault="00000000">
            <w:pPr>
              <w:keepNext/>
              <w:ind w:right="170"/>
              <w:jc w:val="right"/>
              <w:rPr>
                <w:sz w:val="16"/>
                <w:szCs w:val="20"/>
              </w:rPr>
            </w:pPr>
            <w:r>
              <w:rPr>
                <w:sz w:val="16"/>
                <w:szCs w:val="20"/>
              </w:rPr>
              <w:t>59.726</w:t>
            </w:r>
          </w:p>
        </w:tc>
        <w:tc>
          <w:tcPr>
            <w:tcW w:w="910" w:type="dxa"/>
          </w:tcPr>
          <w:p w:rsidR="00000000" w:rsidRDefault="00000000">
            <w:pPr>
              <w:keepNext/>
              <w:ind w:right="170"/>
              <w:jc w:val="right"/>
              <w:rPr>
                <w:sz w:val="16"/>
                <w:szCs w:val="20"/>
              </w:rPr>
            </w:pPr>
            <w:r>
              <w:rPr>
                <w:sz w:val="16"/>
                <w:szCs w:val="20"/>
              </w:rPr>
              <w:t>482.382</w:t>
            </w:r>
          </w:p>
        </w:tc>
        <w:tc>
          <w:tcPr>
            <w:tcW w:w="784" w:type="dxa"/>
          </w:tcPr>
          <w:p w:rsidR="00000000" w:rsidRDefault="00000000">
            <w:pPr>
              <w:keepNext/>
              <w:ind w:right="113"/>
              <w:jc w:val="right"/>
              <w:rPr>
                <w:sz w:val="16"/>
                <w:szCs w:val="20"/>
              </w:rPr>
            </w:pPr>
            <w:r>
              <w:rPr>
                <w:sz w:val="16"/>
                <w:szCs w:val="20"/>
              </w:rPr>
              <w:t>119.565</w:t>
            </w:r>
          </w:p>
        </w:tc>
        <w:tc>
          <w:tcPr>
            <w:tcW w:w="872" w:type="dxa"/>
          </w:tcPr>
          <w:p w:rsidR="00000000" w:rsidRDefault="00000000">
            <w:pPr>
              <w:keepNext/>
              <w:ind w:right="170"/>
              <w:jc w:val="right"/>
              <w:rPr>
                <w:sz w:val="16"/>
                <w:szCs w:val="20"/>
              </w:rPr>
            </w:pPr>
            <w:r>
              <w:rPr>
                <w:sz w:val="16"/>
                <w:szCs w:val="20"/>
              </w:rPr>
              <w:t>59.393</w:t>
            </w:r>
          </w:p>
        </w:tc>
      </w:tr>
      <w:tr w:rsidR="00000000">
        <w:tblPrEx>
          <w:tblCellMar>
            <w:top w:w="0" w:type="dxa"/>
            <w:bottom w:w="0" w:type="dxa"/>
          </w:tblCellMar>
        </w:tblPrEx>
        <w:trPr>
          <w:jc w:val="center"/>
        </w:trPr>
        <w:tc>
          <w:tcPr>
            <w:tcW w:w="2436" w:type="dxa"/>
          </w:tcPr>
          <w:p w:rsidR="00000000" w:rsidRDefault="00000000">
            <w:pPr>
              <w:rPr>
                <w:sz w:val="16"/>
                <w:szCs w:val="20"/>
              </w:rPr>
            </w:pPr>
            <w:r>
              <w:rPr>
                <w:sz w:val="16"/>
                <w:szCs w:val="20"/>
              </w:rPr>
              <w:t>Crecimiento absoluto 1994-1996</w:t>
            </w:r>
          </w:p>
        </w:tc>
        <w:tc>
          <w:tcPr>
            <w:tcW w:w="952" w:type="dxa"/>
          </w:tcPr>
          <w:p w:rsidR="00000000" w:rsidRDefault="00000000">
            <w:pPr>
              <w:ind w:right="170"/>
              <w:jc w:val="right"/>
              <w:rPr>
                <w:sz w:val="16"/>
                <w:szCs w:val="20"/>
              </w:rPr>
            </w:pPr>
            <w:r>
              <w:rPr>
                <w:sz w:val="16"/>
                <w:szCs w:val="20"/>
              </w:rPr>
              <w:t>28.414</w:t>
            </w:r>
          </w:p>
        </w:tc>
        <w:tc>
          <w:tcPr>
            <w:tcW w:w="924" w:type="dxa"/>
          </w:tcPr>
          <w:p w:rsidR="00000000" w:rsidRDefault="00000000">
            <w:pPr>
              <w:ind w:right="170"/>
              <w:jc w:val="right"/>
              <w:rPr>
                <w:sz w:val="16"/>
                <w:szCs w:val="20"/>
              </w:rPr>
            </w:pPr>
            <w:r>
              <w:rPr>
                <w:sz w:val="16"/>
                <w:szCs w:val="20"/>
              </w:rPr>
              <w:t>69.755</w:t>
            </w:r>
          </w:p>
        </w:tc>
        <w:tc>
          <w:tcPr>
            <w:tcW w:w="812" w:type="dxa"/>
          </w:tcPr>
          <w:p w:rsidR="00000000" w:rsidRDefault="00000000">
            <w:pPr>
              <w:ind w:right="113"/>
              <w:jc w:val="right"/>
              <w:rPr>
                <w:sz w:val="16"/>
                <w:szCs w:val="20"/>
              </w:rPr>
            </w:pPr>
            <w:r>
              <w:rPr>
                <w:sz w:val="16"/>
                <w:szCs w:val="20"/>
              </w:rPr>
              <w:t>79.912</w:t>
            </w:r>
          </w:p>
        </w:tc>
        <w:tc>
          <w:tcPr>
            <w:tcW w:w="909" w:type="dxa"/>
          </w:tcPr>
          <w:p w:rsidR="00000000" w:rsidRDefault="00000000">
            <w:pPr>
              <w:ind w:right="170"/>
              <w:jc w:val="right"/>
              <w:rPr>
                <w:sz w:val="16"/>
                <w:szCs w:val="20"/>
              </w:rPr>
            </w:pPr>
            <w:r>
              <w:rPr>
                <w:sz w:val="16"/>
                <w:szCs w:val="20"/>
              </w:rPr>
              <w:t>96.529</w:t>
            </w:r>
          </w:p>
        </w:tc>
        <w:tc>
          <w:tcPr>
            <w:tcW w:w="896" w:type="dxa"/>
          </w:tcPr>
          <w:p w:rsidR="00000000" w:rsidRDefault="00000000">
            <w:pPr>
              <w:ind w:right="170"/>
              <w:jc w:val="right"/>
              <w:rPr>
                <w:sz w:val="16"/>
                <w:szCs w:val="20"/>
              </w:rPr>
            </w:pPr>
            <w:r>
              <w:rPr>
                <w:sz w:val="16"/>
                <w:szCs w:val="20"/>
              </w:rPr>
              <w:t>49.046</w:t>
            </w:r>
          </w:p>
        </w:tc>
        <w:tc>
          <w:tcPr>
            <w:tcW w:w="910" w:type="dxa"/>
          </w:tcPr>
          <w:p w:rsidR="00000000" w:rsidRDefault="00000000">
            <w:pPr>
              <w:ind w:right="170"/>
              <w:jc w:val="right"/>
              <w:rPr>
                <w:sz w:val="16"/>
                <w:szCs w:val="20"/>
              </w:rPr>
            </w:pPr>
            <w:r>
              <w:rPr>
                <w:sz w:val="16"/>
                <w:szCs w:val="20"/>
              </w:rPr>
              <w:t>34.975</w:t>
            </w:r>
          </w:p>
        </w:tc>
        <w:tc>
          <w:tcPr>
            <w:tcW w:w="784" w:type="dxa"/>
          </w:tcPr>
          <w:p w:rsidR="00000000" w:rsidRDefault="00000000">
            <w:pPr>
              <w:ind w:right="113"/>
              <w:jc w:val="right"/>
              <w:rPr>
                <w:sz w:val="16"/>
                <w:szCs w:val="20"/>
              </w:rPr>
            </w:pPr>
            <w:r>
              <w:rPr>
                <w:sz w:val="16"/>
                <w:szCs w:val="20"/>
              </w:rPr>
              <w:t>88.901</w:t>
            </w:r>
          </w:p>
        </w:tc>
        <w:tc>
          <w:tcPr>
            <w:tcW w:w="872" w:type="dxa"/>
          </w:tcPr>
          <w:p w:rsidR="00000000" w:rsidRDefault="00000000">
            <w:pPr>
              <w:ind w:right="170"/>
              <w:jc w:val="right"/>
              <w:rPr>
                <w:sz w:val="16"/>
                <w:szCs w:val="20"/>
              </w:rPr>
            </w:pPr>
            <w:r>
              <w:rPr>
                <w:sz w:val="16"/>
                <w:szCs w:val="20"/>
              </w:rPr>
              <w:t>51.573</w:t>
            </w:r>
          </w:p>
        </w:tc>
      </w:tr>
      <w:tr w:rsidR="00000000">
        <w:tblPrEx>
          <w:tblCellMar>
            <w:top w:w="0" w:type="dxa"/>
            <w:bottom w:w="0" w:type="dxa"/>
          </w:tblCellMar>
        </w:tblPrEx>
        <w:trPr>
          <w:jc w:val="center"/>
        </w:trPr>
        <w:tc>
          <w:tcPr>
            <w:tcW w:w="2436" w:type="dxa"/>
          </w:tcPr>
          <w:p w:rsidR="00000000" w:rsidRDefault="00000000">
            <w:pPr>
              <w:rPr>
                <w:sz w:val="16"/>
                <w:szCs w:val="20"/>
              </w:rPr>
            </w:pPr>
            <w:r>
              <w:rPr>
                <w:sz w:val="16"/>
                <w:szCs w:val="20"/>
              </w:rPr>
              <w:t>Crecimiento porcentual 1994-2006</w:t>
            </w:r>
          </w:p>
        </w:tc>
        <w:tc>
          <w:tcPr>
            <w:tcW w:w="952" w:type="dxa"/>
          </w:tcPr>
          <w:p w:rsidR="00000000" w:rsidRDefault="00000000">
            <w:pPr>
              <w:ind w:right="170"/>
              <w:jc w:val="right"/>
              <w:rPr>
                <w:sz w:val="16"/>
                <w:szCs w:val="20"/>
              </w:rPr>
            </w:pPr>
            <w:r>
              <w:rPr>
                <w:sz w:val="16"/>
                <w:szCs w:val="20"/>
              </w:rPr>
              <w:t>71</w:t>
            </w:r>
          </w:p>
        </w:tc>
        <w:tc>
          <w:tcPr>
            <w:tcW w:w="924" w:type="dxa"/>
          </w:tcPr>
          <w:p w:rsidR="00000000" w:rsidRDefault="00000000">
            <w:pPr>
              <w:ind w:right="170"/>
              <w:jc w:val="right"/>
              <w:rPr>
                <w:sz w:val="16"/>
                <w:szCs w:val="20"/>
              </w:rPr>
            </w:pPr>
            <w:r>
              <w:rPr>
                <w:sz w:val="16"/>
                <w:szCs w:val="20"/>
              </w:rPr>
              <w:t>18</w:t>
            </w:r>
          </w:p>
        </w:tc>
        <w:tc>
          <w:tcPr>
            <w:tcW w:w="812" w:type="dxa"/>
          </w:tcPr>
          <w:p w:rsidR="00000000" w:rsidRDefault="00000000">
            <w:pPr>
              <w:ind w:right="113"/>
              <w:jc w:val="right"/>
              <w:rPr>
                <w:sz w:val="16"/>
                <w:szCs w:val="20"/>
              </w:rPr>
            </w:pPr>
            <w:r>
              <w:rPr>
                <w:sz w:val="16"/>
                <w:szCs w:val="20"/>
              </w:rPr>
              <w:t>62</w:t>
            </w:r>
          </w:p>
        </w:tc>
        <w:tc>
          <w:tcPr>
            <w:tcW w:w="909" w:type="dxa"/>
          </w:tcPr>
          <w:p w:rsidR="00000000" w:rsidRDefault="00000000">
            <w:pPr>
              <w:ind w:right="170"/>
              <w:jc w:val="right"/>
              <w:rPr>
                <w:sz w:val="16"/>
                <w:szCs w:val="20"/>
              </w:rPr>
            </w:pPr>
            <w:r>
              <w:rPr>
                <w:sz w:val="16"/>
                <w:szCs w:val="20"/>
              </w:rPr>
              <w:t>141</w:t>
            </w:r>
          </w:p>
        </w:tc>
        <w:tc>
          <w:tcPr>
            <w:tcW w:w="896" w:type="dxa"/>
          </w:tcPr>
          <w:p w:rsidR="00000000" w:rsidRDefault="00000000">
            <w:pPr>
              <w:ind w:right="170"/>
              <w:jc w:val="right"/>
              <w:rPr>
                <w:sz w:val="16"/>
                <w:szCs w:val="20"/>
              </w:rPr>
            </w:pPr>
            <w:r>
              <w:rPr>
                <w:sz w:val="16"/>
                <w:szCs w:val="20"/>
              </w:rPr>
              <w:t>459</w:t>
            </w:r>
          </w:p>
        </w:tc>
        <w:tc>
          <w:tcPr>
            <w:tcW w:w="910" w:type="dxa"/>
          </w:tcPr>
          <w:p w:rsidR="00000000" w:rsidRDefault="00000000">
            <w:pPr>
              <w:ind w:right="170"/>
              <w:jc w:val="right"/>
              <w:rPr>
                <w:sz w:val="16"/>
                <w:szCs w:val="20"/>
              </w:rPr>
            </w:pPr>
            <w:r>
              <w:rPr>
                <w:sz w:val="16"/>
                <w:szCs w:val="20"/>
              </w:rPr>
              <w:t>8</w:t>
            </w:r>
          </w:p>
        </w:tc>
        <w:tc>
          <w:tcPr>
            <w:tcW w:w="784" w:type="dxa"/>
          </w:tcPr>
          <w:p w:rsidR="00000000" w:rsidRDefault="00000000">
            <w:pPr>
              <w:ind w:right="113"/>
              <w:jc w:val="right"/>
              <w:rPr>
                <w:sz w:val="16"/>
                <w:szCs w:val="20"/>
              </w:rPr>
            </w:pPr>
            <w:r>
              <w:rPr>
                <w:sz w:val="16"/>
                <w:szCs w:val="20"/>
              </w:rPr>
              <w:t>290</w:t>
            </w:r>
          </w:p>
        </w:tc>
        <w:tc>
          <w:tcPr>
            <w:tcW w:w="872" w:type="dxa"/>
          </w:tcPr>
          <w:p w:rsidR="00000000" w:rsidRDefault="00000000">
            <w:pPr>
              <w:ind w:right="170"/>
              <w:jc w:val="right"/>
              <w:rPr>
                <w:sz w:val="16"/>
                <w:szCs w:val="20"/>
              </w:rPr>
            </w:pPr>
            <w:r>
              <w:rPr>
                <w:sz w:val="16"/>
                <w:szCs w:val="20"/>
              </w:rPr>
              <w:t>659</w:t>
            </w:r>
          </w:p>
        </w:tc>
      </w:tr>
    </w:tbl>
    <w:p w:rsidR="00000000" w:rsidRDefault="00000000">
      <w:pPr>
        <w:spacing w:before="160" w:after="360"/>
        <w:rPr>
          <w:bCs/>
          <w:iCs/>
          <w:sz w:val="16"/>
          <w:szCs w:val="28"/>
        </w:rPr>
      </w:pPr>
      <w:r>
        <w:rPr>
          <w:bCs/>
          <w:i/>
          <w:sz w:val="16"/>
          <w:szCs w:val="20"/>
        </w:rPr>
        <w:t>Fuente</w:t>
      </w:r>
      <w:r>
        <w:rPr>
          <w:bCs/>
          <w:iCs/>
          <w:sz w:val="16"/>
          <w:szCs w:val="20"/>
        </w:rPr>
        <w:t>:  MEC, DGPEC, los datos son estimados a partir de 2005.</w:t>
      </w:r>
    </w:p>
    <w:p w:rsidR="00000000" w:rsidRDefault="00000000">
      <w:pPr>
        <w:spacing w:after="240"/>
        <w:rPr>
          <w:b/>
          <w:bCs/>
        </w:rPr>
      </w:pPr>
      <w:r>
        <w:rPr>
          <w:b/>
          <w:bCs/>
        </w:rPr>
        <w:t>2.</w:t>
      </w:r>
      <w:r>
        <w:rPr>
          <w:b/>
          <w:bCs/>
        </w:rPr>
        <w:tab/>
        <w:t>Educación y PIB</w:t>
      </w:r>
    </w:p>
    <w:p w:rsidR="00000000" w:rsidRDefault="00000000">
      <w:pPr>
        <w:autoSpaceDE w:val="0"/>
        <w:autoSpaceDN w:val="0"/>
        <w:adjustRightInd w:val="0"/>
        <w:spacing w:after="240"/>
      </w:pPr>
      <w:r>
        <w:rPr>
          <w:bCs/>
        </w:rPr>
        <w:t>45.</w:t>
      </w:r>
      <w:r>
        <w:rPr>
          <w:bCs/>
        </w:rPr>
        <w:tab/>
        <w:t xml:space="preserve">Con relación a la evolución del porcentaje del producto interno bruto (PIB) y del Presupuesto General de Gastos de la Nación destinado a educación, se puede observar </w:t>
      </w:r>
      <w:r>
        <w:t xml:space="preserve">una etapa de continuo </w:t>
      </w:r>
      <w:r>
        <w:rPr>
          <w:bCs/>
          <w:iCs/>
        </w:rPr>
        <w:t>crecimiento</w:t>
      </w:r>
      <w:r>
        <w:t xml:space="preserve"> desde el año 1993 hasta 2000.  Dicha etapa contrasta con la registrada a partir de 2001, en la que empieza el decrecimiento, acentuándose hasta el año 2004 y comenzando un leve crecimiento en 2005.  Mientras que la participación del presupuesto del Ministerio de Educación y Cultura sobre el Presupuesto General de Gastos de la Nación no evidencia cambios significativos en todo el período analizado, oscilando entre el 17 y el 20%.</w:t>
      </w:r>
    </w:p>
    <w:p w:rsidR="00000000" w:rsidRDefault="00000000">
      <w:pPr>
        <w:autoSpaceDE w:val="0"/>
        <w:autoSpaceDN w:val="0"/>
        <w:adjustRightInd w:val="0"/>
        <w:spacing w:after="240"/>
      </w:pPr>
    </w:p>
    <w:p w:rsidR="00000000" w:rsidRDefault="00000000">
      <w:pPr>
        <w:spacing w:after="240"/>
        <w:sectPr w:rsidR="00000000">
          <w:headerReference w:type="even" r:id="rId23"/>
          <w:headerReference w:type="default" r:id="rId24"/>
          <w:headerReference w:type="first" r:id="rId25"/>
          <w:pgSz w:w="11906" w:h="16838" w:code="9"/>
          <w:pgMar w:top="1701" w:right="851" w:bottom="1985" w:left="1701" w:header="851" w:footer="567" w:gutter="0"/>
          <w:cols w:space="708"/>
          <w:docGrid w:linePitch="360"/>
        </w:sectPr>
      </w:pPr>
    </w:p>
    <w:p w:rsidR="00000000" w:rsidRDefault="00000000">
      <w:pPr>
        <w:spacing w:after="180"/>
        <w:jc w:val="center"/>
        <w:rPr>
          <w:b/>
          <w:bCs/>
          <w:color w:val="000000"/>
          <w:sz w:val="18"/>
          <w:szCs w:val="20"/>
        </w:rPr>
      </w:pPr>
      <w:r>
        <w:rPr>
          <w:b/>
          <w:bCs/>
          <w:sz w:val="18"/>
          <w:szCs w:val="20"/>
        </w:rPr>
        <w:t xml:space="preserve">Ministerio de Educación y Cultura, 1993-2005 - </w:t>
      </w:r>
      <w:r>
        <w:rPr>
          <w:b/>
          <w:bCs/>
          <w:color w:val="000000"/>
          <w:sz w:val="18"/>
          <w:szCs w:val="20"/>
        </w:rPr>
        <w:t>Presupuesto y ejecución</w:t>
      </w:r>
    </w:p>
    <w:p w:rsidR="00000000" w:rsidRDefault="00000000">
      <w:pPr>
        <w:spacing w:after="180"/>
        <w:jc w:val="center"/>
        <w:rPr>
          <w:sz w:val="18"/>
        </w:rPr>
      </w:pPr>
      <w:r>
        <w:rPr>
          <w:color w:val="000000"/>
          <w:sz w:val="18"/>
          <w:szCs w:val="20"/>
        </w:rPr>
        <w:t>(En millones de guaraníes)</w:t>
      </w: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67"/>
        <w:gridCol w:w="816"/>
        <w:gridCol w:w="827"/>
        <w:gridCol w:w="811"/>
        <w:gridCol w:w="838"/>
        <w:gridCol w:w="824"/>
        <w:gridCol w:w="811"/>
        <w:gridCol w:w="838"/>
        <w:gridCol w:w="813"/>
        <w:gridCol w:w="864"/>
        <w:gridCol w:w="835"/>
        <w:gridCol w:w="838"/>
        <w:gridCol w:w="827"/>
        <w:gridCol w:w="813"/>
      </w:tblGrid>
      <w:tr w:rsidR="00000000">
        <w:trPr>
          <w:trHeight w:val="20"/>
        </w:trPr>
        <w:tc>
          <w:tcPr>
            <w:tcW w:w="994" w:type="pct"/>
            <w:noWrap/>
            <w:vAlign w:val="center"/>
          </w:tcPr>
          <w:p w:rsidR="00000000" w:rsidRDefault="00000000">
            <w:pPr>
              <w:jc w:val="center"/>
              <w:rPr>
                <w:b/>
                <w:bCs/>
                <w:color w:val="000000"/>
                <w:sz w:val="16"/>
                <w:szCs w:val="20"/>
              </w:rPr>
            </w:pPr>
            <w:r>
              <w:rPr>
                <w:b/>
                <w:bCs/>
                <w:color w:val="000000"/>
                <w:sz w:val="16"/>
                <w:szCs w:val="20"/>
              </w:rPr>
              <w:t>Conceptos</w:t>
            </w:r>
          </w:p>
        </w:tc>
        <w:tc>
          <w:tcPr>
            <w:tcW w:w="304" w:type="pct"/>
            <w:noWrap/>
            <w:vAlign w:val="center"/>
          </w:tcPr>
          <w:p w:rsidR="00000000" w:rsidRDefault="00000000">
            <w:pPr>
              <w:jc w:val="center"/>
              <w:rPr>
                <w:b/>
                <w:bCs/>
                <w:color w:val="000000"/>
                <w:sz w:val="16"/>
                <w:szCs w:val="20"/>
              </w:rPr>
            </w:pPr>
            <w:r>
              <w:rPr>
                <w:b/>
                <w:bCs/>
                <w:color w:val="000000"/>
                <w:sz w:val="16"/>
                <w:szCs w:val="20"/>
              </w:rPr>
              <w:t>1993</w:t>
            </w:r>
          </w:p>
        </w:tc>
        <w:tc>
          <w:tcPr>
            <w:tcW w:w="308" w:type="pct"/>
            <w:noWrap/>
            <w:vAlign w:val="center"/>
          </w:tcPr>
          <w:p w:rsidR="00000000" w:rsidRDefault="00000000">
            <w:pPr>
              <w:jc w:val="center"/>
              <w:rPr>
                <w:b/>
                <w:bCs/>
                <w:color w:val="000000"/>
                <w:sz w:val="16"/>
                <w:szCs w:val="20"/>
              </w:rPr>
            </w:pPr>
            <w:r>
              <w:rPr>
                <w:b/>
                <w:bCs/>
                <w:color w:val="000000"/>
                <w:sz w:val="16"/>
                <w:szCs w:val="20"/>
              </w:rPr>
              <w:t>1994</w:t>
            </w:r>
          </w:p>
        </w:tc>
        <w:tc>
          <w:tcPr>
            <w:tcW w:w="302" w:type="pct"/>
            <w:noWrap/>
            <w:vAlign w:val="center"/>
          </w:tcPr>
          <w:p w:rsidR="00000000" w:rsidRDefault="00000000">
            <w:pPr>
              <w:jc w:val="center"/>
              <w:rPr>
                <w:b/>
                <w:bCs/>
                <w:color w:val="000000"/>
                <w:sz w:val="16"/>
                <w:szCs w:val="20"/>
              </w:rPr>
            </w:pPr>
            <w:r>
              <w:rPr>
                <w:b/>
                <w:bCs/>
                <w:color w:val="000000"/>
                <w:sz w:val="16"/>
                <w:szCs w:val="20"/>
              </w:rPr>
              <w:t>1995</w:t>
            </w:r>
          </w:p>
        </w:tc>
        <w:tc>
          <w:tcPr>
            <w:tcW w:w="312" w:type="pct"/>
            <w:noWrap/>
            <w:vAlign w:val="center"/>
          </w:tcPr>
          <w:p w:rsidR="00000000" w:rsidRDefault="00000000">
            <w:pPr>
              <w:jc w:val="center"/>
              <w:rPr>
                <w:b/>
                <w:bCs/>
                <w:color w:val="000000"/>
                <w:sz w:val="16"/>
                <w:szCs w:val="20"/>
              </w:rPr>
            </w:pPr>
            <w:r>
              <w:rPr>
                <w:b/>
                <w:bCs/>
                <w:color w:val="000000"/>
                <w:sz w:val="16"/>
                <w:szCs w:val="20"/>
              </w:rPr>
              <w:t>1996</w:t>
            </w:r>
          </w:p>
        </w:tc>
        <w:tc>
          <w:tcPr>
            <w:tcW w:w="307" w:type="pct"/>
            <w:noWrap/>
            <w:vAlign w:val="center"/>
          </w:tcPr>
          <w:p w:rsidR="00000000" w:rsidRDefault="00000000">
            <w:pPr>
              <w:jc w:val="center"/>
              <w:rPr>
                <w:b/>
                <w:bCs/>
                <w:color w:val="000000"/>
                <w:sz w:val="16"/>
                <w:szCs w:val="20"/>
              </w:rPr>
            </w:pPr>
            <w:r>
              <w:rPr>
                <w:b/>
                <w:bCs/>
                <w:color w:val="000000"/>
                <w:sz w:val="16"/>
                <w:szCs w:val="20"/>
              </w:rPr>
              <w:t>1997</w:t>
            </w:r>
          </w:p>
        </w:tc>
        <w:tc>
          <w:tcPr>
            <w:tcW w:w="302" w:type="pct"/>
            <w:noWrap/>
            <w:vAlign w:val="center"/>
          </w:tcPr>
          <w:p w:rsidR="00000000" w:rsidRDefault="00000000">
            <w:pPr>
              <w:jc w:val="center"/>
              <w:rPr>
                <w:b/>
                <w:bCs/>
                <w:color w:val="000000"/>
                <w:sz w:val="16"/>
                <w:szCs w:val="20"/>
              </w:rPr>
            </w:pPr>
            <w:r>
              <w:rPr>
                <w:b/>
                <w:bCs/>
                <w:color w:val="000000"/>
                <w:sz w:val="16"/>
                <w:szCs w:val="20"/>
              </w:rPr>
              <w:t>1998</w:t>
            </w:r>
          </w:p>
        </w:tc>
        <w:tc>
          <w:tcPr>
            <w:tcW w:w="312" w:type="pct"/>
            <w:noWrap/>
            <w:vAlign w:val="center"/>
          </w:tcPr>
          <w:p w:rsidR="00000000" w:rsidRDefault="00000000">
            <w:pPr>
              <w:jc w:val="center"/>
              <w:rPr>
                <w:b/>
                <w:bCs/>
                <w:color w:val="000000"/>
                <w:sz w:val="16"/>
                <w:szCs w:val="20"/>
              </w:rPr>
            </w:pPr>
            <w:r>
              <w:rPr>
                <w:b/>
                <w:bCs/>
                <w:color w:val="000000"/>
                <w:sz w:val="16"/>
                <w:szCs w:val="20"/>
              </w:rPr>
              <w:t>1999</w:t>
            </w:r>
          </w:p>
        </w:tc>
        <w:tc>
          <w:tcPr>
            <w:tcW w:w="303" w:type="pct"/>
            <w:noWrap/>
            <w:vAlign w:val="center"/>
          </w:tcPr>
          <w:p w:rsidR="00000000" w:rsidRDefault="00000000">
            <w:pPr>
              <w:jc w:val="center"/>
              <w:rPr>
                <w:b/>
                <w:bCs/>
                <w:color w:val="000000"/>
                <w:sz w:val="16"/>
                <w:szCs w:val="20"/>
              </w:rPr>
            </w:pPr>
            <w:r>
              <w:rPr>
                <w:b/>
                <w:bCs/>
                <w:color w:val="000000"/>
                <w:sz w:val="16"/>
                <w:szCs w:val="20"/>
              </w:rPr>
              <w:t>2000</w:t>
            </w:r>
          </w:p>
        </w:tc>
        <w:tc>
          <w:tcPr>
            <w:tcW w:w="322" w:type="pct"/>
            <w:noWrap/>
            <w:vAlign w:val="center"/>
          </w:tcPr>
          <w:p w:rsidR="00000000" w:rsidRDefault="00000000">
            <w:pPr>
              <w:jc w:val="center"/>
              <w:rPr>
                <w:b/>
                <w:bCs/>
                <w:color w:val="000000"/>
                <w:sz w:val="16"/>
                <w:szCs w:val="20"/>
              </w:rPr>
            </w:pPr>
            <w:r>
              <w:rPr>
                <w:b/>
                <w:bCs/>
                <w:color w:val="000000"/>
                <w:sz w:val="16"/>
                <w:szCs w:val="20"/>
              </w:rPr>
              <w:t>2001</w:t>
            </w:r>
          </w:p>
        </w:tc>
        <w:tc>
          <w:tcPr>
            <w:tcW w:w="311" w:type="pct"/>
            <w:noWrap/>
            <w:vAlign w:val="center"/>
          </w:tcPr>
          <w:p w:rsidR="00000000" w:rsidRDefault="00000000">
            <w:pPr>
              <w:jc w:val="center"/>
              <w:rPr>
                <w:b/>
                <w:bCs/>
                <w:color w:val="000000"/>
                <w:sz w:val="16"/>
                <w:szCs w:val="20"/>
              </w:rPr>
            </w:pPr>
            <w:r>
              <w:rPr>
                <w:b/>
                <w:bCs/>
                <w:color w:val="000000"/>
                <w:sz w:val="16"/>
                <w:szCs w:val="20"/>
              </w:rPr>
              <w:t>2002</w:t>
            </w:r>
          </w:p>
        </w:tc>
        <w:tc>
          <w:tcPr>
            <w:tcW w:w="312" w:type="pct"/>
            <w:noWrap/>
            <w:vAlign w:val="center"/>
          </w:tcPr>
          <w:p w:rsidR="00000000" w:rsidRDefault="00000000">
            <w:pPr>
              <w:jc w:val="center"/>
              <w:rPr>
                <w:b/>
                <w:bCs/>
                <w:color w:val="000000"/>
                <w:sz w:val="16"/>
                <w:szCs w:val="20"/>
              </w:rPr>
            </w:pPr>
            <w:r>
              <w:rPr>
                <w:b/>
                <w:bCs/>
                <w:color w:val="000000"/>
                <w:sz w:val="16"/>
                <w:szCs w:val="20"/>
              </w:rPr>
              <w:t>2003</w:t>
            </w:r>
          </w:p>
        </w:tc>
        <w:tc>
          <w:tcPr>
            <w:tcW w:w="308" w:type="pct"/>
            <w:noWrap/>
            <w:vAlign w:val="center"/>
          </w:tcPr>
          <w:p w:rsidR="00000000" w:rsidRDefault="00000000">
            <w:pPr>
              <w:jc w:val="center"/>
              <w:rPr>
                <w:b/>
                <w:bCs/>
                <w:color w:val="000000"/>
                <w:sz w:val="16"/>
                <w:szCs w:val="20"/>
              </w:rPr>
            </w:pPr>
            <w:r>
              <w:rPr>
                <w:b/>
                <w:bCs/>
                <w:color w:val="000000"/>
                <w:sz w:val="16"/>
                <w:szCs w:val="20"/>
              </w:rPr>
              <w:t>2004</w:t>
            </w:r>
          </w:p>
        </w:tc>
        <w:tc>
          <w:tcPr>
            <w:tcW w:w="303" w:type="pct"/>
            <w:noWrap/>
            <w:vAlign w:val="center"/>
          </w:tcPr>
          <w:p w:rsidR="00000000" w:rsidRDefault="00000000">
            <w:pPr>
              <w:jc w:val="center"/>
              <w:rPr>
                <w:b/>
                <w:bCs/>
                <w:color w:val="000000"/>
                <w:sz w:val="16"/>
                <w:szCs w:val="20"/>
              </w:rPr>
            </w:pPr>
            <w:r>
              <w:rPr>
                <w:b/>
                <w:bCs/>
                <w:color w:val="000000"/>
                <w:sz w:val="16"/>
                <w:szCs w:val="20"/>
              </w:rPr>
              <w:t>2005</w:t>
            </w:r>
          </w:p>
        </w:tc>
      </w:tr>
      <w:tr w:rsidR="00000000">
        <w:trPr>
          <w:cantSplit/>
          <w:trHeight w:val="20"/>
        </w:trPr>
        <w:tc>
          <w:tcPr>
            <w:tcW w:w="994" w:type="pct"/>
            <w:noWrap/>
            <w:vAlign w:val="center"/>
          </w:tcPr>
          <w:p w:rsidR="00000000" w:rsidRDefault="00000000">
            <w:pPr>
              <w:rPr>
                <w:b/>
                <w:bCs/>
                <w:color w:val="000000"/>
                <w:sz w:val="16"/>
                <w:szCs w:val="20"/>
              </w:rPr>
            </w:pPr>
            <w:r>
              <w:rPr>
                <w:b/>
                <w:bCs/>
                <w:color w:val="000000"/>
                <w:sz w:val="16"/>
                <w:szCs w:val="20"/>
              </w:rPr>
              <w:t>Presupuesto</w:t>
            </w:r>
          </w:p>
        </w:tc>
        <w:tc>
          <w:tcPr>
            <w:tcW w:w="304" w:type="pct"/>
            <w:noWrap/>
            <w:vAlign w:val="bottom"/>
          </w:tcPr>
          <w:p w:rsidR="00000000" w:rsidRDefault="00000000">
            <w:pPr>
              <w:rPr>
                <w:color w:val="000000"/>
                <w:sz w:val="16"/>
                <w:szCs w:val="20"/>
              </w:rPr>
            </w:pPr>
            <w:r>
              <w:rPr>
                <w:color w:val="000000"/>
                <w:sz w:val="16"/>
                <w:szCs w:val="20"/>
              </w:rPr>
              <w:t> </w:t>
            </w:r>
          </w:p>
        </w:tc>
        <w:tc>
          <w:tcPr>
            <w:tcW w:w="308" w:type="pct"/>
            <w:noWrap/>
            <w:vAlign w:val="bottom"/>
          </w:tcPr>
          <w:p w:rsidR="00000000" w:rsidRDefault="00000000">
            <w:pPr>
              <w:rPr>
                <w:color w:val="000000"/>
                <w:sz w:val="16"/>
                <w:szCs w:val="20"/>
              </w:rPr>
            </w:pPr>
            <w:r>
              <w:rPr>
                <w:color w:val="000000"/>
                <w:sz w:val="16"/>
                <w:szCs w:val="20"/>
              </w:rPr>
              <w:t> </w:t>
            </w:r>
          </w:p>
        </w:tc>
        <w:tc>
          <w:tcPr>
            <w:tcW w:w="302" w:type="pct"/>
            <w:noWrap/>
            <w:vAlign w:val="bottom"/>
          </w:tcPr>
          <w:p w:rsidR="00000000" w:rsidRDefault="00000000">
            <w:pPr>
              <w:rPr>
                <w:color w:val="000000"/>
                <w:sz w:val="16"/>
                <w:szCs w:val="20"/>
              </w:rPr>
            </w:pPr>
            <w:r>
              <w:rPr>
                <w:color w:val="000000"/>
                <w:sz w:val="16"/>
                <w:szCs w:val="20"/>
              </w:rPr>
              <w:t> </w:t>
            </w:r>
          </w:p>
        </w:tc>
        <w:tc>
          <w:tcPr>
            <w:tcW w:w="312" w:type="pct"/>
            <w:noWrap/>
            <w:vAlign w:val="bottom"/>
          </w:tcPr>
          <w:p w:rsidR="00000000" w:rsidRDefault="00000000">
            <w:pPr>
              <w:rPr>
                <w:color w:val="000000"/>
                <w:sz w:val="16"/>
                <w:szCs w:val="20"/>
              </w:rPr>
            </w:pPr>
            <w:r>
              <w:rPr>
                <w:color w:val="000000"/>
                <w:sz w:val="16"/>
                <w:szCs w:val="20"/>
              </w:rPr>
              <w:t> </w:t>
            </w:r>
          </w:p>
        </w:tc>
        <w:tc>
          <w:tcPr>
            <w:tcW w:w="307" w:type="pct"/>
            <w:noWrap/>
            <w:vAlign w:val="bottom"/>
          </w:tcPr>
          <w:p w:rsidR="00000000" w:rsidRDefault="00000000">
            <w:pPr>
              <w:rPr>
                <w:color w:val="000000"/>
                <w:sz w:val="16"/>
                <w:szCs w:val="20"/>
              </w:rPr>
            </w:pPr>
            <w:r>
              <w:rPr>
                <w:color w:val="000000"/>
                <w:sz w:val="16"/>
                <w:szCs w:val="20"/>
              </w:rPr>
              <w:t> </w:t>
            </w:r>
          </w:p>
        </w:tc>
        <w:tc>
          <w:tcPr>
            <w:tcW w:w="302" w:type="pct"/>
            <w:noWrap/>
            <w:vAlign w:val="bottom"/>
          </w:tcPr>
          <w:p w:rsidR="00000000" w:rsidRDefault="00000000">
            <w:pPr>
              <w:rPr>
                <w:color w:val="000000"/>
                <w:sz w:val="16"/>
                <w:szCs w:val="20"/>
              </w:rPr>
            </w:pPr>
            <w:r>
              <w:rPr>
                <w:color w:val="000000"/>
                <w:sz w:val="16"/>
                <w:szCs w:val="20"/>
              </w:rPr>
              <w:t> </w:t>
            </w:r>
          </w:p>
        </w:tc>
        <w:tc>
          <w:tcPr>
            <w:tcW w:w="312" w:type="pct"/>
            <w:noWrap/>
            <w:vAlign w:val="bottom"/>
          </w:tcPr>
          <w:p w:rsidR="00000000" w:rsidRDefault="00000000">
            <w:pPr>
              <w:rPr>
                <w:color w:val="000000"/>
                <w:sz w:val="16"/>
                <w:szCs w:val="20"/>
              </w:rPr>
            </w:pPr>
            <w:r>
              <w:rPr>
                <w:color w:val="000000"/>
                <w:sz w:val="16"/>
                <w:szCs w:val="20"/>
              </w:rPr>
              <w:t> </w:t>
            </w:r>
          </w:p>
        </w:tc>
        <w:tc>
          <w:tcPr>
            <w:tcW w:w="303" w:type="pct"/>
            <w:noWrap/>
            <w:vAlign w:val="bottom"/>
          </w:tcPr>
          <w:p w:rsidR="00000000" w:rsidRDefault="00000000">
            <w:pPr>
              <w:rPr>
                <w:color w:val="000000"/>
                <w:sz w:val="16"/>
                <w:szCs w:val="20"/>
              </w:rPr>
            </w:pPr>
            <w:r>
              <w:rPr>
                <w:color w:val="000000"/>
                <w:sz w:val="16"/>
                <w:szCs w:val="20"/>
              </w:rPr>
              <w:t> </w:t>
            </w:r>
          </w:p>
        </w:tc>
        <w:tc>
          <w:tcPr>
            <w:tcW w:w="322" w:type="pct"/>
            <w:noWrap/>
            <w:vAlign w:val="bottom"/>
          </w:tcPr>
          <w:p w:rsidR="00000000" w:rsidRDefault="00000000">
            <w:pPr>
              <w:rPr>
                <w:color w:val="000000"/>
                <w:sz w:val="16"/>
                <w:szCs w:val="20"/>
              </w:rPr>
            </w:pPr>
            <w:r>
              <w:rPr>
                <w:color w:val="000000"/>
                <w:sz w:val="16"/>
                <w:szCs w:val="20"/>
              </w:rPr>
              <w:t> </w:t>
            </w:r>
          </w:p>
        </w:tc>
        <w:tc>
          <w:tcPr>
            <w:tcW w:w="311" w:type="pct"/>
            <w:noWrap/>
            <w:vAlign w:val="bottom"/>
          </w:tcPr>
          <w:p w:rsidR="00000000" w:rsidRDefault="00000000">
            <w:pPr>
              <w:rPr>
                <w:color w:val="000000"/>
                <w:sz w:val="16"/>
                <w:szCs w:val="20"/>
              </w:rPr>
            </w:pPr>
            <w:r>
              <w:rPr>
                <w:color w:val="000000"/>
                <w:sz w:val="16"/>
                <w:szCs w:val="20"/>
              </w:rPr>
              <w:t> </w:t>
            </w:r>
          </w:p>
        </w:tc>
        <w:tc>
          <w:tcPr>
            <w:tcW w:w="312" w:type="pct"/>
            <w:noWrap/>
            <w:vAlign w:val="bottom"/>
          </w:tcPr>
          <w:p w:rsidR="00000000" w:rsidRDefault="00000000">
            <w:pPr>
              <w:rPr>
                <w:color w:val="000000"/>
                <w:sz w:val="16"/>
                <w:szCs w:val="20"/>
              </w:rPr>
            </w:pPr>
            <w:r>
              <w:rPr>
                <w:color w:val="000000"/>
                <w:sz w:val="16"/>
                <w:szCs w:val="20"/>
              </w:rPr>
              <w:t> </w:t>
            </w:r>
          </w:p>
        </w:tc>
        <w:tc>
          <w:tcPr>
            <w:tcW w:w="308" w:type="pct"/>
            <w:noWrap/>
            <w:vAlign w:val="bottom"/>
          </w:tcPr>
          <w:p w:rsidR="00000000" w:rsidRDefault="00000000">
            <w:pPr>
              <w:rPr>
                <w:color w:val="000000"/>
                <w:sz w:val="16"/>
                <w:szCs w:val="20"/>
              </w:rPr>
            </w:pPr>
            <w:r>
              <w:rPr>
                <w:color w:val="000000"/>
                <w:sz w:val="16"/>
                <w:szCs w:val="20"/>
              </w:rPr>
              <w:t> </w:t>
            </w:r>
          </w:p>
        </w:tc>
        <w:tc>
          <w:tcPr>
            <w:tcW w:w="303" w:type="pct"/>
            <w:noWrap/>
            <w:vAlign w:val="bottom"/>
          </w:tcPr>
          <w:p w:rsidR="00000000" w:rsidRDefault="00000000">
            <w:pPr>
              <w:rPr>
                <w:color w:val="000000"/>
                <w:sz w:val="16"/>
                <w:szCs w:val="20"/>
              </w:rPr>
            </w:pPr>
            <w:r>
              <w:rPr>
                <w:color w:val="000000"/>
                <w:sz w:val="16"/>
                <w:szCs w:val="20"/>
              </w:rPr>
              <w:t> </w:t>
            </w:r>
          </w:p>
        </w:tc>
      </w:tr>
      <w:tr w:rsidR="00000000">
        <w:trPr>
          <w:trHeight w:val="20"/>
        </w:trPr>
        <w:tc>
          <w:tcPr>
            <w:tcW w:w="994" w:type="pct"/>
            <w:noWrap/>
            <w:vAlign w:val="bottom"/>
          </w:tcPr>
          <w:p w:rsidR="00000000" w:rsidRDefault="00000000">
            <w:pPr>
              <w:rPr>
                <w:color w:val="000000"/>
                <w:sz w:val="16"/>
                <w:szCs w:val="20"/>
              </w:rPr>
            </w:pPr>
            <w:r>
              <w:rPr>
                <w:color w:val="000000"/>
                <w:sz w:val="16"/>
                <w:szCs w:val="20"/>
              </w:rPr>
              <w:t>Administración central</w:t>
            </w:r>
          </w:p>
        </w:tc>
        <w:tc>
          <w:tcPr>
            <w:tcW w:w="304" w:type="pct"/>
            <w:noWrap/>
            <w:vAlign w:val="bottom"/>
          </w:tcPr>
          <w:p w:rsidR="00000000" w:rsidRDefault="00000000">
            <w:pPr>
              <w:jc w:val="right"/>
              <w:rPr>
                <w:color w:val="000000"/>
                <w:sz w:val="15"/>
                <w:szCs w:val="20"/>
              </w:rPr>
            </w:pPr>
            <w:r>
              <w:rPr>
                <w:color w:val="000000"/>
                <w:sz w:val="15"/>
                <w:szCs w:val="20"/>
              </w:rPr>
              <w:t>2.068.868</w:t>
            </w:r>
          </w:p>
        </w:tc>
        <w:tc>
          <w:tcPr>
            <w:tcW w:w="308" w:type="pct"/>
            <w:noWrap/>
            <w:vAlign w:val="bottom"/>
          </w:tcPr>
          <w:p w:rsidR="00000000" w:rsidRDefault="00000000">
            <w:pPr>
              <w:jc w:val="right"/>
              <w:rPr>
                <w:color w:val="000000"/>
                <w:sz w:val="15"/>
                <w:szCs w:val="20"/>
              </w:rPr>
            </w:pPr>
            <w:r>
              <w:rPr>
                <w:color w:val="000000"/>
                <w:sz w:val="15"/>
                <w:szCs w:val="20"/>
              </w:rPr>
              <w:t>2.568.389</w:t>
            </w:r>
          </w:p>
        </w:tc>
        <w:tc>
          <w:tcPr>
            <w:tcW w:w="302" w:type="pct"/>
            <w:noWrap/>
            <w:vAlign w:val="bottom"/>
          </w:tcPr>
          <w:p w:rsidR="00000000" w:rsidRDefault="00000000">
            <w:pPr>
              <w:jc w:val="right"/>
              <w:rPr>
                <w:color w:val="000000"/>
                <w:sz w:val="15"/>
                <w:szCs w:val="20"/>
              </w:rPr>
            </w:pPr>
            <w:r>
              <w:rPr>
                <w:color w:val="000000"/>
                <w:sz w:val="15"/>
                <w:szCs w:val="20"/>
              </w:rPr>
              <w:t>3.490.367</w:t>
            </w:r>
          </w:p>
        </w:tc>
        <w:tc>
          <w:tcPr>
            <w:tcW w:w="312" w:type="pct"/>
            <w:noWrap/>
            <w:vAlign w:val="bottom"/>
          </w:tcPr>
          <w:p w:rsidR="00000000" w:rsidRDefault="00000000">
            <w:pPr>
              <w:jc w:val="right"/>
              <w:rPr>
                <w:color w:val="000000"/>
                <w:sz w:val="15"/>
                <w:szCs w:val="20"/>
              </w:rPr>
            </w:pPr>
            <w:r>
              <w:rPr>
                <w:color w:val="000000"/>
                <w:sz w:val="15"/>
                <w:szCs w:val="20"/>
              </w:rPr>
              <w:t>4.303.706</w:t>
            </w:r>
          </w:p>
        </w:tc>
        <w:tc>
          <w:tcPr>
            <w:tcW w:w="307" w:type="pct"/>
            <w:noWrap/>
            <w:vAlign w:val="bottom"/>
          </w:tcPr>
          <w:p w:rsidR="00000000" w:rsidRDefault="00000000">
            <w:pPr>
              <w:jc w:val="right"/>
              <w:rPr>
                <w:color w:val="000000"/>
                <w:sz w:val="15"/>
                <w:szCs w:val="20"/>
              </w:rPr>
            </w:pPr>
            <w:r>
              <w:rPr>
                <w:color w:val="000000"/>
                <w:sz w:val="15"/>
                <w:szCs w:val="20"/>
              </w:rPr>
              <w:t>4.528.874</w:t>
            </w:r>
          </w:p>
        </w:tc>
        <w:tc>
          <w:tcPr>
            <w:tcW w:w="302" w:type="pct"/>
            <w:noWrap/>
            <w:vAlign w:val="bottom"/>
          </w:tcPr>
          <w:p w:rsidR="00000000" w:rsidRDefault="00000000">
            <w:pPr>
              <w:jc w:val="right"/>
              <w:rPr>
                <w:color w:val="000000"/>
                <w:sz w:val="15"/>
                <w:szCs w:val="20"/>
              </w:rPr>
            </w:pPr>
            <w:r>
              <w:rPr>
                <w:color w:val="000000"/>
                <w:sz w:val="15"/>
                <w:szCs w:val="20"/>
              </w:rPr>
              <w:t>5.419.007</w:t>
            </w:r>
          </w:p>
        </w:tc>
        <w:tc>
          <w:tcPr>
            <w:tcW w:w="312" w:type="pct"/>
            <w:noWrap/>
            <w:vAlign w:val="bottom"/>
          </w:tcPr>
          <w:p w:rsidR="00000000" w:rsidRDefault="00000000">
            <w:pPr>
              <w:jc w:val="right"/>
              <w:rPr>
                <w:color w:val="000000"/>
                <w:sz w:val="15"/>
                <w:szCs w:val="20"/>
              </w:rPr>
            </w:pPr>
            <w:r>
              <w:rPr>
                <w:color w:val="000000"/>
                <w:sz w:val="15"/>
                <w:szCs w:val="20"/>
              </w:rPr>
              <w:t>7.278.673</w:t>
            </w:r>
          </w:p>
        </w:tc>
        <w:tc>
          <w:tcPr>
            <w:tcW w:w="303" w:type="pct"/>
            <w:noWrap/>
            <w:vAlign w:val="bottom"/>
          </w:tcPr>
          <w:p w:rsidR="00000000" w:rsidRDefault="00000000">
            <w:pPr>
              <w:jc w:val="right"/>
              <w:rPr>
                <w:color w:val="000000"/>
                <w:sz w:val="15"/>
                <w:szCs w:val="20"/>
              </w:rPr>
            </w:pPr>
            <w:r>
              <w:rPr>
                <w:color w:val="000000"/>
                <w:sz w:val="15"/>
                <w:szCs w:val="20"/>
              </w:rPr>
              <w:t>7.604.699</w:t>
            </w:r>
          </w:p>
        </w:tc>
        <w:tc>
          <w:tcPr>
            <w:tcW w:w="322" w:type="pct"/>
            <w:noWrap/>
            <w:vAlign w:val="bottom"/>
          </w:tcPr>
          <w:p w:rsidR="00000000" w:rsidRDefault="00000000">
            <w:pPr>
              <w:jc w:val="right"/>
              <w:rPr>
                <w:color w:val="000000"/>
                <w:sz w:val="15"/>
                <w:szCs w:val="20"/>
              </w:rPr>
            </w:pPr>
            <w:r>
              <w:rPr>
                <w:color w:val="000000"/>
                <w:sz w:val="15"/>
                <w:szCs w:val="20"/>
              </w:rPr>
              <w:t>7.291.523</w:t>
            </w:r>
          </w:p>
        </w:tc>
        <w:tc>
          <w:tcPr>
            <w:tcW w:w="311" w:type="pct"/>
            <w:noWrap/>
            <w:vAlign w:val="bottom"/>
          </w:tcPr>
          <w:p w:rsidR="00000000" w:rsidRDefault="00000000">
            <w:pPr>
              <w:jc w:val="right"/>
              <w:rPr>
                <w:color w:val="000000"/>
                <w:sz w:val="15"/>
                <w:szCs w:val="20"/>
              </w:rPr>
            </w:pPr>
            <w:r>
              <w:rPr>
                <w:color w:val="000000"/>
                <w:sz w:val="15"/>
                <w:szCs w:val="20"/>
              </w:rPr>
              <w:t>7.770.138</w:t>
            </w:r>
          </w:p>
        </w:tc>
        <w:tc>
          <w:tcPr>
            <w:tcW w:w="312" w:type="pct"/>
            <w:noWrap/>
            <w:vAlign w:val="bottom"/>
          </w:tcPr>
          <w:p w:rsidR="00000000" w:rsidRDefault="00000000">
            <w:pPr>
              <w:jc w:val="right"/>
              <w:rPr>
                <w:color w:val="000000"/>
                <w:sz w:val="15"/>
                <w:szCs w:val="20"/>
              </w:rPr>
            </w:pPr>
            <w:r>
              <w:rPr>
                <w:color w:val="000000"/>
                <w:sz w:val="15"/>
                <w:szCs w:val="20"/>
              </w:rPr>
              <w:t>9.994.811</w:t>
            </w:r>
          </w:p>
        </w:tc>
        <w:tc>
          <w:tcPr>
            <w:tcW w:w="308" w:type="pct"/>
            <w:noWrap/>
            <w:vAlign w:val="bottom"/>
          </w:tcPr>
          <w:p w:rsidR="00000000" w:rsidRDefault="00000000">
            <w:pPr>
              <w:jc w:val="right"/>
              <w:rPr>
                <w:color w:val="000000"/>
                <w:sz w:val="15"/>
                <w:szCs w:val="20"/>
              </w:rPr>
            </w:pPr>
            <w:r>
              <w:rPr>
                <w:color w:val="000000"/>
                <w:sz w:val="15"/>
                <w:szCs w:val="20"/>
              </w:rPr>
              <w:t>9.568.415</w:t>
            </w:r>
          </w:p>
        </w:tc>
        <w:tc>
          <w:tcPr>
            <w:tcW w:w="303" w:type="pct"/>
            <w:noWrap/>
            <w:vAlign w:val="bottom"/>
          </w:tcPr>
          <w:p w:rsidR="00000000" w:rsidRDefault="00000000">
            <w:pPr>
              <w:jc w:val="right"/>
              <w:rPr>
                <w:color w:val="000000"/>
                <w:sz w:val="15"/>
                <w:szCs w:val="20"/>
              </w:rPr>
            </w:pPr>
            <w:r>
              <w:rPr>
                <w:color w:val="000000"/>
                <w:sz w:val="15"/>
                <w:szCs w:val="20"/>
              </w:rPr>
              <w:t>10.911.323</w:t>
            </w:r>
          </w:p>
        </w:tc>
      </w:tr>
      <w:tr w:rsidR="00000000">
        <w:trPr>
          <w:trHeight w:val="20"/>
        </w:trPr>
        <w:tc>
          <w:tcPr>
            <w:tcW w:w="994" w:type="pct"/>
            <w:noWrap/>
            <w:vAlign w:val="bottom"/>
          </w:tcPr>
          <w:p w:rsidR="00000000" w:rsidRDefault="00000000">
            <w:pPr>
              <w:rPr>
                <w:color w:val="000000"/>
                <w:sz w:val="16"/>
                <w:szCs w:val="20"/>
              </w:rPr>
            </w:pPr>
            <w:r>
              <w:rPr>
                <w:color w:val="000000"/>
                <w:sz w:val="16"/>
                <w:szCs w:val="20"/>
              </w:rPr>
              <w:t>Ministerio de Educación y Cultura</w:t>
            </w:r>
          </w:p>
        </w:tc>
        <w:tc>
          <w:tcPr>
            <w:tcW w:w="304" w:type="pct"/>
            <w:noWrap/>
            <w:vAlign w:val="bottom"/>
          </w:tcPr>
          <w:p w:rsidR="00000000" w:rsidRDefault="00000000">
            <w:pPr>
              <w:jc w:val="right"/>
              <w:rPr>
                <w:color w:val="000000"/>
                <w:sz w:val="15"/>
                <w:szCs w:val="20"/>
              </w:rPr>
            </w:pPr>
            <w:r>
              <w:rPr>
                <w:color w:val="000000"/>
                <w:sz w:val="15"/>
                <w:szCs w:val="20"/>
              </w:rPr>
              <w:t>349.981</w:t>
            </w:r>
          </w:p>
        </w:tc>
        <w:tc>
          <w:tcPr>
            <w:tcW w:w="308" w:type="pct"/>
            <w:noWrap/>
            <w:vAlign w:val="bottom"/>
          </w:tcPr>
          <w:p w:rsidR="00000000" w:rsidRDefault="00000000">
            <w:pPr>
              <w:jc w:val="right"/>
              <w:rPr>
                <w:color w:val="000000"/>
                <w:sz w:val="15"/>
                <w:szCs w:val="20"/>
              </w:rPr>
            </w:pPr>
            <w:r>
              <w:rPr>
                <w:color w:val="000000"/>
                <w:sz w:val="15"/>
                <w:szCs w:val="20"/>
              </w:rPr>
              <w:t>439.233</w:t>
            </w:r>
          </w:p>
        </w:tc>
        <w:tc>
          <w:tcPr>
            <w:tcW w:w="302" w:type="pct"/>
            <w:noWrap/>
            <w:vAlign w:val="bottom"/>
          </w:tcPr>
          <w:p w:rsidR="00000000" w:rsidRDefault="00000000">
            <w:pPr>
              <w:jc w:val="right"/>
              <w:rPr>
                <w:color w:val="000000"/>
                <w:sz w:val="15"/>
                <w:szCs w:val="20"/>
              </w:rPr>
            </w:pPr>
            <w:r>
              <w:rPr>
                <w:color w:val="000000"/>
                <w:sz w:val="15"/>
                <w:szCs w:val="20"/>
              </w:rPr>
              <w:t>610.698</w:t>
            </w:r>
          </w:p>
        </w:tc>
        <w:tc>
          <w:tcPr>
            <w:tcW w:w="312" w:type="pct"/>
            <w:noWrap/>
            <w:vAlign w:val="bottom"/>
          </w:tcPr>
          <w:p w:rsidR="00000000" w:rsidRDefault="00000000">
            <w:pPr>
              <w:jc w:val="right"/>
              <w:rPr>
                <w:color w:val="000000"/>
                <w:sz w:val="15"/>
                <w:szCs w:val="20"/>
              </w:rPr>
            </w:pPr>
            <w:r>
              <w:rPr>
                <w:color w:val="000000"/>
                <w:sz w:val="15"/>
                <w:szCs w:val="20"/>
              </w:rPr>
              <w:t>788.674</w:t>
            </w:r>
          </w:p>
        </w:tc>
        <w:tc>
          <w:tcPr>
            <w:tcW w:w="307" w:type="pct"/>
            <w:noWrap/>
            <w:vAlign w:val="bottom"/>
          </w:tcPr>
          <w:p w:rsidR="00000000" w:rsidRDefault="00000000">
            <w:pPr>
              <w:jc w:val="right"/>
              <w:rPr>
                <w:color w:val="000000"/>
                <w:sz w:val="15"/>
                <w:szCs w:val="20"/>
              </w:rPr>
            </w:pPr>
            <w:r>
              <w:rPr>
                <w:color w:val="000000"/>
                <w:sz w:val="15"/>
                <w:szCs w:val="20"/>
              </w:rPr>
              <w:t>949.009</w:t>
            </w:r>
          </w:p>
        </w:tc>
        <w:tc>
          <w:tcPr>
            <w:tcW w:w="302" w:type="pct"/>
            <w:noWrap/>
            <w:vAlign w:val="bottom"/>
          </w:tcPr>
          <w:p w:rsidR="00000000" w:rsidRDefault="00000000">
            <w:pPr>
              <w:jc w:val="right"/>
              <w:rPr>
                <w:color w:val="000000"/>
                <w:sz w:val="15"/>
                <w:szCs w:val="20"/>
              </w:rPr>
            </w:pPr>
            <w:r>
              <w:rPr>
                <w:color w:val="000000"/>
                <w:sz w:val="15"/>
                <w:szCs w:val="20"/>
              </w:rPr>
              <w:t>1.071.373</w:t>
            </w:r>
          </w:p>
        </w:tc>
        <w:tc>
          <w:tcPr>
            <w:tcW w:w="312" w:type="pct"/>
            <w:noWrap/>
            <w:vAlign w:val="bottom"/>
          </w:tcPr>
          <w:p w:rsidR="00000000" w:rsidRDefault="00000000">
            <w:pPr>
              <w:jc w:val="right"/>
              <w:rPr>
                <w:color w:val="000000"/>
                <w:sz w:val="15"/>
                <w:szCs w:val="20"/>
              </w:rPr>
            </w:pPr>
            <w:r>
              <w:rPr>
                <w:color w:val="000000"/>
                <w:sz w:val="15"/>
                <w:szCs w:val="20"/>
              </w:rPr>
              <w:t>1.122.042</w:t>
            </w:r>
          </w:p>
        </w:tc>
        <w:tc>
          <w:tcPr>
            <w:tcW w:w="303" w:type="pct"/>
            <w:noWrap/>
            <w:vAlign w:val="bottom"/>
          </w:tcPr>
          <w:p w:rsidR="00000000" w:rsidRDefault="00000000">
            <w:pPr>
              <w:jc w:val="right"/>
              <w:rPr>
                <w:color w:val="000000"/>
                <w:sz w:val="15"/>
                <w:szCs w:val="20"/>
              </w:rPr>
            </w:pPr>
            <w:r>
              <w:rPr>
                <w:color w:val="000000"/>
                <w:sz w:val="15"/>
                <w:szCs w:val="20"/>
              </w:rPr>
              <w:t>1.324.198</w:t>
            </w:r>
          </w:p>
        </w:tc>
        <w:tc>
          <w:tcPr>
            <w:tcW w:w="322" w:type="pct"/>
            <w:noWrap/>
            <w:vAlign w:val="bottom"/>
          </w:tcPr>
          <w:p w:rsidR="00000000" w:rsidRDefault="00000000">
            <w:pPr>
              <w:jc w:val="right"/>
              <w:rPr>
                <w:color w:val="000000"/>
                <w:sz w:val="15"/>
                <w:szCs w:val="20"/>
              </w:rPr>
            </w:pPr>
            <w:r>
              <w:rPr>
                <w:color w:val="000000"/>
                <w:sz w:val="15"/>
                <w:szCs w:val="20"/>
              </w:rPr>
              <w:t>1.327.772</w:t>
            </w:r>
          </w:p>
        </w:tc>
        <w:tc>
          <w:tcPr>
            <w:tcW w:w="311" w:type="pct"/>
            <w:noWrap/>
            <w:vAlign w:val="bottom"/>
          </w:tcPr>
          <w:p w:rsidR="00000000" w:rsidRDefault="00000000">
            <w:pPr>
              <w:jc w:val="right"/>
              <w:rPr>
                <w:color w:val="000000"/>
                <w:sz w:val="15"/>
                <w:szCs w:val="20"/>
              </w:rPr>
            </w:pPr>
            <w:r>
              <w:rPr>
                <w:color w:val="000000"/>
                <w:sz w:val="15"/>
                <w:szCs w:val="20"/>
              </w:rPr>
              <w:t>1.394.241</w:t>
            </w:r>
          </w:p>
        </w:tc>
        <w:tc>
          <w:tcPr>
            <w:tcW w:w="312" w:type="pct"/>
            <w:noWrap/>
            <w:vAlign w:val="bottom"/>
          </w:tcPr>
          <w:p w:rsidR="00000000" w:rsidRDefault="00000000">
            <w:pPr>
              <w:jc w:val="right"/>
              <w:rPr>
                <w:color w:val="000000"/>
                <w:sz w:val="15"/>
                <w:szCs w:val="20"/>
              </w:rPr>
            </w:pPr>
            <w:r>
              <w:rPr>
                <w:color w:val="000000"/>
                <w:sz w:val="15"/>
                <w:szCs w:val="20"/>
              </w:rPr>
              <w:t>1.477.347</w:t>
            </w:r>
          </w:p>
        </w:tc>
        <w:tc>
          <w:tcPr>
            <w:tcW w:w="308" w:type="pct"/>
            <w:noWrap/>
            <w:vAlign w:val="bottom"/>
          </w:tcPr>
          <w:p w:rsidR="00000000" w:rsidRDefault="00000000">
            <w:pPr>
              <w:jc w:val="right"/>
              <w:rPr>
                <w:color w:val="000000"/>
                <w:sz w:val="15"/>
                <w:szCs w:val="20"/>
              </w:rPr>
            </w:pPr>
            <w:r>
              <w:rPr>
                <w:color w:val="000000"/>
                <w:sz w:val="15"/>
                <w:szCs w:val="20"/>
              </w:rPr>
              <w:t>1.625.449</w:t>
            </w:r>
          </w:p>
        </w:tc>
        <w:tc>
          <w:tcPr>
            <w:tcW w:w="303" w:type="pct"/>
            <w:noWrap/>
            <w:vAlign w:val="bottom"/>
          </w:tcPr>
          <w:p w:rsidR="00000000" w:rsidRDefault="00000000">
            <w:pPr>
              <w:jc w:val="right"/>
              <w:rPr>
                <w:color w:val="000000"/>
                <w:sz w:val="15"/>
                <w:szCs w:val="20"/>
              </w:rPr>
            </w:pPr>
            <w:r>
              <w:rPr>
                <w:color w:val="000000"/>
                <w:sz w:val="15"/>
                <w:szCs w:val="20"/>
              </w:rPr>
              <w:t>1.964.120</w:t>
            </w:r>
          </w:p>
        </w:tc>
      </w:tr>
      <w:tr w:rsidR="00000000">
        <w:trPr>
          <w:trHeight w:val="20"/>
        </w:trPr>
        <w:tc>
          <w:tcPr>
            <w:tcW w:w="994" w:type="pct"/>
            <w:noWrap/>
            <w:vAlign w:val="bottom"/>
          </w:tcPr>
          <w:p w:rsidR="00000000" w:rsidRDefault="00000000">
            <w:pPr>
              <w:rPr>
                <w:color w:val="000000"/>
                <w:sz w:val="16"/>
                <w:szCs w:val="20"/>
              </w:rPr>
            </w:pPr>
            <w:r>
              <w:rPr>
                <w:color w:val="000000"/>
                <w:sz w:val="16"/>
                <w:szCs w:val="20"/>
              </w:rPr>
              <w:t>PIB nominal (gastos corrientes)</w:t>
            </w:r>
            <w:r>
              <w:rPr>
                <w:b/>
                <w:bCs/>
                <w:color w:val="000000"/>
                <w:sz w:val="16"/>
                <w:szCs w:val="20"/>
              </w:rPr>
              <w:t>*</w:t>
            </w:r>
          </w:p>
        </w:tc>
        <w:tc>
          <w:tcPr>
            <w:tcW w:w="304" w:type="pct"/>
            <w:noWrap/>
            <w:vAlign w:val="bottom"/>
          </w:tcPr>
          <w:p w:rsidR="00000000" w:rsidRDefault="00000000">
            <w:pPr>
              <w:jc w:val="right"/>
              <w:rPr>
                <w:color w:val="000000"/>
                <w:sz w:val="15"/>
                <w:szCs w:val="20"/>
              </w:rPr>
            </w:pPr>
            <w:r>
              <w:rPr>
                <w:color w:val="000000"/>
                <w:sz w:val="15"/>
                <w:szCs w:val="20"/>
              </w:rPr>
              <w:t>10.963.527</w:t>
            </w:r>
          </w:p>
        </w:tc>
        <w:tc>
          <w:tcPr>
            <w:tcW w:w="308" w:type="pct"/>
            <w:noWrap/>
            <w:vAlign w:val="bottom"/>
          </w:tcPr>
          <w:p w:rsidR="00000000" w:rsidRDefault="00000000">
            <w:pPr>
              <w:jc w:val="right"/>
              <w:rPr>
                <w:color w:val="000000"/>
                <w:sz w:val="15"/>
                <w:szCs w:val="20"/>
              </w:rPr>
            </w:pPr>
            <w:r>
              <w:rPr>
                <w:color w:val="000000"/>
                <w:sz w:val="15"/>
                <w:szCs w:val="20"/>
              </w:rPr>
              <w:t>13.220.624</w:t>
            </w:r>
          </w:p>
        </w:tc>
        <w:tc>
          <w:tcPr>
            <w:tcW w:w="302" w:type="pct"/>
            <w:noWrap/>
            <w:vAlign w:val="bottom"/>
          </w:tcPr>
          <w:p w:rsidR="00000000" w:rsidRDefault="00000000">
            <w:pPr>
              <w:jc w:val="right"/>
              <w:rPr>
                <w:color w:val="000000"/>
                <w:sz w:val="15"/>
                <w:szCs w:val="20"/>
              </w:rPr>
            </w:pPr>
            <w:r>
              <w:rPr>
                <w:color w:val="000000"/>
                <w:sz w:val="15"/>
                <w:szCs w:val="20"/>
              </w:rPr>
              <w:t>15.833.186</w:t>
            </w:r>
          </w:p>
        </w:tc>
        <w:tc>
          <w:tcPr>
            <w:tcW w:w="312" w:type="pct"/>
            <w:noWrap/>
            <w:vAlign w:val="bottom"/>
          </w:tcPr>
          <w:p w:rsidR="00000000" w:rsidRDefault="00000000">
            <w:pPr>
              <w:jc w:val="right"/>
              <w:rPr>
                <w:color w:val="000000"/>
                <w:sz w:val="15"/>
                <w:szCs w:val="20"/>
              </w:rPr>
            </w:pPr>
            <w:r>
              <w:rPr>
                <w:color w:val="000000"/>
                <w:sz w:val="15"/>
                <w:szCs w:val="20"/>
              </w:rPr>
              <w:t>18.004.375</w:t>
            </w:r>
          </w:p>
        </w:tc>
        <w:tc>
          <w:tcPr>
            <w:tcW w:w="307" w:type="pct"/>
            <w:noWrap/>
            <w:vAlign w:val="bottom"/>
          </w:tcPr>
          <w:p w:rsidR="00000000" w:rsidRDefault="00000000">
            <w:pPr>
              <w:jc w:val="right"/>
              <w:rPr>
                <w:color w:val="000000"/>
                <w:sz w:val="15"/>
                <w:szCs w:val="20"/>
              </w:rPr>
            </w:pPr>
            <w:r>
              <w:rPr>
                <w:color w:val="000000"/>
                <w:sz w:val="15"/>
                <w:szCs w:val="20"/>
              </w:rPr>
              <w:t>19.322.537</w:t>
            </w:r>
          </w:p>
        </w:tc>
        <w:tc>
          <w:tcPr>
            <w:tcW w:w="302" w:type="pct"/>
            <w:noWrap/>
            <w:vAlign w:val="bottom"/>
          </w:tcPr>
          <w:p w:rsidR="00000000" w:rsidRDefault="00000000">
            <w:pPr>
              <w:jc w:val="right"/>
              <w:rPr>
                <w:color w:val="000000"/>
                <w:sz w:val="15"/>
                <w:szCs w:val="20"/>
              </w:rPr>
            </w:pPr>
            <w:r>
              <w:rPr>
                <w:color w:val="000000"/>
                <w:sz w:val="15"/>
                <w:szCs w:val="20"/>
              </w:rPr>
              <w:t>21.580.612</w:t>
            </w:r>
          </w:p>
        </w:tc>
        <w:tc>
          <w:tcPr>
            <w:tcW w:w="312" w:type="pct"/>
            <w:noWrap/>
            <w:vAlign w:val="bottom"/>
          </w:tcPr>
          <w:p w:rsidR="00000000" w:rsidRDefault="00000000">
            <w:pPr>
              <w:jc w:val="right"/>
              <w:rPr>
                <w:color w:val="000000"/>
                <w:sz w:val="15"/>
                <w:szCs w:val="20"/>
              </w:rPr>
            </w:pPr>
            <w:r>
              <w:rPr>
                <w:color w:val="000000"/>
                <w:sz w:val="15"/>
                <w:szCs w:val="20"/>
              </w:rPr>
              <w:t>22.771.596</w:t>
            </w:r>
          </w:p>
        </w:tc>
        <w:tc>
          <w:tcPr>
            <w:tcW w:w="303" w:type="pct"/>
            <w:noWrap/>
            <w:vAlign w:val="bottom"/>
          </w:tcPr>
          <w:p w:rsidR="00000000" w:rsidRDefault="00000000">
            <w:pPr>
              <w:jc w:val="right"/>
              <w:rPr>
                <w:color w:val="000000"/>
                <w:sz w:val="15"/>
                <w:szCs w:val="20"/>
              </w:rPr>
            </w:pPr>
            <w:r>
              <w:rPr>
                <w:color w:val="000000"/>
                <w:sz w:val="15"/>
                <w:szCs w:val="20"/>
              </w:rPr>
              <w:t>24.736.526</w:t>
            </w:r>
          </w:p>
        </w:tc>
        <w:tc>
          <w:tcPr>
            <w:tcW w:w="322" w:type="pct"/>
            <w:noWrap/>
            <w:vAlign w:val="bottom"/>
          </w:tcPr>
          <w:p w:rsidR="00000000" w:rsidRDefault="00000000">
            <w:pPr>
              <w:jc w:val="right"/>
              <w:rPr>
                <w:color w:val="000000"/>
                <w:sz w:val="15"/>
                <w:szCs w:val="20"/>
              </w:rPr>
            </w:pPr>
            <w:r>
              <w:rPr>
                <w:color w:val="000000"/>
                <w:sz w:val="15"/>
                <w:szCs w:val="20"/>
              </w:rPr>
              <w:t>26.465.663</w:t>
            </w:r>
          </w:p>
        </w:tc>
        <w:tc>
          <w:tcPr>
            <w:tcW w:w="311" w:type="pct"/>
            <w:noWrap/>
            <w:vAlign w:val="bottom"/>
          </w:tcPr>
          <w:p w:rsidR="00000000" w:rsidRDefault="00000000">
            <w:pPr>
              <w:jc w:val="right"/>
              <w:rPr>
                <w:color w:val="000000"/>
                <w:sz w:val="15"/>
                <w:szCs w:val="20"/>
              </w:rPr>
            </w:pPr>
            <w:r>
              <w:rPr>
                <w:color w:val="000000"/>
                <w:sz w:val="15"/>
                <w:szCs w:val="20"/>
              </w:rPr>
              <w:t>29.104.530</w:t>
            </w:r>
          </w:p>
        </w:tc>
        <w:tc>
          <w:tcPr>
            <w:tcW w:w="312" w:type="pct"/>
            <w:noWrap/>
            <w:vAlign w:val="bottom"/>
          </w:tcPr>
          <w:p w:rsidR="00000000" w:rsidRDefault="00000000">
            <w:pPr>
              <w:jc w:val="right"/>
              <w:rPr>
                <w:color w:val="000000"/>
                <w:sz w:val="15"/>
                <w:szCs w:val="20"/>
              </w:rPr>
            </w:pPr>
            <w:r>
              <w:rPr>
                <w:color w:val="000000"/>
                <w:sz w:val="15"/>
                <w:szCs w:val="20"/>
              </w:rPr>
              <w:t>35.666.425</w:t>
            </w:r>
          </w:p>
        </w:tc>
        <w:tc>
          <w:tcPr>
            <w:tcW w:w="308" w:type="pct"/>
            <w:noWrap/>
            <w:vAlign w:val="bottom"/>
          </w:tcPr>
          <w:p w:rsidR="00000000" w:rsidRDefault="00000000">
            <w:pPr>
              <w:jc w:val="right"/>
              <w:rPr>
                <w:color w:val="000000"/>
                <w:sz w:val="15"/>
                <w:szCs w:val="20"/>
              </w:rPr>
            </w:pPr>
            <w:r>
              <w:rPr>
                <w:color w:val="000000"/>
                <w:sz w:val="15"/>
                <w:szCs w:val="20"/>
              </w:rPr>
              <w:t>41.521.883</w:t>
            </w:r>
          </w:p>
        </w:tc>
        <w:tc>
          <w:tcPr>
            <w:tcW w:w="303" w:type="pct"/>
            <w:noWrap/>
            <w:vAlign w:val="bottom"/>
          </w:tcPr>
          <w:p w:rsidR="00000000" w:rsidRDefault="00000000">
            <w:pPr>
              <w:jc w:val="right"/>
              <w:rPr>
                <w:color w:val="000000"/>
                <w:sz w:val="15"/>
                <w:szCs w:val="20"/>
              </w:rPr>
            </w:pPr>
            <w:r>
              <w:rPr>
                <w:color w:val="000000"/>
                <w:sz w:val="15"/>
                <w:szCs w:val="20"/>
              </w:rPr>
              <w:t>46.134.612</w:t>
            </w:r>
          </w:p>
        </w:tc>
      </w:tr>
      <w:tr w:rsidR="00000000">
        <w:trPr>
          <w:trHeight w:val="20"/>
        </w:trPr>
        <w:tc>
          <w:tcPr>
            <w:tcW w:w="994" w:type="pct"/>
            <w:noWrap/>
            <w:vAlign w:val="bottom"/>
          </w:tcPr>
          <w:p w:rsidR="00000000" w:rsidRDefault="00000000">
            <w:pPr>
              <w:rPr>
                <w:color w:val="000000"/>
                <w:sz w:val="16"/>
                <w:szCs w:val="20"/>
              </w:rPr>
            </w:pPr>
            <w:r>
              <w:rPr>
                <w:color w:val="000000"/>
                <w:sz w:val="16"/>
                <w:szCs w:val="20"/>
              </w:rPr>
              <w:t>Presupuesto MEC/presupuesto total (%)</w:t>
            </w:r>
          </w:p>
        </w:tc>
        <w:tc>
          <w:tcPr>
            <w:tcW w:w="304" w:type="pct"/>
            <w:noWrap/>
            <w:vAlign w:val="bottom"/>
          </w:tcPr>
          <w:p w:rsidR="00000000" w:rsidRDefault="00000000">
            <w:pPr>
              <w:jc w:val="right"/>
              <w:rPr>
                <w:color w:val="000000"/>
                <w:sz w:val="15"/>
                <w:szCs w:val="20"/>
              </w:rPr>
            </w:pPr>
            <w:r>
              <w:rPr>
                <w:color w:val="000000"/>
                <w:sz w:val="15"/>
                <w:szCs w:val="20"/>
              </w:rPr>
              <w:t>19,1</w:t>
            </w:r>
          </w:p>
        </w:tc>
        <w:tc>
          <w:tcPr>
            <w:tcW w:w="308" w:type="pct"/>
            <w:noWrap/>
            <w:vAlign w:val="bottom"/>
          </w:tcPr>
          <w:p w:rsidR="00000000" w:rsidRDefault="00000000">
            <w:pPr>
              <w:jc w:val="right"/>
              <w:rPr>
                <w:color w:val="000000"/>
                <w:sz w:val="15"/>
                <w:szCs w:val="20"/>
              </w:rPr>
            </w:pPr>
            <w:r>
              <w:rPr>
                <w:color w:val="000000"/>
                <w:sz w:val="15"/>
                <w:szCs w:val="20"/>
              </w:rPr>
              <w:t>19,0</w:t>
            </w:r>
          </w:p>
        </w:tc>
        <w:tc>
          <w:tcPr>
            <w:tcW w:w="302" w:type="pct"/>
            <w:noWrap/>
            <w:vAlign w:val="bottom"/>
          </w:tcPr>
          <w:p w:rsidR="00000000" w:rsidRDefault="00000000">
            <w:pPr>
              <w:jc w:val="right"/>
              <w:rPr>
                <w:color w:val="000000"/>
                <w:sz w:val="15"/>
                <w:szCs w:val="20"/>
              </w:rPr>
            </w:pPr>
            <w:r>
              <w:rPr>
                <w:color w:val="000000"/>
                <w:sz w:val="15"/>
                <w:szCs w:val="20"/>
              </w:rPr>
              <w:t>19,1</w:t>
            </w:r>
          </w:p>
        </w:tc>
        <w:tc>
          <w:tcPr>
            <w:tcW w:w="312" w:type="pct"/>
            <w:noWrap/>
            <w:vAlign w:val="bottom"/>
          </w:tcPr>
          <w:p w:rsidR="00000000" w:rsidRDefault="00000000">
            <w:pPr>
              <w:jc w:val="right"/>
              <w:rPr>
                <w:color w:val="000000"/>
                <w:sz w:val="15"/>
                <w:szCs w:val="20"/>
              </w:rPr>
            </w:pPr>
            <w:r>
              <w:rPr>
                <w:color w:val="000000"/>
                <w:sz w:val="15"/>
                <w:szCs w:val="20"/>
              </w:rPr>
              <w:t>20,8</w:t>
            </w:r>
          </w:p>
        </w:tc>
        <w:tc>
          <w:tcPr>
            <w:tcW w:w="307" w:type="pct"/>
            <w:noWrap/>
            <w:vAlign w:val="bottom"/>
          </w:tcPr>
          <w:p w:rsidR="00000000" w:rsidRDefault="00000000">
            <w:pPr>
              <w:jc w:val="right"/>
              <w:rPr>
                <w:color w:val="000000"/>
                <w:sz w:val="15"/>
                <w:szCs w:val="20"/>
              </w:rPr>
            </w:pPr>
            <w:r>
              <w:rPr>
                <w:color w:val="000000"/>
                <w:sz w:val="15"/>
                <w:szCs w:val="20"/>
              </w:rPr>
              <w:t>21,6</w:t>
            </w:r>
          </w:p>
        </w:tc>
        <w:tc>
          <w:tcPr>
            <w:tcW w:w="302" w:type="pct"/>
            <w:noWrap/>
            <w:vAlign w:val="bottom"/>
          </w:tcPr>
          <w:p w:rsidR="00000000" w:rsidRDefault="00000000">
            <w:pPr>
              <w:jc w:val="right"/>
              <w:rPr>
                <w:color w:val="000000"/>
                <w:sz w:val="15"/>
                <w:szCs w:val="20"/>
              </w:rPr>
            </w:pPr>
            <w:r>
              <w:rPr>
                <w:color w:val="000000"/>
                <w:sz w:val="15"/>
                <w:szCs w:val="20"/>
              </w:rPr>
              <w:t>21,3</w:t>
            </w:r>
          </w:p>
        </w:tc>
        <w:tc>
          <w:tcPr>
            <w:tcW w:w="312" w:type="pct"/>
            <w:noWrap/>
            <w:vAlign w:val="bottom"/>
          </w:tcPr>
          <w:p w:rsidR="00000000" w:rsidRDefault="00000000">
            <w:pPr>
              <w:jc w:val="right"/>
              <w:rPr>
                <w:color w:val="000000"/>
                <w:sz w:val="15"/>
                <w:szCs w:val="20"/>
              </w:rPr>
            </w:pPr>
            <w:r>
              <w:rPr>
                <w:color w:val="000000"/>
                <w:sz w:val="15"/>
                <w:szCs w:val="20"/>
              </w:rPr>
              <w:t>19,5</w:t>
            </w:r>
          </w:p>
        </w:tc>
        <w:tc>
          <w:tcPr>
            <w:tcW w:w="303" w:type="pct"/>
            <w:noWrap/>
            <w:vAlign w:val="bottom"/>
          </w:tcPr>
          <w:p w:rsidR="00000000" w:rsidRDefault="00000000">
            <w:pPr>
              <w:jc w:val="right"/>
              <w:rPr>
                <w:color w:val="000000"/>
                <w:sz w:val="15"/>
                <w:szCs w:val="20"/>
              </w:rPr>
            </w:pPr>
            <w:r>
              <w:rPr>
                <w:color w:val="000000"/>
                <w:sz w:val="15"/>
                <w:szCs w:val="20"/>
              </w:rPr>
              <w:t>21,1</w:t>
            </w:r>
          </w:p>
        </w:tc>
        <w:tc>
          <w:tcPr>
            <w:tcW w:w="322" w:type="pct"/>
            <w:noWrap/>
            <w:vAlign w:val="bottom"/>
          </w:tcPr>
          <w:p w:rsidR="00000000" w:rsidRDefault="00000000">
            <w:pPr>
              <w:jc w:val="right"/>
              <w:rPr>
                <w:color w:val="000000"/>
                <w:sz w:val="15"/>
                <w:szCs w:val="20"/>
              </w:rPr>
            </w:pPr>
            <w:r>
              <w:rPr>
                <w:color w:val="000000"/>
                <w:sz w:val="15"/>
                <w:szCs w:val="20"/>
              </w:rPr>
              <w:t>21,8</w:t>
            </w:r>
          </w:p>
        </w:tc>
        <w:tc>
          <w:tcPr>
            <w:tcW w:w="311" w:type="pct"/>
            <w:noWrap/>
            <w:vAlign w:val="bottom"/>
          </w:tcPr>
          <w:p w:rsidR="00000000" w:rsidRDefault="00000000">
            <w:pPr>
              <w:jc w:val="right"/>
              <w:rPr>
                <w:color w:val="000000"/>
                <w:sz w:val="15"/>
                <w:szCs w:val="20"/>
              </w:rPr>
            </w:pPr>
            <w:r>
              <w:rPr>
                <w:color w:val="000000"/>
                <w:sz w:val="15"/>
                <w:szCs w:val="20"/>
              </w:rPr>
              <w:t>20,0</w:t>
            </w:r>
          </w:p>
        </w:tc>
        <w:tc>
          <w:tcPr>
            <w:tcW w:w="312" w:type="pct"/>
            <w:noWrap/>
            <w:vAlign w:val="bottom"/>
          </w:tcPr>
          <w:p w:rsidR="00000000" w:rsidRDefault="00000000">
            <w:pPr>
              <w:jc w:val="right"/>
              <w:rPr>
                <w:color w:val="000000"/>
                <w:sz w:val="15"/>
                <w:szCs w:val="20"/>
              </w:rPr>
            </w:pPr>
            <w:r>
              <w:rPr>
                <w:color w:val="000000"/>
                <w:sz w:val="15"/>
                <w:szCs w:val="20"/>
              </w:rPr>
              <w:t>19,7</w:t>
            </w:r>
          </w:p>
        </w:tc>
        <w:tc>
          <w:tcPr>
            <w:tcW w:w="308" w:type="pct"/>
            <w:noWrap/>
            <w:vAlign w:val="bottom"/>
          </w:tcPr>
          <w:p w:rsidR="00000000" w:rsidRDefault="00000000">
            <w:pPr>
              <w:jc w:val="right"/>
              <w:rPr>
                <w:color w:val="000000"/>
                <w:sz w:val="15"/>
                <w:szCs w:val="20"/>
              </w:rPr>
            </w:pPr>
            <w:r>
              <w:rPr>
                <w:color w:val="000000"/>
                <w:sz w:val="15"/>
                <w:szCs w:val="20"/>
              </w:rPr>
              <w:t>19,3</w:t>
            </w:r>
          </w:p>
        </w:tc>
        <w:tc>
          <w:tcPr>
            <w:tcW w:w="303" w:type="pct"/>
            <w:noWrap/>
            <w:vAlign w:val="bottom"/>
          </w:tcPr>
          <w:p w:rsidR="00000000" w:rsidRDefault="00000000">
            <w:pPr>
              <w:jc w:val="right"/>
              <w:rPr>
                <w:color w:val="000000"/>
                <w:sz w:val="15"/>
                <w:szCs w:val="20"/>
              </w:rPr>
            </w:pPr>
            <w:r>
              <w:rPr>
                <w:color w:val="000000"/>
                <w:sz w:val="15"/>
                <w:szCs w:val="20"/>
              </w:rPr>
              <w:t>19,7</w:t>
            </w:r>
          </w:p>
        </w:tc>
      </w:tr>
      <w:tr w:rsidR="00000000">
        <w:trPr>
          <w:trHeight w:val="20"/>
        </w:trPr>
        <w:tc>
          <w:tcPr>
            <w:tcW w:w="994" w:type="pct"/>
            <w:noWrap/>
            <w:vAlign w:val="bottom"/>
          </w:tcPr>
          <w:p w:rsidR="00000000" w:rsidRDefault="00000000">
            <w:pPr>
              <w:rPr>
                <w:color w:val="000000"/>
                <w:sz w:val="16"/>
                <w:szCs w:val="20"/>
              </w:rPr>
            </w:pPr>
            <w:r>
              <w:rPr>
                <w:color w:val="000000"/>
                <w:sz w:val="16"/>
                <w:szCs w:val="20"/>
              </w:rPr>
              <w:t>Presupuesto ejecutado MEC/PIB (%)</w:t>
            </w:r>
          </w:p>
        </w:tc>
        <w:tc>
          <w:tcPr>
            <w:tcW w:w="304" w:type="pct"/>
            <w:noWrap/>
            <w:vAlign w:val="bottom"/>
          </w:tcPr>
          <w:p w:rsidR="00000000" w:rsidRDefault="00000000">
            <w:pPr>
              <w:jc w:val="right"/>
              <w:rPr>
                <w:color w:val="000000"/>
                <w:sz w:val="15"/>
                <w:szCs w:val="20"/>
              </w:rPr>
            </w:pPr>
            <w:r>
              <w:rPr>
                <w:color w:val="000000"/>
                <w:sz w:val="15"/>
                <w:szCs w:val="20"/>
              </w:rPr>
              <w:t>3,0</w:t>
            </w:r>
          </w:p>
        </w:tc>
        <w:tc>
          <w:tcPr>
            <w:tcW w:w="308" w:type="pct"/>
            <w:noWrap/>
            <w:vAlign w:val="bottom"/>
          </w:tcPr>
          <w:p w:rsidR="00000000" w:rsidRDefault="00000000">
            <w:pPr>
              <w:jc w:val="right"/>
              <w:rPr>
                <w:color w:val="000000"/>
                <w:sz w:val="15"/>
                <w:szCs w:val="20"/>
              </w:rPr>
            </w:pPr>
            <w:r>
              <w:rPr>
                <w:color w:val="000000"/>
                <w:sz w:val="15"/>
                <w:szCs w:val="20"/>
              </w:rPr>
              <w:t>3,2</w:t>
            </w:r>
          </w:p>
        </w:tc>
        <w:tc>
          <w:tcPr>
            <w:tcW w:w="302" w:type="pct"/>
            <w:noWrap/>
            <w:vAlign w:val="bottom"/>
          </w:tcPr>
          <w:p w:rsidR="00000000" w:rsidRDefault="00000000">
            <w:pPr>
              <w:jc w:val="right"/>
              <w:rPr>
                <w:color w:val="000000"/>
                <w:sz w:val="15"/>
                <w:szCs w:val="20"/>
              </w:rPr>
            </w:pPr>
            <w:r>
              <w:rPr>
                <w:color w:val="000000"/>
                <w:sz w:val="15"/>
                <w:szCs w:val="20"/>
              </w:rPr>
              <w:t>3,7</w:t>
            </w:r>
          </w:p>
        </w:tc>
        <w:tc>
          <w:tcPr>
            <w:tcW w:w="312" w:type="pct"/>
            <w:noWrap/>
            <w:vAlign w:val="bottom"/>
          </w:tcPr>
          <w:p w:rsidR="00000000" w:rsidRDefault="00000000">
            <w:pPr>
              <w:jc w:val="right"/>
              <w:rPr>
                <w:color w:val="000000"/>
                <w:sz w:val="15"/>
                <w:szCs w:val="20"/>
              </w:rPr>
            </w:pPr>
            <w:r>
              <w:rPr>
                <w:color w:val="000000"/>
                <w:sz w:val="15"/>
                <w:szCs w:val="20"/>
              </w:rPr>
              <w:t>4,0</w:t>
            </w:r>
          </w:p>
        </w:tc>
        <w:tc>
          <w:tcPr>
            <w:tcW w:w="307" w:type="pct"/>
            <w:noWrap/>
            <w:vAlign w:val="bottom"/>
          </w:tcPr>
          <w:p w:rsidR="00000000" w:rsidRDefault="00000000">
            <w:pPr>
              <w:jc w:val="right"/>
              <w:rPr>
                <w:color w:val="000000"/>
                <w:sz w:val="15"/>
                <w:szCs w:val="20"/>
              </w:rPr>
            </w:pPr>
            <w:r>
              <w:rPr>
                <w:color w:val="000000"/>
                <w:sz w:val="15"/>
                <w:szCs w:val="20"/>
              </w:rPr>
              <w:t>4,2</w:t>
            </w:r>
          </w:p>
        </w:tc>
        <w:tc>
          <w:tcPr>
            <w:tcW w:w="302" w:type="pct"/>
            <w:noWrap/>
            <w:vAlign w:val="bottom"/>
          </w:tcPr>
          <w:p w:rsidR="00000000" w:rsidRDefault="00000000">
            <w:pPr>
              <w:jc w:val="right"/>
              <w:rPr>
                <w:color w:val="000000"/>
                <w:sz w:val="15"/>
                <w:szCs w:val="20"/>
              </w:rPr>
            </w:pPr>
            <w:r>
              <w:rPr>
                <w:color w:val="000000"/>
                <w:sz w:val="15"/>
                <w:szCs w:val="20"/>
              </w:rPr>
              <w:t>4,3</w:t>
            </w:r>
          </w:p>
        </w:tc>
        <w:tc>
          <w:tcPr>
            <w:tcW w:w="312" w:type="pct"/>
            <w:noWrap/>
            <w:vAlign w:val="bottom"/>
          </w:tcPr>
          <w:p w:rsidR="00000000" w:rsidRDefault="00000000">
            <w:pPr>
              <w:jc w:val="right"/>
              <w:rPr>
                <w:color w:val="000000"/>
                <w:sz w:val="15"/>
                <w:szCs w:val="20"/>
              </w:rPr>
            </w:pPr>
            <w:r>
              <w:rPr>
                <w:color w:val="000000"/>
                <w:sz w:val="15"/>
                <w:szCs w:val="20"/>
              </w:rPr>
              <w:t>4,6</w:t>
            </w:r>
          </w:p>
        </w:tc>
        <w:tc>
          <w:tcPr>
            <w:tcW w:w="303" w:type="pct"/>
            <w:noWrap/>
            <w:vAlign w:val="bottom"/>
          </w:tcPr>
          <w:p w:rsidR="00000000" w:rsidRDefault="00000000">
            <w:pPr>
              <w:jc w:val="right"/>
              <w:rPr>
                <w:color w:val="000000"/>
                <w:sz w:val="15"/>
                <w:szCs w:val="20"/>
              </w:rPr>
            </w:pPr>
            <w:r>
              <w:rPr>
                <w:color w:val="000000"/>
                <w:sz w:val="15"/>
                <w:szCs w:val="20"/>
              </w:rPr>
              <w:t>5,2</w:t>
            </w:r>
          </w:p>
        </w:tc>
        <w:tc>
          <w:tcPr>
            <w:tcW w:w="322" w:type="pct"/>
            <w:noWrap/>
            <w:vAlign w:val="bottom"/>
          </w:tcPr>
          <w:p w:rsidR="00000000" w:rsidRDefault="00000000">
            <w:pPr>
              <w:jc w:val="right"/>
              <w:rPr>
                <w:color w:val="000000"/>
                <w:sz w:val="15"/>
                <w:szCs w:val="20"/>
              </w:rPr>
            </w:pPr>
            <w:r>
              <w:rPr>
                <w:color w:val="000000"/>
                <w:sz w:val="15"/>
                <w:szCs w:val="20"/>
              </w:rPr>
              <w:t>4,8</w:t>
            </w:r>
          </w:p>
        </w:tc>
        <w:tc>
          <w:tcPr>
            <w:tcW w:w="311" w:type="pct"/>
            <w:noWrap/>
            <w:vAlign w:val="bottom"/>
          </w:tcPr>
          <w:p w:rsidR="00000000" w:rsidRDefault="00000000">
            <w:pPr>
              <w:jc w:val="right"/>
              <w:rPr>
                <w:color w:val="000000"/>
                <w:sz w:val="15"/>
                <w:szCs w:val="20"/>
              </w:rPr>
            </w:pPr>
            <w:r>
              <w:rPr>
                <w:color w:val="000000"/>
                <w:sz w:val="15"/>
                <w:szCs w:val="20"/>
              </w:rPr>
              <w:t>4,6</w:t>
            </w:r>
          </w:p>
        </w:tc>
        <w:tc>
          <w:tcPr>
            <w:tcW w:w="312" w:type="pct"/>
            <w:noWrap/>
            <w:vAlign w:val="bottom"/>
          </w:tcPr>
          <w:p w:rsidR="00000000" w:rsidRDefault="00000000">
            <w:pPr>
              <w:jc w:val="right"/>
              <w:rPr>
                <w:color w:val="000000"/>
                <w:sz w:val="15"/>
                <w:szCs w:val="20"/>
              </w:rPr>
            </w:pPr>
            <w:r>
              <w:rPr>
                <w:color w:val="000000"/>
                <w:sz w:val="15"/>
                <w:szCs w:val="20"/>
              </w:rPr>
              <w:t>4,0</w:t>
            </w:r>
          </w:p>
        </w:tc>
        <w:tc>
          <w:tcPr>
            <w:tcW w:w="308" w:type="pct"/>
            <w:noWrap/>
            <w:vAlign w:val="bottom"/>
          </w:tcPr>
          <w:p w:rsidR="00000000" w:rsidRDefault="00000000">
            <w:pPr>
              <w:jc w:val="right"/>
              <w:rPr>
                <w:color w:val="000000"/>
                <w:sz w:val="15"/>
                <w:szCs w:val="20"/>
              </w:rPr>
            </w:pPr>
            <w:r>
              <w:rPr>
                <w:color w:val="000000"/>
                <w:sz w:val="15"/>
                <w:szCs w:val="20"/>
              </w:rPr>
              <w:t>3,7</w:t>
            </w:r>
          </w:p>
        </w:tc>
        <w:tc>
          <w:tcPr>
            <w:tcW w:w="303" w:type="pct"/>
            <w:noWrap/>
            <w:vAlign w:val="bottom"/>
          </w:tcPr>
          <w:p w:rsidR="00000000" w:rsidRDefault="00000000">
            <w:pPr>
              <w:jc w:val="right"/>
              <w:rPr>
                <w:color w:val="000000"/>
                <w:sz w:val="15"/>
                <w:szCs w:val="20"/>
              </w:rPr>
            </w:pPr>
            <w:r>
              <w:rPr>
                <w:color w:val="000000"/>
                <w:sz w:val="15"/>
                <w:szCs w:val="20"/>
              </w:rPr>
              <w:t>3,9</w:t>
            </w:r>
          </w:p>
        </w:tc>
      </w:tr>
      <w:tr w:rsidR="00000000">
        <w:trPr>
          <w:trHeight w:val="20"/>
        </w:trPr>
        <w:tc>
          <w:tcPr>
            <w:tcW w:w="994" w:type="pct"/>
            <w:noWrap/>
            <w:vAlign w:val="bottom"/>
          </w:tcPr>
          <w:p w:rsidR="00000000" w:rsidRDefault="00000000">
            <w:pPr>
              <w:rPr>
                <w:b/>
                <w:bCs/>
                <w:color w:val="000000"/>
                <w:sz w:val="16"/>
                <w:szCs w:val="20"/>
              </w:rPr>
            </w:pPr>
            <w:r>
              <w:rPr>
                <w:b/>
                <w:bCs/>
                <w:color w:val="000000"/>
                <w:sz w:val="16"/>
                <w:szCs w:val="20"/>
              </w:rPr>
              <w:t>Ejecución - obligado</w:t>
            </w:r>
          </w:p>
        </w:tc>
        <w:tc>
          <w:tcPr>
            <w:tcW w:w="304" w:type="pct"/>
            <w:noWrap/>
            <w:vAlign w:val="bottom"/>
          </w:tcPr>
          <w:p w:rsidR="00000000" w:rsidRDefault="00000000">
            <w:pPr>
              <w:jc w:val="right"/>
              <w:rPr>
                <w:color w:val="000000"/>
                <w:sz w:val="15"/>
                <w:szCs w:val="20"/>
              </w:rPr>
            </w:pPr>
            <w:r>
              <w:rPr>
                <w:color w:val="000000"/>
                <w:sz w:val="15"/>
                <w:szCs w:val="20"/>
              </w:rPr>
              <w:t> </w:t>
            </w:r>
          </w:p>
        </w:tc>
        <w:tc>
          <w:tcPr>
            <w:tcW w:w="308" w:type="pct"/>
            <w:noWrap/>
            <w:vAlign w:val="bottom"/>
          </w:tcPr>
          <w:p w:rsidR="00000000" w:rsidRDefault="00000000">
            <w:pPr>
              <w:jc w:val="right"/>
              <w:rPr>
                <w:color w:val="000000"/>
                <w:sz w:val="15"/>
                <w:szCs w:val="20"/>
              </w:rPr>
            </w:pPr>
            <w:r>
              <w:rPr>
                <w:color w:val="000000"/>
                <w:sz w:val="15"/>
                <w:szCs w:val="20"/>
              </w:rPr>
              <w:t> </w:t>
            </w:r>
          </w:p>
        </w:tc>
        <w:tc>
          <w:tcPr>
            <w:tcW w:w="302" w:type="pct"/>
            <w:noWrap/>
            <w:vAlign w:val="bottom"/>
          </w:tcPr>
          <w:p w:rsidR="00000000" w:rsidRDefault="00000000">
            <w:pPr>
              <w:jc w:val="right"/>
              <w:rPr>
                <w:color w:val="000000"/>
                <w:sz w:val="15"/>
                <w:szCs w:val="20"/>
              </w:rPr>
            </w:pPr>
            <w:r>
              <w:rPr>
                <w:color w:val="000000"/>
                <w:sz w:val="15"/>
                <w:szCs w:val="20"/>
              </w:rPr>
              <w:t> </w:t>
            </w:r>
          </w:p>
        </w:tc>
        <w:tc>
          <w:tcPr>
            <w:tcW w:w="312" w:type="pct"/>
            <w:noWrap/>
            <w:vAlign w:val="bottom"/>
          </w:tcPr>
          <w:p w:rsidR="00000000" w:rsidRDefault="00000000">
            <w:pPr>
              <w:jc w:val="right"/>
              <w:rPr>
                <w:color w:val="000000"/>
                <w:sz w:val="15"/>
                <w:szCs w:val="20"/>
              </w:rPr>
            </w:pPr>
            <w:r>
              <w:rPr>
                <w:color w:val="000000"/>
                <w:sz w:val="15"/>
                <w:szCs w:val="20"/>
              </w:rPr>
              <w:t> </w:t>
            </w:r>
          </w:p>
        </w:tc>
        <w:tc>
          <w:tcPr>
            <w:tcW w:w="307" w:type="pct"/>
            <w:noWrap/>
            <w:vAlign w:val="bottom"/>
          </w:tcPr>
          <w:p w:rsidR="00000000" w:rsidRDefault="00000000">
            <w:pPr>
              <w:jc w:val="right"/>
              <w:rPr>
                <w:color w:val="000000"/>
                <w:sz w:val="15"/>
                <w:szCs w:val="20"/>
              </w:rPr>
            </w:pPr>
            <w:r>
              <w:rPr>
                <w:color w:val="000000"/>
                <w:sz w:val="15"/>
                <w:szCs w:val="20"/>
              </w:rPr>
              <w:t> </w:t>
            </w:r>
          </w:p>
        </w:tc>
        <w:tc>
          <w:tcPr>
            <w:tcW w:w="302" w:type="pct"/>
            <w:noWrap/>
            <w:vAlign w:val="bottom"/>
          </w:tcPr>
          <w:p w:rsidR="00000000" w:rsidRDefault="00000000">
            <w:pPr>
              <w:jc w:val="right"/>
              <w:rPr>
                <w:color w:val="000000"/>
                <w:sz w:val="15"/>
                <w:szCs w:val="20"/>
              </w:rPr>
            </w:pPr>
            <w:r>
              <w:rPr>
                <w:color w:val="000000"/>
                <w:sz w:val="15"/>
                <w:szCs w:val="20"/>
              </w:rPr>
              <w:t> </w:t>
            </w:r>
          </w:p>
        </w:tc>
        <w:tc>
          <w:tcPr>
            <w:tcW w:w="312" w:type="pct"/>
            <w:noWrap/>
            <w:vAlign w:val="bottom"/>
          </w:tcPr>
          <w:p w:rsidR="00000000" w:rsidRDefault="00000000">
            <w:pPr>
              <w:jc w:val="right"/>
              <w:rPr>
                <w:color w:val="000000"/>
                <w:sz w:val="15"/>
                <w:szCs w:val="20"/>
              </w:rPr>
            </w:pPr>
            <w:r>
              <w:rPr>
                <w:color w:val="000000"/>
                <w:sz w:val="15"/>
                <w:szCs w:val="20"/>
              </w:rPr>
              <w:t> </w:t>
            </w:r>
          </w:p>
        </w:tc>
        <w:tc>
          <w:tcPr>
            <w:tcW w:w="303" w:type="pct"/>
            <w:noWrap/>
            <w:vAlign w:val="bottom"/>
          </w:tcPr>
          <w:p w:rsidR="00000000" w:rsidRDefault="00000000">
            <w:pPr>
              <w:jc w:val="right"/>
              <w:rPr>
                <w:color w:val="000000"/>
                <w:sz w:val="15"/>
                <w:szCs w:val="20"/>
              </w:rPr>
            </w:pPr>
            <w:r>
              <w:rPr>
                <w:color w:val="000000"/>
                <w:sz w:val="15"/>
                <w:szCs w:val="20"/>
              </w:rPr>
              <w:t> </w:t>
            </w:r>
          </w:p>
        </w:tc>
        <w:tc>
          <w:tcPr>
            <w:tcW w:w="322" w:type="pct"/>
            <w:noWrap/>
            <w:vAlign w:val="bottom"/>
          </w:tcPr>
          <w:p w:rsidR="00000000" w:rsidRDefault="00000000">
            <w:pPr>
              <w:jc w:val="right"/>
              <w:rPr>
                <w:color w:val="000000"/>
                <w:sz w:val="15"/>
                <w:szCs w:val="20"/>
              </w:rPr>
            </w:pPr>
            <w:r>
              <w:rPr>
                <w:color w:val="000000"/>
                <w:sz w:val="15"/>
                <w:szCs w:val="20"/>
              </w:rPr>
              <w:t> </w:t>
            </w:r>
          </w:p>
        </w:tc>
        <w:tc>
          <w:tcPr>
            <w:tcW w:w="311" w:type="pct"/>
            <w:noWrap/>
            <w:vAlign w:val="bottom"/>
          </w:tcPr>
          <w:p w:rsidR="00000000" w:rsidRDefault="00000000">
            <w:pPr>
              <w:jc w:val="right"/>
              <w:rPr>
                <w:color w:val="000000"/>
                <w:sz w:val="15"/>
                <w:szCs w:val="20"/>
              </w:rPr>
            </w:pPr>
            <w:r>
              <w:rPr>
                <w:color w:val="000000"/>
                <w:sz w:val="15"/>
                <w:szCs w:val="20"/>
              </w:rPr>
              <w:t> </w:t>
            </w:r>
          </w:p>
        </w:tc>
        <w:tc>
          <w:tcPr>
            <w:tcW w:w="312" w:type="pct"/>
            <w:noWrap/>
            <w:vAlign w:val="bottom"/>
          </w:tcPr>
          <w:p w:rsidR="00000000" w:rsidRDefault="00000000">
            <w:pPr>
              <w:jc w:val="right"/>
              <w:rPr>
                <w:color w:val="000000"/>
                <w:sz w:val="15"/>
                <w:szCs w:val="20"/>
              </w:rPr>
            </w:pPr>
            <w:r>
              <w:rPr>
                <w:color w:val="000000"/>
                <w:sz w:val="15"/>
                <w:szCs w:val="20"/>
              </w:rPr>
              <w:t> </w:t>
            </w:r>
          </w:p>
        </w:tc>
        <w:tc>
          <w:tcPr>
            <w:tcW w:w="308" w:type="pct"/>
            <w:noWrap/>
            <w:vAlign w:val="bottom"/>
          </w:tcPr>
          <w:p w:rsidR="00000000" w:rsidRDefault="00000000">
            <w:pPr>
              <w:jc w:val="right"/>
              <w:rPr>
                <w:color w:val="000000"/>
                <w:sz w:val="15"/>
                <w:szCs w:val="20"/>
              </w:rPr>
            </w:pPr>
            <w:r>
              <w:rPr>
                <w:color w:val="000000"/>
                <w:sz w:val="15"/>
                <w:szCs w:val="20"/>
              </w:rPr>
              <w:t> </w:t>
            </w:r>
          </w:p>
        </w:tc>
        <w:tc>
          <w:tcPr>
            <w:tcW w:w="303" w:type="pct"/>
            <w:noWrap/>
            <w:vAlign w:val="bottom"/>
          </w:tcPr>
          <w:p w:rsidR="00000000" w:rsidRDefault="00000000">
            <w:pPr>
              <w:jc w:val="right"/>
              <w:rPr>
                <w:color w:val="000000"/>
                <w:sz w:val="15"/>
                <w:szCs w:val="20"/>
              </w:rPr>
            </w:pPr>
            <w:r>
              <w:rPr>
                <w:color w:val="000000"/>
                <w:sz w:val="15"/>
                <w:szCs w:val="20"/>
              </w:rPr>
              <w:t> </w:t>
            </w:r>
          </w:p>
        </w:tc>
      </w:tr>
      <w:tr w:rsidR="00000000">
        <w:trPr>
          <w:trHeight w:val="20"/>
        </w:trPr>
        <w:tc>
          <w:tcPr>
            <w:tcW w:w="994" w:type="pct"/>
            <w:noWrap/>
            <w:vAlign w:val="bottom"/>
          </w:tcPr>
          <w:p w:rsidR="00000000" w:rsidRDefault="00000000">
            <w:pPr>
              <w:rPr>
                <w:color w:val="000000"/>
                <w:sz w:val="16"/>
                <w:szCs w:val="20"/>
              </w:rPr>
            </w:pPr>
            <w:r>
              <w:rPr>
                <w:color w:val="000000"/>
                <w:sz w:val="16"/>
                <w:szCs w:val="20"/>
              </w:rPr>
              <w:t>Administración central</w:t>
            </w:r>
          </w:p>
        </w:tc>
        <w:tc>
          <w:tcPr>
            <w:tcW w:w="304" w:type="pct"/>
            <w:noWrap/>
            <w:vAlign w:val="bottom"/>
          </w:tcPr>
          <w:p w:rsidR="00000000" w:rsidRDefault="00000000">
            <w:pPr>
              <w:jc w:val="right"/>
              <w:rPr>
                <w:color w:val="000000"/>
                <w:sz w:val="15"/>
                <w:szCs w:val="20"/>
              </w:rPr>
            </w:pPr>
            <w:r>
              <w:rPr>
                <w:color w:val="000000"/>
                <w:sz w:val="15"/>
                <w:szCs w:val="20"/>
              </w:rPr>
              <w:t>1.745.300</w:t>
            </w:r>
          </w:p>
        </w:tc>
        <w:tc>
          <w:tcPr>
            <w:tcW w:w="308" w:type="pct"/>
            <w:noWrap/>
            <w:vAlign w:val="bottom"/>
          </w:tcPr>
          <w:p w:rsidR="00000000" w:rsidRDefault="00000000">
            <w:pPr>
              <w:jc w:val="right"/>
              <w:rPr>
                <w:color w:val="000000"/>
                <w:sz w:val="15"/>
                <w:szCs w:val="20"/>
              </w:rPr>
            </w:pPr>
            <w:r>
              <w:rPr>
                <w:color w:val="000000"/>
                <w:sz w:val="15"/>
                <w:szCs w:val="20"/>
              </w:rPr>
              <w:t>2.253.815</w:t>
            </w:r>
          </w:p>
        </w:tc>
        <w:tc>
          <w:tcPr>
            <w:tcW w:w="302" w:type="pct"/>
            <w:noWrap/>
            <w:vAlign w:val="bottom"/>
          </w:tcPr>
          <w:p w:rsidR="00000000" w:rsidRDefault="00000000">
            <w:pPr>
              <w:jc w:val="right"/>
              <w:rPr>
                <w:color w:val="000000"/>
                <w:sz w:val="15"/>
                <w:szCs w:val="20"/>
              </w:rPr>
            </w:pPr>
            <w:r>
              <w:rPr>
                <w:color w:val="000000"/>
                <w:sz w:val="15"/>
                <w:szCs w:val="20"/>
              </w:rPr>
              <w:t>3.042.601</w:t>
            </w:r>
          </w:p>
        </w:tc>
        <w:tc>
          <w:tcPr>
            <w:tcW w:w="312" w:type="pct"/>
            <w:noWrap/>
            <w:vAlign w:val="bottom"/>
          </w:tcPr>
          <w:p w:rsidR="00000000" w:rsidRDefault="00000000">
            <w:pPr>
              <w:jc w:val="right"/>
              <w:rPr>
                <w:color w:val="000000"/>
                <w:sz w:val="15"/>
                <w:szCs w:val="20"/>
              </w:rPr>
            </w:pPr>
            <w:r>
              <w:rPr>
                <w:color w:val="000000"/>
                <w:sz w:val="15"/>
                <w:szCs w:val="20"/>
              </w:rPr>
              <w:t>3.416.259</w:t>
            </w:r>
          </w:p>
        </w:tc>
        <w:tc>
          <w:tcPr>
            <w:tcW w:w="307" w:type="pct"/>
            <w:noWrap/>
            <w:vAlign w:val="bottom"/>
          </w:tcPr>
          <w:p w:rsidR="00000000" w:rsidRDefault="00000000">
            <w:pPr>
              <w:jc w:val="right"/>
              <w:rPr>
                <w:color w:val="000000"/>
                <w:sz w:val="15"/>
                <w:szCs w:val="20"/>
              </w:rPr>
            </w:pPr>
            <w:r>
              <w:rPr>
                <w:color w:val="000000"/>
                <w:sz w:val="15"/>
                <w:szCs w:val="20"/>
              </w:rPr>
              <w:t>3.750.122</w:t>
            </w:r>
          </w:p>
        </w:tc>
        <w:tc>
          <w:tcPr>
            <w:tcW w:w="302" w:type="pct"/>
            <w:noWrap/>
            <w:vAlign w:val="bottom"/>
          </w:tcPr>
          <w:p w:rsidR="00000000" w:rsidRDefault="00000000">
            <w:pPr>
              <w:jc w:val="right"/>
              <w:rPr>
                <w:color w:val="000000"/>
                <w:sz w:val="15"/>
                <w:szCs w:val="20"/>
              </w:rPr>
            </w:pPr>
            <w:r>
              <w:rPr>
                <w:color w:val="000000"/>
                <w:sz w:val="15"/>
                <w:szCs w:val="20"/>
              </w:rPr>
              <w:t>4.343.994</w:t>
            </w:r>
          </w:p>
        </w:tc>
        <w:tc>
          <w:tcPr>
            <w:tcW w:w="312" w:type="pct"/>
            <w:noWrap/>
            <w:vAlign w:val="bottom"/>
          </w:tcPr>
          <w:p w:rsidR="00000000" w:rsidRDefault="00000000">
            <w:pPr>
              <w:jc w:val="right"/>
              <w:rPr>
                <w:color w:val="000000"/>
                <w:sz w:val="15"/>
                <w:szCs w:val="20"/>
              </w:rPr>
            </w:pPr>
            <w:r>
              <w:rPr>
                <w:color w:val="000000"/>
                <w:sz w:val="15"/>
                <w:szCs w:val="20"/>
              </w:rPr>
              <w:t>5.338.882</w:t>
            </w:r>
          </w:p>
        </w:tc>
        <w:tc>
          <w:tcPr>
            <w:tcW w:w="303" w:type="pct"/>
            <w:noWrap/>
            <w:vAlign w:val="bottom"/>
          </w:tcPr>
          <w:p w:rsidR="00000000" w:rsidRDefault="00000000">
            <w:pPr>
              <w:jc w:val="right"/>
              <w:rPr>
                <w:color w:val="000000"/>
                <w:sz w:val="15"/>
                <w:szCs w:val="20"/>
              </w:rPr>
            </w:pPr>
            <w:r>
              <w:rPr>
                <w:color w:val="000000"/>
                <w:sz w:val="15"/>
                <w:szCs w:val="20"/>
              </w:rPr>
              <w:t>6.112.908</w:t>
            </w:r>
          </w:p>
        </w:tc>
        <w:tc>
          <w:tcPr>
            <w:tcW w:w="322" w:type="pct"/>
            <w:noWrap/>
            <w:vAlign w:val="bottom"/>
          </w:tcPr>
          <w:p w:rsidR="00000000" w:rsidRDefault="00000000">
            <w:pPr>
              <w:jc w:val="right"/>
              <w:rPr>
                <w:color w:val="000000"/>
                <w:sz w:val="15"/>
                <w:szCs w:val="20"/>
              </w:rPr>
            </w:pPr>
            <w:r>
              <w:rPr>
                <w:color w:val="000000"/>
                <w:sz w:val="15"/>
                <w:szCs w:val="20"/>
              </w:rPr>
              <w:t>5.838.915</w:t>
            </w:r>
          </w:p>
        </w:tc>
        <w:tc>
          <w:tcPr>
            <w:tcW w:w="311" w:type="pct"/>
            <w:noWrap/>
            <w:vAlign w:val="bottom"/>
          </w:tcPr>
          <w:p w:rsidR="00000000" w:rsidRDefault="00000000">
            <w:pPr>
              <w:jc w:val="right"/>
              <w:rPr>
                <w:color w:val="000000"/>
                <w:sz w:val="15"/>
                <w:szCs w:val="20"/>
              </w:rPr>
            </w:pPr>
            <w:r>
              <w:rPr>
                <w:color w:val="000000"/>
                <w:sz w:val="15"/>
                <w:szCs w:val="20"/>
              </w:rPr>
              <w:t>6.657.582</w:t>
            </w:r>
          </w:p>
        </w:tc>
        <w:tc>
          <w:tcPr>
            <w:tcW w:w="312" w:type="pct"/>
            <w:noWrap/>
            <w:vAlign w:val="bottom"/>
          </w:tcPr>
          <w:p w:rsidR="00000000" w:rsidRDefault="00000000">
            <w:pPr>
              <w:jc w:val="right"/>
              <w:rPr>
                <w:color w:val="000000"/>
                <w:sz w:val="15"/>
                <w:szCs w:val="20"/>
              </w:rPr>
            </w:pPr>
            <w:r>
              <w:rPr>
                <w:color w:val="000000"/>
                <w:sz w:val="15"/>
                <w:szCs w:val="20"/>
              </w:rPr>
              <w:t>7.209.332</w:t>
            </w:r>
          </w:p>
        </w:tc>
        <w:tc>
          <w:tcPr>
            <w:tcW w:w="308" w:type="pct"/>
            <w:noWrap/>
            <w:vAlign w:val="bottom"/>
          </w:tcPr>
          <w:p w:rsidR="00000000" w:rsidRDefault="00000000">
            <w:pPr>
              <w:jc w:val="right"/>
              <w:rPr>
                <w:color w:val="000000"/>
                <w:sz w:val="15"/>
                <w:szCs w:val="20"/>
              </w:rPr>
            </w:pPr>
            <w:r>
              <w:rPr>
                <w:color w:val="000000"/>
                <w:sz w:val="15"/>
                <w:szCs w:val="20"/>
              </w:rPr>
              <w:t>8.017.808</w:t>
            </w:r>
          </w:p>
        </w:tc>
        <w:tc>
          <w:tcPr>
            <w:tcW w:w="303" w:type="pct"/>
            <w:noWrap/>
            <w:vAlign w:val="bottom"/>
          </w:tcPr>
          <w:p w:rsidR="00000000" w:rsidRDefault="00000000">
            <w:pPr>
              <w:jc w:val="right"/>
              <w:rPr>
                <w:color w:val="000000"/>
                <w:sz w:val="15"/>
                <w:szCs w:val="20"/>
              </w:rPr>
            </w:pPr>
            <w:r>
              <w:rPr>
                <w:color w:val="000000"/>
                <w:sz w:val="15"/>
                <w:szCs w:val="20"/>
              </w:rPr>
              <w:t>9.224.171</w:t>
            </w:r>
          </w:p>
        </w:tc>
      </w:tr>
      <w:tr w:rsidR="00000000">
        <w:trPr>
          <w:trHeight w:val="20"/>
        </w:trPr>
        <w:tc>
          <w:tcPr>
            <w:tcW w:w="994" w:type="pct"/>
            <w:noWrap/>
            <w:vAlign w:val="bottom"/>
          </w:tcPr>
          <w:p w:rsidR="00000000" w:rsidRDefault="00000000">
            <w:pPr>
              <w:rPr>
                <w:color w:val="000000"/>
                <w:sz w:val="16"/>
                <w:szCs w:val="20"/>
              </w:rPr>
            </w:pPr>
            <w:r>
              <w:rPr>
                <w:color w:val="000000"/>
                <w:sz w:val="16"/>
                <w:szCs w:val="20"/>
              </w:rPr>
              <w:t>Ministerio de Educación y Cultura</w:t>
            </w:r>
          </w:p>
        </w:tc>
        <w:tc>
          <w:tcPr>
            <w:tcW w:w="304" w:type="pct"/>
            <w:noWrap/>
            <w:vAlign w:val="bottom"/>
          </w:tcPr>
          <w:p w:rsidR="00000000" w:rsidRDefault="00000000">
            <w:pPr>
              <w:jc w:val="right"/>
              <w:rPr>
                <w:color w:val="000000"/>
                <w:sz w:val="15"/>
                <w:szCs w:val="20"/>
              </w:rPr>
            </w:pPr>
            <w:r>
              <w:rPr>
                <w:color w:val="000000"/>
                <w:sz w:val="15"/>
                <w:szCs w:val="20"/>
              </w:rPr>
              <w:t>333.755</w:t>
            </w:r>
          </w:p>
        </w:tc>
        <w:tc>
          <w:tcPr>
            <w:tcW w:w="308" w:type="pct"/>
            <w:noWrap/>
            <w:vAlign w:val="bottom"/>
          </w:tcPr>
          <w:p w:rsidR="00000000" w:rsidRDefault="00000000">
            <w:pPr>
              <w:jc w:val="right"/>
              <w:rPr>
                <w:color w:val="000000"/>
                <w:sz w:val="15"/>
                <w:szCs w:val="20"/>
              </w:rPr>
            </w:pPr>
            <w:r>
              <w:rPr>
                <w:color w:val="000000"/>
                <w:sz w:val="15"/>
                <w:szCs w:val="20"/>
              </w:rPr>
              <w:t>428.461</w:t>
            </w:r>
          </w:p>
        </w:tc>
        <w:tc>
          <w:tcPr>
            <w:tcW w:w="302" w:type="pct"/>
            <w:noWrap/>
            <w:vAlign w:val="bottom"/>
          </w:tcPr>
          <w:p w:rsidR="00000000" w:rsidRDefault="00000000">
            <w:pPr>
              <w:jc w:val="right"/>
              <w:rPr>
                <w:color w:val="000000"/>
                <w:sz w:val="15"/>
                <w:szCs w:val="20"/>
              </w:rPr>
            </w:pPr>
            <w:r>
              <w:rPr>
                <w:color w:val="000000"/>
                <w:sz w:val="15"/>
                <w:szCs w:val="20"/>
              </w:rPr>
              <w:t>579.754</w:t>
            </w:r>
          </w:p>
        </w:tc>
        <w:tc>
          <w:tcPr>
            <w:tcW w:w="312" w:type="pct"/>
            <w:noWrap/>
            <w:vAlign w:val="bottom"/>
          </w:tcPr>
          <w:p w:rsidR="00000000" w:rsidRDefault="00000000">
            <w:pPr>
              <w:jc w:val="right"/>
              <w:rPr>
                <w:color w:val="000000"/>
                <w:sz w:val="15"/>
                <w:szCs w:val="20"/>
              </w:rPr>
            </w:pPr>
            <w:r>
              <w:rPr>
                <w:color w:val="000000"/>
                <w:sz w:val="15"/>
                <w:szCs w:val="20"/>
              </w:rPr>
              <w:t>712.280</w:t>
            </w:r>
          </w:p>
        </w:tc>
        <w:tc>
          <w:tcPr>
            <w:tcW w:w="307" w:type="pct"/>
            <w:noWrap/>
            <w:vAlign w:val="bottom"/>
          </w:tcPr>
          <w:p w:rsidR="00000000" w:rsidRDefault="00000000">
            <w:pPr>
              <w:jc w:val="right"/>
              <w:rPr>
                <w:color w:val="000000"/>
                <w:sz w:val="15"/>
                <w:szCs w:val="20"/>
              </w:rPr>
            </w:pPr>
            <w:r>
              <w:rPr>
                <w:color w:val="000000"/>
                <w:sz w:val="15"/>
                <w:szCs w:val="20"/>
              </w:rPr>
              <w:t>810.298</w:t>
            </w:r>
          </w:p>
        </w:tc>
        <w:tc>
          <w:tcPr>
            <w:tcW w:w="302" w:type="pct"/>
            <w:noWrap/>
            <w:vAlign w:val="bottom"/>
          </w:tcPr>
          <w:p w:rsidR="00000000" w:rsidRDefault="00000000">
            <w:pPr>
              <w:jc w:val="right"/>
              <w:rPr>
                <w:color w:val="000000"/>
                <w:sz w:val="15"/>
                <w:szCs w:val="20"/>
              </w:rPr>
            </w:pPr>
            <w:r>
              <w:rPr>
                <w:color w:val="000000"/>
                <w:sz w:val="15"/>
                <w:szCs w:val="20"/>
              </w:rPr>
              <w:t>926.371</w:t>
            </w:r>
          </w:p>
        </w:tc>
        <w:tc>
          <w:tcPr>
            <w:tcW w:w="312" w:type="pct"/>
            <w:noWrap/>
            <w:vAlign w:val="bottom"/>
          </w:tcPr>
          <w:p w:rsidR="00000000" w:rsidRDefault="00000000">
            <w:pPr>
              <w:jc w:val="right"/>
              <w:rPr>
                <w:color w:val="000000"/>
                <w:sz w:val="15"/>
                <w:szCs w:val="20"/>
              </w:rPr>
            </w:pPr>
            <w:r>
              <w:rPr>
                <w:color w:val="000000"/>
                <w:sz w:val="15"/>
                <w:szCs w:val="20"/>
              </w:rPr>
              <w:t>1.040.180</w:t>
            </w:r>
          </w:p>
        </w:tc>
        <w:tc>
          <w:tcPr>
            <w:tcW w:w="303" w:type="pct"/>
            <w:noWrap/>
            <w:vAlign w:val="bottom"/>
          </w:tcPr>
          <w:p w:rsidR="00000000" w:rsidRDefault="00000000">
            <w:pPr>
              <w:jc w:val="right"/>
              <w:rPr>
                <w:color w:val="000000"/>
                <w:sz w:val="15"/>
                <w:szCs w:val="20"/>
              </w:rPr>
            </w:pPr>
            <w:r>
              <w:rPr>
                <w:color w:val="000000"/>
                <w:sz w:val="15"/>
                <w:szCs w:val="20"/>
              </w:rPr>
              <w:t>1.288.579</w:t>
            </w:r>
          </w:p>
        </w:tc>
        <w:tc>
          <w:tcPr>
            <w:tcW w:w="322" w:type="pct"/>
            <w:noWrap/>
            <w:vAlign w:val="bottom"/>
          </w:tcPr>
          <w:p w:rsidR="00000000" w:rsidRDefault="00000000">
            <w:pPr>
              <w:jc w:val="right"/>
              <w:rPr>
                <w:color w:val="000000"/>
                <w:sz w:val="15"/>
                <w:szCs w:val="20"/>
              </w:rPr>
            </w:pPr>
            <w:r>
              <w:rPr>
                <w:color w:val="000000"/>
                <w:sz w:val="15"/>
                <w:szCs w:val="20"/>
              </w:rPr>
              <w:t>1.272.627</w:t>
            </w:r>
          </w:p>
        </w:tc>
        <w:tc>
          <w:tcPr>
            <w:tcW w:w="311" w:type="pct"/>
            <w:noWrap/>
            <w:vAlign w:val="bottom"/>
          </w:tcPr>
          <w:p w:rsidR="00000000" w:rsidRDefault="00000000">
            <w:pPr>
              <w:jc w:val="right"/>
              <w:rPr>
                <w:color w:val="000000"/>
                <w:sz w:val="15"/>
                <w:szCs w:val="20"/>
              </w:rPr>
            </w:pPr>
            <w:r>
              <w:rPr>
                <w:color w:val="000000"/>
                <w:sz w:val="15"/>
                <w:szCs w:val="20"/>
              </w:rPr>
              <w:t>1.332.560</w:t>
            </w:r>
          </w:p>
        </w:tc>
        <w:tc>
          <w:tcPr>
            <w:tcW w:w="312" w:type="pct"/>
            <w:noWrap/>
            <w:vAlign w:val="bottom"/>
          </w:tcPr>
          <w:p w:rsidR="00000000" w:rsidRDefault="00000000">
            <w:pPr>
              <w:jc w:val="right"/>
              <w:rPr>
                <w:color w:val="000000"/>
                <w:sz w:val="15"/>
                <w:szCs w:val="20"/>
              </w:rPr>
            </w:pPr>
            <w:r>
              <w:rPr>
                <w:color w:val="000000"/>
                <w:sz w:val="15"/>
                <w:szCs w:val="20"/>
              </w:rPr>
              <w:t>1.422.641</w:t>
            </w:r>
          </w:p>
        </w:tc>
        <w:tc>
          <w:tcPr>
            <w:tcW w:w="308" w:type="pct"/>
            <w:noWrap/>
            <w:vAlign w:val="bottom"/>
          </w:tcPr>
          <w:p w:rsidR="00000000" w:rsidRDefault="00000000">
            <w:pPr>
              <w:jc w:val="right"/>
              <w:rPr>
                <w:color w:val="000000"/>
                <w:sz w:val="15"/>
                <w:szCs w:val="20"/>
              </w:rPr>
            </w:pPr>
            <w:r>
              <w:rPr>
                <w:color w:val="000000"/>
                <w:sz w:val="15"/>
                <w:szCs w:val="20"/>
              </w:rPr>
              <w:t>1.545.407</w:t>
            </w:r>
          </w:p>
        </w:tc>
        <w:tc>
          <w:tcPr>
            <w:tcW w:w="303" w:type="pct"/>
            <w:noWrap/>
            <w:vAlign w:val="bottom"/>
          </w:tcPr>
          <w:p w:rsidR="00000000" w:rsidRDefault="00000000">
            <w:pPr>
              <w:jc w:val="right"/>
              <w:rPr>
                <w:color w:val="000000"/>
                <w:sz w:val="15"/>
                <w:szCs w:val="20"/>
              </w:rPr>
            </w:pPr>
            <w:r>
              <w:rPr>
                <w:color w:val="000000"/>
                <w:sz w:val="15"/>
                <w:szCs w:val="20"/>
              </w:rPr>
              <w:t>1.819.423</w:t>
            </w:r>
          </w:p>
        </w:tc>
      </w:tr>
    </w:tbl>
    <w:p w:rsidR="00000000" w:rsidRDefault="00000000">
      <w:pPr>
        <w:spacing w:before="160" w:after="160"/>
        <w:rPr>
          <w:color w:val="000000"/>
          <w:sz w:val="17"/>
          <w:szCs w:val="20"/>
        </w:rPr>
      </w:pPr>
      <w:r>
        <w:rPr>
          <w:i/>
          <w:iCs/>
          <w:color w:val="000000"/>
          <w:sz w:val="17"/>
          <w:szCs w:val="20"/>
        </w:rPr>
        <w:t>Fuente</w:t>
      </w:r>
      <w:r>
        <w:rPr>
          <w:color w:val="000000"/>
          <w:sz w:val="17"/>
          <w:szCs w:val="20"/>
        </w:rPr>
        <w:t xml:space="preserve">:  SICO, Ministerio de Hacienda. </w:t>
      </w:r>
    </w:p>
    <w:p w:rsidR="00000000" w:rsidRDefault="00000000">
      <w:pPr>
        <w:spacing w:after="160"/>
      </w:pPr>
      <w:r>
        <w:rPr>
          <w:b/>
          <w:bCs/>
          <w:color w:val="000000"/>
          <w:sz w:val="17"/>
          <w:szCs w:val="20"/>
        </w:rPr>
        <w:t>*</w:t>
      </w:r>
      <w:r>
        <w:rPr>
          <w:color w:val="000000"/>
          <w:sz w:val="17"/>
          <w:szCs w:val="20"/>
        </w:rPr>
        <w:t xml:space="preserve"> Banco Central del Paraguay.</w:t>
      </w:r>
    </w:p>
    <w:p w:rsidR="00000000" w:rsidRDefault="00000000">
      <w:pPr>
        <w:spacing w:after="240"/>
        <w:sectPr w:rsidR="00000000">
          <w:headerReference w:type="even" r:id="rId26"/>
          <w:headerReference w:type="first" r:id="rId27"/>
          <w:pgSz w:w="16838" w:h="11906" w:orient="landscape" w:code="9"/>
          <w:pgMar w:top="1701" w:right="1701" w:bottom="1701" w:left="1701" w:header="851" w:footer="567" w:gutter="0"/>
          <w:cols w:space="708"/>
          <w:docGrid w:linePitch="360"/>
        </w:sectPr>
      </w:pPr>
    </w:p>
    <w:p w:rsidR="00000000" w:rsidRDefault="00000000">
      <w:pPr>
        <w:spacing w:after="200"/>
        <w:jc w:val="center"/>
        <w:rPr>
          <w:b/>
          <w:bCs/>
          <w:sz w:val="20"/>
          <w:szCs w:val="20"/>
        </w:rPr>
      </w:pPr>
      <w:r>
        <w:rPr>
          <w:b/>
          <w:bCs/>
          <w:sz w:val="20"/>
          <w:szCs w:val="20"/>
        </w:rPr>
        <w:t>Participación del presupuesto del Ministerio de Educación y Cultura en el Presupuesto</w:t>
      </w:r>
      <w:r>
        <w:rPr>
          <w:b/>
          <w:bCs/>
          <w:sz w:val="20"/>
          <w:szCs w:val="20"/>
        </w:rPr>
        <w:br/>
        <w:t>General de Gastos de la Nación y el producto interno bruto</w:t>
      </w:r>
    </w:p>
    <w:p w:rsidR="00000000" w:rsidRDefault="00000000">
      <w:pPr>
        <w:spacing w:after="200"/>
        <w:jc w:val="center"/>
        <w:rPr>
          <w:sz w:val="20"/>
          <w:szCs w:val="20"/>
        </w:rPr>
      </w:pPr>
      <w:r>
        <w:rPr>
          <w:sz w:val="20"/>
          <w:szCs w:val="20"/>
        </w:rPr>
        <w:t>(En millones de guaraníes corrientes)</w:t>
      </w:r>
    </w:p>
    <w:tbl>
      <w:tblPr>
        <w:tblW w:w="9480"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
        <w:gridCol w:w="1220"/>
        <w:gridCol w:w="1063"/>
        <w:gridCol w:w="1057"/>
        <w:gridCol w:w="1080"/>
        <w:gridCol w:w="1035"/>
        <w:gridCol w:w="1064"/>
        <w:gridCol w:w="1021"/>
        <w:gridCol w:w="1320"/>
      </w:tblGrid>
      <w:tr w:rsidR="00000000">
        <w:trPr>
          <w:trHeight w:val="255"/>
          <w:jc w:val="center"/>
        </w:trPr>
        <w:tc>
          <w:tcPr>
            <w:tcW w:w="620" w:type="dxa"/>
            <w:noWrap/>
            <w:vAlign w:val="center"/>
          </w:tcPr>
          <w:p w:rsidR="00000000" w:rsidRDefault="00000000">
            <w:pPr>
              <w:ind w:hanging="70"/>
              <w:jc w:val="center"/>
              <w:rPr>
                <w:b/>
                <w:bCs/>
                <w:sz w:val="20"/>
                <w:szCs w:val="20"/>
              </w:rPr>
            </w:pPr>
          </w:p>
        </w:tc>
        <w:tc>
          <w:tcPr>
            <w:tcW w:w="1220" w:type="dxa"/>
            <w:noWrap/>
            <w:vAlign w:val="center"/>
          </w:tcPr>
          <w:p w:rsidR="00000000" w:rsidRDefault="00000000">
            <w:pPr>
              <w:jc w:val="center"/>
              <w:rPr>
                <w:b/>
                <w:bCs/>
                <w:sz w:val="20"/>
                <w:szCs w:val="20"/>
              </w:rPr>
            </w:pPr>
            <w:r>
              <w:rPr>
                <w:b/>
                <w:bCs/>
                <w:sz w:val="20"/>
                <w:szCs w:val="20"/>
              </w:rPr>
              <w:t>PIB</w:t>
            </w:r>
          </w:p>
        </w:tc>
        <w:tc>
          <w:tcPr>
            <w:tcW w:w="1063" w:type="dxa"/>
            <w:noWrap/>
            <w:vAlign w:val="center"/>
          </w:tcPr>
          <w:p w:rsidR="00000000" w:rsidRDefault="00000000">
            <w:pPr>
              <w:jc w:val="center"/>
              <w:rPr>
                <w:b/>
                <w:bCs/>
                <w:sz w:val="20"/>
                <w:szCs w:val="20"/>
              </w:rPr>
            </w:pPr>
            <w:r>
              <w:rPr>
                <w:b/>
                <w:bCs/>
                <w:sz w:val="20"/>
                <w:szCs w:val="20"/>
              </w:rPr>
              <w:t>Variación  porcentual</w:t>
            </w:r>
          </w:p>
        </w:tc>
        <w:tc>
          <w:tcPr>
            <w:tcW w:w="1057" w:type="dxa"/>
            <w:noWrap/>
            <w:vAlign w:val="center"/>
          </w:tcPr>
          <w:p w:rsidR="00000000" w:rsidRDefault="00000000">
            <w:pPr>
              <w:jc w:val="center"/>
              <w:rPr>
                <w:b/>
                <w:bCs/>
                <w:sz w:val="20"/>
                <w:szCs w:val="20"/>
                <w:lang w:val="es-MX"/>
              </w:rPr>
            </w:pPr>
            <w:r>
              <w:rPr>
                <w:b/>
                <w:bCs/>
                <w:sz w:val="20"/>
                <w:szCs w:val="20"/>
                <w:lang w:val="es-MX"/>
              </w:rPr>
              <w:t>PGGN</w:t>
            </w:r>
            <w:r>
              <w:rPr>
                <w:b/>
                <w:bCs/>
                <w:sz w:val="20"/>
                <w:szCs w:val="20"/>
                <w:lang w:val="es-MX"/>
              </w:rPr>
              <w:br/>
              <w:t>(total)</w:t>
            </w:r>
          </w:p>
        </w:tc>
        <w:tc>
          <w:tcPr>
            <w:tcW w:w="1080" w:type="dxa"/>
            <w:noWrap/>
            <w:vAlign w:val="center"/>
          </w:tcPr>
          <w:p w:rsidR="00000000" w:rsidRDefault="00000000">
            <w:pPr>
              <w:jc w:val="center"/>
              <w:rPr>
                <w:b/>
                <w:bCs/>
                <w:sz w:val="20"/>
                <w:szCs w:val="20"/>
              </w:rPr>
            </w:pPr>
            <w:r>
              <w:rPr>
                <w:b/>
                <w:bCs/>
                <w:sz w:val="20"/>
                <w:szCs w:val="20"/>
              </w:rPr>
              <w:t>Variación  porcentual</w:t>
            </w:r>
          </w:p>
        </w:tc>
        <w:tc>
          <w:tcPr>
            <w:tcW w:w="1035" w:type="dxa"/>
            <w:noWrap/>
            <w:vAlign w:val="center"/>
          </w:tcPr>
          <w:p w:rsidR="00000000" w:rsidRDefault="00000000">
            <w:pPr>
              <w:jc w:val="center"/>
              <w:rPr>
                <w:b/>
                <w:bCs/>
                <w:sz w:val="20"/>
                <w:szCs w:val="20"/>
              </w:rPr>
            </w:pPr>
            <w:r>
              <w:rPr>
                <w:b/>
                <w:bCs/>
                <w:sz w:val="20"/>
                <w:szCs w:val="20"/>
              </w:rPr>
              <w:t xml:space="preserve">PGGN </w:t>
            </w:r>
            <w:r>
              <w:rPr>
                <w:b/>
                <w:bCs/>
                <w:sz w:val="20"/>
                <w:szCs w:val="20"/>
              </w:rPr>
              <w:br/>
              <w:t>(MEC)</w:t>
            </w:r>
          </w:p>
        </w:tc>
        <w:tc>
          <w:tcPr>
            <w:tcW w:w="1064" w:type="dxa"/>
            <w:noWrap/>
            <w:vAlign w:val="center"/>
          </w:tcPr>
          <w:p w:rsidR="00000000" w:rsidRDefault="00000000">
            <w:pPr>
              <w:jc w:val="center"/>
              <w:rPr>
                <w:b/>
                <w:bCs/>
                <w:sz w:val="20"/>
                <w:szCs w:val="20"/>
              </w:rPr>
            </w:pPr>
            <w:r>
              <w:rPr>
                <w:b/>
                <w:bCs/>
                <w:sz w:val="20"/>
                <w:szCs w:val="20"/>
              </w:rPr>
              <w:t>Variación porcentual</w:t>
            </w:r>
          </w:p>
        </w:tc>
        <w:tc>
          <w:tcPr>
            <w:tcW w:w="1021" w:type="dxa"/>
            <w:noWrap/>
            <w:vAlign w:val="center"/>
          </w:tcPr>
          <w:p w:rsidR="00000000" w:rsidRDefault="00000000">
            <w:pPr>
              <w:jc w:val="center"/>
              <w:rPr>
                <w:b/>
                <w:bCs/>
                <w:sz w:val="20"/>
                <w:szCs w:val="20"/>
                <w:lang w:val="en-US"/>
              </w:rPr>
            </w:pPr>
            <w:r>
              <w:rPr>
                <w:b/>
                <w:bCs/>
                <w:sz w:val="20"/>
                <w:szCs w:val="20"/>
                <w:lang w:val="en-US"/>
              </w:rPr>
              <w:t>MEC/PIB</w:t>
            </w:r>
          </w:p>
        </w:tc>
        <w:tc>
          <w:tcPr>
            <w:tcW w:w="1320" w:type="dxa"/>
            <w:noWrap/>
            <w:vAlign w:val="center"/>
          </w:tcPr>
          <w:p w:rsidR="00000000" w:rsidRDefault="00000000">
            <w:pPr>
              <w:jc w:val="center"/>
              <w:rPr>
                <w:b/>
                <w:bCs/>
                <w:sz w:val="20"/>
                <w:szCs w:val="20"/>
                <w:lang w:val="en-US"/>
              </w:rPr>
            </w:pPr>
            <w:r>
              <w:rPr>
                <w:b/>
                <w:bCs/>
                <w:sz w:val="20"/>
                <w:szCs w:val="20"/>
                <w:lang w:val="en-US"/>
              </w:rPr>
              <w:t>MEC/PGGN</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1993</w:t>
            </w:r>
          </w:p>
        </w:tc>
        <w:tc>
          <w:tcPr>
            <w:tcW w:w="1220" w:type="dxa"/>
            <w:noWrap/>
            <w:vAlign w:val="bottom"/>
          </w:tcPr>
          <w:p w:rsidR="00000000" w:rsidRDefault="00000000">
            <w:pPr>
              <w:jc w:val="center"/>
              <w:rPr>
                <w:sz w:val="20"/>
                <w:szCs w:val="20"/>
              </w:rPr>
            </w:pPr>
            <w:r>
              <w:rPr>
                <w:sz w:val="20"/>
                <w:szCs w:val="20"/>
              </w:rPr>
              <w:t>10.963.527</w:t>
            </w:r>
          </w:p>
        </w:tc>
        <w:tc>
          <w:tcPr>
            <w:tcW w:w="1063" w:type="dxa"/>
            <w:noWrap/>
            <w:vAlign w:val="bottom"/>
          </w:tcPr>
          <w:p w:rsidR="00000000" w:rsidRDefault="00000000">
            <w:pPr>
              <w:jc w:val="center"/>
              <w:rPr>
                <w:sz w:val="20"/>
                <w:szCs w:val="20"/>
              </w:rPr>
            </w:pPr>
          </w:p>
        </w:tc>
        <w:tc>
          <w:tcPr>
            <w:tcW w:w="1057" w:type="dxa"/>
            <w:noWrap/>
            <w:vAlign w:val="bottom"/>
          </w:tcPr>
          <w:p w:rsidR="00000000" w:rsidRDefault="00000000">
            <w:pPr>
              <w:jc w:val="right"/>
              <w:rPr>
                <w:sz w:val="20"/>
                <w:szCs w:val="20"/>
              </w:rPr>
            </w:pPr>
            <w:r>
              <w:rPr>
                <w:sz w:val="20"/>
                <w:szCs w:val="20"/>
              </w:rPr>
              <w:t>2.068.868</w:t>
            </w:r>
          </w:p>
        </w:tc>
        <w:tc>
          <w:tcPr>
            <w:tcW w:w="1080" w:type="dxa"/>
            <w:noWrap/>
            <w:vAlign w:val="bottom"/>
          </w:tcPr>
          <w:p w:rsidR="00000000" w:rsidRDefault="00000000">
            <w:pPr>
              <w:rPr>
                <w:sz w:val="20"/>
                <w:szCs w:val="20"/>
              </w:rPr>
            </w:pPr>
          </w:p>
        </w:tc>
        <w:tc>
          <w:tcPr>
            <w:tcW w:w="1035" w:type="dxa"/>
            <w:noWrap/>
            <w:vAlign w:val="bottom"/>
          </w:tcPr>
          <w:p w:rsidR="00000000" w:rsidRDefault="00000000">
            <w:pPr>
              <w:jc w:val="right"/>
              <w:rPr>
                <w:sz w:val="20"/>
                <w:szCs w:val="20"/>
              </w:rPr>
            </w:pPr>
            <w:r>
              <w:rPr>
                <w:sz w:val="20"/>
                <w:szCs w:val="20"/>
              </w:rPr>
              <w:t>349.981</w:t>
            </w:r>
          </w:p>
        </w:tc>
        <w:tc>
          <w:tcPr>
            <w:tcW w:w="1064" w:type="dxa"/>
            <w:noWrap/>
            <w:vAlign w:val="bottom"/>
          </w:tcPr>
          <w:p w:rsidR="00000000" w:rsidRDefault="00000000">
            <w:pPr>
              <w:jc w:val="center"/>
              <w:rPr>
                <w:sz w:val="20"/>
                <w:szCs w:val="20"/>
              </w:rPr>
            </w:pPr>
          </w:p>
        </w:tc>
        <w:tc>
          <w:tcPr>
            <w:tcW w:w="1021" w:type="dxa"/>
            <w:noWrap/>
            <w:vAlign w:val="bottom"/>
          </w:tcPr>
          <w:p w:rsidR="00000000" w:rsidRDefault="00000000">
            <w:pPr>
              <w:jc w:val="center"/>
              <w:rPr>
                <w:sz w:val="20"/>
                <w:szCs w:val="20"/>
              </w:rPr>
            </w:pPr>
            <w:r>
              <w:rPr>
                <w:sz w:val="20"/>
                <w:szCs w:val="20"/>
              </w:rPr>
              <w:t>3,2</w:t>
            </w:r>
          </w:p>
        </w:tc>
        <w:tc>
          <w:tcPr>
            <w:tcW w:w="1320" w:type="dxa"/>
            <w:noWrap/>
            <w:vAlign w:val="bottom"/>
          </w:tcPr>
          <w:p w:rsidR="00000000" w:rsidRDefault="00000000">
            <w:pPr>
              <w:jc w:val="center"/>
              <w:rPr>
                <w:sz w:val="20"/>
                <w:szCs w:val="20"/>
              </w:rPr>
            </w:pPr>
            <w:r>
              <w:rPr>
                <w:sz w:val="20"/>
                <w:szCs w:val="20"/>
              </w:rPr>
              <w:t>16,9</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1994</w:t>
            </w:r>
          </w:p>
        </w:tc>
        <w:tc>
          <w:tcPr>
            <w:tcW w:w="1220" w:type="dxa"/>
            <w:noWrap/>
            <w:vAlign w:val="bottom"/>
          </w:tcPr>
          <w:p w:rsidR="00000000" w:rsidRDefault="00000000">
            <w:pPr>
              <w:jc w:val="center"/>
              <w:rPr>
                <w:sz w:val="20"/>
                <w:szCs w:val="20"/>
              </w:rPr>
            </w:pPr>
            <w:r>
              <w:rPr>
                <w:sz w:val="20"/>
                <w:szCs w:val="20"/>
              </w:rPr>
              <w:t>13.220.624</w:t>
            </w:r>
          </w:p>
        </w:tc>
        <w:tc>
          <w:tcPr>
            <w:tcW w:w="1063" w:type="dxa"/>
            <w:noWrap/>
            <w:vAlign w:val="bottom"/>
          </w:tcPr>
          <w:p w:rsidR="00000000" w:rsidRDefault="00000000">
            <w:pPr>
              <w:tabs>
                <w:tab w:val="decimal" w:pos="519"/>
              </w:tabs>
              <w:jc w:val="both"/>
              <w:rPr>
                <w:sz w:val="20"/>
                <w:szCs w:val="20"/>
              </w:rPr>
            </w:pPr>
            <w:r>
              <w:rPr>
                <w:sz w:val="20"/>
                <w:szCs w:val="20"/>
              </w:rPr>
              <w:t>20,6</w:t>
            </w:r>
          </w:p>
        </w:tc>
        <w:tc>
          <w:tcPr>
            <w:tcW w:w="1057" w:type="dxa"/>
            <w:noWrap/>
            <w:vAlign w:val="bottom"/>
          </w:tcPr>
          <w:p w:rsidR="00000000" w:rsidRDefault="00000000">
            <w:pPr>
              <w:jc w:val="right"/>
              <w:rPr>
                <w:sz w:val="20"/>
                <w:szCs w:val="20"/>
              </w:rPr>
            </w:pPr>
            <w:r>
              <w:rPr>
                <w:sz w:val="20"/>
                <w:szCs w:val="20"/>
              </w:rPr>
              <w:t>2.568.389</w:t>
            </w:r>
          </w:p>
        </w:tc>
        <w:tc>
          <w:tcPr>
            <w:tcW w:w="1080" w:type="dxa"/>
            <w:noWrap/>
            <w:vAlign w:val="bottom"/>
          </w:tcPr>
          <w:p w:rsidR="00000000" w:rsidRDefault="00000000">
            <w:pPr>
              <w:tabs>
                <w:tab w:val="decimal" w:pos="593"/>
              </w:tabs>
              <w:rPr>
                <w:sz w:val="20"/>
                <w:szCs w:val="20"/>
              </w:rPr>
            </w:pPr>
            <w:r>
              <w:rPr>
                <w:sz w:val="20"/>
                <w:szCs w:val="20"/>
              </w:rPr>
              <w:t>24,1</w:t>
            </w:r>
          </w:p>
        </w:tc>
        <w:tc>
          <w:tcPr>
            <w:tcW w:w="1035" w:type="dxa"/>
            <w:noWrap/>
            <w:vAlign w:val="bottom"/>
          </w:tcPr>
          <w:p w:rsidR="00000000" w:rsidRDefault="00000000">
            <w:pPr>
              <w:jc w:val="right"/>
              <w:rPr>
                <w:sz w:val="20"/>
                <w:szCs w:val="20"/>
              </w:rPr>
            </w:pPr>
            <w:r>
              <w:rPr>
                <w:sz w:val="20"/>
                <w:szCs w:val="20"/>
              </w:rPr>
              <w:t>439.233</w:t>
            </w:r>
          </w:p>
        </w:tc>
        <w:tc>
          <w:tcPr>
            <w:tcW w:w="1064" w:type="dxa"/>
            <w:noWrap/>
            <w:vAlign w:val="bottom"/>
          </w:tcPr>
          <w:p w:rsidR="00000000" w:rsidRDefault="00000000">
            <w:pPr>
              <w:tabs>
                <w:tab w:val="decimal" w:pos="519"/>
              </w:tabs>
              <w:jc w:val="both"/>
              <w:rPr>
                <w:sz w:val="20"/>
                <w:szCs w:val="20"/>
              </w:rPr>
            </w:pPr>
            <w:r>
              <w:rPr>
                <w:sz w:val="20"/>
                <w:szCs w:val="20"/>
              </w:rPr>
              <w:t>25,5</w:t>
            </w:r>
          </w:p>
        </w:tc>
        <w:tc>
          <w:tcPr>
            <w:tcW w:w="1021" w:type="dxa"/>
            <w:noWrap/>
            <w:vAlign w:val="bottom"/>
          </w:tcPr>
          <w:p w:rsidR="00000000" w:rsidRDefault="00000000">
            <w:pPr>
              <w:jc w:val="center"/>
              <w:rPr>
                <w:sz w:val="20"/>
                <w:szCs w:val="20"/>
              </w:rPr>
            </w:pPr>
            <w:r>
              <w:rPr>
                <w:sz w:val="20"/>
                <w:szCs w:val="20"/>
              </w:rPr>
              <w:t>3,3</w:t>
            </w:r>
          </w:p>
        </w:tc>
        <w:tc>
          <w:tcPr>
            <w:tcW w:w="1320" w:type="dxa"/>
            <w:noWrap/>
            <w:vAlign w:val="bottom"/>
          </w:tcPr>
          <w:p w:rsidR="00000000" w:rsidRDefault="00000000">
            <w:pPr>
              <w:jc w:val="center"/>
              <w:rPr>
                <w:sz w:val="20"/>
                <w:szCs w:val="20"/>
              </w:rPr>
            </w:pPr>
            <w:r>
              <w:rPr>
                <w:sz w:val="20"/>
                <w:szCs w:val="20"/>
              </w:rPr>
              <w:t>17,1</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1995</w:t>
            </w:r>
          </w:p>
        </w:tc>
        <w:tc>
          <w:tcPr>
            <w:tcW w:w="1220" w:type="dxa"/>
            <w:noWrap/>
            <w:vAlign w:val="bottom"/>
          </w:tcPr>
          <w:p w:rsidR="00000000" w:rsidRDefault="00000000">
            <w:pPr>
              <w:jc w:val="center"/>
              <w:rPr>
                <w:sz w:val="20"/>
                <w:szCs w:val="20"/>
              </w:rPr>
            </w:pPr>
            <w:r>
              <w:rPr>
                <w:sz w:val="20"/>
                <w:szCs w:val="20"/>
              </w:rPr>
              <w:t>15.833.186</w:t>
            </w:r>
          </w:p>
        </w:tc>
        <w:tc>
          <w:tcPr>
            <w:tcW w:w="1063" w:type="dxa"/>
            <w:noWrap/>
            <w:vAlign w:val="bottom"/>
          </w:tcPr>
          <w:p w:rsidR="00000000" w:rsidRDefault="00000000">
            <w:pPr>
              <w:tabs>
                <w:tab w:val="decimal" w:pos="519"/>
              </w:tabs>
              <w:jc w:val="both"/>
              <w:rPr>
                <w:sz w:val="20"/>
                <w:szCs w:val="20"/>
              </w:rPr>
            </w:pPr>
            <w:r>
              <w:rPr>
                <w:sz w:val="20"/>
                <w:szCs w:val="20"/>
              </w:rPr>
              <w:t>19,8</w:t>
            </w:r>
          </w:p>
        </w:tc>
        <w:tc>
          <w:tcPr>
            <w:tcW w:w="1057" w:type="dxa"/>
            <w:noWrap/>
            <w:vAlign w:val="bottom"/>
          </w:tcPr>
          <w:p w:rsidR="00000000" w:rsidRDefault="00000000">
            <w:pPr>
              <w:jc w:val="right"/>
              <w:rPr>
                <w:sz w:val="20"/>
                <w:szCs w:val="20"/>
              </w:rPr>
            </w:pPr>
            <w:r>
              <w:rPr>
                <w:sz w:val="20"/>
                <w:szCs w:val="20"/>
              </w:rPr>
              <w:t>3.490.367</w:t>
            </w:r>
          </w:p>
        </w:tc>
        <w:tc>
          <w:tcPr>
            <w:tcW w:w="1080" w:type="dxa"/>
            <w:noWrap/>
            <w:vAlign w:val="bottom"/>
          </w:tcPr>
          <w:p w:rsidR="00000000" w:rsidRDefault="00000000">
            <w:pPr>
              <w:tabs>
                <w:tab w:val="decimal" w:pos="593"/>
              </w:tabs>
              <w:rPr>
                <w:sz w:val="20"/>
                <w:szCs w:val="20"/>
              </w:rPr>
            </w:pPr>
            <w:r>
              <w:rPr>
                <w:sz w:val="20"/>
                <w:szCs w:val="20"/>
              </w:rPr>
              <w:t>35,9</w:t>
            </w:r>
          </w:p>
        </w:tc>
        <w:tc>
          <w:tcPr>
            <w:tcW w:w="1035" w:type="dxa"/>
            <w:noWrap/>
            <w:vAlign w:val="bottom"/>
          </w:tcPr>
          <w:p w:rsidR="00000000" w:rsidRDefault="00000000">
            <w:pPr>
              <w:jc w:val="right"/>
              <w:rPr>
                <w:sz w:val="20"/>
                <w:szCs w:val="20"/>
              </w:rPr>
            </w:pPr>
            <w:r>
              <w:rPr>
                <w:sz w:val="20"/>
                <w:szCs w:val="20"/>
              </w:rPr>
              <w:t>610.698</w:t>
            </w:r>
          </w:p>
        </w:tc>
        <w:tc>
          <w:tcPr>
            <w:tcW w:w="1064" w:type="dxa"/>
            <w:noWrap/>
            <w:vAlign w:val="bottom"/>
          </w:tcPr>
          <w:p w:rsidR="00000000" w:rsidRDefault="00000000">
            <w:pPr>
              <w:tabs>
                <w:tab w:val="decimal" w:pos="519"/>
              </w:tabs>
              <w:jc w:val="both"/>
              <w:rPr>
                <w:sz w:val="20"/>
                <w:szCs w:val="20"/>
              </w:rPr>
            </w:pPr>
            <w:r>
              <w:rPr>
                <w:sz w:val="20"/>
                <w:szCs w:val="20"/>
              </w:rPr>
              <w:t>39,0</w:t>
            </w:r>
          </w:p>
        </w:tc>
        <w:tc>
          <w:tcPr>
            <w:tcW w:w="1021" w:type="dxa"/>
            <w:noWrap/>
            <w:vAlign w:val="bottom"/>
          </w:tcPr>
          <w:p w:rsidR="00000000" w:rsidRDefault="00000000">
            <w:pPr>
              <w:jc w:val="center"/>
              <w:rPr>
                <w:sz w:val="20"/>
                <w:szCs w:val="20"/>
              </w:rPr>
            </w:pPr>
            <w:r>
              <w:rPr>
                <w:sz w:val="20"/>
                <w:szCs w:val="20"/>
              </w:rPr>
              <w:t>3,9</w:t>
            </w:r>
          </w:p>
        </w:tc>
        <w:tc>
          <w:tcPr>
            <w:tcW w:w="1320" w:type="dxa"/>
            <w:noWrap/>
            <w:vAlign w:val="bottom"/>
          </w:tcPr>
          <w:p w:rsidR="00000000" w:rsidRDefault="00000000">
            <w:pPr>
              <w:jc w:val="center"/>
              <w:rPr>
                <w:sz w:val="20"/>
                <w:szCs w:val="20"/>
              </w:rPr>
            </w:pPr>
            <w:r>
              <w:rPr>
                <w:sz w:val="20"/>
                <w:szCs w:val="20"/>
              </w:rPr>
              <w:t>17,5</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1996</w:t>
            </w:r>
          </w:p>
        </w:tc>
        <w:tc>
          <w:tcPr>
            <w:tcW w:w="1220" w:type="dxa"/>
            <w:noWrap/>
            <w:vAlign w:val="bottom"/>
          </w:tcPr>
          <w:p w:rsidR="00000000" w:rsidRDefault="00000000">
            <w:pPr>
              <w:jc w:val="center"/>
              <w:rPr>
                <w:sz w:val="20"/>
                <w:szCs w:val="20"/>
              </w:rPr>
            </w:pPr>
            <w:r>
              <w:rPr>
                <w:sz w:val="20"/>
                <w:szCs w:val="20"/>
              </w:rPr>
              <w:t>18.004.375</w:t>
            </w:r>
          </w:p>
        </w:tc>
        <w:tc>
          <w:tcPr>
            <w:tcW w:w="1063" w:type="dxa"/>
            <w:noWrap/>
            <w:vAlign w:val="bottom"/>
          </w:tcPr>
          <w:p w:rsidR="00000000" w:rsidRDefault="00000000">
            <w:pPr>
              <w:tabs>
                <w:tab w:val="decimal" w:pos="519"/>
              </w:tabs>
              <w:jc w:val="both"/>
              <w:rPr>
                <w:sz w:val="20"/>
                <w:szCs w:val="20"/>
              </w:rPr>
            </w:pPr>
            <w:r>
              <w:rPr>
                <w:sz w:val="20"/>
                <w:szCs w:val="20"/>
              </w:rPr>
              <w:t>13,7</w:t>
            </w:r>
          </w:p>
        </w:tc>
        <w:tc>
          <w:tcPr>
            <w:tcW w:w="1057" w:type="dxa"/>
            <w:noWrap/>
            <w:vAlign w:val="bottom"/>
          </w:tcPr>
          <w:p w:rsidR="00000000" w:rsidRDefault="00000000">
            <w:pPr>
              <w:jc w:val="right"/>
              <w:rPr>
                <w:sz w:val="20"/>
                <w:szCs w:val="20"/>
              </w:rPr>
            </w:pPr>
            <w:r>
              <w:rPr>
                <w:sz w:val="20"/>
                <w:szCs w:val="20"/>
              </w:rPr>
              <w:t>4.303.706</w:t>
            </w:r>
          </w:p>
        </w:tc>
        <w:tc>
          <w:tcPr>
            <w:tcW w:w="1080" w:type="dxa"/>
            <w:noWrap/>
            <w:vAlign w:val="bottom"/>
          </w:tcPr>
          <w:p w:rsidR="00000000" w:rsidRDefault="00000000">
            <w:pPr>
              <w:tabs>
                <w:tab w:val="decimal" w:pos="593"/>
              </w:tabs>
              <w:rPr>
                <w:sz w:val="20"/>
                <w:szCs w:val="20"/>
              </w:rPr>
            </w:pPr>
            <w:r>
              <w:rPr>
                <w:sz w:val="20"/>
                <w:szCs w:val="20"/>
              </w:rPr>
              <w:t>23,3</w:t>
            </w:r>
          </w:p>
        </w:tc>
        <w:tc>
          <w:tcPr>
            <w:tcW w:w="1035" w:type="dxa"/>
            <w:noWrap/>
            <w:vAlign w:val="bottom"/>
          </w:tcPr>
          <w:p w:rsidR="00000000" w:rsidRDefault="00000000">
            <w:pPr>
              <w:jc w:val="right"/>
              <w:rPr>
                <w:sz w:val="20"/>
                <w:szCs w:val="20"/>
              </w:rPr>
            </w:pPr>
            <w:r>
              <w:rPr>
                <w:sz w:val="20"/>
                <w:szCs w:val="20"/>
              </w:rPr>
              <w:t>788.674</w:t>
            </w:r>
          </w:p>
        </w:tc>
        <w:tc>
          <w:tcPr>
            <w:tcW w:w="1064" w:type="dxa"/>
            <w:noWrap/>
            <w:vAlign w:val="bottom"/>
          </w:tcPr>
          <w:p w:rsidR="00000000" w:rsidRDefault="00000000">
            <w:pPr>
              <w:tabs>
                <w:tab w:val="decimal" w:pos="519"/>
              </w:tabs>
              <w:jc w:val="both"/>
              <w:rPr>
                <w:sz w:val="20"/>
                <w:szCs w:val="20"/>
              </w:rPr>
            </w:pPr>
            <w:r>
              <w:rPr>
                <w:sz w:val="20"/>
                <w:szCs w:val="20"/>
              </w:rPr>
              <w:t>29,1</w:t>
            </w:r>
          </w:p>
        </w:tc>
        <w:tc>
          <w:tcPr>
            <w:tcW w:w="1021" w:type="dxa"/>
            <w:noWrap/>
            <w:vAlign w:val="bottom"/>
          </w:tcPr>
          <w:p w:rsidR="00000000" w:rsidRDefault="00000000">
            <w:pPr>
              <w:jc w:val="center"/>
              <w:rPr>
                <w:sz w:val="20"/>
                <w:szCs w:val="20"/>
              </w:rPr>
            </w:pPr>
            <w:r>
              <w:rPr>
                <w:sz w:val="20"/>
                <w:szCs w:val="20"/>
              </w:rPr>
              <w:t>4,4</w:t>
            </w:r>
          </w:p>
        </w:tc>
        <w:tc>
          <w:tcPr>
            <w:tcW w:w="1320" w:type="dxa"/>
            <w:noWrap/>
            <w:vAlign w:val="bottom"/>
          </w:tcPr>
          <w:p w:rsidR="00000000" w:rsidRDefault="00000000">
            <w:pPr>
              <w:jc w:val="center"/>
              <w:rPr>
                <w:sz w:val="20"/>
                <w:szCs w:val="20"/>
              </w:rPr>
            </w:pPr>
            <w:r>
              <w:rPr>
                <w:sz w:val="20"/>
                <w:szCs w:val="20"/>
              </w:rPr>
              <w:t>18,3</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1997</w:t>
            </w:r>
          </w:p>
        </w:tc>
        <w:tc>
          <w:tcPr>
            <w:tcW w:w="1220" w:type="dxa"/>
            <w:noWrap/>
            <w:vAlign w:val="bottom"/>
          </w:tcPr>
          <w:p w:rsidR="00000000" w:rsidRDefault="00000000">
            <w:pPr>
              <w:jc w:val="center"/>
              <w:rPr>
                <w:sz w:val="20"/>
                <w:szCs w:val="20"/>
              </w:rPr>
            </w:pPr>
            <w:r>
              <w:rPr>
                <w:sz w:val="20"/>
                <w:szCs w:val="20"/>
              </w:rPr>
              <w:t>19.322.537</w:t>
            </w:r>
          </w:p>
        </w:tc>
        <w:tc>
          <w:tcPr>
            <w:tcW w:w="1063" w:type="dxa"/>
            <w:noWrap/>
            <w:vAlign w:val="bottom"/>
          </w:tcPr>
          <w:p w:rsidR="00000000" w:rsidRDefault="00000000">
            <w:pPr>
              <w:tabs>
                <w:tab w:val="decimal" w:pos="519"/>
              </w:tabs>
              <w:jc w:val="both"/>
              <w:rPr>
                <w:sz w:val="20"/>
                <w:szCs w:val="20"/>
              </w:rPr>
            </w:pPr>
            <w:r>
              <w:rPr>
                <w:sz w:val="20"/>
                <w:szCs w:val="20"/>
              </w:rPr>
              <w:t>7,3</w:t>
            </w:r>
          </w:p>
        </w:tc>
        <w:tc>
          <w:tcPr>
            <w:tcW w:w="1057" w:type="dxa"/>
            <w:noWrap/>
            <w:vAlign w:val="bottom"/>
          </w:tcPr>
          <w:p w:rsidR="00000000" w:rsidRDefault="00000000">
            <w:pPr>
              <w:jc w:val="right"/>
              <w:rPr>
                <w:sz w:val="20"/>
                <w:szCs w:val="20"/>
              </w:rPr>
            </w:pPr>
            <w:r>
              <w:rPr>
                <w:sz w:val="20"/>
                <w:szCs w:val="20"/>
              </w:rPr>
              <w:t>4.528.874</w:t>
            </w:r>
          </w:p>
        </w:tc>
        <w:tc>
          <w:tcPr>
            <w:tcW w:w="1080" w:type="dxa"/>
            <w:noWrap/>
            <w:vAlign w:val="bottom"/>
          </w:tcPr>
          <w:p w:rsidR="00000000" w:rsidRDefault="00000000">
            <w:pPr>
              <w:tabs>
                <w:tab w:val="decimal" w:pos="593"/>
              </w:tabs>
              <w:rPr>
                <w:sz w:val="20"/>
                <w:szCs w:val="20"/>
              </w:rPr>
            </w:pPr>
            <w:r>
              <w:rPr>
                <w:sz w:val="20"/>
                <w:szCs w:val="20"/>
              </w:rPr>
              <w:t>5,2</w:t>
            </w:r>
          </w:p>
        </w:tc>
        <w:tc>
          <w:tcPr>
            <w:tcW w:w="1035" w:type="dxa"/>
            <w:noWrap/>
            <w:vAlign w:val="bottom"/>
          </w:tcPr>
          <w:p w:rsidR="00000000" w:rsidRDefault="00000000">
            <w:pPr>
              <w:jc w:val="right"/>
              <w:rPr>
                <w:sz w:val="20"/>
                <w:szCs w:val="20"/>
              </w:rPr>
            </w:pPr>
            <w:r>
              <w:rPr>
                <w:sz w:val="20"/>
                <w:szCs w:val="20"/>
              </w:rPr>
              <w:t>949.009</w:t>
            </w:r>
          </w:p>
        </w:tc>
        <w:tc>
          <w:tcPr>
            <w:tcW w:w="1064" w:type="dxa"/>
            <w:noWrap/>
            <w:vAlign w:val="bottom"/>
          </w:tcPr>
          <w:p w:rsidR="00000000" w:rsidRDefault="00000000">
            <w:pPr>
              <w:tabs>
                <w:tab w:val="decimal" w:pos="519"/>
              </w:tabs>
              <w:jc w:val="both"/>
              <w:rPr>
                <w:sz w:val="20"/>
                <w:szCs w:val="20"/>
              </w:rPr>
            </w:pPr>
            <w:r>
              <w:rPr>
                <w:sz w:val="20"/>
                <w:szCs w:val="20"/>
              </w:rPr>
              <w:t>20,3</w:t>
            </w:r>
          </w:p>
        </w:tc>
        <w:tc>
          <w:tcPr>
            <w:tcW w:w="1021" w:type="dxa"/>
            <w:noWrap/>
            <w:vAlign w:val="bottom"/>
          </w:tcPr>
          <w:p w:rsidR="00000000" w:rsidRDefault="00000000">
            <w:pPr>
              <w:jc w:val="center"/>
              <w:rPr>
                <w:sz w:val="20"/>
                <w:szCs w:val="20"/>
              </w:rPr>
            </w:pPr>
            <w:r>
              <w:rPr>
                <w:sz w:val="20"/>
                <w:szCs w:val="20"/>
              </w:rPr>
              <w:t>4,9</w:t>
            </w:r>
          </w:p>
        </w:tc>
        <w:tc>
          <w:tcPr>
            <w:tcW w:w="1320" w:type="dxa"/>
            <w:noWrap/>
            <w:vAlign w:val="bottom"/>
          </w:tcPr>
          <w:p w:rsidR="00000000" w:rsidRDefault="00000000">
            <w:pPr>
              <w:jc w:val="center"/>
              <w:rPr>
                <w:sz w:val="20"/>
                <w:szCs w:val="20"/>
              </w:rPr>
            </w:pPr>
            <w:r>
              <w:rPr>
                <w:sz w:val="20"/>
                <w:szCs w:val="20"/>
              </w:rPr>
              <w:t>21,0</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1998</w:t>
            </w:r>
          </w:p>
        </w:tc>
        <w:tc>
          <w:tcPr>
            <w:tcW w:w="1220" w:type="dxa"/>
            <w:noWrap/>
            <w:vAlign w:val="bottom"/>
          </w:tcPr>
          <w:p w:rsidR="00000000" w:rsidRDefault="00000000">
            <w:pPr>
              <w:jc w:val="center"/>
              <w:rPr>
                <w:sz w:val="20"/>
                <w:szCs w:val="20"/>
              </w:rPr>
            </w:pPr>
            <w:r>
              <w:rPr>
                <w:sz w:val="20"/>
                <w:szCs w:val="20"/>
              </w:rPr>
              <w:t>21.580.612</w:t>
            </w:r>
          </w:p>
        </w:tc>
        <w:tc>
          <w:tcPr>
            <w:tcW w:w="1063" w:type="dxa"/>
            <w:noWrap/>
            <w:vAlign w:val="bottom"/>
          </w:tcPr>
          <w:p w:rsidR="00000000" w:rsidRDefault="00000000">
            <w:pPr>
              <w:tabs>
                <w:tab w:val="decimal" w:pos="519"/>
              </w:tabs>
              <w:jc w:val="both"/>
              <w:rPr>
                <w:sz w:val="20"/>
                <w:szCs w:val="20"/>
              </w:rPr>
            </w:pPr>
            <w:r>
              <w:rPr>
                <w:sz w:val="20"/>
                <w:szCs w:val="20"/>
              </w:rPr>
              <w:t>11,7</w:t>
            </w:r>
          </w:p>
        </w:tc>
        <w:tc>
          <w:tcPr>
            <w:tcW w:w="1057" w:type="dxa"/>
            <w:noWrap/>
            <w:vAlign w:val="bottom"/>
          </w:tcPr>
          <w:p w:rsidR="00000000" w:rsidRDefault="00000000">
            <w:pPr>
              <w:jc w:val="right"/>
              <w:rPr>
                <w:sz w:val="20"/>
                <w:szCs w:val="20"/>
              </w:rPr>
            </w:pPr>
            <w:r>
              <w:rPr>
                <w:sz w:val="20"/>
                <w:szCs w:val="20"/>
              </w:rPr>
              <w:t>5.419.007</w:t>
            </w:r>
          </w:p>
        </w:tc>
        <w:tc>
          <w:tcPr>
            <w:tcW w:w="1080" w:type="dxa"/>
            <w:noWrap/>
            <w:vAlign w:val="bottom"/>
          </w:tcPr>
          <w:p w:rsidR="00000000" w:rsidRDefault="00000000">
            <w:pPr>
              <w:tabs>
                <w:tab w:val="decimal" w:pos="593"/>
              </w:tabs>
              <w:rPr>
                <w:sz w:val="20"/>
                <w:szCs w:val="20"/>
              </w:rPr>
            </w:pPr>
            <w:r>
              <w:rPr>
                <w:sz w:val="20"/>
                <w:szCs w:val="20"/>
              </w:rPr>
              <w:t>19,7</w:t>
            </w:r>
          </w:p>
        </w:tc>
        <w:tc>
          <w:tcPr>
            <w:tcW w:w="1035" w:type="dxa"/>
            <w:noWrap/>
            <w:vAlign w:val="bottom"/>
          </w:tcPr>
          <w:p w:rsidR="00000000" w:rsidRDefault="00000000">
            <w:pPr>
              <w:jc w:val="right"/>
              <w:rPr>
                <w:sz w:val="20"/>
                <w:szCs w:val="20"/>
              </w:rPr>
            </w:pPr>
            <w:r>
              <w:rPr>
                <w:sz w:val="20"/>
                <w:szCs w:val="20"/>
              </w:rPr>
              <w:t>1.071.373</w:t>
            </w:r>
          </w:p>
        </w:tc>
        <w:tc>
          <w:tcPr>
            <w:tcW w:w="1064" w:type="dxa"/>
            <w:noWrap/>
            <w:vAlign w:val="bottom"/>
          </w:tcPr>
          <w:p w:rsidR="00000000" w:rsidRDefault="00000000">
            <w:pPr>
              <w:tabs>
                <w:tab w:val="decimal" w:pos="519"/>
              </w:tabs>
              <w:jc w:val="both"/>
              <w:rPr>
                <w:sz w:val="20"/>
                <w:szCs w:val="20"/>
              </w:rPr>
            </w:pPr>
            <w:r>
              <w:rPr>
                <w:sz w:val="20"/>
                <w:szCs w:val="20"/>
              </w:rPr>
              <w:t>12,9</w:t>
            </w:r>
          </w:p>
        </w:tc>
        <w:tc>
          <w:tcPr>
            <w:tcW w:w="1021" w:type="dxa"/>
            <w:noWrap/>
            <w:vAlign w:val="bottom"/>
          </w:tcPr>
          <w:p w:rsidR="00000000" w:rsidRDefault="00000000">
            <w:pPr>
              <w:jc w:val="center"/>
              <w:rPr>
                <w:sz w:val="20"/>
                <w:szCs w:val="20"/>
              </w:rPr>
            </w:pPr>
            <w:r>
              <w:rPr>
                <w:sz w:val="20"/>
                <w:szCs w:val="20"/>
              </w:rPr>
              <w:t>5,0</w:t>
            </w:r>
          </w:p>
        </w:tc>
        <w:tc>
          <w:tcPr>
            <w:tcW w:w="1320" w:type="dxa"/>
            <w:noWrap/>
            <w:vAlign w:val="bottom"/>
          </w:tcPr>
          <w:p w:rsidR="00000000" w:rsidRDefault="00000000">
            <w:pPr>
              <w:jc w:val="center"/>
              <w:rPr>
                <w:sz w:val="20"/>
                <w:szCs w:val="20"/>
              </w:rPr>
            </w:pPr>
            <w:r>
              <w:rPr>
                <w:sz w:val="20"/>
                <w:szCs w:val="20"/>
              </w:rPr>
              <w:t>19,8</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1999</w:t>
            </w:r>
          </w:p>
        </w:tc>
        <w:tc>
          <w:tcPr>
            <w:tcW w:w="1220" w:type="dxa"/>
            <w:noWrap/>
            <w:vAlign w:val="bottom"/>
          </w:tcPr>
          <w:p w:rsidR="00000000" w:rsidRDefault="00000000">
            <w:pPr>
              <w:jc w:val="center"/>
              <w:rPr>
                <w:sz w:val="20"/>
                <w:szCs w:val="20"/>
              </w:rPr>
            </w:pPr>
            <w:r>
              <w:rPr>
                <w:sz w:val="20"/>
                <w:szCs w:val="20"/>
              </w:rPr>
              <w:t>22.771.596</w:t>
            </w:r>
          </w:p>
        </w:tc>
        <w:tc>
          <w:tcPr>
            <w:tcW w:w="1063" w:type="dxa"/>
            <w:noWrap/>
            <w:vAlign w:val="bottom"/>
          </w:tcPr>
          <w:p w:rsidR="00000000" w:rsidRDefault="00000000">
            <w:pPr>
              <w:tabs>
                <w:tab w:val="decimal" w:pos="519"/>
              </w:tabs>
              <w:jc w:val="both"/>
              <w:rPr>
                <w:sz w:val="20"/>
                <w:szCs w:val="20"/>
              </w:rPr>
            </w:pPr>
            <w:r>
              <w:rPr>
                <w:sz w:val="20"/>
                <w:szCs w:val="20"/>
              </w:rPr>
              <w:t>5,5</w:t>
            </w:r>
          </w:p>
        </w:tc>
        <w:tc>
          <w:tcPr>
            <w:tcW w:w="1057" w:type="dxa"/>
            <w:noWrap/>
            <w:vAlign w:val="bottom"/>
          </w:tcPr>
          <w:p w:rsidR="00000000" w:rsidRDefault="00000000">
            <w:pPr>
              <w:jc w:val="right"/>
              <w:rPr>
                <w:sz w:val="20"/>
                <w:szCs w:val="20"/>
              </w:rPr>
            </w:pPr>
            <w:r>
              <w:rPr>
                <w:sz w:val="20"/>
                <w:szCs w:val="20"/>
              </w:rPr>
              <w:t>7.278.673</w:t>
            </w:r>
          </w:p>
        </w:tc>
        <w:tc>
          <w:tcPr>
            <w:tcW w:w="1080" w:type="dxa"/>
            <w:noWrap/>
            <w:vAlign w:val="bottom"/>
          </w:tcPr>
          <w:p w:rsidR="00000000" w:rsidRDefault="00000000">
            <w:pPr>
              <w:tabs>
                <w:tab w:val="decimal" w:pos="593"/>
              </w:tabs>
              <w:rPr>
                <w:sz w:val="20"/>
                <w:szCs w:val="20"/>
              </w:rPr>
            </w:pPr>
            <w:r>
              <w:rPr>
                <w:sz w:val="20"/>
                <w:szCs w:val="20"/>
              </w:rPr>
              <w:t>34,3</w:t>
            </w:r>
          </w:p>
        </w:tc>
        <w:tc>
          <w:tcPr>
            <w:tcW w:w="1035" w:type="dxa"/>
            <w:noWrap/>
            <w:vAlign w:val="bottom"/>
          </w:tcPr>
          <w:p w:rsidR="00000000" w:rsidRDefault="00000000">
            <w:pPr>
              <w:jc w:val="right"/>
              <w:rPr>
                <w:sz w:val="20"/>
                <w:szCs w:val="20"/>
              </w:rPr>
            </w:pPr>
            <w:r>
              <w:rPr>
                <w:sz w:val="20"/>
                <w:szCs w:val="20"/>
              </w:rPr>
              <w:t>1.122.042</w:t>
            </w:r>
          </w:p>
        </w:tc>
        <w:tc>
          <w:tcPr>
            <w:tcW w:w="1064" w:type="dxa"/>
            <w:noWrap/>
            <w:vAlign w:val="bottom"/>
          </w:tcPr>
          <w:p w:rsidR="00000000" w:rsidRDefault="00000000">
            <w:pPr>
              <w:tabs>
                <w:tab w:val="decimal" w:pos="519"/>
              </w:tabs>
              <w:jc w:val="both"/>
              <w:rPr>
                <w:sz w:val="20"/>
                <w:szCs w:val="20"/>
              </w:rPr>
            </w:pPr>
            <w:r>
              <w:rPr>
                <w:sz w:val="20"/>
                <w:szCs w:val="20"/>
              </w:rPr>
              <w:t>4,7</w:t>
            </w:r>
          </w:p>
        </w:tc>
        <w:tc>
          <w:tcPr>
            <w:tcW w:w="1021" w:type="dxa"/>
            <w:noWrap/>
            <w:vAlign w:val="bottom"/>
          </w:tcPr>
          <w:p w:rsidR="00000000" w:rsidRDefault="00000000">
            <w:pPr>
              <w:jc w:val="center"/>
              <w:rPr>
                <w:sz w:val="20"/>
                <w:szCs w:val="20"/>
              </w:rPr>
            </w:pPr>
            <w:r>
              <w:rPr>
                <w:sz w:val="20"/>
                <w:szCs w:val="20"/>
              </w:rPr>
              <w:t>4,9</w:t>
            </w:r>
          </w:p>
        </w:tc>
        <w:tc>
          <w:tcPr>
            <w:tcW w:w="1320" w:type="dxa"/>
            <w:noWrap/>
            <w:vAlign w:val="bottom"/>
          </w:tcPr>
          <w:p w:rsidR="00000000" w:rsidRDefault="00000000">
            <w:pPr>
              <w:jc w:val="center"/>
              <w:rPr>
                <w:sz w:val="20"/>
                <w:szCs w:val="20"/>
              </w:rPr>
            </w:pPr>
            <w:r>
              <w:rPr>
                <w:sz w:val="20"/>
                <w:szCs w:val="20"/>
              </w:rPr>
              <w:t>15,4</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2000</w:t>
            </w:r>
          </w:p>
        </w:tc>
        <w:tc>
          <w:tcPr>
            <w:tcW w:w="1220" w:type="dxa"/>
            <w:noWrap/>
            <w:vAlign w:val="bottom"/>
          </w:tcPr>
          <w:p w:rsidR="00000000" w:rsidRDefault="00000000">
            <w:pPr>
              <w:jc w:val="center"/>
              <w:rPr>
                <w:sz w:val="20"/>
                <w:szCs w:val="20"/>
              </w:rPr>
            </w:pPr>
            <w:r>
              <w:rPr>
                <w:sz w:val="20"/>
                <w:szCs w:val="20"/>
              </w:rPr>
              <w:t>24.736.526</w:t>
            </w:r>
          </w:p>
        </w:tc>
        <w:tc>
          <w:tcPr>
            <w:tcW w:w="1063" w:type="dxa"/>
            <w:noWrap/>
            <w:vAlign w:val="bottom"/>
          </w:tcPr>
          <w:p w:rsidR="00000000" w:rsidRDefault="00000000">
            <w:pPr>
              <w:tabs>
                <w:tab w:val="decimal" w:pos="519"/>
              </w:tabs>
              <w:jc w:val="both"/>
              <w:rPr>
                <w:sz w:val="20"/>
                <w:szCs w:val="20"/>
              </w:rPr>
            </w:pPr>
            <w:r>
              <w:rPr>
                <w:sz w:val="20"/>
                <w:szCs w:val="20"/>
              </w:rPr>
              <w:t>8,6</w:t>
            </w:r>
          </w:p>
        </w:tc>
        <w:tc>
          <w:tcPr>
            <w:tcW w:w="1057" w:type="dxa"/>
            <w:noWrap/>
            <w:vAlign w:val="bottom"/>
          </w:tcPr>
          <w:p w:rsidR="00000000" w:rsidRDefault="00000000">
            <w:pPr>
              <w:jc w:val="right"/>
              <w:rPr>
                <w:sz w:val="20"/>
                <w:szCs w:val="20"/>
              </w:rPr>
            </w:pPr>
            <w:r>
              <w:rPr>
                <w:sz w:val="20"/>
                <w:szCs w:val="20"/>
              </w:rPr>
              <w:t>7.604.699</w:t>
            </w:r>
          </w:p>
        </w:tc>
        <w:tc>
          <w:tcPr>
            <w:tcW w:w="1080" w:type="dxa"/>
            <w:noWrap/>
            <w:vAlign w:val="bottom"/>
          </w:tcPr>
          <w:p w:rsidR="00000000" w:rsidRDefault="00000000">
            <w:pPr>
              <w:tabs>
                <w:tab w:val="decimal" w:pos="593"/>
              </w:tabs>
              <w:rPr>
                <w:sz w:val="20"/>
                <w:szCs w:val="20"/>
              </w:rPr>
            </w:pPr>
            <w:r>
              <w:rPr>
                <w:sz w:val="20"/>
                <w:szCs w:val="20"/>
              </w:rPr>
              <w:t>4,5</w:t>
            </w:r>
          </w:p>
        </w:tc>
        <w:tc>
          <w:tcPr>
            <w:tcW w:w="1035" w:type="dxa"/>
            <w:noWrap/>
            <w:vAlign w:val="bottom"/>
          </w:tcPr>
          <w:p w:rsidR="00000000" w:rsidRDefault="00000000">
            <w:pPr>
              <w:jc w:val="right"/>
              <w:rPr>
                <w:sz w:val="20"/>
                <w:szCs w:val="20"/>
              </w:rPr>
            </w:pPr>
            <w:r>
              <w:rPr>
                <w:sz w:val="20"/>
                <w:szCs w:val="20"/>
              </w:rPr>
              <w:t>1.324.198</w:t>
            </w:r>
          </w:p>
        </w:tc>
        <w:tc>
          <w:tcPr>
            <w:tcW w:w="1064" w:type="dxa"/>
            <w:noWrap/>
            <w:vAlign w:val="bottom"/>
          </w:tcPr>
          <w:p w:rsidR="00000000" w:rsidRDefault="00000000">
            <w:pPr>
              <w:tabs>
                <w:tab w:val="decimal" w:pos="519"/>
              </w:tabs>
              <w:jc w:val="both"/>
              <w:rPr>
                <w:sz w:val="20"/>
                <w:szCs w:val="20"/>
              </w:rPr>
            </w:pPr>
            <w:r>
              <w:rPr>
                <w:sz w:val="20"/>
                <w:szCs w:val="20"/>
              </w:rPr>
              <w:t>18,0</w:t>
            </w:r>
          </w:p>
        </w:tc>
        <w:tc>
          <w:tcPr>
            <w:tcW w:w="1021" w:type="dxa"/>
            <w:noWrap/>
            <w:vAlign w:val="bottom"/>
          </w:tcPr>
          <w:p w:rsidR="00000000" w:rsidRDefault="00000000">
            <w:pPr>
              <w:jc w:val="center"/>
              <w:rPr>
                <w:sz w:val="20"/>
                <w:szCs w:val="20"/>
              </w:rPr>
            </w:pPr>
            <w:r>
              <w:rPr>
                <w:sz w:val="20"/>
                <w:szCs w:val="20"/>
              </w:rPr>
              <w:t>5,4</w:t>
            </w:r>
          </w:p>
        </w:tc>
        <w:tc>
          <w:tcPr>
            <w:tcW w:w="1320" w:type="dxa"/>
            <w:noWrap/>
            <w:vAlign w:val="bottom"/>
          </w:tcPr>
          <w:p w:rsidR="00000000" w:rsidRDefault="00000000">
            <w:pPr>
              <w:jc w:val="center"/>
              <w:rPr>
                <w:sz w:val="20"/>
                <w:szCs w:val="20"/>
              </w:rPr>
            </w:pPr>
            <w:r>
              <w:rPr>
                <w:sz w:val="20"/>
                <w:szCs w:val="20"/>
              </w:rPr>
              <w:t>17,4</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2001</w:t>
            </w:r>
          </w:p>
        </w:tc>
        <w:tc>
          <w:tcPr>
            <w:tcW w:w="1220" w:type="dxa"/>
            <w:noWrap/>
            <w:vAlign w:val="bottom"/>
          </w:tcPr>
          <w:p w:rsidR="00000000" w:rsidRDefault="00000000">
            <w:pPr>
              <w:jc w:val="center"/>
              <w:rPr>
                <w:sz w:val="20"/>
                <w:szCs w:val="20"/>
              </w:rPr>
            </w:pPr>
            <w:r>
              <w:rPr>
                <w:sz w:val="20"/>
                <w:szCs w:val="20"/>
              </w:rPr>
              <w:t>26.465.663</w:t>
            </w:r>
          </w:p>
        </w:tc>
        <w:tc>
          <w:tcPr>
            <w:tcW w:w="1063" w:type="dxa"/>
            <w:noWrap/>
            <w:vAlign w:val="bottom"/>
          </w:tcPr>
          <w:p w:rsidR="00000000" w:rsidRDefault="00000000">
            <w:pPr>
              <w:tabs>
                <w:tab w:val="decimal" w:pos="519"/>
              </w:tabs>
              <w:jc w:val="both"/>
              <w:rPr>
                <w:sz w:val="20"/>
                <w:szCs w:val="20"/>
              </w:rPr>
            </w:pPr>
            <w:r>
              <w:rPr>
                <w:sz w:val="20"/>
                <w:szCs w:val="20"/>
              </w:rPr>
              <w:t>7,0</w:t>
            </w:r>
          </w:p>
        </w:tc>
        <w:tc>
          <w:tcPr>
            <w:tcW w:w="1057" w:type="dxa"/>
            <w:noWrap/>
            <w:vAlign w:val="bottom"/>
          </w:tcPr>
          <w:p w:rsidR="00000000" w:rsidRDefault="00000000">
            <w:pPr>
              <w:jc w:val="right"/>
              <w:rPr>
                <w:sz w:val="20"/>
                <w:szCs w:val="20"/>
              </w:rPr>
            </w:pPr>
            <w:r>
              <w:rPr>
                <w:sz w:val="20"/>
                <w:szCs w:val="20"/>
              </w:rPr>
              <w:t>7.291.523</w:t>
            </w:r>
          </w:p>
        </w:tc>
        <w:tc>
          <w:tcPr>
            <w:tcW w:w="1080" w:type="dxa"/>
            <w:noWrap/>
            <w:vAlign w:val="bottom"/>
          </w:tcPr>
          <w:p w:rsidR="00000000" w:rsidRDefault="00000000">
            <w:pPr>
              <w:tabs>
                <w:tab w:val="decimal" w:pos="593"/>
              </w:tabs>
              <w:rPr>
                <w:sz w:val="20"/>
                <w:szCs w:val="20"/>
              </w:rPr>
            </w:pPr>
            <w:r>
              <w:rPr>
                <w:sz w:val="20"/>
                <w:szCs w:val="20"/>
              </w:rPr>
              <w:t>-4,1</w:t>
            </w:r>
          </w:p>
        </w:tc>
        <w:tc>
          <w:tcPr>
            <w:tcW w:w="1035" w:type="dxa"/>
            <w:noWrap/>
            <w:vAlign w:val="bottom"/>
          </w:tcPr>
          <w:p w:rsidR="00000000" w:rsidRDefault="00000000">
            <w:pPr>
              <w:jc w:val="right"/>
              <w:rPr>
                <w:sz w:val="20"/>
                <w:szCs w:val="20"/>
              </w:rPr>
            </w:pPr>
            <w:r>
              <w:rPr>
                <w:sz w:val="20"/>
                <w:szCs w:val="20"/>
              </w:rPr>
              <w:t>1.327.772</w:t>
            </w:r>
          </w:p>
        </w:tc>
        <w:tc>
          <w:tcPr>
            <w:tcW w:w="1064" w:type="dxa"/>
            <w:noWrap/>
            <w:vAlign w:val="bottom"/>
          </w:tcPr>
          <w:p w:rsidR="00000000" w:rsidRDefault="00000000">
            <w:pPr>
              <w:tabs>
                <w:tab w:val="decimal" w:pos="519"/>
              </w:tabs>
              <w:jc w:val="both"/>
              <w:rPr>
                <w:sz w:val="20"/>
                <w:szCs w:val="20"/>
              </w:rPr>
            </w:pPr>
            <w:r>
              <w:rPr>
                <w:sz w:val="20"/>
                <w:szCs w:val="20"/>
              </w:rPr>
              <w:t>0,3</w:t>
            </w:r>
          </w:p>
        </w:tc>
        <w:tc>
          <w:tcPr>
            <w:tcW w:w="1021" w:type="dxa"/>
            <w:noWrap/>
            <w:vAlign w:val="bottom"/>
          </w:tcPr>
          <w:p w:rsidR="00000000" w:rsidRDefault="00000000">
            <w:pPr>
              <w:jc w:val="center"/>
              <w:rPr>
                <w:sz w:val="20"/>
                <w:szCs w:val="20"/>
              </w:rPr>
            </w:pPr>
            <w:r>
              <w:rPr>
                <w:sz w:val="20"/>
                <w:szCs w:val="20"/>
              </w:rPr>
              <w:t>5,0</w:t>
            </w:r>
          </w:p>
        </w:tc>
        <w:tc>
          <w:tcPr>
            <w:tcW w:w="1320" w:type="dxa"/>
            <w:noWrap/>
            <w:vAlign w:val="bottom"/>
          </w:tcPr>
          <w:p w:rsidR="00000000" w:rsidRDefault="00000000">
            <w:pPr>
              <w:jc w:val="center"/>
              <w:rPr>
                <w:sz w:val="20"/>
                <w:szCs w:val="20"/>
              </w:rPr>
            </w:pPr>
            <w:r>
              <w:rPr>
                <w:sz w:val="20"/>
                <w:szCs w:val="20"/>
              </w:rPr>
              <w:t>18,2</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2002</w:t>
            </w:r>
          </w:p>
        </w:tc>
        <w:tc>
          <w:tcPr>
            <w:tcW w:w="1220" w:type="dxa"/>
            <w:noWrap/>
            <w:vAlign w:val="bottom"/>
          </w:tcPr>
          <w:p w:rsidR="00000000" w:rsidRDefault="00000000">
            <w:pPr>
              <w:jc w:val="center"/>
              <w:rPr>
                <w:sz w:val="20"/>
                <w:szCs w:val="20"/>
              </w:rPr>
            </w:pPr>
            <w:r>
              <w:rPr>
                <w:sz w:val="20"/>
                <w:szCs w:val="20"/>
              </w:rPr>
              <w:t>29.104.530</w:t>
            </w:r>
          </w:p>
        </w:tc>
        <w:tc>
          <w:tcPr>
            <w:tcW w:w="1063" w:type="dxa"/>
            <w:noWrap/>
            <w:vAlign w:val="bottom"/>
          </w:tcPr>
          <w:p w:rsidR="00000000" w:rsidRDefault="00000000">
            <w:pPr>
              <w:tabs>
                <w:tab w:val="decimal" w:pos="519"/>
              </w:tabs>
              <w:jc w:val="both"/>
              <w:rPr>
                <w:sz w:val="20"/>
                <w:szCs w:val="20"/>
              </w:rPr>
            </w:pPr>
            <w:r>
              <w:rPr>
                <w:sz w:val="20"/>
                <w:szCs w:val="20"/>
              </w:rPr>
              <w:t>10,0</w:t>
            </w:r>
          </w:p>
        </w:tc>
        <w:tc>
          <w:tcPr>
            <w:tcW w:w="1057" w:type="dxa"/>
            <w:noWrap/>
            <w:vAlign w:val="bottom"/>
          </w:tcPr>
          <w:p w:rsidR="00000000" w:rsidRDefault="00000000">
            <w:pPr>
              <w:jc w:val="right"/>
              <w:rPr>
                <w:sz w:val="20"/>
                <w:szCs w:val="20"/>
              </w:rPr>
            </w:pPr>
            <w:r>
              <w:rPr>
                <w:sz w:val="20"/>
                <w:szCs w:val="20"/>
              </w:rPr>
              <w:t>7.770.138</w:t>
            </w:r>
          </w:p>
        </w:tc>
        <w:tc>
          <w:tcPr>
            <w:tcW w:w="1080" w:type="dxa"/>
            <w:noWrap/>
            <w:vAlign w:val="bottom"/>
          </w:tcPr>
          <w:p w:rsidR="00000000" w:rsidRDefault="00000000">
            <w:pPr>
              <w:tabs>
                <w:tab w:val="decimal" w:pos="593"/>
              </w:tabs>
              <w:rPr>
                <w:sz w:val="20"/>
                <w:szCs w:val="20"/>
              </w:rPr>
            </w:pPr>
            <w:r>
              <w:rPr>
                <w:sz w:val="20"/>
                <w:szCs w:val="20"/>
              </w:rPr>
              <w:t>6,6</w:t>
            </w:r>
          </w:p>
        </w:tc>
        <w:tc>
          <w:tcPr>
            <w:tcW w:w="1035" w:type="dxa"/>
            <w:noWrap/>
            <w:vAlign w:val="bottom"/>
          </w:tcPr>
          <w:p w:rsidR="00000000" w:rsidRDefault="00000000">
            <w:pPr>
              <w:jc w:val="right"/>
              <w:rPr>
                <w:sz w:val="20"/>
                <w:szCs w:val="20"/>
              </w:rPr>
            </w:pPr>
            <w:r>
              <w:rPr>
                <w:sz w:val="20"/>
                <w:szCs w:val="20"/>
              </w:rPr>
              <w:t>1.394.241</w:t>
            </w:r>
          </w:p>
        </w:tc>
        <w:tc>
          <w:tcPr>
            <w:tcW w:w="1064" w:type="dxa"/>
            <w:noWrap/>
            <w:vAlign w:val="bottom"/>
          </w:tcPr>
          <w:p w:rsidR="00000000" w:rsidRDefault="00000000">
            <w:pPr>
              <w:tabs>
                <w:tab w:val="decimal" w:pos="519"/>
              </w:tabs>
              <w:jc w:val="both"/>
              <w:rPr>
                <w:sz w:val="20"/>
                <w:szCs w:val="20"/>
              </w:rPr>
            </w:pPr>
            <w:r>
              <w:rPr>
                <w:sz w:val="20"/>
                <w:szCs w:val="20"/>
              </w:rPr>
              <w:t>5,0</w:t>
            </w:r>
          </w:p>
        </w:tc>
        <w:tc>
          <w:tcPr>
            <w:tcW w:w="1021" w:type="dxa"/>
            <w:noWrap/>
            <w:vAlign w:val="bottom"/>
          </w:tcPr>
          <w:p w:rsidR="00000000" w:rsidRDefault="00000000">
            <w:pPr>
              <w:jc w:val="center"/>
              <w:rPr>
                <w:sz w:val="20"/>
                <w:szCs w:val="20"/>
              </w:rPr>
            </w:pPr>
            <w:r>
              <w:rPr>
                <w:sz w:val="20"/>
                <w:szCs w:val="20"/>
              </w:rPr>
              <w:t>4,8</w:t>
            </w:r>
          </w:p>
        </w:tc>
        <w:tc>
          <w:tcPr>
            <w:tcW w:w="1320" w:type="dxa"/>
            <w:noWrap/>
            <w:vAlign w:val="bottom"/>
          </w:tcPr>
          <w:p w:rsidR="00000000" w:rsidRDefault="00000000">
            <w:pPr>
              <w:jc w:val="center"/>
              <w:rPr>
                <w:sz w:val="20"/>
                <w:szCs w:val="20"/>
              </w:rPr>
            </w:pPr>
            <w:r>
              <w:rPr>
                <w:sz w:val="20"/>
                <w:szCs w:val="20"/>
              </w:rPr>
              <w:t>17,9</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2003</w:t>
            </w:r>
          </w:p>
        </w:tc>
        <w:tc>
          <w:tcPr>
            <w:tcW w:w="1220" w:type="dxa"/>
            <w:noWrap/>
            <w:vAlign w:val="bottom"/>
          </w:tcPr>
          <w:p w:rsidR="00000000" w:rsidRDefault="00000000">
            <w:pPr>
              <w:jc w:val="center"/>
              <w:rPr>
                <w:sz w:val="20"/>
                <w:szCs w:val="20"/>
              </w:rPr>
            </w:pPr>
            <w:r>
              <w:rPr>
                <w:sz w:val="20"/>
                <w:szCs w:val="20"/>
              </w:rPr>
              <w:t>35.666.425</w:t>
            </w:r>
          </w:p>
        </w:tc>
        <w:tc>
          <w:tcPr>
            <w:tcW w:w="1063" w:type="dxa"/>
            <w:noWrap/>
            <w:vAlign w:val="bottom"/>
          </w:tcPr>
          <w:p w:rsidR="00000000" w:rsidRDefault="00000000">
            <w:pPr>
              <w:tabs>
                <w:tab w:val="decimal" w:pos="519"/>
              </w:tabs>
              <w:jc w:val="both"/>
              <w:rPr>
                <w:sz w:val="20"/>
                <w:szCs w:val="20"/>
              </w:rPr>
            </w:pPr>
            <w:r>
              <w:rPr>
                <w:sz w:val="20"/>
                <w:szCs w:val="20"/>
              </w:rPr>
              <w:t>22,5</w:t>
            </w:r>
          </w:p>
        </w:tc>
        <w:tc>
          <w:tcPr>
            <w:tcW w:w="1057" w:type="dxa"/>
            <w:noWrap/>
            <w:vAlign w:val="bottom"/>
          </w:tcPr>
          <w:p w:rsidR="00000000" w:rsidRDefault="00000000">
            <w:pPr>
              <w:jc w:val="right"/>
              <w:rPr>
                <w:sz w:val="20"/>
                <w:szCs w:val="20"/>
              </w:rPr>
            </w:pPr>
            <w:r>
              <w:rPr>
                <w:sz w:val="20"/>
                <w:szCs w:val="20"/>
              </w:rPr>
              <w:t>9.994.811</w:t>
            </w:r>
          </w:p>
        </w:tc>
        <w:tc>
          <w:tcPr>
            <w:tcW w:w="1080" w:type="dxa"/>
            <w:noWrap/>
            <w:vAlign w:val="bottom"/>
          </w:tcPr>
          <w:p w:rsidR="00000000" w:rsidRDefault="00000000">
            <w:pPr>
              <w:tabs>
                <w:tab w:val="decimal" w:pos="593"/>
              </w:tabs>
              <w:rPr>
                <w:sz w:val="20"/>
                <w:szCs w:val="20"/>
              </w:rPr>
            </w:pPr>
            <w:r>
              <w:rPr>
                <w:sz w:val="20"/>
                <w:szCs w:val="20"/>
              </w:rPr>
              <w:t>28,6</w:t>
            </w:r>
          </w:p>
        </w:tc>
        <w:tc>
          <w:tcPr>
            <w:tcW w:w="1035" w:type="dxa"/>
            <w:noWrap/>
            <w:vAlign w:val="bottom"/>
          </w:tcPr>
          <w:p w:rsidR="00000000" w:rsidRDefault="00000000">
            <w:pPr>
              <w:jc w:val="right"/>
              <w:rPr>
                <w:sz w:val="20"/>
                <w:szCs w:val="20"/>
              </w:rPr>
            </w:pPr>
            <w:r>
              <w:rPr>
                <w:sz w:val="20"/>
                <w:szCs w:val="20"/>
              </w:rPr>
              <w:t>1.477.347</w:t>
            </w:r>
          </w:p>
        </w:tc>
        <w:tc>
          <w:tcPr>
            <w:tcW w:w="1064" w:type="dxa"/>
            <w:noWrap/>
            <w:vAlign w:val="bottom"/>
          </w:tcPr>
          <w:p w:rsidR="00000000" w:rsidRDefault="00000000">
            <w:pPr>
              <w:tabs>
                <w:tab w:val="decimal" w:pos="519"/>
              </w:tabs>
              <w:jc w:val="both"/>
              <w:rPr>
                <w:sz w:val="20"/>
                <w:szCs w:val="20"/>
              </w:rPr>
            </w:pPr>
            <w:r>
              <w:rPr>
                <w:sz w:val="20"/>
                <w:szCs w:val="20"/>
              </w:rPr>
              <w:t>6,0</w:t>
            </w:r>
          </w:p>
        </w:tc>
        <w:tc>
          <w:tcPr>
            <w:tcW w:w="1021" w:type="dxa"/>
            <w:noWrap/>
            <w:vAlign w:val="bottom"/>
          </w:tcPr>
          <w:p w:rsidR="00000000" w:rsidRDefault="00000000">
            <w:pPr>
              <w:jc w:val="center"/>
              <w:rPr>
                <w:sz w:val="20"/>
                <w:szCs w:val="20"/>
              </w:rPr>
            </w:pPr>
            <w:r>
              <w:rPr>
                <w:sz w:val="20"/>
                <w:szCs w:val="20"/>
              </w:rPr>
              <w:t>4,1</w:t>
            </w:r>
          </w:p>
        </w:tc>
        <w:tc>
          <w:tcPr>
            <w:tcW w:w="1320" w:type="dxa"/>
            <w:noWrap/>
            <w:vAlign w:val="bottom"/>
          </w:tcPr>
          <w:p w:rsidR="00000000" w:rsidRDefault="00000000">
            <w:pPr>
              <w:jc w:val="center"/>
              <w:rPr>
                <w:sz w:val="20"/>
                <w:szCs w:val="20"/>
              </w:rPr>
            </w:pPr>
            <w:r>
              <w:rPr>
                <w:sz w:val="20"/>
                <w:szCs w:val="20"/>
              </w:rPr>
              <w:t>14,8</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2004</w:t>
            </w:r>
          </w:p>
        </w:tc>
        <w:tc>
          <w:tcPr>
            <w:tcW w:w="1220" w:type="dxa"/>
            <w:noWrap/>
            <w:vAlign w:val="bottom"/>
          </w:tcPr>
          <w:p w:rsidR="00000000" w:rsidRDefault="00000000">
            <w:pPr>
              <w:jc w:val="center"/>
              <w:rPr>
                <w:sz w:val="20"/>
                <w:szCs w:val="20"/>
              </w:rPr>
            </w:pPr>
            <w:r>
              <w:rPr>
                <w:sz w:val="20"/>
                <w:szCs w:val="20"/>
              </w:rPr>
              <w:t>41.521.883</w:t>
            </w:r>
          </w:p>
        </w:tc>
        <w:tc>
          <w:tcPr>
            <w:tcW w:w="1063" w:type="dxa"/>
            <w:noWrap/>
            <w:vAlign w:val="bottom"/>
          </w:tcPr>
          <w:p w:rsidR="00000000" w:rsidRDefault="00000000">
            <w:pPr>
              <w:tabs>
                <w:tab w:val="decimal" w:pos="519"/>
              </w:tabs>
              <w:jc w:val="both"/>
              <w:rPr>
                <w:sz w:val="20"/>
                <w:szCs w:val="20"/>
              </w:rPr>
            </w:pPr>
            <w:r>
              <w:rPr>
                <w:sz w:val="20"/>
                <w:szCs w:val="20"/>
              </w:rPr>
              <w:t>16,4</w:t>
            </w:r>
          </w:p>
        </w:tc>
        <w:tc>
          <w:tcPr>
            <w:tcW w:w="1057" w:type="dxa"/>
            <w:noWrap/>
            <w:vAlign w:val="bottom"/>
          </w:tcPr>
          <w:p w:rsidR="00000000" w:rsidRDefault="00000000">
            <w:pPr>
              <w:jc w:val="right"/>
              <w:rPr>
                <w:sz w:val="20"/>
                <w:szCs w:val="20"/>
              </w:rPr>
            </w:pPr>
            <w:r>
              <w:rPr>
                <w:sz w:val="20"/>
                <w:szCs w:val="20"/>
              </w:rPr>
              <w:t>9.568.415</w:t>
            </w:r>
          </w:p>
        </w:tc>
        <w:tc>
          <w:tcPr>
            <w:tcW w:w="1080" w:type="dxa"/>
            <w:noWrap/>
            <w:vAlign w:val="bottom"/>
          </w:tcPr>
          <w:p w:rsidR="00000000" w:rsidRDefault="00000000">
            <w:pPr>
              <w:tabs>
                <w:tab w:val="decimal" w:pos="593"/>
              </w:tabs>
              <w:rPr>
                <w:sz w:val="20"/>
                <w:szCs w:val="20"/>
              </w:rPr>
            </w:pPr>
            <w:r>
              <w:rPr>
                <w:sz w:val="20"/>
                <w:szCs w:val="20"/>
              </w:rPr>
              <w:t>-4,3</w:t>
            </w:r>
          </w:p>
        </w:tc>
        <w:tc>
          <w:tcPr>
            <w:tcW w:w="1035" w:type="dxa"/>
            <w:noWrap/>
            <w:vAlign w:val="bottom"/>
          </w:tcPr>
          <w:p w:rsidR="00000000" w:rsidRDefault="00000000">
            <w:pPr>
              <w:jc w:val="right"/>
              <w:rPr>
                <w:sz w:val="20"/>
                <w:szCs w:val="20"/>
              </w:rPr>
            </w:pPr>
            <w:r>
              <w:rPr>
                <w:sz w:val="20"/>
                <w:szCs w:val="20"/>
              </w:rPr>
              <w:t>1.625.449</w:t>
            </w:r>
          </w:p>
        </w:tc>
        <w:tc>
          <w:tcPr>
            <w:tcW w:w="1064" w:type="dxa"/>
            <w:noWrap/>
            <w:vAlign w:val="bottom"/>
          </w:tcPr>
          <w:p w:rsidR="00000000" w:rsidRDefault="00000000">
            <w:pPr>
              <w:tabs>
                <w:tab w:val="decimal" w:pos="519"/>
              </w:tabs>
              <w:jc w:val="both"/>
              <w:rPr>
                <w:sz w:val="20"/>
                <w:szCs w:val="20"/>
              </w:rPr>
            </w:pPr>
            <w:r>
              <w:rPr>
                <w:sz w:val="20"/>
                <w:szCs w:val="20"/>
              </w:rPr>
              <w:t>10,0</w:t>
            </w:r>
          </w:p>
        </w:tc>
        <w:tc>
          <w:tcPr>
            <w:tcW w:w="1021" w:type="dxa"/>
            <w:noWrap/>
            <w:vAlign w:val="bottom"/>
          </w:tcPr>
          <w:p w:rsidR="00000000" w:rsidRDefault="00000000">
            <w:pPr>
              <w:jc w:val="center"/>
              <w:rPr>
                <w:sz w:val="20"/>
                <w:szCs w:val="20"/>
              </w:rPr>
            </w:pPr>
            <w:r>
              <w:rPr>
                <w:sz w:val="20"/>
                <w:szCs w:val="20"/>
              </w:rPr>
              <w:t>3,9</w:t>
            </w:r>
          </w:p>
        </w:tc>
        <w:tc>
          <w:tcPr>
            <w:tcW w:w="1320" w:type="dxa"/>
            <w:noWrap/>
            <w:vAlign w:val="bottom"/>
          </w:tcPr>
          <w:p w:rsidR="00000000" w:rsidRDefault="00000000">
            <w:pPr>
              <w:jc w:val="center"/>
              <w:rPr>
                <w:sz w:val="20"/>
                <w:szCs w:val="20"/>
              </w:rPr>
            </w:pPr>
            <w:r>
              <w:rPr>
                <w:sz w:val="20"/>
                <w:szCs w:val="20"/>
              </w:rPr>
              <w:t>17,0</w:t>
            </w:r>
          </w:p>
        </w:tc>
      </w:tr>
      <w:tr w:rsidR="00000000">
        <w:trPr>
          <w:trHeight w:val="255"/>
          <w:jc w:val="center"/>
        </w:trPr>
        <w:tc>
          <w:tcPr>
            <w:tcW w:w="620" w:type="dxa"/>
            <w:noWrap/>
            <w:vAlign w:val="bottom"/>
          </w:tcPr>
          <w:p w:rsidR="00000000" w:rsidRDefault="00000000">
            <w:pPr>
              <w:jc w:val="center"/>
              <w:rPr>
                <w:sz w:val="20"/>
                <w:szCs w:val="20"/>
              </w:rPr>
            </w:pPr>
            <w:r>
              <w:rPr>
                <w:sz w:val="20"/>
                <w:szCs w:val="20"/>
              </w:rPr>
              <w:t>2005</w:t>
            </w:r>
          </w:p>
        </w:tc>
        <w:tc>
          <w:tcPr>
            <w:tcW w:w="1220" w:type="dxa"/>
            <w:noWrap/>
            <w:vAlign w:val="bottom"/>
          </w:tcPr>
          <w:p w:rsidR="00000000" w:rsidRDefault="00000000">
            <w:pPr>
              <w:jc w:val="center"/>
              <w:rPr>
                <w:sz w:val="20"/>
                <w:szCs w:val="20"/>
              </w:rPr>
            </w:pPr>
            <w:r>
              <w:rPr>
                <w:sz w:val="20"/>
                <w:szCs w:val="20"/>
              </w:rPr>
              <w:t>46.134.612</w:t>
            </w:r>
          </w:p>
        </w:tc>
        <w:tc>
          <w:tcPr>
            <w:tcW w:w="1063" w:type="dxa"/>
            <w:noWrap/>
            <w:vAlign w:val="bottom"/>
          </w:tcPr>
          <w:p w:rsidR="00000000" w:rsidRDefault="00000000">
            <w:pPr>
              <w:tabs>
                <w:tab w:val="decimal" w:pos="519"/>
              </w:tabs>
              <w:jc w:val="both"/>
              <w:rPr>
                <w:sz w:val="20"/>
                <w:szCs w:val="20"/>
              </w:rPr>
            </w:pPr>
            <w:r>
              <w:rPr>
                <w:sz w:val="20"/>
                <w:szCs w:val="20"/>
              </w:rPr>
              <w:t>11,1</w:t>
            </w:r>
          </w:p>
        </w:tc>
        <w:tc>
          <w:tcPr>
            <w:tcW w:w="1057" w:type="dxa"/>
            <w:noWrap/>
            <w:vAlign w:val="bottom"/>
          </w:tcPr>
          <w:p w:rsidR="00000000" w:rsidRDefault="00000000">
            <w:pPr>
              <w:jc w:val="right"/>
              <w:rPr>
                <w:sz w:val="20"/>
                <w:szCs w:val="20"/>
              </w:rPr>
            </w:pPr>
            <w:r>
              <w:rPr>
                <w:sz w:val="20"/>
                <w:szCs w:val="20"/>
              </w:rPr>
              <w:t>10.911.323</w:t>
            </w:r>
          </w:p>
        </w:tc>
        <w:tc>
          <w:tcPr>
            <w:tcW w:w="1080" w:type="dxa"/>
            <w:noWrap/>
            <w:vAlign w:val="bottom"/>
          </w:tcPr>
          <w:p w:rsidR="00000000" w:rsidRDefault="00000000">
            <w:pPr>
              <w:tabs>
                <w:tab w:val="decimal" w:pos="593"/>
              </w:tabs>
              <w:rPr>
                <w:sz w:val="20"/>
                <w:szCs w:val="20"/>
              </w:rPr>
            </w:pPr>
            <w:r>
              <w:rPr>
                <w:sz w:val="20"/>
                <w:szCs w:val="20"/>
              </w:rPr>
              <w:t>14,0</w:t>
            </w:r>
          </w:p>
        </w:tc>
        <w:tc>
          <w:tcPr>
            <w:tcW w:w="1035" w:type="dxa"/>
            <w:noWrap/>
            <w:vAlign w:val="bottom"/>
          </w:tcPr>
          <w:p w:rsidR="00000000" w:rsidRDefault="00000000">
            <w:pPr>
              <w:jc w:val="right"/>
              <w:rPr>
                <w:sz w:val="20"/>
                <w:szCs w:val="20"/>
              </w:rPr>
            </w:pPr>
            <w:r>
              <w:rPr>
                <w:sz w:val="20"/>
                <w:szCs w:val="20"/>
              </w:rPr>
              <w:t>1.964.120</w:t>
            </w:r>
          </w:p>
        </w:tc>
        <w:tc>
          <w:tcPr>
            <w:tcW w:w="1064" w:type="dxa"/>
            <w:noWrap/>
            <w:vAlign w:val="bottom"/>
          </w:tcPr>
          <w:p w:rsidR="00000000" w:rsidRDefault="00000000">
            <w:pPr>
              <w:tabs>
                <w:tab w:val="decimal" w:pos="519"/>
              </w:tabs>
              <w:jc w:val="both"/>
              <w:rPr>
                <w:sz w:val="20"/>
                <w:szCs w:val="20"/>
              </w:rPr>
            </w:pPr>
            <w:r>
              <w:rPr>
                <w:sz w:val="20"/>
                <w:szCs w:val="20"/>
              </w:rPr>
              <w:t>20,8</w:t>
            </w:r>
          </w:p>
        </w:tc>
        <w:tc>
          <w:tcPr>
            <w:tcW w:w="1021" w:type="dxa"/>
            <w:noWrap/>
            <w:vAlign w:val="bottom"/>
          </w:tcPr>
          <w:p w:rsidR="00000000" w:rsidRDefault="00000000">
            <w:pPr>
              <w:jc w:val="center"/>
              <w:rPr>
                <w:sz w:val="20"/>
                <w:szCs w:val="20"/>
              </w:rPr>
            </w:pPr>
            <w:r>
              <w:rPr>
                <w:sz w:val="20"/>
                <w:szCs w:val="20"/>
              </w:rPr>
              <w:t>4,3</w:t>
            </w:r>
          </w:p>
        </w:tc>
        <w:tc>
          <w:tcPr>
            <w:tcW w:w="1320" w:type="dxa"/>
            <w:noWrap/>
            <w:vAlign w:val="bottom"/>
          </w:tcPr>
          <w:p w:rsidR="00000000" w:rsidRDefault="00000000">
            <w:pPr>
              <w:jc w:val="center"/>
              <w:rPr>
                <w:sz w:val="20"/>
                <w:szCs w:val="20"/>
              </w:rPr>
            </w:pPr>
            <w:r>
              <w:rPr>
                <w:sz w:val="20"/>
                <w:szCs w:val="20"/>
              </w:rPr>
              <w:t>18,0</w:t>
            </w:r>
          </w:p>
        </w:tc>
      </w:tr>
    </w:tbl>
    <w:p w:rsidR="00000000" w:rsidRDefault="00000000">
      <w:pPr>
        <w:tabs>
          <w:tab w:val="left" w:pos="1710"/>
        </w:tabs>
        <w:spacing w:before="200" w:after="480"/>
        <w:rPr>
          <w:color w:val="000000"/>
          <w:szCs w:val="20"/>
        </w:rPr>
      </w:pPr>
      <w:r>
        <w:rPr>
          <w:bCs/>
          <w:i/>
          <w:iCs/>
          <w:color w:val="000000"/>
          <w:sz w:val="20"/>
          <w:szCs w:val="20"/>
        </w:rPr>
        <w:t>Nota:</w:t>
      </w:r>
      <w:r>
        <w:rPr>
          <w:b/>
          <w:color w:val="000000"/>
          <w:sz w:val="20"/>
          <w:szCs w:val="20"/>
        </w:rPr>
        <w:t xml:space="preserve">  </w:t>
      </w:r>
      <w:r>
        <w:rPr>
          <w:color w:val="000000"/>
          <w:sz w:val="20"/>
          <w:szCs w:val="20"/>
        </w:rPr>
        <w:t>Los porcentajes indicados en las columnas adyacentes a los montos en millones de guaraníes, corresponden al crecimiento porcentual del presupuesto respecto al año anterior.</w:t>
      </w:r>
    </w:p>
    <w:p w:rsidR="00000000" w:rsidRDefault="00000000">
      <w:pPr>
        <w:spacing w:after="240"/>
        <w:rPr>
          <w:b/>
          <w:color w:val="000000"/>
        </w:rPr>
      </w:pPr>
      <w:r>
        <w:rPr>
          <w:b/>
          <w:color w:val="000000"/>
        </w:rPr>
        <w:t>3.</w:t>
      </w:r>
      <w:r>
        <w:rPr>
          <w:b/>
          <w:color w:val="000000"/>
        </w:rPr>
        <w:tab/>
        <w:t xml:space="preserve">Religión </w:t>
      </w:r>
    </w:p>
    <w:p w:rsidR="00000000" w:rsidRDefault="00000000">
      <w:pPr>
        <w:autoSpaceDE w:val="0"/>
        <w:autoSpaceDN w:val="0"/>
        <w:adjustRightInd w:val="0"/>
        <w:spacing w:after="240"/>
        <w:rPr>
          <w:lang w:eastAsia="es-PY"/>
        </w:rPr>
      </w:pPr>
      <w:r>
        <w:t>46.</w:t>
      </w:r>
      <w:r>
        <w:tab/>
        <w:t>Según el ordenamiento constitucional del Paraguay queda establecido en el artículo 24 que:  "l</w:t>
      </w:r>
      <w:r>
        <w:rPr>
          <w:lang w:eastAsia="es-PY"/>
        </w:rPr>
        <w:t>as relaciones del Estado con la iglesia católica se basan en la independencia, cooperación y autonomía".  De igual manera, la protección a la libertad ideológica, religiosa y de culto se encuentran consagradas al más alto nivel del ordenamiento jurídico nacional.  En el Paraguay no se registran hechos graves que denoten el odio o la violencia entre las distintas denominaciones religiosas que coexisten en el país.</w:t>
      </w:r>
    </w:p>
    <w:p w:rsidR="00000000" w:rsidRDefault="00000000">
      <w:pPr>
        <w:autoSpaceDE w:val="0"/>
        <w:autoSpaceDN w:val="0"/>
        <w:adjustRightInd w:val="0"/>
        <w:spacing w:after="240"/>
        <w:rPr>
          <w:lang w:eastAsia="es-PY"/>
        </w:rPr>
      </w:pPr>
      <w:r>
        <w:rPr>
          <w:lang w:eastAsia="es-PY"/>
        </w:rPr>
        <w:t>47.</w:t>
      </w:r>
      <w:r>
        <w:rPr>
          <w:lang w:eastAsia="es-PY"/>
        </w:rPr>
        <w:tab/>
        <w:t xml:space="preserve">De acuerdo al censo nacional del año 2002, el 89,6% de la población es católica, 6,2% cristiana evangélica; 1,1% de otras religiones cristianas; 0,6% religiones indígenas; 0,3% de otras religiones no cristianas; 1,1% de los encuestados </w:t>
      </w:r>
      <w:r>
        <w:t>no</w:t>
      </w:r>
      <w:r>
        <w:rPr>
          <w:lang w:eastAsia="es-PY"/>
        </w:rPr>
        <w:t xml:space="preserve"> manifestaron ninguna preferencia religiosa, y 1% no brindó información relacionada a su preferencia religiosa.</w:t>
      </w:r>
    </w:p>
    <w:p w:rsidR="00000000" w:rsidRDefault="00000000">
      <w:pPr>
        <w:autoSpaceDE w:val="0"/>
        <w:autoSpaceDN w:val="0"/>
        <w:adjustRightInd w:val="0"/>
        <w:spacing w:after="240"/>
        <w:rPr>
          <w:lang w:eastAsia="es-PY"/>
        </w:rPr>
      </w:pPr>
      <w:r>
        <w:rPr>
          <w:lang w:eastAsia="es-PY"/>
        </w:rPr>
        <w:t>48.</w:t>
      </w:r>
      <w:r>
        <w:rPr>
          <w:lang w:eastAsia="es-PY"/>
        </w:rPr>
        <w:tab/>
        <w:t xml:space="preserve">Entre las distintas denominaciones religiosas se puede citar comunidades católicas activas, cristianos evangélicos, protestantes, judíos (congregaciones ortodoxas, conservadoras y reformistas), Iglesia de Jesucristo de los Santos de los Últimos Días (mormones) y </w:t>
      </w:r>
      <w:r>
        <w:t>comunidades</w:t>
      </w:r>
      <w:r>
        <w:rPr>
          <w:lang w:eastAsia="es-PY"/>
        </w:rPr>
        <w:t xml:space="preserve"> Baha'i.  Existe también una comunidad islámica concentrada en el departamento de Alto Paraná, un área que recibió una importante inmigración de Oriente Medio, especialmente del Líbano.  También existe una importante comunidad menonita, concentrada principalmente en el departamento occidental de Boquerón.</w:t>
      </w:r>
    </w:p>
    <w:p w:rsidR="00000000" w:rsidRDefault="00000000">
      <w:pPr>
        <w:keepNext/>
        <w:spacing w:after="240"/>
        <w:rPr>
          <w:b/>
        </w:rPr>
      </w:pPr>
      <w:r>
        <w:rPr>
          <w:b/>
        </w:rPr>
        <w:t>4.</w:t>
      </w:r>
      <w:r>
        <w:rPr>
          <w:b/>
        </w:rPr>
        <w:tab/>
        <w:t xml:space="preserve">Lengua materna </w:t>
      </w:r>
    </w:p>
    <w:p w:rsidR="00000000" w:rsidRDefault="00000000">
      <w:pPr>
        <w:autoSpaceDE w:val="0"/>
        <w:autoSpaceDN w:val="0"/>
        <w:adjustRightInd w:val="0"/>
        <w:spacing w:after="480"/>
      </w:pPr>
      <w:r>
        <w:t>49.</w:t>
      </w:r>
      <w:r>
        <w:tab/>
        <w:t xml:space="preserve">Las dos lenguas oficiales del Paraguay son el castellano y el guaraní y se puede apreciar la amplia difusión de </w:t>
      </w:r>
      <w:r>
        <w:rPr>
          <w:bCs/>
          <w:iCs/>
        </w:rPr>
        <w:t>ambos</w:t>
      </w:r>
      <w:r>
        <w:t xml:space="preserve"> idiomas en todo el territorio nacional, a tal punto que la prevalencia de personas que hablan solamente guaraní en zonas urbanas es de 31,6%, mientras que el 36,8% habla castellano y guaraní, el 29,4% habla castellano solamente, y el 2% habla otro idioma.  En zonas rurales el 78,6% habla guaraní solamente, el 11,4 habla castellano y guaraní, 4,5% habla solamente castellano y el 5,3 habla otro idioma.  Sin embargo, a modo general la mayoría de la población nacional se considera bilingüe.  Como se puede observar, la preferencia por uno u otro idioma presenta un marcado contraste entre las zonas urbanas y rurales, con un acentuado uso del guaraní en esta última.  Asimismo, el castellano persiste como principal idioma de instrucción y uso oficial, si bien se han dado importantes avances para la preservación, difusión y uso del idioma guaraní.</w:t>
      </w:r>
    </w:p>
    <w:p w:rsidR="00000000" w:rsidRDefault="00000000">
      <w:pPr>
        <w:spacing w:after="240"/>
        <w:ind w:left="397" w:hanging="397"/>
        <w:jc w:val="center"/>
        <w:rPr>
          <w:b/>
        </w:rPr>
      </w:pPr>
      <w:r>
        <w:rPr>
          <w:b/>
        </w:rPr>
        <w:t xml:space="preserve">II.  SÍNTESIS DE LA COYUNTURA POLÍTICA </w:t>
      </w:r>
      <w:r>
        <w:rPr>
          <w:b/>
        </w:rPr>
        <w:br/>
        <w:t>Y SOCIAL DEL PARAGUAY</w:t>
      </w:r>
    </w:p>
    <w:p w:rsidR="00000000" w:rsidRDefault="00000000">
      <w:pPr>
        <w:autoSpaceDE w:val="0"/>
        <w:autoSpaceDN w:val="0"/>
        <w:adjustRightInd w:val="0"/>
        <w:spacing w:after="240"/>
        <w:jc w:val="center"/>
        <w:rPr>
          <w:b/>
          <w:iCs/>
        </w:rPr>
      </w:pPr>
      <w:r>
        <w:rPr>
          <w:b/>
          <w:iCs/>
        </w:rPr>
        <w:t>A.  Evolución de la situación política</w:t>
      </w:r>
      <w:r>
        <w:rPr>
          <w:rStyle w:val="FootnoteReference"/>
          <w:bCs/>
          <w:iCs/>
        </w:rPr>
        <w:footnoteReference w:id="8"/>
      </w:r>
    </w:p>
    <w:p w:rsidR="00000000" w:rsidRDefault="00000000">
      <w:pPr>
        <w:autoSpaceDE w:val="0"/>
        <w:autoSpaceDN w:val="0"/>
        <w:adjustRightInd w:val="0"/>
        <w:spacing w:after="240"/>
      </w:pPr>
      <w:r>
        <w:t>50.</w:t>
      </w:r>
      <w:r>
        <w:tab/>
        <w:t xml:space="preserve">Luego de varios años de inestabilidad política, durante los cuales se produjo el asesinato del Vicepresidente en </w:t>
      </w:r>
      <w:r>
        <w:rPr>
          <w:bCs/>
          <w:iCs/>
        </w:rPr>
        <w:t>1999</w:t>
      </w:r>
      <w:r>
        <w:t>, la renuncia del Presidente en ejercicio y una presidencia interina de cuatro años, en agosto de 2003 asumió el poder una nueva administración que contó con una fuerte legitimidad de origen y hasta la fecha demuestra mayoría.</w:t>
      </w:r>
    </w:p>
    <w:p w:rsidR="00000000" w:rsidRDefault="00000000">
      <w:pPr>
        <w:autoSpaceDE w:val="0"/>
        <w:autoSpaceDN w:val="0"/>
        <w:adjustRightInd w:val="0"/>
        <w:spacing w:after="240"/>
      </w:pPr>
      <w:r>
        <w:t>51.</w:t>
      </w:r>
      <w:r>
        <w:tab/>
        <w:t xml:space="preserve">Nicanor Duarte Frutos es el primer Presidente que es elegido sin cuestionamientos a su legitimidad.  También por primera vez el Presidente pudo elegir a su Vicepresidente en lugar de tener que aceptar a un </w:t>
      </w:r>
      <w:r>
        <w:rPr>
          <w:bCs/>
          <w:iCs/>
        </w:rPr>
        <w:t>rival</w:t>
      </w:r>
      <w:r>
        <w:t xml:space="preserve"> interno del Partido Colorado, partido que está desde hace largo tiempo en el poder.  Esta combinación ha dado como resultado un ejecutivo más relacionado, especialmente con el Congreso; este contexto contribuye a mejorar la eficacia de la administración pública.</w:t>
      </w:r>
    </w:p>
    <w:p w:rsidR="00000000" w:rsidRDefault="00000000">
      <w:pPr>
        <w:autoSpaceDE w:val="0"/>
        <w:autoSpaceDN w:val="0"/>
        <w:adjustRightInd w:val="0"/>
        <w:spacing w:after="240"/>
      </w:pPr>
      <w:r>
        <w:t>52.</w:t>
      </w:r>
      <w:r>
        <w:tab/>
        <w:t xml:space="preserve">Estas actitudes han sido bien recibidas por la población así como por los partidos de la oposición.  Las </w:t>
      </w:r>
      <w:r>
        <w:rPr>
          <w:bCs/>
          <w:iCs/>
        </w:rPr>
        <w:t>elecciones</w:t>
      </w:r>
      <w:r>
        <w:t xml:space="preserve"> de 2003 también cambiaron el equilibrio de poder.  Por primera vez los partidos de oposición lograron una clara mayoría en el Senado, y el Partido Colorado ya no detenta un poder absoluto.</w:t>
      </w:r>
    </w:p>
    <w:p w:rsidR="00000000" w:rsidRDefault="00000000">
      <w:pPr>
        <w:autoSpaceDE w:val="0"/>
        <w:autoSpaceDN w:val="0"/>
        <w:adjustRightInd w:val="0"/>
        <w:spacing w:after="240"/>
      </w:pPr>
      <w:r>
        <w:t>53.</w:t>
      </w:r>
      <w:r>
        <w:tab/>
        <w:t xml:space="preserve">El Presidente Duarte Frutos conformó igualmente una alianza operativa con la oposición que culminó a principios de octubre de 2003 con la firma de un acuerdo político en el que todos los partidos con representación parlamentaria acordaron la aprobación de seis importantes leyes, relativas a un presupuesto fiscalmente responsable, la reforma del Código Tributario y de las jubilaciones públicas, </w:t>
      </w:r>
      <w:r>
        <w:rPr>
          <w:bCs/>
          <w:iCs/>
        </w:rPr>
        <w:t>un</w:t>
      </w:r>
      <w:r>
        <w:t xml:space="preserve"> moderno Código Aduanero, reformas en el sector financiero, incluidos los bancos públicos, y una eventual reestructuración de las empresas públicas y la Administración central.  En este sentido la oposición ha comprometido su voluntad de cooperar en la aprobación de estas leyes ampliamente consideradas necesarias para restaurar la viabilidad fiscal y reactivar la economía.  </w:t>
      </w:r>
    </w:p>
    <w:p w:rsidR="00000000" w:rsidRDefault="00000000">
      <w:pPr>
        <w:autoSpaceDE w:val="0"/>
        <w:autoSpaceDN w:val="0"/>
        <w:adjustRightInd w:val="0"/>
        <w:spacing w:after="240"/>
      </w:pPr>
      <w:r>
        <w:t>54.</w:t>
      </w:r>
      <w:r>
        <w:tab/>
        <w:t xml:space="preserve">Para mediados de noviembre 2003 habían renunciado tres de los nueve ministros de la Corte, y todos los partidos con representación parlamentaria presentaron cargos para el juicio político de otros tres.  El </w:t>
      </w:r>
      <w:r>
        <w:rPr>
          <w:bCs/>
          <w:iCs/>
        </w:rPr>
        <w:t>resultado</w:t>
      </w:r>
      <w:r>
        <w:t xml:space="preserve"> de este proceso es el cambio de seis de los nueve ministros de la máxima instancia judicial.  Los cambios producidos en la Corte Suprema de Justicia tuvieron un amplio apoyo de la población, y fue considerada como una condición necesaria para restaurar la seguridad jurídica, así como un prerrequisito para que se reanuden las inversiones y se erradique la corrupción.  </w:t>
      </w:r>
    </w:p>
    <w:p w:rsidR="00000000" w:rsidRDefault="00000000">
      <w:pPr>
        <w:autoSpaceDE w:val="0"/>
        <w:autoSpaceDN w:val="0"/>
        <w:adjustRightInd w:val="0"/>
        <w:spacing w:after="240"/>
      </w:pPr>
      <w:r>
        <w:t>55.</w:t>
      </w:r>
      <w:r>
        <w:tab/>
        <w:t xml:space="preserve">Durante los últimos cinco años, la sociedad civil ha estado crecientemente activa y presionando por una </w:t>
      </w:r>
      <w:r>
        <w:rPr>
          <w:bCs/>
          <w:iCs/>
        </w:rPr>
        <w:t>mejor</w:t>
      </w:r>
      <w:r>
        <w:t xml:space="preserve"> administración pública y gobernabilidad.  La prensa, en particular, ha sido muy crítica, exponiendo la corrupción en el Gobierno y el poder judicial.</w:t>
      </w:r>
    </w:p>
    <w:p w:rsidR="00000000" w:rsidRDefault="00000000">
      <w:pPr>
        <w:autoSpaceDE w:val="0"/>
        <w:autoSpaceDN w:val="0"/>
        <w:adjustRightInd w:val="0"/>
        <w:spacing w:after="240"/>
      </w:pPr>
      <w:r>
        <w:t>56.</w:t>
      </w:r>
      <w:r>
        <w:tab/>
        <w:t xml:space="preserve">Los resultados económicos de la última década son altamente desalentadores y han afectado la </w:t>
      </w:r>
      <w:r>
        <w:rPr>
          <w:bCs/>
          <w:iCs/>
        </w:rPr>
        <w:t>credibilidad</w:t>
      </w:r>
      <w:r>
        <w:t xml:space="preserve"> del Gobierno y de las instituciones públicas en general.  Por lo que existe un creciente anhelo en algunos sectores de la población, por el retorno a un gobierno autoritario en el que la corrupción se percibía como menos difundida y la pobreza era menos evidente ya que una gran mayoría de la población aún vivía en áreas rurales.  Sin embargo, en los últimos cinco años el Paraguay está emergiendo de un prolongado período de estancamiento económico que dejó a su población empobrecida.</w:t>
      </w:r>
    </w:p>
    <w:p w:rsidR="00000000" w:rsidRDefault="00000000">
      <w:pPr>
        <w:autoSpaceDE w:val="0"/>
        <w:autoSpaceDN w:val="0"/>
        <w:adjustRightInd w:val="0"/>
        <w:spacing w:after="240"/>
      </w:pPr>
      <w:r>
        <w:t>57.</w:t>
      </w:r>
      <w:r>
        <w:tab/>
        <w:t xml:space="preserve">En el año 2001, el nivel de pobreza era del 34% de la población y según datos de 2005, se estima en 39,2%.  Buena parte de la declinación del ingreso per cápita se debe a las dificultades económicas del Cono Sur, que produjeron devaluaciones significativas en todos los países de la región.  Sin embargo, el aumento de la pobreza en el Paraguay es también consecuencia de la </w:t>
      </w:r>
      <w:r>
        <w:rPr>
          <w:bCs/>
          <w:iCs/>
        </w:rPr>
        <w:t>inestabilidad política y las ineficiencias de un sistema altamente informal.  Teniendo presen</w:t>
      </w:r>
      <w:r>
        <w:t xml:space="preserve">te estas consideraciones se puede apreciar que durante el actual período de gobierno, se produjo un importante debilitamiento de las finanzas públicas y desde la asunción del nuevo equipo económico el Gobierno se ha podido mantener al día con el pago de salarios, jubilaciones y servicio de la deuda.  Con la plataforma de lucha contra la corrupción y mejor gestión económica, con énfasis en la responsabilidad social y fiscal, la situación política se pudo estabilizar significativamente.  </w:t>
      </w:r>
    </w:p>
    <w:p w:rsidR="00000000" w:rsidRDefault="00000000">
      <w:pPr>
        <w:autoSpaceDE w:val="0"/>
        <w:autoSpaceDN w:val="0"/>
        <w:adjustRightInd w:val="0"/>
        <w:spacing w:after="240"/>
      </w:pPr>
      <w:r>
        <w:t>58.</w:t>
      </w:r>
      <w:r>
        <w:tab/>
        <w:t xml:space="preserve">La estrategia de desarrollo de la nueva Administración apunta a:  i) recuperar la confianza en las instituciones públicas a través de una lucha constante contra la corrupción y la modernización de la </w:t>
      </w:r>
      <w:r>
        <w:rPr>
          <w:bCs/>
          <w:iCs/>
        </w:rPr>
        <w:t>administración</w:t>
      </w:r>
      <w:r>
        <w:t xml:space="preserve"> pública;  ii) un crecimiento sostenido cambiando de un modelo económico basado en el comercio de triangulación y el empleo público, a uno que se centra en la agroindustria y la diversificación de las exportaciones; y  iii) un aumento del capital humano a través de una mayor inversión en salud y educación y políticas que aumenten la equidad y el acceso a dichos servicios.</w:t>
      </w:r>
    </w:p>
    <w:p w:rsidR="00000000" w:rsidRDefault="00000000">
      <w:pPr>
        <w:autoSpaceDE w:val="0"/>
        <w:autoSpaceDN w:val="0"/>
        <w:adjustRightInd w:val="0"/>
        <w:spacing w:after="240"/>
      </w:pPr>
      <w:r>
        <w:t>59.</w:t>
      </w:r>
      <w:r>
        <w:tab/>
        <w:t xml:space="preserve">Por otro lado, si bien la oposición política controla una de las cámaras del Congreso, todos los partidos han acordado que la economía ha alcanzado un punto límite y que son necesarios cambios </w:t>
      </w:r>
      <w:r>
        <w:rPr>
          <w:bCs/>
          <w:iCs/>
        </w:rPr>
        <w:t>fundamentales</w:t>
      </w:r>
      <w:r>
        <w:t>.  El Presidente de la República capitalizó esta situación para forjar un acuerdo con todos los partidos políticos a fin de aprobar en forma prioritaria un paquete de reformas económicas básicas.</w:t>
      </w:r>
    </w:p>
    <w:p w:rsidR="00000000" w:rsidRDefault="00000000">
      <w:pPr>
        <w:autoSpaceDE w:val="0"/>
        <w:autoSpaceDN w:val="0"/>
        <w:adjustRightInd w:val="0"/>
        <w:spacing w:after="240"/>
      </w:pPr>
      <w:r>
        <w:t>60.</w:t>
      </w:r>
      <w:r>
        <w:tab/>
        <w:t xml:space="preserve">Entre ellas se cuenta una reforma fundamental del sistema tributario, la racionalización del sistema de previsión gubernamental y la reforma del sector financiero para fortalecer el sistema bancario.  </w:t>
      </w:r>
    </w:p>
    <w:p w:rsidR="00000000" w:rsidRDefault="00000000">
      <w:pPr>
        <w:autoSpaceDE w:val="0"/>
        <w:autoSpaceDN w:val="0"/>
        <w:adjustRightInd w:val="0"/>
        <w:spacing w:after="240"/>
      </w:pPr>
      <w:r>
        <w:t>61.</w:t>
      </w:r>
      <w:r>
        <w:tab/>
        <w:t xml:space="preserve">Sobre la base de estas reformas, la Administración abordó a los acreedores internos y multilaterales en busca </w:t>
      </w:r>
      <w:r>
        <w:rPr>
          <w:bCs/>
          <w:iCs/>
        </w:rPr>
        <w:t>de</w:t>
      </w:r>
      <w:r>
        <w:t xml:space="preserve"> apoyo.  Se alcanzaron acuerdos históricos con los tenedores de bonos internos para reprogramar el </w:t>
      </w:r>
      <w:r>
        <w:rPr>
          <w:i/>
          <w:iCs/>
        </w:rPr>
        <w:t>stock</w:t>
      </w:r>
      <w:r>
        <w:t xml:space="preserve"> de bonos del Tesoro y con el Fondo Monetario Internacional con respecto a un Acuerdo Stand By, el primero en 46 años, que el Directorio del Fondo ha considerado.</w:t>
      </w:r>
    </w:p>
    <w:p w:rsidR="00000000" w:rsidRDefault="00000000">
      <w:pPr>
        <w:pStyle w:val="Heading2"/>
        <w:spacing w:before="0" w:after="240"/>
        <w:jc w:val="center"/>
        <w:rPr>
          <w:rFonts w:ascii="Times New Roman" w:hAnsi="Times New Roman" w:cs="Times New Roman"/>
          <w:i w:val="0"/>
          <w:sz w:val="24"/>
        </w:rPr>
      </w:pPr>
      <w:r>
        <w:rPr>
          <w:rFonts w:ascii="Times New Roman" w:hAnsi="Times New Roman" w:cs="Times New Roman"/>
          <w:i w:val="0"/>
          <w:sz w:val="24"/>
        </w:rPr>
        <w:t>B.  Gobernabilidad y debilidades institucionales</w:t>
      </w:r>
      <w:r>
        <w:rPr>
          <w:rFonts w:ascii="Times New Roman" w:hAnsi="Times New Roman" w:cs="Times New Roman"/>
          <w:i w:val="0"/>
          <w:sz w:val="24"/>
          <w:vertAlign w:val="superscript"/>
        </w:rPr>
        <w:footnoteReference w:id="9"/>
      </w:r>
    </w:p>
    <w:p w:rsidR="00000000" w:rsidRDefault="00000000">
      <w:pPr>
        <w:autoSpaceDE w:val="0"/>
        <w:autoSpaceDN w:val="0"/>
        <w:adjustRightInd w:val="0"/>
        <w:spacing w:after="240"/>
      </w:pPr>
      <w:r>
        <w:rPr>
          <w:lang w:val="es-PY"/>
        </w:rPr>
        <w:t>62.</w:t>
      </w:r>
      <w:r>
        <w:rPr>
          <w:lang w:val="es-PY"/>
        </w:rPr>
        <w:tab/>
      </w:r>
      <w:r>
        <w:t>Se han dado los primeros pasos para atacar la extendida cultura de la corrupción en la administración pública, así como el contrabando, la evasión impositiva, y la formalización de la economía.  En 1999 se formó una Comisión Anticorrupción con el apoyo técnico del Instituto del Banco Mundial (WBI).  La Comisión está integrada en partes iguales por representantes del Gobierno y la sociedad civil.  Apoyándose en los resultados de la encuesta de opinión pública realizada por el WBI, la Comisión decidió concentrarse en tres áreas:  aduana, poder judicial y contrataciones públicas y formuló un programa de reforma institucional para cada una de estas áreas durante 2000.  Luego de un período de consulta pública, ha estado promoviendo activamente la adopción de estas reformas desde entonces.  Hasta la fecha, el principal logro de la Comisión ha sido impulsar la aprobación de una nueva Ley de contrataciones en el Congreso Nacional y generar conciencia dentro del Gobierno y la población sobre la factibilidad de dar pasos concretos para reducir las oportunidades institucionales de corrupción.  Así, la Comisión, que ahora recibe el nombre de Consejo Nacional de Integridad (CISNI), se ha convertido en un importante agente de cambio que monitorea y acciona a favor de mejores prácticas y políticas públicas para reducir la corrupción.</w:t>
      </w:r>
    </w:p>
    <w:p w:rsidR="00000000" w:rsidRDefault="00000000">
      <w:pPr>
        <w:autoSpaceDE w:val="0"/>
        <w:autoSpaceDN w:val="0"/>
        <w:adjustRightInd w:val="0"/>
        <w:spacing w:after="240"/>
      </w:pPr>
      <w:r>
        <w:t>63.</w:t>
      </w:r>
      <w:r>
        <w:tab/>
        <w:t xml:space="preserve">Dentro de la Administración central, el sistema de gestión de personal se encuentra en una etapa inicial y </w:t>
      </w:r>
      <w:r>
        <w:rPr>
          <w:bCs/>
          <w:iCs/>
        </w:rPr>
        <w:t>recién</w:t>
      </w:r>
      <w:r>
        <w:t xml:space="preserve"> ahora se cuenta con un padrón de todos los empleados públicos.  Una tarea de mucha mayor magnitud es embarcarse en la profesionalización del servicio civil, que incluye establecer exámenes de ingreso competitivos, la progresión de la carrera y la capacitación.</w:t>
      </w:r>
    </w:p>
    <w:p w:rsidR="00000000" w:rsidRDefault="00000000">
      <w:pPr>
        <w:autoSpaceDE w:val="0"/>
        <w:autoSpaceDN w:val="0"/>
        <w:adjustRightInd w:val="0"/>
        <w:spacing w:after="240"/>
      </w:pPr>
      <w:r>
        <w:t>64.</w:t>
      </w:r>
      <w:r>
        <w:tab/>
        <w:t xml:space="preserve">Otro obstáculo para la gobernabilidad, es el surgimiento de una multitud de grupos de interés especiales que han presionado con éxito al Gobierno, y en muchos casos han contribuido a la ruptura de la ley y el orden.  Por ejemplo, grupos de "campesinos sin tierra" que invaden propiedades rurales exigiendo tierras.  El Gobierno responde comprando las tierras, pero es frecuente que los </w:t>
      </w:r>
      <w:r>
        <w:rPr>
          <w:bCs/>
          <w:iCs/>
        </w:rPr>
        <w:t>campesinos</w:t>
      </w:r>
      <w:r>
        <w:t xml:space="preserve"> las abandonen después de talar los árboles.  Asimismo, grupos de campesinos bloquean las rutas pidiendo semillas gratis o el perdón de los créditos, una práctica de larga data que ha creado una mala cultura crediticia y en parte es responsable de la falta de crédito privado para los pequeños agricultores.  </w:t>
      </w:r>
    </w:p>
    <w:p w:rsidR="00000000" w:rsidRDefault="00000000">
      <w:pPr>
        <w:autoSpaceDE w:val="0"/>
        <w:autoSpaceDN w:val="0"/>
        <w:adjustRightInd w:val="0"/>
        <w:spacing w:after="240"/>
      </w:pPr>
      <w:r>
        <w:t>65.</w:t>
      </w:r>
      <w:r>
        <w:tab/>
        <w:t xml:space="preserve">Sobre todo, la declinación del estado de derecho es considerada por muchos observadores y el público en general como el mayor impedimento para el desarrollo económico del Paraguay.  Los </w:t>
      </w:r>
      <w:r>
        <w:rPr>
          <w:bCs/>
          <w:iCs/>
        </w:rPr>
        <w:t>procedimientos</w:t>
      </w:r>
      <w:r>
        <w:t xml:space="preserve"> civiles para la ejecución de los contratos y derechos de propiedad privados son lentos.  De acuerdo con un reciente informe del Programa de las Naciones Unidas para el Desarrollo (PNUD 2003), un tercio de la Policía Nacional está formado por conscriptos sin capacitación; los suboficiales deben comprar sus propias armas y los servicios policiales tienen una orientación que sigue más los lineamientos del comando y control militar que debe brindar seguridad física a la comunidad.  Como resultado, y combinado con el estancamiento económico de los últimos cinco años, aumentó el delito violento y la no observancia de la ley.  En la percepción pública, el Gobierno es cada vez menos capaz de brindar a sus ciudadanos los servicios públicos más básicos:  seguridad física y jurídica.</w:t>
      </w:r>
    </w:p>
    <w:p w:rsidR="00000000" w:rsidRDefault="00000000">
      <w:pPr>
        <w:autoSpaceDE w:val="0"/>
        <w:autoSpaceDN w:val="0"/>
        <w:adjustRightInd w:val="0"/>
        <w:spacing w:after="240"/>
        <w:jc w:val="center"/>
        <w:rPr>
          <w:b/>
          <w:iCs/>
        </w:rPr>
      </w:pPr>
      <w:r>
        <w:rPr>
          <w:b/>
          <w:iCs/>
        </w:rPr>
        <w:t>C.  Desempeño económico</w:t>
      </w:r>
      <w:r>
        <w:rPr>
          <w:rStyle w:val="FootnoteReference"/>
          <w:bCs/>
          <w:iCs/>
        </w:rPr>
        <w:footnoteReference w:id="10"/>
      </w:r>
    </w:p>
    <w:p w:rsidR="00000000" w:rsidRDefault="00000000">
      <w:pPr>
        <w:autoSpaceDE w:val="0"/>
        <w:autoSpaceDN w:val="0"/>
        <w:adjustRightInd w:val="0"/>
        <w:spacing w:after="240"/>
      </w:pPr>
      <w:r>
        <w:t>66.</w:t>
      </w:r>
      <w:r>
        <w:tab/>
        <w:t xml:space="preserve">El Paraguay es una pequeña economía abierta, que depende de manera sustancial de los productos agrícolas básicos y las condiciones regionales, en particular las prevalecientes en los grandes países vecinos, el Brasil y la Argentina.  Por esta razón, la economía paraguaya es vulnerable a </w:t>
      </w:r>
      <w:r>
        <w:rPr>
          <w:bCs/>
          <w:iCs/>
        </w:rPr>
        <w:t>acontecimientos</w:t>
      </w:r>
      <w:r>
        <w:t xml:space="preserve"> sobre los que tiene poco control, tales como los precios internacionales de los productos agrícolas y los sucesos políticos y económicos en los países vecinos.  Si bien en los años que siguieron al final de la dictadura militar en 1989, la gestión económica fue gradualista y bastante </w:t>
      </w:r>
      <w:r>
        <w:rPr>
          <w:bCs/>
          <w:iCs/>
        </w:rPr>
        <w:t>prudente</w:t>
      </w:r>
      <w:r>
        <w:t>, con cuentas fiscales equilibradas, reducidos déficit en cuenta corriente y una inflación declinante, a nivel de crecimiento el desempeño fue desalentador.</w:t>
      </w:r>
    </w:p>
    <w:p w:rsidR="00000000" w:rsidRDefault="00000000">
      <w:pPr>
        <w:autoSpaceDE w:val="0"/>
        <w:autoSpaceDN w:val="0"/>
        <w:adjustRightInd w:val="0"/>
        <w:spacing w:after="240"/>
      </w:pPr>
      <w:r>
        <w:t>67.</w:t>
      </w:r>
      <w:r>
        <w:tab/>
        <w:t xml:space="preserve">El escaso crecimiento de mediados de los años noventa es reflejo del lento avance de la reforma </w:t>
      </w:r>
      <w:r>
        <w:rPr>
          <w:bCs/>
          <w:iCs/>
        </w:rPr>
        <w:t>estructural</w:t>
      </w:r>
      <w:r>
        <w:t xml:space="preserve">, una </w:t>
      </w:r>
      <w:r>
        <w:rPr>
          <w:bCs/>
          <w:iCs/>
        </w:rPr>
        <w:t>difundida</w:t>
      </w:r>
      <w:r>
        <w:t xml:space="preserve"> corrupción y la declinación en la productividad total de los factores asociada con un decreciente índice de inversión.  </w:t>
      </w:r>
    </w:p>
    <w:p w:rsidR="00000000" w:rsidRDefault="00000000">
      <w:pPr>
        <w:autoSpaceDE w:val="0"/>
        <w:autoSpaceDN w:val="0"/>
        <w:adjustRightInd w:val="0"/>
        <w:spacing w:after="240"/>
      </w:pPr>
      <w:r>
        <w:t>68.</w:t>
      </w:r>
      <w:r>
        <w:tab/>
        <w:t xml:space="preserve">En lugar de avanzar con reformas que podían ayudar a la economía a superar los </w:t>
      </w:r>
      <w:r>
        <w:rPr>
          <w:i/>
          <w:iCs/>
        </w:rPr>
        <w:t>shocks</w:t>
      </w:r>
      <w:r>
        <w:t xml:space="preserve"> externos, en general </w:t>
      </w:r>
      <w:r>
        <w:rPr>
          <w:bCs/>
          <w:iCs/>
        </w:rPr>
        <w:t>los</w:t>
      </w:r>
      <w:r>
        <w:t xml:space="preserve"> sucesivos gobiernos estuvieron poco dispuestos a adoptar las medidas requeridas para darle a la economía la resistencia necesaria para manejar los </w:t>
      </w:r>
      <w:r>
        <w:rPr>
          <w:i/>
          <w:iCs/>
        </w:rPr>
        <w:t>shocks</w:t>
      </w:r>
      <w:r>
        <w:t xml:space="preserve">, modernizar la estructura productiva del país o abordar los importantes problemas de gobernabilidad que desalientan la inversión y la iniciativa privada.  Tal es así que en los últimos años, esta combinación de factores se vio exacerbada por una serie de </w:t>
      </w:r>
      <w:r>
        <w:rPr>
          <w:i/>
          <w:iCs/>
        </w:rPr>
        <w:t>shocks</w:t>
      </w:r>
      <w:r>
        <w:t xml:space="preserve"> internos y externos.  En 1995 y 1997-1998 se produjeron importantes crisis bancarias que llevaron al cierre de varios bancos locales, la contracción del crédito al sector privado y una brusca caída de la inversión privada.  </w:t>
      </w:r>
    </w:p>
    <w:p w:rsidR="00000000" w:rsidRDefault="00000000">
      <w:pPr>
        <w:autoSpaceDE w:val="0"/>
        <w:autoSpaceDN w:val="0"/>
        <w:adjustRightInd w:val="0"/>
        <w:spacing w:after="240"/>
      </w:pPr>
      <w:r>
        <w:t>69.</w:t>
      </w:r>
      <w:r>
        <w:tab/>
        <w:t xml:space="preserve">A un nivel más fundamental, las debilidades estructurales sugieren que se ha agotado el modelo económico prevaleciente en el Paraguay basado en el comercio de importación y exportación con los países vecinos (el denominado "comercio de triangulación"), el monocultivo del algodón para los pequeños agricultores y el empleo en el sector público.  El comercio triangular, que solía </w:t>
      </w:r>
      <w:r>
        <w:rPr>
          <w:bCs/>
          <w:iCs/>
        </w:rPr>
        <w:t>representar</w:t>
      </w:r>
      <w:r>
        <w:t xml:space="preserve"> hasta el 20% del PIB cayó de manera importante como resultado de la reducción y/o eliminación de aranceles entre países del MERCOSUR y los mayores controles fronterizos sobre el contrabando.  </w:t>
      </w:r>
    </w:p>
    <w:p w:rsidR="00000000" w:rsidRDefault="00000000">
      <w:pPr>
        <w:autoSpaceDE w:val="0"/>
        <w:autoSpaceDN w:val="0"/>
        <w:adjustRightInd w:val="0"/>
        <w:spacing w:after="240"/>
      </w:pPr>
      <w:r>
        <w:t>70.</w:t>
      </w:r>
      <w:r>
        <w:tab/>
        <w:t xml:space="preserve">Como otros aspectos del modelo económico agotado, puede mencionarse el habitual uso del Gobierno para obtener puestos de trabajo clientelistas, el continuado apoyo del Gobierno a una producción algodonera de baja rentabilidad, y en general, el bajo margen para gastos productivos en el presupuesto </w:t>
      </w:r>
      <w:r>
        <w:rPr>
          <w:bCs/>
          <w:iCs/>
        </w:rPr>
        <w:t>gubernamental</w:t>
      </w:r>
      <w:r>
        <w:t xml:space="preserve"> (que en la actualidad representa mayormente sueldos y jubilaciones, con poco margen para operaciones e inversión).  En los años 2001-2002 hubo intentos de privatizar las compañías de agua y telefonía pero el Congreso las detuvo frente a las acusaciones de corrupción y las protestas de los campesinos que objetaban la venta del patrimonio nacional.  </w:t>
      </w:r>
    </w:p>
    <w:p w:rsidR="00000000" w:rsidRDefault="00000000">
      <w:pPr>
        <w:autoSpaceDE w:val="0"/>
        <w:autoSpaceDN w:val="0"/>
        <w:adjustRightInd w:val="0"/>
        <w:spacing w:after="240"/>
      </w:pPr>
      <w:r>
        <w:t>71.</w:t>
      </w:r>
      <w:r>
        <w:tab/>
        <w:t xml:space="preserve">A pesar de la anemia general de la economía, existen algunos sectores que han experimentado un vigoroso crecimiento en </w:t>
      </w:r>
      <w:r>
        <w:rPr>
          <w:bCs/>
          <w:iCs/>
        </w:rPr>
        <w:t>los</w:t>
      </w:r>
      <w:r>
        <w:t xml:space="preserve"> últimos años.  Se trata de sectores de la agricultura que continúan siendo internacionalmente competitivas (en particular, las exportaciones de carne y soja) así como el área de las telecomunicaciones celulares, en las que se ha producido una significativa inversión externa.  También ha crecido de manera importante la agroindustria para la exportación, pero el Paraguay tiene los costos de transporte más elevados de la región (una relación CIF/FOB del 13 contra el 7% en el resto de la región) que representa una barrera para el crecimiento.  Debido a la vitalidad de estos sectores, en el 2003 la situación económica paraguaya parece estar experimentando alguna mejora.  La suba de los precios de la soja y el algodón produjo ingresos por exportaciones considerablemente mayores con un superávit en cuenta corriente.</w:t>
      </w:r>
    </w:p>
    <w:p w:rsidR="00000000" w:rsidRDefault="00000000">
      <w:pPr>
        <w:autoSpaceDE w:val="0"/>
        <w:autoSpaceDN w:val="0"/>
        <w:adjustRightInd w:val="0"/>
        <w:spacing w:after="240"/>
      </w:pPr>
      <w:r>
        <w:t>72.</w:t>
      </w:r>
      <w:r>
        <w:tab/>
        <w:t xml:space="preserve">La combinación de vulnerabilidad externa y débil entorno institucional y de políticas ha dado como resultado un desempeño excepcionalmente bajo en lo que hace a crecimiento desde mediados de los años noventa, con un crecimiento del PIB del 1% anual en promedio, mientras que el crecimiento anual de la población es del 2,6%.  </w:t>
      </w:r>
    </w:p>
    <w:p w:rsidR="00000000" w:rsidRDefault="00000000">
      <w:pPr>
        <w:autoSpaceDE w:val="0"/>
        <w:autoSpaceDN w:val="0"/>
        <w:adjustRightInd w:val="0"/>
        <w:spacing w:after="240"/>
      </w:pPr>
      <w:r>
        <w:t>73.</w:t>
      </w:r>
      <w:r>
        <w:tab/>
        <w:t xml:space="preserve">Como resultado, se ha producido una declinación secular en el PIB per cápita hasta alcanzar niveles </w:t>
      </w:r>
      <w:r>
        <w:rPr>
          <w:bCs/>
          <w:iCs/>
        </w:rPr>
        <w:t>anteriores</w:t>
      </w:r>
      <w:r>
        <w:t xml:space="preserve"> a los de 1990 con una creciente pobreza exacerbada por la polarización de la distribución del ingreso y de la tierra</w:t>
      </w:r>
      <w:r>
        <w:rPr>
          <w:rStyle w:val="FootnoteReference"/>
        </w:rPr>
        <w:footnoteReference w:id="11"/>
      </w:r>
      <w:r>
        <w:t>.</w:t>
      </w:r>
    </w:p>
    <w:p w:rsidR="00000000" w:rsidRDefault="00000000">
      <w:pPr>
        <w:autoSpaceDE w:val="0"/>
        <w:autoSpaceDN w:val="0"/>
        <w:adjustRightInd w:val="0"/>
        <w:spacing w:after="240"/>
      </w:pPr>
      <w:r>
        <w:t>74.</w:t>
      </w:r>
      <w:r>
        <w:tab/>
        <w:t xml:space="preserve">El crecimiento económico es la mejor estrategia general para reducir el número de pobres ya que éstos son los que más se benefician de los aumentos en los servicios públicos básicos que surgen como resultado de un mayor gasto gubernamental, posibilitado por un crecimiento económico más dinámico y una mayor recaudación.  </w:t>
      </w:r>
    </w:p>
    <w:p w:rsidR="00000000" w:rsidRDefault="00000000">
      <w:pPr>
        <w:autoSpaceDE w:val="0"/>
        <w:autoSpaceDN w:val="0"/>
        <w:adjustRightInd w:val="0"/>
        <w:spacing w:after="240"/>
      </w:pPr>
      <w:r>
        <w:t>75.</w:t>
      </w:r>
      <w:r>
        <w:tab/>
        <w:t xml:space="preserve">Esto supone </w:t>
      </w:r>
      <w:r>
        <w:rPr>
          <w:bCs/>
          <w:iCs/>
        </w:rPr>
        <w:t>la</w:t>
      </w:r>
      <w:r>
        <w:t xml:space="preserve"> continuidad del aumento relativo del gasto en servicios sociales que se produjo durante la última década.  </w:t>
      </w:r>
    </w:p>
    <w:p w:rsidR="00000000" w:rsidRDefault="00000000">
      <w:pPr>
        <w:autoSpaceDE w:val="0"/>
        <w:autoSpaceDN w:val="0"/>
        <w:adjustRightInd w:val="0"/>
        <w:spacing w:after="240"/>
      </w:pPr>
      <w:r>
        <w:t>76.</w:t>
      </w:r>
      <w:r>
        <w:tab/>
        <w:t xml:space="preserve">Los esfuerzos para la reducción de la pobreza deben centrarse en las áreas rurales como foco principal.  Deben incluir políticas apropiadas de tributación sobre la tierra para impulsar la llegada al </w:t>
      </w:r>
      <w:r>
        <w:rPr>
          <w:bCs/>
          <w:iCs/>
        </w:rPr>
        <w:t>mercado de las tierras ociosas, patrones concentrados de reasentamiento (en contraposición co</w:t>
      </w:r>
      <w:r>
        <w:t>n los asentamientos a lo largo de los caminos) a fin de mejorar la provisión de servicios públicos a las comunidades rurales, y asistencia técnica concentrada en la agricultura.  En la medida que la situación fiscal lo permita, debe continuar la expansión de los servicios.</w:t>
      </w:r>
    </w:p>
    <w:p w:rsidR="00000000" w:rsidRDefault="00000000">
      <w:pPr>
        <w:autoSpaceDE w:val="0"/>
        <w:autoSpaceDN w:val="0"/>
        <w:adjustRightInd w:val="0"/>
        <w:spacing w:after="240"/>
      </w:pPr>
      <w:r>
        <w:t>77.</w:t>
      </w:r>
      <w:r>
        <w:tab/>
        <w:t>El Paraguay es un país que posee una economía abierta, que depende de manera sustancial de los productos agrícolas básicos y las condiciones regionales, en particular las prevalecientes en los grandes países vecinos, el Brasil y la Argentina.  Por esta razón, la economía paraguaya es vulnerable a acontecimientos sobre los que tiene poco control, tales como los precios internacionales de los productos agrícolas y los sucesos políticos y económicos en los países vecinos.</w:t>
      </w:r>
    </w:p>
    <w:p w:rsidR="00000000" w:rsidRDefault="00000000">
      <w:pPr>
        <w:autoSpaceDE w:val="0"/>
        <w:autoSpaceDN w:val="0"/>
        <w:adjustRightInd w:val="0"/>
        <w:spacing w:after="240"/>
      </w:pPr>
      <w:r>
        <w:t>78.</w:t>
      </w:r>
      <w:r>
        <w:tab/>
        <w:t xml:space="preserve">En 1995 y 1997-1998 se produjeron importantes crisis bancarias que llevaron al cierre de varios bancos locales, la </w:t>
      </w:r>
      <w:r>
        <w:rPr>
          <w:bCs/>
          <w:iCs/>
        </w:rPr>
        <w:t>contracción</w:t>
      </w:r>
      <w:r>
        <w:t xml:space="preserve"> del crédito al sector privado y una brusca caída de la inversión privada.  </w:t>
      </w:r>
    </w:p>
    <w:p w:rsidR="00000000" w:rsidRDefault="00000000">
      <w:pPr>
        <w:autoSpaceDE w:val="0"/>
        <w:autoSpaceDN w:val="0"/>
        <w:adjustRightInd w:val="0"/>
        <w:spacing w:after="240"/>
      </w:pPr>
      <w:r>
        <w:t>79.</w:t>
      </w:r>
      <w:r>
        <w:tab/>
        <w:t xml:space="preserve">No obstante, existen algunos sectores que han experimentado un vigoroso crecimiento en los últimos años.  Se trata de </w:t>
      </w:r>
      <w:r>
        <w:rPr>
          <w:bCs/>
          <w:iCs/>
        </w:rPr>
        <w:t>sectores</w:t>
      </w:r>
      <w:r>
        <w:t xml:space="preserve"> de la agricultura que continúan siendo internacionalmente competitivas (en particular, las exportaciones de carne y soja) así como el área de las telecomunicaciones celulares, en las que se ha producido una significativa inversión externa.  También ha crecido de manera importante la agroindustria para la exportación, pero el Paraguay tiene los costos de transporte más elevados de la región (una relación CIF/FOB del 13% contra el 7% en el resto de la región) que representa una barrera para el crecimiento.  Debido a la vitalidad de estos sectores, en el 2003 la situación económica paraguaya parece estar experimentando alguna mejora.  La suba de los precios de la soja y el algodón produjo ingresos por exportaciones considerablemente mayores con un superávit en cuenta corriente.  </w:t>
      </w:r>
    </w:p>
    <w:p w:rsidR="00000000" w:rsidRDefault="00000000">
      <w:pPr>
        <w:autoSpaceDE w:val="0"/>
        <w:autoSpaceDN w:val="0"/>
        <w:adjustRightInd w:val="0"/>
        <w:spacing w:after="240"/>
      </w:pPr>
      <w:r>
        <w:t>80.</w:t>
      </w:r>
      <w:r>
        <w:tab/>
        <w:t xml:space="preserve">La combinación de vulnerabilidad externa y débil entorno institucional y de políticas ha dado como resultado un desempeño bajo en lo que hace a crecimiento desde mediados de los años noventa, con un </w:t>
      </w:r>
      <w:r>
        <w:rPr>
          <w:bCs/>
          <w:iCs/>
        </w:rPr>
        <w:t>crecimiento</w:t>
      </w:r>
      <w:r>
        <w:t xml:space="preserve"> del PIB del 1% anual en promedio, mientras que el crecimiento anual de la población es del 2,6%.  </w:t>
      </w:r>
    </w:p>
    <w:p w:rsidR="00000000" w:rsidRDefault="00000000">
      <w:pPr>
        <w:autoSpaceDE w:val="0"/>
        <w:autoSpaceDN w:val="0"/>
        <w:adjustRightInd w:val="0"/>
        <w:spacing w:after="240"/>
      </w:pPr>
      <w:r>
        <w:t>81.</w:t>
      </w:r>
      <w:r>
        <w:tab/>
        <w:t>Como resultado, se ha producido una declinación secular en el PIB per cápita hasta alcanzar niveles anteriores a los de 1990 con una creciente pobreza exacerbada por la polarización de la distribución del ingreso y de la tierra</w:t>
      </w:r>
      <w:r>
        <w:rPr>
          <w:rStyle w:val="FootnoteReference"/>
        </w:rPr>
        <w:footnoteReference w:id="12"/>
      </w:r>
      <w:r>
        <w:t>.</w:t>
      </w:r>
    </w:p>
    <w:p w:rsidR="00000000" w:rsidRDefault="00000000">
      <w:pPr>
        <w:autoSpaceDE w:val="0"/>
        <w:autoSpaceDN w:val="0"/>
        <w:adjustRightInd w:val="0"/>
        <w:spacing w:after="240"/>
      </w:pPr>
      <w:r>
        <w:t>82.</w:t>
      </w:r>
      <w:r>
        <w:tab/>
        <w:t xml:space="preserve">El crecimiento económico es la mejor estrategia general para reducir el número de pobres ya que éstos son los que más </w:t>
      </w:r>
      <w:r>
        <w:rPr>
          <w:bCs/>
          <w:iCs/>
        </w:rPr>
        <w:t>se</w:t>
      </w:r>
      <w:r>
        <w:t xml:space="preserve"> benefician de los aumentos en los servicios públicos básicos que surgen como resultado de un mayor gasto gubernamental, posibilitado por un crecimiento económico más dinámico y una mayor recaudación.  </w:t>
      </w:r>
    </w:p>
    <w:p w:rsidR="00000000" w:rsidRDefault="00000000">
      <w:pPr>
        <w:autoSpaceDE w:val="0"/>
        <w:autoSpaceDN w:val="0"/>
        <w:adjustRightInd w:val="0"/>
        <w:spacing w:after="240"/>
      </w:pPr>
      <w:r>
        <w:t>83.</w:t>
      </w:r>
      <w:r>
        <w:tab/>
        <w:t xml:space="preserve">Esto supone la continuidad del aumento relativo del gasto en servicios sociales que se produjo durante la última </w:t>
      </w:r>
      <w:r>
        <w:rPr>
          <w:bCs/>
          <w:iCs/>
        </w:rPr>
        <w:t>década</w:t>
      </w:r>
      <w:r>
        <w:t xml:space="preserve">.  </w:t>
      </w:r>
    </w:p>
    <w:p w:rsidR="00000000" w:rsidRDefault="00000000">
      <w:pPr>
        <w:autoSpaceDE w:val="0"/>
        <w:autoSpaceDN w:val="0"/>
        <w:adjustRightInd w:val="0"/>
        <w:spacing w:after="240"/>
      </w:pPr>
      <w:r>
        <w:t>84.</w:t>
      </w:r>
      <w:r>
        <w:tab/>
        <w:t xml:space="preserve">Los esfuerzos para la reducción de la pobreza se centran en las áreas rurales como foco principal.  Las políticas apropiadas de tributación sobre la tierra para impulsar la llegada al mercado de las tierras ociosas, </w:t>
      </w:r>
      <w:r>
        <w:rPr>
          <w:bCs/>
          <w:iCs/>
        </w:rPr>
        <w:t>patrones</w:t>
      </w:r>
      <w:r>
        <w:t xml:space="preserve"> concentrados de reasentamiento (en contraposición con los asentamientos a lo largo de los caminos) a fin de mejorar la provisión de servicios públicos a las comunidades rurales, y asistencia técnica concentrada en la agricultura.  En la medida que la situación fiscal lo permite, se da continuación a la expansión de los servicios.</w:t>
      </w:r>
    </w:p>
    <w:p w:rsidR="00000000" w:rsidRDefault="00000000">
      <w:pPr>
        <w:keepNext/>
        <w:autoSpaceDE w:val="0"/>
        <w:autoSpaceDN w:val="0"/>
        <w:adjustRightInd w:val="0"/>
        <w:spacing w:after="240"/>
        <w:jc w:val="center"/>
        <w:rPr>
          <w:b/>
          <w:bCs/>
          <w:iCs/>
        </w:rPr>
      </w:pPr>
      <w:r>
        <w:rPr>
          <w:b/>
          <w:bCs/>
          <w:iCs/>
        </w:rPr>
        <w:t>D.  Desafíos del desarrollo paraguayo</w:t>
      </w:r>
      <w:r>
        <w:rPr>
          <w:rStyle w:val="FootnoteReference"/>
          <w:iCs/>
        </w:rPr>
        <w:footnoteReference w:id="13"/>
      </w:r>
    </w:p>
    <w:p w:rsidR="00000000" w:rsidRDefault="00000000">
      <w:pPr>
        <w:autoSpaceDE w:val="0"/>
        <w:autoSpaceDN w:val="0"/>
        <w:adjustRightInd w:val="0"/>
        <w:spacing w:after="240"/>
      </w:pPr>
      <w:r>
        <w:t>85.</w:t>
      </w:r>
      <w:r>
        <w:tab/>
        <w:t xml:space="preserve">Los indicadores de </w:t>
      </w:r>
      <w:r>
        <w:rPr>
          <w:bCs/>
          <w:iCs/>
        </w:rPr>
        <w:t>pobreza</w:t>
      </w:r>
      <w:r>
        <w:t xml:space="preserve"> del Paraguay y las difíciles perspectivas de cumplimiento de las metas de desarrollo del Milenio reflejan una multitud de desafíos para el desarrollo de largo plazo, cuya superación requerirá de un esfuerzo sostenido.  </w:t>
      </w:r>
    </w:p>
    <w:p w:rsidR="00000000" w:rsidRDefault="00000000">
      <w:pPr>
        <w:autoSpaceDE w:val="0"/>
        <w:autoSpaceDN w:val="0"/>
        <w:adjustRightInd w:val="0"/>
        <w:spacing w:after="240"/>
      </w:pPr>
      <w:r>
        <w:t>86.</w:t>
      </w:r>
      <w:r>
        <w:tab/>
        <w:t xml:space="preserve">Uno de los principales retos que se presentan, es una fuerza laboral que es en su mayoría funcionalmente analfabeta.  Aún aliviándose otras restricciones, llevará tiempo que la actual generación de escolares se integre a la fuerza laboral y la productividad nacional general se eleve a niveles más altos.  Por otro lado, la limitada eficiencia del gasto en servicios sociales en el Paraguay limita la cobertura y el acceso de la población.  Durante los años noventa el gasto social combinado se elevó de manera considerable, especialmente en educación, sin el embargo el gasto social aún representa sólo el 6% del PIB (excluidas las jubilaciones).  En particular, los programas de salud y de asistencia social están subfinanciados en comparación con otros países con niveles de desarrollo similares.  Los servicios básicos de salud pública se concentran en las áreas urbanas y tienden a brindar servicios de mayor complejidad sólo para el 20% de la población que tiene algún tipo de cobertura médica.  Para reorientar los servicios hacia la salud básica y la atención preventiva se requerirá aplicar recursos adicionales o aumentar de manera importante la eficiencia de la provisión, para lo cual es necesario continuar con le proceso de reforma de la provisión de servicios de salud del Sistema de Seguridad Social actualmente en marcha.  </w:t>
      </w:r>
    </w:p>
    <w:p w:rsidR="00000000" w:rsidRDefault="00000000">
      <w:pPr>
        <w:autoSpaceDE w:val="0"/>
        <w:autoSpaceDN w:val="0"/>
        <w:adjustRightInd w:val="0"/>
        <w:spacing w:after="240"/>
      </w:pPr>
      <w:r>
        <w:t>87.</w:t>
      </w:r>
      <w:r>
        <w:tab/>
        <w:t xml:space="preserve">En educación se puede observar un patrón similar, con índices de matriculación elevados en la educación primaria y muy bajos en la secundaria (31%), y marcadas diferencias en la matriculación de la población urbana (83%) y rural (17%).  Existen muchos pequeños programas de asistencia social que, tomados en conjunto, difícilmente brindan una red de seguridad social efectiva para los más pobres y vulnerables, si bien es significativo el aporte de los mismos.  Por último, los pobres carecen de cobertura previsional, aun cuando es considerable el gasto previsional actual (3,5% del PIB) que sólo cubre a un 10% de la población que trabaja en el sector formal.  Asimismo, </w:t>
      </w:r>
      <w:r>
        <w:rPr>
          <w:bCs/>
          <w:iCs/>
        </w:rPr>
        <w:t>proporcionar</w:t>
      </w:r>
      <w:r>
        <w:t xml:space="preserve"> servicios sociales básicos a la creciente población indígena es otro desafío que requiere especial atención.  En términos de infraestructura, el acceso de la población a los servicios básicos de infraestructura es probablemente el peor de la región.  Del total de caminos, sólo el 23% está pavimentado y menos del 43% de los caminos pavimentados se encuentra en buenas condiciones.  </w:t>
      </w:r>
    </w:p>
    <w:p w:rsidR="00000000" w:rsidRDefault="00000000">
      <w:pPr>
        <w:autoSpaceDE w:val="0"/>
        <w:autoSpaceDN w:val="0"/>
        <w:adjustRightInd w:val="0"/>
        <w:spacing w:after="240"/>
      </w:pPr>
      <w:r>
        <w:t>88.</w:t>
      </w:r>
      <w:r>
        <w:tab/>
        <w:t xml:space="preserve">Los requisitos anuales para financiar un modesto programa de infraestructura que cubra servicios viales, agua, saneamiento y </w:t>
      </w:r>
      <w:r>
        <w:rPr>
          <w:bCs/>
          <w:iCs/>
        </w:rPr>
        <w:t>t</w:t>
      </w:r>
      <w:r>
        <w:t xml:space="preserve">elefonía básica ascienden a unos 150 a 200 millones de dólares de los EE.UU. (comparado con inversiones anuales de 40 millones de dólares de los EE.UU. en la actualidad).  </w:t>
      </w:r>
    </w:p>
    <w:p w:rsidR="00000000" w:rsidRDefault="00000000">
      <w:pPr>
        <w:autoSpaceDE w:val="0"/>
        <w:autoSpaceDN w:val="0"/>
        <w:adjustRightInd w:val="0"/>
        <w:spacing w:after="240"/>
      </w:pPr>
      <w:r>
        <w:t>89.</w:t>
      </w:r>
      <w:r>
        <w:tab/>
        <w:t xml:space="preserve">En el sector agrícola, en la Región Oriental la frontera forestal prácticamente se ha desvanecido ya que el impulso para expandir la producción de soja ha causado la casi total destrucción de los bosques nativos (queda </w:t>
      </w:r>
      <w:r>
        <w:rPr>
          <w:bCs/>
          <w:iCs/>
        </w:rPr>
        <w:t>menos</w:t>
      </w:r>
      <w:r>
        <w:t xml:space="preserve"> del 5%).  Sin embargo, la expansión de la agricultura moderna ha dejado atrás a 300.000 pequeños agricultores (que son en su mayoría pobres), los que continúan practicando una agricultura de subsistencia basada principalmente en el algodón.  En este caso, el desafío pasa por aumentar también su productividad.  Además, como resultado de la deforestación, el Paraguay ha llegado a la situación inimaginable de convertirse en un importador neto de madera, creando un innecesario drenaje de la balanza de pagos, para no mencionar la pérdida de empleo en lo que solía ser un vigoroso sector forestal.</w:t>
      </w:r>
    </w:p>
    <w:p w:rsidR="00000000" w:rsidRDefault="00000000">
      <w:pPr>
        <w:autoSpaceDE w:val="0"/>
        <w:autoSpaceDN w:val="0"/>
        <w:adjustRightInd w:val="0"/>
        <w:spacing w:after="240"/>
      </w:pPr>
      <w:r>
        <w:t>90.</w:t>
      </w:r>
      <w:r>
        <w:tab/>
        <w:t xml:space="preserve">La capacidad paraguaya de movilización del ahorro interno está severamente limitada por la poca confianza en el sistema financiero después de ocho años de caídas bancarias sucesivas que, hasta la fecha han costado alrededor del 11% del PIB.  La regulación y supervisión bancaria son débiles y por ende la </w:t>
      </w:r>
      <w:r>
        <w:rPr>
          <w:bCs/>
          <w:iCs/>
        </w:rPr>
        <w:t>intermediación</w:t>
      </w:r>
      <w:r>
        <w:t xml:space="preserve"> financiera es baja y son muy altos los costos y el diferencial de las tasas de interés.  La falta de mecanismos sólidos de ahorro de largo plazo también limita la posibilidad de la población de ahorrar para la vejez y lograr cierta autoprotección frente a la pobreza en la ancianidad.  El principal banco público restante (Banco Nacional de Fomento) tiene una estructura actual que lo hace inviable y es insolvente ya que alrededor del 50% de su cartera está integrada por préstamos de difícil retorno.</w:t>
      </w:r>
    </w:p>
    <w:p w:rsidR="00000000" w:rsidRDefault="00000000">
      <w:pPr>
        <w:autoSpaceDE w:val="0"/>
        <w:autoSpaceDN w:val="0"/>
        <w:adjustRightInd w:val="0"/>
        <w:spacing w:after="240"/>
      </w:pPr>
      <w:r>
        <w:t>91.</w:t>
      </w:r>
      <w:r>
        <w:tab/>
        <w:t xml:space="preserve">Dentro del sector público, la característica más enraizada de las finanzas públicas es el déficit estructural del sistema de previsión gubernamental (caja fiscal), situación que dominó el panorama de las finanzas del </w:t>
      </w:r>
      <w:r>
        <w:rPr>
          <w:bCs/>
          <w:iCs/>
        </w:rPr>
        <w:t>Estado</w:t>
      </w:r>
      <w:r>
        <w:t xml:space="preserve"> por gran parte de la última década.  Sin embargo el ejercicio fiscal 2005 cerró con un superávit de 0,5% del PIB, lo que representa alrededor de 250.000 millones de guaraníes.  De esta manera, por primera vez en diez años el país tuvo dos años consecutivos de superávit fiscal, que se debe al aumento de la recaudación, lo que implica, que la economía se está formalizando y que existe un crecimiento económico.  </w:t>
      </w:r>
    </w:p>
    <w:p w:rsidR="00000000" w:rsidRDefault="00000000">
      <w:pPr>
        <w:autoSpaceDE w:val="0"/>
        <w:autoSpaceDN w:val="0"/>
        <w:adjustRightInd w:val="0"/>
        <w:spacing w:after="240"/>
      </w:pPr>
      <w:r>
        <w:t>92.</w:t>
      </w:r>
      <w:r>
        <w:tab/>
        <w:t xml:space="preserve">En 2004 el superávit alcanzado fue de 1,61% del PIB, lo que equivale a poco más de 650.000 millones de guaraníes.  Inicialmente, el presupuesto general contemplaba un déficit de 0,5% que fue acordado con el FMI, como parte del Acuerdo Stand By.  Cuyo compromiso consiste en no pasar este monto.  Sin </w:t>
      </w:r>
      <w:r>
        <w:rPr>
          <w:bCs/>
          <w:iCs/>
        </w:rPr>
        <w:t>embargo</w:t>
      </w:r>
      <w:r>
        <w:t>, se logró revertir con la implementación del plan financiero que limitó la ejecución del presupuesto.</w:t>
      </w:r>
    </w:p>
    <w:p w:rsidR="00000000" w:rsidRDefault="00000000">
      <w:pPr>
        <w:numPr>
          <w:ilvl w:val="0"/>
          <w:numId w:val="1"/>
        </w:numPr>
        <w:tabs>
          <w:tab w:val="clear" w:pos="360"/>
        </w:tabs>
        <w:spacing w:after="240"/>
        <w:ind w:left="567" w:hanging="567"/>
        <w:rPr>
          <w:b/>
        </w:rPr>
      </w:pPr>
      <w:r>
        <w:rPr>
          <w:b/>
        </w:rPr>
        <w:t>Crecimiento</w:t>
      </w:r>
    </w:p>
    <w:p w:rsidR="00000000" w:rsidRDefault="00000000">
      <w:pPr>
        <w:autoSpaceDE w:val="0"/>
        <w:autoSpaceDN w:val="0"/>
        <w:adjustRightInd w:val="0"/>
        <w:spacing w:after="240"/>
      </w:pPr>
      <w:r>
        <w:t>93.</w:t>
      </w:r>
      <w:r>
        <w:tab/>
        <w:t>El país debe realizar reformas para crecer a un ritmo más elevado, ya que menos del 5% es insuficiente.  El 2005 culminó con un aumento del PIB de 2,7%, lo que alcanza al crecimiento poblacional, luego de un crecimiento de 4,1% logrado el año pasado.  Para el 2006, la estimación de crecimiento llega a 3,5%, tal como se calculó para el presente ejercicio que fenece.  La creación de la Ley de la banca pública a través de la cual se buscará dirigir créditos a largo plazo para el sector productivo, y de la Ley de adecuación fiscal, cuyas reglamentaciones se están dando a conocer.  Los organismos financieros internacionales consideran que el país debe crecer a una tasa de entre 7 y 8% anual si no quiere quedar marginado del mundo.</w:t>
      </w:r>
    </w:p>
    <w:p w:rsidR="00000000" w:rsidRDefault="00000000">
      <w:pPr>
        <w:keepNext/>
        <w:autoSpaceDE w:val="0"/>
        <w:autoSpaceDN w:val="0"/>
        <w:adjustRightInd w:val="0"/>
        <w:spacing w:after="240"/>
        <w:jc w:val="center"/>
        <w:rPr>
          <w:b/>
          <w:bCs/>
        </w:rPr>
      </w:pPr>
      <w:r>
        <w:rPr>
          <w:b/>
          <w:bCs/>
        </w:rPr>
        <w:t>Evaluación del déficit y superávit fiscal</w:t>
      </w:r>
    </w:p>
    <w:p w:rsidR="00000000" w:rsidRDefault="00000000">
      <w:pPr>
        <w:keepNext/>
        <w:autoSpaceDE w:val="0"/>
        <w:autoSpaceDN w:val="0"/>
        <w:adjustRightInd w:val="0"/>
        <w:spacing w:after="240"/>
        <w:jc w:val="center"/>
      </w:pPr>
      <w:r>
        <w:t>(En porcentaje del PIB)</w:t>
      </w:r>
    </w:p>
    <w:tbl>
      <w:tblPr>
        <w:tblW w:w="0" w:type="auto"/>
        <w:jc w:val="center"/>
        <w:tblInd w:w="2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2386"/>
      </w:tblGrid>
      <w:tr w:rsidR="00000000">
        <w:trPr>
          <w:jc w:val="center"/>
        </w:trPr>
        <w:tc>
          <w:tcPr>
            <w:tcW w:w="2294" w:type="dxa"/>
          </w:tcPr>
          <w:p w:rsidR="00000000" w:rsidRDefault="00000000">
            <w:pPr>
              <w:keepNext/>
              <w:jc w:val="center"/>
            </w:pPr>
            <w:r>
              <w:t>2000</w:t>
            </w:r>
          </w:p>
        </w:tc>
        <w:tc>
          <w:tcPr>
            <w:tcW w:w="2386" w:type="dxa"/>
          </w:tcPr>
          <w:p w:rsidR="00000000" w:rsidRDefault="00000000">
            <w:pPr>
              <w:tabs>
                <w:tab w:val="decimal" w:pos="1141"/>
              </w:tabs>
              <w:jc w:val="both"/>
            </w:pPr>
            <w:r>
              <w:t>-4,64</w:t>
            </w:r>
          </w:p>
        </w:tc>
      </w:tr>
      <w:tr w:rsidR="00000000">
        <w:trPr>
          <w:jc w:val="center"/>
        </w:trPr>
        <w:tc>
          <w:tcPr>
            <w:tcW w:w="2294" w:type="dxa"/>
          </w:tcPr>
          <w:p w:rsidR="00000000" w:rsidRDefault="00000000">
            <w:pPr>
              <w:keepNext/>
              <w:jc w:val="center"/>
            </w:pPr>
            <w:r>
              <w:t>2001</w:t>
            </w:r>
          </w:p>
        </w:tc>
        <w:tc>
          <w:tcPr>
            <w:tcW w:w="2386" w:type="dxa"/>
          </w:tcPr>
          <w:p w:rsidR="00000000" w:rsidRDefault="00000000">
            <w:pPr>
              <w:tabs>
                <w:tab w:val="decimal" w:pos="1141"/>
              </w:tabs>
              <w:jc w:val="both"/>
            </w:pPr>
            <w:r>
              <w:t>-1,20</w:t>
            </w:r>
          </w:p>
        </w:tc>
      </w:tr>
      <w:tr w:rsidR="00000000">
        <w:trPr>
          <w:jc w:val="center"/>
        </w:trPr>
        <w:tc>
          <w:tcPr>
            <w:tcW w:w="2294" w:type="dxa"/>
          </w:tcPr>
          <w:p w:rsidR="00000000" w:rsidRDefault="00000000">
            <w:pPr>
              <w:keepNext/>
              <w:jc w:val="center"/>
            </w:pPr>
            <w:r>
              <w:t>2002</w:t>
            </w:r>
          </w:p>
        </w:tc>
        <w:tc>
          <w:tcPr>
            <w:tcW w:w="2386" w:type="dxa"/>
          </w:tcPr>
          <w:p w:rsidR="00000000" w:rsidRDefault="00000000">
            <w:pPr>
              <w:tabs>
                <w:tab w:val="decimal" w:pos="1141"/>
              </w:tabs>
              <w:jc w:val="both"/>
            </w:pPr>
            <w:r>
              <w:t>-3,24</w:t>
            </w:r>
          </w:p>
        </w:tc>
      </w:tr>
      <w:tr w:rsidR="00000000">
        <w:trPr>
          <w:jc w:val="center"/>
        </w:trPr>
        <w:tc>
          <w:tcPr>
            <w:tcW w:w="2294" w:type="dxa"/>
          </w:tcPr>
          <w:p w:rsidR="00000000" w:rsidRDefault="00000000">
            <w:pPr>
              <w:keepNext/>
              <w:jc w:val="center"/>
            </w:pPr>
            <w:r>
              <w:t>2003</w:t>
            </w:r>
          </w:p>
        </w:tc>
        <w:tc>
          <w:tcPr>
            <w:tcW w:w="2386" w:type="dxa"/>
          </w:tcPr>
          <w:p w:rsidR="00000000" w:rsidRDefault="00000000">
            <w:pPr>
              <w:keepNext/>
              <w:tabs>
                <w:tab w:val="decimal" w:pos="1141"/>
              </w:tabs>
              <w:jc w:val="both"/>
            </w:pPr>
            <w:r>
              <w:t>-0,40</w:t>
            </w:r>
          </w:p>
        </w:tc>
      </w:tr>
      <w:tr w:rsidR="00000000">
        <w:trPr>
          <w:jc w:val="center"/>
        </w:trPr>
        <w:tc>
          <w:tcPr>
            <w:tcW w:w="2294" w:type="dxa"/>
          </w:tcPr>
          <w:p w:rsidR="00000000" w:rsidRDefault="00000000">
            <w:pPr>
              <w:jc w:val="center"/>
            </w:pPr>
            <w:r>
              <w:t>2004</w:t>
            </w:r>
          </w:p>
        </w:tc>
        <w:tc>
          <w:tcPr>
            <w:tcW w:w="2386" w:type="dxa"/>
          </w:tcPr>
          <w:p w:rsidR="00000000" w:rsidRDefault="00000000">
            <w:pPr>
              <w:tabs>
                <w:tab w:val="decimal" w:pos="1141"/>
              </w:tabs>
              <w:jc w:val="both"/>
            </w:pPr>
            <w:r>
              <w:t>1,61</w:t>
            </w:r>
          </w:p>
        </w:tc>
      </w:tr>
      <w:tr w:rsidR="00000000">
        <w:trPr>
          <w:jc w:val="center"/>
        </w:trPr>
        <w:tc>
          <w:tcPr>
            <w:tcW w:w="2294" w:type="dxa"/>
          </w:tcPr>
          <w:p w:rsidR="00000000" w:rsidRDefault="00000000">
            <w:pPr>
              <w:jc w:val="center"/>
            </w:pPr>
            <w:r>
              <w:t>2005</w:t>
            </w:r>
          </w:p>
        </w:tc>
        <w:tc>
          <w:tcPr>
            <w:tcW w:w="2386" w:type="dxa"/>
          </w:tcPr>
          <w:p w:rsidR="00000000" w:rsidRDefault="00000000">
            <w:pPr>
              <w:tabs>
                <w:tab w:val="decimal" w:pos="1141"/>
              </w:tabs>
              <w:jc w:val="both"/>
            </w:pPr>
            <w:r>
              <w:t>0,5</w:t>
            </w:r>
          </w:p>
        </w:tc>
      </w:tr>
    </w:tbl>
    <w:p w:rsidR="00000000" w:rsidRDefault="00000000">
      <w:pPr>
        <w:autoSpaceDE w:val="0"/>
        <w:autoSpaceDN w:val="0"/>
        <w:adjustRightInd w:val="0"/>
        <w:spacing w:before="480" w:after="240"/>
      </w:pPr>
      <w:r>
        <w:t>94.</w:t>
      </w:r>
      <w:r>
        <w:tab/>
        <w:t xml:space="preserve">El costo del servicio de esta deuda consume en la actualidad el 20% de los ingresos gubernamentales y limita de cierta manera la posibilidad del Gobierno de aumentar la inversión pública a través de la toma de préstamos.  </w:t>
      </w:r>
      <w:r>
        <w:rPr>
          <w:bCs/>
          <w:iCs/>
        </w:rPr>
        <w:t>Además</w:t>
      </w:r>
      <w:r>
        <w:t>, varias empresas públicas tienen problemas de insolvencia o de excesivo endeudamiento y no pueden movilizar las inversiones requeridas para expandir la cobertura y la calidad de servicio.</w:t>
      </w:r>
    </w:p>
    <w:p w:rsidR="00000000" w:rsidRDefault="00000000">
      <w:pPr>
        <w:autoSpaceDE w:val="0"/>
        <w:autoSpaceDN w:val="0"/>
        <w:adjustRightInd w:val="0"/>
        <w:spacing w:after="240"/>
      </w:pPr>
      <w:r>
        <w:t>95.</w:t>
      </w:r>
      <w:r>
        <w:tab/>
        <w:t xml:space="preserve">La gran economía informal, que en parte es comercio de contrabando pero también una significativa proporción de la actividad comercial normal, continúa operando por fuera del marco registrado, principalmente para evadir </w:t>
      </w:r>
      <w:r>
        <w:rPr>
          <w:bCs/>
          <w:iCs/>
        </w:rPr>
        <w:t>impuestos</w:t>
      </w:r>
      <w:r>
        <w:t xml:space="preserve"> y las altas contribuciones a un insuficiente sistema de </w:t>
      </w:r>
      <w:r>
        <w:rPr>
          <w:bCs/>
          <w:iCs/>
        </w:rPr>
        <w:t>seguridad</w:t>
      </w:r>
      <w:r>
        <w:t xml:space="preserve"> social, pero también para evitar una compleja y burocrática madeja de normas administrativas.</w:t>
      </w:r>
    </w:p>
    <w:p w:rsidR="00000000" w:rsidRDefault="00000000">
      <w:pPr>
        <w:autoSpaceDE w:val="0"/>
        <w:autoSpaceDN w:val="0"/>
        <w:adjustRightInd w:val="0"/>
        <w:spacing w:after="240"/>
      </w:pPr>
      <w:r>
        <w:t>96.</w:t>
      </w:r>
      <w:r>
        <w:tab/>
        <w:t xml:space="preserve">Del lado positivo, debe observarse que el Paraguay cuenta con una serie de activos de desarrollo que podrían </w:t>
      </w:r>
      <w:r>
        <w:rPr>
          <w:bCs/>
          <w:iCs/>
        </w:rPr>
        <w:t>utilizarse</w:t>
      </w:r>
      <w:r>
        <w:t xml:space="preserve"> a su favor, </w:t>
      </w:r>
      <w:r>
        <w:rPr>
          <w:bCs/>
          <w:iCs/>
        </w:rPr>
        <w:t>incluida</w:t>
      </w:r>
      <w:r>
        <w:t xml:space="preserve"> una población relativamente joven que permitiría que el crecimiento resuelva la trampa del sistema de seguridad social si se logra atraer a nuevos integrantes a la economía formal.  En segundo lugar, la participación del Paraguay en el MERCOSUR le brinda acceso a un importante mercado regional.  En tercer lugar, el vibrante sector agropecuario comercial está orientado a la exportación y continúa siendo viable a pesar de los difíciles años recientes.  Y cuarto, se </w:t>
      </w:r>
      <w:r>
        <w:rPr>
          <w:bCs/>
          <w:iCs/>
        </w:rPr>
        <w:t>cuenta</w:t>
      </w:r>
      <w:r>
        <w:t xml:space="preserve"> con un abundante suministro eléctrico, si bien los costos de transporte y distribución son elevados debido al monopolio estatal del sistema de energía.</w:t>
      </w:r>
    </w:p>
    <w:p w:rsidR="00000000" w:rsidRDefault="00000000">
      <w:pPr>
        <w:autoSpaceDE w:val="0"/>
        <w:autoSpaceDN w:val="0"/>
        <w:adjustRightInd w:val="0"/>
        <w:spacing w:after="240"/>
        <w:jc w:val="center"/>
        <w:rPr>
          <w:b/>
          <w:iCs/>
        </w:rPr>
      </w:pPr>
      <w:r>
        <w:rPr>
          <w:b/>
          <w:iCs/>
        </w:rPr>
        <w:t>E.  Estrategia de desarrollo del Gobierno</w:t>
      </w:r>
    </w:p>
    <w:p w:rsidR="00000000" w:rsidRDefault="00000000">
      <w:pPr>
        <w:autoSpaceDE w:val="0"/>
        <w:autoSpaceDN w:val="0"/>
        <w:adjustRightInd w:val="0"/>
        <w:spacing w:after="240"/>
      </w:pPr>
      <w:r>
        <w:t>97.</w:t>
      </w:r>
      <w:r>
        <w:tab/>
        <w:t xml:space="preserve">Los objetivos de la estrategia actual de desarrollo la componen los siguientes ejes:  </w:t>
      </w:r>
    </w:p>
    <w:p w:rsidR="00000000" w:rsidRDefault="00000000">
      <w:pPr>
        <w:tabs>
          <w:tab w:val="right" w:pos="737"/>
        </w:tabs>
        <w:autoSpaceDE w:val="0"/>
        <w:autoSpaceDN w:val="0"/>
        <w:adjustRightInd w:val="0"/>
        <w:spacing w:after="240"/>
        <w:ind w:left="1134" w:hanging="1134"/>
      </w:pPr>
      <w:r>
        <w:tab/>
        <w:t>i)</w:t>
      </w:r>
      <w:r>
        <w:tab/>
        <w:t>Recuperar</w:t>
      </w:r>
      <w:r>
        <w:rPr>
          <w:b/>
          <w:bCs/>
        </w:rPr>
        <w:t xml:space="preserve"> la confianza en las instituciones estatales </w:t>
      </w:r>
      <w:r>
        <w:t xml:space="preserve">a través de un sostenido combate contra la corrupción y la modernización de la administración pública.  Al poner el énfasis en una mejor </w:t>
      </w:r>
      <w:r>
        <w:rPr>
          <w:bCs/>
          <w:iCs/>
        </w:rPr>
        <w:t>gobernabilidad</w:t>
      </w:r>
      <w:r>
        <w:t xml:space="preserve">, la Administración espera lograr una mayor formalidad en la economía e incrementar la legitimidad internacional del Paraguay.  </w:t>
      </w:r>
    </w:p>
    <w:p w:rsidR="00000000" w:rsidRDefault="00000000">
      <w:pPr>
        <w:keepNext/>
        <w:tabs>
          <w:tab w:val="right" w:pos="737"/>
        </w:tabs>
        <w:autoSpaceDE w:val="0"/>
        <w:autoSpaceDN w:val="0"/>
        <w:adjustRightInd w:val="0"/>
        <w:spacing w:after="240"/>
        <w:ind w:left="1134" w:hanging="1134"/>
      </w:pPr>
      <w:r>
        <w:tab/>
        <w:t>ii)</w:t>
      </w:r>
      <w:r>
        <w:tab/>
        <w:t xml:space="preserve">De igual forma, apunta a facilitar una mayor participación de la sociedad civil en la formulación de políticas públicas y en el control del gasto público.  </w:t>
      </w:r>
    </w:p>
    <w:p w:rsidR="00000000" w:rsidRDefault="00000000">
      <w:pPr>
        <w:tabs>
          <w:tab w:val="right" w:pos="737"/>
        </w:tabs>
        <w:autoSpaceDE w:val="0"/>
        <w:autoSpaceDN w:val="0"/>
        <w:adjustRightInd w:val="0"/>
        <w:spacing w:after="240"/>
        <w:ind w:left="1134" w:hanging="1134"/>
      </w:pPr>
      <w:r>
        <w:rPr>
          <w:b/>
          <w:bCs/>
        </w:rPr>
        <w:tab/>
      </w:r>
      <w:r>
        <w:t>iii)</w:t>
      </w:r>
      <w:r>
        <w:rPr>
          <w:b/>
          <w:bCs/>
        </w:rPr>
        <w:tab/>
        <w:t xml:space="preserve">Crecimiento sostenible </w:t>
      </w:r>
      <w:r>
        <w:t>a través de un cambio de modelo económico pasando del comercio triangular y el empleo público a la agroindustria y la diversificación de las exportaciones.  Si bien una mayor eficiencia de los servicios del sector público y la inversión pública pueden contribuir al logro de este objetivo, el Gobierno nacional reconoce que es esencial para mejorar la competitividad del sector privado contar con reglas claras y predecibles, seguridad jurídica e igualdad de oportunidades.</w:t>
      </w:r>
    </w:p>
    <w:p w:rsidR="00000000" w:rsidRDefault="00000000">
      <w:pPr>
        <w:tabs>
          <w:tab w:val="right" w:pos="737"/>
        </w:tabs>
        <w:autoSpaceDE w:val="0"/>
        <w:autoSpaceDN w:val="0"/>
        <w:adjustRightInd w:val="0"/>
        <w:spacing w:after="240"/>
        <w:ind w:left="1134" w:hanging="1134"/>
      </w:pPr>
      <w:r>
        <w:tab/>
        <w:t>iv)</w:t>
      </w:r>
      <w:r>
        <w:rPr>
          <w:b/>
          <w:bCs/>
        </w:rPr>
        <w:tab/>
        <w:t xml:space="preserve">Aumento del capital humano </w:t>
      </w:r>
      <w:r>
        <w:t>a través de una mayor inversión en salud y educación, políticas que aumenten la equidad y mayor acceso a dichos servicios, además de programas de reducción de la pobreza bien focalizados que apunten a los grupos más vulnerables.</w:t>
      </w:r>
    </w:p>
    <w:p w:rsidR="00000000" w:rsidRDefault="00000000">
      <w:pPr>
        <w:autoSpaceDE w:val="0"/>
        <w:autoSpaceDN w:val="0"/>
        <w:adjustRightInd w:val="0"/>
        <w:spacing w:after="240"/>
      </w:pPr>
      <w:r>
        <w:t>98.</w:t>
      </w:r>
      <w:r>
        <w:tab/>
        <w:t>Sin perder de vista los objetivos anteriores, la Administración también enfrenta la necesidad primordial de recuperar el control de las finanzas públicas y darles una base sostenible en el largo plazo.  Esta prioridad inmediata surge del reconocimiento que los gastos han aumentado con mayor rapidez que los ingresos, que existe una proporción anormalmente elevada de gastos rígidos (salarios y pensiones que representan el 90% del gasto recurrente), y que el déficit de las pensiones gubernamentales (2% del PIB) absorbe los recursos que se necesitarían para inversiones relativas al desarrollo, que el servicio de la deuda está consumiendo una proporción insostenible del gasto total (20%) y que el sistema tributario está aquejado por importantes deficiencias dadas las múltiples exenciones impositivas (42 leyes distintas) que no sólo causan una pérdida de ingresos sino que también abren incontables oportunidades de corrupción y evasión impositiva.  La severidad de la situación de corto plazo quedó al descubierto al asumir el nuevo Gobierno (2003) y encontrarse con una brecha de financiamiento de 175 millones de dólares de los EE.UU. (3,5% del PIB) en el corto plazo derivada de pagos en mora y vencimientos del servicio de la deuda a fin del ejercicio.  De este monto, 65 millones de dólares de los EE.UU. era mora sobre la deuda existente y 115 millones de dólares de los EE.UU., las obligaciones de servicio de la deuda con vencimiento en el cuarto trimestre.  Alrededor de 90 millones de dólares de los EE.UU. de estos montos correspondían a bonos internos en mora o con vencimientos agrupados en diciembre de 2003.</w:t>
      </w:r>
    </w:p>
    <w:p w:rsidR="00000000" w:rsidRDefault="00000000">
      <w:pPr>
        <w:autoSpaceDE w:val="0"/>
        <w:autoSpaceDN w:val="0"/>
        <w:adjustRightInd w:val="0"/>
        <w:spacing w:after="240"/>
      </w:pPr>
      <w:r>
        <w:t>99.</w:t>
      </w:r>
      <w:r>
        <w:tab/>
        <w:t>A fin de hacer frente a esta situación, el Gobierno tomó distintas medidas para controlar el gasto y aumentar los ingresos.  Del lado de los gastos, redujo en 30 millones de dólares de los EE.UU. los pedidos de aumento presupuestario enviados por el anterior Gobierno al Congreso, y suspendió toda discusión de aumento en los salarios del sector público.  También realizó el censo de empleados y jubilados públicos, en parte para recabar datos relevantes sobre la capacidad del personal pero también para identificar a los que recibían un doble salario, de los que se identificaron 1.650 y fueron eliminados de la doble nómina.</w:t>
      </w:r>
    </w:p>
    <w:p w:rsidR="00000000" w:rsidRDefault="00000000">
      <w:pPr>
        <w:autoSpaceDE w:val="0"/>
        <w:autoSpaceDN w:val="0"/>
        <w:adjustRightInd w:val="0"/>
        <w:spacing w:after="240"/>
      </w:pPr>
      <w:r>
        <w:t>100.</w:t>
      </w:r>
      <w:r>
        <w:tab/>
        <w:t>En lo que hace a la recaudación, la Administración adoptó una serie de medidas tales como verificar el registro apropiado y el correcto uso de los libros de contabilidad impositiva, alentar a los contribuyentes en mora a ponerse al día con sus pagos a través de la condonación de multas, suprimir 300 controladores de grandes contribuyentes (que eran una importante fuente de corrupción) y eliminar a todos los empleados que no pertenecían a la Aduana en los puntos de ingreso aduanero (otra fuente de corrupción).  Estas sencillas medidas para mejorar la administración tributaria rindieron beneficios significativos, con un importante aumento de la recaudación.  En lo que se refiere al presupuesto de 2004, la Administración envió al Congreso una propuesta reformulada en términos programáticos, con objetivos y resultados identificables para cada programa.  En esta oportunidad, solamente se aumentaron las partidas para educación y salud, y en alguna proporción las de agricultura.  En general, se apunta a un resultado "equilibrado" con un déficit del 1% y una brecha de financiamiento cero.</w:t>
      </w:r>
    </w:p>
    <w:p w:rsidR="00000000" w:rsidRDefault="00000000">
      <w:pPr>
        <w:autoSpaceDE w:val="0"/>
        <w:autoSpaceDN w:val="0"/>
        <w:adjustRightInd w:val="0"/>
        <w:spacing w:after="240"/>
      </w:pPr>
      <w:r>
        <w:t>101.</w:t>
      </w:r>
      <w:r>
        <w:tab/>
        <w:t xml:space="preserve">La Administración también emprendió varias reestructuraciones internas para integrar las funciones de personal y planeamiento en el Ministerio de Hacienda (previamente eran secretarías separadas que dependían directamente de la Presidencia), lo que debería mejorar el control del componente más importante del gasto.  Hacienda también creó una unidad central para administrar la asistencia externa, y el Gabinete Económico se racionalizó pasando de nueve a cinco Ministros (Hacienda, Banco Central, Agricultura, Obras Públicas e Industria).  </w:t>
      </w:r>
    </w:p>
    <w:p w:rsidR="00000000" w:rsidRDefault="00000000">
      <w:pPr>
        <w:autoSpaceDE w:val="0"/>
        <w:autoSpaceDN w:val="0"/>
        <w:adjustRightInd w:val="0"/>
        <w:spacing w:after="240"/>
      </w:pPr>
      <w:r>
        <w:t>102.</w:t>
      </w:r>
      <w:r>
        <w:tab/>
        <w:t>Además, el Ministerio de Hacienda recibió la asistencia del Banco Mundial para el proyecto de "ministerio de excelencia" para financiar la reingeniería del ministerio, a fin de mejorar los controles internos y la auditoría y profesionalizar el servicio civil.  En lo que hace a la sustentabilidad de las finanzas públicas en el largo plazo, el Gobierno alcanzó un acuerdo político con todos los partidos sobre la necesidad de determinadas reformas económicas claves.  Este acuerdo político se firmó el 6 de octubre de 2003 con todos los líderes políticos legislativos y compromete la aprobación de las siguientes leyes en forma prioritaria:</w:t>
      </w:r>
    </w:p>
    <w:p w:rsidR="00000000" w:rsidRDefault="00000000">
      <w:pPr>
        <w:autoSpaceDE w:val="0"/>
        <w:autoSpaceDN w:val="0"/>
        <w:adjustRightInd w:val="0"/>
        <w:spacing w:after="240"/>
        <w:ind w:left="924" w:hanging="357"/>
      </w:pPr>
      <w:r>
        <w:t>-</w:t>
      </w:r>
      <w:r>
        <w:tab/>
        <w:t xml:space="preserve">Un </w:t>
      </w:r>
      <w:r>
        <w:rPr>
          <w:b/>
          <w:bCs/>
        </w:rPr>
        <w:t xml:space="preserve">presupuesto fiscalmente responsable </w:t>
      </w:r>
      <w:r>
        <w:t>para 2004 (según lo ya descrito);</w:t>
      </w:r>
    </w:p>
    <w:p w:rsidR="00000000" w:rsidRDefault="00000000">
      <w:pPr>
        <w:autoSpaceDE w:val="0"/>
        <w:autoSpaceDN w:val="0"/>
        <w:adjustRightInd w:val="0"/>
        <w:spacing w:after="240"/>
        <w:ind w:left="924" w:hanging="357"/>
      </w:pPr>
      <w:r>
        <w:t>-</w:t>
      </w:r>
      <w:r>
        <w:tab/>
        <w:t xml:space="preserve">Una </w:t>
      </w:r>
      <w:r>
        <w:rPr>
          <w:b/>
          <w:bCs/>
        </w:rPr>
        <w:t xml:space="preserve">reforma tributaria </w:t>
      </w:r>
      <w:r>
        <w:t>que eliminaría las exenciones, extendería el IVA a sectores que en la actualidad no lo tributan (por ejemplo, agricultura y servicios profesionales) e introduciría un impuesto a la renta personal;</w:t>
      </w:r>
    </w:p>
    <w:p w:rsidR="00000000" w:rsidRDefault="00000000">
      <w:pPr>
        <w:autoSpaceDE w:val="0"/>
        <w:autoSpaceDN w:val="0"/>
        <w:adjustRightInd w:val="0"/>
        <w:spacing w:after="240"/>
        <w:ind w:left="924" w:hanging="357"/>
      </w:pPr>
      <w:r>
        <w:t>-</w:t>
      </w:r>
      <w:r>
        <w:tab/>
        <w:t xml:space="preserve">Reformas en las </w:t>
      </w:r>
      <w:r>
        <w:rPr>
          <w:b/>
          <w:bCs/>
        </w:rPr>
        <w:t xml:space="preserve">pensiones gubernamentales </w:t>
      </w:r>
      <w:r>
        <w:t>para reducir las fórmulas de cálculo de los beneficios para los nuevos jubilados, igualar las condiciones para los diferentes tipos de empleados estatales (docentes, militares, funcionarios públicos, etc.) y eliminar el pago de un adicional anual a los jubilados;</w:t>
      </w:r>
    </w:p>
    <w:p w:rsidR="00000000" w:rsidRDefault="00000000">
      <w:pPr>
        <w:autoSpaceDE w:val="0"/>
        <w:autoSpaceDN w:val="0"/>
        <w:adjustRightInd w:val="0"/>
        <w:spacing w:after="240"/>
        <w:ind w:left="924" w:hanging="357"/>
      </w:pPr>
      <w:r>
        <w:t>-</w:t>
      </w:r>
      <w:r>
        <w:tab/>
        <w:t xml:space="preserve">Un moderno </w:t>
      </w:r>
      <w:r>
        <w:rPr>
          <w:b/>
          <w:bCs/>
        </w:rPr>
        <w:t xml:space="preserve">Código Aduanero </w:t>
      </w:r>
      <w:r>
        <w:t>para brindar autonomía financiera a la Administración de Aduanas, racionalizar los procedimientos y asignar responsabilidades con mayor claridad;</w:t>
      </w:r>
    </w:p>
    <w:p w:rsidR="00000000" w:rsidRDefault="00000000">
      <w:pPr>
        <w:autoSpaceDE w:val="0"/>
        <w:autoSpaceDN w:val="0"/>
        <w:adjustRightInd w:val="0"/>
        <w:spacing w:after="240"/>
        <w:ind w:left="924" w:hanging="357"/>
      </w:pPr>
      <w:r>
        <w:t>-</w:t>
      </w:r>
      <w:r>
        <w:tab/>
        <w:t xml:space="preserve">Renegociación de la </w:t>
      </w:r>
      <w:r>
        <w:rPr>
          <w:b/>
          <w:bCs/>
        </w:rPr>
        <w:t>deuda pública</w:t>
      </w:r>
      <w:r>
        <w:t>, en particular la reprogramación de los bonos del Tesoro locales cuyos vencimientos están agrupados hacia fines de 2003 (según lo ya descrito);</w:t>
      </w:r>
    </w:p>
    <w:p w:rsidR="00000000" w:rsidRDefault="00000000">
      <w:pPr>
        <w:autoSpaceDE w:val="0"/>
        <w:autoSpaceDN w:val="0"/>
        <w:adjustRightInd w:val="0"/>
        <w:spacing w:after="240"/>
        <w:ind w:left="924" w:hanging="357"/>
      </w:pPr>
      <w:r>
        <w:t>-</w:t>
      </w:r>
      <w:r>
        <w:tab/>
        <w:t xml:space="preserve">Reorganización de los </w:t>
      </w:r>
      <w:r>
        <w:rPr>
          <w:b/>
          <w:bCs/>
        </w:rPr>
        <w:t>bancos públicos</w:t>
      </w:r>
      <w:r>
        <w:t xml:space="preserve">, a fin de crear una ventanilla única de banca minorista destinada a los pequeños agricultores y una ventanilla única de banca mayorista para canalizar recursos externos a través del sistema bancario comercial para préstamos de desarrollo de largo plazo; y </w:t>
      </w:r>
    </w:p>
    <w:p w:rsidR="00000000" w:rsidRDefault="00000000">
      <w:pPr>
        <w:autoSpaceDE w:val="0"/>
        <w:autoSpaceDN w:val="0"/>
        <w:adjustRightInd w:val="0"/>
        <w:spacing w:after="240"/>
        <w:ind w:left="924" w:hanging="357"/>
      </w:pPr>
      <w:r>
        <w:t>-</w:t>
      </w:r>
      <w:r>
        <w:tab/>
        <w:t xml:space="preserve">La reorganización de la </w:t>
      </w:r>
      <w:r>
        <w:rPr>
          <w:b/>
          <w:bCs/>
        </w:rPr>
        <w:t xml:space="preserve">administración pública </w:t>
      </w:r>
      <w:r>
        <w:t xml:space="preserve">y las </w:t>
      </w:r>
      <w:r>
        <w:rPr>
          <w:b/>
          <w:bCs/>
        </w:rPr>
        <w:t xml:space="preserve">empresas públicas </w:t>
      </w:r>
      <w:r>
        <w:t xml:space="preserve">para mejorar su eficiencia, instaurar la disciplina financiera e incorporar capitales privados para ayudar a financiar las inversiones en infraestructura.  </w:t>
      </w:r>
    </w:p>
    <w:p w:rsidR="00000000" w:rsidRDefault="00000000">
      <w:pPr>
        <w:autoSpaceDE w:val="0"/>
        <w:autoSpaceDN w:val="0"/>
        <w:adjustRightInd w:val="0"/>
        <w:spacing w:after="480"/>
      </w:pPr>
      <w:r>
        <w:t>103.</w:t>
      </w:r>
      <w:r>
        <w:tab/>
        <w:t>Hasta la fecha de los cinco proyectos de leyes mencionados que han sido enviados al Congreso (presupuesto, impuestos, jubilaciones, aduana y deuda pública) ya se han promulgado aquellas referentes al nuevo Código Aduanero, Ley de la adecuación fiscal, que implementa el impuesto a la renta personal y la Ley de reorganización de la banca pública.</w:t>
      </w:r>
    </w:p>
    <w:p w:rsidR="00000000" w:rsidRDefault="00000000">
      <w:pPr>
        <w:spacing w:after="240"/>
        <w:jc w:val="center"/>
        <w:rPr>
          <w:b/>
        </w:rPr>
      </w:pPr>
      <w:r>
        <w:rPr>
          <w:b/>
        </w:rPr>
        <w:t>III.  INFORME DE LA DEFENSORÍA DEL PUEBLO</w:t>
      </w:r>
    </w:p>
    <w:p w:rsidR="00000000" w:rsidRDefault="00000000">
      <w:pPr>
        <w:autoSpaceDE w:val="0"/>
        <w:autoSpaceDN w:val="0"/>
        <w:adjustRightInd w:val="0"/>
        <w:spacing w:after="240"/>
      </w:pPr>
      <w:r>
        <w:t>104.</w:t>
      </w:r>
      <w:r>
        <w:tab/>
        <w:t>La Defensoría del Pueblo, como integrante de la Comisión Interinstitucional de Visita a Cárceles, realiza visitas frecuentes a las penitenciarías donde se detectaron diversas anomalías; la más preocupante sigue siendo la situación de sobrepoblación carcelaria.  En la Penitenciaría Nacional de Tacumbú, la capacidad de albergue normal es para 600 a 700 internos aproximadamente, sin embargo la población actual es de 1.810 internos.  Si bien, existen avances en esta área, con la inauguración del penal Nueva Esperanza, esta grave situación es reflejo de la coyuntura económica del país y de la región, que imposibilita la vigencia cualitativa de la gran parte de los derechos económicos, sociales y culturales.  Sin embargo, gracias a la colaboración del Servicio Nacional de Promoción Profesional se dictan cursos de capacitación laboral, y en el correccional de mujeres "Buen Pastor", la capacidad de alojamiento de este correccional es de más de 200 internas, siendo la población de 308 mujeres; las instalaciones presentan un aspecto prolijo y un visible orden y nivel de limpieza, existe una división en sectores, se ha habilitado un sector destinado a las mujeres que han dado a luz o que tienen niños y/o menores de 1 año, se cuenta con personal médico, con talleres de manualidades y actividades de formación profesional, este establecimiento es uno de los que reporta menor nivel de violencia en comparación con los demás institutos de reclusión del país; en cuanto al centro educativo Itauguá, destinado a menores infractores, alberga a jóvenes varones de 14 a 20 años, su capacidad de albergue es de 250 personas, contando aproximadamente con 176 internos, en dicho centro funciona una escuela de educación básica, huerta, panadería y granja.</w:t>
      </w:r>
    </w:p>
    <w:p w:rsidR="00000000" w:rsidRDefault="00000000">
      <w:pPr>
        <w:tabs>
          <w:tab w:val="num" w:pos="720"/>
        </w:tabs>
        <w:autoSpaceDE w:val="0"/>
        <w:autoSpaceDN w:val="0"/>
        <w:adjustRightInd w:val="0"/>
        <w:spacing w:after="240"/>
        <w:jc w:val="center"/>
        <w:rPr>
          <w:b/>
          <w:iCs/>
        </w:rPr>
      </w:pPr>
      <w:r>
        <w:rPr>
          <w:b/>
          <w:iCs/>
        </w:rPr>
        <w:t>A.  Fortalecimiento de las políticas públicas de género</w:t>
      </w:r>
    </w:p>
    <w:p w:rsidR="00000000" w:rsidRDefault="00000000">
      <w:pPr>
        <w:autoSpaceDE w:val="0"/>
        <w:autoSpaceDN w:val="0"/>
        <w:adjustRightInd w:val="0"/>
        <w:spacing w:after="240"/>
      </w:pPr>
      <w:r>
        <w:t>105.</w:t>
      </w:r>
      <w:r>
        <w:tab/>
        <w:t>El programa de Gobierno, con el compromiso de fortalecer las políticas públicas de género a través de la Secretaría de la Mujer de la Presidencia de la República en articulación con el sector público y privado, ha impulsado la adopción de un firme compromiso con la implementación del Plan Nacional de Igualdad de Oportunidades para las Mujeres 1997-2001 y los mecanismos de articulación interinstitucional, descentralización y participación con la sociedad civil a su efecto.</w:t>
      </w:r>
    </w:p>
    <w:p w:rsidR="00000000" w:rsidRDefault="00000000">
      <w:pPr>
        <w:autoSpaceDE w:val="0"/>
        <w:autoSpaceDN w:val="0"/>
        <w:adjustRightInd w:val="0"/>
        <w:spacing w:after="240"/>
        <w:rPr>
          <w:u w:val="single"/>
        </w:rPr>
      </w:pPr>
      <w:r>
        <w:t>106.</w:t>
      </w:r>
      <w:r>
        <w:tab/>
        <w:t xml:space="preserve">Las iniciativas de la Secretaría de la Mujer de la Presidencia de la República, con el apoyo de las organizaciones de mujeres, redes, organismos internacionales y de cooperación datan del año 1993, año de su habilitación, tiempo que ha permitido procesos de transversalidad de género en las políticas públicas y la implementación de programas y proyectos dirigidos a alcanzar sus objetivos establecidos por Ley Nº 34/92.  Desde 1994 son varios los planes que se han implementado, siendo los de cobertura nacional el de erradicación de la violencia contra la mujer y los planes de igualdad.  En un recuento de este período de tiempo se han conseguido modificaciones legales favorables a la igualdad entre mujeres y hombres y la no discriminación hacia la mujer entre las que se señala las del Código Penal, Laboral, Electoral, Contra la Violencia Doméstica, ratificaciones de convenciones internacionales como la de Belem do Para, el Protocolo Facultativo de la CEDAW contra la delincuencia transnacional, el Estatuto de Roma y compromisos ante las plataformas de Beijing, El Cairo y los objetivos de desarrollo del Milenio en lo que a género y adelanto de la mujer se refieren particularmente en esta parte del informe.  </w:t>
      </w:r>
    </w:p>
    <w:p w:rsidR="00000000" w:rsidRDefault="00000000">
      <w:pPr>
        <w:autoSpaceDE w:val="0"/>
        <w:autoSpaceDN w:val="0"/>
        <w:adjustRightInd w:val="0"/>
        <w:spacing w:after="240"/>
        <w:rPr>
          <w:u w:val="single"/>
        </w:rPr>
      </w:pPr>
      <w:r>
        <w:t>107.</w:t>
      </w:r>
      <w:r>
        <w:tab/>
        <w:t>Asimismo, la instalación de instancias a favor de las políticas de género en este período ha permitido su avance y consolidación en algunos casos, en comisiones parlamentarias de ambas cámaras, en la Unidad de Derechos Humanos de la Corte Suprema de Justicia, en la Defensoría del Pueblo, en el ministerio público.  En los ministerios sectoriales como los de educación, salud, justicia y trabajo, agricultura y ganadería, en los gobiernos departamentales y municipales, la instalación de redes y comisiones mixtas, como también han sido relevantes la interacción con organismos internacionales y de cooperación externa como el sistema de las Naciones Unidas, la OEA, el Banco Interamericano de Desarrollo, GTZ (agencia de cooperación alemana), Agencia Canadiense de Desarrollo Internacional, Agencia Sueca de Desarrollo Internacional y muchos otros, y el acceso de las mujeres a cargos de poder, con el actual Gobierno, en la Cancillería Nacional, varios ministerios y secretarías sectoriales, la Presidencia del Banco Central, la Dirección Nacional de Aduanas y la Corte Suprema de Justicia.</w:t>
      </w:r>
    </w:p>
    <w:p w:rsidR="00000000" w:rsidRDefault="00000000">
      <w:pPr>
        <w:autoSpaceDE w:val="0"/>
        <w:autoSpaceDN w:val="0"/>
        <w:adjustRightInd w:val="0"/>
        <w:spacing w:after="240"/>
        <w:rPr>
          <w:u w:val="single"/>
        </w:rPr>
      </w:pPr>
      <w:r>
        <w:t>108.</w:t>
      </w:r>
      <w:r>
        <w:tab/>
        <w:t>Si bien puede señalarse un proceso positivo a favor de la conciencia de igualdad, se reconocen discriminaciones, factores culturales, normas y actitudes que aún las propician y mantienen por lo que la Secretaría de la Mujer implementa acciones en nueve ámbitos:  igualdad de derechos entre mujeres y hombres, cultura de igualdad, acceso a los recursos económicos y al trabajo, equidad en la educación, una salud integral, una vida libre de violencia, un ambiente sano y sustentable, participación social y política en igualdad de oportunidades, descentralización efectiva; instalando mecanismos de gestión interinstitucional y de participación con la ciudadanía.</w:t>
      </w:r>
    </w:p>
    <w:p w:rsidR="00000000" w:rsidRDefault="00000000">
      <w:pPr>
        <w:autoSpaceDE w:val="0"/>
        <w:autoSpaceDN w:val="0"/>
        <w:adjustRightInd w:val="0"/>
        <w:spacing w:after="240"/>
      </w:pPr>
      <w:r>
        <w:t>109.</w:t>
      </w:r>
      <w:r>
        <w:tab/>
        <w:t xml:space="preserve">Las principales acciones se vinculan a modificaciones legales aún necesarias como las del Código Penal, el Código Electoral en cuanto a la participación femenina, la filiación y el cumplimiento alimentario que afecta a niños y niñas y muy directamente a las mujeres.  A los cambios culturales en la mirada de la sociedad hacia la mujer y por ello se han encarado campañas de sensibilización, concienciación e información y otras actividades de motivación a la discusión y reflexión.  El fortalecimiento de programas de acceso de las mujeres a los recursos económicos y al trabajo, a la educación, la salud, la lucha contra la violencia hacia la mujer y el combate contra la trata de personas.  La instalación de mecanismos hacia el interior del país que garanticen la descentralización de las políticas de género y la participación de la ciudadanía en la gestión y toma de decisiones, el desarrollo sustentable transversalizando género y ambiente y promoviendo la participación social y política de género.  </w:t>
      </w:r>
    </w:p>
    <w:p w:rsidR="00000000" w:rsidRDefault="00000000">
      <w:pPr>
        <w:autoSpaceDE w:val="0"/>
        <w:autoSpaceDN w:val="0"/>
        <w:adjustRightInd w:val="0"/>
        <w:spacing w:after="240"/>
        <w:ind w:left="340" w:hanging="340"/>
        <w:jc w:val="center"/>
        <w:rPr>
          <w:b/>
          <w:bCs/>
        </w:rPr>
      </w:pPr>
      <w:r>
        <w:rPr>
          <w:b/>
          <w:bCs/>
        </w:rPr>
        <w:t>B.  Establecimiento de políticas públicas generacionales:</w:t>
      </w:r>
      <w:r>
        <w:rPr>
          <w:b/>
          <w:bCs/>
        </w:rPr>
        <w:br/>
        <w:t>infancia, juventud y tercera edad</w:t>
      </w:r>
    </w:p>
    <w:p w:rsidR="00000000" w:rsidRDefault="00000000">
      <w:pPr>
        <w:autoSpaceDE w:val="0"/>
        <w:autoSpaceDN w:val="0"/>
        <w:adjustRightInd w:val="0"/>
        <w:spacing w:after="240"/>
      </w:pPr>
      <w:r>
        <w:t>110.</w:t>
      </w:r>
      <w:r>
        <w:tab/>
        <w:t xml:space="preserve">Entre los serios déficit de las políticas públicas en el Paraguay, preocupa la efectiva implementación de un enfoque integral y transversal que incluya las necesidades, intereses y potencialidades específicas de la infancia, la juventud y la tercera edad, junto con la incorporación de la perspectiva de género.  Las acciones y programas dirigidos a estos grupos generalmente los consideran como grupos problema, e incluso es común atenderlos exclusivamente como grupos de riesgo y sujetos de beneficencia, sin tener en cuenta sus derechos y potencialidades de participación ciudadana con plenitud y equidad, así como su aporte actual en el quehacer social.  </w:t>
      </w:r>
    </w:p>
    <w:p w:rsidR="00000000" w:rsidRDefault="00000000">
      <w:pPr>
        <w:autoSpaceDE w:val="0"/>
        <w:autoSpaceDN w:val="0"/>
        <w:adjustRightInd w:val="0"/>
        <w:spacing w:after="240"/>
        <w:jc w:val="center"/>
        <w:rPr>
          <w:b/>
          <w:bCs/>
          <w:u w:val="single"/>
        </w:rPr>
      </w:pPr>
      <w:r>
        <w:rPr>
          <w:b/>
          <w:bCs/>
        </w:rPr>
        <w:t>C.  Políticas laborales y de empleo igualitarias</w:t>
      </w:r>
    </w:p>
    <w:p w:rsidR="00000000" w:rsidRDefault="00000000">
      <w:pPr>
        <w:autoSpaceDE w:val="0"/>
        <w:autoSpaceDN w:val="0"/>
        <w:adjustRightInd w:val="0"/>
        <w:spacing w:after="240"/>
      </w:pPr>
      <w:r>
        <w:t>111.</w:t>
      </w:r>
      <w:r>
        <w:tab/>
        <w:t>La participación económica de las mujeres ha aumentado considerablemente, esta situación se manifiesta en el incremento de la población económicamente activa (PEA) femenina.  El trabajo remunerado de la mujer, actualmente, es fundamental para sacar a las familias de la pobreza.  Ellas sin embargo siguen siendo las únicas responsables del trabajo doméstico.  En el área rural su participación en al ámbito productivo es innegable pero el reconocimiento a este trabajo no se refleja en las estadísticas nacionales, en las políticas públicas, etc.</w:t>
      </w:r>
    </w:p>
    <w:p w:rsidR="00000000" w:rsidRDefault="00000000">
      <w:pPr>
        <w:autoSpaceDE w:val="0"/>
        <w:autoSpaceDN w:val="0"/>
        <w:adjustRightInd w:val="0"/>
        <w:spacing w:after="240"/>
        <w:ind w:left="340" w:hanging="340"/>
        <w:jc w:val="center"/>
        <w:rPr>
          <w:b/>
          <w:bCs/>
        </w:rPr>
      </w:pPr>
      <w:r>
        <w:rPr>
          <w:b/>
          <w:bCs/>
        </w:rPr>
        <w:t>D.  Reorientación y reactivación de la economía, superación de la</w:t>
      </w:r>
      <w:r>
        <w:rPr>
          <w:b/>
          <w:bCs/>
        </w:rPr>
        <w:br/>
        <w:t>pobreza, integración y desarrollo humano sostenible</w:t>
      </w:r>
      <w:r>
        <w:rPr>
          <w:b/>
          <w:bCs/>
        </w:rPr>
        <w:br/>
        <w:t>con plena inclusión de las mujeres</w:t>
      </w:r>
    </w:p>
    <w:p w:rsidR="00000000" w:rsidRDefault="00000000">
      <w:pPr>
        <w:autoSpaceDE w:val="0"/>
        <w:autoSpaceDN w:val="0"/>
        <w:adjustRightInd w:val="0"/>
        <w:spacing w:after="240"/>
      </w:pPr>
      <w:r>
        <w:t>112.</w:t>
      </w:r>
      <w:r>
        <w:tab/>
        <w:t>Por su parte el Ministerio de Justicia y Trabajo y la Secretaría de la Mujer firmaron un convenio de cooperación conjunta para la implementación de un programa de acción con diversos componentes que contribuirá a mejorar las políticas públicas destinadas a mejorar el acceso a los recursos económicos y al trabajo de las mujeres paraguayas.  Previsto durante el denominado Segundo Plan Nacional de Igualdad de Oportunidades entre Mujeres y Hombres 2003</w:t>
      </w:r>
      <w:r>
        <w:noBreakHyphen/>
        <w:t>2007, el convenio de cooperación dispondrá acciones de capacitación para las mujeres trabajadoras.  Según especialistas, también asegura la plena vigencia de los derechos humanos de las reclusas de todo el país.  Su implementación prevé la formación de un equipo técnico encargado de diseñar el plan operativo a instancias de ambas entidades, de acuerdo con las disponibilidades presupuestarias, detallaron.  En opinión de la Ministra de la Mujer, María José Argaña, "las mujeres paraguayas en comparación con los hombres están en desigualdad de condiciones en todos los ámbitos y especialmente en el económico".</w:t>
      </w:r>
    </w:p>
    <w:p w:rsidR="00000000" w:rsidRDefault="00000000">
      <w:pPr>
        <w:autoSpaceDE w:val="0"/>
        <w:autoSpaceDN w:val="0"/>
        <w:adjustRightInd w:val="0"/>
        <w:spacing w:after="240"/>
      </w:pPr>
      <w:r>
        <w:t>113.</w:t>
      </w:r>
      <w:r>
        <w:tab/>
        <w:t xml:space="preserve">Las cifras revelan que el desempleo alcanza el 18%, mientras el de los hombres es la mitad, y en lo relativo al salario, ellas ganan el 73,1% del ingreso mensual de ellos, de acuerdo con la secretaria de Estado.  En anteriores reuniones con líderes del ámbito empresarial e industrial, Argaña destacó que para combatir la pobreza es necesario reinsertarlas al mercado laboral.  La firma de este nuevo convenio, que entrará en vigor inmediatamente y tendrá una duración de tres años prorrogables, es una iniciativa de la Secretaría de la Mujer para apoyar las reivindicaciones del sexo femenino.  A principios de este mes, esa dependencia estatal inició una campaña contra el acoso sexual.  Durante su apertura, se afirmó que ese delito también afecta a los hombres, pero las cifras revelan una mayor incidencia en mujeres.  </w:t>
      </w:r>
    </w:p>
    <w:p w:rsidR="00000000" w:rsidRDefault="00000000">
      <w:pPr>
        <w:autoSpaceDE w:val="0"/>
        <w:autoSpaceDN w:val="0"/>
        <w:adjustRightInd w:val="0"/>
        <w:spacing w:after="240"/>
        <w:ind w:left="340" w:hanging="340"/>
        <w:jc w:val="center"/>
        <w:rPr>
          <w:b/>
          <w:bCs/>
        </w:rPr>
      </w:pPr>
      <w:r>
        <w:rPr>
          <w:b/>
          <w:bCs/>
        </w:rPr>
        <w:t xml:space="preserve">E.  Impulso del acceso de mujeres al poder a fin de </w:t>
      </w:r>
      <w:r>
        <w:rPr>
          <w:b/>
          <w:bCs/>
        </w:rPr>
        <w:br/>
        <w:t>conseguir la igualdad laboral</w:t>
      </w:r>
    </w:p>
    <w:p w:rsidR="00000000" w:rsidRDefault="00000000">
      <w:pPr>
        <w:autoSpaceDE w:val="0"/>
        <w:autoSpaceDN w:val="0"/>
        <w:adjustRightInd w:val="0"/>
        <w:spacing w:after="480"/>
      </w:pPr>
      <w:r>
        <w:t>114.</w:t>
      </w:r>
      <w:r>
        <w:tab/>
        <w:t>En 2005 la Secretaría de la Mujer del Paraguay habilitó el Centro de Liderazgo Femenino, iniciativa que cuenta con el apoyo del Tribunal Superior de Justicia Electoral (TSJE), que es una instancia que impulsa el acceso de las mujeres a las estructuras de poder en el país.  El Centro está diseñado para otorgar capacitación a las mujeres jóvenes y adultas de manera diferenciada, y constituirse en una guía hacia el poder para romper con las barreras que les impiden acceder a espacios de decisión, fomentando en ellas actitudes y habilidades favorables en la construcción de una sociedad más equitativa.  La meta propuesta es la capacitación de 1.000 mujeres en el primer año y 100.000 para el año 2008.  El lanzamiento del Centro coincide con una época muy significativa para el Paraguay, porque "estamos en la transición hacia una incorporación de un mayor número de espacios para las mujeres en cargos electivos, a las puertas de nuevas elecciones de partidos y de intendencias y a tres años de las próximas elecciones generales, por lo cual la meta debe ser mejorar el acceso de la mujer a las estructuras de poder".  La apertura del Centro se ajusta a los lineamientos del Segundo Plan de Igualdad de Oportunidades, al VIII de Participación Social y Política, además de responder a las recomendaciones de la Convención sobre la eliminación de todas las formas de discriminación contra la mujer.  Asimismo, es importante destacar que en enero del 2005 el Paraguay ha defendido su informe ante el Comité CEDAW cuyas observaciones además de haberlas difundido y haberlas insertado en planes de acción, sirven igualmente de orientación en la redacción de este informe con el objetivo de señalar los avances y principales preocupaciones a nivel nacional.</w:t>
      </w:r>
    </w:p>
    <w:p w:rsidR="00000000" w:rsidRDefault="00000000">
      <w:pPr>
        <w:autoSpaceDE w:val="0"/>
        <w:autoSpaceDN w:val="0"/>
        <w:adjustRightInd w:val="0"/>
        <w:spacing w:after="240"/>
        <w:ind w:left="397" w:hanging="397"/>
        <w:jc w:val="center"/>
        <w:rPr>
          <w:b/>
          <w:caps/>
          <w:color w:val="000000"/>
        </w:rPr>
      </w:pPr>
      <w:r>
        <w:rPr>
          <w:b/>
          <w:caps/>
          <w:color w:val="000000"/>
        </w:rPr>
        <w:t>IV.  Marco normativo de protección a los</w:t>
      </w:r>
      <w:r>
        <w:rPr>
          <w:b/>
          <w:caps/>
          <w:color w:val="000000"/>
        </w:rPr>
        <w:br/>
        <w:t>derechos humanos</w:t>
      </w:r>
      <w:r>
        <w:rPr>
          <w:rStyle w:val="FootnoteReference"/>
          <w:bCs/>
          <w:caps/>
          <w:color w:val="000000"/>
        </w:rPr>
        <w:footnoteReference w:id="14"/>
      </w:r>
    </w:p>
    <w:p w:rsidR="00000000" w:rsidRDefault="00000000">
      <w:pPr>
        <w:autoSpaceDE w:val="0"/>
        <w:autoSpaceDN w:val="0"/>
        <w:adjustRightInd w:val="0"/>
        <w:spacing w:after="480"/>
      </w:pPr>
      <w:r>
        <w:t>115.</w:t>
      </w:r>
      <w:r>
        <w:tab/>
        <w:t>La República del Paraguay presentó su informe periódico al Comité de Derechos Civiles y Políticos en fecha 12 julio de 2004, dicho informe fue examinado los días 19 y 20 octubre de 2005, oportunidad en que se remitió información actualizada respecto a la situación de los derechos humanos en el Paraguay, así como todo lo que atañe al marco normativo de protección de los mismos.  En ese sentido, en el citado informe, se encuentran detallados los mecanismos del marco legal paraguayo respecto a la promoción y protección los derechos humanos; desde ese entonces no se han producido cambios al referido sistema de protección, salvo el proyecto del nuevo estatuto de las comunidades indígenas, que pretende derogar la Ley Nº 904 e introducir cambios en la legislación existente.  Sin embargo hasta la fecha, luego de su promulgación por parte del poder legislativo dicho proyecto de ley se encuentra en estudio ante el ejecutivo para su posterior promulgación o en su defecto el veto y retorno a las comisiones del Congreso de la Nación, proceso que se encuentra actualmente estancado a razón del desacuerdo que han manifestado algunos sectores de las comunidades indígenas.</w:t>
      </w:r>
    </w:p>
    <w:p w:rsidR="00000000" w:rsidRDefault="00000000">
      <w:pPr>
        <w:keepNext/>
        <w:keepLines/>
        <w:spacing w:after="240"/>
        <w:ind w:left="448" w:hanging="448"/>
        <w:jc w:val="center"/>
        <w:rPr>
          <w:b/>
        </w:rPr>
      </w:pPr>
      <w:r>
        <w:rPr>
          <w:b/>
        </w:rPr>
        <w:t>V.  SEGUNDA PARTE:  RESPUESTA AL CUESTIONARIO SOBRE</w:t>
      </w:r>
      <w:r>
        <w:rPr>
          <w:b/>
        </w:rPr>
        <w:br/>
        <w:t>DERECHOS ECONÓMICOS, SOCIALES Y CULTURALES</w:t>
      </w:r>
      <w:r>
        <w:rPr>
          <w:rStyle w:val="FootnoteReference"/>
          <w:bCs/>
        </w:rPr>
        <w:footnoteReference w:id="15"/>
      </w:r>
    </w:p>
    <w:p w:rsidR="00000000" w:rsidRDefault="00000000">
      <w:pPr>
        <w:keepNext/>
        <w:keepLines/>
        <w:spacing w:after="240"/>
        <w:rPr>
          <w:b/>
        </w:rPr>
      </w:pPr>
      <w:r>
        <w:rPr>
          <w:b/>
        </w:rPr>
        <w:t>Artículo 1</w:t>
      </w:r>
    </w:p>
    <w:p w:rsidR="00000000" w:rsidRDefault="00000000">
      <w:pPr>
        <w:autoSpaceDE w:val="0"/>
        <w:autoSpaceDN w:val="0"/>
        <w:adjustRightInd w:val="0"/>
        <w:spacing w:after="240"/>
      </w:pPr>
      <w:r>
        <w:t>116.</w:t>
      </w:r>
      <w:r>
        <w:tab/>
        <w:t xml:space="preserve">La implementación del derecho a la libre determinación, y en particular con relación a la libre determinación de los pueblos indígenas, está consagrada en el Paraguay en forma muy clara en la Constitución nacional de 1992, capítulo V "De los pueblos indígenas" en donde el artículo 62 "De los pueblos indígenas y grupos étnicos", expresa:  "Esta Constitución reconoce la existencia de los pueblos indígenas, definidos como grupos de culturas anteriores a la formación y a la organización del Estado paraguayo".  El artículo 63 "De la identidad étnica" expresa aun más claramente:  "Queda reconocido y garantizado el derecho de los pueblos indígenas a preservar y a desarrollar su identidad étnica en el respectivo hábitat.  Tienen derecho asimismo a aplicar libremente sus sistemas de organización política, social, económica, cultural y religiosa al igual que la voluntaria sujeción a sus normas consuetudinarias para la regulación de la convivencia interna, siempre que ellas no atenten contra los derechos fundamentales establecidos en esta Constitución.  En los conflictos jurisdiccionales se tendrá en cuenta el derecho consuetudinario indígena".  El artículo 64 "De la propiedad comunitaria", </w:t>
      </w:r>
      <w:r>
        <w:rPr>
          <w:i/>
          <w:iCs/>
        </w:rPr>
        <w:t>in fine</w:t>
      </w:r>
      <w:r>
        <w:t xml:space="preserve"> expresa:  "Se prohíbe la remoción o traslado de su hábitat sin expreso consentimiento de los mismos".</w:t>
      </w:r>
    </w:p>
    <w:p w:rsidR="00000000" w:rsidRDefault="00000000">
      <w:pPr>
        <w:autoSpaceDE w:val="0"/>
        <w:autoSpaceDN w:val="0"/>
        <w:adjustRightInd w:val="0"/>
        <w:spacing w:after="240"/>
      </w:pPr>
      <w:r>
        <w:t>117.</w:t>
      </w:r>
      <w:r>
        <w:tab/>
        <w:t>Asimismo, estos derechos están reconocidos en el mismo espíritu de la ley fundamental, la Ley Nº 904/81 "Estatuto de las comunidades indígenas" así como en la Ley Nº 234/93 que aprueba el Convenio Nº 169 de la OIT sobre pueblos indígenas y tribales en países independientes.</w:t>
      </w:r>
    </w:p>
    <w:p w:rsidR="00000000" w:rsidRDefault="00000000">
      <w:pPr>
        <w:autoSpaceDE w:val="0"/>
        <w:autoSpaceDN w:val="0"/>
        <w:adjustRightInd w:val="0"/>
        <w:spacing w:after="240"/>
      </w:pPr>
      <w:r>
        <w:t>118.</w:t>
      </w:r>
      <w:r>
        <w:tab/>
        <w:t>En cuanto a las medidas legislativas y de otra índole adoptadas por el Estado para el pleno goce del derecho a la herencia cultural de los grupos étnicos nacionales, minorías y pueblos indígenas podemos mencionar que el artículo 65 de la Constitución nacional "Del derecho a la participación" expresa:  "Se garantiza a los pueblos indígenas el derecho a participar en la vida económica, social, política y cultural del país, de acuerdo con sus usos consuetudinarios, esta Constitución y las leyes nacionales"; el artículo 66 "De la educación y la asistencia" expresa:  "El Estado respetará las peculiaridades culturales de los pueblos indígenas especialmente en lo relativo a la educación formal.  Se atenderá además, a su defensa contra la regresión demográfica, la depredación de su hábitat, la contaminación ambiental, la explotación económica y la alienación cultural"; el artículo 67 "De la enseñanza en lengua materna" expresa:  "La enseñanza en los comienzos del proceso escolar se iniciará en la lengua oficial materna del educando.  Se instruirá asimismo en el conocimiento y en el empleo de ambos idiomas oficiales de la República.  En el caso de las minorías étnicas cuya lengua materna no sea el guaraní se podrá elegir uno de los dos idiomas oficiales".</w:t>
      </w:r>
    </w:p>
    <w:p w:rsidR="00000000" w:rsidRDefault="00000000">
      <w:pPr>
        <w:autoSpaceDE w:val="0"/>
        <w:autoSpaceDN w:val="0"/>
        <w:adjustRightInd w:val="0"/>
        <w:spacing w:after="240"/>
      </w:pPr>
      <w:r>
        <w:t>119.</w:t>
      </w:r>
      <w:r>
        <w:tab/>
        <w:t>En cuanto a los aspectos positivos existen leyes que protegen especialmente a las comunidades indígenas y otros grupos más vulnerables que son las ya mencionadas, como así mismo el Código Procesal Penal vigente prevé un tratamiento diferenciado en el caso de estar involucrado algún indígena.  Por otro lado, se han adquirido tierras para los indígenas; el Instituto Paraguayo del Indígena (INDI) en las medidas de las posibilidades los protege jurídicamente a través de su departamento jurídico especialmente en el fuero civil como por ejemplos en reivindicaciones, desalojo, etc.  Así también dicha institución tropieza con aspectos negativos como puede ser la incomprensión de algunos jueces en cuestiones indígenas y también en el Parlamento Nacional, en particular con relación a las expropiaciones, especialmente por la falta de recursos económicos y financieros para la debida indemnización a los propietarios de las tierras expropiadas.</w:t>
      </w:r>
    </w:p>
    <w:p w:rsidR="00000000" w:rsidRDefault="00000000">
      <w:pPr>
        <w:autoSpaceDE w:val="0"/>
        <w:autoSpaceDN w:val="0"/>
        <w:adjustRightInd w:val="0"/>
        <w:spacing w:after="240"/>
      </w:pPr>
      <w:r>
        <w:t>120.</w:t>
      </w:r>
      <w:r>
        <w:tab/>
        <w:t>De acuerdo con los datos del segundo Censo Nacional Indígena de Población y Viviendas 2002, los indígenas del país están asentados predominantemente en el área rural (91,5%).  El 8,5% restante se ubica en la zona urbana donde cinco etnias tienen una presencia significativa:  maka (77,4%); maskoy (32,7%); guaraní occidental (29,4%); nivacle (25,2%); enxet (24,4%).</w:t>
      </w:r>
    </w:p>
    <w:p w:rsidR="00000000" w:rsidRDefault="00000000">
      <w:pPr>
        <w:keepNext/>
        <w:spacing w:after="240"/>
        <w:jc w:val="center"/>
        <w:rPr>
          <w:b/>
        </w:rPr>
      </w:pPr>
      <w:r>
        <w:rPr>
          <w:b/>
        </w:rPr>
        <w:t>A.  Informe general sobre situación indígena</w:t>
      </w:r>
    </w:p>
    <w:p w:rsidR="00000000" w:rsidRDefault="00000000">
      <w:pPr>
        <w:autoSpaceDE w:val="0"/>
        <w:autoSpaceDN w:val="0"/>
        <w:adjustRightInd w:val="0"/>
        <w:spacing w:after="240"/>
      </w:pPr>
      <w:r>
        <w:t>121.</w:t>
      </w:r>
      <w:r>
        <w:tab/>
        <w:t>En el afán de atender la problemática de los indígenas que viven en la zona urbana, en particular en el departamento Central, el INDI inició un proceso de articulación interinstitucional con el Ministerio de Salud Pública y Bienestar Social, la Secretaría de Acción Social, la Secretaría de Emergencia Nacional y la Secretaría Nacional de la Niñez y la Adolescencia.  Con esta última institución se realizó el abordaje de los niños y niñas indígenas en situación de calle, una de las facetas más problemática de la realidad urbana de los indígenas.  Este trabajo permitió rescatar a niños y niñas indígenas en estado de peligro y abandono.  Como resultado, la mayoría de ellos hoy vive en su comunidad lejos de las adicciones.</w:t>
      </w:r>
    </w:p>
    <w:p w:rsidR="00000000" w:rsidRDefault="00000000">
      <w:pPr>
        <w:autoSpaceDE w:val="0"/>
        <w:autoSpaceDN w:val="0"/>
        <w:adjustRightInd w:val="0"/>
        <w:spacing w:after="240"/>
      </w:pPr>
      <w:r>
        <w:t>122.</w:t>
      </w:r>
      <w:r>
        <w:tab/>
        <w:t xml:space="preserve">Al mismo tiempo y de manera paralela a las acciones de contención y emergencia a estas familias indígenas, esta institución inició un proceso que pretende atacar el problema de fondo:  el abandono y desarraigo de sus comunidades, para ello desarrolló un nuevo enfoque en su tarea de gestión social, proveyendo asistencia a los indígenas en su propia comunidad de modo a responder con mayor eficacia a las necesidades existentes y promover al mismo tiempo, el desarrollo de las mismas.  </w:t>
      </w:r>
    </w:p>
    <w:p w:rsidR="00000000" w:rsidRDefault="00000000">
      <w:pPr>
        <w:autoSpaceDE w:val="0"/>
        <w:autoSpaceDN w:val="0"/>
        <w:adjustRightInd w:val="0"/>
        <w:spacing w:after="240"/>
      </w:pPr>
      <w:r>
        <w:t>123.</w:t>
      </w:r>
      <w:r>
        <w:tab/>
        <w:t xml:space="preserve">Parte fundamental de las respuestas a estas necesidades representa la entrega regular de víveres (arroz, fideo, poroto, locro, azúcar, hierba, galleta, aceite y carne conservada).  Como sucede con la entrega de estas provisiones en las comunidades, la institución se asegura que las familias reciban efectivamente las provisiones, pues éstas no quedan bajo el manejo discrecional de los líderes.  Esto, debido a la constatación que, en algunos casos, los líderes lucraban con los víveres recibidos, con lo cual éstos nunca llegaban a las familias verdaderamente necesitadas.  En general, los víveres son entregados para consumo diario, como apoyo alimentario en épocas de producción, o bien como apoyo para el fortalecimiento nutricional ante la presencia de enfermedades.  Además de los víveres, las familias reciben herramientas y semillas para iniciar así la producción de autoconsumo.  </w:t>
      </w:r>
    </w:p>
    <w:p w:rsidR="00000000" w:rsidRDefault="00000000">
      <w:pPr>
        <w:autoSpaceDE w:val="0"/>
        <w:autoSpaceDN w:val="0"/>
        <w:adjustRightInd w:val="0"/>
        <w:spacing w:after="240"/>
      </w:pPr>
      <w:r>
        <w:t>124.</w:t>
      </w:r>
      <w:r>
        <w:tab/>
        <w:t>Se debe señalar en particular, que se ha procedido a la provisión de víveres, carpas y asistencia médica a los indígenas que permanecieron durante un mes en la plaza Italia (capital) a la espera de la aprobación del nuevo estatuto indígena.  Para esta tarea se contó con el apoyo de la Dirección de Beneficencia Nacional (DIBEN) y la Secretaría de Emergencia Nacional (SEN).  Igual tarea se desarrolló con los indígenas que acamparon en el Seminario Metropolitano en desacuerdo con la ley aprobada por el Congreso.  Actualmente este proyecto de ley se encuentra con veto parcial del poder ejecutivo.</w:t>
      </w:r>
    </w:p>
    <w:p w:rsidR="00000000" w:rsidRDefault="00000000">
      <w:pPr>
        <w:autoSpaceDE w:val="0"/>
        <w:autoSpaceDN w:val="0"/>
        <w:adjustRightInd w:val="0"/>
        <w:spacing w:after="240"/>
      </w:pPr>
      <w:r>
        <w:t>125.</w:t>
      </w:r>
      <w:r>
        <w:tab/>
        <w:t>En cuanto a la atención de salud, la institución coordina su labor con el Ministerio de Salud Pública y Bienestar Social a través de los diferentes centros asistenciales, hospitales, el Instituto Juan Max Boettner, el Instituto Materno Infantil, las emergencias médicas, el Hospital de Clínicas, el Hospital Militar, entre otros, constituidos en receptáculos de la necesidad asistencial de estas comunidades.  Como resultado de una evaluación general de la situación de salud de los indígenas asistidos habitualmente por el INDI, se puede afirmar que los cuadros predominantes son las afecciones respiratorias agudas, diarreas agudas, parasitosis, anemia, desnutrición, tuberculosis, entre otros.</w:t>
      </w:r>
    </w:p>
    <w:p w:rsidR="00000000" w:rsidRDefault="00000000">
      <w:pPr>
        <w:autoSpaceDE w:val="0"/>
        <w:autoSpaceDN w:val="0"/>
        <w:adjustRightInd w:val="0"/>
        <w:spacing w:after="240"/>
      </w:pPr>
      <w:r>
        <w:t>126.</w:t>
      </w:r>
      <w:r>
        <w:tab/>
        <w:t>El presupuesto de que dispone la institución son unos 6.000 millones de guaraníes y le permite llegar a 22 de las 412 comunidades existentes.  No obstante, y a partir del esfuerzo de optimización de recursos, el INDI llega hoy a unas 60 comunidades que representan unas 1.200 familias.  Es importante apuntar que los indígenas temporalmente asentados en la capital acuden regularmente al INDI, cuyo espacio sumamente reducido para la cantidad de personas que recibe, no posee las condiciones para convertirse en un albergue temporal, a pesar de lo cual, muchas veces, lo es.</w:t>
      </w:r>
    </w:p>
    <w:p w:rsidR="00000000" w:rsidRDefault="00000000">
      <w:pPr>
        <w:autoSpaceDE w:val="0"/>
        <w:autoSpaceDN w:val="0"/>
        <w:adjustRightInd w:val="0"/>
        <w:spacing w:after="240"/>
      </w:pPr>
      <w:r>
        <w:t>127.</w:t>
      </w:r>
      <w:r>
        <w:tab/>
        <w:t>Como parte de la asistencia provisoria que se brinda a los indígenas que se acercan al Instituto, sea para solicitar asistencia médica, realizar gestiones internas o en otras entidades, como aquellos que llegar para manifestarse ocupando diferentes plazas, reciben diariamente tres comidas.  Estos últimos (manifestantes), en general son traídos por líderes de sus comunidades u otras personas u organizaciones en la búsqueda de lograr reivindicaciones, aunque muchas veces también son manipulados inescrupulosamente por intereses personales.  Una consecuencia más de su grado de vulnerabilidad</w:t>
      </w:r>
      <w:r>
        <w:rPr>
          <w:rStyle w:val="FootnoteReference"/>
        </w:rPr>
        <w:footnoteReference w:id="16"/>
      </w:r>
      <w:r>
        <w:t>.</w:t>
      </w:r>
    </w:p>
    <w:p w:rsidR="00000000" w:rsidRDefault="00000000">
      <w:pPr>
        <w:spacing w:after="240"/>
        <w:jc w:val="center"/>
        <w:rPr>
          <w:b/>
        </w:rPr>
      </w:pPr>
      <w:r>
        <w:rPr>
          <w:b/>
        </w:rPr>
        <w:t>B.  Programas y proyectos en gestión</w:t>
      </w:r>
    </w:p>
    <w:p w:rsidR="00000000" w:rsidRDefault="00000000">
      <w:pPr>
        <w:numPr>
          <w:ilvl w:val="0"/>
          <w:numId w:val="2"/>
        </w:numPr>
        <w:spacing w:after="240"/>
      </w:pPr>
      <w:r>
        <w:t>Proyecto de fortalecimiento de la institucionalidad indígena del Paraguay, con apoyo del Banco Interamericano de Desarrollo (BID);</w:t>
      </w:r>
    </w:p>
    <w:p w:rsidR="00000000" w:rsidRDefault="00000000">
      <w:pPr>
        <w:numPr>
          <w:ilvl w:val="0"/>
          <w:numId w:val="2"/>
        </w:numPr>
        <w:spacing w:after="240"/>
      </w:pPr>
      <w:r>
        <w:t>Proyecto de mejoramiento del sistema de asistencia de salud y seguridad alimentaria de comunidades indígenas en los departamentos de Caaguazu, Presidente Hayes y Boquerón, con apoyo de la Agencia de Cooperación Internacional de Corea (KOICA, por sus siglas en inglés);</w:t>
      </w:r>
    </w:p>
    <w:p w:rsidR="00000000" w:rsidRDefault="00000000">
      <w:pPr>
        <w:numPr>
          <w:ilvl w:val="0"/>
          <w:numId w:val="2"/>
        </w:numPr>
        <w:spacing w:after="240"/>
      </w:pPr>
      <w:r>
        <w:t xml:space="preserve">Programa de reinserción social de familias indígenas en situación de calle:  fortalecimiento organizativo y refuerzo productivo de sus comunidades de origen, en coordinación con la Secretaría Nacional de la Niñez y la Adolescencia (SNNA).  </w:t>
      </w:r>
    </w:p>
    <w:p w:rsidR="00000000" w:rsidRDefault="00000000">
      <w:pPr>
        <w:spacing w:after="240"/>
        <w:rPr>
          <w:b/>
        </w:rPr>
      </w:pPr>
      <w:r>
        <w:rPr>
          <w:b/>
        </w:rPr>
        <w:t>Artículo 2</w:t>
      </w:r>
    </w:p>
    <w:p w:rsidR="00000000" w:rsidRDefault="00000000">
      <w:pPr>
        <w:autoSpaceDE w:val="0"/>
        <w:autoSpaceDN w:val="0"/>
        <w:adjustRightInd w:val="0"/>
        <w:spacing w:after="240"/>
        <w:rPr>
          <w:bCs/>
        </w:rPr>
      </w:pPr>
      <w:r>
        <w:rPr>
          <w:bCs/>
        </w:rPr>
        <w:t>128.</w:t>
      </w:r>
      <w:r>
        <w:rPr>
          <w:bCs/>
        </w:rPr>
        <w:tab/>
        <w:t xml:space="preserve">El artículo 46 de la Constitución nacional sienta el marco rector para la igualdad de las personas, ya que en él se </w:t>
      </w:r>
      <w:r>
        <w:t>establece</w:t>
      </w:r>
      <w:r>
        <w:rPr>
          <w:bCs/>
        </w:rPr>
        <w:t xml:space="preserve"> que:  "Todos los habitantes de la República son iguales en dignidad y </w:t>
      </w:r>
      <w:r>
        <w:t>derechos</w:t>
      </w:r>
      <w:r>
        <w:rPr>
          <w:bCs/>
        </w:rPr>
        <w:t>.  No se admiten discriminaciones.  El Estado removerá los obstáculos e impedirá los factores que las mantengan o las propicien".  Así también:  "Las protecciones que se establezcan sobre desigualdades injustas no serán consideradas como factores discriminatorios sino igualitarios".</w:t>
      </w:r>
    </w:p>
    <w:p w:rsidR="00000000" w:rsidRDefault="00000000">
      <w:pPr>
        <w:autoSpaceDE w:val="0"/>
        <w:autoSpaceDN w:val="0"/>
        <w:adjustRightInd w:val="0"/>
        <w:spacing w:after="240"/>
      </w:pPr>
      <w:r>
        <w:t>129.</w:t>
      </w:r>
      <w:r>
        <w:tab/>
        <w:t>En ese sentido, si bien en el marco legal paraguayo no existen restricciones discriminatorias que impidan el goce de los derechos reconocidos por el Pacto, en particular hacia cualquier grupo vulnerable, la Ley Nº 2532 tiene como principal objetivo establecer una zona de seguridad fronteriza, y de este modo salvaguardar la franja de frontera de la privatización del territorio paraguayo a favor de extranjeros.</w:t>
      </w:r>
    </w:p>
    <w:p w:rsidR="00000000" w:rsidRDefault="00000000">
      <w:pPr>
        <w:autoSpaceDE w:val="0"/>
        <w:autoSpaceDN w:val="0"/>
        <w:adjustRightInd w:val="0"/>
        <w:spacing w:after="240"/>
        <w:rPr>
          <w:bCs/>
        </w:rPr>
      </w:pPr>
      <w:r>
        <w:rPr>
          <w:bCs/>
        </w:rPr>
        <w:t>130.</w:t>
      </w:r>
      <w:r>
        <w:rPr>
          <w:bCs/>
        </w:rPr>
        <w:tab/>
        <w:t xml:space="preserve">La Ley Nº 2532, artículo 1, establece </w:t>
      </w:r>
      <w:r>
        <w:rPr>
          <w:b/>
          <w:bCs/>
          <w:iCs/>
        </w:rPr>
        <w:t>"zona de seguridad fronteriza"</w:t>
      </w:r>
      <w:r>
        <w:rPr>
          <w:bCs/>
        </w:rPr>
        <w:t xml:space="preserve"> la franja de 50 km </w:t>
      </w:r>
      <w:r>
        <w:t>adyacente</w:t>
      </w:r>
      <w:r>
        <w:rPr>
          <w:bCs/>
        </w:rPr>
        <w:t xml:space="preserve"> a las líneas de frontera terrestre y fluvial dentro del territorio nacional.  Artículo 2:  Salvo </w:t>
      </w:r>
      <w:r>
        <w:t>autorización</w:t>
      </w:r>
      <w:r>
        <w:rPr>
          <w:bCs/>
        </w:rPr>
        <w:t xml:space="preserve"> por decreto del poder ejecutivo, fundada en razones de interés público, como aquellas </w:t>
      </w:r>
      <w:r>
        <w:t>actividades que generan ocupación de mano de obra en la zona de seguridad fronteriza, los extranjeros</w:t>
      </w:r>
      <w:r>
        <w:rPr>
          <w:bCs/>
        </w:rPr>
        <w:t xml:space="preserve"> oriundos de cualquiera de los países limítrofes de la República o las personas jurídicas integradas mayoritariamente por extranjeros oriundos de cualquiera de los países limítrofes de la República, no podrán ser propietarios, condominios o usufructuarios de inmuebles rurales.</w:t>
      </w:r>
    </w:p>
    <w:p w:rsidR="00000000" w:rsidRDefault="00000000">
      <w:pPr>
        <w:autoSpaceDE w:val="0"/>
        <w:autoSpaceDN w:val="0"/>
        <w:adjustRightInd w:val="0"/>
        <w:spacing w:after="240"/>
        <w:rPr>
          <w:bCs/>
        </w:rPr>
      </w:pPr>
      <w:r>
        <w:rPr>
          <w:bCs/>
        </w:rPr>
        <w:t>131.</w:t>
      </w:r>
      <w:r>
        <w:rPr>
          <w:bCs/>
        </w:rPr>
        <w:tab/>
        <w:t xml:space="preserve">La Ley Nº 1863, artículo 45, </w:t>
      </w:r>
      <w:r>
        <w:rPr>
          <w:bCs/>
          <w:iCs/>
        </w:rPr>
        <w:t>"</w:t>
      </w:r>
      <w:r>
        <w:rPr>
          <w:b/>
          <w:bCs/>
          <w:iCs/>
        </w:rPr>
        <w:t>Adjudicación limitada en tierras de frontera</w:t>
      </w:r>
      <w:r>
        <w:rPr>
          <w:bCs/>
          <w:iCs/>
        </w:rPr>
        <w:t>" e</w:t>
      </w:r>
      <w:r>
        <w:rPr>
          <w:bCs/>
        </w:rPr>
        <w:t xml:space="preserve">stablece que en los asentamientos oficiales </w:t>
      </w:r>
      <w:r>
        <w:t>las</w:t>
      </w:r>
      <w:r>
        <w:rPr>
          <w:bCs/>
        </w:rPr>
        <w:t xml:space="preserve"> tierras serán adjudicadas exclusivamente a ciudadanos paraguayos, </w:t>
      </w:r>
      <w:r>
        <w:t>salvo</w:t>
      </w:r>
      <w:r>
        <w:rPr>
          <w:bCs/>
        </w:rPr>
        <w:t xml:space="preserve"> la excepción establecida en la presente ley.  En las colonizaciones </w:t>
      </w:r>
      <w:r>
        <w:t>privadas</w:t>
      </w:r>
      <w:r>
        <w:rPr>
          <w:bCs/>
        </w:rPr>
        <w:t xml:space="preserve"> que se creen a partir de la promulgación de la presente ley en tierras de frontera, consideradas las mismas como la franja del territorio nacional que se extiende a partir de sus límites hasta una profundidad de 50 km, los lotes resultantes serán adjudicados en una proporción no menor del 50% (cincuenta por ciento) a ciudadanos paraguayos.</w:t>
      </w:r>
    </w:p>
    <w:p w:rsidR="00000000" w:rsidRDefault="00000000">
      <w:pPr>
        <w:autoSpaceDE w:val="0"/>
        <w:autoSpaceDN w:val="0"/>
        <w:adjustRightInd w:val="0"/>
        <w:spacing w:after="240"/>
      </w:pPr>
      <w:r>
        <w:t>132.</w:t>
      </w:r>
      <w:r>
        <w:tab/>
        <w:t>En cuanto a la legislación laboral para extranjeros y en particular lo referente al permiso de trabajo o residencia en el país, la Ley de migraciones establece:</w:t>
      </w:r>
    </w:p>
    <w:p w:rsidR="00000000" w:rsidRDefault="00000000">
      <w:pPr>
        <w:numPr>
          <w:ilvl w:val="0"/>
          <w:numId w:val="3"/>
        </w:numPr>
        <w:spacing w:after="240"/>
      </w:pPr>
      <w:r>
        <w:rPr>
          <w:b/>
        </w:rPr>
        <w:t xml:space="preserve">Artículo 62.  </w:t>
      </w:r>
      <w:r>
        <w:t>Está prohibido a los extranjeros que residan ilegalmente en el país, trabajar en tareas remuneradas o lucrativas, ya sea por cuenta propia o ajena, con o sin relación de dependencia.</w:t>
      </w:r>
    </w:p>
    <w:p w:rsidR="00000000" w:rsidRDefault="00000000">
      <w:pPr>
        <w:numPr>
          <w:ilvl w:val="0"/>
          <w:numId w:val="3"/>
        </w:numPr>
        <w:spacing w:after="240"/>
      </w:pPr>
      <w:r>
        <w:rPr>
          <w:b/>
        </w:rPr>
        <w:t xml:space="preserve">Artículo 63.  </w:t>
      </w:r>
      <w:r>
        <w:t>Ninguna persona física o jurídica, pública o privada, podrá proporcionar trabajo u ocupación remunerada a los extranjeros que residan ilegalmente en el país o que, residiendo legalmente no estuviesen habilitados para ejercer dichas actividades.</w:t>
      </w:r>
    </w:p>
    <w:p w:rsidR="00000000" w:rsidRDefault="00000000">
      <w:pPr>
        <w:numPr>
          <w:ilvl w:val="0"/>
          <w:numId w:val="3"/>
        </w:numPr>
        <w:spacing w:after="240"/>
      </w:pPr>
      <w:r>
        <w:rPr>
          <w:b/>
        </w:rPr>
        <w:t xml:space="preserve">Artículo 68.  </w:t>
      </w:r>
      <w:r>
        <w:t>Todo empleador, al proporcionar trabajo u ocupación o contratar extranjeros, ya sea para desarrollar actividades por su cuenta o bajo relación de dependencia, le exigirá sin excepción el documento de identidad paraguayo en el que conste que el extranjero es residente permanente o temporario y en este último caso que su plazo de permanencia se encuentre vigente y que está autorizado a trabajar.</w:t>
      </w:r>
    </w:p>
    <w:p w:rsidR="00000000" w:rsidRDefault="00000000">
      <w:pPr>
        <w:numPr>
          <w:ilvl w:val="0"/>
          <w:numId w:val="3"/>
        </w:numPr>
        <w:spacing w:after="240"/>
      </w:pPr>
      <w:r>
        <w:rPr>
          <w:b/>
        </w:rPr>
        <w:t xml:space="preserve">Artículo 69.  </w:t>
      </w:r>
      <w:r>
        <w:t>Queda prohibido a los dueños, administradores o encargados de hoteles, pensiones o negocios similares, proporcionar alojamiento a los extranjeros que se encuentren ilegalmente en el país.</w:t>
      </w:r>
    </w:p>
    <w:p w:rsidR="00000000" w:rsidRDefault="00000000">
      <w:pPr>
        <w:numPr>
          <w:ilvl w:val="0"/>
          <w:numId w:val="3"/>
        </w:numPr>
        <w:spacing w:after="240"/>
        <w:rPr>
          <w:b/>
        </w:rPr>
      </w:pPr>
      <w:r>
        <w:rPr>
          <w:b/>
        </w:rPr>
        <w:t xml:space="preserve">Artículo 70.  </w:t>
      </w:r>
      <w:r>
        <w:t>Toda irregularidad en la permanencia migratoria que fuese detectado por los que den trabajo o alojamiento a extranjeros, deberá ser denunciada a la autoridad migratoria dentro de las 48 horas para que ésta pueda ejercer las atribuciones establecidas en esta ley.</w:t>
      </w:r>
    </w:p>
    <w:p w:rsidR="00000000" w:rsidRDefault="00000000">
      <w:pPr>
        <w:numPr>
          <w:ilvl w:val="0"/>
          <w:numId w:val="3"/>
        </w:numPr>
        <w:spacing w:after="240"/>
      </w:pPr>
      <w:r>
        <w:rPr>
          <w:b/>
        </w:rPr>
        <w:t xml:space="preserve">Artículo 71.  </w:t>
      </w:r>
      <w:r>
        <w:t>A los fines de la verificación del cumplimiento de lo dispuesto precedentemente, la Dirección General de Migraciones podrá efectuar inspecciones a los lugares de trabajo y hospedaje, librándose el acta respectiva en caso de constatarse infracciones migratorias.</w:t>
      </w:r>
    </w:p>
    <w:p w:rsidR="00000000" w:rsidRDefault="00000000">
      <w:pPr>
        <w:numPr>
          <w:ilvl w:val="0"/>
          <w:numId w:val="3"/>
        </w:numPr>
        <w:spacing w:after="240"/>
      </w:pPr>
      <w:r>
        <w:rPr>
          <w:b/>
        </w:rPr>
        <w:t xml:space="preserve">Artículo 72.  </w:t>
      </w:r>
      <w:r>
        <w:t>La verificación de la infracción no exime a los empleadores del pago de sueldos, salarios u otro tipo de remuneración al personal a quien hubiere dado trabajo u ocupación en violación a lo dispuesto por esta ley.</w:t>
      </w:r>
    </w:p>
    <w:p w:rsidR="00000000" w:rsidRDefault="00000000">
      <w:pPr>
        <w:autoSpaceDE w:val="0"/>
        <w:autoSpaceDN w:val="0"/>
        <w:adjustRightInd w:val="0"/>
        <w:spacing w:after="240"/>
      </w:pPr>
      <w:r>
        <w:t>133.</w:t>
      </w:r>
      <w:r>
        <w:tab/>
        <w:t>Por otro lado, el Paraguay constituye un casi exclusivamente receptor de cooperación internacional, sin embargo en la última década las Fuerzas Armadas de la Nación han integrado misiones de paz en el ámbito de los esfuerzos de las Naciones Unidas y de la Organización de los Estados Americanos.  En este sentido, si bien las misiones son de carácter militar, se realizan todos los esfuerzos de modo que el contingente paraguayo esté propiamente instruido en materia de derechos humanos y que tales normativas se traduzcan en el respeto intransigente hacia al dignidad humana.  De esta manera se contribuye igualmente a la exigibilidad de los derechos humanos en dichas misiones de mantenimiento de la paz</w:t>
      </w:r>
      <w:r>
        <w:rPr>
          <w:rStyle w:val="FootnoteReference"/>
        </w:rPr>
        <w:footnoteReference w:id="17"/>
      </w:r>
      <w:r>
        <w:t>.</w:t>
      </w:r>
    </w:p>
    <w:p w:rsidR="00000000" w:rsidRDefault="00000000">
      <w:pPr>
        <w:spacing w:after="240"/>
        <w:rPr>
          <w:b/>
        </w:rPr>
      </w:pPr>
      <w:r>
        <w:rPr>
          <w:b/>
        </w:rPr>
        <w:t>Artículo 3</w:t>
      </w:r>
    </w:p>
    <w:p w:rsidR="00000000" w:rsidRDefault="00000000">
      <w:pPr>
        <w:autoSpaceDE w:val="0"/>
        <w:autoSpaceDN w:val="0"/>
        <w:adjustRightInd w:val="0"/>
        <w:spacing w:after="240"/>
        <w:rPr>
          <w:lang w:val="es-MX"/>
        </w:rPr>
      </w:pPr>
      <w:r>
        <w:rPr>
          <w:lang w:val="es-MX"/>
        </w:rPr>
        <w:t>134.</w:t>
      </w:r>
      <w:r>
        <w:rPr>
          <w:lang w:val="es-MX"/>
        </w:rPr>
        <w:tab/>
        <w:t xml:space="preserve">Con miras a promocionar la equidad de género, erradicar la discriminación y la violencia contra la mujer, se creó por Ley Nº 34/92 la Secretaría de la Mujer de la Presidencia de la República, cuyo cometido </w:t>
      </w:r>
      <w:r>
        <w:t>principal</w:t>
      </w:r>
      <w:r>
        <w:rPr>
          <w:lang w:val="es-MX"/>
        </w:rPr>
        <w:t xml:space="preserve"> es incorporar la perspectiva de género en la agenda pública, a través de planes, programas, proyectos y normas.  Desde 1994 la Secretaría de la Mujer en forma interinstitucional ha </w:t>
      </w:r>
      <w:r>
        <w:t>puesto</w:t>
      </w:r>
      <w:r>
        <w:rPr>
          <w:lang w:val="es-MX"/>
        </w:rPr>
        <w:t xml:space="preserve"> en marcha:  el Plan Nacional de Prevención y </w:t>
      </w:r>
      <w:r>
        <w:t>Sanción</w:t>
      </w:r>
      <w:r>
        <w:rPr>
          <w:lang w:val="es-MX"/>
        </w:rPr>
        <w:t xml:space="preserve"> de la Violencia contra la Mujer, el Primer Plan Nacional de Igualdad de Oportunidades para las Mujeres 1997-2001, el Segundo Plan Nacional de Igualdad de Oportunidades entre Mujeres y Hombres 2003-2007 aprobado por Decreto del poder ejecutivo N° 1958/04, integra el I y II Plan Nacional de Salud Sexual y Reproductiva en el marco de la CEDAW, la Plataforma de Beijing y los siete principales instrumentos internacionales de derechos humanos ratificados por el Paraguay en el período 1994-2005.  </w:t>
      </w:r>
    </w:p>
    <w:p w:rsidR="00000000" w:rsidRDefault="00000000">
      <w:pPr>
        <w:autoSpaceDE w:val="0"/>
        <w:autoSpaceDN w:val="0"/>
        <w:adjustRightInd w:val="0"/>
        <w:spacing w:after="240"/>
        <w:rPr>
          <w:lang w:val="es-MX"/>
        </w:rPr>
      </w:pPr>
      <w:r>
        <w:rPr>
          <w:lang w:val="es-MX"/>
        </w:rPr>
        <w:t>135.</w:t>
      </w:r>
      <w:r>
        <w:rPr>
          <w:lang w:val="es-MX"/>
        </w:rPr>
        <w:tab/>
        <w:t xml:space="preserve">Desde 1995 </w:t>
      </w:r>
      <w:r>
        <w:t>implementa</w:t>
      </w:r>
      <w:r>
        <w:rPr>
          <w:lang w:val="es-MX"/>
        </w:rPr>
        <w:t xml:space="preserve"> el Programa Nacional de Igualdad de Oportunidades para las Mujeres en la </w:t>
      </w:r>
      <w:r>
        <w:t>Educación</w:t>
      </w:r>
      <w:r>
        <w:rPr>
          <w:lang w:val="es-MX"/>
        </w:rPr>
        <w:t xml:space="preserve"> (</w:t>
      </w:r>
      <w:r>
        <w:t>PRIOME</w:t>
      </w:r>
      <w:r>
        <w:rPr>
          <w:lang w:val="es-MX"/>
        </w:rPr>
        <w:t xml:space="preserve">) conjuntamente con el Ministerio de Educación y Cultura, el objetivo principal es la incorporación de perspectiva de género en la educación.  Sus principales acciones radican en:  </w:t>
      </w:r>
    </w:p>
    <w:p w:rsidR="00000000" w:rsidRDefault="00000000">
      <w:pPr>
        <w:spacing w:after="240"/>
        <w:ind w:left="1134" w:hanging="567"/>
        <w:rPr>
          <w:rFonts w:eastAsia="Batang"/>
        </w:rPr>
      </w:pPr>
      <w:r>
        <w:rPr>
          <w:rFonts w:eastAsia="Batang"/>
        </w:rPr>
        <w:t>1.</w:t>
      </w:r>
      <w:r>
        <w:rPr>
          <w:rFonts w:eastAsia="Batang"/>
        </w:rPr>
        <w:tab/>
        <w:t>Capacitación y sensibilización al personal directivo, docentes, formadores, multiplicadores y líderes comunitarios; es decir a gran parte de la comunidad educativa a través del plan de educación "Plan Ñanduti" (2004-2015) y la implementación de estas políticas a través de los planes departamentales y educación.</w:t>
      </w:r>
    </w:p>
    <w:p w:rsidR="00000000" w:rsidRDefault="00000000">
      <w:pPr>
        <w:spacing w:after="240"/>
        <w:ind w:left="1134" w:hanging="567"/>
        <w:rPr>
          <w:rFonts w:eastAsia="Batang"/>
        </w:rPr>
      </w:pPr>
      <w:r>
        <w:rPr>
          <w:rFonts w:eastAsia="Batang"/>
        </w:rPr>
        <w:t>2.</w:t>
      </w:r>
      <w:r>
        <w:rPr>
          <w:rFonts w:eastAsia="Batang"/>
        </w:rPr>
        <w:tab/>
        <w:t>Difusión y sensibilización de la importancia del enfoque de género a través de los medios masivos de comunicación.</w:t>
      </w:r>
    </w:p>
    <w:p w:rsidR="00000000" w:rsidRDefault="00000000">
      <w:pPr>
        <w:spacing w:after="240"/>
        <w:ind w:left="1134" w:hanging="567"/>
        <w:rPr>
          <w:rFonts w:eastAsia="Batang"/>
        </w:rPr>
      </w:pPr>
      <w:r>
        <w:rPr>
          <w:rFonts w:eastAsia="Batang"/>
        </w:rPr>
        <w:t>3.</w:t>
      </w:r>
      <w:r>
        <w:rPr>
          <w:rFonts w:eastAsia="Batang"/>
        </w:rPr>
        <w:tab/>
        <w:t xml:space="preserve">Elaboración de </w:t>
      </w:r>
      <w:r>
        <w:rPr>
          <w:rFonts w:eastAsia="Batang"/>
          <w:i/>
          <w:iCs/>
        </w:rPr>
        <w:t>spots</w:t>
      </w:r>
      <w:r>
        <w:rPr>
          <w:rFonts w:eastAsia="Batang"/>
        </w:rPr>
        <w:t xml:space="preserve"> educativos, afiches, murales, folletos integrando como protagonistas a toda la comunidad educativa.</w:t>
      </w:r>
    </w:p>
    <w:p w:rsidR="00000000" w:rsidRDefault="00000000">
      <w:pPr>
        <w:spacing w:after="240"/>
        <w:ind w:left="1134" w:hanging="567"/>
        <w:rPr>
          <w:rFonts w:eastAsia="Batang"/>
        </w:rPr>
      </w:pPr>
      <w:r>
        <w:rPr>
          <w:rFonts w:eastAsia="Batang"/>
        </w:rPr>
        <w:t>4.</w:t>
      </w:r>
      <w:r>
        <w:rPr>
          <w:rFonts w:eastAsia="Batang"/>
        </w:rPr>
        <w:tab/>
        <w:t>Fomento a la iniciativa:  el programa establece alianzas de cooperación con organismos de la sociedad civil, del Estado y organismos internacionales con la finalidad de apoyar estrategias de instalación de capacidades en el ámbito de la educación formal.</w:t>
      </w:r>
    </w:p>
    <w:p w:rsidR="00000000" w:rsidRDefault="00000000">
      <w:pPr>
        <w:spacing w:after="240"/>
        <w:ind w:left="1134" w:hanging="567"/>
        <w:rPr>
          <w:rFonts w:eastAsia="Batang"/>
        </w:rPr>
      </w:pPr>
      <w:r>
        <w:rPr>
          <w:rFonts w:eastAsia="Batang"/>
        </w:rPr>
        <w:t>5.</w:t>
      </w:r>
      <w:r>
        <w:rPr>
          <w:rFonts w:eastAsia="Batang"/>
        </w:rPr>
        <w:tab/>
        <w:t>Instalar el debate y la reflexión permanente en la comunidad educativa con organización de foros, debates sobre el tema, talleres vivenciales y participativos, incluyendo a la niñez del nivel inicial, pasando por jóvenes e incluyendo a personas adultas.</w:t>
      </w:r>
    </w:p>
    <w:p w:rsidR="00000000" w:rsidRDefault="00000000">
      <w:pPr>
        <w:spacing w:after="240"/>
        <w:ind w:left="1134" w:hanging="567"/>
        <w:rPr>
          <w:rFonts w:eastAsia="Batang"/>
        </w:rPr>
      </w:pPr>
      <w:r>
        <w:rPr>
          <w:rFonts w:eastAsia="Batang"/>
        </w:rPr>
        <w:t>6.</w:t>
      </w:r>
      <w:r>
        <w:rPr>
          <w:rFonts w:eastAsia="Batang"/>
        </w:rPr>
        <w:tab/>
        <w:t>Lograr por diferentes métodos la sensibilización intrainstitucional respecto al enfoque de género en el MEC.</w:t>
      </w:r>
    </w:p>
    <w:p w:rsidR="00000000" w:rsidRDefault="00000000">
      <w:pPr>
        <w:spacing w:after="240"/>
        <w:ind w:left="1134" w:hanging="567"/>
        <w:rPr>
          <w:rFonts w:eastAsia="Batang"/>
        </w:rPr>
      </w:pPr>
      <w:r>
        <w:rPr>
          <w:rFonts w:eastAsia="Batang"/>
        </w:rPr>
        <w:t>7.</w:t>
      </w:r>
      <w:r>
        <w:rPr>
          <w:rFonts w:eastAsia="Batang"/>
        </w:rPr>
        <w:tab/>
        <w:t>Analizar y revisar los textos y materiales educativos, para incidir en los currículos.</w:t>
      </w:r>
    </w:p>
    <w:p w:rsidR="00000000" w:rsidRDefault="00000000">
      <w:pPr>
        <w:autoSpaceDE w:val="0"/>
        <w:autoSpaceDN w:val="0"/>
        <w:adjustRightInd w:val="0"/>
        <w:spacing w:after="240"/>
      </w:pPr>
      <w:r>
        <w:t>136.</w:t>
      </w:r>
      <w:r>
        <w:tab/>
        <w:t xml:space="preserve">Entre otras actividades se menciona la publicación de la investigación </w:t>
      </w:r>
      <w:r>
        <w:rPr>
          <w:i/>
          <w:iCs/>
        </w:rPr>
        <w:t>Prácticas sexistas en el aula</w:t>
      </w:r>
      <w:r>
        <w:t>, en el marco de acciones de UNICEF que tuvo como base los resultados arrojados por la investigación "Mejorando la educación de las niñas en el Paraguay".  Además de la renovación de la firma del Convenio entre la Secretaría de la Mujer de la Presidencia de República, el Ministerio de Educación y Cultura y el Fondo de las Naciones Unidas para la Infancia UNICEF, el cual fue firmado en el marco del desarrollo de los objetivos del Milenio.  La implementación del mismo se realiza por medio del Programa de Igualdad de Oportunidades y Resultados para las Mujeres en la Educación (PRIOME).</w:t>
      </w:r>
    </w:p>
    <w:p w:rsidR="00000000" w:rsidRDefault="00000000">
      <w:pPr>
        <w:autoSpaceDE w:val="0"/>
        <w:autoSpaceDN w:val="0"/>
        <w:adjustRightInd w:val="0"/>
        <w:spacing w:after="240"/>
      </w:pPr>
      <w:r>
        <w:t>137.</w:t>
      </w:r>
      <w:r>
        <w:tab/>
        <w:t>Además del acompañamiento y asesoramiento al Programa bialfabetización guaraní</w:t>
      </w:r>
      <w:r>
        <w:noBreakHyphen/>
        <w:t>castellano sobre género y organización comunitaria para la producción, la salud y la educación coordinado por la Dirección de Educación Permanente del MEC.  El ámbito educación de la Secretaría de la Mujer junto con la Coordinación del PRIOME, constituyen las facilitadoras del componente género.  El programa se implementa en seis departamentos del país:  Guaira, Caaguazú, San Pedro, Itapúa, Paraguari y Caazapá.</w:t>
      </w:r>
    </w:p>
    <w:p w:rsidR="00000000" w:rsidRDefault="00000000">
      <w:pPr>
        <w:autoSpaceDE w:val="0"/>
        <w:autoSpaceDN w:val="0"/>
        <w:adjustRightInd w:val="0"/>
        <w:spacing w:after="240"/>
      </w:pPr>
      <w:r>
        <w:t>138.</w:t>
      </w:r>
      <w:r>
        <w:tab/>
        <w:t xml:space="preserve">La Secretaría de la Mujer integra la "Comisión Nacional Tripartita para examinar y promover la participación de la mujer en el trabajo", creada por decreto del poder ejecutivo en el año 1998.  Desde ésta se ha propiciado el ejercicio de diálogo social tripartito entre los sectores gubernamental, sindical y empresarial.  La Comisión ha generado investigaciones con el apoyo de la OIT en temas como:  análisis de género, pobreza y empleo, situación del trabajo doméstico en el Paraguay y ha actuado como Consejo asesor del programa de género, pobreza y empleo en el Paraguay.  En el mismo año y con una duración de seis meses, se realizó la Campaña nacional contra el acoso sexual en el trabajo, desarrollada en el área metropolitana.  Esta Comisión Nacional Tripartita cuenta con un Plan de Acción "Agenda de trabajo decente para la mujer paraguaya 2005-2006", con las siguientes líneas de acción:  </w:t>
      </w:r>
    </w:p>
    <w:p w:rsidR="00000000" w:rsidRDefault="00000000">
      <w:pPr>
        <w:numPr>
          <w:ilvl w:val="0"/>
          <w:numId w:val="4"/>
        </w:numPr>
        <w:spacing w:after="240"/>
      </w:pPr>
      <w:r>
        <w:t>Respeto de los derechos fundamentales en el trabajo, con el objetivo de impulsar y promover la aprobación del Convenio Nº 156 de la OIT (trabajadores con responsabilidades familiares);</w:t>
      </w:r>
    </w:p>
    <w:p w:rsidR="00000000" w:rsidRDefault="00000000">
      <w:pPr>
        <w:numPr>
          <w:ilvl w:val="0"/>
          <w:numId w:val="4"/>
        </w:numPr>
        <w:spacing w:after="240"/>
      </w:pPr>
      <w:r>
        <w:t>Promover el empleo y las oportunidades de ingreso, esta línea se llevará adelante a través de asociaciones empresariales que integran la comisión tripartita respectivamente;</w:t>
      </w:r>
    </w:p>
    <w:p w:rsidR="00000000" w:rsidRDefault="00000000">
      <w:pPr>
        <w:numPr>
          <w:ilvl w:val="0"/>
          <w:numId w:val="4"/>
        </w:numPr>
        <w:spacing w:after="240"/>
      </w:pPr>
      <w:r>
        <w:t>Extender la protección social de los y las trabajadoras, a través de las modificaciones de la carta orgánica del Instituto de Previsión Social;</w:t>
      </w:r>
    </w:p>
    <w:p w:rsidR="00000000" w:rsidRDefault="00000000">
      <w:pPr>
        <w:numPr>
          <w:ilvl w:val="0"/>
          <w:numId w:val="4"/>
        </w:numPr>
        <w:spacing w:after="240"/>
      </w:pPr>
      <w:r>
        <w:t>Promover el dialogo social, con el objetivo de:  capacitar a funcionarios y funcionarias públicos, trabajadores y trabajadoras, empresarios y empresarias en temas de relaciones laborales con perspectiva de género.</w:t>
      </w:r>
    </w:p>
    <w:p w:rsidR="00000000" w:rsidRDefault="00000000">
      <w:pPr>
        <w:autoSpaceDE w:val="0"/>
        <w:autoSpaceDN w:val="0"/>
        <w:adjustRightInd w:val="0"/>
        <w:spacing w:after="240"/>
      </w:pPr>
      <w:r>
        <w:t>139.</w:t>
      </w:r>
      <w:r>
        <w:tab/>
        <w:t>La Secretaría de la Mujer, conforma desde 2001 la red YES de Empleabilidad y Emprendibilidad Juvenil, (red mixta) la cual ha propiciado encuentros de jóvenes a nivel nacional e internacional.  La red YES trabaja en la coordinación de esfuerzos interinstitucionales a nivel local, regional e internacional, fortaleciendo la alianza de organizaciones juveniles públicas y privadas cooperantes a nivel nacional, para generar consensos y articular acciones, proponiendo lineamientos concretos sobre políticas y estrategias de empleabilidad, emprendibilidad y emprendimientos laborales juveniles con enfoque de género.</w:t>
      </w:r>
    </w:p>
    <w:p w:rsidR="00000000" w:rsidRDefault="00000000">
      <w:pPr>
        <w:autoSpaceDE w:val="0"/>
        <w:autoSpaceDN w:val="0"/>
        <w:adjustRightInd w:val="0"/>
        <w:spacing w:after="240"/>
      </w:pPr>
      <w:r>
        <w:t>140.</w:t>
      </w:r>
      <w:r>
        <w:tab/>
        <w:t>En 2002 se desarrollaron acciones de evaluación de los avances de los planes implementados por la Secretaría de la Mujer y de su interacción con puntos focales a favor de la agenda de género en el Estado paraguayo.  A partir de 2003, en base a las evaluaciones internas y externas de gestión, se inicia un proceso de modernización institucional que potencia las estrategias de acción de la Secretaría de la Mujer con instituciones del Estado y pone en marcha procesos de participación conjunta con organizaciones de la sociedad civil, especialmente las que promueven los derechos humanos de las mujeres.  En este marco, se crea la Dirección de Descentralización con el propósito de apoyar el proceso de descentralización, asegurando la integración del enfoque de género en todos los niveles territoriales.</w:t>
      </w:r>
    </w:p>
    <w:p w:rsidR="00000000" w:rsidRDefault="00000000">
      <w:pPr>
        <w:autoSpaceDE w:val="0"/>
        <w:autoSpaceDN w:val="0"/>
        <w:adjustRightInd w:val="0"/>
        <w:spacing w:after="240"/>
      </w:pPr>
      <w:r>
        <w:t>141.</w:t>
      </w:r>
      <w:r>
        <w:tab/>
        <w:t xml:space="preserve">El ámbito III de dicho plan establece como objetivo general:  "Lograr la igualdad para mujeres y hombres en cuanto a la permanencia, condiciones en el trabajo, acceso y control de los recursos económicos y al trabajo".  En este marco se han realizado una serie de acciones de articulación interinstitucionales a favor del acceso de las mujeres a la tierra, crédito, empleo en forma de proyectos productivos y en instalación de programas y planes operativos.  </w:t>
      </w:r>
      <w:r>
        <w:rPr>
          <w:snapToGrid w:val="0"/>
        </w:rPr>
        <w:t>En este sentido, existe un convenio de cooperación mutua entre el Ministerio de Agricultura y Ganadería y la Secretaría de la Mujer de la Presidencia de la República, para 2001-2006.</w:t>
      </w:r>
    </w:p>
    <w:p w:rsidR="00000000" w:rsidRDefault="00000000">
      <w:pPr>
        <w:autoSpaceDE w:val="0"/>
        <w:autoSpaceDN w:val="0"/>
        <w:adjustRightInd w:val="0"/>
        <w:spacing w:after="240"/>
      </w:pPr>
      <w:r>
        <w:rPr>
          <w:snapToGrid w:val="0"/>
        </w:rPr>
        <w:t>142.</w:t>
      </w:r>
      <w:r>
        <w:rPr>
          <w:snapToGrid w:val="0"/>
        </w:rPr>
        <w:tab/>
        <w:t xml:space="preserve">Dicho convenio, tiene por objetivo coordinar y ejecutar acciones conjuntas en el ámbito agrario incorporando la perspectiva de género en las políticas, planes, programas y proyectos de las </w:t>
      </w:r>
      <w:r>
        <w:t>instituciones</w:t>
      </w:r>
      <w:r>
        <w:rPr>
          <w:snapToGrid w:val="0"/>
        </w:rPr>
        <w:t xml:space="preserve"> que conforman el sector agropecuario, enmarcadas en las políticas públicas sectoriales, así como en el Plan de Igualdad de Oportunidades para las Mujeres, coordinadas e implementadas por la Dirección de Género y Juventud Rural que el Ministerio de Agricultura y Ganadería ha creado para el efecto.  Por otro lado, el </w:t>
      </w:r>
      <w:r>
        <w:t xml:space="preserve">Convenio con DEVNET, para la implementación del programa Winner, abril 2005 a abril 2006, consiste en un espacio virtual destinado a mujeres emprendedoras, micro, pequeñas y medianas empresas formalizadas, donde encuentran acceso a nuevas tecnologías de información, comunicación, capacitación, donde ofertan y demandan sus productos.  El sitio web del mismo es:  </w:t>
      </w:r>
      <w:hyperlink r:id="rId28" w:history="1">
        <w:r>
          <w:rPr>
            <w:rStyle w:val="Hyperlink"/>
          </w:rPr>
          <w:t>www.winnernet.org</w:t>
        </w:r>
      </w:hyperlink>
      <w:r>
        <w:t>.  Por otra parte, el convenio entre la Secretaría de la Mujer y Unión Industrial Paraguaya, con el objetivo de facilitar y flexibilizar el acceso al crédito de las mujeres.  Acciones entre la Secretaría de la Mujer y el Banco Nacional de Fomento, tendientes a facilitar y flexibilizar el acceso al crédito de las mujeres.  Se lleva adelante una agenda conjunta entre el Comité Nacional de Mujeres Cooperativistas de la Confederación Paraguaya de Cooperativas y esta institución, a través del cual se ha capacitado a más de 170 mujeres cooperativistas y se han propiciado encuentros nacionales e internacionales, donde se han desarrollado encuentros a nivel Nacional, y variadas jornadas de capitaciones en "la dimensión de género en la política crediticia y el sector microempresarial en el combate de la pobreza", y "elaboración del marco de acción para transversalizar género en las políticas de empleo y del mercado de trabajo en el Paraguay", "las cooperativas ante las políticas públicas locales y ante la integración internacional", "la dimensión de género en la política crediticia y el sector microempresarial en el combate a la pobreza".  Proyecto piloto "Rompiendo paradigmas sexistas", proceso de inicio:  "Taller de diagnóstico con mujeres jefas de hogar", provenientes del cinturón de pobreza de la ciudad de Asunción.  Iniciativas productivas de las mujeres jefas de hogar, con el apoyo de la B'nai B'rith, mediante la provisión de herramientas de trabajo para equipar talleres de costura en los 17 departamentos del país.  Setenta y seis proyectos productivos con la CONAMURI que incluyen tambos, cerdos, producción de huevos y pollos barrilleros, y otros más que actualmente se encuentran en la etapa de capacitación y seguimiento.</w:t>
      </w:r>
    </w:p>
    <w:p w:rsidR="00000000" w:rsidRDefault="00000000">
      <w:pPr>
        <w:autoSpaceDE w:val="0"/>
        <w:autoSpaceDN w:val="0"/>
        <w:adjustRightInd w:val="0"/>
        <w:spacing w:after="240"/>
        <w:rPr>
          <w:lang w:val="es-ES_tradnl"/>
        </w:rPr>
      </w:pPr>
      <w:r>
        <w:t>143.</w:t>
      </w:r>
      <w:r>
        <w:tab/>
        <w:t>Cabe señalar que en el marco del acuerdo firmado con DEVNET, se implementa el programa Winner de las Naciones Unidas, con el financiamiento del Ministerio de Relaciones Exteriores de Italia.  La Secretaría de la Mujer se ha constituido en Oficina Nacional y se han instalado cinco oficinas de apoyo.  Hasta la fecha se ha capacitado a 306 mujeres emprendedoras y se encuentran registradas en el sistema el mismo número de mujeres, sobrepasando el número establecido como meta del proyecto y aún con tiempo disponible en su ejecución.  El espacio virtual les permite el acceso a nuevas tecnologías de información, comunicación, capacitación, y la posibilidad de intercambio, ruedas de negocios, oferta y demanda de productos y servicios.</w:t>
      </w:r>
    </w:p>
    <w:p w:rsidR="00000000" w:rsidRDefault="00000000">
      <w:pPr>
        <w:autoSpaceDE w:val="0"/>
        <w:autoSpaceDN w:val="0"/>
        <w:adjustRightInd w:val="0"/>
        <w:spacing w:after="240"/>
      </w:pPr>
      <w:r>
        <w:t>144.</w:t>
      </w:r>
      <w:r>
        <w:tab/>
        <w:t>La Secretaría de la Mujer apoyó, el encuentro latinoamericano de empleo juvenil, avanzando en los objetivos de desarrollo del Milenio, "Juventud, capital estratégico para enfrentar la pobreza y fortalecer la gobernabilidad democrática" con la participación de 300 jóvenes de 17 países de América Latina y el Caribe más el Japón y Taiwán.</w:t>
      </w:r>
    </w:p>
    <w:p w:rsidR="00000000" w:rsidRDefault="00000000">
      <w:pPr>
        <w:autoSpaceDE w:val="0"/>
        <w:autoSpaceDN w:val="0"/>
        <w:adjustRightInd w:val="0"/>
        <w:spacing w:after="240"/>
      </w:pPr>
      <w:r>
        <w:t>145.</w:t>
      </w:r>
      <w:r>
        <w:tab/>
        <w:t>Otro de los temas que se ha puesto en la agenda, es el trabajo decente para la mujer paraguaya, basado en el Convenio Nº 156 de la OIT "trabajadores con responsabilidades familiares" y seguridad social.  Se realizó la presentación de este Convenio con el apoyo de la OIT y la comisión tripartita para el sector público y privado, a fin de sensibilizar a los y las actoras del tema.</w:t>
      </w:r>
    </w:p>
    <w:p w:rsidR="00000000" w:rsidRDefault="00000000">
      <w:pPr>
        <w:autoSpaceDE w:val="0"/>
        <w:autoSpaceDN w:val="0"/>
        <w:adjustRightInd w:val="0"/>
        <w:spacing w:after="240"/>
      </w:pPr>
      <w:r>
        <w:t>146.</w:t>
      </w:r>
      <w:r>
        <w:tab/>
        <w:t xml:space="preserve">La Secretaría ha firmado un convenio con el Ministerio de Justicia y Trabajo a fin de coordinar competencias institucionales con miras a garantizar los principios y derechos fundamentales de las mujeres en el trabajo y la protección de los derechos humanos de las mujeres privadas de libertad para la no discriminación hacia ellas y la efectiva igualdad </w:t>
      </w:r>
      <w:r>
        <w:rPr>
          <w:i/>
          <w:iCs/>
        </w:rPr>
        <w:t>de jure</w:t>
      </w:r>
      <w:r>
        <w:t xml:space="preserve"> y </w:t>
      </w:r>
      <w:r>
        <w:rPr>
          <w:i/>
          <w:iCs/>
        </w:rPr>
        <w:t>de facto</w:t>
      </w:r>
      <w:r>
        <w:t>.  Se encuentra en proceso con el apoyo de la OIT y del UNFPA la formulación del programa y presupuesto, respectivamente, que hagan operativos estos objetivos coordinados por ambas instituciones.</w:t>
      </w:r>
    </w:p>
    <w:p w:rsidR="00000000" w:rsidRDefault="00000000">
      <w:pPr>
        <w:autoSpaceDE w:val="0"/>
        <w:autoSpaceDN w:val="0"/>
        <w:adjustRightInd w:val="0"/>
        <w:spacing w:after="240"/>
      </w:pPr>
      <w:r>
        <w:t>147.</w:t>
      </w:r>
      <w:r>
        <w:tab/>
        <w:t xml:space="preserve">La Secretaría de la Mujer lleva adelante el centro infantil para hijos(as) de funcionarios(as) tanto de la institución como del Congreso Nacional, del Ministerio de Obras Públicas y Comunicaciones, a fin de dar cumplimiento al Código Laboral y fortalecer la compatibilidad de la vida laboral y familiar de las personas.  Desde la institución, se apoyan igualmente las iniciativas del Centro de Documentación y Estudios (CDE), impulsando la puesta en la agenda pública del análisis de la normativa y las políticas públicas vinculadas al trabajo doméstico remunerado en el Paraguay.  </w:t>
      </w:r>
    </w:p>
    <w:p w:rsidR="00000000" w:rsidRDefault="00000000">
      <w:pPr>
        <w:autoSpaceDE w:val="0"/>
        <w:autoSpaceDN w:val="0"/>
        <w:adjustRightInd w:val="0"/>
        <w:spacing w:after="240"/>
      </w:pPr>
      <w:r>
        <w:rPr>
          <w:lang w:val="es-ES_tradnl"/>
        </w:rPr>
        <w:t>148.</w:t>
      </w:r>
      <w:r>
        <w:rPr>
          <w:lang w:val="es-ES_tradnl"/>
        </w:rPr>
        <w:tab/>
        <w:t xml:space="preserve">La Secretaría de la Mujer forma parte de la Comisión Bicameral "Comisión Nacional de la Defensa de los Recursos Naturales" (CONADERNA), y tiene por objeto desarrollar </w:t>
      </w:r>
      <w:r>
        <w:t>acciones</w:t>
      </w:r>
      <w:r>
        <w:rPr>
          <w:lang w:val="es-ES_tradnl"/>
        </w:rPr>
        <w:t xml:space="preserve"> eficientes y eficaces para la defensa del ecosistema.  En este ámbito, la Secretaría de la Mujer ha presentado varias observaciones a las propuestas de ley estudiadas por la mencionada Comisión.  Algunas de las propuestas incluyen:</w:t>
      </w:r>
    </w:p>
    <w:p w:rsidR="00000000" w:rsidRDefault="00000000">
      <w:pPr>
        <w:numPr>
          <w:ilvl w:val="0"/>
          <w:numId w:val="5"/>
        </w:numPr>
        <w:tabs>
          <w:tab w:val="clear" w:pos="927"/>
        </w:tabs>
        <w:spacing w:after="240"/>
        <w:ind w:left="924" w:hanging="357"/>
      </w:pPr>
      <w:r>
        <w:t>Taller de sensibilización a candidato de senadores y senadoras, diputados y diputadas, sobre legislación ambiental en el Paraguay (2003);</w:t>
      </w:r>
    </w:p>
    <w:p w:rsidR="00000000" w:rsidRDefault="00000000">
      <w:pPr>
        <w:numPr>
          <w:ilvl w:val="0"/>
          <w:numId w:val="5"/>
        </w:numPr>
        <w:spacing w:after="240"/>
      </w:pPr>
      <w:r>
        <w:t>Foro sobre uso de agroquímico y sus afecciones sobre la salud humana;</w:t>
      </w:r>
    </w:p>
    <w:p w:rsidR="00000000" w:rsidRDefault="00000000">
      <w:pPr>
        <w:numPr>
          <w:ilvl w:val="0"/>
          <w:numId w:val="5"/>
        </w:numPr>
        <w:spacing w:after="240"/>
      </w:pPr>
      <w:r>
        <w:t xml:space="preserve">Audiencia pública sobre la propuesta de ley de aguas;  </w:t>
      </w:r>
    </w:p>
    <w:p w:rsidR="00000000" w:rsidRDefault="00000000">
      <w:pPr>
        <w:numPr>
          <w:ilvl w:val="0"/>
          <w:numId w:val="5"/>
        </w:numPr>
        <w:spacing w:after="240"/>
        <w:rPr>
          <w:lang w:val="es-ES_tradnl"/>
        </w:rPr>
      </w:pPr>
      <w:r>
        <w:rPr>
          <w:lang w:val="es-ES_tradnl"/>
        </w:rPr>
        <w:t>Apoyo para el enriquecimiento del documento Paraguay, para el informe nacional Río+10, presentado en la Cumbre Mundial de las Naciones Unidas sobre el Desarrollo, en Sudáfrica, agosto de 2002;</w:t>
      </w:r>
    </w:p>
    <w:p w:rsidR="00000000" w:rsidRDefault="00000000">
      <w:pPr>
        <w:numPr>
          <w:ilvl w:val="0"/>
          <w:numId w:val="5"/>
        </w:numPr>
        <w:spacing w:after="240"/>
        <w:rPr>
          <w:lang w:val="es-ES_tradnl"/>
        </w:rPr>
      </w:pPr>
      <w:r>
        <w:rPr>
          <w:lang w:val="es-ES_tradnl"/>
        </w:rPr>
        <w:t>Actualmente está en el proceso de renovación el convenio de cooperación mutua entre el Ministerio de Agricultura y Ganadería y la Secretaría de la Mujer, en este nuevo convenio se plantea trabajar de forma transversal las consideraciones de género y ambiente;</w:t>
      </w:r>
    </w:p>
    <w:p w:rsidR="00000000" w:rsidRDefault="00000000">
      <w:pPr>
        <w:numPr>
          <w:ilvl w:val="0"/>
          <w:numId w:val="5"/>
        </w:numPr>
        <w:spacing w:after="240"/>
      </w:pPr>
      <w:r>
        <w:rPr>
          <w:lang w:val="es-ES_tradnl"/>
        </w:rPr>
        <w:t>Representación de la Secretaría de la Mujer ante el Consejo Nacional del Ambiente (</w:t>
      </w:r>
      <w:r>
        <w:rPr>
          <w:bCs/>
          <w:lang w:val="es-ES_tradnl"/>
        </w:rPr>
        <w:t>CONAM</w:t>
      </w:r>
      <w:r>
        <w:rPr>
          <w:lang w:val="es-ES_tradnl"/>
        </w:rPr>
        <w:t>), entre 2001 a 2004;</w:t>
      </w:r>
    </w:p>
    <w:p w:rsidR="00000000" w:rsidRDefault="00000000">
      <w:pPr>
        <w:numPr>
          <w:ilvl w:val="0"/>
          <w:numId w:val="5"/>
        </w:numPr>
        <w:spacing w:after="240"/>
        <w:rPr>
          <w:lang w:val="es-ES_tradnl"/>
        </w:rPr>
      </w:pPr>
      <w:r>
        <w:rPr>
          <w:lang w:val="es-ES_tradnl"/>
        </w:rPr>
        <w:t>Participación y aporte de la Secretaría de la Mujer a los "Lineamientos para la elaboración de la política ambiental nacional", que actualmente es la política nacional del ambiente del Paraguay;</w:t>
      </w:r>
    </w:p>
    <w:p w:rsidR="00000000" w:rsidRDefault="00000000">
      <w:pPr>
        <w:numPr>
          <w:ilvl w:val="0"/>
          <w:numId w:val="5"/>
        </w:numPr>
        <w:spacing w:after="240"/>
        <w:rPr>
          <w:snapToGrid w:val="0"/>
        </w:rPr>
      </w:pPr>
      <w:r>
        <w:t xml:space="preserve">En 2003, se firmó el convenio entre la Secretaría del Ambiente y la Secretaría de la Mujer con el objetivo de </w:t>
      </w:r>
      <w:r>
        <w:rPr>
          <w:snapToGrid w:val="0"/>
        </w:rPr>
        <w:t>coordinar y ejecutar acciones conjuntas en el ámbito del ambiente incorporando la perspectiva de género en las políticas, planes, programas y proyectos de las instituciones que conforman el sector ambiental, enmarcadas en las políticas públicas sectoriales y en el II Plan Nacional de Igualdad de Oportunidades entre Mujeres y Hombres.</w:t>
      </w:r>
    </w:p>
    <w:p w:rsidR="00000000" w:rsidRDefault="00000000">
      <w:pPr>
        <w:autoSpaceDE w:val="0"/>
        <w:autoSpaceDN w:val="0"/>
        <w:adjustRightInd w:val="0"/>
        <w:spacing w:after="240"/>
        <w:rPr>
          <w:lang w:val="es-ES_tradnl"/>
        </w:rPr>
      </w:pPr>
      <w:r>
        <w:rPr>
          <w:lang w:val="es-ES_tradnl"/>
        </w:rPr>
        <w:t>149.</w:t>
      </w:r>
      <w:r>
        <w:rPr>
          <w:lang w:val="es-ES_tradnl"/>
        </w:rPr>
        <w:tab/>
        <w:t xml:space="preserve">En el ámbito del Subgrupo de Trabajo </w:t>
      </w:r>
      <w:r>
        <w:rPr>
          <w:bCs/>
          <w:lang w:val="es-ES_tradnl"/>
        </w:rPr>
        <w:t>N°6 del MERCOSUR</w:t>
      </w:r>
      <w:r>
        <w:rPr>
          <w:lang w:val="es-ES_tradnl"/>
        </w:rPr>
        <w:t xml:space="preserve">, encargado de dar seguimiento a las cuestiones medioambientales, en su acta N° 02/2002 hizo constar que "en el tratamiento de la agenda de trabajo será tenida en cuenta la Resolución N° 84/00 del Grupo Mercado Común, donde se menciona la necesidad de trabajar en base a la perspectiva de </w:t>
      </w:r>
      <w:r>
        <w:t>género</w:t>
      </w:r>
      <w:r>
        <w:rPr>
          <w:lang w:val="es-ES_tradnl"/>
        </w:rPr>
        <w:t xml:space="preserve"> en este ámbito"</w:t>
      </w:r>
      <w:r>
        <w:t xml:space="preserve">.  </w:t>
      </w:r>
      <w:r>
        <w:rPr>
          <w:lang w:val="es-ES_tradnl"/>
        </w:rPr>
        <w:t xml:space="preserve">La Secretaría de la Mujer formó parte del comité asesor de la Estrategia y Plan de Acción Nacional de la Biodiversidad </w:t>
      </w:r>
      <w:r>
        <w:rPr>
          <w:bCs/>
          <w:lang w:val="es-ES_tradnl"/>
        </w:rPr>
        <w:t>(ENPAB),</w:t>
      </w:r>
      <w:r>
        <w:rPr>
          <w:lang w:val="es-ES_tradnl"/>
        </w:rPr>
        <w:t xml:space="preserve"> donde se trabaja dentro de doce grupos sectoriales por la inclusión de la perspectiva de género (2002 a 2004).  En el informe final de esta estrategia se incorporó consideraciones de género.</w:t>
      </w:r>
    </w:p>
    <w:p w:rsidR="00000000" w:rsidRDefault="00000000">
      <w:pPr>
        <w:autoSpaceDE w:val="0"/>
        <w:autoSpaceDN w:val="0"/>
        <w:adjustRightInd w:val="0"/>
        <w:spacing w:after="240"/>
      </w:pPr>
      <w:r>
        <w:t>150.</w:t>
      </w:r>
      <w:r>
        <w:tab/>
        <w:t xml:space="preserve">El Paraguay, en 2005, se ha puesto al día en la presentación de informes ante el Comité CEDAW y como principales acciones en el marco del compromiso de seguimiento a la aplicación, la Secretaría de la Mujer ha distribuido la Convención, las Observaciones y </w:t>
      </w:r>
      <w:r>
        <w:rPr>
          <w:lang w:val="es-ES_tradnl"/>
        </w:rPr>
        <w:t>Recomendaciones</w:t>
      </w:r>
      <w:r>
        <w:t xml:space="preserve"> del Comité, plataformas internacionales y los objetivos del Milenio a más de 140 dependencias de instituciones públicas y a más de 60 organizaciones no gubernamentales (ONG).  Asimismo, se ha instalado una mesa interinstitucional de seguimiento a la aplicación de la CEDAW con espacios compartidos con organizaciones de la sociedad civil, en el marco de un plan operativo global acordado interinstitucionalmente.  Actualmente se conformaron mesas temáticas en el marco de las Observaciones y Recomendaciones del Comité CEDAW.</w:t>
      </w:r>
    </w:p>
    <w:p w:rsidR="00000000" w:rsidRDefault="00000000">
      <w:pPr>
        <w:autoSpaceDE w:val="0"/>
        <w:autoSpaceDN w:val="0"/>
        <w:adjustRightInd w:val="0"/>
        <w:spacing w:after="240"/>
      </w:pPr>
      <w:r>
        <w:t>151.</w:t>
      </w:r>
      <w:r>
        <w:tab/>
        <w:t>Entre 1999 y 2000 se ejecutó el Programa regional piloto de prevención y atención a la violencia intrafamiliar contra la mujer; ejecutado por la Secretaría de la Mujer, con el apoyo del Ministerio de Salud Pública y Bienestar Social, e implementado a nivel regional mediante la cooperación técnica del Banco Interamericano de Desarrollo (BID).  Se crearon ese mismo año (2000), los Centros de Apoyo a la Mujer (CENAM), actualmente SEDAMUR dependientes de la Secretaría de la Mujer, los cuales realizan orientación jurídica, psicológica y social a las mujeres y derivan sus casos a otras instancias, e instituciones competentes.  Asimismo, se creó el Centro de Atención para Víctimas de Violencia en el Centro de Emergencias Médicas y la red nacional de atención a la violencia doméstica, el servicio código 1600 desde el sistema 911 de la Policía Nacional.</w:t>
      </w:r>
    </w:p>
    <w:p w:rsidR="00000000" w:rsidRDefault="00000000">
      <w:pPr>
        <w:autoSpaceDE w:val="0"/>
        <w:autoSpaceDN w:val="0"/>
        <w:adjustRightInd w:val="0"/>
        <w:spacing w:after="240"/>
        <w:rPr>
          <w:u w:val="single"/>
        </w:rPr>
      </w:pPr>
      <w:r>
        <w:t>152.</w:t>
      </w:r>
      <w:r>
        <w:tab/>
        <w:t xml:space="preserve">Desde 1994 hasta 2005 los principales alcances en la lucha contra el flagelo de la violencia contra la </w:t>
      </w:r>
      <w:r>
        <w:rPr>
          <w:lang w:val="es-ES_tradnl"/>
        </w:rPr>
        <w:t>mujer</w:t>
      </w:r>
      <w:r>
        <w:t xml:space="preserve"> se presentan en la codificación de la violencia intrafamiliar en el Código Penal, la sanción de la Ley Nº 1600/00 recurso civil que ofrece medidas cautelares a favor de las víctimas, la serie de capacitaciones a funcionarios y funcionarias públicas de la Policía Nacional, centros de </w:t>
      </w:r>
      <w:r>
        <w:rPr>
          <w:lang w:val="es-ES_tradnl"/>
        </w:rPr>
        <w:t>salud</w:t>
      </w:r>
      <w:r>
        <w:t>, escuela de policía, academia militar, asociaciones de personas con capacidades especiales y de mujeres adultas mayores.  Asimismo, las campañas de sensibilización, concienciación e información acerca de los derechos básicos de las mujeres ante hechos de violencia.  Por no satisfacer las configuraciones de la violencia intrafamiliar y otros del Código Penal se ha presentado a la Comisión Nacional de Reforma Penal y Penitenciaria del Parlamento Nacional propuestas de modificación al artículo 129 sobre violencia doméstica y otros hechos punibles contra la integridad y autonomía sexual, hechos punibles contra menores, etc.</w:t>
      </w:r>
    </w:p>
    <w:p w:rsidR="00000000" w:rsidRDefault="00000000">
      <w:pPr>
        <w:autoSpaceDE w:val="0"/>
        <w:autoSpaceDN w:val="0"/>
        <w:adjustRightInd w:val="0"/>
        <w:spacing w:after="240"/>
        <w:rPr>
          <w:lang w:val="es-ES_tradnl"/>
        </w:rPr>
      </w:pPr>
      <w:r>
        <w:t>153.</w:t>
      </w:r>
      <w:r>
        <w:tab/>
        <w:t xml:space="preserve">Actualmente, </w:t>
      </w:r>
      <w:r>
        <w:rPr>
          <w:lang w:val="es-ES_tradnl"/>
        </w:rPr>
        <w:t xml:space="preserve">la Secretaría de la Mujer ha logrado apoyo de la cooperación internacional para habilitar un centro de acogida para mujeres víctimas de violencia.  El objetivo del albergue es brindar una atención completa e integral que incluya seguridad, atención y tratamiento, y reinserción laboral.  </w:t>
      </w:r>
    </w:p>
    <w:p w:rsidR="00000000" w:rsidRDefault="00000000">
      <w:pPr>
        <w:autoSpaceDE w:val="0"/>
        <w:autoSpaceDN w:val="0"/>
        <w:adjustRightInd w:val="0"/>
        <w:spacing w:after="240"/>
      </w:pPr>
      <w:r>
        <w:rPr>
          <w:lang w:val="es-ES_tradnl"/>
        </w:rPr>
        <w:t>154.</w:t>
      </w:r>
      <w:r>
        <w:rPr>
          <w:lang w:val="es-ES_tradnl"/>
        </w:rPr>
        <w:tab/>
        <w:t>A partir de noviembre de 2005 se inicia la campaña nacional contra el acoso sexual denominada "Tú acosas, yo acuso".  En la primera parte de la campaña se realizaron talleres de capacitaciones dirigidos a funcionarios públicos, estudiantes secundarios y miembros de sindicatos.  La segunda parte prevé trabajar con los mismos grupos e involucrar a estudiantes universitarios y cadetes</w:t>
      </w:r>
      <w:r>
        <w:t xml:space="preserve"> de la Academia Militar.</w:t>
      </w:r>
    </w:p>
    <w:p w:rsidR="00000000" w:rsidRDefault="00000000">
      <w:pPr>
        <w:autoSpaceDE w:val="0"/>
        <w:autoSpaceDN w:val="0"/>
        <w:adjustRightInd w:val="0"/>
        <w:spacing w:after="240"/>
      </w:pPr>
      <w:r>
        <w:t>155.</w:t>
      </w:r>
      <w:r>
        <w:tab/>
        <w:t>A partir del mismo año, con el apoyo del Departamento de Estado de los Estados Unidos de América, se ejecuta el Proyecto 2210 sobre trata de personas, con el objetivo de consolidar esfuerzos generales del Gobierno del Paraguay para erradicar la trata de personas, estableciendo procedimientos para la prevención, protección a víctimas de la trata de personas (especialmente mujeres, adolescentes, niños(as)) en el Paraguay.  Desde la habilitación del centro de referencias en trata de personas -</w:t>
      </w:r>
      <w:r>
        <w:rPr>
          <w:lang w:val="es-ES_tradnl"/>
        </w:rPr>
        <w:t>donde</w:t>
      </w:r>
      <w:r>
        <w:t xml:space="preserve"> se brinda atención integral a víctimas, acompañamiento y seguimiento de los </w:t>
      </w:r>
      <w:r>
        <w:rPr>
          <w:lang w:val="es-ES_tradnl"/>
        </w:rPr>
        <w:t>casos</w:t>
      </w:r>
      <w:r>
        <w:t xml:space="preserve">- se han atendido 9 casos que involucran a un total de 37 mujeres, de las cuales 30 son mayores de edad y 7 son menores de edad.  Asimismo, se encuentra en funcionamiento una línea telefónica de atención y un correo electrónico de denuncias.  Para complementar dichas acciones se lanzó la campaña de comunicación "sensibilización y educación" sobre trata de personas y explotación sexual que consistió en la difusión de materiales educativos (afiches/dípticos), </w:t>
      </w:r>
      <w:r>
        <w:rPr>
          <w:i/>
        </w:rPr>
        <w:t>spots</w:t>
      </w:r>
      <w:r>
        <w:t xml:space="preserve"> de radio en idioma guaraní y castellano en la capital e interior del país y materiales impresos; y se realizaron tres talleres dirigidos a instituciones gubernamentales y no gubernamentales con el fin de recabar insumos para la posterior elaboración de un manual de procedimientos generales de intervención a ser lanzado en abril de 2006.  </w:t>
      </w:r>
    </w:p>
    <w:p w:rsidR="00000000" w:rsidRDefault="00000000">
      <w:pPr>
        <w:autoSpaceDE w:val="0"/>
        <w:autoSpaceDN w:val="0"/>
        <w:adjustRightInd w:val="0"/>
        <w:spacing w:after="240"/>
      </w:pPr>
      <w:r>
        <w:t>156.</w:t>
      </w:r>
      <w:r>
        <w:tab/>
        <w:t xml:space="preserve">A partir de 2003 en base a las evaluaciones internas y externas de gestión, se inicia a nivel del Gobierno </w:t>
      </w:r>
      <w:r>
        <w:rPr>
          <w:lang w:val="es-ES_tradnl"/>
        </w:rPr>
        <w:t>central</w:t>
      </w:r>
      <w:r>
        <w:t xml:space="preserve"> un proceso de modernización institucional que potencia las estrategias de acción de la Secretaría de la Mujer con instituciones del Estado y pone en marcha procesos de participación conjunta con organizaciones de la sociedad civil, especialmente las que promueven los derechos humanos de las mujeres.  En este marco, se crea la Dirección de Descentralización de la Secretaría de la Mujer con el propósito de apoyar el proceso de descentralización, asegurando la integración del enfoque de género en todos los niveles territoriales.</w:t>
      </w:r>
    </w:p>
    <w:p w:rsidR="00000000" w:rsidRDefault="00000000">
      <w:pPr>
        <w:autoSpaceDE w:val="0"/>
        <w:autoSpaceDN w:val="0"/>
        <w:adjustRightInd w:val="0"/>
        <w:spacing w:after="240"/>
      </w:pPr>
      <w:r>
        <w:t>157.</w:t>
      </w:r>
      <w:r>
        <w:tab/>
        <w:t xml:space="preserve">Las </w:t>
      </w:r>
      <w:r>
        <w:rPr>
          <w:lang w:val="es-ES_tradnl"/>
        </w:rPr>
        <w:t>estrategias</w:t>
      </w:r>
      <w:r>
        <w:t xml:space="preserve"> comunicacionales, han servido para concienciar acerca de la igualdad de oportunidades.  En 2004 la campaña "Iguales en todo", trabajó los siguientes ejes:  igual remuneración por trabajo de igual valor, participación, salud, prevención de la violencia doméstica, acceso a la educación de niñas en igualdad de condiciones y distribución de roles domésticos en el hogar.</w:t>
      </w:r>
    </w:p>
    <w:p w:rsidR="00000000" w:rsidRDefault="00000000">
      <w:pPr>
        <w:autoSpaceDE w:val="0"/>
        <w:autoSpaceDN w:val="0"/>
        <w:adjustRightInd w:val="0"/>
        <w:spacing w:after="240"/>
        <w:rPr>
          <w:szCs w:val="20"/>
          <w:lang w:val="es-MX"/>
        </w:rPr>
      </w:pPr>
      <w:r>
        <w:t>158.</w:t>
      </w:r>
      <w:r>
        <w:tab/>
      </w:r>
      <w:r>
        <w:rPr>
          <w:lang w:val="es-MX"/>
        </w:rPr>
        <w:t xml:space="preserve">La campaña "Iguales en todo" de 2005, estuvo enfocada </w:t>
      </w:r>
      <w:r>
        <w:rPr>
          <w:lang w:val="es-ES_tradnl"/>
        </w:rPr>
        <w:t xml:space="preserve">en la necesidad de erradicar la violencia contra la mujer, promover la igualdad de oportunidades en la participación política de las mujeres, y la promoción de los derechos sexuales y reproductivos, además, de concienciar sobre las inequidades de género existentes en diferentes ámbitos de la sociedad.  En este marco se realizaron </w:t>
      </w:r>
      <w:r>
        <w:rPr>
          <w:i/>
          <w:iCs/>
          <w:lang w:val="es-ES_tradnl"/>
        </w:rPr>
        <w:t>spots</w:t>
      </w:r>
      <w:r>
        <w:rPr>
          <w:lang w:val="es-ES_tradnl"/>
        </w:rPr>
        <w:t xml:space="preserve"> televisivos, avisos de prensa escrita, microprogramas radiales e impresión de dípticos conteniendo información sobre violencia psicológica, violencia sexual, salud sexual y reproductiva, salud materna y participación social y política.  </w:t>
      </w:r>
      <w:r>
        <w:rPr>
          <w:szCs w:val="20"/>
          <w:lang w:val="es-MX"/>
        </w:rPr>
        <w:t>Otras campañas realizadas, han sido las representaciones teatrales en la vía pública y en colectivos de Asunción, Central, Ciudad del Este y Ca'acupé en los temas antes mencionados</w:t>
      </w:r>
    </w:p>
    <w:p w:rsidR="00000000" w:rsidRDefault="00000000">
      <w:pPr>
        <w:autoSpaceDE w:val="0"/>
        <w:autoSpaceDN w:val="0"/>
        <w:adjustRightInd w:val="0"/>
        <w:spacing w:after="240"/>
      </w:pPr>
      <w:r>
        <w:rPr>
          <w:lang w:val="es-MX"/>
        </w:rPr>
        <w:t>159.</w:t>
      </w:r>
      <w:r>
        <w:rPr>
          <w:lang w:val="es-MX"/>
        </w:rPr>
        <w:tab/>
      </w:r>
      <w:r>
        <w:t xml:space="preserve">En </w:t>
      </w:r>
      <w:r>
        <w:rPr>
          <w:lang w:val="es-ES_tradnl"/>
        </w:rPr>
        <w:t>cuanto</w:t>
      </w:r>
      <w:r>
        <w:t xml:space="preserve"> al ámbito de salud, se han promovido campañas de sensibilización de la mujer y su vulnerabilidad ante el VIH/SIDA.  La Secretaría de la Mujer realizó un cabildeo con autoridades nacionales </w:t>
      </w:r>
      <w:r>
        <w:rPr>
          <w:lang w:val="es-ES_tradnl"/>
        </w:rPr>
        <w:t>del</w:t>
      </w:r>
      <w:r>
        <w:t xml:space="preserve"> más alto nivel, de los tres poderes del Estado.  Se ha realizado igualmente una </w:t>
      </w:r>
      <w:r>
        <w:rPr>
          <w:lang w:val="es-ES_tradnl"/>
        </w:rPr>
        <w:t>campaña</w:t>
      </w:r>
      <w:r>
        <w:t xml:space="preserve"> pública de toma de compromiso con el apoyo del ONUSIDA y una revisión a través de mesas temáticas de los compromisos cumplidos con el apoyo de la Organización Panamericana de la Salud.  Entre los logros de estas mesas temáticas puede mencionarse la resolución de gratuidad del análisis de VDRL y TEST de ELISA así como el tratamiento para mujeres embarazadas con antirretrovirales.  Se han capacitado 20 decisores(as) de programas de enfermedades transmisibles a nivel central y en los departamentos de Paraguarí y de Presidente Hayes.</w:t>
      </w:r>
    </w:p>
    <w:p w:rsidR="00000000" w:rsidRDefault="00000000">
      <w:pPr>
        <w:spacing w:after="220"/>
        <w:rPr>
          <w:b/>
        </w:rPr>
      </w:pPr>
      <w:r>
        <w:rPr>
          <w:b/>
        </w:rPr>
        <w:t xml:space="preserve">Artículo 4 </w:t>
      </w:r>
      <w:r>
        <w:rPr>
          <w:bCs/>
        </w:rPr>
        <w:t>(párrafo operativo)</w:t>
      </w:r>
    </w:p>
    <w:p w:rsidR="00000000" w:rsidRDefault="00000000">
      <w:pPr>
        <w:spacing w:after="220"/>
        <w:rPr>
          <w:b/>
        </w:rPr>
      </w:pPr>
      <w:r>
        <w:rPr>
          <w:b/>
        </w:rPr>
        <w:t xml:space="preserve">Artículo 5 </w:t>
      </w:r>
      <w:r>
        <w:rPr>
          <w:bCs/>
        </w:rPr>
        <w:t>(párrafo operativo)</w:t>
      </w:r>
    </w:p>
    <w:p w:rsidR="00000000" w:rsidRDefault="00000000">
      <w:pPr>
        <w:spacing w:after="220"/>
        <w:rPr>
          <w:b/>
        </w:rPr>
      </w:pPr>
      <w:r>
        <w:rPr>
          <w:b/>
        </w:rPr>
        <w:t>Artículo 6</w:t>
      </w:r>
    </w:p>
    <w:p w:rsidR="00000000" w:rsidRDefault="00000000">
      <w:pPr>
        <w:autoSpaceDE w:val="0"/>
        <w:autoSpaceDN w:val="0"/>
        <w:adjustRightInd w:val="0"/>
        <w:spacing w:after="220"/>
      </w:pPr>
      <w:r>
        <w:t>160.</w:t>
      </w:r>
      <w:r>
        <w:tab/>
        <w:t xml:space="preserve">En primer término, el Paraguay es Parte de los siguientes instrumentos internacionales en materia de </w:t>
      </w:r>
      <w:r>
        <w:rPr>
          <w:lang w:val="es-ES_tradnl"/>
        </w:rPr>
        <w:t>derechos</w:t>
      </w:r>
      <w:r>
        <w:t xml:space="preserve"> </w:t>
      </w:r>
      <w:r>
        <w:rPr>
          <w:lang w:val="es-ES_tradnl"/>
        </w:rPr>
        <w:t>humanos</w:t>
      </w:r>
      <w:r>
        <w:t xml:space="preserve"> y derechos laborales:</w:t>
      </w:r>
    </w:p>
    <w:p w:rsidR="00000000" w:rsidRDefault="00000000">
      <w:pPr>
        <w:spacing w:after="220"/>
        <w:ind w:left="567"/>
        <w:rPr>
          <w:b/>
        </w:rPr>
      </w:pPr>
      <w:r>
        <w:rPr>
          <w:b/>
        </w:rPr>
        <w:t>Convención Internacional sobre la Eliminación de todas las Formas de Discriminación Racial</w:t>
      </w:r>
    </w:p>
    <w:p w:rsidR="00000000" w:rsidRDefault="00000000">
      <w:pPr>
        <w:ind w:left="567"/>
      </w:pPr>
      <w:r>
        <w:t>Adoptada:  Nueva York, 21 de diciembre de 1965</w:t>
      </w:r>
    </w:p>
    <w:p w:rsidR="00000000" w:rsidRDefault="00000000">
      <w:pPr>
        <w:ind w:left="567"/>
      </w:pPr>
      <w:r>
        <w:t>Firmada por el Paraguay:  13 de septiembre de 2000</w:t>
      </w:r>
    </w:p>
    <w:p w:rsidR="00000000" w:rsidRDefault="00000000">
      <w:pPr>
        <w:ind w:left="567"/>
      </w:pPr>
      <w:r>
        <w:t>Ley N° 2128, de 7 de julio de 2003</w:t>
      </w:r>
    </w:p>
    <w:p w:rsidR="00000000" w:rsidRDefault="00000000">
      <w:pPr>
        <w:ind w:left="567"/>
      </w:pPr>
      <w:r>
        <w:t>Depósito:  18 de agosto de 2003</w:t>
      </w:r>
    </w:p>
    <w:p w:rsidR="00000000" w:rsidRDefault="00000000">
      <w:pPr>
        <w:spacing w:after="240"/>
        <w:ind w:left="567"/>
      </w:pPr>
      <w:r>
        <w:t>Entrada en vigor para el Paraguay:  17 de septiembre de 2003</w:t>
      </w:r>
    </w:p>
    <w:p w:rsidR="00000000" w:rsidRDefault="00000000">
      <w:pPr>
        <w:spacing w:after="240"/>
        <w:ind w:left="567"/>
        <w:rPr>
          <w:b/>
        </w:rPr>
      </w:pPr>
      <w:r>
        <w:rPr>
          <w:b/>
        </w:rPr>
        <w:t>Convenio Nº 111 de la OIT relativo a la discriminación en materia de empleo y ocupación</w:t>
      </w:r>
    </w:p>
    <w:p w:rsidR="00000000" w:rsidRDefault="00000000">
      <w:pPr>
        <w:ind w:left="567"/>
      </w:pPr>
      <w:r>
        <w:t>Adoptado:  Ginebra, 25 de junio de 1958</w:t>
      </w:r>
    </w:p>
    <w:p w:rsidR="00000000" w:rsidRDefault="00000000">
      <w:pPr>
        <w:ind w:left="567"/>
      </w:pPr>
      <w:r>
        <w:t>Ley Nº 1154, de 29 de julio de 1966</w:t>
      </w:r>
    </w:p>
    <w:p w:rsidR="00000000" w:rsidRDefault="00000000">
      <w:pPr>
        <w:ind w:left="567"/>
      </w:pPr>
      <w:r>
        <w:t>Depósito:  Ginebra, 10 de julio de 1967</w:t>
      </w:r>
    </w:p>
    <w:p w:rsidR="00000000" w:rsidRDefault="00000000">
      <w:pPr>
        <w:spacing w:after="240"/>
        <w:ind w:left="567"/>
      </w:pPr>
      <w:r>
        <w:t>Fecha de entrada en vigor para el Paraguay:  10 de julio de 1968</w:t>
      </w:r>
    </w:p>
    <w:p w:rsidR="00000000" w:rsidRDefault="00000000">
      <w:pPr>
        <w:spacing w:after="240"/>
        <w:ind w:left="567"/>
        <w:rPr>
          <w:b/>
        </w:rPr>
      </w:pPr>
      <w:r>
        <w:rPr>
          <w:b/>
        </w:rPr>
        <w:t>Convenio Nº 122 de la OIT relativo a la política del empleo</w:t>
      </w:r>
    </w:p>
    <w:p w:rsidR="00000000" w:rsidRDefault="00000000">
      <w:pPr>
        <w:ind w:left="567"/>
      </w:pPr>
      <w:r>
        <w:t>Adoptado:  Ginebra, 9 de julio de 1964</w:t>
      </w:r>
    </w:p>
    <w:p w:rsidR="00000000" w:rsidRDefault="00000000">
      <w:pPr>
        <w:ind w:left="567"/>
      </w:pPr>
      <w:r>
        <w:t>Ley Nº 67, de 26 de diciembre de 1968</w:t>
      </w:r>
    </w:p>
    <w:p w:rsidR="00000000" w:rsidRDefault="00000000">
      <w:pPr>
        <w:ind w:left="567"/>
      </w:pPr>
      <w:r>
        <w:t>Depósito:  Ginebra, 20 de febrero de 1969</w:t>
      </w:r>
    </w:p>
    <w:p w:rsidR="00000000" w:rsidRDefault="00000000">
      <w:pPr>
        <w:spacing w:after="240"/>
        <w:ind w:left="567"/>
      </w:pPr>
      <w:r>
        <w:t>Fecha de entrada en vigor para el Paraguay:  20 de febrero de 1970</w:t>
      </w:r>
    </w:p>
    <w:p w:rsidR="00000000" w:rsidRDefault="00000000">
      <w:pPr>
        <w:spacing w:after="240"/>
      </w:pPr>
      <w:r>
        <w:t>El Paraguay ha presentado informes a los comités de supervisión de la OIT sobre el cumplimiento de lo establecido en los convenios ratificados por el país.</w:t>
      </w:r>
    </w:p>
    <w:p w:rsidR="00000000" w:rsidRDefault="00000000">
      <w:pPr>
        <w:spacing w:after="240"/>
        <w:jc w:val="center"/>
        <w:rPr>
          <w:b/>
        </w:rPr>
      </w:pPr>
      <w:r>
        <w:rPr>
          <w:b/>
        </w:rPr>
        <w:t>A.  Situación, índices y tendencias del empleo y desempleo</w:t>
      </w:r>
    </w:p>
    <w:p w:rsidR="00000000" w:rsidRDefault="00000000">
      <w:pPr>
        <w:autoSpaceDE w:val="0"/>
        <w:autoSpaceDN w:val="0"/>
        <w:adjustRightInd w:val="0"/>
        <w:spacing w:after="240"/>
        <w:rPr>
          <w:iCs/>
        </w:rPr>
      </w:pPr>
      <w:r>
        <w:rPr>
          <w:iCs/>
        </w:rPr>
        <w:t>161.</w:t>
      </w:r>
      <w:r>
        <w:rPr>
          <w:iCs/>
        </w:rPr>
        <w:tab/>
        <w:t>De acuerdo a la Encuesta permanente de hogares 2004, la tasa de participación laboral (</w:t>
      </w:r>
      <w:r>
        <w:rPr>
          <w:lang w:val="es-ES_tradnl"/>
        </w:rPr>
        <w:t>población</w:t>
      </w:r>
      <w:r>
        <w:rPr>
          <w:iCs/>
        </w:rPr>
        <w:t xml:space="preserve"> ocupada o desocupada respecto a la población total en edad de trabajar) es del 63%, siendo el porcentaje superior en el área rural (64,9%) respecto a la urbana (62,4%) y superior en el caso de los hombres en relación a las mujeres (76,6 y 50,4%, respectivamente).</w:t>
      </w:r>
    </w:p>
    <w:p w:rsidR="00000000" w:rsidRDefault="00000000">
      <w:pPr>
        <w:autoSpaceDE w:val="0"/>
        <w:autoSpaceDN w:val="0"/>
        <w:adjustRightInd w:val="0"/>
        <w:spacing w:after="240"/>
        <w:rPr>
          <w:iCs/>
        </w:rPr>
      </w:pPr>
      <w:r>
        <w:rPr>
          <w:iCs/>
        </w:rPr>
        <w:t>162.</w:t>
      </w:r>
      <w:r>
        <w:rPr>
          <w:iCs/>
        </w:rPr>
        <w:tab/>
        <w:t xml:space="preserve">Cimentada fundamentalmente en la mano de obra independiente, en la economía paraguaya predomina el trabajador por cuenta propia (39,8%), seguido de los trabajadores </w:t>
      </w:r>
      <w:r>
        <w:rPr>
          <w:lang w:val="es-ES_tradnl"/>
        </w:rPr>
        <w:t>familiares</w:t>
      </w:r>
      <w:r>
        <w:rPr>
          <w:iCs/>
        </w:rPr>
        <w:t xml:space="preserve"> no remunerados (13,1%) y el empleador o patrón (4,2%).  La suma de estas cifras muestra que alrededor de seis de cada diez ocupados generan ingresos a través de la venta directa de sus productos o servicios.</w:t>
      </w:r>
    </w:p>
    <w:p w:rsidR="00000000" w:rsidRDefault="00000000">
      <w:pPr>
        <w:autoSpaceDE w:val="0"/>
        <w:autoSpaceDN w:val="0"/>
        <w:adjustRightInd w:val="0"/>
        <w:spacing w:after="240"/>
        <w:rPr>
          <w:bCs/>
          <w:iCs/>
        </w:rPr>
      </w:pPr>
      <w:r>
        <w:rPr>
          <w:bCs/>
          <w:iCs/>
        </w:rPr>
        <w:t>163.</w:t>
      </w:r>
      <w:r>
        <w:rPr>
          <w:bCs/>
          <w:iCs/>
        </w:rPr>
        <w:tab/>
        <w:t>El sector primario o extractivo absorbe al 33,3% de los ocupados y el secundario al 16% (</w:t>
      </w:r>
      <w:r>
        <w:rPr>
          <w:lang w:val="es-ES_tradnl"/>
        </w:rPr>
        <w:t>manufactura</w:t>
      </w:r>
      <w:r>
        <w:rPr>
          <w:bCs/>
          <w:iCs/>
        </w:rPr>
        <w:t>, construcción).  Alrededor del 65% de las mujeres ocupadas se hallan trabajando en el sector terciario en tanto los hombres se hallan distribuidos fundamentalmente entre el sector terciario y primario (42 y 39%, respectivamente).</w:t>
      </w:r>
    </w:p>
    <w:p w:rsidR="00000000" w:rsidRDefault="00000000">
      <w:pPr>
        <w:spacing w:after="240"/>
        <w:rPr>
          <w:b/>
        </w:rPr>
      </w:pPr>
      <w:r>
        <w:rPr>
          <w:b/>
        </w:rPr>
        <w:t>1.</w:t>
      </w:r>
      <w:r>
        <w:rPr>
          <w:b/>
        </w:rPr>
        <w:tab/>
        <w:t>Desempleo</w:t>
      </w:r>
    </w:p>
    <w:p w:rsidR="00000000" w:rsidRDefault="00000000">
      <w:pPr>
        <w:autoSpaceDE w:val="0"/>
        <w:autoSpaceDN w:val="0"/>
        <w:adjustRightInd w:val="0"/>
        <w:spacing w:after="240"/>
      </w:pPr>
      <w:r>
        <w:t>164.</w:t>
      </w:r>
      <w:r>
        <w:tab/>
        <w:t xml:space="preserve">Según la EPH 2004 la tasa de desempleo abierto afecta al 7,3% de la población, inferior en 1 </w:t>
      </w:r>
      <w:r>
        <w:rPr>
          <w:lang w:val="es-ES_tradnl"/>
        </w:rPr>
        <w:t>punto</w:t>
      </w:r>
      <w:r>
        <w:t xml:space="preserve"> </w:t>
      </w:r>
      <w:r>
        <w:rPr>
          <w:lang w:val="es-ES_tradnl"/>
        </w:rPr>
        <w:t>porcentual</w:t>
      </w:r>
      <w:r>
        <w:t xml:space="preserve"> al nivel registrado en el 2003 (8,1%).  El subempleo a nivel total país se mantuvo estable con respecto al 2003 (de 24,1 a 24,2%), tanto en áreas urbanas como rurales.</w:t>
      </w:r>
    </w:p>
    <w:bookmarkStart w:id="9" w:name="_MON_1234617024"/>
    <w:bookmarkStart w:id="10" w:name="_MON_1236149730"/>
    <w:bookmarkStart w:id="11" w:name="_MON_1236149782"/>
    <w:bookmarkEnd w:id="9"/>
    <w:bookmarkEnd w:id="10"/>
    <w:bookmarkEnd w:id="11"/>
    <w:p w:rsidR="00000000" w:rsidRDefault="00000000">
      <w:pPr>
        <w:spacing w:after="240"/>
        <w:jc w:val="center"/>
      </w:pPr>
      <w:r>
        <w:object w:dxaOrig="7335" w:dyaOrig="4086">
          <v:shape id="_x0000_i1027" type="#_x0000_t75" style="width:368.25pt;height:189.75pt" o:ole="">
            <v:imagedata r:id="rId29" o:title=""/>
            <w10:bordertop type="single" width="4"/>
            <w10:borderleft type="single" width="4"/>
            <w10:borderbottom type="single" width="4"/>
            <w10:borderright type="single" width="4"/>
          </v:shape>
          <o:OLEObject Type="Embed" ProgID="Word.Picture.8" ShapeID="_x0000_i1027" DrawAspect="Content" ObjectID="_1394904851" r:id="rId30"/>
        </w:object>
      </w:r>
    </w:p>
    <w:p w:rsidR="00000000" w:rsidRDefault="00000000">
      <w:pPr>
        <w:autoSpaceDE w:val="0"/>
        <w:autoSpaceDN w:val="0"/>
        <w:adjustRightInd w:val="0"/>
        <w:spacing w:after="240"/>
      </w:pPr>
      <w:r>
        <w:t>165.</w:t>
      </w:r>
      <w:r>
        <w:tab/>
        <w:t xml:space="preserve">El gráfico siguiente muestra que el desempleo abierto afecta en mayor medida a la población de 15 a 19 años y en particular a las mujeres de ese tramo de edad, pues cerca del 14% de la </w:t>
      </w:r>
      <w:r>
        <w:rPr>
          <w:lang w:val="es-ES_tradnl"/>
        </w:rPr>
        <w:t>población</w:t>
      </w:r>
      <w:r>
        <w:t xml:space="preserve"> juvenil busca activamente empleo y esta cifra se incrementa en 22,1% cuando se trata de mujeres.  Las proporciones se mantienen elevadas hasta los 29 años, donde 8 de cada 100 personas registran desempleo abierto.</w:t>
      </w:r>
    </w:p>
    <w:p w:rsidR="00000000" w:rsidRDefault="00000000">
      <w:pPr>
        <w:spacing w:after="240"/>
      </w:pPr>
      <w:r>
        <w:rPr>
          <w:noProof/>
          <w:sz w:val="20"/>
          <w:lang w:eastAsia="es-ES"/>
        </w:rPr>
        <w:pict>
          <v:shape id="_x0000_s1033" type="#_x0000_t75" style="position:absolute;margin-left:45pt;margin-top:4.2pt;width:369pt;height:227.2pt;z-index:7;visibility:visible;mso-wrap-edited:f" stroked="t">
            <v:imagedata r:id="rId31" o:title=""/>
          </v:shape>
          <o:OLEObject Type="Embed" ProgID="Word.Picture.8" ShapeID="_x0000_s1033" DrawAspect="Content" ObjectID="_1394904867" r:id="rId32"/>
        </w:pict>
      </w:r>
      <w:fldSimple w:instr=" SHAPE  \* MERGEFORMAT " w:fldLock="1">
        <w:r>
          <w:pict>
            <v:shape id="_x0000_i1028" type="#_x0000_t75" style="width:5in;height:210pt">
              <v:imagedata croptop="-65520f" cropbottom="65520f"/>
            </v:shape>
          </w:pict>
        </w:r>
      </w:fldSimple>
      <w:r>
        <w:t xml:space="preserve"> </w:t>
      </w:r>
    </w:p>
    <w:p w:rsidR="00000000" w:rsidRDefault="00000000">
      <w:pPr>
        <w:spacing w:after="240"/>
        <w:rPr>
          <w:b/>
          <w:bCs/>
        </w:rPr>
      </w:pPr>
    </w:p>
    <w:p w:rsidR="00000000" w:rsidRDefault="00000000">
      <w:pPr>
        <w:spacing w:after="240"/>
      </w:pPr>
      <w:r>
        <w:rPr>
          <w:b/>
          <w:bCs/>
        </w:rPr>
        <w:t>2.</w:t>
      </w:r>
      <w:r>
        <w:rPr>
          <w:b/>
          <w:bCs/>
        </w:rPr>
        <w:tab/>
        <w:t xml:space="preserve">Subempleo </w:t>
      </w:r>
    </w:p>
    <w:p w:rsidR="00000000" w:rsidRDefault="00000000">
      <w:pPr>
        <w:autoSpaceDE w:val="0"/>
        <w:autoSpaceDN w:val="0"/>
        <w:adjustRightInd w:val="0"/>
        <w:spacing w:after="240"/>
      </w:pPr>
      <w:r>
        <w:rPr>
          <w:lang w:val="es-ES_tradnl"/>
        </w:rPr>
        <w:t>166.</w:t>
      </w:r>
      <w:r>
        <w:rPr>
          <w:lang w:val="es-ES_tradnl"/>
        </w:rPr>
        <w:tab/>
        <w:t>Según</w:t>
      </w:r>
      <w:r>
        <w:t xml:space="preserve"> la </w:t>
      </w:r>
      <w:r>
        <w:rPr>
          <w:lang w:val="es-ES_tradnl"/>
        </w:rPr>
        <w:t>información</w:t>
      </w:r>
      <w:r>
        <w:t xml:space="preserve"> de las encuestas de hogares el subempleo se mantiene estable entre 2003 y 2004 (24,1 y 24,2%, respectivamente), tanto en áreas urbanas como rurales.</w:t>
      </w:r>
    </w:p>
    <w:bookmarkStart w:id="12" w:name="_MON_1234617157"/>
    <w:bookmarkStart w:id="13" w:name="_MON_1236150016"/>
    <w:bookmarkEnd w:id="12"/>
    <w:bookmarkEnd w:id="13"/>
    <w:p w:rsidR="00000000" w:rsidRDefault="00000000">
      <w:pPr>
        <w:spacing w:after="240"/>
        <w:jc w:val="center"/>
      </w:pPr>
      <w:r>
        <w:object w:dxaOrig="7553" w:dyaOrig="4522">
          <v:shape id="_x0000_i1029" type="#_x0000_t75" style="width:378pt;height:225.75pt" o:ole="">
            <v:imagedata r:id="rId33" o:title=""/>
            <w10:bordertop type="single" width="4"/>
            <w10:borderleft type="single" width="4"/>
            <w10:borderbottom type="single" width="4"/>
            <w10:borderright type="single" width="4"/>
          </v:shape>
          <o:OLEObject Type="Embed" ProgID="Word.Picture.8" ShapeID="_x0000_i1029" DrawAspect="Content" ObjectID="_1394904852" r:id="rId34"/>
        </w:object>
      </w:r>
    </w:p>
    <w:p w:rsidR="00000000" w:rsidRDefault="00000000">
      <w:pPr>
        <w:keepNext/>
        <w:spacing w:after="240"/>
        <w:jc w:val="center"/>
        <w:rPr>
          <w:b/>
          <w:bCs/>
        </w:rPr>
      </w:pPr>
      <w:r>
        <w:rPr>
          <w:b/>
          <w:bCs/>
        </w:rPr>
        <w:t>B.  Principales lineamientos de la política de empleo nacional</w:t>
      </w:r>
    </w:p>
    <w:p w:rsidR="00000000" w:rsidRDefault="00000000">
      <w:pPr>
        <w:spacing w:after="240"/>
      </w:pPr>
      <w:r>
        <w:t>167.</w:t>
      </w:r>
      <w:r>
        <w:tab/>
        <w:t xml:space="preserve">En concordancia con las características del mercado de trabajo de nuestro país, la política de empleo </w:t>
      </w:r>
      <w:r>
        <w:rPr>
          <w:lang w:val="es-ES_tradnl"/>
        </w:rPr>
        <w:t>está</w:t>
      </w:r>
      <w:r>
        <w:t xml:space="preserve"> centrada en los siguientes aspectos:</w:t>
      </w:r>
    </w:p>
    <w:p w:rsidR="00000000" w:rsidRDefault="00000000">
      <w:pPr>
        <w:numPr>
          <w:ilvl w:val="0"/>
          <w:numId w:val="6"/>
        </w:numPr>
        <w:spacing w:after="240"/>
      </w:pPr>
      <w:r>
        <w:t xml:space="preserve">Sostenibilidad de condiciones macroeconómicas y sociales favorables para promover la inversión privada que genera fuentes de trabajo.  </w:t>
      </w:r>
    </w:p>
    <w:p w:rsidR="00000000" w:rsidRDefault="00000000">
      <w:pPr>
        <w:numPr>
          <w:ilvl w:val="0"/>
          <w:numId w:val="6"/>
        </w:numPr>
        <w:spacing w:after="240"/>
      </w:pPr>
      <w:r>
        <w:t>Integrar el objetivo empleo en las políticas comerciales, productivas, educativas, migratorias, de formación profesional y de seguridad social.</w:t>
      </w:r>
    </w:p>
    <w:p w:rsidR="00000000" w:rsidRDefault="00000000">
      <w:pPr>
        <w:numPr>
          <w:ilvl w:val="0"/>
          <w:numId w:val="6"/>
        </w:numPr>
        <w:spacing w:after="240"/>
      </w:pPr>
      <w:r>
        <w:t xml:space="preserve">Promoción del desarrollo de las micro y pequeñas empresas basada en la generación de condiciones para la facilitación de la formalización para el acceso a créditos, asistencia técnica y capacitación empresarial.  </w:t>
      </w:r>
    </w:p>
    <w:p w:rsidR="00000000" w:rsidRDefault="00000000">
      <w:pPr>
        <w:numPr>
          <w:ilvl w:val="0"/>
          <w:numId w:val="6"/>
        </w:numPr>
        <w:spacing w:after="240"/>
      </w:pPr>
      <w:r>
        <w:t xml:space="preserve">Capacitación de los recursos humanos mejorando sus condiciones de empleabilidad y encausando la iniciativa privada poniendo a su disposición servicios de formación, orientación e intermediación laboral.  La capacitación debe estar articulada a los requerimientos de las empresas y del desarrollo tecnológico.  </w:t>
      </w:r>
    </w:p>
    <w:p w:rsidR="00000000" w:rsidRDefault="00000000">
      <w:pPr>
        <w:numPr>
          <w:ilvl w:val="0"/>
          <w:numId w:val="6"/>
        </w:numPr>
        <w:spacing w:after="240"/>
      </w:pPr>
      <w:r>
        <w:t xml:space="preserve">La promoción del diálogo social para impulsar adecuaciones normativas que incentiven la contratación de trabajadores y sirva de base a la modernización y el fortalecimiento institucional y jurídico.  </w:t>
      </w:r>
    </w:p>
    <w:p w:rsidR="00000000" w:rsidRDefault="00000000">
      <w:pPr>
        <w:numPr>
          <w:ilvl w:val="0"/>
          <w:numId w:val="6"/>
        </w:numPr>
        <w:spacing w:after="240"/>
      </w:pPr>
      <w:r>
        <w:t xml:space="preserve">Fuerte apoyo al mejoramiento de la producción agrícola ganadera, incentivando la creación de </w:t>
      </w:r>
      <w:r>
        <w:rPr>
          <w:i/>
          <w:iCs/>
        </w:rPr>
        <w:t>clusters</w:t>
      </w:r>
      <w:r>
        <w:t xml:space="preserve"> (producción en cadena).  El apoyo al sector rural resulta clave porque actúa también como elemento preventivo de migración campo-ciudad.  </w:t>
      </w:r>
    </w:p>
    <w:p w:rsidR="00000000" w:rsidRDefault="00000000">
      <w:pPr>
        <w:keepLines/>
        <w:numPr>
          <w:ilvl w:val="0"/>
          <w:numId w:val="6"/>
        </w:numPr>
        <w:spacing w:after="240"/>
        <w:ind w:left="924" w:hanging="357"/>
      </w:pPr>
      <w:r>
        <w:t xml:space="preserve">Desarrollo de planes y programas especiales que atiendan problemáticas de empleo de grupos poblacionales específicos:  programas y medidas para incentivar el empleo juvenil, el empleo de mujeres, programas de reinserción laboral de grupos específicos, etc.  </w:t>
      </w:r>
    </w:p>
    <w:p w:rsidR="00000000" w:rsidRDefault="00000000">
      <w:pPr>
        <w:autoSpaceDE w:val="0"/>
        <w:autoSpaceDN w:val="0"/>
        <w:adjustRightInd w:val="0"/>
        <w:spacing w:after="240"/>
        <w:jc w:val="center"/>
        <w:rPr>
          <w:b/>
          <w:bCs/>
        </w:rPr>
      </w:pPr>
      <w:r>
        <w:rPr>
          <w:b/>
          <w:bCs/>
        </w:rPr>
        <w:t>C.  Libertad de opción de empleo</w:t>
      </w:r>
    </w:p>
    <w:p w:rsidR="00000000" w:rsidRDefault="00000000">
      <w:pPr>
        <w:autoSpaceDE w:val="0"/>
        <w:autoSpaceDN w:val="0"/>
        <w:adjustRightInd w:val="0"/>
        <w:spacing w:after="240"/>
        <w:rPr>
          <w:bCs/>
        </w:rPr>
      </w:pPr>
      <w:r>
        <w:rPr>
          <w:bCs/>
        </w:rPr>
        <w:t>168.</w:t>
      </w:r>
      <w:r>
        <w:rPr>
          <w:bCs/>
        </w:rPr>
        <w:tab/>
        <w:t>En cuanto a las previsiones legales y administrativas para asegurar la libertad de opción de empleo, así como aquellas que permitan que las condiciones de empleo no limiten las libertades políticas y económicas del individuo, el Estado paraguayo posee las siguientes disposiciones (en particular, con relación al asueto o permiso para los días de elecciones).</w:t>
      </w:r>
    </w:p>
    <w:p w:rsidR="00000000" w:rsidRDefault="00000000">
      <w:pPr>
        <w:autoSpaceDE w:val="0"/>
        <w:autoSpaceDN w:val="0"/>
        <w:adjustRightInd w:val="0"/>
        <w:spacing w:after="240"/>
        <w:rPr>
          <w:b/>
          <w:bCs/>
        </w:rPr>
      </w:pPr>
      <w:r>
        <w:rPr>
          <w:b/>
          <w:bCs/>
        </w:rPr>
        <w:t>1.</w:t>
      </w:r>
      <w:r>
        <w:rPr>
          <w:b/>
          <w:bCs/>
        </w:rPr>
        <w:tab/>
        <w:t>Medidas legales</w:t>
      </w:r>
    </w:p>
    <w:p w:rsidR="00000000" w:rsidRDefault="00000000">
      <w:pPr>
        <w:autoSpaceDE w:val="0"/>
        <w:autoSpaceDN w:val="0"/>
        <w:adjustRightInd w:val="0"/>
        <w:spacing w:after="240"/>
      </w:pPr>
      <w:r>
        <w:rPr>
          <w:bCs/>
        </w:rPr>
        <w:t>169.</w:t>
      </w:r>
      <w:r>
        <w:rPr>
          <w:bCs/>
        </w:rPr>
        <w:tab/>
      </w:r>
      <w:r>
        <w:rPr>
          <w:b/>
        </w:rPr>
        <w:t>Constitución nacional.</w:t>
      </w:r>
      <w:r>
        <w:rPr>
          <w:bCs/>
        </w:rPr>
        <w:t xml:space="preserve">  L</w:t>
      </w:r>
      <w:r>
        <w:t xml:space="preserve">a Constitución nacional recoge en sus articulados los principios rectores de la política de empleo, específicamente en lo que concierne al objetivo del pleno empleo, la equidad, el fomento de las cooperativas, la reforma agraria y el desarrollo rural, la formación profesional y la educación técnica.  Concede al Estado la función de promover la calidad de vida "mediante planes y políticas que reconozcan factores </w:t>
      </w:r>
      <w:r>
        <w:rPr>
          <w:lang w:val="es-ES_tradnl"/>
        </w:rPr>
        <w:t>condicionantes</w:t>
      </w:r>
      <w:r>
        <w:t xml:space="preserve"> tales como la extrema </w:t>
      </w:r>
      <w:r>
        <w:rPr>
          <w:lang w:val="es-ES_tradnl"/>
        </w:rPr>
        <w:t>pobreza</w:t>
      </w:r>
      <w:r>
        <w:t xml:space="preserve"> y los impedimentos de la discapacidad o de la edad".  "El Estado fomentará también la investigación de los factores de población y sus vínculos con el desarrollo económico social, con la preservación del medio ambiente y con la calidad de vida de los habitantes", artículo 6, "De la calidad de vida", título II, capítulo I.</w:t>
      </w:r>
    </w:p>
    <w:p w:rsidR="00000000" w:rsidRDefault="00000000">
      <w:pPr>
        <w:autoSpaceDE w:val="0"/>
        <w:autoSpaceDN w:val="0"/>
        <w:adjustRightInd w:val="0"/>
        <w:spacing w:after="240"/>
      </w:pPr>
      <w:r>
        <w:t>170.</w:t>
      </w:r>
      <w:r>
        <w:tab/>
        <w:t>El artículo 87, capítulo VIII, "Del trabajo", sección I, "De los derechos laborales", se refiere al comp</w:t>
      </w:r>
      <w:r>
        <w:rPr>
          <w:lang w:val="es-ES_tradnl"/>
        </w:rPr>
        <w:t>r</w:t>
      </w:r>
      <w:r>
        <w:t xml:space="preserve">omiso del Estado para promover el pleno empleo.  Textualmente dispone:  "El Estado </w:t>
      </w:r>
      <w:r>
        <w:rPr>
          <w:lang w:val="es-ES_tradnl"/>
        </w:rPr>
        <w:t>promoverá</w:t>
      </w:r>
      <w:r>
        <w:t xml:space="preserve"> políticas que </w:t>
      </w:r>
      <w:r>
        <w:rPr>
          <w:lang w:val="es-ES_tradnl"/>
        </w:rPr>
        <w:t>tiendan</w:t>
      </w:r>
      <w:r>
        <w:t xml:space="preserve"> al pleno empleo y a la formación profesional de recursos humanos, dando preferencia al trabajador nacional".</w:t>
      </w:r>
    </w:p>
    <w:p w:rsidR="00000000" w:rsidRDefault="00000000">
      <w:pPr>
        <w:autoSpaceDE w:val="0"/>
        <w:autoSpaceDN w:val="0"/>
        <w:adjustRightInd w:val="0"/>
        <w:spacing w:after="240"/>
      </w:pPr>
      <w:r>
        <w:rPr>
          <w:bCs/>
          <w:iCs/>
        </w:rPr>
        <w:t>171.</w:t>
      </w:r>
      <w:r>
        <w:rPr>
          <w:bCs/>
          <w:iCs/>
        </w:rPr>
        <w:tab/>
      </w:r>
      <w:r>
        <w:rPr>
          <w:b/>
          <w:iCs/>
        </w:rPr>
        <w:t>Equidad</w:t>
      </w:r>
      <w:r>
        <w:rPr>
          <w:bCs/>
          <w:iCs/>
        </w:rPr>
        <w:t>.  E</w:t>
      </w:r>
      <w:r>
        <w:t xml:space="preserve">l artículo 107, capítulo IX, "De los derechos económicos y de la reforma agraria", sección I, "De los derechos económicos", declara que "Toda persona tiene derecho a dedicarse a la actividad económica lícita de su preferencia, dentro de un régimen de igualdad de oportunidades", con lo cual enmarca el ejercicio del derecho al trabajo en un contexto de equidad y de libertad de elección.  </w:t>
      </w:r>
    </w:p>
    <w:p w:rsidR="00000000" w:rsidRDefault="00000000">
      <w:pPr>
        <w:autoSpaceDE w:val="0"/>
        <w:autoSpaceDN w:val="0"/>
        <w:adjustRightInd w:val="0"/>
        <w:spacing w:after="240"/>
      </w:pPr>
      <w:r>
        <w:rPr>
          <w:bCs/>
          <w:iCs/>
        </w:rPr>
        <w:t>172.</w:t>
      </w:r>
      <w:r>
        <w:rPr>
          <w:bCs/>
          <w:iCs/>
        </w:rPr>
        <w:tab/>
      </w:r>
      <w:r>
        <w:rPr>
          <w:b/>
          <w:iCs/>
        </w:rPr>
        <w:t>Capacitación para el trabajo</w:t>
      </w:r>
      <w:r>
        <w:rPr>
          <w:bCs/>
          <w:iCs/>
        </w:rPr>
        <w:t>.  A</w:t>
      </w:r>
      <w:r>
        <w:t xml:space="preserve">rtículo 78, capítulo VII, "De la educación y la cultura", establece que "El Estado fomentará la capacitación para el trabajo por medio de la enseñanza técnica, a fin de formar los </w:t>
      </w:r>
      <w:r>
        <w:rPr>
          <w:lang w:val="es-ES_tradnl"/>
        </w:rPr>
        <w:t>recursos</w:t>
      </w:r>
      <w:r>
        <w:t xml:space="preserve"> humanos requeridos para el desarrollo nacional".</w:t>
      </w:r>
    </w:p>
    <w:p w:rsidR="00000000" w:rsidRDefault="00000000">
      <w:pPr>
        <w:autoSpaceDE w:val="0"/>
        <w:autoSpaceDN w:val="0"/>
        <w:adjustRightInd w:val="0"/>
        <w:spacing w:after="240"/>
      </w:pPr>
      <w:r>
        <w:rPr>
          <w:bCs/>
          <w:iCs/>
        </w:rPr>
        <w:t>173.</w:t>
      </w:r>
      <w:r>
        <w:rPr>
          <w:bCs/>
          <w:iCs/>
        </w:rPr>
        <w:tab/>
      </w:r>
      <w:r>
        <w:rPr>
          <w:b/>
          <w:iCs/>
        </w:rPr>
        <w:t>Fomento de las cooperativas</w:t>
      </w:r>
      <w:r>
        <w:rPr>
          <w:bCs/>
          <w:iCs/>
        </w:rPr>
        <w:t>.  A</w:t>
      </w:r>
      <w:r>
        <w:t>rtículo 113, capítulo IX, "De los derechos económicos y de la reforma agraria", sección I, "De los derechos económicos" dispone que:  "El Estado fomentará la empresa cooperativa y otras formas asociativas de producción de bienes y de servicios, basadas en la solidaridad y la rentabilidad social, a las cuales garantizará su libre organización y su autonomía...".</w:t>
      </w:r>
    </w:p>
    <w:p w:rsidR="00000000" w:rsidRDefault="00000000">
      <w:pPr>
        <w:autoSpaceDE w:val="0"/>
        <w:autoSpaceDN w:val="0"/>
        <w:adjustRightInd w:val="0"/>
        <w:spacing w:after="240"/>
      </w:pPr>
      <w:r>
        <w:rPr>
          <w:bCs/>
          <w:iCs/>
        </w:rPr>
        <w:t>174.</w:t>
      </w:r>
      <w:r>
        <w:rPr>
          <w:bCs/>
          <w:iCs/>
        </w:rPr>
        <w:tab/>
      </w:r>
      <w:r>
        <w:rPr>
          <w:b/>
          <w:iCs/>
        </w:rPr>
        <w:t>Desarrollo rural y reforma agraria.</w:t>
      </w:r>
      <w:r>
        <w:rPr>
          <w:bCs/>
          <w:iCs/>
        </w:rPr>
        <w:t xml:space="preserve">  A</w:t>
      </w:r>
      <w:r>
        <w:t xml:space="preserve">rtículo 115, "De las bases de la reforma agraria y del desarrollo </w:t>
      </w:r>
      <w:r>
        <w:rPr>
          <w:lang w:val="es-ES_tradnl"/>
        </w:rPr>
        <w:t>rural"</w:t>
      </w:r>
      <w:r>
        <w:t xml:space="preserve">, postula que:  "La reforma agraria y el desarrollo rural se efectuarán de acuerdo con las siguientes </w:t>
      </w:r>
      <w:r>
        <w:rPr>
          <w:lang w:val="es-ES_tradnl"/>
        </w:rPr>
        <w:t>bases</w:t>
      </w:r>
      <w:r>
        <w:t>:</w:t>
      </w:r>
    </w:p>
    <w:p w:rsidR="00000000" w:rsidRDefault="00000000">
      <w:pPr>
        <w:numPr>
          <w:ilvl w:val="0"/>
          <w:numId w:val="7"/>
        </w:numPr>
        <w:autoSpaceDE w:val="0"/>
        <w:autoSpaceDN w:val="0"/>
        <w:adjustRightInd w:val="0"/>
        <w:spacing w:after="240"/>
      </w:pPr>
      <w:r>
        <w:t xml:space="preserve">La adopción de un </w:t>
      </w:r>
      <w:r>
        <w:rPr>
          <w:lang w:val="es-ES_tradnl"/>
        </w:rPr>
        <w:t>sistema</w:t>
      </w:r>
      <w:r>
        <w:t xml:space="preserve"> tributario y de otras medidas que estimulen la producción, desalienten el latifundio y garanticen el desarrollo de la pequeña y la mediana propiedad rural, según las peculiaridades de cada zona;</w:t>
      </w:r>
    </w:p>
    <w:p w:rsidR="00000000" w:rsidRDefault="00000000">
      <w:pPr>
        <w:numPr>
          <w:ilvl w:val="0"/>
          <w:numId w:val="7"/>
        </w:numPr>
        <w:spacing w:after="240"/>
      </w:pPr>
      <w:r>
        <w:t>La racionalización y la regulación del uso de la tierra y de las prácticas de cultivo para impedir su degradación, así como el fomento de la producción agropecuaria intensiva y diversificada;</w:t>
      </w:r>
    </w:p>
    <w:p w:rsidR="00000000" w:rsidRDefault="00000000">
      <w:pPr>
        <w:numPr>
          <w:ilvl w:val="0"/>
          <w:numId w:val="7"/>
        </w:numPr>
        <w:spacing w:after="240"/>
      </w:pPr>
      <w:r>
        <w:t>La promoción de la pequeña y de la mediana empresa agrícola (...);</w:t>
      </w:r>
    </w:p>
    <w:p w:rsidR="00000000" w:rsidRDefault="00000000">
      <w:pPr>
        <w:numPr>
          <w:ilvl w:val="0"/>
          <w:numId w:val="7"/>
        </w:numPr>
        <w:spacing w:after="240"/>
      </w:pPr>
      <w:r>
        <w:t>La educación del agricultor y de su familia, a fin de capacitarlos como agentes activos del desarrollo nacional;</w:t>
      </w:r>
    </w:p>
    <w:p w:rsidR="00000000" w:rsidRDefault="00000000">
      <w:pPr>
        <w:numPr>
          <w:ilvl w:val="0"/>
          <w:numId w:val="7"/>
        </w:numPr>
        <w:spacing w:after="240"/>
      </w:pPr>
      <w:r>
        <w:t>La adopción de políticas que estimulen el interés de la población en las tareas agropecuarias, creando centros de capacitación profesional en áreas rurales".</w:t>
      </w:r>
    </w:p>
    <w:p w:rsidR="00000000" w:rsidRDefault="00000000">
      <w:pPr>
        <w:keepNext/>
        <w:autoSpaceDE w:val="0"/>
        <w:autoSpaceDN w:val="0"/>
        <w:adjustRightInd w:val="0"/>
        <w:spacing w:after="240"/>
      </w:pPr>
      <w:r>
        <w:rPr>
          <w:bCs/>
        </w:rPr>
        <w:t>175.</w:t>
      </w:r>
      <w:r>
        <w:rPr>
          <w:bCs/>
        </w:rPr>
        <w:tab/>
      </w:r>
      <w:r>
        <w:rPr>
          <w:b/>
        </w:rPr>
        <w:t xml:space="preserve">Código del </w:t>
      </w:r>
      <w:r>
        <w:rPr>
          <w:b/>
          <w:lang w:val="es-ES_tradnl"/>
        </w:rPr>
        <w:t>Trabajo -</w:t>
      </w:r>
      <w:r>
        <w:rPr>
          <w:b/>
        </w:rPr>
        <w:t xml:space="preserve"> Ley Nº 213/93.  </w:t>
      </w:r>
      <w:r>
        <w:rPr>
          <w:bCs/>
        </w:rPr>
        <w:t>C</w:t>
      </w:r>
      <w:r>
        <w:t xml:space="preserve">apítulo II, "Del trabajo y sus garantías":  </w:t>
      </w:r>
    </w:p>
    <w:p w:rsidR="00000000" w:rsidRDefault="00000000">
      <w:pPr>
        <w:numPr>
          <w:ilvl w:val="0"/>
          <w:numId w:val="7"/>
        </w:numPr>
        <w:spacing w:after="240"/>
      </w:pPr>
      <w:r>
        <w:rPr>
          <w:b/>
        </w:rPr>
        <w:t xml:space="preserve">Artículo 9:  </w:t>
      </w:r>
      <w:r>
        <w:t>"El trabajo es un derecho y un deber social y goza de la protección del Estado.  No debe ser considerado como una mercancía.  Exige respeto para las libertades y dignidad de quien lo presta, y se efectuará en condiciones que aseguren la vida, la salud y un nivel económico compatible con las responsabilidades del trabajador padre o madre de familia.  No podrán establecerse discriminaciones relativas al trabajador por motivo de impedimento físico, de raza, color, sexo, religión, opinión política o condición social".</w:t>
      </w:r>
    </w:p>
    <w:p w:rsidR="00000000" w:rsidRDefault="00000000">
      <w:pPr>
        <w:numPr>
          <w:ilvl w:val="0"/>
          <w:numId w:val="7"/>
        </w:numPr>
        <w:spacing w:after="240"/>
      </w:pPr>
      <w:r>
        <w:rPr>
          <w:b/>
        </w:rPr>
        <w:t xml:space="preserve">Artículo 15:  </w:t>
      </w:r>
      <w:r>
        <w:t>"Todo trabajador debe tener las posibilidades de una existencia digna y el derecho a condiciones justas en el ejercicio de su trabajo, recibir educación profesional y técnica para perfeccionar sus aptitudes, obtener mayores ingresos y contribuir de modo eficiente al progreso de la Nación".</w:t>
      </w:r>
    </w:p>
    <w:p w:rsidR="00000000" w:rsidRDefault="00000000">
      <w:pPr>
        <w:numPr>
          <w:ilvl w:val="0"/>
          <w:numId w:val="7"/>
        </w:numPr>
        <w:spacing w:after="240"/>
      </w:pPr>
      <w:r>
        <w:rPr>
          <w:b/>
        </w:rPr>
        <w:t xml:space="preserve">Artículo 16:  </w:t>
      </w:r>
      <w:r>
        <w:t>"El Estado tomará a su cargo brindar educación profesional y técnica a trabajadores de modo a perfeccionar sus aptitudes para obtener mejores ingresos y una mayor eficiencia en la producción.  Mediante una política económica adecuada procurará igualmente mantener un justo equilibrio de la oferta y la demanda de mano de obra, dar empleo apropiado a los trabajadores desocupados o no ocupados plenamente por causas ajenas a su voluntad, a los minusválidos físicos y psíquicos, ancianos y veteranos de la guerra".</w:t>
      </w:r>
    </w:p>
    <w:p w:rsidR="00000000" w:rsidRDefault="00000000">
      <w:pPr>
        <w:autoSpaceDE w:val="0"/>
        <w:autoSpaceDN w:val="0"/>
        <w:adjustRightInd w:val="0"/>
        <w:spacing w:after="240"/>
        <w:rPr>
          <w:b/>
          <w:bCs/>
        </w:rPr>
      </w:pPr>
      <w:r>
        <w:rPr>
          <w:b/>
          <w:bCs/>
        </w:rPr>
        <w:t>2.</w:t>
      </w:r>
      <w:r>
        <w:rPr>
          <w:b/>
          <w:bCs/>
        </w:rPr>
        <w:tab/>
        <w:t>Medidas administrativas</w:t>
      </w:r>
    </w:p>
    <w:p w:rsidR="00000000" w:rsidRDefault="00000000">
      <w:pPr>
        <w:autoSpaceDE w:val="0"/>
        <w:autoSpaceDN w:val="0"/>
        <w:adjustRightInd w:val="0"/>
        <w:spacing w:after="240"/>
      </w:pPr>
      <w:r>
        <w:t>176.</w:t>
      </w:r>
      <w:r>
        <w:tab/>
        <w:t xml:space="preserve">El objetivo general de la política de empleo del Ministerio de Justicia y Trabajo es promover la competitividad de la producción nacional y mejorar las condiciones de </w:t>
      </w:r>
      <w:r>
        <w:rPr>
          <w:bCs/>
          <w:iCs/>
        </w:rPr>
        <w:t>empleabilidad</w:t>
      </w:r>
      <w:r>
        <w:rPr>
          <w:bCs/>
        </w:rPr>
        <w:t xml:space="preserve"> </w:t>
      </w:r>
      <w:r>
        <w:t xml:space="preserve">de la fuerza de trabajo, en un marco de equidad social.  Para ello está implementando políticas activas de empleo consistentes en la eficiente aplicación del sistema de formación profesional a través de cursos de formación y capacitación implementados por el Servicio Nacional de Promoción Profesional </w:t>
      </w:r>
      <w:r>
        <w:rPr>
          <w:lang w:val="es-ES_tradnl"/>
        </w:rPr>
        <w:t>y el Sistema Nacional de Formación y Capacitación laboral.  Durante los últimos tres años se</w:t>
      </w:r>
      <w:r>
        <w:t xml:space="preserve"> formaron más de 100.000 trabajadores.  Asimismo el Ministerio implementa servicios de apoyo al empleo a través de servicios de orientación laboral, información e intermediación de mano de obra.  Actualmente está en proceso el fortalecimiento del Servicio Nacional de Empleo.  Desde el punto de vista de la calidad del empleo el Ministerio realiza inspecciones para asegurar el cumplimiento de las condiciones de trabajo según las disposiciones del Código Laboral y los convenios internacionales del trabajo.  </w:t>
      </w:r>
    </w:p>
    <w:p w:rsidR="00000000" w:rsidRDefault="00000000">
      <w:pPr>
        <w:keepNext/>
        <w:spacing w:after="240"/>
        <w:jc w:val="center"/>
        <w:rPr>
          <w:b/>
          <w:bCs/>
        </w:rPr>
      </w:pPr>
      <w:r>
        <w:rPr>
          <w:b/>
          <w:bCs/>
        </w:rPr>
        <w:t>D.  Dificultades para el logro del pleno empleo productivo</w:t>
      </w:r>
    </w:p>
    <w:p w:rsidR="00000000" w:rsidRDefault="00000000">
      <w:pPr>
        <w:autoSpaceDE w:val="0"/>
        <w:autoSpaceDN w:val="0"/>
        <w:adjustRightInd w:val="0"/>
        <w:spacing w:after="240"/>
        <w:rPr>
          <w:iCs/>
        </w:rPr>
      </w:pPr>
      <w:r>
        <w:rPr>
          <w:iCs/>
        </w:rPr>
        <w:t>177.</w:t>
      </w:r>
      <w:r>
        <w:rPr>
          <w:iCs/>
        </w:rPr>
        <w:tab/>
        <w:t xml:space="preserve">Dadas las características de la estructura económica del país, que está caracterizada por limitados centros de producción o fábricas, la mayoría de los trabajadores realizan sus actividades en </w:t>
      </w:r>
      <w:r>
        <w:rPr>
          <w:bCs/>
          <w:iCs/>
        </w:rPr>
        <w:t xml:space="preserve">empresas </w:t>
      </w:r>
      <w:r>
        <w:rPr>
          <w:iCs/>
        </w:rPr>
        <w:t xml:space="preserve">de pequeñas dimensiones.  Cerca del 70% de los trabajadores paraguayos se encuentran ocupados en establecimientos que no tienen más de cinco empleados.  </w:t>
      </w:r>
    </w:p>
    <w:p w:rsidR="00000000" w:rsidRDefault="00000000">
      <w:pPr>
        <w:autoSpaceDE w:val="0"/>
        <w:autoSpaceDN w:val="0"/>
        <w:adjustRightInd w:val="0"/>
        <w:spacing w:after="240"/>
      </w:pPr>
      <w:r>
        <w:t>178.</w:t>
      </w:r>
      <w:r>
        <w:tab/>
        <w:t>Por otro lad</w:t>
      </w:r>
      <w:r>
        <w:rPr>
          <w:iCs/>
        </w:rPr>
        <w:t>o</w:t>
      </w:r>
      <w:r>
        <w:t>, existe un defasaje tanto en cantidad como en calidad entre oferta y demanda de trabajo.  Si bien la economía no es capaz de crear empleos en cantidad y calidad suficientes para satisfacer la demanda; a su vez la calificación de la mano de obra no responde a los requerimientos actuales de las ofertas de trabajo.  Más del 60% de la población económicamente activa (PEA) cuenta sólo con instrucción primaria y sólo el 7% tiene nivel terciario.  Esta inadecuación que se presenta dificulta evidentemente el buen funcionamiento del mercado laboral, por tanto se viene implementando un proyecto de reforma del sistema de formación profesional, para elevar la productividad y la calidad de la mano de obra.</w:t>
      </w:r>
    </w:p>
    <w:p w:rsidR="00000000" w:rsidRDefault="00000000">
      <w:pPr>
        <w:autoSpaceDE w:val="0"/>
        <w:autoSpaceDN w:val="0"/>
        <w:adjustRightInd w:val="0"/>
        <w:spacing w:after="240"/>
      </w:pPr>
      <w:r>
        <w:t>179.</w:t>
      </w:r>
      <w:r>
        <w:tab/>
        <w:t xml:space="preserve">Por otra parte, en la última década, no se han presentado denuncias ante el Ministerio de Justicia y Trabajo por discriminación en el trabajo relacionadas a la raza, religión, condición social y económica.  La Constitución nacional, el Código Laboral y otras normas legales del derecho positivo aseguran el derecho a la no discriminación en el empleo y la igualdad de oportunidades para todos los trabajadores.  </w:t>
      </w:r>
    </w:p>
    <w:p w:rsidR="00000000" w:rsidRDefault="00000000">
      <w:pPr>
        <w:autoSpaceDE w:val="0"/>
        <w:autoSpaceDN w:val="0"/>
        <w:adjustRightInd w:val="0"/>
        <w:spacing w:after="240"/>
      </w:pPr>
      <w:r>
        <w:t>180.</w:t>
      </w:r>
      <w:r>
        <w:tab/>
        <w:t xml:space="preserve">Asimismo, en el Servicio Nacional de Empleo, a través de las acciones de orientación laboral, se </w:t>
      </w:r>
      <w:r>
        <w:rPr>
          <w:bCs/>
          <w:iCs/>
        </w:rPr>
        <w:t>desarrollan</w:t>
      </w:r>
      <w:r>
        <w:rPr>
          <w:bCs/>
        </w:rPr>
        <w:t xml:space="preserve"> </w:t>
      </w:r>
      <w:r>
        <w:t xml:space="preserve">temas sobre no discriminación y el derecho a la igualdad de oportunidades.  De igual manera, el currículum de la enseñanza primaria y de nivel medio incorpora contenidos sobre estos derechos humanos fundamentales.  </w:t>
      </w:r>
    </w:p>
    <w:p w:rsidR="00000000" w:rsidRDefault="00000000">
      <w:pPr>
        <w:spacing w:after="240"/>
        <w:jc w:val="center"/>
        <w:rPr>
          <w:b/>
        </w:rPr>
      </w:pPr>
      <w:r>
        <w:rPr>
          <w:b/>
        </w:rPr>
        <w:t>E.  Informe de la Corte Suprema de Justicia respecto al artículo 6</w:t>
      </w:r>
    </w:p>
    <w:p w:rsidR="00000000" w:rsidRDefault="00000000">
      <w:pPr>
        <w:autoSpaceDE w:val="0"/>
        <w:autoSpaceDN w:val="0"/>
        <w:adjustRightInd w:val="0"/>
        <w:spacing w:after="240"/>
        <w:rPr>
          <w:iCs/>
        </w:rPr>
      </w:pPr>
      <w:r>
        <w:rPr>
          <w:iCs/>
        </w:rPr>
        <w:t>181.</w:t>
      </w:r>
      <w:r>
        <w:rPr>
          <w:iCs/>
        </w:rPr>
        <w:tab/>
        <w:t xml:space="preserve">Las disposiciones legales antes mencionadas se hallan a su vez </w:t>
      </w:r>
      <w:r>
        <w:t xml:space="preserve">favorecidas por la inexistencia de capas sociales de escasa permeabilidad, con la natural excepción del estatus social condicionado por la educación y la formación profesional.  Sin embargo, permanecen algunas discriminaciones originadas en supuestos roles y condiciones de trabajo.  Son los </w:t>
      </w:r>
      <w:r>
        <w:rPr>
          <w:bCs/>
          <w:iCs/>
        </w:rPr>
        <w:t>casos</w:t>
      </w:r>
      <w:r>
        <w:rPr>
          <w:bCs/>
        </w:rPr>
        <w:t xml:space="preserve"> </w:t>
      </w:r>
      <w:r>
        <w:t>de las empleadas domésticas y los trabajadores rurales.  Las leyes del trabajo</w:t>
      </w:r>
      <w:r>
        <w:rPr>
          <w:iCs/>
        </w:rPr>
        <w:t xml:space="preserve"> discriminan a estos sectores laborales autorizando el pago de un salario menor al mínimo legal, en la inteligencia de que dicho salario menor en efectivo se halla complementado con los beneficios de vivienda y alimentos que recibe en la casa del patrono.  Sin embargo, la discriminación se hace patente cuando dichos trabajadores no reciben alimentos del patrono ni permanecen todo el tiempo en el domicilio del mismo.  </w:t>
      </w:r>
    </w:p>
    <w:p w:rsidR="00000000" w:rsidRDefault="00000000">
      <w:pPr>
        <w:autoSpaceDE w:val="0"/>
        <w:autoSpaceDN w:val="0"/>
        <w:adjustRightInd w:val="0"/>
        <w:spacing w:after="240"/>
        <w:rPr>
          <w:iCs/>
        </w:rPr>
      </w:pPr>
      <w:r>
        <w:rPr>
          <w:iCs/>
        </w:rPr>
        <w:t>182.</w:t>
      </w:r>
      <w:r>
        <w:rPr>
          <w:iCs/>
        </w:rPr>
        <w:tab/>
        <w:t xml:space="preserve">La estructura socioeconómica del país aparentemente no permite por el momento el mejoramiento de las condiciones de trabajo de estos trabajadores.  Un tercer sector social también discriminado, pero de hecho, es el sector indígena, un grupo minoritario de cultura diferente.  En cuanto a ellos, la ley no establece discriminación alguna pero habida cuenta la diferencia cultural, tienen serias dificultades para ejercer cualquier tipo de actividad laboral en situación de igualdad con los ciudadanos no indígenas.  Evidentemente para este grupo social no basta la declaración de igualdad; es necesario el establecimiento de normas que establezcan una discriminación positiva a los efectos que los mismos accedan a la igualdad.  </w:t>
      </w:r>
    </w:p>
    <w:p w:rsidR="00000000" w:rsidRDefault="00000000">
      <w:pPr>
        <w:autoSpaceDE w:val="0"/>
        <w:autoSpaceDN w:val="0"/>
        <w:adjustRightInd w:val="0"/>
        <w:spacing w:after="240"/>
        <w:rPr>
          <w:iCs/>
        </w:rPr>
      </w:pPr>
      <w:r>
        <w:rPr>
          <w:iCs/>
        </w:rPr>
        <w:t>183.</w:t>
      </w:r>
      <w:r>
        <w:rPr>
          <w:iCs/>
        </w:rPr>
        <w:tab/>
        <w:t xml:space="preserve">Un cuarto sector que se halla en situación de desventaja es el grupo de los impedidos físicos y mentales.  Quienes en un alto porcentaje no pueden acceder a un puesto de trabajo debido a </w:t>
      </w:r>
      <w:r>
        <w:rPr>
          <w:bCs/>
          <w:iCs/>
        </w:rPr>
        <w:t xml:space="preserve">su </w:t>
      </w:r>
      <w:r>
        <w:rPr>
          <w:iCs/>
        </w:rPr>
        <w:t xml:space="preserve">condición, a pesar de lo que establece la ley, consecuentemente se presume que tienen igualdad de derechos para acceder a los puestos de trabajo, en cambio, los prejuicios de orden cultural impiden en la mayoría de los casos que esto sea realidad.  Sin embargo un gran avance en la protección de este grupo se dio con la promulgación de la </w:t>
      </w:r>
      <w:r>
        <w:rPr>
          <w:bCs/>
          <w:iCs/>
        </w:rPr>
        <w:t>Ley N° 1925,</w:t>
      </w:r>
      <w:r>
        <w:rPr>
          <w:iCs/>
        </w:rPr>
        <w:t xml:space="preserve"> en 2002, por la que se ratifica la Convención Interamericana para la Eliminación de Todas las Formas de Discriminación contra las Personas con Discapacidad y, en 2004, con la sanción de la </w:t>
      </w:r>
      <w:r>
        <w:rPr>
          <w:bCs/>
          <w:iCs/>
        </w:rPr>
        <w:t>Ley N° 2479</w:t>
      </w:r>
      <w:r>
        <w:rPr>
          <w:iCs/>
        </w:rPr>
        <w:t xml:space="preserve"> "que establece la obligatoriedad de la incorporación de personas con discapacidad en las instituciones públicas". </w:t>
      </w:r>
      <w:r>
        <w:rPr>
          <w:b/>
          <w:bCs/>
          <w:iCs/>
        </w:rPr>
        <w:t xml:space="preserve"> </w:t>
      </w:r>
      <w:r>
        <w:rPr>
          <w:iCs/>
        </w:rPr>
        <w:t>El caso de este grupo es similar al de los indígenas y consecuentemente, el mejoramiento de la situación de los mismos debe darse a través de medidas de acción positiva a ser establecidas en la ley.</w:t>
      </w:r>
    </w:p>
    <w:p w:rsidR="00000000" w:rsidRDefault="00000000">
      <w:pPr>
        <w:autoSpaceDE w:val="0"/>
        <w:autoSpaceDN w:val="0"/>
        <w:adjustRightInd w:val="0"/>
        <w:spacing w:after="240"/>
        <w:rPr>
          <w:iCs/>
          <w:lang w:eastAsia="es-ES"/>
        </w:rPr>
      </w:pPr>
      <w:r>
        <w:rPr>
          <w:iCs/>
          <w:lang w:eastAsia="es-ES"/>
        </w:rPr>
        <w:t>184.</w:t>
      </w:r>
      <w:r>
        <w:rPr>
          <w:iCs/>
          <w:lang w:eastAsia="es-ES"/>
        </w:rPr>
        <w:tab/>
        <w:t xml:space="preserve">Cabe destacar igualmente, que la protección de los derechos de las personas excepcionales goza de carácter constitucional, según lo establece el artículo 58 de la Constitución nacional, y según la cual se rigen las políticas públicas en la materia.  El citado artículo </w:t>
      </w:r>
      <w:r>
        <w:rPr>
          <w:bCs/>
          <w:iCs/>
        </w:rPr>
        <w:t>establece</w:t>
      </w:r>
      <w:r>
        <w:rPr>
          <w:bCs/>
          <w:iCs/>
          <w:lang w:eastAsia="es-ES"/>
        </w:rPr>
        <w:t xml:space="preserve"> </w:t>
      </w:r>
      <w:r>
        <w:rPr>
          <w:iCs/>
          <w:lang w:eastAsia="es-ES"/>
        </w:rPr>
        <w:t>cuanto sigue:  "Se garantizará a las personas excepcionales la atención de su salud, de su educación, de su recreación y de su formación profesional para una plena integración social.  El Estado organizará una política de prevención, tratamiento, rehabilitación e integración de los discapacitados físicos, psíquicos y sensoriales, a quienes prestará el cuidado especializado que requieran.  Se les reconocerá el disfrute de los derechos que esta Constitución otorga a todos los habitantes de la República, en igualdad de oportunidades, a fin de compensar sus desventajas".</w:t>
      </w:r>
    </w:p>
    <w:p w:rsidR="00000000" w:rsidRDefault="00000000">
      <w:pPr>
        <w:pStyle w:val="BodyText2"/>
        <w:spacing w:after="240" w:line="240" w:lineRule="auto"/>
        <w:rPr>
          <w:b/>
          <w:bCs/>
          <w:iCs/>
        </w:rPr>
      </w:pPr>
      <w:r>
        <w:rPr>
          <w:b/>
          <w:bCs/>
          <w:iCs/>
        </w:rPr>
        <w:t>1.</w:t>
      </w:r>
      <w:r>
        <w:rPr>
          <w:b/>
          <w:bCs/>
          <w:iCs/>
        </w:rPr>
        <w:tab/>
        <w:t>Discriminación por razones lingüísticas</w:t>
      </w:r>
    </w:p>
    <w:p w:rsidR="00000000" w:rsidRDefault="00000000">
      <w:pPr>
        <w:autoSpaceDE w:val="0"/>
        <w:autoSpaceDN w:val="0"/>
        <w:adjustRightInd w:val="0"/>
        <w:spacing w:after="240"/>
        <w:rPr>
          <w:iCs/>
        </w:rPr>
      </w:pPr>
      <w:r>
        <w:rPr>
          <w:iCs/>
        </w:rPr>
        <w:t>185.</w:t>
      </w:r>
      <w:r>
        <w:rPr>
          <w:iCs/>
        </w:rPr>
        <w:tab/>
        <w:t xml:space="preserve">Otro sector discriminado de hecho es el grupo de ciudadanos que no acceden al uso de la lengua castellana.  En el Paraguay son monolingües, guaranihablantes, mayoritariamente el campesino y </w:t>
      </w:r>
      <w:r>
        <w:rPr>
          <w:bCs/>
          <w:iCs/>
        </w:rPr>
        <w:t xml:space="preserve">minoritariamente </w:t>
      </w:r>
      <w:r>
        <w:rPr>
          <w:iCs/>
        </w:rPr>
        <w:t>el sector citadino.  Los mismos sufren discriminaciones de hecho originadas en las dificultades de comunicación en el ámbito laboral así como en el ámbito judicial, ambientes donde todo se maneja en lengua castellana.  Esta discriminación tiende a encontrar soluciones a corto plazo.  Están dadas las condiciones para que así sea, porque la Constitución nacional de 1992, declara que la lengua guaraní es igualmente de uso oficial junto con el castellano en toda la República; consecuentemente, el guaraní puede ser usado en el ámbito judicial, especialmente en los procesos laborales.  Sin embargo hasta la fecha tal derecho no se halla consolidado por la falta de una ley reglamentaria más específica de las lenguas oficiales del Estado.  Actualmente los sectores interesados en el idioma guaraní vienen trabajando la propuesta de ley reglamentaria que será presentada al Congreso Nacional.</w:t>
      </w:r>
    </w:p>
    <w:p w:rsidR="00000000" w:rsidRDefault="00000000">
      <w:pPr>
        <w:keepNext/>
        <w:keepLines/>
        <w:spacing w:after="240"/>
        <w:rPr>
          <w:b/>
        </w:rPr>
      </w:pPr>
      <w:r>
        <w:rPr>
          <w:b/>
        </w:rPr>
        <w:t>2.</w:t>
      </w:r>
      <w:r>
        <w:rPr>
          <w:b/>
        </w:rPr>
        <w:tab/>
        <w:t>Cambios en la legislación nacional</w:t>
      </w:r>
    </w:p>
    <w:p w:rsidR="00000000" w:rsidRDefault="00000000">
      <w:pPr>
        <w:autoSpaceDE w:val="0"/>
        <w:autoSpaceDN w:val="0"/>
        <w:adjustRightInd w:val="0"/>
        <w:spacing w:after="240"/>
      </w:pPr>
      <w:r>
        <w:t>186.</w:t>
      </w:r>
      <w:r>
        <w:tab/>
        <w:t xml:space="preserve">Entre los </w:t>
      </w:r>
      <w:r>
        <w:rPr>
          <w:bCs/>
          <w:iCs/>
        </w:rPr>
        <w:t>cambios</w:t>
      </w:r>
      <w:r>
        <w:rPr>
          <w:bCs/>
        </w:rPr>
        <w:t xml:space="preserve"> </w:t>
      </w:r>
      <w:r>
        <w:t xml:space="preserve">en la legislación nacional que afectan positivamente a la vigencia de los derechos consagrados en este </w:t>
      </w:r>
      <w:r>
        <w:rPr>
          <w:iCs/>
          <w:lang w:eastAsia="es-ES"/>
        </w:rPr>
        <w:t>artículo</w:t>
      </w:r>
      <w:r>
        <w:t>, se pueden mencionar los siguientes.</w:t>
      </w:r>
    </w:p>
    <w:p w:rsidR="00000000" w:rsidRDefault="00000000">
      <w:pPr>
        <w:autoSpaceDE w:val="0"/>
        <w:autoSpaceDN w:val="0"/>
        <w:adjustRightInd w:val="0"/>
        <w:spacing w:after="240"/>
        <w:rPr>
          <w:bCs/>
        </w:rPr>
      </w:pPr>
      <w:r>
        <w:t>187.</w:t>
      </w:r>
      <w:r>
        <w:tab/>
        <w:t xml:space="preserve">En cuanto </w:t>
      </w:r>
      <w:r>
        <w:rPr>
          <w:bCs/>
          <w:iCs/>
        </w:rPr>
        <w:t>al</w:t>
      </w:r>
      <w:r>
        <w:t xml:space="preserve"> d</w:t>
      </w:r>
      <w:r>
        <w:rPr>
          <w:bCs/>
        </w:rPr>
        <w:t>erecho a un puesto de trabajo productivo y condiciones justas del trabajo.</w:t>
      </w:r>
    </w:p>
    <w:p w:rsidR="00000000" w:rsidRDefault="00000000">
      <w:pPr>
        <w:autoSpaceDE w:val="0"/>
        <w:autoSpaceDN w:val="0"/>
        <w:adjustRightInd w:val="0"/>
        <w:spacing w:after="240"/>
        <w:rPr>
          <w:bCs/>
          <w:szCs w:val="36"/>
        </w:rPr>
      </w:pPr>
      <w:r>
        <w:rPr>
          <w:bCs/>
          <w:szCs w:val="36"/>
        </w:rPr>
        <w:t>188.</w:t>
      </w:r>
      <w:r>
        <w:rPr>
          <w:bCs/>
          <w:szCs w:val="36"/>
        </w:rPr>
        <w:tab/>
        <w:t xml:space="preserve">La </w:t>
      </w:r>
      <w:r>
        <w:rPr>
          <w:szCs w:val="36"/>
        </w:rPr>
        <w:t xml:space="preserve">Ley Nº 1980/2002 </w:t>
      </w:r>
      <w:r>
        <w:rPr>
          <w:bCs/>
          <w:szCs w:val="36"/>
        </w:rPr>
        <w:t>del primer empleo</w:t>
      </w:r>
      <w:r>
        <w:rPr>
          <w:szCs w:val="36"/>
        </w:rPr>
        <w:t xml:space="preserve"> tiene por objeto establecer normas para regular, incentivar y fomentar el empleo juvenil, respecto a la prestación subordinada y retribuida de la actividad laboral.  Esta ley afecta a los(as) jóvenes entre 15 y 18 años, a profesionales recién recibidos que nunca hayan prestado servicios </w:t>
      </w:r>
      <w:r>
        <w:rPr>
          <w:iCs/>
          <w:lang w:eastAsia="es-ES"/>
        </w:rPr>
        <w:t>en</w:t>
      </w:r>
      <w:r>
        <w:rPr>
          <w:szCs w:val="36"/>
        </w:rPr>
        <w:t xml:space="preserve"> relación de dependencia y que no sean mayores de 28 años y a empleadores y empleadoras inscriptos ante la Autoridad Administrativa del Trabajo.</w:t>
      </w:r>
    </w:p>
    <w:p w:rsidR="00000000" w:rsidRDefault="00000000">
      <w:pPr>
        <w:autoSpaceDE w:val="0"/>
        <w:autoSpaceDN w:val="0"/>
        <w:adjustRightInd w:val="0"/>
        <w:spacing w:after="240"/>
        <w:rPr>
          <w:szCs w:val="36"/>
        </w:rPr>
      </w:pPr>
      <w:r>
        <w:rPr>
          <w:bCs/>
          <w:szCs w:val="36"/>
        </w:rPr>
        <w:t>189.</w:t>
      </w:r>
      <w:r>
        <w:rPr>
          <w:bCs/>
          <w:szCs w:val="36"/>
        </w:rPr>
        <w:tab/>
        <w:t xml:space="preserve">La </w:t>
      </w:r>
      <w:r>
        <w:rPr>
          <w:szCs w:val="36"/>
        </w:rPr>
        <w:t xml:space="preserve">Ley Nº 1652/2000 por la cual se crea el Sistema Nacional de Capacitación y Formación Laboral (reglamentada por el Decreto Nº 15904/2001).  Esta ley regula la formación y capacitación laboral de sus beneficiarios, establece los principios, objetivos y fines de dicha formación y capacitación, determina las pautas de participación y las responsabilidades de su órgano rector -ente de derecho público, dependiente del Ministerio de Justicia y Trabajo-, así como de las instituciones de formación y </w:t>
      </w:r>
      <w:r>
        <w:rPr>
          <w:iCs/>
          <w:lang w:eastAsia="es-ES"/>
        </w:rPr>
        <w:t>capacitación</w:t>
      </w:r>
      <w:r>
        <w:rPr>
          <w:szCs w:val="36"/>
        </w:rPr>
        <w:t>.  Contiene disposiciones sobre las formas de financiación y las demás funciones del sistema.</w:t>
      </w:r>
    </w:p>
    <w:p w:rsidR="00000000" w:rsidRDefault="00000000">
      <w:pPr>
        <w:keepNext/>
        <w:keepLines/>
        <w:autoSpaceDE w:val="0"/>
        <w:autoSpaceDN w:val="0"/>
        <w:adjustRightInd w:val="0"/>
        <w:spacing w:after="240"/>
        <w:rPr>
          <w:szCs w:val="36"/>
        </w:rPr>
      </w:pPr>
      <w:r>
        <w:rPr>
          <w:bCs/>
          <w:szCs w:val="36"/>
        </w:rPr>
        <w:t>190.</w:t>
      </w:r>
      <w:r>
        <w:rPr>
          <w:bCs/>
          <w:szCs w:val="36"/>
        </w:rPr>
        <w:tab/>
        <w:t xml:space="preserve">La </w:t>
      </w:r>
      <w:r>
        <w:rPr>
          <w:szCs w:val="36"/>
        </w:rPr>
        <w:t xml:space="preserve">Ley Nº 1265/1987 </w:t>
      </w:r>
      <w:r>
        <w:rPr>
          <w:bCs/>
          <w:szCs w:val="36"/>
        </w:rPr>
        <w:t>modifica la Ley Nº 253/1971 por la cual se creó el Servicio Nacional de Promoción Profesional (SNPP),</w:t>
      </w:r>
      <w:r>
        <w:rPr>
          <w:szCs w:val="36"/>
        </w:rPr>
        <w:t xml:space="preserve"> ente dependiente del Ministerio de Justicia y Trabajo.  El SNPP se regirá por las disposiciones de la presente ley y tendrá como finalidad</w:t>
      </w:r>
      <w:r>
        <w:rPr>
          <w:bCs/>
          <w:szCs w:val="36"/>
        </w:rPr>
        <w:t xml:space="preserve"> </w:t>
      </w:r>
      <w:r>
        <w:rPr>
          <w:bCs/>
          <w:iCs/>
        </w:rPr>
        <w:t>promover</w:t>
      </w:r>
      <w:r>
        <w:rPr>
          <w:bCs/>
          <w:szCs w:val="36"/>
        </w:rPr>
        <w:t xml:space="preserve"> </w:t>
      </w:r>
      <w:r>
        <w:rPr>
          <w:szCs w:val="36"/>
        </w:rPr>
        <w:t xml:space="preserve">y desarrollar la formación profesional de los trabajadores, en todos los niveles y sectores de la economía, atendiendo fundamentalmente a la </w:t>
      </w:r>
      <w:r>
        <w:rPr>
          <w:iCs/>
          <w:lang w:eastAsia="es-ES"/>
        </w:rPr>
        <w:t>política</w:t>
      </w:r>
      <w:r>
        <w:rPr>
          <w:szCs w:val="36"/>
        </w:rPr>
        <w:t xml:space="preserve"> de ocupaciones del Gobierno y al proceso de desarrollo nacional.  Los beneficiarios del SNPP son todas las personas mayores de 18 años, radicadas en el territorio nacional, pero contempla programas de aprendizaje para los menores entre 15 y 18 años.</w:t>
      </w:r>
    </w:p>
    <w:p w:rsidR="00000000" w:rsidRDefault="00000000">
      <w:pPr>
        <w:autoSpaceDE w:val="0"/>
        <w:autoSpaceDN w:val="0"/>
        <w:adjustRightInd w:val="0"/>
        <w:spacing w:after="240"/>
        <w:rPr>
          <w:szCs w:val="36"/>
        </w:rPr>
      </w:pPr>
      <w:r>
        <w:rPr>
          <w:bCs/>
          <w:szCs w:val="36"/>
        </w:rPr>
        <w:t>191.</w:t>
      </w:r>
      <w:r>
        <w:rPr>
          <w:bCs/>
          <w:szCs w:val="36"/>
        </w:rPr>
        <w:tab/>
        <w:t xml:space="preserve">La </w:t>
      </w:r>
      <w:r>
        <w:rPr>
          <w:szCs w:val="36"/>
        </w:rPr>
        <w:t xml:space="preserve">Ley Nº 285/1993 </w:t>
      </w:r>
      <w:r>
        <w:rPr>
          <w:bCs/>
          <w:szCs w:val="36"/>
        </w:rPr>
        <w:t>sobre los beneficios adicionales a los trabajadores (reglamenta el artículo 93 de la Constitución nacional).</w:t>
      </w:r>
      <w:r>
        <w:rPr>
          <w:szCs w:val="36"/>
        </w:rPr>
        <w:t xml:space="preserve">  Establece que la empresa que otorgue a sus trabajadores beneficios adicionales sobre su renta neta, con independencia de los respectivos salarios y de otros beneficios establecidos en las leyes o en contratos celebrados entre la empresa y sus trabajadores, podrá deducir dichos beneficios, los cuales estarán exentos de todo tributo y no estarán sujetos a contribución alguna por parte de la </w:t>
      </w:r>
      <w:r>
        <w:rPr>
          <w:bCs/>
          <w:iCs/>
        </w:rPr>
        <w:t>empresa</w:t>
      </w:r>
      <w:r>
        <w:rPr>
          <w:bCs/>
          <w:szCs w:val="36"/>
        </w:rPr>
        <w:t xml:space="preserve"> </w:t>
      </w:r>
      <w:r>
        <w:rPr>
          <w:szCs w:val="36"/>
        </w:rPr>
        <w:t xml:space="preserve">o de los trabajadores al Instituto de Previsión Social, Banco Nacional de Trabajadores u otras entidades creadas que exijan de los mismos algún tipo de contribución o de </w:t>
      </w:r>
      <w:r>
        <w:rPr>
          <w:iCs/>
          <w:lang w:eastAsia="es-ES"/>
        </w:rPr>
        <w:t>aporte</w:t>
      </w:r>
      <w:r>
        <w:rPr>
          <w:szCs w:val="36"/>
        </w:rPr>
        <w:t>.</w:t>
      </w:r>
    </w:p>
    <w:p w:rsidR="00000000" w:rsidRDefault="00000000">
      <w:pPr>
        <w:autoSpaceDE w:val="0"/>
        <w:autoSpaceDN w:val="0"/>
        <w:adjustRightInd w:val="0"/>
        <w:spacing w:after="240"/>
        <w:rPr>
          <w:szCs w:val="36"/>
        </w:rPr>
      </w:pPr>
      <w:r>
        <w:rPr>
          <w:bCs/>
          <w:szCs w:val="36"/>
        </w:rPr>
        <w:t>192.</w:t>
      </w:r>
      <w:r>
        <w:rPr>
          <w:bCs/>
          <w:szCs w:val="36"/>
        </w:rPr>
        <w:tab/>
        <w:t xml:space="preserve">La </w:t>
      </w:r>
      <w:r>
        <w:rPr>
          <w:szCs w:val="36"/>
        </w:rPr>
        <w:t xml:space="preserve">Ley Nº 1160/1997, Código Penal, artículo 205, establece que el titular de un establecimiento o empresa o la persona </w:t>
      </w:r>
      <w:r>
        <w:rPr>
          <w:iCs/>
          <w:lang w:eastAsia="es-ES"/>
        </w:rPr>
        <w:t>responsable</w:t>
      </w:r>
      <w:r>
        <w:rPr>
          <w:szCs w:val="36"/>
        </w:rPr>
        <w:t xml:space="preserve"> de la prevención de accidentes de trabajo, incurrirá en responsabilidad y será pasible de penas correspondientes, si expone a las personas a lugares de trabajo peligrosos.</w:t>
      </w:r>
    </w:p>
    <w:p w:rsidR="00000000" w:rsidRDefault="00000000">
      <w:pPr>
        <w:autoSpaceDE w:val="0"/>
        <w:autoSpaceDN w:val="0"/>
        <w:adjustRightInd w:val="0"/>
        <w:spacing w:after="240"/>
        <w:rPr>
          <w:szCs w:val="36"/>
        </w:rPr>
      </w:pPr>
      <w:r>
        <w:rPr>
          <w:bCs/>
          <w:szCs w:val="36"/>
        </w:rPr>
        <w:t>193.</w:t>
      </w:r>
      <w:r>
        <w:rPr>
          <w:bCs/>
          <w:szCs w:val="36"/>
        </w:rPr>
        <w:tab/>
        <w:t xml:space="preserve">El </w:t>
      </w:r>
      <w:r>
        <w:rPr>
          <w:szCs w:val="36"/>
        </w:rPr>
        <w:t xml:space="preserve">Decreto Nº 20400/2003 </w:t>
      </w:r>
      <w:r>
        <w:rPr>
          <w:bCs/>
          <w:szCs w:val="36"/>
        </w:rPr>
        <w:t xml:space="preserve">regula los sueldos y jornales del sector privado. </w:t>
      </w:r>
      <w:r>
        <w:rPr>
          <w:szCs w:val="36"/>
        </w:rPr>
        <w:t xml:space="preserve"> Dispone el aumento del 11% de los sueldos y jornales del sector privado, el cual regirá a partir del 1° de febrero 2003, de los salarios mínimos vigentes en las actividades expresamente previstas, escalafonadas y las diversas no </w:t>
      </w:r>
      <w:r>
        <w:rPr>
          <w:iCs/>
          <w:lang w:eastAsia="es-ES"/>
        </w:rPr>
        <w:t>especificadas</w:t>
      </w:r>
      <w:r>
        <w:rPr>
          <w:szCs w:val="36"/>
        </w:rPr>
        <w:t>.</w:t>
      </w:r>
    </w:p>
    <w:p w:rsidR="00000000" w:rsidRDefault="00000000">
      <w:pPr>
        <w:pStyle w:val="BodyText2"/>
        <w:spacing w:after="240" w:line="240" w:lineRule="auto"/>
        <w:rPr>
          <w:iCs/>
        </w:rPr>
      </w:pPr>
      <w:r>
        <w:rPr>
          <w:b/>
          <w:iCs/>
        </w:rPr>
        <w:t>Artículo 7</w:t>
      </w:r>
    </w:p>
    <w:p w:rsidR="00000000" w:rsidRDefault="00000000">
      <w:pPr>
        <w:autoSpaceDE w:val="0"/>
        <w:autoSpaceDN w:val="0"/>
        <w:adjustRightInd w:val="0"/>
        <w:spacing w:after="240"/>
      </w:pPr>
      <w:r>
        <w:t>194.</w:t>
      </w:r>
      <w:r>
        <w:tab/>
        <w:t xml:space="preserve">Con relación a la aplicación del presente artículo, el Estado paraguayo es Parte de los siguientes </w:t>
      </w:r>
      <w:r>
        <w:rPr>
          <w:szCs w:val="36"/>
        </w:rPr>
        <w:t>convenios</w:t>
      </w:r>
      <w:r>
        <w:t xml:space="preserve"> </w:t>
      </w:r>
      <w:r>
        <w:rPr>
          <w:iCs/>
          <w:lang w:eastAsia="es-ES"/>
        </w:rPr>
        <w:t>internacionales</w:t>
      </w:r>
      <w:r>
        <w:t xml:space="preserve"> en materia de derechos laborales:</w:t>
      </w:r>
    </w:p>
    <w:p w:rsidR="00000000" w:rsidRDefault="00000000">
      <w:pPr>
        <w:spacing w:after="240"/>
        <w:ind w:left="567"/>
        <w:rPr>
          <w:b/>
        </w:rPr>
      </w:pPr>
      <w:r>
        <w:rPr>
          <w:b/>
        </w:rPr>
        <w:t>Convenio Nº 14 de la OIT relativo a la aplicación del descanso semanal en las empresas industriales</w:t>
      </w:r>
    </w:p>
    <w:p w:rsidR="00000000" w:rsidRDefault="00000000">
      <w:pPr>
        <w:ind w:left="567"/>
      </w:pPr>
      <w:r>
        <w:t>Adoptado:  Ginebra, 25 de octubre de 1921</w:t>
      </w:r>
    </w:p>
    <w:p w:rsidR="00000000" w:rsidRDefault="00000000">
      <w:pPr>
        <w:ind w:left="567"/>
      </w:pPr>
      <w:r>
        <w:t xml:space="preserve">Ley Nº 945, de 15 de julio de 1964 </w:t>
      </w:r>
    </w:p>
    <w:p w:rsidR="00000000" w:rsidRDefault="00000000">
      <w:pPr>
        <w:spacing w:after="240"/>
        <w:ind w:left="567"/>
      </w:pPr>
      <w:r>
        <w:t>Fecha de entrada en vigor para el Paraguay:  21 de marzo de 1966</w:t>
      </w:r>
    </w:p>
    <w:p w:rsidR="00000000" w:rsidRDefault="00000000">
      <w:pPr>
        <w:spacing w:after="240"/>
        <w:ind w:left="567"/>
        <w:rPr>
          <w:b/>
        </w:rPr>
      </w:pPr>
      <w:r>
        <w:rPr>
          <w:b/>
        </w:rPr>
        <w:t>Convenio Nº 100 relativo a la igualdad de remuneración entre la mano de obra masculina y la mano de obra femenina por un trabajo de igual valor</w:t>
      </w:r>
    </w:p>
    <w:p w:rsidR="00000000" w:rsidRDefault="00000000">
      <w:pPr>
        <w:ind w:left="567"/>
      </w:pPr>
      <w:r>
        <w:t>Adoptado:  Ginebra, 29 de junio de 1951</w:t>
      </w:r>
    </w:p>
    <w:p w:rsidR="00000000" w:rsidRDefault="00000000">
      <w:pPr>
        <w:ind w:left="567"/>
      </w:pPr>
      <w:r>
        <w:t xml:space="preserve">Ley Nº 925, de 3 de junio 1964 </w:t>
      </w:r>
    </w:p>
    <w:p w:rsidR="00000000" w:rsidRDefault="00000000">
      <w:pPr>
        <w:spacing w:after="240"/>
        <w:ind w:left="567"/>
      </w:pPr>
      <w:r>
        <w:t>Fecha de entrada en vigor para el Paraguay:  24 de junio de  1965</w:t>
      </w:r>
    </w:p>
    <w:p w:rsidR="00000000" w:rsidRDefault="00000000">
      <w:pPr>
        <w:keepNext/>
        <w:spacing w:after="240"/>
        <w:ind w:left="567"/>
        <w:rPr>
          <w:b/>
        </w:rPr>
      </w:pPr>
      <w:r>
        <w:rPr>
          <w:b/>
        </w:rPr>
        <w:t>Convenio Nº 106 relativo al descanso semanal en el comercio y en las oficinas</w:t>
      </w:r>
    </w:p>
    <w:p w:rsidR="00000000" w:rsidRDefault="00000000">
      <w:pPr>
        <w:ind w:left="567"/>
      </w:pPr>
      <w:r>
        <w:t>Adoptado:  Ginebra, 26 de junio de 1957</w:t>
      </w:r>
    </w:p>
    <w:p w:rsidR="00000000" w:rsidRDefault="00000000">
      <w:pPr>
        <w:ind w:left="567"/>
      </w:pPr>
      <w:r>
        <w:t xml:space="preserve">Ley Nº 947, de 15 de julio de 1964 </w:t>
      </w:r>
    </w:p>
    <w:p w:rsidR="00000000" w:rsidRDefault="00000000">
      <w:pPr>
        <w:ind w:left="567"/>
      </w:pPr>
      <w:r>
        <w:t>Depósito:  Ginebra, 21 de marzo de 1966</w:t>
      </w:r>
    </w:p>
    <w:p w:rsidR="00000000" w:rsidRDefault="00000000">
      <w:pPr>
        <w:spacing w:after="240"/>
        <w:ind w:left="567"/>
      </w:pPr>
      <w:r>
        <w:t>Fecha de entrada en vigor para el Paraguay:  21 de marzo de 1967</w:t>
      </w:r>
    </w:p>
    <w:p w:rsidR="00000000" w:rsidRDefault="00000000">
      <w:pPr>
        <w:spacing w:after="240"/>
        <w:ind w:left="567"/>
        <w:rPr>
          <w:b/>
        </w:rPr>
      </w:pPr>
      <w:r>
        <w:rPr>
          <w:b/>
        </w:rPr>
        <w:t>Convenio Nº 81 relativo a la inspección del trabajo en la industria y el comercio</w:t>
      </w:r>
    </w:p>
    <w:p w:rsidR="00000000" w:rsidRDefault="00000000">
      <w:pPr>
        <w:ind w:left="567"/>
      </w:pPr>
      <w:r>
        <w:t>Adoptado:  Ginebra, 11 de julio de 1947</w:t>
      </w:r>
    </w:p>
    <w:p w:rsidR="00000000" w:rsidRDefault="00000000">
      <w:pPr>
        <w:ind w:left="567"/>
      </w:pPr>
      <w:r>
        <w:t>Ley Nº 1235, de 21 de junio de 1967</w:t>
      </w:r>
    </w:p>
    <w:p w:rsidR="00000000" w:rsidRDefault="00000000">
      <w:pPr>
        <w:ind w:left="567"/>
      </w:pPr>
      <w:r>
        <w:t xml:space="preserve">Depósito:  Ginebra, 28 de agosto de 1967 </w:t>
      </w:r>
    </w:p>
    <w:p w:rsidR="00000000" w:rsidRDefault="00000000">
      <w:pPr>
        <w:spacing w:after="240"/>
        <w:ind w:left="567"/>
      </w:pPr>
      <w:r>
        <w:t>Fecha de entrada en vigor para el Paraguay:  28 de agosto de 1968</w:t>
      </w:r>
    </w:p>
    <w:p w:rsidR="00000000" w:rsidRDefault="00000000">
      <w:pPr>
        <w:spacing w:after="240"/>
        <w:jc w:val="center"/>
        <w:rPr>
          <w:b/>
        </w:rPr>
      </w:pPr>
      <w:r>
        <w:rPr>
          <w:b/>
        </w:rPr>
        <w:t>A.  Salario mínimo</w:t>
      </w:r>
    </w:p>
    <w:p w:rsidR="00000000" w:rsidRDefault="00000000">
      <w:pPr>
        <w:autoSpaceDE w:val="0"/>
        <w:autoSpaceDN w:val="0"/>
        <w:adjustRightInd w:val="0"/>
        <w:spacing w:after="240"/>
        <w:rPr>
          <w:bCs/>
        </w:rPr>
      </w:pPr>
      <w:r>
        <w:t>195.</w:t>
      </w:r>
      <w:r>
        <w:tab/>
        <w:t xml:space="preserve">El </w:t>
      </w:r>
      <w:r>
        <w:rPr>
          <w:szCs w:val="36"/>
        </w:rPr>
        <w:t>mecanismo</w:t>
      </w:r>
      <w:r>
        <w:t xml:space="preserve"> para la fijación del salario mínimo se encuentra estipulado en el </w:t>
      </w:r>
      <w:r>
        <w:rPr>
          <w:bCs/>
        </w:rPr>
        <w:t xml:space="preserve">Código Laboral paraguayo, capítulo II, "Del salario mínimo", el cual se detalla a continuación:  </w:t>
      </w:r>
    </w:p>
    <w:p w:rsidR="00000000" w:rsidRDefault="00000000">
      <w:pPr>
        <w:numPr>
          <w:ilvl w:val="0"/>
          <w:numId w:val="8"/>
        </w:numPr>
        <w:spacing w:after="240"/>
      </w:pPr>
      <w:r>
        <w:rPr>
          <w:b/>
          <w:bCs/>
        </w:rPr>
        <w:t xml:space="preserve">Artículo 249:  </w:t>
      </w:r>
      <w:r>
        <w:rPr>
          <w:bCs/>
        </w:rPr>
        <w:t>"</w:t>
      </w:r>
      <w:r>
        <w:t>Salario mínimo es aquel suficiente para satisfacer las necesidades normales de la vida del trabajador consistentes en:  alimentación, habitación, vestuario, transporte, previsión, cultura y recreaciones honestas considerándolo como jefe de familia".</w:t>
      </w:r>
    </w:p>
    <w:p w:rsidR="00000000" w:rsidRDefault="00000000">
      <w:pPr>
        <w:numPr>
          <w:ilvl w:val="0"/>
          <w:numId w:val="8"/>
        </w:numPr>
        <w:spacing w:after="240"/>
      </w:pPr>
      <w:r>
        <w:rPr>
          <w:b/>
          <w:bCs/>
        </w:rPr>
        <w:t xml:space="preserve">Artículo 250:  </w:t>
      </w:r>
      <w:r>
        <w:rPr>
          <w:bCs/>
        </w:rPr>
        <w:t>"</w:t>
      </w:r>
      <w:r>
        <w:t>El salario vital, mínimo y móvil será fijado periódicamente con el fin de mejorar el nivel de vida, tomando en cuenta los siguientes factores:</w:t>
      </w:r>
    </w:p>
    <w:p w:rsidR="00000000" w:rsidRDefault="00000000">
      <w:pPr>
        <w:spacing w:after="240"/>
        <w:ind w:left="1134"/>
        <w:rPr>
          <w:bCs/>
        </w:rPr>
      </w:pPr>
      <w:r>
        <w:rPr>
          <w:bCs/>
        </w:rPr>
        <w:tab/>
        <w:t>a)</w:t>
      </w:r>
      <w:r>
        <w:rPr>
          <w:bCs/>
        </w:rPr>
        <w:tab/>
        <w:t>El costo de vida de la familia obrera, según el tiempo y lugar, en sus elementos fundamentales, de acuerdo con el artículo anterior;</w:t>
      </w:r>
    </w:p>
    <w:p w:rsidR="00000000" w:rsidRDefault="00000000">
      <w:pPr>
        <w:spacing w:after="240"/>
        <w:ind w:left="1134"/>
        <w:rPr>
          <w:bCs/>
        </w:rPr>
      </w:pPr>
      <w:r>
        <w:rPr>
          <w:bCs/>
        </w:rPr>
        <w:tab/>
        <w:t>b)</w:t>
      </w:r>
      <w:r>
        <w:rPr>
          <w:bCs/>
        </w:rPr>
        <w:tab/>
        <w:t>El nivel general de salarios en el país, o región donde se realice el trabajo;</w:t>
      </w:r>
    </w:p>
    <w:p w:rsidR="00000000" w:rsidRDefault="00000000">
      <w:pPr>
        <w:spacing w:after="240"/>
        <w:ind w:left="1134"/>
        <w:rPr>
          <w:bCs/>
        </w:rPr>
      </w:pPr>
      <w:r>
        <w:rPr>
          <w:bCs/>
        </w:rPr>
        <w:tab/>
        <w:t>c)</w:t>
      </w:r>
      <w:r>
        <w:rPr>
          <w:bCs/>
        </w:rPr>
        <w:tab/>
        <w:t>Las condiciones económicas de la rama de actividad respectiva;</w:t>
      </w:r>
    </w:p>
    <w:p w:rsidR="00000000" w:rsidRDefault="00000000">
      <w:pPr>
        <w:spacing w:after="240"/>
        <w:ind w:left="1134"/>
      </w:pPr>
      <w:r>
        <w:tab/>
        <w:t>d)</w:t>
      </w:r>
      <w:r>
        <w:tab/>
        <w:t>La naturaleza y rendimiento del trabajo;</w:t>
      </w:r>
    </w:p>
    <w:p w:rsidR="00000000" w:rsidRDefault="00000000">
      <w:pPr>
        <w:spacing w:after="240"/>
        <w:ind w:left="1134"/>
      </w:pPr>
      <w:r>
        <w:tab/>
        <w:t>e)</w:t>
      </w:r>
      <w:r>
        <w:tab/>
        <w:t>La edad del trabajador, en la medida que influya sobre su productividad; y,</w:t>
      </w:r>
    </w:p>
    <w:p w:rsidR="00000000" w:rsidRDefault="00000000">
      <w:pPr>
        <w:spacing w:after="240"/>
        <w:ind w:left="1134"/>
      </w:pPr>
      <w:r>
        <w:tab/>
        <w:t>f)</w:t>
      </w:r>
      <w:r>
        <w:tab/>
        <w:t>Cualesquiera otras circunstancias que fuesen congruentes a la fijación".</w:t>
      </w:r>
    </w:p>
    <w:p w:rsidR="00000000" w:rsidRDefault="00000000">
      <w:pPr>
        <w:autoSpaceDE w:val="0"/>
        <w:autoSpaceDN w:val="0"/>
        <w:adjustRightInd w:val="0"/>
        <w:spacing w:after="240"/>
      </w:pPr>
      <w:r>
        <w:t>196.</w:t>
      </w:r>
      <w:r>
        <w:tab/>
        <w:t xml:space="preserve">De este modo, el derecho a la remuneración básica está establecido en el Código Laboral, el salario mínimo tiene fuerza de ley.  Actualmente está fijado en </w:t>
      </w:r>
      <w:r>
        <w:rPr>
          <w:bCs/>
        </w:rPr>
        <w:t>1.219.795</w:t>
      </w:r>
      <w:r>
        <w:rPr>
          <w:b/>
          <w:bCs/>
        </w:rPr>
        <w:t xml:space="preserve"> </w:t>
      </w:r>
      <w:r>
        <w:t>guaraníes (</w:t>
      </w:r>
      <w:r>
        <w:rPr>
          <w:szCs w:val="36"/>
        </w:rPr>
        <w:t>aproximadamente</w:t>
      </w:r>
      <w:r>
        <w:t xml:space="preserve"> 214 dólares de los EE.UU. a la tasa de cambio de mayo 2006).</w:t>
      </w:r>
    </w:p>
    <w:p w:rsidR="00000000" w:rsidRDefault="00000000">
      <w:pPr>
        <w:keepNext/>
        <w:spacing w:after="240"/>
        <w:rPr>
          <w:b/>
          <w:bCs/>
        </w:rPr>
      </w:pPr>
      <w:r>
        <w:rPr>
          <w:b/>
          <w:bCs/>
        </w:rPr>
        <w:t>1.</w:t>
      </w:r>
      <w:r>
        <w:rPr>
          <w:b/>
          <w:bCs/>
        </w:rPr>
        <w:tab/>
        <w:t>Desarrollo del salario mínimo, 1994-2006</w:t>
      </w:r>
    </w:p>
    <w:p w:rsidR="00000000" w:rsidRDefault="00000000">
      <w:pPr>
        <w:keepNext/>
        <w:spacing w:after="240"/>
        <w:jc w:val="center"/>
        <w:rPr>
          <w:b/>
          <w:bCs/>
        </w:rPr>
      </w:pPr>
      <w:r>
        <w:rPr>
          <w:b/>
          <w:bCs/>
        </w:rPr>
        <w:t>Evolución del salario mínimo (1994-2005)</w:t>
      </w:r>
    </w:p>
    <w:tbl>
      <w:tblPr>
        <w:tblW w:w="0" w:type="auto"/>
        <w:jc w:val="center"/>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2669"/>
      </w:tblGrid>
      <w:tr w:rsidR="00000000">
        <w:trPr>
          <w:tblHeader/>
          <w:jc w:val="center"/>
        </w:trPr>
        <w:tc>
          <w:tcPr>
            <w:tcW w:w="2040" w:type="dxa"/>
          </w:tcPr>
          <w:p w:rsidR="00000000" w:rsidRDefault="00000000">
            <w:pPr>
              <w:keepNext/>
              <w:jc w:val="center"/>
              <w:rPr>
                <w:b/>
                <w:bCs/>
              </w:rPr>
            </w:pPr>
            <w:r>
              <w:rPr>
                <w:b/>
                <w:bCs/>
              </w:rPr>
              <w:t>Año</w:t>
            </w:r>
          </w:p>
        </w:tc>
        <w:tc>
          <w:tcPr>
            <w:tcW w:w="2517" w:type="dxa"/>
          </w:tcPr>
          <w:p w:rsidR="00000000" w:rsidRDefault="00000000">
            <w:pPr>
              <w:keepNext/>
              <w:jc w:val="center"/>
              <w:rPr>
                <w:b/>
                <w:bCs/>
              </w:rPr>
            </w:pPr>
            <w:r>
              <w:rPr>
                <w:b/>
                <w:bCs/>
              </w:rPr>
              <w:t>Salario</w:t>
            </w:r>
          </w:p>
        </w:tc>
      </w:tr>
      <w:tr w:rsidR="00000000">
        <w:trPr>
          <w:jc w:val="center"/>
        </w:trPr>
        <w:tc>
          <w:tcPr>
            <w:tcW w:w="2040" w:type="dxa"/>
          </w:tcPr>
          <w:p w:rsidR="00000000" w:rsidRDefault="00000000">
            <w:pPr>
              <w:jc w:val="center"/>
            </w:pPr>
            <w:r>
              <w:t>1994</w:t>
            </w:r>
          </w:p>
        </w:tc>
        <w:tc>
          <w:tcPr>
            <w:tcW w:w="2517" w:type="dxa"/>
          </w:tcPr>
          <w:p w:rsidR="00000000" w:rsidRDefault="00000000">
            <w:pPr>
              <w:tabs>
                <w:tab w:val="decimal" w:pos="1613"/>
              </w:tabs>
              <w:rPr>
                <w:b/>
                <w:bCs/>
              </w:rPr>
            </w:pPr>
            <w:r>
              <w:t>379.500</w:t>
            </w:r>
          </w:p>
        </w:tc>
      </w:tr>
      <w:tr w:rsidR="00000000">
        <w:trPr>
          <w:jc w:val="center"/>
        </w:trPr>
        <w:tc>
          <w:tcPr>
            <w:tcW w:w="2040" w:type="dxa"/>
          </w:tcPr>
          <w:p w:rsidR="00000000" w:rsidRDefault="00000000">
            <w:pPr>
              <w:jc w:val="center"/>
            </w:pPr>
            <w:r>
              <w:t>1995</w:t>
            </w:r>
          </w:p>
        </w:tc>
        <w:tc>
          <w:tcPr>
            <w:tcW w:w="2517" w:type="dxa"/>
          </w:tcPr>
          <w:p w:rsidR="00000000" w:rsidRDefault="00000000">
            <w:pPr>
              <w:tabs>
                <w:tab w:val="decimal" w:pos="1613"/>
              </w:tabs>
              <w:rPr>
                <w:b/>
                <w:bCs/>
              </w:rPr>
            </w:pPr>
            <w:r>
              <w:t>436.425</w:t>
            </w:r>
          </w:p>
        </w:tc>
      </w:tr>
      <w:tr w:rsidR="00000000">
        <w:trPr>
          <w:jc w:val="center"/>
        </w:trPr>
        <w:tc>
          <w:tcPr>
            <w:tcW w:w="2040" w:type="dxa"/>
          </w:tcPr>
          <w:p w:rsidR="00000000" w:rsidRDefault="00000000">
            <w:pPr>
              <w:jc w:val="center"/>
            </w:pPr>
            <w:r>
              <w:t>1996</w:t>
            </w:r>
          </w:p>
        </w:tc>
        <w:tc>
          <w:tcPr>
            <w:tcW w:w="2517" w:type="dxa"/>
          </w:tcPr>
          <w:p w:rsidR="00000000" w:rsidRDefault="00000000">
            <w:pPr>
              <w:tabs>
                <w:tab w:val="decimal" w:pos="1613"/>
              </w:tabs>
              <w:rPr>
                <w:b/>
                <w:bCs/>
              </w:rPr>
            </w:pPr>
            <w:r>
              <w:t>480.069</w:t>
            </w:r>
          </w:p>
        </w:tc>
      </w:tr>
      <w:tr w:rsidR="00000000">
        <w:trPr>
          <w:jc w:val="center"/>
        </w:trPr>
        <w:tc>
          <w:tcPr>
            <w:tcW w:w="2040" w:type="dxa"/>
          </w:tcPr>
          <w:p w:rsidR="00000000" w:rsidRDefault="00000000">
            <w:pPr>
              <w:jc w:val="center"/>
            </w:pPr>
            <w:r>
              <w:t>1997</w:t>
            </w:r>
          </w:p>
        </w:tc>
        <w:tc>
          <w:tcPr>
            <w:tcW w:w="2517" w:type="dxa"/>
          </w:tcPr>
          <w:p w:rsidR="00000000" w:rsidRDefault="00000000">
            <w:pPr>
              <w:tabs>
                <w:tab w:val="decimal" w:pos="1613"/>
              </w:tabs>
              <w:rPr>
                <w:b/>
                <w:bCs/>
              </w:rPr>
            </w:pPr>
            <w:r>
              <w:t>528.076</w:t>
            </w:r>
          </w:p>
        </w:tc>
      </w:tr>
      <w:tr w:rsidR="00000000">
        <w:trPr>
          <w:jc w:val="center"/>
        </w:trPr>
        <w:tc>
          <w:tcPr>
            <w:tcW w:w="2040" w:type="dxa"/>
          </w:tcPr>
          <w:p w:rsidR="00000000" w:rsidRDefault="00000000">
            <w:pPr>
              <w:jc w:val="center"/>
            </w:pPr>
            <w:r>
              <w:t>1998</w:t>
            </w:r>
          </w:p>
        </w:tc>
        <w:tc>
          <w:tcPr>
            <w:tcW w:w="2517" w:type="dxa"/>
          </w:tcPr>
          <w:p w:rsidR="00000000" w:rsidRDefault="00000000">
            <w:pPr>
              <w:tabs>
                <w:tab w:val="decimal" w:pos="1613"/>
              </w:tabs>
              <w:rPr>
                <w:b/>
                <w:bCs/>
              </w:rPr>
            </w:pPr>
            <w:r>
              <w:t>580.883</w:t>
            </w:r>
          </w:p>
        </w:tc>
      </w:tr>
      <w:tr w:rsidR="00000000">
        <w:trPr>
          <w:jc w:val="center"/>
        </w:trPr>
        <w:tc>
          <w:tcPr>
            <w:tcW w:w="2040" w:type="dxa"/>
          </w:tcPr>
          <w:p w:rsidR="00000000" w:rsidRDefault="00000000">
            <w:pPr>
              <w:jc w:val="center"/>
            </w:pPr>
            <w:r>
              <w:t>1999</w:t>
            </w:r>
          </w:p>
        </w:tc>
        <w:tc>
          <w:tcPr>
            <w:tcW w:w="2517" w:type="dxa"/>
          </w:tcPr>
          <w:p w:rsidR="00000000" w:rsidRDefault="00000000">
            <w:pPr>
              <w:tabs>
                <w:tab w:val="decimal" w:pos="1613"/>
              </w:tabs>
              <w:rPr>
                <w:b/>
                <w:bCs/>
              </w:rPr>
            </w:pPr>
            <w:r>
              <w:t>591.445</w:t>
            </w:r>
          </w:p>
        </w:tc>
      </w:tr>
      <w:tr w:rsidR="00000000">
        <w:trPr>
          <w:jc w:val="center"/>
        </w:trPr>
        <w:tc>
          <w:tcPr>
            <w:tcW w:w="2040" w:type="dxa"/>
          </w:tcPr>
          <w:p w:rsidR="00000000" w:rsidRDefault="00000000">
            <w:pPr>
              <w:jc w:val="center"/>
            </w:pPr>
            <w:r>
              <w:t>2000</w:t>
            </w:r>
          </w:p>
        </w:tc>
        <w:tc>
          <w:tcPr>
            <w:tcW w:w="2517" w:type="dxa"/>
          </w:tcPr>
          <w:p w:rsidR="00000000" w:rsidRDefault="00000000">
            <w:pPr>
              <w:tabs>
                <w:tab w:val="decimal" w:pos="1613"/>
              </w:tabs>
              <w:rPr>
                <w:b/>
                <w:bCs/>
              </w:rPr>
            </w:pPr>
            <w:r>
              <w:t>680.162</w:t>
            </w:r>
          </w:p>
        </w:tc>
      </w:tr>
      <w:tr w:rsidR="00000000">
        <w:trPr>
          <w:jc w:val="center"/>
        </w:trPr>
        <w:tc>
          <w:tcPr>
            <w:tcW w:w="2040" w:type="dxa"/>
          </w:tcPr>
          <w:p w:rsidR="00000000" w:rsidRDefault="00000000">
            <w:pPr>
              <w:jc w:val="center"/>
            </w:pPr>
            <w:r>
              <w:t>2001</w:t>
            </w:r>
          </w:p>
        </w:tc>
        <w:tc>
          <w:tcPr>
            <w:tcW w:w="2517" w:type="dxa"/>
          </w:tcPr>
          <w:p w:rsidR="00000000" w:rsidRDefault="00000000">
            <w:pPr>
              <w:tabs>
                <w:tab w:val="decimal" w:pos="1613"/>
              </w:tabs>
              <w:rPr>
                <w:b/>
                <w:bCs/>
              </w:rPr>
            </w:pPr>
            <w:r>
              <w:t>782.186</w:t>
            </w:r>
          </w:p>
        </w:tc>
      </w:tr>
      <w:tr w:rsidR="00000000">
        <w:trPr>
          <w:jc w:val="center"/>
        </w:trPr>
        <w:tc>
          <w:tcPr>
            <w:tcW w:w="2040" w:type="dxa"/>
          </w:tcPr>
          <w:p w:rsidR="00000000" w:rsidRDefault="00000000">
            <w:pPr>
              <w:jc w:val="center"/>
            </w:pPr>
            <w:r>
              <w:t>2002</w:t>
            </w:r>
          </w:p>
        </w:tc>
        <w:tc>
          <w:tcPr>
            <w:tcW w:w="2517" w:type="dxa"/>
          </w:tcPr>
          <w:p w:rsidR="00000000" w:rsidRDefault="00000000">
            <w:pPr>
              <w:tabs>
                <w:tab w:val="decimal" w:pos="1613"/>
              </w:tabs>
              <w:rPr>
                <w:b/>
                <w:bCs/>
              </w:rPr>
            </w:pPr>
            <w:r>
              <w:t>876.048</w:t>
            </w:r>
          </w:p>
        </w:tc>
      </w:tr>
      <w:tr w:rsidR="00000000">
        <w:trPr>
          <w:jc w:val="center"/>
        </w:trPr>
        <w:tc>
          <w:tcPr>
            <w:tcW w:w="2040" w:type="dxa"/>
          </w:tcPr>
          <w:p w:rsidR="00000000" w:rsidRDefault="00000000">
            <w:pPr>
              <w:jc w:val="center"/>
            </w:pPr>
            <w:r>
              <w:t>2003</w:t>
            </w:r>
          </w:p>
        </w:tc>
        <w:tc>
          <w:tcPr>
            <w:tcW w:w="2517" w:type="dxa"/>
          </w:tcPr>
          <w:p w:rsidR="00000000" w:rsidRDefault="00000000">
            <w:pPr>
              <w:tabs>
                <w:tab w:val="decimal" w:pos="1613"/>
              </w:tabs>
              <w:rPr>
                <w:b/>
                <w:bCs/>
              </w:rPr>
            </w:pPr>
            <w:r>
              <w:t>972.413</w:t>
            </w:r>
          </w:p>
        </w:tc>
      </w:tr>
      <w:tr w:rsidR="00000000">
        <w:trPr>
          <w:jc w:val="center"/>
        </w:trPr>
        <w:tc>
          <w:tcPr>
            <w:tcW w:w="2040" w:type="dxa"/>
          </w:tcPr>
          <w:p w:rsidR="00000000" w:rsidRDefault="00000000">
            <w:pPr>
              <w:jc w:val="center"/>
            </w:pPr>
            <w:r>
              <w:t>2004</w:t>
            </w:r>
          </w:p>
        </w:tc>
        <w:tc>
          <w:tcPr>
            <w:tcW w:w="2517" w:type="dxa"/>
          </w:tcPr>
          <w:p w:rsidR="00000000" w:rsidRDefault="00000000">
            <w:pPr>
              <w:tabs>
                <w:tab w:val="decimal" w:pos="1613"/>
              </w:tabs>
            </w:pPr>
            <w:r>
              <w:t>972.413</w:t>
            </w:r>
          </w:p>
        </w:tc>
      </w:tr>
      <w:tr w:rsidR="00000000">
        <w:trPr>
          <w:jc w:val="center"/>
        </w:trPr>
        <w:tc>
          <w:tcPr>
            <w:tcW w:w="2040" w:type="dxa"/>
          </w:tcPr>
          <w:p w:rsidR="00000000" w:rsidRDefault="00000000">
            <w:pPr>
              <w:jc w:val="center"/>
            </w:pPr>
            <w:r>
              <w:t>2005</w:t>
            </w:r>
          </w:p>
        </w:tc>
        <w:tc>
          <w:tcPr>
            <w:tcW w:w="2517" w:type="dxa"/>
          </w:tcPr>
          <w:p w:rsidR="00000000" w:rsidRDefault="00000000">
            <w:pPr>
              <w:tabs>
                <w:tab w:val="decimal" w:pos="1613"/>
              </w:tabs>
            </w:pPr>
            <w:r>
              <w:t>1.089.103</w:t>
            </w:r>
          </w:p>
        </w:tc>
      </w:tr>
      <w:tr w:rsidR="00000000">
        <w:trPr>
          <w:jc w:val="center"/>
        </w:trPr>
        <w:tc>
          <w:tcPr>
            <w:tcW w:w="2040" w:type="dxa"/>
          </w:tcPr>
          <w:p w:rsidR="00000000" w:rsidRDefault="00000000">
            <w:pPr>
              <w:jc w:val="center"/>
            </w:pPr>
            <w:r>
              <w:t>2006</w:t>
            </w:r>
          </w:p>
        </w:tc>
        <w:tc>
          <w:tcPr>
            <w:tcW w:w="2517" w:type="dxa"/>
          </w:tcPr>
          <w:p w:rsidR="00000000" w:rsidRDefault="00000000">
            <w:pPr>
              <w:jc w:val="center"/>
            </w:pPr>
            <w:r>
              <w:rPr>
                <w:bCs/>
              </w:rPr>
              <w:t>1.219.795</w:t>
            </w:r>
          </w:p>
        </w:tc>
      </w:tr>
    </w:tbl>
    <w:p w:rsidR="00000000" w:rsidRDefault="00000000">
      <w:pPr>
        <w:keepNext/>
        <w:spacing w:before="480" w:after="240"/>
        <w:rPr>
          <w:b/>
        </w:rPr>
      </w:pPr>
      <w:r>
        <w:rPr>
          <w:b/>
        </w:rPr>
        <w:t>2.</w:t>
      </w:r>
      <w:r>
        <w:rPr>
          <w:b/>
        </w:rPr>
        <w:tab/>
        <w:t xml:space="preserve">Salario </w:t>
      </w:r>
      <w:r>
        <w:rPr>
          <w:b/>
          <w:bCs/>
        </w:rPr>
        <w:t>mínimo</w:t>
      </w:r>
      <w:r>
        <w:rPr>
          <w:b/>
        </w:rPr>
        <w:t xml:space="preserve"> según distintas categorías de trabajadores (2006) (en guaraníes)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988"/>
        <w:gridCol w:w="3480"/>
      </w:tblGrid>
      <w:tr w:rsidR="00000000">
        <w:trPr>
          <w:trHeight w:val="20"/>
        </w:trPr>
        <w:tc>
          <w:tcPr>
            <w:tcW w:w="5988" w:type="dxa"/>
          </w:tcPr>
          <w:p w:rsidR="00000000" w:rsidRDefault="00000000">
            <w:pPr>
              <w:keepNext/>
            </w:pPr>
            <w:r>
              <w:t>Trabajadores de comercio e industria</w:t>
            </w:r>
          </w:p>
          <w:p w:rsidR="00000000" w:rsidRDefault="00000000">
            <w:pPr>
              <w:keepNext/>
            </w:pPr>
          </w:p>
        </w:tc>
        <w:tc>
          <w:tcPr>
            <w:tcW w:w="3480" w:type="dxa"/>
          </w:tcPr>
          <w:p w:rsidR="00000000" w:rsidRDefault="00000000">
            <w:pPr>
              <w:keepNext/>
            </w:pPr>
            <w:r>
              <w:t>Salario mensual:  1.219.795</w:t>
            </w:r>
            <w:r>
              <w:br/>
              <w:t>Jornal diario:  46.915</w:t>
            </w:r>
          </w:p>
        </w:tc>
      </w:tr>
      <w:tr w:rsidR="00000000">
        <w:trPr>
          <w:trHeight w:val="20"/>
        </w:trPr>
        <w:tc>
          <w:tcPr>
            <w:tcW w:w="5988" w:type="dxa"/>
          </w:tcPr>
          <w:p w:rsidR="00000000" w:rsidRDefault="00000000">
            <w:pPr>
              <w:keepNext/>
            </w:pPr>
            <w:r>
              <w:t>Estibadores</w:t>
            </w:r>
          </w:p>
        </w:tc>
        <w:tc>
          <w:tcPr>
            <w:tcW w:w="3480" w:type="dxa"/>
          </w:tcPr>
          <w:p w:rsidR="00000000" w:rsidRDefault="00000000">
            <w:pPr>
              <w:keepNext/>
            </w:pPr>
            <w:r>
              <w:t>Salario mensual:  1.231.997</w:t>
            </w:r>
            <w:r>
              <w:br/>
              <w:t>Jornal diario:  47.385</w:t>
            </w:r>
          </w:p>
        </w:tc>
      </w:tr>
      <w:tr w:rsidR="00000000">
        <w:trPr>
          <w:trHeight w:val="20"/>
        </w:trPr>
        <w:tc>
          <w:tcPr>
            <w:tcW w:w="5988" w:type="dxa"/>
          </w:tcPr>
          <w:p w:rsidR="00000000" w:rsidRDefault="00000000">
            <w:r>
              <w:t>Peones en general</w:t>
            </w:r>
          </w:p>
        </w:tc>
        <w:tc>
          <w:tcPr>
            <w:tcW w:w="3480" w:type="dxa"/>
          </w:tcPr>
          <w:p w:rsidR="00000000" w:rsidRDefault="00000000">
            <w:r>
              <w:t>Salario mensual:  1.219.795</w:t>
            </w:r>
            <w:r>
              <w:br/>
              <w:t>Jornal diario:  46.915</w:t>
            </w:r>
          </w:p>
        </w:tc>
      </w:tr>
      <w:tr w:rsidR="00000000">
        <w:trPr>
          <w:trHeight w:val="20"/>
        </w:trPr>
        <w:tc>
          <w:tcPr>
            <w:tcW w:w="5988" w:type="dxa"/>
          </w:tcPr>
          <w:p w:rsidR="00000000" w:rsidRDefault="00000000">
            <w:r>
              <w:t>Empresas de seguros</w:t>
            </w:r>
          </w:p>
        </w:tc>
        <w:tc>
          <w:tcPr>
            <w:tcW w:w="3480" w:type="dxa"/>
          </w:tcPr>
          <w:p w:rsidR="00000000" w:rsidRDefault="00000000">
            <w:r>
              <w:t>Salario mensual:  1.231.997</w:t>
            </w:r>
            <w:r>
              <w:br/>
              <w:t>Jornal diario:  47.385</w:t>
            </w:r>
          </w:p>
        </w:tc>
      </w:tr>
      <w:tr w:rsidR="00000000">
        <w:trPr>
          <w:trHeight w:val="20"/>
        </w:trPr>
        <w:tc>
          <w:tcPr>
            <w:tcW w:w="5988" w:type="dxa"/>
            <w:tcBorders>
              <w:bottom w:val="single" w:sz="4" w:space="0" w:color="auto"/>
            </w:tcBorders>
          </w:tcPr>
          <w:p w:rsidR="00000000" w:rsidRDefault="00000000">
            <w:r>
              <w:t>Escritorios comerciales, industriales y particulares</w:t>
            </w:r>
          </w:p>
        </w:tc>
        <w:tc>
          <w:tcPr>
            <w:tcW w:w="3480" w:type="dxa"/>
            <w:tcBorders>
              <w:bottom w:val="single" w:sz="4" w:space="0" w:color="auto"/>
            </w:tcBorders>
          </w:tcPr>
          <w:p w:rsidR="00000000" w:rsidRDefault="00000000">
            <w:r>
              <w:t>Salario mensual:  1.238.143</w:t>
            </w:r>
            <w:r>
              <w:br/>
              <w:t>Salario diario:  47.621</w:t>
            </w:r>
          </w:p>
        </w:tc>
      </w:tr>
      <w:tr w:rsidR="00000000">
        <w:trPr>
          <w:trHeight w:val="20"/>
        </w:trPr>
        <w:tc>
          <w:tcPr>
            <w:tcW w:w="5988" w:type="dxa"/>
            <w:tcBorders>
              <w:bottom w:val="nil"/>
            </w:tcBorders>
          </w:tcPr>
          <w:p w:rsidR="00000000" w:rsidRDefault="00000000">
            <w:pPr>
              <w:spacing w:after="120"/>
            </w:pPr>
            <w:r>
              <w:t>Transporte (ómnibus, camiones, autos de alquiler y particulares)</w:t>
            </w:r>
          </w:p>
        </w:tc>
        <w:tc>
          <w:tcPr>
            <w:tcW w:w="3480" w:type="dxa"/>
            <w:tcBorders>
              <w:bottom w:val="nil"/>
            </w:tcBorders>
          </w:tcPr>
          <w:p w:rsidR="00000000" w:rsidRDefault="00000000">
            <w:pPr>
              <w:spacing w:after="120"/>
            </w:pPr>
            <w:r>
              <w:t>Salario mensual:  1.219.795</w:t>
            </w:r>
            <w:r>
              <w:br/>
              <w:t xml:space="preserve">Salario diario:  46.915 </w:t>
            </w:r>
          </w:p>
        </w:tc>
      </w:tr>
      <w:tr w:rsidR="00000000">
        <w:trPr>
          <w:trHeight w:val="20"/>
        </w:trPr>
        <w:tc>
          <w:tcPr>
            <w:tcW w:w="5988" w:type="dxa"/>
            <w:tcBorders>
              <w:top w:val="nil"/>
              <w:bottom w:val="nil"/>
            </w:tcBorders>
          </w:tcPr>
          <w:p w:rsidR="00000000" w:rsidRDefault="00000000">
            <w:pPr>
              <w:spacing w:after="120"/>
            </w:pPr>
            <w:r>
              <w:t>Conductores</w:t>
            </w:r>
          </w:p>
        </w:tc>
        <w:tc>
          <w:tcPr>
            <w:tcW w:w="3480" w:type="dxa"/>
            <w:tcBorders>
              <w:top w:val="nil"/>
              <w:bottom w:val="nil"/>
            </w:tcBorders>
          </w:tcPr>
          <w:p w:rsidR="00000000" w:rsidRDefault="00000000">
            <w:pPr>
              <w:spacing w:after="120"/>
            </w:pPr>
            <w:r>
              <w:t>Salario mensual:  1.231.997</w:t>
            </w:r>
            <w:r>
              <w:br/>
              <w:t xml:space="preserve">Salario diario:  47.385 </w:t>
            </w:r>
          </w:p>
        </w:tc>
      </w:tr>
      <w:tr w:rsidR="00000000">
        <w:trPr>
          <w:trHeight w:val="20"/>
        </w:trPr>
        <w:tc>
          <w:tcPr>
            <w:tcW w:w="5988" w:type="dxa"/>
            <w:tcBorders>
              <w:top w:val="nil"/>
              <w:bottom w:val="single" w:sz="4" w:space="0" w:color="auto"/>
            </w:tcBorders>
          </w:tcPr>
          <w:p w:rsidR="00000000" w:rsidRDefault="00000000">
            <w:r>
              <w:t>Peones</w:t>
            </w:r>
          </w:p>
        </w:tc>
        <w:tc>
          <w:tcPr>
            <w:tcW w:w="3480" w:type="dxa"/>
            <w:tcBorders>
              <w:top w:val="nil"/>
              <w:bottom w:val="single" w:sz="4" w:space="0" w:color="auto"/>
            </w:tcBorders>
          </w:tcPr>
          <w:p w:rsidR="00000000" w:rsidRDefault="00000000">
            <w:r>
              <w:t>Salario mensual:  1.219.795</w:t>
            </w:r>
            <w:r>
              <w:br/>
              <w:t>Salario diario:  46.915</w:t>
            </w:r>
          </w:p>
        </w:tc>
      </w:tr>
      <w:tr w:rsidR="00000000">
        <w:trPr>
          <w:trHeight w:val="20"/>
        </w:trPr>
        <w:tc>
          <w:tcPr>
            <w:tcW w:w="5988" w:type="dxa"/>
            <w:tcBorders>
              <w:bottom w:val="nil"/>
            </w:tcBorders>
          </w:tcPr>
          <w:p w:rsidR="00000000" w:rsidRDefault="00000000">
            <w:pPr>
              <w:spacing w:after="120"/>
            </w:pPr>
            <w:r>
              <w:t>Hoteles, restaurantes, bares, pensiones y afines</w:t>
            </w:r>
          </w:p>
        </w:tc>
        <w:tc>
          <w:tcPr>
            <w:tcW w:w="3480" w:type="dxa"/>
            <w:tcBorders>
              <w:bottom w:val="nil"/>
            </w:tcBorders>
          </w:tcPr>
          <w:p w:rsidR="00000000" w:rsidRDefault="00000000">
            <w:pPr>
              <w:spacing w:after="120"/>
            </w:pPr>
          </w:p>
        </w:tc>
      </w:tr>
      <w:tr w:rsidR="00000000">
        <w:trPr>
          <w:trHeight w:val="20"/>
        </w:trPr>
        <w:tc>
          <w:tcPr>
            <w:tcW w:w="5988" w:type="dxa"/>
            <w:tcBorders>
              <w:top w:val="nil"/>
              <w:bottom w:val="nil"/>
            </w:tcBorders>
          </w:tcPr>
          <w:p w:rsidR="00000000" w:rsidRDefault="00000000">
            <w:pPr>
              <w:spacing w:after="120"/>
              <w:ind w:firstLine="308"/>
            </w:pPr>
            <w:r>
              <w:t>Mozos</w:t>
            </w:r>
          </w:p>
        </w:tc>
        <w:tc>
          <w:tcPr>
            <w:tcW w:w="3480" w:type="dxa"/>
            <w:tcBorders>
              <w:top w:val="nil"/>
              <w:bottom w:val="nil"/>
            </w:tcBorders>
          </w:tcPr>
          <w:p w:rsidR="00000000" w:rsidRDefault="00000000">
            <w:pPr>
              <w:spacing w:after="120"/>
            </w:pPr>
            <w:r>
              <w:t>Salario mensual:  1.219.795</w:t>
            </w:r>
            <w:r>
              <w:br/>
              <w:t xml:space="preserve">Salario diario:  46.915 </w:t>
            </w:r>
          </w:p>
        </w:tc>
      </w:tr>
      <w:tr w:rsidR="00000000">
        <w:trPr>
          <w:trHeight w:val="20"/>
        </w:trPr>
        <w:tc>
          <w:tcPr>
            <w:tcW w:w="5988" w:type="dxa"/>
            <w:tcBorders>
              <w:top w:val="nil"/>
              <w:bottom w:val="single" w:sz="4" w:space="0" w:color="auto"/>
            </w:tcBorders>
          </w:tcPr>
          <w:p w:rsidR="00000000" w:rsidRDefault="00000000">
            <w:pPr>
              <w:spacing w:after="120"/>
              <w:ind w:firstLine="308"/>
            </w:pPr>
            <w:r>
              <w:t>Sombrererías</w:t>
            </w:r>
          </w:p>
        </w:tc>
        <w:tc>
          <w:tcPr>
            <w:tcW w:w="3480" w:type="dxa"/>
            <w:tcBorders>
              <w:top w:val="nil"/>
              <w:bottom w:val="single" w:sz="4" w:space="0" w:color="auto"/>
            </w:tcBorders>
          </w:tcPr>
          <w:p w:rsidR="00000000" w:rsidRDefault="00000000">
            <w:pPr>
              <w:spacing w:after="120"/>
            </w:pPr>
            <w:r>
              <w:t>Salario mensual:  1.219.795</w:t>
            </w:r>
            <w:r>
              <w:br/>
              <w:t xml:space="preserve">Salario diario:  46.915 </w:t>
            </w:r>
          </w:p>
        </w:tc>
      </w:tr>
      <w:tr w:rsidR="00000000">
        <w:trPr>
          <w:trHeight w:val="20"/>
        </w:trPr>
        <w:tc>
          <w:tcPr>
            <w:tcW w:w="5988" w:type="dxa"/>
            <w:tcBorders>
              <w:top w:val="single" w:sz="4" w:space="0" w:color="auto"/>
              <w:bottom w:val="nil"/>
            </w:tcBorders>
          </w:tcPr>
          <w:p w:rsidR="00000000" w:rsidRDefault="00000000">
            <w:pPr>
              <w:keepNext/>
              <w:spacing w:after="120"/>
            </w:pPr>
            <w:r>
              <w:t>Salones de belleza</w:t>
            </w:r>
          </w:p>
        </w:tc>
        <w:tc>
          <w:tcPr>
            <w:tcW w:w="3480" w:type="dxa"/>
            <w:tcBorders>
              <w:top w:val="single" w:sz="4" w:space="0" w:color="auto"/>
              <w:bottom w:val="nil"/>
            </w:tcBorders>
          </w:tcPr>
          <w:p w:rsidR="00000000" w:rsidRDefault="00000000">
            <w:pPr>
              <w:keepNext/>
              <w:spacing w:after="120"/>
            </w:pPr>
            <w:r>
              <w:t>Salario mensual:  1.219.795</w:t>
            </w:r>
            <w:r>
              <w:br/>
              <w:t xml:space="preserve">Salario diario:  46.915 </w:t>
            </w:r>
          </w:p>
        </w:tc>
      </w:tr>
      <w:tr w:rsidR="00000000">
        <w:trPr>
          <w:trHeight w:val="20"/>
        </w:trPr>
        <w:tc>
          <w:tcPr>
            <w:tcW w:w="5988" w:type="dxa"/>
            <w:tcBorders>
              <w:top w:val="nil"/>
              <w:bottom w:val="single" w:sz="4" w:space="0" w:color="auto"/>
            </w:tcBorders>
          </w:tcPr>
          <w:p w:rsidR="00000000" w:rsidRDefault="00000000">
            <w:pPr>
              <w:ind w:firstLine="308"/>
            </w:pPr>
            <w:r>
              <w:t>Tintorerías y lavanderías</w:t>
            </w:r>
          </w:p>
        </w:tc>
        <w:tc>
          <w:tcPr>
            <w:tcW w:w="3480" w:type="dxa"/>
            <w:tcBorders>
              <w:top w:val="nil"/>
              <w:bottom w:val="single" w:sz="4" w:space="0" w:color="auto"/>
            </w:tcBorders>
          </w:tcPr>
          <w:p w:rsidR="00000000" w:rsidRDefault="00000000">
            <w:r>
              <w:t>Salario mensual:  1.219.795</w:t>
            </w:r>
            <w:r>
              <w:br/>
              <w:t>Salario diario:  46.915</w:t>
            </w:r>
          </w:p>
        </w:tc>
      </w:tr>
      <w:tr w:rsidR="00000000">
        <w:trPr>
          <w:trHeight w:val="569"/>
        </w:trPr>
        <w:tc>
          <w:tcPr>
            <w:tcW w:w="5988" w:type="dxa"/>
            <w:tcBorders>
              <w:bottom w:val="nil"/>
            </w:tcBorders>
          </w:tcPr>
          <w:p w:rsidR="00000000" w:rsidRDefault="00000000">
            <w:pPr>
              <w:spacing w:after="120"/>
            </w:pPr>
            <w:r>
              <w:t>Ladrillerías y materiales de construcción</w:t>
            </w:r>
          </w:p>
        </w:tc>
        <w:tc>
          <w:tcPr>
            <w:tcW w:w="3480" w:type="dxa"/>
            <w:tcBorders>
              <w:bottom w:val="nil"/>
            </w:tcBorders>
          </w:tcPr>
          <w:p w:rsidR="00000000" w:rsidRDefault="00000000">
            <w:pPr>
              <w:spacing w:after="120"/>
            </w:pPr>
            <w:r>
              <w:t>Salario mensual:  1.219.795</w:t>
            </w:r>
            <w:r>
              <w:br/>
              <w:t xml:space="preserve">Salario diario:  46.915 </w:t>
            </w:r>
          </w:p>
        </w:tc>
      </w:tr>
      <w:tr w:rsidR="00000000">
        <w:trPr>
          <w:trHeight w:val="552"/>
        </w:trPr>
        <w:tc>
          <w:tcPr>
            <w:tcW w:w="5988" w:type="dxa"/>
            <w:tcBorders>
              <w:top w:val="nil"/>
              <w:bottom w:val="nil"/>
            </w:tcBorders>
          </w:tcPr>
          <w:p w:rsidR="00000000" w:rsidRDefault="00000000">
            <w:pPr>
              <w:spacing w:after="120"/>
            </w:pPr>
            <w:r>
              <w:t>Marmolerías</w:t>
            </w:r>
          </w:p>
        </w:tc>
        <w:tc>
          <w:tcPr>
            <w:tcW w:w="3480" w:type="dxa"/>
            <w:tcBorders>
              <w:top w:val="nil"/>
              <w:bottom w:val="nil"/>
            </w:tcBorders>
          </w:tcPr>
          <w:p w:rsidR="00000000" w:rsidRDefault="00000000">
            <w:pPr>
              <w:spacing w:after="120"/>
            </w:pPr>
            <w:r>
              <w:t>Salario mensual:  1.238.143</w:t>
            </w:r>
            <w:r>
              <w:br/>
              <w:t xml:space="preserve">Salario diario:  47.621 </w:t>
            </w:r>
          </w:p>
        </w:tc>
      </w:tr>
      <w:tr w:rsidR="00000000">
        <w:trPr>
          <w:trHeight w:val="536"/>
        </w:trPr>
        <w:tc>
          <w:tcPr>
            <w:tcW w:w="5988" w:type="dxa"/>
            <w:tcBorders>
              <w:top w:val="nil"/>
              <w:bottom w:val="nil"/>
            </w:tcBorders>
          </w:tcPr>
          <w:p w:rsidR="00000000" w:rsidRDefault="00000000">
            <w:pPr>
              <w:spacing w:after="120"/>
            </w:pPr>
            <w:r>
              <w:t>Fábricas de baldosas y mosaicos</w:t>
            </w:r>
          </w:p>
        </w:tc>
        <w:tc>
          <w:tcPr>
            <w:tcW w:w="3480" w:type="dxa"/>
            <w:tcBorders>
              <w:top w:val="nil"/>
              <w:bottom w:val="nil"/>
            </w:tcBorders>
          </w:tcPr>
          <w:p w:rsidR="00000000" w:rsidRDefault="00000000">
            <w:pPr>
              <w:spacing w:after="120"/>
            </w:pPr>
            <w:r>
              <w:t>Salario mensual:  1.238.143</w:t>
            </w:r>
            <w:r>
              <w:br/>
              <w:t xml:space="preserve">Salario diario:  47.621 </w:t>
            </w:r>
          </w:p>
        </w:tc>
      </w:tr>
      <w:tr w:rsidR="00000000">
        <w:trPr>
          <w:trHeight w:val="502"/>
        </w:trPr>
        <w:tc>
          <w:tcPr>
            <w:tcW w:w="5988" w:type="dxa"/>
            <w:tcBorders>
              <w:top w:val="nil"/>
              <w:bottom w:val="nil"/>
            </w:tcBorders>
          </w:tcPr>
          <w:p w:rsidR="00000000" w:rsidRDefault="00000000">
            <w:pPr>
              <w:spacing w:after="120"/>
            </w:pPr>
            <w:r>
              <w:t>Peones de patio</w:t>
            </w:r>
          </w:p>
        </w:tc>
        <w:tc>
          <w:tcPr>
            <w:tcW w:w="3480" w:type="dxa"/>
            <w:tcBorders>
              <w:top w:val="nil"/>
              <w:bottom w:val="nil"/>
            </w:tcBorders>
          </w:tcPr>
          <w:p w:rsidR="00000000" w:rsidRDefault="00000000">
            <w:pPr>
              <w:spacing w:after="120"/>
            </w:pPr>
            <w:r>
              <w:t>Salario mensual:  1.219.795</w:t>
            </w:r>
            <w:r>
              <w:br/>
              <w:t xml:space="preserve">Salario diario:  46.915 </w:t>
            </w:r>
          </w:p>
        </w:tc>
      </w:tr>
      <w:tr w:rsidR="00000000">
        <w:tc>
          <w:tcPr>
            <w:tcW w:w="5988" w:type="dxa"/>
            <w:tcBorders>
              <w:top w:val="nil"/>
              <w:bottom w:val="single" w:sz="4" w:space="0" w:color="auto"/>
            </w:tcBorders>
          </w:tcPr>
          <w:p w:rsidR="00000000" w:rsidRDefault="00000000">
            <w:r>
              <w:t>Canteras</w:t>
            </w:r>
          </w:p>
        </w:tc>
        <w:tc>
          <w:tcPr>
            <w:tcW w:w="3480" w:type="dxa"/>
            <w:tcBorders>
              <w:top w:val="nil"/>
              <w:bottom w:val="single" w:sz="4" w:space="0" w:color="auto"/>
            </w:tcBorders>
          </w:tcPr>
          <w:p w:rsidR="00000000" w:rsidRDefault="00000000">
            <w:r>
              <w:t>Salario mensual:  1.219.795</w:t>
            </w:r>
            <w:r>
              <w:br/>
              <w:t>Salario diario:  46.915</w:t>
            </w:r>
          </w:p>
        </w:tc>
      </w:tr>
      <w:tr w:rsidR="00000000">
        <w:trPr>
          <w:trHeight w:val="452"/>
        </w:trPr>
        <w:tc>
          <w:tcPr>
            <w:tcW w:w="5988" w:type="dxa"/>
            <w:tcBorders>
              <w:bottom w:val="nil"/>
            </w:tcBorders>
          </w:tcPr>
          <w:p w:rsidR="00000000" w:rsidRDefault="00000000">
            <w:pPr>
              <w:spacing w:after="120"/>
            </w:pPr>
            <w:r>
              <w:t xml:space="preserve">Alimentación, panaderías y fideerías </w:t>
            </w:r>
          </w:p>
        </w:tc>
        <w:tc>
          <w:tcPr>
            <w:tcW w:w="3480" w:type="dxa"/>
            <w:tcBorders>
              <w:bottom w:val="nil"/>
            </w:tcBorders>
          </w:tcPr>
          <w:p w:rsidR="00000000" w:rsidRDefault="00000000">
            <w:pPr>
              <w:spacing w:after="120"/>
            </w:pPr>
            <w:r>
              <w:t>Salario mensual:  1.219.795</w:t>
            </w:r>
            <w:r>
              <w:br/>
              <w:t xml:space="preserve">Salario diario:  46.915 </w:t>
            </w:r>
          </w:p>
        </w:tc>
      </w:tr>
      <w:tr w:rsidR="00000000">
        <w:trPr>
          <w:trHeight w:val="435"/>
        </w:trPr>
        <w:tc>
          <w:tcPr>
            <w:tcW w:w="5988" w:type="dxa"/>
            <w:tcBorders>
              <w:top w:val="nil"/>
              <w:bottom w:val="nil"/>
            </w:tcBorders>
          </w:tcPr>
          <w:p w:rsidR="00000000" w:rsidRDefault="00000000">
            <w:pPr>
              <w:spacing w:after="120"/>
            </w:pPr>
            <w:r>
              <w:t>Confiterías</w:t>
            </w:r>
          </w:p>
        </w:tc>
        <w:tc>
          <w:tcPr>
            <w:tcW w:w="3480" w:type="dxa"/>
            <w:tcBorders>
              <w:top w:val="nil"/>
              <w:bottom w:val="nil"/>
            </w:tcBorders>
          </w:tcPr>
          <w:p w:rsidR="00000000" w:rsidRDefault="00000000">
            <w:pPr>
              <w:spacing w:after="120"/>
            </w:pPr>
            <w:r>
              <w:t>Salario mensual:  1.219.795</w:t>
            </w:r>
            <w:r>
              <w:br/>
              <w:t>Salario diario:  46.915</w:t>
            </w:r>
          </w:p>
        </w:tc>
      </w:tr>
      <w:tr w:rsidR="00000000">
        <w:trPr>
          <w:trHeight w:val="586"/>
        </w:trPr>
        <w:tc>
          <w:tcPr>
            <w:tcW w:w="5988" w:type="dxa"/>
            <w:tcBorders>
              <w:top w:val="nil"/>
              <w:bottom w:val="nil"/>
            </w:tcBorders>
          </w:tcPr>
          <w:p w:rsidR="00000000" w:rsidRDefault="00000000">
            <w:pPr>
              <w:spacing w:after="120"/>
            </w:pPr>
            <w:r>
              <w:t>Industrias almidoneras</w:t>
            </w:r>
          </w:p>
        </w:tc>
        <w:tc>
          <w:tcPr>
            <w:tcW w:w="3480" w:type="dxa"/>
            <w:tcBorders>
              <w:top w:val="nil"/>
              <w:bottom w:val="nil"/>
            </w:tcBorders>
          </w:tcPr>
          <w:p w:rsidR="00000000" w:rsidRDefault="00000000">
            <w:pPr>
              <w:spacing w:after="120"/>
            </w:pPr>
            <w:r>
              <w:t>Salario mensual:  1.238.143</w:t>
            </w:r>
            <w:r>
              <w:br/>
              <w:t xml:space="preserve">Salario diario:  47.621 </w:t>
            </w:r>
          </w:p>
        </w:tc>
      </w:tr>
      <w:tr w:rsidR="00000000">
        <w:trPr>
          <w:cantSplit/>
          <w:trHeight w:val="535"/>
        </w:trPr>
        <w:tc>
          <w:tcPr>
            <w:tcW w:w="5988" w:type="dxa"/>
            <w:tcBorders>
              <w:top w:val="nil"/>
              <w:bottom w:val="nil"/>
            </w:tcBorders>
          </w:tcPr>
          <w:p w:rsidR="00000000" w:rsidRDefault="00000000">
            <w:pPr>
              <w:spacing w:after="120"/>
            </w:pPr>
            <w:r>
              <w:t>Molinos harineros</w:t>
            </w:r>
          </w:p>
        </w:tc>
        <w:tc>
          <w:tcPr>
            <w:tcW w:w="3480" w:type="dxa"/>
            <w:tcBorders>
              <w:top w:val="nil"/>
              <w:bottom w:val="nil"/>
            </w:tcBorders>
          </w:tcPr>
          <w:p w:rsidR="00000000" w:rsidRDefault="00000000">
            <w:pPr>
              <w:spacing w:after="120"/>
            </w:pPr>
            <w:r>
              <w:t>Salario mensual:  1.231.997</w:t>
            </w:r>
            <w:r>
              <w:br/>
              <w:t xml:space="preserve">Salario diario:  47.385 </w:t>
            </w:r>
          </w:p>
        </w:tc>
      </w:tr>
      <w:tr w:rsidR="00000000">
        <w:trPr>
          <w:cantSplit/>
          <w:trHeight w:val="536"/>
        </w:trPr>
        <w:tc>
          <w:tcPr>
            <w:tcW w:w="5988" w:type="dxa"/>
            <w:tcBorders>
              <w:top w:val="nil"/>
              <w:bottom w:val="nil"/>
            </w:tcBorders>
          </w:tcPr>
          <w:p w:rsidR="00000000" w:rsidRDefault="00000000">
            <w:pPr>
              <w:spacing w:after="120"/>
            </w:pPr>
            <w:r>
              <w:t>Industrias yerbateras</w:t>
            </w:r>
          </w:p>
        </w:tc>
        <w:tc>
          <w:tcPr>
            <w:tcW w:w="3480" w:type="dxa"/>
            <w:tcBorders>
              <w:top w:val="nil"/>
              <w:bottom w:val="nil"/>
            </w:tcBorders>
          </w:tcPr>
          <w:p w:rsidR="00000000" w:rsidRDefault="00000000">
            <w:pPr>
              <w:spacing w:after="120"/>
            </w:pPr>
            <w:r>
              <w:t>Salario mensual:  1.231.997</w:t>
            </w:r>
            <w:r>
              <w:br/>
              <w:t xml:space="preserve">Salario diario:  47.385 </w:t>
            </w:r>
          </w:p>
        </w:tc>
      </w:tr>
      <w:tr w:rsidR="00000000">
        <w:trPr>
          <w:cantSplit/>
          <w:trHeight w:val="519"/>
        </w:trPr>
        <w:tc>
          <w:tcPr>
            <w:tcW w:w="5988" w:type="dxa"/>
            <w:tcBorders>
              <w:top w:val="nil"/>
              <w:bottom w:val="nil"/>
            </w:tcBorders>
          </w:tcPr>
          <w:p w:rsidR="00000000" w:rsidRDefault="00000000">
            <w:pPr>
              <w:spacing w:after="120"/>
            </w:pPr>
            <w:r>
              <w:t>Aceiteras</w:t>
            </w:r>
          </w:p>
        </w:tc>
        <w:tc>
          <w:tcPr>
            <w:tcW w:w="3480" w:type="dxa"/>
            <w:tcBorders>
              <w:top w:val="nil"/>
              <w:bottom w:val="nil"/>
            </w:tcBorders>
          </w:tcPr>
          <w:p w:rsidR="00000000" w:rsidRDefault="00000000">
            <w:pPr>
              <w:spacing w:after="120"/>
            </w:pPr>
            <w:r>
              <w:t>Salario mensual:  1.231.997</w:t>
            </w:r>
            <w:r>
              <w:br/>
              <w:t xml:space="preserve">Salario diario:  47.385 </w:t>
            </w:r>
          </w:p>
        </w:tc>
      </w:tr>
      <w:tr w:rsidR="00000000">
        <w:trPr>
          <w:cantSplit/>
          <w:trHeight w:val="535"/>
        </w:trPr>
        <w:tc>
          <w:tcPr>
            <w:tcW w:w="5988" w:type="dxa"/>
            <w:tcBorders>
              <w:top w:val="nil"/>
              <w:bottom w:val="nil"/>
            </w:tcBorders>
          </w:tcPr>
          <w:p w:rsidR="00000000" w:rsidRDefault="00000000">
            <w:pPr>
              <w:spacing w:after="120"/>
            </w:pPr>
            <w:r>
              <w:t>Molinos arroceros</w:t>
            </w:r>
          </w:p>
        </w:tc>
        <w:tc>
          <w:tcPr>
            <w:tcW w:w="3480" w:type="dxa"/>
            <w:tcBorders>
              <w:top w:val="nil"/>
              <w:bottom w:val="nil"/>
            </w:tcBorders>
          </w:tcPr>
          <w:p w:rsidR="00000000" w:rsidRDefault="00000000">
            <w:pPr>
              <w:spacing w:after="120"/>
            </w:pPr>
            <w:r>
              <w:t>Salario mensual:  1.219.795</w:t>
            </w:r>
            <w:r>
              <w:br/>
              <w:t xml:space="preserve">Salario diario:  46.915 </w:t>
            </w:r>
          </w:p>
        </w:tc>
      </w:tr>
      <w:tr w:rsidR="00000000">
        <w:trPr>
          <w:cantSplit/>
          <w:trHeight w:val="519"/>
        </w:trPr>
        <w:tc>
          <w:tcPr>
            <w:tcW w:w="5988" w:type="dxa"/>
            <w:tcBorders>
              <w:top w:val="nil"/>
              <w:bottom w:val="nil"/>
            </w:tcBorders>
          </w:tcPr>
          <w:p w:rsidR="00000000" w:rsidRDefault="00000000">
            <w:pPr>
              <w:spacing w:after="120"/>
            </w:pPr>
            <w:r>
              <w:t>Molinos de locro</w:t>
            </w:r>
          </w:p>
        </w:tc>
        <w:tc>
          <w:tcPr>
            <w:tcW w:w="3480" w:type="dxa"/>
            <w:tcBorders>
              <w:top w:val="nil"/>
              <w:bottom w:val="nil"/>
            </w:tcBorders>
          </w:tcPr>
          <w:p w:rsidR="00000000" w:rsidRDefault="00000000">
            <w:pPr>
              <w:spacing w:after="120"/>
            </w:pPr>
            <w:r>
              <w:t>Salario mensual:  1.219.795</w:t>
            </w:r>
            <w:r>
              <w:br/>
              <w:t xml:space="preserve">Salario diario:  46.915 </w:t>
            </w:r>
          </w:p>
        </w:tc>
      </w:tr>
      <w:tr w:rsidR="00000000">
        <w:trPr>
          <w:cantSplit/>
          <w:trHeight w:val="519"/>
        </w:trPr>
        <w:tc>
          <w:tcPr>
            <w:tcW w:w="5988" w:type="dxa"/>
            <w:tcBorders>
              <w:top w:val="nil"/>
              <w:bottom w:val="nil"/>
            </w:tcBorders>
          </w:tcPr>
          <w:p w:rsidR="00000000" w:rsidRDefault="00000000">
            <w:pPr>
              <w:spacing w:after="120"/>
            </w:pPr>
            <w:r>
              <w:t>Fábricas de agua, gaseosas y licorerías</w:t>
            </w:r>
          </w:p>
        </w:tc>
        <w:tc>
          <w:tcPr>
            <w:tcW w:w="3480" w:type="dxa"/>
            <w:tcBorders>
              <w:top w:val="nil"/>
              <w:bottom w:val="nil"/>
            </w:tcBorders>
          </w:tcPr>
          <w:p w:rsidR="00000000" w:rsidRDefault="00000000">
            <w:pPr>
              <w:spacing w:after="120"/>
            </w:pPr>
            <w:r>
              <w:t>Salario mensual:  1.219.795</w:t>
            </w:r>
            <w:r>
              <w:br/>
              <w:t>Salario diario:  46.915</w:t>
            </w:r>
          </w:p>
        </w:tc>
      </w:tr>
      <w:tr w:rsidR="00000000">
        <w:trPr>
          <w:cantSplit/>
        </w:trPr>
        <w:tc>
          <w:tcPr>
            <w:tcW w:w="5988" w:type="dxa"/>
            <w:tcBorders>
              <w:top w:val="nil"/>
              <w:bottom w:val="single" w:sz="4" w:space="0" w:color="auto"/>
            </w:tcBorders>
          </w:tcPr>
          <w:p w:rsidR="00000000" w:rsidRDefault="00000000">
            <w:r>
              <w:t>Frigoríficos</w:t>
            </w:r>
          </w:p>
        </w:tc>
        <w:tc>
          <w:tcPr>
            <w:tcW w:w="3480" w:type="dxa"/>
            <w:tcBorders>
              <w:top w:val="nil"/>
              <w:bottom w:val="single" w:sz="4" w:space="0" w:color="auto"/>
            </w:tcBorders>
          </w:tcPr>
          <w:p w:rsidR="00000000" w:rsidRDefault="00000000">
            <w:r>
              <w:t>Salario mensual:  1.219.795</w:t>
            </w:r>
            <w:r>
              <w:br/>
              <w:t>Salario diario:  46.915</w:t>
            </w:r>
          </w:p>
        </w:tc>
      </w:tr>
      <w:tr w:rsidR="00000000">
        <w:trPr>
          <w:trHeight w:val="485"/>
        </w:trPr>
        <w:tc>
          <w:tcPr>
            <w:tcW w:w="5988" w:type="dxa"/>
            <w:tcBorders>
              <w:bottom w:val="nil"/>
            </w:tcBorders>
          </w:tcPr>
          <w:p w:rsidR="00000000" w:rsidRDefault="00000000">
            <w:pPr>
              <w:keepNext/>
              <w:spacing w:after="120"/>
            </w:pPr>
            <w:r>
              <w:t>Vestidos e industrias textiles</w:t>
            </w:r>
          </w:p>
        </w:tc>
        <w:tc>
          <w:tcPr>
            <w:tcW w:w="3480" w:type="dxa"/>
            <w:tcBorders>
              <w:bottom w:val="nil"/>
            </w:tcBorders>
          </w:tcPr>
          <w:p w:rsidR="00000000" w:rsidRDefault="00000000">
            <w:pPr>
              <w:keepNext/>
              <w:spacing w:after="120"/>
            </w:pPr>
            <w:r>
              <w:t>Salario mensual:  1.234.891</w:t>
            </w:r>
            <w:r>
              <w:br/>
              <w:t xml:space="preserve">Salario diario:  47.385 </w:t>
            </w:r>
          </w:p>
        </w:tc>
      </w:tr>
      <w:tr w:rsidR="00000000">
        <w:trPr>
          <w:trHeight w:val="469"/>
        </w:trPr>
        <w:tc>
          <w:tcPr>
            <w:tcW w:w="5988" w:type="dxa"/>
            <w:tcBorders>
              <w:top w:val="nil"/>
              <w:bottom w:val="nil"/>
            </w:tcBorders>
          </w:tcPr>
          <w:p w:rsidR="00000000" w:rsidRDefault="00000000">
            <w:pPr>
              <w:spacing w:after="120"/>
            </w:pPr>
            <w:r>
              <w:t>Gorrerías y sombrererías de género</w:t>
            </w:r>
          </w:p>
        </w:tc>
        <w:tc>
          <w:tcPr>
            <w:tcW w:w="3480" w:type="dxa"/>
            <w:tcBorders>
              <w:top w:val="nil"/>
              <w:bottom w:val="nil"/>
            </w:tcBorders>
          </w:tcPr>
          <w:p w:rsidR="00000000" w:rsidRDefault="00000000">
            <w:pPr>
              <w:spacing w:after="120"/>
            </w:pPr>
            <w:r>
              <w:t>Salario mensual:  1.231.997</w:t>
            </w:r>
            <w:r>
              <w:br/>
              <w:t xml:space="preserve">Salario diario:  47.385 </w:t>
            </w:r>
          </w:p>
        </w:tc>
      </w:tr>
      <w:tr w:rsidR="00000000">
        <w:trPr>
          <w:trHeight w:val="452"/>
        </w:trPr>
        <w:tc>
          <w:tcPr>
            <w:tcW w:w="5988" w:type="dxa"/>
            <w:tcBorders>
              <w:top w:val="nil"/>
              <w:bottom w:val="single" w:sz="4" w:space="0" w:color="auto"/>
            </w:tcBorders>
          </w:tcPr>
          <w:p w:rsidR="00000000" w:rsidRDefault="00000000">
            <w:pPr>
              <w:spacing w:after="120"/>
            </w:pPr>
            <w:r>
              <w:t>Fábricas de carteras y otros</w:t>
            </w:r>
          </w:p>
        </w:tc>
        <w:tc>
          <w:tcPr>
            <w:tcW w:w="3480" w:type="dxa"/>
            <w:tcBorders>
              <w:top w:val="nil"/>
              <w:bottom w:val="single" w:sz="4" w:space="0" w:color="auto"/>
            </w:tcBorders>
          </w:tcPr>
          <w:p w:rsidR="00000000" w:rsidRDefault="00000000">
            <w:pPr>
              <w:spacing w:after="120"/>
            </w:pPr>
            <w:r>
              <w:t>Salario mensual:  1.219.795</w:t>
            </w:r>
            <w:r>
              <w:br/>
              <w:t xml:space="preserve">Salario diario:  46.915 </w:t>
            </w:r>
          </w:p>
        </w:tc>
      </w:tr>
      <w:tr w:rsidR="00000000">
        <w:trPr>
          <w:trHeight w:val="603"/>
        </w:trPr>
        <w:tc>
          <w:tcPr>
            <w:tcW w:w="5988" w:type="dxa"/>
            <w:tcBorders>
              <w:top w:val="single" w:sz="4" w:space="0" w:color="auto"/>
              <w:bottom w:val="nil"/>
            </w:tcBorders>
          </w:tcPr>
          <w:p w:rsidR="00000000" w:rsidRDefault="00000000">
            <w:pPr>
              <w:spacing w:after="120"/>
            </w:pPr>
            <w:r>
              <w:t>Fábricas de calzado</w:t>
            </w:r>
          </w:p>
        </w:tc>
        <w:tc>
          <w:tcPr>
            <w:tcW w:w="3480" w:type="dxa"/>
            <w:tcBorders>
              <w:top w:val="single" w:sz="4" w:space="0" w:color="auto"/>
              <w:bottom w:val="nil"/>
            </w:tcBorders>
          </w:tcPr>
          <w:p w:rsidR="00000000" w:rsidRDefault="00000000">
            <w:pPr>
              <w:spacing w:after="120"/>
            </w:pPr>
            <w:r>
              <w:t>Salario mensual:  1.238.143</w:t>
            </w:r>
            <w:r>
              <w:br/>
              <w:t xml:space="preserve">Salario diario:  47.621 </w:t>
            </w:r>
          </w:p>
        </w:tc>
      </w:tr>
      <w:tr w:rsidR="00000000">
        <w:trPr>
          <w:trHeight w:val="519"/>
        </w:trPr>
        <w:tc>
          <w:tcPr>
            <w:tcW w:w="5988" w:type="dxa"/>
            <w:tcBorders>
              <w:top w:val="nil"/>
              <w:bottom w:val="nil"/>
            </w:tcBorders>
          </w:tcPr>
          <w:p w:rsidR="00000000" w:rsidRDefault="00000000">
            <w:pPr>
              <w:spacing w:after="120"/>
            </w:pPr>
            <w:r>
              <w:t>Sastrerías</w:t>
            </w:r>
          </w:p>
        </w:tc>
        <w:tc>
          <w:tcPr>
            <w:tcW w:w="3480" w:type="dxa"/>
            <w:tcBorders>
              <w:top w:val="nil"/>
              <w:bottom w:val="nil"/>
            </w:tcBorders>
          </w:tcPr>
          <w:p w:rsidR="00000000" w:rsidRDefault="00000000">
            <w:pPr>
              <w:spacing w:after="120"/>
            </w:pPr>
            <w:r>
              <w:t>Salario mensual:  1.231.997</w:t>
            </w:r>
            <w:r>
              <w:br/>
              <w:t xml:space="preserve">Salario diario:  47.385 </w:t>
            </w:r>
          </w:p>
        </w:tc>
      </w:tr>
      <w:tr w:rsidR="00000000">
        <w:tc>
          <w:tcPr>
            <w:tcW w:w="5988" w:type="dxa"/>
            <w:tcBorders>
              <w:top w:val="nil"/>
            </w:tcBorders>
          </w:tcPr>
          <w:p w:rsidR="00000000" w:rsidRDefault="00000000">
            <w:r>
              <w:t>Taller de confecciones en general</w:t>
            </w:r>
          </w:p>
        </w:tc>
        <w:tc>
          <w:tcPr>
            <w:tcW w:w="3480" w:type="dxa"/>
            <w:tcBorders>
              <w:top w:val="nil"/>
            </w:tcBorders>
          </w:tcPr>
          <w:p w:rsidR="00000000" w:rsidRDefault="00000000">
            <w:r>
              <w:t>Salario mensual:  1.219.795</w:t>
            </w:r>
            <w:r>
              <w:br/>
              <w:t>Salario diario:  46.915</w:t>
            </w:r>
          </w:p>
        </w:tc>
      </w:tr>
      <w:tr w:rsidR="00000000">
        <w:trPr>
          <w:trHeight w:val="20"/>
        </w:trPr>
        <w:tc>
          <w:tcPr>
            <w:tcW w:w="5988" w:type="dxa"/>
            <w:tcBorders>
              <w:bottom w:val="single" w:sz="4" w:space="0" w:color="auto"/>
            </w:tcBorders>
          </w:tcPr>
          <w:p w:rsidR="00000000" w:rsidRDefault="00000000">
            <w:r>
              <w:t>Taller mecánica en general</w:t>
            </w:r>
          </w:p>
        </w:tc>
        <w:tc>
          <w:tcPr>
            <w:tcW w:w="3480" w:type="dxa"/>
            <w:tcBorders>
              <w:bottom w:val="single" w:sz="4" w:space="0" w:color="auto"/>
            </w:tcBorders>
          </w:tcPr>
          <w:p w:rsidR="00000000" w:rsidRDefault="00000000">
            <w:r>
              <w:t>Salario mensual:  1.219.795</w:t>
            </w:r>
            <w:r>
              <w:br/>
              <w:t>Salario diario:  46.915</w:t>
            </w:r>
          </w:p>
        </w:tc>
      </w:tr>
      <w:tr w:rsidR="00000000">
        <w:trPr>
          <w:trHeight w:val="452"/>
        </w:trPr>
        <w:tc>
          <w:tcPr>
            <w:tcW w:w="5988" w:type="dxa"/>
            <w:tcBorders>
              <w:bottom w:val="single" w:sz="4" w:space="0" w:color="auto"/>
            </w:tcBorders>
          </w:tcPr>
          <w:p w:rsidR="00000000" w:rsidRDefault="00000000">
            <w:r>
              <w:t>Hojalaterías</w:t>
            </w:r>
          </w:p>
        </w:tc>
        <w:tc>
          <w:tcPr>
            <w:tcW w:w="3480" w:type="dxa"/>
            <w:tcBorders>
              <w:bottom w:val="single" w:sz="4" w:space="0" w:color="auto"/>
            </w:tcBorders>
          </w:tcPr>
          <w:p w:rsidR="00000000" w:rsidRDefault="00000000">
            <w:r>
              <w:t>Salario mensual:  1.219.795</w:t>
            </w:r>
            <w:r>
              <w:br/>
              <w:t xml:space="preserve">Salario diario:  46.915 </w:t>
            </w:r>
          </w:p>
        </w:tc>
      </w:tr>
      <w:tr w:rsidR="00000000">
        <w:trPr>
          <w:trHeight w:val="435"/>
        </w:trPr>
        <w:tc>
          <w:tcPr>
            <w:tcW w:w="5988" w:type="dxa"/>
            <w:tcBorders>
              <w:top w:val="single" w:sz="4" w:space="0" w:color="auto"/>
              <w:bottom w:val="nil"/>
            </w:tcBorders>
          </w:tcPr>
          <w:p w:rsidR="00000000" w:rsidRDefault="00000000">
            <w:pPr>
              <w:spacing w:after="120"/>
            </w:pPr>
            <w:r>
              <w:t>Fundiciones</w:t>
            </w:r>
          </w:p>
        </w:tc>
        <w:tc>
          <w:tcPr>
            <w:tcW w:w="3480" w:type="dxa"/>
            <w:tcBorders>
              <w:top w:val="single" w:sz="4" w:space="0" w:color="auto"/>
              <w:bottom w:val="nil"/>
            </w:tcBorders>
          </w:tcPr>
          <w:p w:rsidR="00000000" w:rsidRDefault="00000000">
            <w:pPr>
              <w:spacing w:after="120"/>
            </w:pPr>
            <w:r>
              <w:t>Salario mensual:  1.219.795</w:t>
            </w:r>
            <w:r>
              <w:br/>
              <w:t xml:space="preserve">Salario diario:  46.915 </w:t>
            </w:r>
          </w:p>
        </w:tc>
      </w:tr>
      <w:tr w:rsidR="00000000">
        <w:trPr>
          <w:trHeight w:val="602"/>
        </w:trPr>
        <w:tc>
          <w:tcPr>
            <w:tcW w:w="5988" w:type="dxa"/>
            <w:tcBorders>
              <w:top w:val="nil"/>
              <w:bottom w:val="nil"/>
            </w:tcBorders>
          </w:tcPr>
          <w:p w:rsidR="00000000" w:rsidRDefault="00000000">
            <w:pPr>
              <w:spacing w:after="120"/>
            </w:pPr>
            <w:r>
              <w:t>Pintores - operarios</w:t>
            </w:r>
          </w:p>
        </w:tc>
        <w:tc>
          <w:tcPr>
            <w:tcW w:w="3480" w:type="dxa"/>
            <w:tcBorders>
              <w:top w:val="nil"/>
              <w:bottom w:val="nil"/>
            </w:tcBorders>
          </w:tcPr>
          <w:p w:rsidR="00000000" w:rsidRDefault="00000000">
            <w:pPr>
              <w:spacing w:after="120"/>
            </w:pPr>
            <w:r>
              <w:t>Salario mensual:  1.231.997</w:t>
            </w:r>
            <w:r>
              <w:br/>
              <w:t xml:space="preserve">Salario diario:  47.385 </w:t>
            </w:r>
          </w:p>
        </w:tc>
      </w:tr>
      <w:tr w:rsidR="00000000">
        <w:trPr>
          <w:trHeight w:val="519"/>
        </w:trPr>
        <w:tc>
          <w:tcPr>
            <w:tcW w:w="5988" w:type="dxa"/>
            <w:tcBorders>
              <w:top w:val="nil"/>
              <w:bottom w:val="nil"/>
            </w:tcBorders>
          </w:tcPr>
          <w:p w:rsidR="00000000" w:rsidRDefault="00000000">
            <w:pPr>
              <w:spacing w:after="120"/>
            </w:pPr>
            <w:r>
              <w:t>Auxiliares</w:t>
            </w:r>
          </w:p>
        </w:tc>
        <w:tc>
          <w:tcPr>
            <w:tcW w:w="3480" w:type="dxa"/>
            <w:tcBorders>
              <w:top w:val="nil"/>
              <w:bottom w:val="nil"/>
            </w:tcBorders>
          </w:tcPr>
          <w:p w:rsidR="00000000" w:rsidRDefault="00000000">
            <w:pPr>
              <w:spacing w:after="120"/>
            </w:pPr>
            <w:r>
              <w:t>Salario mensual:  1.219.795</w:t>
            </w:r>
            <w:r>
              <w:br/>
              <w:t>Salario diario:  46.915</w:t>
            </w:r>
          </w:p>
        </w:tc>
      </w:tr>
      <w:tr w:rsidR="00000000">
        <w:tc>
          <w:tcPr>
            <w:tcW w:w="5988" w:type="dxa"/>
            <w:tcBorders>
              <w:top w:val="nil"/>
            </w:tcBorders>
          </w:tcPr>
          <w:p w:rsidR="00000000" w:rsidRDefault="00000000">
            <w:r>
              <w:t>Edificaciones y obras de construcción - peones</w:t>
            </w:r>
          </w:p>
        </w:tc>
        <w:tc>
          <w:tcPr>
            <w:tcW w:w="3480" w:type="dxa"/>
            <w:tcBorders>
              <w:top w:val="nil"/>
            </w:tcBorders>
          </w:tcPr>
          <w:p w:rsidR="00000000" w:rsidRDefault="00000000">
            <w:r>
              <w:t>Salario mensual:  1.231.997</w:t>
            </w:r>
            <w:r>
              <w:br/>
              <w:t>Salario diario:  47.385</w:t>
            </w:r>
          </w:p>
        </w:tc>
      </w:tr>
      <w:tr w:rsidR="00000000">
        <w:trPr>
          <w:trHeight w:val="20"/>
        </w:trPr>
        <w:tc>
          <w:tcPr>
            <w:tcW w:w="5988" w:type="dxa"/>
          </w:tcPr>
          <w:p w:rsidR="00000000" w:rsidRDefault="00000000">
            <w:r>
              <w:t>Talabarterías</w:t>
            </w:r>
          </w:p>
        </w:tc>
        <w:tc>
          <w:tcPr>
            <w:tcW w:w="3480" w:type="dxa"/>
          </w:tcPr>
          <w:p w:rsidR="00000000" w:rsidRDefault="00000000">
            <w:r>
              <w:t>Salario mensual:  1.231.997</w:t>
            </w:r>
            <w:r>
              <w:br/>
              <w:t>Salario diario:  47.835</w:t>
            </w:r>
          </w:p>
        </w:tc>
      </w:tr>
      <w:tr w:rsidR="00000000">
        <w:trPr>
          <w:trHeight w:val="20"/>
        </w:trPr>
        <w:tc>
          <w:tcPr>
            <w:tcW w:w="5988" w:type="dxa"/>
          </w:tcPr>
          <w:p w:rsidR="00000000" w:rsidRDefault="00000000">
            <w:r>
              <w:t>Astilleros</w:t>
            </w:r>
          </w:p>
        </w:tc>
        <w:tc>
          <w:tcPr>
            <w:tcW w:w="3480" w:type="dxa"/>
          </w:tcPr>
          <w:p w:rsidR="00000000" w:rsidRDefault="00000000">
            <w:r>
              <w:t>Salario mensual:  1.219.795</w:t>
            </w:r>
            <w:r>
              <w:br/>
              <w:t>Salario diario:  46.915</w:t>
            </w:r>
          </w:p>
        </w:tc>
      </w:tr>
      <w:tr w:rsidR="00000000">
        <w:trPr>
          <w:trHeight w:val="20"/>
        </w:trPr>
        <w:tc>
          <w:tcPr>
            <w:tcW w:w="5988" w:type="dxa"/>
          </w:tcPr>
          <w:p w:rsidR="00000000" w:rsidRDefault="00000000">
            <w:r>
              <w:t>Jabonerías</w:t>
            </w:r>
          </w:p>
        </w:tc>
        <w:tc>
          <w:tcPr>
            <w:tcW w:w="3480" w:type="dxa"/>
          </w:tcPr>
          <w:p w:rsidR="00000000" w:rsidRDefault="00000000">
            <w:r>
              <w:t>Salario mensual:  1.219.795</w:t>
            </w:r>
            <w:r>
              <w:br/>
              <w:t>Salario diario:  46.915</w:t>
            </w:r>
          </w:p>
        </w:tc>
      </w:tr>
      <w:tr w:rsidR="00000000">
        <w:trPr>
          <w:trHeight w:val="20"/>
        </w:trPr>
        <w:tc>
          <w:tcPr>
            <w:tcW w:w="5988" w:type="dxa"/>
          </w:tcPr>
          <w:p w:rsidR="00000000" w:rsidRDefault="00000000">
            <w:r>
              <w:t>Relojerías</w:t>
            </w:r>
          </w:p>
        </w:tc>
        <w:tc>
          <w:tcPr>
            <w:tcW w:w="3480" w:type="dxa"/>
          </w:tcPr>
          <w:p w:rsidR="00000000" w:rsidRDefault="00000000">
            <w:r>
              <w:t>Salario mensual:  1.219.795</w:t>
            </w:r>
            <w:r>
              <w:br/>
              <w:t>Salario diario:  46.915</w:t>
            </w:r>
          </w:p>
        </w:tc>
      </w:tr>
      <w:tr w:rsidR="00000000">
        <w:trPr>
          <w:trHeight w:val="20"/>
        </w:trPr>
        <w:tc>
          <w:tcPr>
            <w:tcW w:w="5988" w:type="dxa"/>
          </w:tcPr>
          <w:p w:rsidR="00000000" w:rsidRDefault="00000000">
            <w:r>
              <w:t>Desmotadoras</w:t>
            </w:r>
          </w:p>
        </w:tc>
        <w:tc>
          <w:tcPr>
            <w:tcW w:w="3480" w:type="dxa"/>
          </w:tcPr>
          <w:p w:rsidR="00000000" w:rsidRDefault="00000000">
            <w:r>
              <w:t>Salario mensual:  1.231.997</w:t>
            </w:r>
            <w:r>
              <w:br/>
              <w:t>Salario diario:  47.385</w:t>
            </w:r>
          </w:p>
        </w:tc>
      </w:tr>
      <w:tr w:rsidR="00000000">
        <w:trPr>
          <w:trHeight w:val="20"/>
        </w:trPr>
        <w:tc>
          <w:tcPr>
            <w:tcW w:w="5988" w:type="dxa"/>
          </w:tcPr>
          <w:p w:rsidR="00000000" w:rsidRDefault="00000000">
            <w:r>
              <w:t>Fábricas de fósforo</w:t>
            </w:r>
          </w:p>
        </w:tc>
        <w:tc>
          <w:tcPr>
            <w:tcW w:w="3480" w:type="dxa"/>
          </w:tcPr>
          <w:p w:rsidR="00000000" w:rsidRDefault="00000000">
            <w:r>
              <w:t>Salario mensual:  1.231.997</w:t>
            </w:r>
            <w:r>
              <w:br/>
              <w:t>Salario diario:  47.385</w:t>
            </w:r>
          </w:p>
        </w:tc>
      </w:tr>
      <w:tr w:rsidR="00000000">
        <w:trPr>
          <w:trHeight w:val="20"/>
        </w:trPr>
        <w:tc>
          <w:tcPr>
            <w:tcW w:w="5988" w:type="dxa"/>
            <w:tcBorders>
              <w:bottom w:val="single" w:sz="4" w:space="0" w:color="auto"/>
            </w:tcBorders>
          </w:tcPr>
          <w:p w:rsidR="00000000" w:rsidRDefault="00000000">
            <w:r>
              <w:t>Cines y teatros</w:t>
            </w:r>
          </w:p>
        </w:tc>
        <w:tc>
          <w:tcPr>
            <w:tcW w:w="3480" w:type="dxa"/>
            <w:tcBorders>
              <w:bottom w:val="single" w:sz="4" w:space="0" w:color="auto"/>
            </w:tcBorders>
          </w:tcPr>
          <w:p w:rsidR="00000000" w:rsidRDefault="00000000">
            <w:r>
              <w:t>Salario mensual:  1.219.795</w:t>
            </w:r>
            <w:r>
              <w:br/>
              <w:t>Salario diario:  46.915</w:t>
            </w:r>
          </w:p>
        </w:tc>
      </w:tr>
      <w:tr w:rsidR="00000000">
        <w:trPr>
          <w:trHeight w:val="502"/>
        </w:trPr>
        <w:tc>
          <w:tcPr>
            <w:tcW w:w="5988" w:type="dxa"/>
            <w:tcBorders>
              <w:bottom w:val="nil"/>
            </w:tcBorders>
          </w:tcPr>
          <w:p w:rsidR="00000000" w:rsidRDefault="00000000">
            <w:pPr>
              <w:spacing w:after="120"/>
            </w:pPr>
            <w:r>
              <w:t>Fábricas de papel y cartón</w:t>
            </w:r>
          </w:p>
        </w:tc>
        <w:tc>
          <w:tcPr>
            <w:tcW w:w="3480" w:type="dxa"/>
            <w:tcBorders>
              <w:bottom w:val="nil"/>
            </w:tcBorders>
          </w:tcPr>
          <w:p w:rsidR="00000000" w:rsidRDefault="00000000">
            <w:pPr>
              <w:spacing w:after="120"/>
            </w:pPr>
            <w:r>
              <w:t>Salario mensual:  1.246.396</w:t>
            </w:r>
            <w:r>
              <w:br/>
              <w:t xml:space="preserve">Salario diario:  47.938 </w:t>
            </w:r>
          </w:p>
        </w:tc>
      </w:tr>
      <w:tr w:rsidR="00000000">
        <w:trPr>
          <w:trHeight w:val="20"/>
        </w:trPr>
        <w:tc>
          <w:tcPr>
            <w:tcW w:w="5988" w:type="dxa"/>
            <w:tcBorders>
              <w:top w:val="nil"/>
            </w:tcBorders>
          </w:tcPr>
          <w:p w:rsidR="00000000" w:rsidRDefault="00000000">
            <w:r>
              <w:t>Fábricas de muebles</w:t>
            </w:r>
          </w:p>
        </w:tc>
        <w:tc>
          <w:tcPr>
            <w:tcW w:w="3480" w:type="dxa"/>
            <w:tcBorders>
              <w:top w:val="nil"/>
            </w:tcBorders>
          </w:tcPr>
          <w:p w:rsidR="00000000" w:rsidRDefault="00000000">
            <w:r>
              <w:t>Salario mensual:  1.231.997</w:t>
            </w:r>
            <w:r>
              <w:br/>
              <w:t>Salario diario:  47.385</w:t>
            </w:r>
          </w:p>
        </w:tc>
      </w:tr>
      <w:tr w:rsidR="00000000">
        <w:trPr>
          <w:trHeight w:val="20"/>
        </w:trPr>
        <w:tc>
          <w:tcPr>
            <w:tcW w:w="5988" w:type="dxa"/>
          </w:tcPr>
          <w:p w:rsidR="00000000" w:rsidRDefault="00000000">
            <w:r>
              <w:t>Locutores</w:t>
            </w:r>
          </w:p>
        </w:tc>
        <w:tc>
          <w:tcPr>
            <w:tcW w:w="3480" w:type="dxa"/>
          </w:tcPr>
          <w:p w:rsidR="00000000" w:rsidRDefault="00000000">
            <w:r>
              <w:t>Salario mensual:  1.231.997</w:t>
            </w:r>
            <w:r>
              <w:br/>
              <w:t xml:space="preserve">Salario diario:  47.385 </w:t>
            </w:r>
          </w:p>
        </w:tc>
      </w:tr>
      <w:tr w:rsidR="00000000">
        <w:trPr>
          <w:trHeight w:val="20"/>
        </w:trPr>
        <w:tc>
          <w:tcPr>
            <w:tcW w:w="5988" w:type="dxa"/>
          </w:tcPr>
          <w:p w:rsidR="00000000" w:rsidRDefault="00000000">
            <w:r>
              <w:t>Operadores</w:t>
            </w:r>
          </w:p>
        </w:tc>
        <w:tc>
          <w:tcPr>
            <w:tcW w:w="3480" w:type="dxa"/>
          </w:tcPr>
          <w:p w:rsidR="00000000" w:rsidRDefault="00000000">
            <w:r>
              <w:t>Salario mensual:  1.219.795</w:t>
            </w:r>
            <w:r>
              <w:br/>
              <w:t>Salario diario:  46.915</w:t>
            </w:r>
          </w:p>
        </w:tc>
      </w:tr>
      <w:tr w:rsidR="00000000">
        <w:trPr>
          <w:trHeight w:val="20"/>
        </w:trPr>
        <w:tc>
          <w:tcPr>
            <w:tcW w:w="5988" w:type="dxa"/>
          </w:tcPr>
          <w:p w:rsidR="00000000" w:rsidRDefault="00000000">
            <w:r>
              <w:t>Asfalto y pavimentación</w:t>
            </w:r>
          </w:p>
        </w:tc>
        <w:tc>
          <w:tcPr>
            <w:tcW w:w="3480" w:type="dxa"/>
          </w:tcPr>
          <w:p w:rsidR="00000000" w:rsidRDefault="00000000">
            <w:r>
              <w:t>Salario mensual:  1.219.795</w:t>
            </w:r>
            <w:r>
              <w:br/>
              <w:t>Salario diario:  46.915</w:t>
            </w:r>
          </w:p>
        </w:tc>
      </w:tr>
      <w:tr w:rsidR="00000000">
        <w:trPr>
          <w:trHeight w:val="20"/>
        </w:trPr>
        <w:tc>
          <w:tcPr>
            <w:tcW w:w="5988" w:type="dxa"/>
            <w:tcBorders>
              <w:bottom w:val="single" w:sz="4" w:space="0" w:color="auto"/>
            </w:tcBorders>
          </w:tcPr>
          <w:p w:rsidR="00000000" w:rsidRDefault="00000000">
            <w:pPr>
              <w:keepNext/>
            </w:pPr>
            <w:r>
              <w:t>Florerías</w:t>
            </w:r>
            <w:r>
              <w:br/>
            </w:r>
          </w:p>
        </w:tc>
        <w:tc>
          <w:tcPr>
            <w:tcW w:w="3480" w:type="dxa"/>
            <w:tcBorders>
              <w:bottom w:val="single" w:sz="4" w:space="0" w:color="auto"/>
            </w:tcBorders>
          </w:tcPr>
          <w:p w:rsidR="00000000" w:rsidRDefault="00000000">
            <w:pPr>
              <w:keepNext/>
            </w:pPr>
            <w:r>
              <w:t>Salario mensual:  1.219.795</w:t>
            </w:r>
            <w:r>
              <w:br/>
              <w:t>Salario diario:  46.915</w:t>
            </w:r>
          </w:p>
        </w:tc>
      </w:tr>
      <w:tr w:rsidR="00000000">
        <w:trPr>
          <w:trHeight w:val="20"/>
        </w:trPr>
        <w:tc>
          <w:tcPr>
            <w:tcW w:w="5988" w:type="dxa"/>
            <w:tcBorders>
              <w:bottom w:val="nil"/>
            </w:tcBorders>
          </w:tcPr>
          <w:p w:rsidR="00000000" w:rsidRDefault="00000000">
            <w:pPr>
              <w:spacing w:after="120"/>
            </w:pPr>
            <w:r>
              <w:t>Pieles y cueros</w:t>
            </w:r>
          </w:p>
        </w:tc>
        <w:tc>
          <w:tcPr>
            <w:tcW w:w="3480" w:type="dxa"/>
            <w:tcBorders>
              <w:bottom w:val="nil"/>
            </w:tcBorders>
          </w:tcPr>
          <w:p w:rsidR="00000000" w:rsidRDefault="00000000">
            <w:pPr>
              <w:spacing w:after="120"/>
            </w:pPr>
            <w:r>
              <w:t>Salario mensual:  1.219.795</w:t>
            </w:r>
            <w:r>
              <w:br/>
              <w:t xml:space="preserve">Salario diario:  46.915 </w:t>
            </w:r>
          </w:p>
        </w:tc>
      </w:tr>
      <w:tr w:rsidR="00000000">
        <w:trPr>
          <w:trHeight w:val="20"/>
        </w:trPr>
        <w:tc>
          <w:tcPr>
            <w:tcW w:w="5988" w:type="dxa"/>
            <w:tcBorders>
              <w:top w:val="nil"/>
            </w:tcBorders>
          </w:tcPr>
          <w:p w:rsidR="00000000" w:rsidRDefault="00000000">
            <w:r>
              <w:t>Talleres gráficos</w:t>
            </w:r>
          </w:p>
        </w:tc>
        <w:tc>
          <w:tcPr>
            <w:tcW w:w="3480" w:type="dxa"/>
            <w:tcBorders>
              <w:top w:val="nil"/>
            </w:tcBorders>
          </w:tcPr>
          <w:p w:rsidR="00000000" w:rsidRDefault="00000000">
            <w:r>
              <w:t>Salario mensual:  1.219.795</w:t>
            </w:r>
            <w:r>
              <w:br/>
              <w:t>Salario diario:  46.915</w:t>
            </w:r>
          </w:p>
        </w:tc>
      </w:tr>
      <w:tr w:rsidR="00000000">
        <w:trPr>
          <w:trHeight w:val="20"/>
        </w:trPr>
        <w:tc>
          <w:tcPr>
            <w:tcW w:w="5988" w:type="dxa"/>
            <w:tcBorders>
              <w:bottom w:val="single" w:sz="4" w:space="0" w:color="auto"/>
            </w:tcBorders>
          </w:tcPr>
          <w:p w:rsidR="00000000" w:rsidRDefault="00000000">
            <w:r>
              <w:t>Actividades diversas no especificadas</w:t>
            </w:r>
          </w:p>
        </w:tc>
        <w:tc>
          <w:tcPr>
            <w:tcW w:w="3480" w:type="dxa"/>
            <w:tcBorders>
              <w:bottom w:val="single" w:sz="4" w:space="0" w:color="auto"/>
            </w:tcBorders>
          </w:tcPr>
          <w:p w:rsidR="00000000" w:rsidRDefault="00000000">
            <w:r>
              <w:t>Salario mensual:  1.219.795</w:t>
            </w:r>
            <w:r>
              <w:br/>
              <w:t>Salario diario:  46.915</w:t>
            </w:r>
          </w:p>
        </w:tc>
      </w:tr>
      <w:tr w:rsidR="00000000">
        <w:trPr>
          <w:trHeight w:val="20"/>
        </w:trPr>
        <w:tc>
          <w:tcPr>
            <w:tcW w:w="5988" w:type="dxa"/>
            <w:tcBorders>
              <w:bottom w:val="nil"/>
            </w:tcBorders>
          </w:tcPr>
          <w:p w:rsidR="00000000" w:rsidRDefault="00000000">
            <w:pPr>
              <w:spacing w:after="120"/>
            </w:pPr>
            <w:r>
              <w:t>Periodistas</w:t>
            </w:r>
          </w:p>
        </w:tc>
        <w:tc>
          <w:tcPr>
            <w:tcW w:w="3480" w:type="dxa"/>
            <w:tcBorders>
              <w:bottom w:val="nil"/>
            </w:tcBorders>
          </w:tcPr>
          <w:p w:rsidR="00000000" w:rsidRDefault="00000000">
            <w:pPr>
              <w:spacing w:after="120"/>
            </w:pPr>
          </w:p>
        </w:tc>
      </w:tr>
      <w:tr w:rsidR="00000000">
        <w:trPr>
          <w:trHeight w:val="268"/>
        </w:trPr>
        <w:tc>
          <w:tcPr>
            <w:tcW w:w="5988" w:type="dxa"/>
            <w:tcBorders>
              <w:top w:val="nil"/>
              <w:bottom w:val="nil"/>
            </w:tcBorders>
          </w:tcPr>
          <w:p w:rsidR="00000000" w:rsidRDefault="00000000">
            <w:pPr>
              <w:spacing w:after="120"/>
              <w:ind w:firstLine="308"/>
            </w:pPr>
            <w:r>
              <w:t>Jefe de redacción</w:t>
            </w:r>
          </w:p>
        </w:tc>
        <w:tc>
          <w:tcPr>
            <w:tcW w:w="3480" w:type="dxa"/>
            <w:tcBorders>
              <w:top w:val="nil"/>
              <w:bottom w:val="nil"/>
            </w:tcBorders>
          </w:tcPr>
          <w:p w:rsidR="00000000" w:rsidRDefault="00000000">
            <w:pPr>
              <w:spacing w:after="120"/>
            </w:pPr>
            <w:r>
              <w:t>Salario mensual:  1.806.635</w:t>
            </w:r>
          </w:p>
        </w:tc>
      </w:tr>
      <w:tr w:rsidR="00000000">
        <w:trPr>
          <w:trHeight w:val="351"/>
        </w:trPr>
        <w:tc>
          <w:tcPr>
            <w:tcW w:w="5988" w:type="dxa"/>
            <w:tcBorders>
              <w:top w:val="nil"/>
              <w:bottom w:val="nil"/>
            </w:tcBorders>
          </w:tcPr>
          <w:p w:rsidR="00000000" w:rsidRDefault="00000000">
            <w:pPr>
              <w:spacing w:after="120"/>
              <w:ind w:firstLine="308"/>
            </w:pPr>
            <w:r>
              <w:t>Secretario de redacción</w:t>
            </w:r>
          </w:p>
        </w:tc>
        <w:tc>
          <w:tcPr>
            <w:tcW w:w="3480" w:type="dxa"/>
            <w:tcBorders>
              <w:top w:val="nil"/>
              <w:bottom w:val="nil"/>
            </w:tcBorders>
          </w:tcPr>
          <w:p w:rsidR="00000000" w:rsidRDefault="00000000">
            <w:pPr>
              <w:spacing w:after="120"/>
            </w:pPr>
            <w:r>
              <w:t>Salario mensual:  1.648.682</w:t>
            </w:r>
          </w:p>
        </w:tc>
      </w:tr>
      <w:tr w:rsidR="00000000">
        <w:trPr>
          <w:trHeight w:val="351"/>
        </w:trPr>
        <w:tc>
          <w:tcPr>
            <w:tcW w:w="5988" w:type="dxa"/>
            <w:tcBorders>
              <w:top w:val="nil"/>
              <w:bottom w:val="nil"/>
            </w:tcBorders>
          </w:tcPr>
          <w:p w:rsidR="00000000" w:rsidRDefault="00000000">
            <w:pPr>
              <w:spacing w:after="120"/>
              <w:ind w:firstLine="308"/>
            </w:pPr>
            <w:r>
              <w:t>Redactor de primera</w:t>
            </w:r>
          </w:p>
        </w:tc>
        <w:tc>
          <w:tcPr>
            <w:tcW w:w="3480" w:type="dxa"/>
            <w:tcBorders>
              <w:top w:val="nil"/>
              <w:bottom w:val="nil"/>
            </w:tcBorders>
          </w:tcPr>
          <w:p w:rsidR="00000000" w:rsidRDefault="00000000">
            <w:pPr>
              <w:spacing w:after="120"/>
            </w:pPr>
            <w:r>
              <w:t xml:space="preserve">Salario mensual:  1.542.723 </w:t>
            </w:r>
          </w:p>
        </w:tc>
      </w:tr>
      <w:tr w:rsidR="00000000">
        <w:trPr>
          <w:trHeight w:val="335"/>
        </w:trPr>
        <w:tc>
          <w:tcPr>
            <w:tcW w:w="5988" w:type="dxa"/>
            <w:tcBorders>
              <w:top w:val="nil"/>
              <w:bottom w:val="nil"/>
            </w:tcBorders>
          </w:tcPr>
          <w:p w:rsidR="00000000" w:rsidRDefault="00000000">
            <w:pPr>
              <w:spacing w:after="120"/>
              <w:ind w:firstLine="308"/>
            </w:pPr>
            <w:r>
              <w:t>Redactor de segunda</w:t>
            </w:r>
          </w:p>
        </w:tc>
        <w:tc>
          <w:tcPr>
            <w:tcW w:w="3480" w:type="dxa"/>
            <w:tcBorders>
              <w:top w:val="nil"/>
              <w:bottom w:val="nil"/>
            </w:tcBorders>
          </w:tcPr>
          <w:p w:rsidR="00000000" w:rsidRDefault="00000000">
            <w:pPr>
              <w:spacing w:after="120"/>
            </w:pPr>
            <w:r>
              <w:t xml:space="preserve">Salario mensual:  1.474.675 </w:t>
            </w:r>
          </w:p>
        </w:tc>
      </w:tr>
      <w:tr w:rsidR="00000000">
        <w:trPr>
          <w:trHeight w:val="184"/>
        </w:trPr>
        <w:tc>
          <w:tcPr>
            <w:tcW w:w="5988" w:type="dxa"/>
            <w:tcBorders>
              <w:top w:val="nil"/>
              <w:bottom w:val="nil"/>
            </w:tcBorders>
          </w:tcPr>
          <w:p w:rsidR="00000000" w:rsidRDefault="00000000">
            <w:pPr>
              <w:spacing w:after="120"/>
              <w:ind w:firstLine="308"/>
            </w:pPr>
            <w:r>
              <w:t>Cronista</w:t>
            </w:r>
          </w:p>
        </w:tc>
        <w:tc>
          <w:tcPr>
            <w:tcW w:w="3480" w:type="dxa"/>
            <w:tcBorders>
              <w:top w:val="nil"/>
              <w:bottom w:val="nil"/>
            </w:tcBorders>
          </w:tcPr>
          <w:p w:rsidR="00000000" w:rsidRDefault="00000000">
            <w:pPr>
              <w:spacing w:after="120"/>
            </w:pPr>
            <w:r>
              <w:t xml:space="preserve">Salario mensual:  1.361.992 </w:t>
            </w:r>
          </w:p>
        </w:tc>
      </w:tr>
      <w:tr w:rsidR="00000000">
        <w:trPr>
          <w:trHeight w:val="352"/>
        </w:trPr>
        <w:tc>
          <w:tcPr>
            <w:tcW w:w="5988" w:type="dxa"/>
            <w:tcBorders>
              <w:top w:val="nil"/>
              <w:bottom w:val="nil"/>
            </w:tcBorders>
          </w:tcPr>
          <w:p w:rsidR="00000000" w:rsidRDefault="00000000">
            <w:pPr>
              <w:spacing w:after="120"/>
              <w:ind w:firstLine="308"/>
            </w:pPr>
            <w:r>
              <w:t>Correctores</w:t>
            </w:r>
          </w:p>
        </w:tc>
        <w:tc>
          <w:tcPr>
            <w:tcW w:w="3480" w:type="dxa"/>
            <w:tcBorders>
              <w:top w:val="nil"/>
              <w:bottom w:val="nil"/>
            </w:tcBorders>
          </w:tcPr>
          <w:p w:rsidR="00000000" w:rsidRDefault="00000000">
            <w:pPr>
              <w:spacing w:after="120"/>
            </w:pPr>
            <w:r>
              <w:t xml:space="preserve">Salario mensual:  1.429.043 </w:t>
            </w:r>
          </w:p>
        </w:tc>
      </w:tr>
      <w:tr w:rsidR="00000000">
        <w:trPr>
          <w:trHeight w:val="185"/>
        </w:trPr>
        <w:tc>
          <w:tcPr>
            <w:tcW w:w="5988" w:type="dxa"/>
            <w:tcBorders>
              <w:top w:val="nil"/>
              <w:bottom w:val="nil"/>
            </w:tcBorders>
          </w:tcPr>
          <w:p w:rsidR="00000000" w:rsidRDefault="00000000">
            <w:pPr>
              <w:spacing w:after="120"/>
              <w:ind w:firstLine="308"/>
            </w:pPr>
            <w:r>
              <w:t>Gráficos - linotipista</w:t>
            </w:r>
          </w:p>
        </w:tc>
        <w:tc>
          <w:tcPr>
            <w:tcW w:w="3480" w:type="dxa"/>
            <w:tcBorders>
              <w:top w:val="nil"/>
              <w:bottom w:val="nil"/>
            </w:tcBorders>
          </w:tcPr>
          <w:p w:rsidR="00000000" w:rsidRDefault="00000000">
            <w:pPr>
              <w:spacing w:after="120"/>
            </w:pPr>
          </w:p>
        </w:tc>
      </w:tr>
      <w:tr w:rsidR="00000000">
        <w:trPr>
          <w:trHeight w:val="502"/>
        </w:trPr>
        <w:tc>
          <w:tcPr>
            <w:tcW w:w="5988" w:type="dxa"/>
            <w:tcBorders>
              <w:top w:val="nil"/>
              <w:bottom w:val="nil"/>
            </w:tcBorders>
          </w:tcPr>
          <w:p w:rsidR="00000000" w:rsidRDefault="00000000">
            <w:pPr>
              <w:spacing w:after="120"/>
              <w:ind w:left="567"/>
            </w:pPr>
            <w:r>
              <w:t>Primera categoría</w:t>
            </w:r>
          </w:p>
        </w:tc>
        <w:tc>
          <w:tcPr>
            <w:tcW w:w="3480" w:type="dxa"/>
            <w:tcBorders>
              <w:top w:val="nil"/>
              <w:bottom w:val="nil"/>
            </w:tcBorders>
          </w:tcPr>
          <w:p w:rsidR="00000000" w:rsidRDefault="00000000">
            <w:pPr>
              <w:spacing w:after="120"/>
            </w:pPr>
            <w:r>
              <w:t>Salario mensual:  1.498.541</w:t>
            </w:r>
            <w:r>
              <w:br/>
              <w:t xml:space="preserve">Salario diario:  57.636 </w:t>
            </w:r>
          </w:p>
        </w:tc>
      </w:tr>
      <w:tr w:rsidR="00000000">
        <w:trPr>
          <w:trHeight w:val="485"/>
        </w:trPr>
        <w:tc>
          <w:tcPr>
            <w:tcW w:w="5988" w:type="dxa"/>
            <w:tcBorders>
              <w:top w:val="nil"/>
              <w:bottom w:val="nil"/>
            </w:tcBorders>
          </w:tcPr>
          <w:p w:rsidR="00000000" w:rsidRDefault="00000000">
            <w:pPr>
              <w:spacing w:after="120"/>
              <w:ind w:left="567"/>
            </w:pPr>
            <w:r>
              <w:t>Segunda categoría</w:t>
            </w:r>
          </w:p>
        </w:tc>
        <w:tc>
          <w:tcPr>
            <w:tcW w:w="3480" w:type="dxa"/>
            <w:tcBorders>
              <w:top w:val="nil"/>
              <w:bottom w:val="nil"/>
            </w:tcBorders>
          </w:tcPr>
          <w:p w:rsidR="00000000" w:rsidRDefault="00000000">
            <w:pPr>
              <w:spacing w:after="120"/>
            </w:pPr>
            <w:r>
              <w:t>Salario mensual:  1.441.231</w:t>
            </w:r>
            <w:r>
              <w:br/>
              <w:t xml:space="preserve">Salario diario:  55.432 </w:t>
            </w:r>
          </w:p>
        </w:tc>
      </w:tr>
      <w:tr w:rsidR="00000000">
        <w:trPr>
          <w:trHeight w:val="285"/>
        </w:trPr>
        <w:tc>
          <w:tcPr>
            <w:tcW w:w="5988" w:type="dxa"/>
            <w:tcBorders>
              <w:top w:val="nil"/>
              <w:bottom w:val="nil"/>
            </w:tcBorders>
          </w:tcPr>
          <w:p w:rsidR="00000000" w:rsidRDefault="00000000">
            <w:pPr>
              <w:spacing w:after="120"/>
              <w:ind w:firstLine="308"/>
            </w:pPr>
            <w:r>
              <w:t>Impresores</w:t>
            </w:r>
          </w:p>
        </w:tc>
        <w:tc>
          <w:tcPr>
            <w:tcW w:w="3480" w:type="dxa"/>
            <w:tcBorders>
              <w:top w:val="nil"/>
              <w:bottom w:val="nil"/>
            </w:tcBorders>
          </w:tcPr>
          <w:p w:rsidR="00000000" w:rsidRDefault="00000000">
            <w:pPr>
              <w:spacing w:after="120"/>
            </w:pPr>
          </w:p>
        </w:tc>
      </w:tr>
      <w:tr w:rsidR="00000000">
        <w:trPr>
          <w:trHeight w:val="535"/>
        </w:trPr>
        <w:tc>
          <w:tcPr>
            <w:tcW w:w="5988" w:type="dxa"/>
            <w:tcBorders>
              <w:top w:val="nil"/>
              <w:bottom w:val="nil"/>
            </w:tcBorders>
          </w:tcPr>
          <w:p w:rsidR="00000000" w:rsidRDefault="00000000">
            <w:pPr>
              <w:spacing w:after="120"/>
              <w:ind w:left="567"/>
            </w:pPr>
            <w:r>
              <w:t>Primera categoría</w:t>
            </w:r>
          </w:p>
        </w:tc>
        <w:tc>
          <w:tcPr>
            <w:tcW w:w="3480" w:type="dxa"/>
            <w:tcBorders>
              <w:top w:val="nil"/>
              <w:bottom w:val="nil"/>
            </w:tcBorders>
          </w:tcPr>
          <w:p w:rsidR="00000000" w:rsidRDefault="00000000">
            <w:pPr>
              <w:spacing w:after="120"/>
            </w:pPr>
            <w:r>
              <w:t>Salario mensual:  1.498.541</w:t>
            </w:r>
            <w:r>
              <w:br/>
              <w:t>Salario diario:  57.636</w:t>
            </w:r>
          </w:p>
        </w:tc>
      </w:tr>
      <w:tr w:rsidR="00000000">
        <w:trPr>
          <w:trHeight w:val="502"/>
        </w:trPr>
        <w:tc>
          <w:tcPr>
            <w:tcW w:w="5988" w:type="dxa"/>
            <w:tcBorders>
              <w:top w:val="nil"/>
              <w:bottom w:val="nil"/>
            </w:tcBorders>
          </w:tcPr>
          <w:p w:rsidR="00000000" w:rsidRDefault="00000000">
            <w:pPr>
              <w:spacing w:after="120"/>
              <w:ind w:left="567"/>
            </w:pPr>
            <w:r>
              <w:t>Segunda categoría</w:t>
            </w:r>
          </w:p>
        </w:tc>
        <w:tc>
          <w:tcPr>
            <w:tcW w:w="3480" w:type="dxa"/>
            <w:tcBorders>
              <w:top w:val="nil"/>
              <w:bottom w:val="nil"/>
            </w:tcBorders>
          </w:tcPr>
          <w:p w:rsidR="00000000" w:rsidRDefault="00000000">
            <w:pPr>
              <w:spacing w:after="120"/>
            </w:pPr>
            <w:r>
              <w:t>Salario mensual:  1.441.231</w:t>
            </w:r>
            <w:r>
              <w:br/>
              <w:t xml:space="preserve">Salario diario:  55.432 </w:t>
            </w:r>
          </w:p>
        </w:tc>
      </w:tr>
      <w:tr w:rsidR="00000000">
        <w:trPr>
          <w:trHeight w:val="20"/>
        </w:trPr>
        <w:tc>
          <w:tcPr>
            <w:tcW w:w="5988" w:type="dxa"/>
            <w:tcBorders>
              <w:top w:val="nil"/>
              <w:bottom w:val="nil"/>
            </w:tcBorders>
          </w:tcPr>
          <w:p w:rsidR="00000000" w:rsidRDefault="00000000">
            <w:pPr>
              <w:spacing w:after="120"/>
              <w:ind w:firstLine="308"/>
            </w:pPr>
            <w:r>
              <w:t>Tipógrafos</w:t>
            </w:r>
          </w:p>
        </w:tc>
        <w:tc>
          <w:tcPr>
            <w:tcW w:w="3480" w:type="dxa"/>
            <w:tcBorders>
              <w:top w:val="nil"/>
              <w:bottom w:val="nil"/>
            </w:tcBorders>
          </w:tcPr>
          <w:p w:rsidR="00000000" w:rsidRDefault="00000000">
            <w:pPr>
              <w:spacing w:after="120"/>
            </w:pPr>
          </w:p>
        </w:tc>
      </w:tr>
      <w:tr w:rsidR="00000000">
        <w:trPr>
          <w:trHeight w:val="20"/>
        </w:trPr>
        <w:tc>
          <w:tcPr>
            <w:tcW w:w="5988" w:type="dxa"/>
            <w:tcBorders>
              <w:top w:val="nil"/>
              <w:bottom w:val="nil"/>
            </w:tcBorders>
          </w:tcPr>
          <w:p w:rsidR="00000000" w:rsidRDefault="00000000">
            <w:pPr>
              <w:spacing w:after="120"/>
              <w:ind w:left="567"/>
            </w:pPr>
            <w:r>
              <w:t>Primera categoría</w:t>
            </w:r>
          </w:p>
        </w:tc>
        <w:tc>
          <w:tcPr>
            <w:tcW w:w="3480" w:type="dxa"/>
            <w:tcBorders>
              <w:top w:val="nil"/>
              <w:bottom w:val="nil"/>
            </w:tcBorders>
          </w:tcPr>
          <w:p w:rsidR="00000000" w:rsidRDefault="00000000">
            <w:pPr>
              <w:spacing w:after="120"/>
            </w:pPr>
            <w:r>
              <w:t>Salario mensual:  1.498.541</w:t>
            </w:r>
            <w:r>
              <w:br/>
              <w:t xml:space="preserve">Salario diario:  57.636 </w:t>
            </w:r>
          </w:p>
        </w:tc>
      </w:tr>
      <w:tr w:rsidR="00000000">
        <w:trPr>
          <w:trHeight w:val="20"/>
        </w:trPr>
        <w:tc>
          <w:tcPr>
            <w:tcW w:w="5988" w:type="dxa"/>
            <w:tcBorders>
              <w:top w:val="nil"/>
              <w:bottom w:val="single" w:sz="4" w:space="0" w:color="auto"/>
            </w:tcBorders>
          </w:tcPr>
          <w:p w:rsidR="00000000" w:rsidRDefault="00000000">
            <w:pPr>
              <w:ind w:left="567"/>
            </w:pPr>
            <w:r>
              <w:t>Segunda categoría</w:t>
            </w:r>
          </w:p>
        </w:tc>
        <w:tc>
          <w:tcPr>
            <w:tcW w:w="3480" w:type="dxa"/>
            <w:tcBorders>
              <w:top w:val="nil"/>
              <w:bottom w:val="single" w:sz="4" w:space="0" w:color="auto"/>
            </w:tcBorders>
          </w:tcPr>
          <w:p w:rsidR="00000000" w:rsidRDefault="00000000">
            <w:r>
              <w:t>Salario mensual:  1.441.231</w:t>
            </w:r>
            <w:r>
              <w:br/>
              <w:t>Salario diario:  55.432</w:t>
            </w:r>
          </w:p>
        </w:tc>
      </w:tr>
      <w:tr w:rsidR="00000000">
        <w:trPr>
          <w:trHeight w:val="335"/>
        </w:trPr>
        <w:tc>
          <w:tcPr>
            <w:tcW w:w="5988" w:type="dxa"/>
            <w:tcBorders>
              <w:bottom w:val="nil"/>
            </w:tcBorders>
          </w:tcPr>
          <w:p w:rsidR="00000000" w:rsidRDefault="00000000">
            <w:pPr>
              <w:spacing w:after="120"/>
            </w:pPr>
            <w:r>
              <w:t>Albañiles y carpinteros, encofradores y anexos</w:t>
            </w:r>
          </w:p>
        </w:tc>
        <w:tc>
          <w:tcPr>
            <w:tcW w:w="3480" w:type="dxa"/>
            <w:tcBorders>
              <w:bottom w:val="nil"/>
            </w:tcBorders>
          </w:tcPr>
          <w:p w:rsidR="00000000" w:rsidRDefault="00000000">
            <w:pPr>
              <w:spacing w:after="120"/>
            </w:pPr>
          </w:p>
        </w:tc>
      </w:tr>
      <w:tr w:rsidR="00000000">
        <w:trPr>
          <w:trHeight w:val="519"/>
        </w:trPr>
        <w:tc>
          <w:tcPr>
            <w:tcW w:w="5988" w:type="dxa"/>
            <w:tcBorders>
              <w:top w:val="nil"/>
              <w:bottom w:val="nil"/>
            </w:tcBorders>
          </w:tcPr>
          <w:p w:rsidR="00000000" w:rsidRDefault="00000000">
            <w:pPr>
              <w:spacing w:after="120"/>
              <w:ind w:left="284"/>
            </w:pPr>
            <w:r>
              <w:t>Oficial de primera</w:t>
            </w:r>
          </w:p>
        </w:tc>
        <w:tc>
          <w:tcPr>
            <w:tcW w:w="3480" w:type="dxa"/>
            <w:tcBorders>
              <w:top w:val="nil"/>
              <w:bottom w:val="nil"/>
            </w:tcBorders>
          </w:tcPr>
          <w:p w:rsidR="00000000" w:rsidRDefault="00000000">
            <w:pPr>
              <w:spacing w:after="120"/>
            </w:pPr>
            <w:r>
              <w:t>Salario mensual:  1.426.610</w:t>
            </w:r>
            <w:r>
              <w:br/>
              <w:t xml:space="preserve">Salario diario:  54.870 </w:t>
            </w:r>
          </w:p>
        </w:tc>
      </w:tr>
      <w:tr w:rsidR="00000000">
        <w:trPr>
          <w:trHeight w:val="502"/>
        </w:trPr>
        <w:tc>
          <w:tcPr>
            <w:tcW w:w="5988" w:type="dxa"/>
            <w:tcBorders>
              <w:top w:val="nil"/>
              <w:bottom w:val="nil"/>
            </w:tcBorders>
          </w:tcPr>
          <w:p w:rsidR="00000000" w:rsidRDefault="00000000">
            <w:pPr>
              <w:spacing w:after="120"/>
              <w:ind w:left="284"/>
            </w:pPr>
            <w:r>
              <w:t>Oficial de segunda</w:t>
            </w:r>
          </w:p>
        </w:tc>
        <w:tc>
          <w:tcPr>
            <w:tcW w:w="3480" w:type="dxa"/>
            <w:tcBorders>
              <w:top w:val="nil"/>
              <w:bottom w:val="nil"/>
            </w:tcBorders>
          </w:tcPr>
          <w:p w:rsidR="00000000" w:rsidRDefault="00000000">
            <w:pPr>
              <w:spacing w:after="120"/>
            </w:pPr>
            <w:r>
              <w:t>Salario mensual:  1.389.120</w:t>
            </w:r>
            <w:r>
              <w:br/>
              <w:t xml:space="preserve">Salario diario:  53.428 </w:t>
            </w:r>
          </w:p>
        </w:tc>
      </w:tr>
      <w:tr w:rsidR="00000000">
        <w:tc>
          <w:tcPr>
            <w:tcW w:w="5988" w:type="dxa"/>
            <w:tcBorders>
              <w:top w:val="nil"/>
              <w:bottom w:val="single" w:sz="4" w:space="0" w:color="auto"/>
            </w:tcBorders>
          </w:tcPr>
          <w:p w:rsidR="00000000" w:rsidRDefault="00000000">
            <w:pPr>
              <w:ind w:left="284"/>
            </w:pPr>
            <w:r>
              <w:t>Calero</w:t>
            </w:r>
          </w:p>
        </w:tc>
        <w:tc>
          <w:tcPr>
            <w:tcW w:w="3480" w:type="dxa"/>
            <w:tcBorders>
              <w:top w:val="nil"/>
              <w:bottom w:val="single" w:sz="4" w:space="0" w:color="auto"/>
            </w:tcBorders>
          </w:tcPr>
          <w:p w:rsidR="00000000" w:rsidRDefault="00000000">
            <w:r>
              <w:t>Salario mensual:  1.371.173</w:t>
            </w:r>
            <w:r>
              <w:br/>
              <w:t>Salario diario:  52.737</w:t>
            </w:r>
          </w:p>
        </w:tc>
      </w:tr>
      <w:tr w:rsidR="00000000">
        <w:trPr>
          <w:trHeight w:val="268"/>
        </w:trPr>
        <w:tc>
          <w:tcPr>
            <w:tcW w:w="5988" w:type="dxa"/>
            <w:tcBorders>
              <w:bottom w:val="nil"/>
            </w:tcBorders>
          </w:tcPr>
          <w:p w:rsidR="00000000" w:rsidRDefault="00000000">
            <w:pPr>
              <w:keepNext/>
              <w:keepLines/>
              <w:spacing w:after="120"/>
            </w:pPr>
            <w:r>
              <w:t>Zapateros</w:t>
            </w:r>
          </w:p>
        </w:tc>
        <w:tc>
          <w:tcPr>
            <w:tcW w:w="3480" w:type="dxa"/>
            <w:tcBorders>
              <w:bottom w:val="nil"/>
            </w:tcBorders>
          </w:tcPr>
          <w:p w:rsidR="00000000" w:rsidRDefault="00000000">
            <w:pPr>
              <w:spacing w:after="120"/>
            </w:pPr>
          </w:p>
        </w:tc>
      </w:tr>
      <w:tr w:rsidR="00000000">
        <w:trPr>
          <w:trHeight w:val="602"/>
        </w:trPr>
        <w:tc>
          <w:tcPr>
            <w:tcW w:w="5988" w:type="dxa"/>
            <w:tcBorders>
              <w:top w:val="nil"/>
              <w:bottom w:val="nil"/>
            </w:tcBorders>
          </w:tcPr>
          <w:p w:rsidR="00000000" w:rsidRDefault="00000000">
            <w:pPr>
              <w:spacing w:after="120"/>
              <w:ind w:firstLine="308"/>
            </w:pPr>
            <w:r>
              <w:t>Primera categoría</w:t>
            </w:r>
          </w:p>
        </w:tc>
        <w:tc>
          <w:tcPr>
            <w:tcW w:w="3480" w:type="dxa"/>
            <w:tcBorders>
              <w:top w:val="nil"/>
              <w:bottom w:val="nil"/>
            </w:tcBorders>
          </w:tcPr>
          <w:p w:rsidR="00000000" w:rsidRDefault="00000000">
            <w:pPr>
              <w:spacing w:after="120"/>
            </w:pPr>
            <w:r>
              <w:t>Salario mensual:  1.369.024</w:t>
            </w:r>
            <w:r>
              <w:br/>
              <w:t xml:space="preserve">Salario diario:  52.655 </w:t>
            </w:r>
          </w:p>
        </w:tc>
      </w:tr>
      <w:tr w:rsidR="00000000">
        <w:trPr>
          <w:trHeight w:val="536"/>
        </w:trPr>
        <w:tc>
          <w:tcPr>
            <w:tcW w:w="5988" w:type="dxa"/>
            <w:tcBorders>
              <w:top w:val="nil"/>
              <w:bottom w:val="nil"/>
            </w:tcBorders>
          </w:tcPr>
          <w:p w:rsidR="00000000" w:rsidRDefault="00000000">
            <w:pPr>
              <w:spacing w:after="120"/>
              <w:ind w:firstLine="308"/>
            </w:pPr>
            <w:r>
              <w:t>Segunda categoría</w:t>
            </w:r>
          </w:p>
        </w:tc>
        <w:tc>
          <w:tcPr>
            <w:tcW w:w="3480" w:type="dxa"/>
            <w:tcBorders>
              <w:top w:val="nil"/>
              <w:bottom w:val="nil"/>
            </w:tcBorders>
          </w:tcPr>
          <w:p w:rsidR="00000000" w:rsidRDefault="00000000">
            <w:pPr>
              <w:spacing w:after="120"/>
            </w:pPr>
            <w:r>
              <w:t>Salario mensual:  1.299.451</w:t>
            </w:r>
            <w:r>
              <w:br/>
              <w:t xml:space="preserve">Salario diario:  49.979 </w:t>
            </w:r>
          </w:p>
        </w:tc>
      </w:tr>
      <w:tr w:rsidR="00000000">
        <w:tc>
          <w:tcPr>
            <w:tcW w:w="5988" w:type="dxa"/>
            <w:tcBorders>
              <w:top w:val="nil"/>
              <w:bottom w:val="single" w:sz="4" w:space="0" w:color="auto"/>
            </w:tcBorders>
          </w:tcPr>
          <w:p w:rsidR="00000000" w:rsidRDefault="00000000">
            <w:pPr>
              <w:ind w:firstLine="308"/>
            </w:pPr>
            <w:r>
              <w:t>Tercera categoría</w:t>
            </w:r>
          </w:p>
        </w:tc>
        <w:tc>
          <w:tcPr>
            <w:tcW w:w="3480" w:type="dxa"/>
            <w:tcBorders>
              <w:top w:val="nil"/>
              <w:bottom w:val="single" w:sz="4" w:space="0" w:color="auto"/>
            </w:tcBorders>
          </w:tcPr>
          <w:p w:rsidR="00000000" w:rsidRDefault="00000000">
            <w:r>
              <w:t>Salario mensual:  1.233.895</w:t>
            </w:r>
            <w:r>
              <w:br/>
              <w:t>Salario diario:  47.485</w:t>
            </w:r>
          </w:p>
        </w:tc>
      </w:tr>
      <w:tr w:rsidR="00000000">
        <w:trPr>
          <w:trHeight w:val="301"/>
        </w:trPr>
        <w:tc>
          <w:tcPr>
            <w:tcW w:w="5988" w:type="dxa"/>
            <w:tcBorders>
              <w:bottom w:val="nil"/>
            </w:tcBorders>
          </w:tcPr>
          <w:p w:rsidR="00000000" w:rsidRDefault="00000000">
            <w:pPr>
              <w:spacing w:after="120"/>
            </w:pPr>
            <w:r>
              <w:t>Capitanes de cabotaje, zona norte del río Paraguay</w:t>
            </w:r>
          </w:p>
        </w:tc>
        <w:tc>
          <w:tcPr>
            <w:tcW w:w="3480" w:type="dxa"/>
            <w:tcBorders>
              <w:bottom w:val="nil"/>
            </w:tcBorders>
          </w:tcPr>
          <w:p w:rsidR="00000000" w:rsidRDefault="00000000">
            <w:pPr>
              <w:spacing w:after="120"/>
            </w:pPr>
          </w:p>
        </w:tc>
      </w:tr>
      <w:tr w:rsidR="00000000">
        <w:trPr>
          <w:trHeight w:val="335"/>
        </w:trPr>
        <w:tc>
          <w:tcPr>
            <w:tcW w:w="5988" w:type="dxa"/>
            <w:tcBorders>
              <w:top w:val="nil"/>
              <w:bottom w:val="nil"/>
            </w:tcBorders>
          </w:tcPr>
          <w:p w:rsidR="00000000" w:rsidRDefault="00000000">
            <w:pPr>
              <w:spacing w:after="120"/>
              <w:ind w:left="284"/>
            </w:pPr>
            <w:r>
              <w:t>Capitanes</w:t>
            </w:r>
          </w:p>
        </w:tc>
        <w:tc>
          <w:tcPr>
            <w:tcW w:w="3480" w:type="dxa"/>
            <w:tcBorders>
              <w:top w:val="nil"/>
              <w:bottom w:val="nil"/>
            </w:tcBorders>
          </w:tcPr>
          <w:p w:rsidR="00000000" w:rsidRDefault="00000000">
            <w:pPr>
              <w:spacing w:after="120"/>
            </w:pPr>
            <w:r>
              <w:t xml:space="preserve">Salario mensual:  1.684.838 </w:t>
            </w:r>
          </w:p>
        </w:tc>
      </w:tr>
      <w:tr w:rsidR="00000000">
        <w:trPr>
          <w:trHeight w:val="150"/>
        </w:trPr>
        <w:tc>
          <w:tcPr>
            <w:tcW w:w="5988" w:type="dxa"/>
            <w:tcBorders>
              <w:top w:val="nil"/>
              <w:bottom w:val="single" w:sz="4" w:space="0" w:color="auto"/>
            </w:tcBorders>
          </w:tcPr>
          <w:p w:rsidR="00000000" w:rsidRDefault="00000000">
            <w:pPr>
              <w:ind w:left="284"/>
            </w:pPr>
            <w:r>
              <w:t>Prácticos</w:t>
            </w:r>
          </w:p>
        </w:tc>
        <w:tc>
          <w:tcPr>
            <w:tcW w:w="3480" w:type="dxa"/>
            <w:tcBorders>
              <w:top w:val="nil"/>
              <w:bottom w:val="single" w:sz="4" w:space="0" w:color="auto"/>
            </w:tcBorders>
          </w:tcPr>
          <w:p w:rsidR="00000000" w:rsidRDefault="00000000">
            <w:r>
              <w:t xml:space="preserve">Salario mensual:  1.559.059 </w:t>
            </w:r>
          </w:p>
        </w:tc>
      </w:tr>
      <w:tr w:rsidR="00000000">
        <w:trPr>
          <w:trHeight w:val="150"/>
        </w:trPr>
        <w:tc>
          <w:tcPr>
            <w:tcW w:w="5988" w:type="dxa"/>
            <w:tcBorders>
              <w:bottom w:val="nil"/>
            </w:tcBorders>
          </w:tcPr>
          <w:p w:rsidR="00000000" w:rsidRDefault="00000000">
            <w:pPr>
              <w:spacing w:after="120"/>
            </w:pPr>
            <w:r>
              <w:t>Tarifas de capitanes y prácticos de trabajo de travesía</w:t>
            </w:r>
          </w:p>
        </w:tc>
        <w:tc>
          <w:tcPr>
            <w:tcW w:w="3480" w:type="dxa"/>
            <w:tcBorders>
              <w:bottom w:val="nil"/>
            </w:tcBorders>
          </w:tcPr>
          <w:p w:rsidR="00000000" w:rsidRDefault="00000000">
            <w:pPr>
              <w:spacing w:after="120"/>
            </w:pPr>
            <w:r>
              <w:t>Zeballos Cue p/viaje:  1.401.831</w:t>
            </w:r>
            <w:r>
              <w:br/>
              <w:t>Peñón p/viaje:  1.667.043</w:t>
            </w:r>
            <w:r>
              <w:br/>
              <w:t>Capi'i Pobó p/viaje:  1.526.394</w:t>
            </w:r>
            <w:r>
              <w:br/>
              <w:t>Rosario p/viaje:  1.575.801</w:t>
            </w:r>
          </w:p>
        </w:tc>
      </w:tr>
      <w:tr w:rsidR="00000000">
        <w:trPr>
          <w:trHeight w:val="150"/>
        </w:trPr>
        <w:tc>
          <w:tcPr>
            <w:tcW w:w="5988" w:type="dxa"/>
            <w:tcBorders>
              <w:top w:val="nil"/>
              <w:bottom w:val="nil"/>
            </w:tcBorders>
          </w:tcPr>
          <w:p w:rsidR="00000000" w:rsidRDefault="00000000">
            <w:pPr>
              <w:spacing w:after="120"/>
            </w:pPr>
            <w:r>
              <w:t xml:space="preserve">Tarifas de estadía y maniobras </w:t>
            </w:r>
          </w:p>
          <w:p w:rsidR="00000000" w:rsidRDefault="00000000">
            <w:pPr>
              <w:spacing w:after="120"/>
              <w:ind w:left="284"/>
            </w:pPr>
            <w:r>
              <w:t>Estadía</w:t>
            </w:r>
          </w:p>
        </w:tc>
        <w:tc>
          <w:tcPr>
            <w:tcW w:w="3480" w:type="dxa"/>
            <w:tcBorders>
              <w:top w:val="nil"/>
              <w:bottom w:val="nil"/>
            </w:tcBorders>
          </w:tcPr>
          <w:p w:rsidR="00000000" w:rsidRDefault="00000000">
            <w:pPr>
              <w:spacing w:after="120"/>
            </w:pPr>
            <w:r>
              <w:t>Concepción p/viaje:  1.867.907</w:t>
            </w:r>
          </w:p>
          <w:p w:rsidR="00000000" w:rsidRDefault="00000000">
            <w:pPr>
              <w:spacing w:after="120"/>
            </w:pPr>
            <w:r>
              <w:t>Isla Margarita p/viaje:  2.200.696</w:t>
            </w:r>
            <w:r>
              <w:br/>
              <w:t>Bahía Negra p/viaje:  2.504.097</w:t>
            </w:r>
          </w:p>
        </w:tc>
      </w:tr>
      <w:tr w:rsidR="00000000">
        <w:trPr>
          <w:trHeight w:val="150"/>
        </w:trPr>
        <w:tc>
          <w:tcPr>
            <w:tcW w:w="5988" w:type="dxa"/>
            <w:tcBorders>
              <w:top w:val="nil"/>
              <w:bottom w:val="single" w:sz="4" w:space="0" w:color="auto"/>
            </w:tcBorders>
          </w:tcPr>
          <w:p w:rsidR="00000000" w:rsidRDefault="00000000">
            <w:pPr>
              <w:ind w:left="284"/>
            </w:pPr>
            <w:r>
              <w:t>Maniobras</w:t>
            </w:r>
          </w:p>
        </w:tc>
        <w:tc>
          <w:tcPr>
            <w:tcW w:w="3480" w:type="dxa"/>
            <w:tcBorders>
              <w:top w:val="nil"/>
              <w:bottom w:val="single" w:sz="4" w:space="0" w:color="auto"/>
            </w:tcBorders>
          </w:tcPr>
          <w:p w:rsidR="00000000" w:rsidRDefault="00000000">
            <w:r>
              <w:t>Salario mensual:  1.731.930</w:t>
            </w:r>
            <w:r>
              <w:br/>
              <w:t>Salario diario:  66.613</w:t>
            </w:r>
          </w:p>
        </w:tc>
      </w:tr>
      <w:tr w:rsidR="00000000">
        <w:trPr>
          <w:trHeight w:val="150"/>
        </w:trPr>
        <w:tc>
          <w:tcPr>
            <w:tcW w:w="5988" w:type="dxa"/>
            <w:tcBorders>
              <w:top w:val="single" w:sz="4" w:space="0" w:color="auto"/>
              <w:bottom w:val="nil"/>
            </w:tcBorders>
          </w:tcPr>
          <w:p w:rsidR="00000000" w:rsidRDefault="00000000">
            <w:pPr>
              <w:spacing w:after="120"/>
              <w:rPr>
                <w:spacing w:val="-4"/>
              </w:rPr>
            </w:pPr>
            <w:r>
              <w:rPr>
                <w:spacing w:val="-4"/>
              </w:rPr>
              <w:t>Máquinas de la Marina Mercante Nacional - En embarcaciones con motores a combustión interna</w:t>
            </w:r>
          </w:p>
        </w:tc>
        <w:tc>
          <w:tcPr>
            <w:tcW w:w="3480" w:type="dxa"/>
            <w:tcBorders>
              <w:top w:val="single" w:sz="4" w:space="0" w:color="auto"/>
              <w:bottom w:val="nil"/>
            </w:tcBorders>
          </w:tcPr>
          <w:p w:rsidR="00000000" w:rsidRDefault="00000000"/>
        </w:tc>
      </w:tr>
      <w:tr w:rsidR="00000000">
        <w:trPr>
          <w:trHeight w:val="150"/>
        </w:trPr>
        <w:tc>
          <w:tcPr>
            <w:tcW w:w="5988" w:type="dxa"/>
            <w:tcBorders>
              <w:top w:val="nil"/>
              <w:bottom w:val="nil"/>
            </w:tcBorders>
          </w:tcPr>
          <w:p w:rsidR="00000000" w:rsidRDefault="00000000">
            <w:pPr>
              <w:ind w:left="284"/>
            </w:pPr>
            <w:r>
              <w:t>Maquinista de primera con cabotaje</w:t>
            </w:r>
          </w:p>
          <w:p w:rsidR="00000000" w:rsidRDefault="00000000">
            <w:pPr>
              <w:spacing w:after="120"/>
              <w:ind w:left="284"/>
            </w:pPr>
            <w:r>
              <w:t>Maquinista de segunda con cabotaje</w:t>
            </w:r>
          </w:p>
        </w:tc>
        <w:tc>
          <w:tcPr>
            <w:tcW w:w="3480" w:type="dxa"/>
            <w:tcBorders>
              <w:top w:val="nil"/>
              <w:bottom w:val="nil"/>
            </w:tcBorders>
          </w:tcPr>
          <w:p w:rsidR="00000000" w:rsidRDefault="00000000">
            <w:pPr>
              <w:spacing w:after="120"/>
            </w:pPr>
            <w:r>
              <w:t>Salario mensual:  1.859.160</w:t>
            </w:r>
            <w:r>
              <w:br/>
              <w:t>Salario diario:  71.506</w:t>
            </w:r>
          </w:p>
        </w:tc>
      </w:tr>
      <w:tr w:rsidR="00000000">
        <w:trPr>
          <w:trHeight w:val="150"/>
        </w:trPr>
        <w:tc>
          <w:tcPr>
            <w:tcW w:w="5988" w:type="dxa"/>
            <w:tcBorders>
              <w:top w:val="nil"/>
              <w:bottom w:val="nil"/>
            </w:tcBorders>
          </w:tcPr>
          <w:p w:rsidR="00000000" w:rsidRDefault="00000000">
            <w:pPr>
              <w:ind w:left="284"/>
            </w:pPr>
            <w:r>
              <w:t>Maquinista de segunda sin cabotaje</w:t>
            </w:r>
          </w:p>
          <w:p w:rsidR="00000000" w:rsidRDefault="00000000">
            <w:pPr>
              <w:spacing w:after="120"/>
              <w:ind w:left="284"/>
            </w:pPr>
            <w:r>
              <w:t>Maquinista de tercera con cabotaje</w:t>
            </w:r>
          </w:p>
        </w:tc>
        <w:tc>
          <w:tcPr>
            <w:tcW w:w="3480" w:type="dxa"/>
            <w:tcBorders>
              <w:top w:val="nil"/>
              <w:bottom w:val="nil"/>
            </w:tcBorders>
          </w:tcPr>
          <w:p w:rsidR="00000000" w:rsidRDefault="00000000">
            <w:pPr>
              <w:spacing w:after="40"/>
            </w:pPr>
            <w:r>
              <w:t>Salario mensual:  1.503.598</w:t>
            </w:r>
          </w:p>
        </w:tc>
      </w:tr>
      <w:tr w:rsidR="00000000">
        <w:trPr>
          <w:trHeight w:val="150"/>
        </w:trPr>
        <w:tc>
          <w:tcPr>
            <w:tcW w:w="5988" w:type="dxa"/>
            <w:tcBorders>
              <w:top w:val="nil"/>
              <w:bottom w:val="nil"/>
            </w:tcBorders>
          </w:tcPr>
          <w:p w:rsidR="00000000" w:rsidRDefault="00000000">
            <w:pPr>
              <w:spacing w:after="120"/>
              <w:ind w:left="284"/>
            </w:pPr>
            <w:r>
              <w:t>Maquinista de tercera sin cabotaje</w:t>
            </w:r>
          </w:p>
        </w:tc>
        <w:tc>
          <w:tcPr>
            <w:tcW w:w="3480" w:type="dxa"/>
            <w:tcBorders>
              <w:top w:val="nil"/>
              <w:bottom w:val="nil"/>
            </w:tcBorders>
          </w:tcPr>
          <w:p w:rsidR="00000000" w:rsidRDefault="00000000">
            <w:pPr>
              <w:spacing w:after="120"/>
            </w:pPr>
            <w:r>
              <w:t>Salario mensual:  1.491.318</w:t>
            </w:r>
          </w:p>
        </w:tc>
      </w:tr>
      <w:tr w:rsidR="00000000">
        <w:trPr>
          <w:trHeight w:val="150"/>
        </w:trPr>
        <w:tc>
          <w:tcPr>
            <w:tcW w:w="5988" w:type="dxa"/>
            <w:tcBorders>
              <w:top w:val="nil"/>
              <w:bottom w:val="nil"/>
            </w:tcBorders>
          </w:tcPr>
          <w:p w:rsidR="00000000" w:rsidRDefault="00000000">
            <w:pPr>
              <w:spacing w:after="120"/>
              <w:ind w:left="284"/>
            </w:pPr>
            <w:r>
              <w:t>Maquinista de cuarta con cabotaje</w:t>
            </w:r>
          </w:p>
        </w:tc>
        <w:tc>
          <w:tcPr>
            <w:tcW w:w="3480" w:type="dxa"/>
            <w:tcBorders>
              <w:top w:val="nil"/>
              <w:bottom w:val="nil"/>
            </w:tcBorders>
          </w:tcPr>
          <w:p w:rsidR="00000000" w:rsidRDefault="00000000">
            <w:pPr>
              <w:spacing w:after="120"/>
            </w:pPr>
            <w:r>
              <w:t>Salario mensual:  1.479.481</w:t>
            </w:r>
          </w:p>
        </w:tc>
      </w:tr>
      <w:tr w:rsidR="00000000">
        <w:trPr>
          <w:trHeight w:val="150"/>
        </w:trPr>
        <w:tc>
          <w:tcPr>
            <w:tcW w:w="5988" w:type="dxa"/>
            <w:tcBorders>
              <w:top w:val="nil"/>
              <w:bottom w:val="single" w:sz="4" w:space="0" w:color="auto"/>
            </w:tcBorders>
          </w:tcPr>
          <w:p w:rsidR="00000000" w:rsidRDefault="00000000">
            <w:pPr>
              <w:ind w:left="284"/>
            </w:pPr>
            <w:r>
              <w:t>Maquinista de cuarta sin cabotaje</w:t>
            </w:r>
          </w:p>
        </w:tc>
        <w:tc>
          <w:tcPr>
            <w:tcW w:w="3480" w:type="dxa"/>
            <w:tcBorders>
              <w:top w:val="nil"/>
              <w:bottom w:val="single" w:sz="4" w:space="0" w:color="auto"/>
            </w:tcBorders>
          </w:tcPr>
          <w:p w:rsidR="00000000" w:rsidRDefault="00000000">
            <w:r>
              <w:t>Salario mensual:  1.448.517</w:t>
            </w:r>
          </w:p>
        </w:tc>
      </w:tr>
      <w:tr w:rsidR="00000000">
        <w:trPr>
          <w:trHeight w:val="150"/>
        </w:trPr>
        <w:tc>
          <w:tcPr>
            <w:tcW w:w="5988" w:type="dxa"/>
            <w:tcBorders>
              <w:top w:val="single" w:sz="4" w:space="0" w:color="auto"/>
              <w:bottom w:val="nil"/>
            </w:tcBorders>
          </w:tcPr>
          <w:p w:rsidR="00000000" w:rsidRDefault="00000000">
            <w:pPr>
              <w:spacing w:after="120"/>
            </w:pPr>
            <w:r>
              <w:t>Centro de conductores navales</w:t>
            </w:r>
          </w:p>
        </w:tc>
        <w:tc>
          <w:tcPr>
            <w:tcW w:w="3480" w:type="dxa"/>
            <w:tcBorders>
              <w:top w:val="single" w:sz="4" w:space="0" w:color="auto"/>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spacing w:after="120"/>
              <w:ind w:left="284"/>
            </w:pPr>
            <w:r>
              <w:t>Conductor de primera con cabotaje</w:t>
            </w:r>
          </w:p>
        </w:tc>
        <w:tc>
          <w:tcPr>
            <w:tcW w:w="3480" w:type="dxa"/>
            <w:tcBorders>
              <w:top w:val="nil"/>
              <w:bottom w:val="nil"/>
            </w:tcBorders>
          </w:tcPr>
          <w:p w:rsidR="00000000" w:rsidRDefault="00000000">
            <w:pPr>
              <w:spacing w:after="120"/>
            </w:pPr>
            <w:r>
              <w:t>Salario mensual:  1.479.933</w:t>
            </w:r>
          </w:p>
        </w:tc>
      </w:tr>
      <w:tr w:rsidR="00000000">
        <w:trPr>
          <w:trHeight w:val="150"/>
        </w:trPr>
        <w:tc>
          <w:tcPr>
            <w:tcW w:w="5988" w:type="dxa"/>
            <w:tcBorders>
              <w:top w:val="nil"/>
              <w:bottom w:val="nil"/>
            </w:tcBorders>
          </w:tcPr>
          <w:p w:rsidR="00000000" w:rsidRDefault="00000000">
            <w:pPr>
              <w:spacing w:after="120"/>
              <w:ind w:left="284"/>
            </w:pPr>
            <w:r>
              <w:t>Conductor de primera sin cabotaje</w:t>
            </w:r>
          </w:p>
        </w:tc>
        <w:tc>
          <w:tcPr>
            <w:tcW w:w="3480" w:type="dxa"/>
            <w:tcBorders>
              <w:top w:val="nil"/>
              <w:bottom w:val="nil"/>
            </w:tcBorders>
          </w:tcPr>
          <w:p w:rsidR="00000000" w:rsidRDefault="00000000">
            <w:pPr>
              <w:spacing w:after="120"/>
            </w:pPr>
            <w:r>
              <w:t>Salario mensual:  1.475.835</w:t>
            </w:r>
          </w:p>
        </w:tc>
      </w:tr>
      <w:tr w:rsidR="00000000">
        <w:trPr>
          <w:trHeight w:val="150"/>
        </w:trPr>
        <w:tc>
          <w:tcPr>
            <w:tcW w:w="5988" w:type="dxa"/>
            <w:tcBorders>
              <w:top w:val="nil"/>
              <w:bottom w:val="nil"/>
            </w:tcBorders>
          </w:tcPr>
          <w:p w:rsidR="00000000" w:rsidRDefault="00000000">
            <w:pPr>
              <w:spacing w:after="120"/>
              <w:ind w:left="284"/>
            </w:pPr>
            <w:r>
              <w:t>Conductor de segunda con cabotaje</w:t>
            </w:r>
          </w:p>
        </w:tc>
        <w:tc>
          <w:tcPr>
            <w:tcW w:w="3480" w:type="dxa"/>
            <w:tcBorders>
              <w:top w:val="nil"/>
              <w:bottom w:val="nil"/>
            </w:tcBorders>
          </w:tcPr>
          <w:p w:rsidR="00000000" w:rsidRDefault="00000000">
            <w:pPr>
              <w:spacing w:after="120"/>
            </w:pPr>
            <w:r>
              <w:t>Salario mensual:  1.442.343</w:t>
            </w:r>
          </w:p>
        </w:tc>
      </w:tr>
      <w:tr w:rsidR="00000000">
        <w:trPr>
          <w:trHeight w:val="150"/>
        </w:trPr>
        <w:tc>
          <w:tcPr>
            <w:tcW w:w="5988" w:type="dxa"/>
            <w:tcBorders>
              <w:top w:val="nil"/>
              <w:bottom w:val="nil"/>
            </w:tcBorders>
          </w:tcPr>
          <w:p w:rsidR="00000000" w:rsidRDefault="00000000">
            <w:pPr>
              <w:spacing w:after="120"/>
              <w:ind w:left="284"/>
            </w:pPr>
            <w:r>
              <w:t>Conductor de segunda sin cabotaje</w:t>
            </w:r>
          </w:p>
        </w:tc>
        <w:tc>
          <w:tcPr>
            <w:tcW w:w="3480" w:type="dxa"/>
            <w:tcBorders>
              <w:top w:val="nil"/>
              <w:bottom w:val="nil"/>
            </w:tcBorders>
          </w:tcPr>
          <w:p w:rsidR="00000000" w:rsidRDefault="00000000">
            <w:pPr>
              <w:spacing w:after="120"/>
            </w:pPr>
            <w:r>
              <w:t>Salario mensual:  1.344.167</w:t>
            </w:r>
          </w:p>
        </w:tc>
      </w:tr>
      <w:tr w:rsidR="00000000">
        <w:trPr>
          <w:trHeight w:val="150"/>
        </w:trPr>
        <w:tc>
          <w:tcPr>
            <w:tcW w:w="5988" w:type="dxa"/>
            <w:tcBorders>
              <w:top w:val="nil"/>
              <w:bottom w:val="nil"/>
            </w:tcBorders>
          </w:tcPr>
          <w:p w:rsidR="00000000" w:rsidRDefault="00000000">
            <w:pPr>
              <w:spacing w:after="120"/>
              <w:ind w:left="284"/>
            </w:pPr>
            <w:r>
              <w:t>Conductor de tercera con cabotaje</w:t>
            </w:r>
          </w:p>
        </w:tc>
        <w:tc>
          <w:tcPr>
            <w:tcW w:w="3480" w:type="dxa"/>
            <w:tcBorders>
              <w:top w:val="nil"/>
              <w:bottom w:val="nil"/>
            </w:tcBorders>
          </w:tcPr>
          <w:p w:rsidR="00000000" w:rsidRDefault="00000000">
            <w:pPr>
              <w:spacing w:after="120"/>
            </w:pPr>
            <w:r>
              <w:t>Salario mensual:  1.302.571</w:t>
            </w:r>
          </w:p>
        </w:tc>
      </w:tr>
      <w:tr w:rsidR="00000000">
        <w:trPr>
          <w:trHeight w:val="150"/>
        </w:trPr>
        <w:tc>
          <w:tcPr>
            <w:tcW w:w="5988" w:type="dxa"/>
            <w:tcBorders>
              <w:top w:val="nil"/>
              <w:bottom w:val="nil"/>
            </w:tcBorders>
          </w:tcPr>
          <w:p w:rsidR="00000000" w:rsidRDefault="00000000">
            <w:pPr>
              <w:spacing w:after="120"/>
              <w:ind w:left="284"/>
            </w:pPr>
            <w:r>
              <w:t>Conductor de tercera sin cabotaje</w:t>
            </w:r>
          </w:p>
        </w:tc>
        <w:tc>
          <w:tcPr>
            <w:tcW w:w="3480" w:type="dxa"/>
            <w:tcBorders>
              <w:top w:val="nil"/>
              <w:bottom w:val="nil"/>
            </w:tcBorders>
          </w:tcPr>
          <w:p w:rsidR="00000000" w:rsidRDefault="00000000">
            <w:pPr>
              <w:spacing w:after="120"/>
            </w:pPr>
            <w:r>
              <w:t>Salario mensual:  1.302.571</w:t>
            </w:r>
          </w:p>
        </w:tc>
      </w:tr>
      <w:tr w:rsidR="00000000">
        <w:trPr>
          <w:trHeight w:val="150"/>
        </w:trPr>
        <w:tc>
          <w:tcPr>
            <w:tcW w:w="5988" w:type="dxa"/>
            <w:tcBorders>
              <w:top w:val="nil"/>
              <w:bottom w:val="single" w:sz="4" w:space="0" w:color="auto"/>
            </w:tcBorders>
          </w:tcPr>
          <w:p w:rsidR="00000000" w:rsidRDefault="00000000">
            <w:pPr>
              <w:ind w:left="284"/>
            </w:pPr>
            <w:r>
              <w:t>Conductor a vapor</w:t>
            </w:r>
          </w:p>
        </w:tc>
        <w:tc>
          <w:tcPr>
            <w:tcW w:w="3480" w:type="dxa"/>
            <w:tcBorders>
              <w:top w:val="nil"/>
              <w:bottom w:val="single" w:sz="4" w:space="0" w:color="auto"/>
            </w:tcBorders>
          </w:tcPr>
          <w:p w:rsidR="00000000" w:rsidRDefault="00000000">
            <w:r>
              <w:t>Salario mensual:  1.301.522</w:t>
            </w:r>
          </w:p>
        </w:tc>
      </w:tr>
      <w:tr w:rsidR="00000000">
        <w:trPr>
          <w:trHeight w:val="150"/>
        </w:trPr>
        <w:tc>
          <w:tcPr>
            <w:tcW w:w="5988" w:type="dxa"/>
            <w:tcBorders>
              <w:top w:val="single" w:sz="4" w:space="0" w:color="auto"/>
              <w:bottom w:val="nil"/>
            </w:tcBorders>
          </w:tcPr>
          <w:p w:rsidR="00000000" w:rsidRDefault="00000000">
            <w:pPr>
              <w:keepNext/>
              <w:spacing w:after="120"/>
            </w:pPr>
            <w:r>
              <w:t>Foguistas fluviales</w:t>
            </w:r>
          </w:p>
        </w:tc>
        <w:tc>
          <w:tcPr>
            <w:tcW w:w="3480" w:type="dxa"/>
            <w:tcBorders>
              <w:top w:val="single" w:sz="4" w:space="0" w:color="auto"/>
              <w:bottom w:val="nil"/>
            </w:tcBorders>
          </w:tcPr>
          <w:p w:rsidR="00000000" w:rsidRDefault="00000000">
            <w:pPr>
              <w:keepNext/>
              <w:spacing w:after="120"/>
            </w:pPr>
          </w:p>
        </w:tc>
      </w:tr>
      <w:tr w:rsidR="00000000">
        <w:trPr>
          <w:trHeight w:val="150"/>
        </w:trPr>
        <w:tc>
          <w:tcPr>
            <w:tcW w:w="5988" w:type="dxa"/>
            <w:tcBorders>
              <w:top w:val="nil"/>
              <w:bottom w:val="nil"/>
            </w:tcBorders>
          </w:tcPr>
          <w:p w:rsidR="00000000" w:rsidRDefault="00000000">
            <w:pPr>
              <w:spacing w:after="120"/>
              <w:ind w:left="284"/>
            </w:pPr>
            <w:r>
              <w:t>Cabo foguista</w:t>
            </w:r>
          </w:p>
        </w:tc>
        <w:tc>
          <w:tcPr>
            <w:tcW w:w="3480" w:type="dxa"/>
            <w:tcBorders>
              <w:top w:val="nil"/>
              <w:bottom w:val="nil"/>
            </w:tcBorders>
          </w:tcPr>
          <w:p w:rsidR="00000000" w:rsidRDefault="00000000">
            <w:pPr>
              <w:spacing w:after="120"/>
            </w:pPr>
            <w:r>
              <w:t>Salario mensual:  1.294.434</w:t>
            </w:r>
          </w:p>
        </w:tc>
      </w:tr>
      <w:tr w:rsidR="00000000">
        <w:trPr>
          <w:cantSplit/>
          <w:trHeight w:val="150"/>
        </w:trPr>
        <w:tc>
          <w:tcPr>
            <w:tcW w:w="5988" w:type="dxa"/>
            <w:tcBorders>
              <w:top w:val="nil"/>
              <w:bottom w:val="nil"/>
            </w:tcBorders>
          </w:tcPr>
          <w:p w:rsidR="00000000" w:rsidRDefault="00000000">
            <w:pPr>
              <w:spacing w:after="120"/>
              <w:ind w:left="284"/>
            </w:pPr>
            <w:r>
              <w:t>Calderero</w:t>
            </w:r>
          </w:p>
        </w:tc>
        <w:tc>
          <w:tcPr>
            <w:tcW w:w="3480" w:type="dxa"/>
            <w:tcBorders>
              <w:top w:val="nil"/>
              <w:bottom w:val="nil"/>
            </w:tcBorders>
          </w:tcPr>
          <w:p w:rsidR="00000000" w:rsidRDefault="00000000">
            <w:pPr>
              <w:spacing w:after="120"/>
            </w:pPr>
            <w:r>
              <w:t>Salario mensual:  1.510.634</w:t>
            </w:r>
          </w:p>
        </w:tc>
      </w:tr>
      <w:tr w:rsidR="00000000">
        <w:trPr>
          <w:cantSplit/>
          <w:trHeight w:val="150"/>
        </w:trPr>
        <w:tc>
          <w:tcPr>
            <w:tcW w:w="5988" w:type="dxa"/>
            <w:tcBorders>
              <w:top w:val="nil"/>
              <w:bottom w:val="nil"/>
            </w:tcBorders>
          </w:tcPr>
          <w:p w:rsidR="00000000" w:rsidRDefault="00000000">
            <w:pPr>
              <w:spacing w:after="120"/>
              <w:ind w:left="284"/>
            </w:pPr>
            <w:r>
              <w:t>Foguista</w:t>
            </w:r>
          </w:p>
        </w:tc>
        <w:tc>
          <w:tcPr>
            <w:tcW w:w="3480" w:type="dxa"/>
            <w:tcBorders>
              <w:top w:val="nil"/>
              <w:bottom w:val="nil"/>
            </w:tcBorders>
          </w:tcPr>
          <w:p w:rsidR="00000000" w:rsidRDefault="00000000">
            <w:pPr>
              <w:spacing w:after="120"/>
            </w:pPr>
            <w:r>
              <w:t>Salario mensual:  1.279.440</w:t>
            </w:r>
          </w:p>
        </w:tc>
      </w:tr>
      <w:tr w:rsidR="00000000">
        <w:trPr>
          <w:trHeight w:val="150"/>
        </w:trPr>
        <w:tc>
          <w:tcPr>
            <w:tcW w:w="5988" w:type="dxa"/>
            <w:tcBorders>
              <w:top w:val="nil"/>
              <w:bottom w:val="nil"/>
            </w:tcBorders>
          </w:tcPr>
          <w:p w:rsidR="00000000" w:rsidRDefault="00000000">
            <w:pPr>
              <w:spacing w:after="120"/>
              <w:ind w:left="284"/>
            </w:pPr>
            <w:r>
              <w:t>Engrasador</w:t>
            </w:r>
          </w:p>
        </w:tc>
        <w:tc>
          <w:tcPr>
            <w:tcW w:w="3480" w:type="dxa"/>
            <w:tcBorders>
              <w:top w:val="nil"/>
              <w:bottom w:val="nil"/>
            </w:tcBorders>
          </w:tcPr>
          <w:p w:rsidR="00000000" w:rsidRDefault="00000000">
            <w:pPr>
              <w:spacing w:after="120"/>
            </w:pPr>
            <w:r>
              <w:t>Salario mensual:  1.229.021</w:t>
            </w:r>
          </w:p>
        </w:tc>
      </w:tr>
      <w:tr w:rsidR="00000000">
        <w:trPr>
          <w:trHeight w:val="150"/>
        </w:trPr>
        <w:tc>
          <w:tcPr>
            <w:tcW w:w="5988" w:type="dxa"/>
            <w:tcBorders>
              <w:top w:val="nil"/>
              <w:bottom w:val="nil"/>
            </w:tcBorders>
          </w:tcPr>
          <w:p w:rsidR="00000000" w:rsidRDefault="00000000">
            <w:pPr>
              <w:spacing w:after="120"/>
              <w:ind w:left="284"/>
            </w:pPr>
            <w:r>
              <w:t>Carbonero</w:t>
            </w:r>
          </w:p>
        </w:tc>
        <w:tc>
          <w:tcPr>
            <w:tcW w:w="3480" w:type="dxa"/>
            <w:tcBorders>
              <w:top w:val="nil"/>
              <w:bottom w:val="nil"/>
            </w:tcBorders>
          </w:tcPr>
          <w:p w:rsidR="00000000" w:rsidRDefault="00000000">
            <w:pPr>
              <w:spacing w:after="120"/>
            </w:pPr>
            <w:r>
              <w:t>Salario mensual:  1.229.021</w:t>
            </w:r>
          </w:p>
        </w:tc>
      </w:tr>
      <w:tr w:rsidR="00000000">
        <w:trPr>
          <w:trHeight w:val="150"/>
        </w:trPr>
        <w:tc>
          <w:tcPr>
            <w:tcW w:w="5988" w:type="dxa"/>
            <w:tcBorders>
              <w:top w:val="nil"/>
              <w:bottom w:val="nil"/>
            </w:tcBorders>
          </w:tcPr>
          <w:p w:rsidR="00000000" w:rsidRDefault="00000000">
            <w:pPr>
              <w:spacing w:after="120"/>
            </w:pPr>
            <w:r>
              <w:t>Centro naval de timoneles</w:t>
            </w:r>
          </w:p>
        </w:tc>
        <w:tc>
          <w:tcPr>
            <w:tcW w:w="3480" w:type="dxa"/>
            <w:tcBorders>
              <w:top w:val="nil"/>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spacing w:after="120"/>
              <w:ind w:left="284"/>
            </w:pPr>
            <w:r>
              <w:t>Timoneles</w:t>
            </w:r>
          </w:p>
        </w:tc>
        <w:tc>
          <w:tcPr>
            <w:tcW w:w="3480" w:type="dxa"/>
            <w:tcBorders>
              <w:top w:val="nil"/>
              <w:bottom w:val="nil"/>
            </w:tcBorders>
          </w:tcPr>
          <w:p w:rsidR="00000000" w:rsidRDefault="00000000">
            <w:pPr>
              <w:spacing w:after="120"/>
            </w:pPr>
            <w:r>
              <w:t>Salario mensual:  1.226.271</w:t>
            </w:r>
          </w:p>
        </w:tc>
      </w:tr>
      <w:tr w:rsidR="00000000">
        <w:trPr>
          <w:trHeight w:val="150"/>
        </w:trPr>
        <w:tc>
          <w:tcPr>
            <w:tcW w:w="5988" w:type="dxa"/>
            <w:tcBorders>
              <w:top w:val="nil"/>
              <w:bottom w:val="nil"/>
            </w:tcBorders>
          </w:tcPr>
          <w:p w:rsidR="00000000" w:rsidRDefault="00000000">
            <w:pPr>
              <w:spacing w:after="120"/>
            </w:pPr>
            <w:r>
              <w:t>Centro de patrones de tercera y patrones timoneles</w:t>
            </w:r>
          </w:p>
        </w:tc>
        <w:tc>
          <w:tcPr>
            <w:tcW w:w="3480" w:type="dxa"/>
            <w:tcBorders>
              <w:top w:val="nil"/>
              <w:bottom w:val="nil"/>
            </w:tcBorders>
          </w:tcPr>
          <w:p w:rsidR="00000000" w:rsidRDefault="00000000">
            <w:pPr>
              <w:spacing w:after="120"/>
            </w:pPr>
          </w:p>
        </w:tc>
      </w:tr>
      <w:tr w:rsidR="00000000">
        <w:trPr>
          <w:trHeight w:val="150"/>
        </w:trPr>
        <w:tc>
          <w:tcPr>
            <w:tcW w:w="5988" w:type="dxa"/>
            <w:tcBorders>
              <w:top w:val="nil"/>
              <w:bottom w:val="nil"/>
            </w:tcBorders>
            <w:vAlign w:val="center"/>
          </w:tcPr>
          <w:p w:rsidR="00000000" w:rsidRDefault="00000000">
            <w:pPr>
              <w:spacing w:after="120"/>
              <w:ind w:left="284"/>
            </w:pPr>
            <w:r>
              <w:t>Patrones de tercera</w:t>
            </w:r>
          </w:p>
        </w:tc>
        <w:tc>
          <w:tcPr>
            <w:tcW w:w="3480" w:type="dxa"/>
            <w:tcBorders>
              <w:top w:val="nil"/>
              <w:bottom w:val="nil"/>
            </w:tcBorders>
          </w:tcPr>
          <w:p w:rsidR="00000000" w:rsidRDefault="00000000">
            <w:pPr>
              <w:spacing w:after="120"/>
            </w:pPr>
            <w:r>
              <w:t>Salario mensual:  1.226.271</w:t>
            </w:r>
          </w:p>
        </w:tc>
      </w:tr>
      <w:tr w:rsidR="00000000">
        <w:trPr>
          <w:trHeight w:val="150"/>
        </w:trPr>
        <w:tc>
          <w:tcPr>
            <w:tcW w:w="5988" w:type="dxa"/>
            <w:tcBorders>
              <w:top w:val="nil"/>
              <w:bottom w:val="nil"/>
            </w:tcBorders>
          </w:tcPr>
          <w:p w:rsidR="00000000" w:rsidRDefault="00000000">
            <w:pPr>
              <w:spacing w:after="120"/>
              <w:ind w:left="284"/>
            </w:pPr>
            <w:r>
              <w:t>Patrón timonel</w:t>
            </w:r>
          </w:p>
        </w:tc>
        <w:tc>
          <w:tcPr>
            <w:tcW w:w="3480" w:type="dxa"/>
            <w:tcBorders>
              <w:top w:val="nil"/>
              <w:bottom w:val="nil"/>
            </w:tcBorders>
          </w:tcPr>
          <w:p w:rsidR="00000000" w:rsidRDefault="00000000">
            <w:pPr>
              <w:spacing w:after="120"/>
            </w:pPr>
            <w:r>
              <w:t>Salario mensual:  1.219.795</w:t>
            </w:r>
          </w:p>
        </w:tc>
      </w:tr>
      <w:tr w:rsidR="00000000">
        <w:trPr>
          <w:trHeight w:val="150"/>
        </w:trPr>
        <w:tc>
          <w:tcPr>
            <w:tcW w:w="5988" w:type="dxa"/>
            <w:tcBorders>
              <w:top w:val="nil"/>
              <w:bottom w:val="nil"/>
            </w:tcBorders>
          </w:tcPr>
          <w:p w:rsidR="00000000" w:rsidRDefault="00000000">
            <w:pPr>
              <w:spacing w:after="120"/>
            </w:pPr>
            <w:r>
              <w:t>Centro de patrones de segunda clase</w:t>
            </w:r>
          </w:p>
        </w:tc>
        <w:tc>
          <w:tcPr>
            <w:tcW w:w="3480" w:type="dxa"/>
            <w:tcBorders>
              <w:top w:val="nil"/>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spacing w:after="120"/>
              <w:ind w:left="284"/>
            </w:pPr>
            <w:r>
              <w:t>Patrones de segunda clase</w:t>
            </w:r>
          </w:p>
        </w:tc>
        <w:tc>
          <w:tcPr>
            <w:tcW w:w="3480" w:type="dxa"/>
            <w:tcBorders>
              <w:top w:val="nil"/>
              <w:bottom w:val="nil"/>
            </w:tcBorders>
          </w:tcPr>
          <w:p w:rsidR="00000000" w:rsidRDefault="00000000">
            <w:pPr>
              <w:spacing w:after="120"/>
            </w:pPr>
            <w:r>
              <w:t>Salario mensual:  1.219.795</w:t>
            </w:r>
          </w:p>
        </w:tc>
      </w:tr>
      <w:tr w:rsidR="00000000">
        <w:trPr>
          <w:trHeight w:val="150"/>
        </w:trPr>
        <w:tc>
          <w:tcPr>
            <w:tcW w:w="5988" w:type="dxa"/>
            <w:tcBorders>
              <w:top w:val="nil"/>
              <w:bottom w:val="nil"/>
            </w:tcBorders>
          </w:tcPr>
          <w:p w:rsidR="00000000" w:rsidRDefault="00000000">
            <w:pPr>
              <w:spacing w:after="120"/>
            </w:pPr>
            <w:r>
              <w:t>Capitanes y prácticos de cabotaje nacional</w:t>
            </w:r>
          </w:p>
        </w:tc>
        <w:tc>
          <w:tcPr>
            <w:tcW w:w="3480" w:type="dxa"/>
            <w:tcBorders>
              <w:top w:val="nil"/>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ind w:left="284"/>
            </w:pPr>
            <w:r>
              <w:t>Capitanes</w:t>
            </w:r>
          </w:p>
          <w:p w:rsidR="00000000" w:rsidRDefault="00000000">
            <w:pPr>
              <w:ind w:left="284"/>
            </w:pPr>
            <w:r>
              <w:t>Prácticos</w:t>
            </w:r>
          </w:p>
          <w:p w:rsidR="00000000" w:rsidRDefault="00000000">
            <w:pPr>
              <w:spacing w:after="120"/>
              <w:ind w:left="284"/>
            </w:pPr>
            <w:r>
              <w:t>Estibadores</w:t>
            </w:r>
          </w:p>
        </w:tc>
        <w:tc>
          <w:tcPr>
            <w:tcW w:w="3480" w:type="dxa"/>
            <w:tcBorders>
              <w:top w:val="nil"/>
              <w:bottom w:val="nil"/>
            </w:tcBorders>
          </w:tcPr>
          <w:p w:rsidR="00000000" w:rsidRDefault="00000000">
            <w:pPr>
              <w:spacing w:after="120"/>
            </w:pPr>
            <w:r>
              <w:t>Salario mensual:  1.303.363</w:t>
            </w:r>
          </w:p>
        </w:tc>
      </w:tr>
      <w:tr w:rsidR="00000000">
        <w:trPr>
          <w:trHeight w:val="150"/>
        </w:trPr>
        <w:tc>
          <w:tcPr>
            <w:tcW w:w="5988" w:type="dxa"/>
            <w:tcBorders>
              <w:top w:val="nil"/>
              <w:bottom w:val="nil"/>
            </w:tcBorders>
          </w:tcPr>
          <w:p w:rsidR="00000000" w:rsidRDefault="00000000">
            <w:pPr>
              <w:spacing w:after="120"/>
            </w:pPr>
            <w:r>
              <w:t>Marineros en cubierta</w:t>
            </w:r>
          </w:p>
        </w:tc>
        <w:tc>
          <w:tcPr>
            <w:tcW w:w="3480" w:type="dxa"/>
            <w:tcBorders>
              <w:top w:val="nil"/>
              <w:bottom w:val="nil"/>
            </w:tcBorders>
          </w:tcPr>
          <w:p w:rsidR="00000000" w:rsidRDefault="00000000">
            <w:pPr>
              <w:spacing w:after="120"/>
            </w:pPr>
            <w:r>
              <w:t>Salario mensual: G. 1.314.019</w:t>
            </w:r>
          </w:p>
          <w:p w:rsidR="00000000" w:rsidRDefault="00000000">
            <w:pPr>
              <w:spacing w:after="120"/>
            </w:pPr>
            <w:r>
              <w:t>Salario mensual: G. 1.432.333</w:t>
            </w:r>
          </w:p>
          <w:p w:rsidR="00000000" w:rsidRDefault="00000000">
            <w:pPr>
              <w:spacing w:after="120"/>
            </w:pPr>
            <w:r>
              <w:t>Salario mensual: G. 1.620.123</w:t>
            </w:r>
          </w:p>
          <w:p w:rsidR="00000000" w:rsidRDefault="00000000">
            <w:pPr>
              <w:spacing w:after="120"/>
            </w:pPr>
            <w:r>
              <w:t>Salario mensual: G. 1.559.059</w:t>
            </w:r>
          </w:p>
          <w:p w:rsidR="00000000" w:rsidRDefault="00000000">
            <w:r>
              <w:t>Salario mensual: G. 1.250.387</w:t>
            </w:r>
          </w:p>
          <w:p w:rsidR="00000000" w:rsidRDefault="00000000">
            <w:pPr>
              <w:spacing w:after="120"/>
            </w:pPr>
            <w:r>
              <w:t>Salario por día: G. 48.092</w:t>
            </w:r>
          </w:p>
          <w:p w:rsidR="00000000" w:rsidRDefault="00000000">
            <w:r>
              <w:t>Salario mensual: G. 1.219.795</w:t>
            </w:r>
          </w:p>
        </w:tc>
      </w:tr>
      <w:tr w:rsidR="00000000">
        <w:trPr>
          <w:trHeight w:val="150"/>
        </w:trPr>
        <w:tc>
          <w:tcPr>
            <w:tcW w:w="5988" w:type="dxa"/>
            <w:tcBorders>
              <w:top w:val="nil"/>
              <w:bottom w:val="nil"/>
            </w:tcBorders>
          </w:tcPr>
          <w:p w:rsidR="00000000" w:rsidRDefault="00000000">
            <w:pPr>
              <w:spacing w:after="120"/>
            </w:pPr>
            <w:r>
              <w:t>Cocinero terrestres</w:t>
            </w:r>
          </w:p>
        </w:tc>
        <w:tc>
          <w:tcPr>
            <w:tcW w:w="3480" w:type="dxa"/>
            <w:tcBorders>
              <w:top w:val="nil"/>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spacing w:after="120"/>
              <w:ind w:left="284"/>
            </w:pPr>
            <w:r>
              <w:t>Primer cocinero</w:t>
            </w:r>
          </w:p>
        </w:tc>
        <w:tc>
          <w:tcPr>
            <w:tcW w:w="3480" w:type="dxa"/>
            <w:tcBorders>
              <w:top w:val="nil"/>
              <w:bottom w:val="nil"/>
            </w:tcBorders>
          </w:tcPr>
          <w:p w:rsidR="00000000" w:rsidRDefault="00000000">
            <w:pPr>
              <w:spacing w:after="120"/>
            </w:pPr>
            <w:r>
              <w:t>Salario mensual:  1.271.797</w:t>
            </w:r>
          </w:p>
        </w:tc>
      </w:tr>
      <w:tr w:rsidR="00000000">
        <w:trPr>
          <w:trHeight w:val="150"/>
        </w:trPr>
        <w:tc>
          <w:tcPr>
            <w:tcW w:w="5988" w:type="dxa"/>
            <w:tcBorders>
              <w:top w:val="nil"/>
              <w:bottom w:val="nil"/>
            </w:tcBorders>
          </w:tcPr>
          <w:p w:rsidR="00000000" w:rsidRDefault="00000000">
            <w:pPr>
              <w:spacing w:after="120"/>
              <w:ind w:left="284"/>
            </w:pPr>
            <w:r>
              <w:t>Segundo cocinero</w:t>
            </w:r>
          </w:p>
        </w:tc>
        <w:tc>
          <w:tcPr>
            <w:tcW w:w="3480" w:type="dxa"/>
            <w:tcBorders>
              <w:top w:val="nil"/>
              <w:bottom w:val="nil"/>
            </w:tcBorders>
          </w:tcPr>
          <w:p w:rsidR="00000000" w:rsidRDefault="00000000">
            <w:pPr>
              <w:spacing w:after="120"/>
            </w:pPr>
            <w:r>
              <w:t>Salario mensual:  1.238.345</w:t>
            </w:r>
          </w:p>
        </w:tc>
      </w:tr>
      <w:tr w:rsidR="00000000">
        <w:trPr>
          <w:trHeight w:val="150"/>
        </w:trPr>
        <w:tc>
          <w:tcPr>
            <w:tcW w:w="5988" w:type="dxa"/>
            <w:tcBorders>
              <w:top w:val="nil"/>
              <w:bottom w:val="nil"/>
            </w:tcBorders>
          </w:tcPr>
          <w:p w:rsidR="00000000" w:rsidRDefault="00000000">
            <w:pPr>
              <w:spacing w:after="120"/>
              <w:ind w:left="284"/>
            </w:pPr>
            <w:r>
              <w:t>Ayudante de cocina</w:t>
            </w:r>
          </w:p>
        </w:tc>
        <w:tc>
          <w:tcPr>
            <w:tcW w:w="3480" w:type="dxa"/>
            <w:tcBorders>
              <w:top w:val="nil"/>
              <w:bottom w:val="nil"/>
            </w:tcBorders>
          </w:tcPr>
          <w:p w:rsidR="00000000" w:rsidRDefault="00000000">
            <w:pPr>
              <w:spacing w:after="120"/>
            </w:pPr>
            <w:r>
              <w:t>Salario mensual:  1.219.795</w:t>
            </w:r>
          </w:p>
        </w:tc>
      </w:tr>
      <w:tr w:rsidR="00000000">
        <w:trPr>
          <w:trHeight w:val="150"/>
        </w:trPr>
        <w:tc>
          <w:tcPr>
            <w:tcW w:w="5988" w:type="dxa"/>
            <w:tcBorders>
              <w:top w:val="nil"/>
              <w:bottom w:val="nil"/>
            </w:tcBorders>
          </w:tcPr>
          <w:p w:rsidR="00000000" w:rsidRDefault="00000000">
            <w:pPr>
              <w:spacing w:after="120"/>
            </w:pPr>
            <w:r>
              <w:t>Mozos a bordo</w:t>
            </w:r>
          </w:p>
        </w:tc>
        <w:tc>
          <w:tcPr>
            <w:tcW w:w="3480" w:type="dxa"/>
            <w:tcBorders>
              <w:top w:val="nil"/>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spacing w:after="120"/>
              <w:ind w:left="284"/>
            </w:pPr>
            <w:r>
              <w:t>Mayordomo</w:t>
            </w:r>
          </w:p>
        </w:tc>
        <w:tc>
          <w:tcPr>
            <w:tcW w:w="3480" w:type="dxa"/>
            <w:tcBorders>
              <w:top w:val="nil"/>
              <w:bottom w:val="nil"/>
            </w:tcBorders>
          </w:tcPr>
          <w:p w:rsidR="00000000" w:rsidRDefault="00000000">
            <w:pPr>
              <w:spacing w:after="120"/>
            </w:pPr>
            <w:r>
              <w:t>Salario mensual:  1.274.003</w:t>
            </w:r>
          </w:p>
        </w:tc>
      </w:tr>
      <w:tr w:rsidR="00000000">
        <w:trPr>
          <w:trHeight w:val="150"/>
        </w:trPr>
        <w:tc>
          <w:tcPr>
            <w:tcW w:w="5988" w:type="dxa"/>
            <w:tcBorders>
              <w:top w:val="nil"/>
              <w:bottom w:val="single" w:sz="4" w:space="0" w:color="auto"/>
            </w:tcBorders>
          </w:tcPr>
          <w:p w:rsidR="00000000" w:rsidRDefault="00000000">
            <w:pPr>
              <w:ind w:left="284"/>
            </w:pPr>
            <w:r>
              <w:t>Primer mozo</w:t>
            </w:r>
          </w:p>
        </w:tc>
        <w:tc>
          <w:tcPr>
            <w:tcW w:w="3480" w:type="dxa"/>
            <w:tcBorders>
              <w:top w:val="nil"/>
              <w:bottom w:val="single" w:sz="4" w:space="0" w:color="auto"/>
            </w:tcBorders>
          </w:tcPr>
          <w:p w:rsidR="00000000" w:rsidRDefault="00000000">
            <w:r>
              <w:t>Salario mensual:  1.256.928</w:t>
            </w:r>
          </w:p>
        </w:tc>
      </w:tr>
      <w:tr w:rsidR="00000000">
        <w:trPr>
          <w:trHeight w:val="150"/>
        </w:trPr>
        <w:tc>
          <w:tcPr>
            <w:tcW w:w="5988" w:type="dxa"/>
            <w:tcBorders>
              <w:bottom w:val="nil"/>
            </w:tcBorders>
          </w:tcPr>
          <w:p w:rsidR="00000000" w:rsidRDefault="00000000">
            <w:pPr>
              <w:spacing w:after="120"/>
            </w:pPr>
            <w:r>
              <w:t>Mueblerías y carpinterías</w:t>
            </w:r>
          </w:p>
        </w:tc>
        <w:tc>
          <w:tcPr>
            <w:tcW w:w="3480" w:type="dxa"/>
            <w:tcBorders>
              <w:bottom w:val="nil"/>
            </w:tcBorders>
          </w:tcPr>
          <w:p w:rsidR="00000000" w:rsidRDefault="00000000">
            <w:pPr>
              <w:spacing w:after="120"/>
            </w:pPr>
          </w:p>
        </w:tc>
      </w:tr>
      <w:tr w:rsidR="00000000">
        <w:trPr>
          <w:trHeight w:val="150"/>
        </w:trPr>
        <w:tc>
          <w:tcPr>
            <w:tcW w:w="5988" w:type="dxa"/>
            <w:tcBorders>
              <w:top w:val="nil"/>
              <w:bottom w:val="single" w:sz="4" w:space="0" w:color="auto"/>
            </w:tcBorders>
          </w:tcPr>
          <w:p w:rsidR="00000000" w:rsidRDefault="00000000">
            <w:pPr>
              <w:spacing w:after="120"/>
              <w:ind w:left="284"/>
            </w:pPr>
            <w:r>
              <w:t>Oficial de primera</w:t>
            </w:r>
          </w:p>
        </w:tc>
        <w:tc>
          <w:tcPr>
            <w:tcW w:w="3480" w:type="dxa"/>
            <w:tcBorders>
              <w:top w:val="nil"/>
              <w:bottom w:val="single" w:sz="4" w:space="0" w:color="auto"/>
            </w:tcBorders>
          </w:tcPr>
          <w:p w:rsidR="00000000" w:rsidRDefault="00000000">
            <w:pPr>
              <w:spacing w:after="120"/>
            </w:pPr>
            <w:r>
              <w:t>Salario mensual:  1.345.254</w:t>
            </w:r>
            <w:r>
              <w:br/>
              <w:t>Salario diario:  51.741</w:t>
            </w:r>
          </w:p>
        </w:tc>
      </w:tr>
      <w:tr w:rsidR="00000000">
        <w:trPr>
          <w:trHeight w:val="150"/>
        </w:trPr>
        <w:tc>
          <w:tcPr>
            <w:tcW w:w="5988" w:type="dxa"/>
            <w:tcBorders>
              <w:top w:val="single" w:sz="4" w:space="0" w:color="auto"/>
              <w:bottom w:val="nil"/>
            </w:tcBorders>
          </w:tcPr>
          <w:p w:rsidR="00000000" w:rsidRDefault="00000000">
            <w:pPr>
              <w:spacing w:after="120"/>
              <w:ind w:left="284"/>
            </w:pPr>
            <w:r>
              <w:t>Oficial de segunda</w:t>
            </w:r>
          </w:p>
        </w:tc>
        <w:tc>
          <w:tcPr>
            <w:tcW w:w="3480" w:type="dxa"/>
            <w:tcBorders>
              <w:top w:val="single" w:sz="4" w:space="0" w:color="auto"/>
              <w:bottom w:val="nil"/>
            </w:tcBorders>
          </w:tcPr>
          <w:p w:rsidR="00000000" w:rsidRDefault="00000000">
            <w:pPr>
              <w:spacing w:after="120"/>
            </w:pPr>
            <w:r>
              <w:t>Salario mensual:  1.291.895</w:t>
            </w:r>
            <w:r>
              <w:br/>
              <w:t>Salario diario:  49.688</w:t>
            </w:r>
          </w:p>
        </w:tc>
      </w:tr>
      <w:tr w:rsidR="00000000">
        <w:trPr>
          <w:trHeight w:val="150"/>
        </w:trPr>
        <w:tc>
          <w:tcPr>
            <w:tcW w:w="5988" w:type="dxa"/>
            <w:tcBorders>
              <w:top w:val="nil"/>
              <w:bottom w:val="nil"/>
            </w:tcBorders>
          </w:tcPr>
          <w:p w:rsidR="00000000" w:rsidRDefault="00000000">
            <w:pPr>
              <w:spacing w:after="120"/>
              <w:ind w:left="284"/>
            </w:pPr>
            <w:r>
              <w:t>Medio oficial</w:t>
            </w:r>
          </w:p>
        </w:tc>
        <w:tc>
          <w:tcPr>
            <w:tcW w:w="3480" w:type="dxa"/>
            <w:tcBorders>
              <w:top w:val="nil"/>
              <w:bottom w:val="nil"/>
            </w:tcBorders>
          </w:tcPr>
          <w:p w:rsidR="00000000" w:rsidRDefault="00000000">
            <w:pPr>
              <w:spacing w:after="120"/>
            </w:pPr>
            <w:r>
              <w:t>Salario mensual:  1.267.506</w:t>
            </w:r>
            <w:r>
              <w:br/>
              <w:t>Salario diario:  48.750</w:t>
            </w:r>
          </w:p>
        </w:tc>
      </w:tr>
      <w:tr w:rsidR="00000000">
        <w:trPr>
          <w:trHeight w:val="150"/>
        </w:trPr>
        <w:tc>
          <w:tcPr>
            <w:tcW w:w="5988" w:type="dxa"/>
            <w:tcBorders>
              <w:top w:val="nil"/>
              <w:bottom w:val="single" w:sz="4" w:space="0" w:color="auto"/>
            </w:tcBorders>
          </w:tcPr>
          <w:p w:rsidR="00000000" w:rsidRDefault="00000000">
            <w:pPr>
              <w:spacing w:after="120"/>
              <w:ind w:left="284"/>
            </w:pPr>
            <w:r>
              <w:t>Ayudante</w:t>
            </w:r>
          </w:p>
        </w:tc>
        <w:tc>
          <w:tcPr>
            <w:tcW w:w="3480" w:type="dxa"/>
            <w:tcBorders>
              <w:top w:val="nil"/>
              <w:bottom w:val="single" w:sz="4" w:space="0" w:color="auto"/>
            </w:tcBorders>
          </w:tcPr>
          <w:p w:rsidR="00000000" w:rsidRDefault="00000000">
            <w:r>
              <w:t>Salario mensual:  1.233.617</w:t>
            </w:r>
            <w:r>
              <w:br/>
              <w:t>Salario diario:  47.447</w:t>
            </w:r>
          </w:p>
        </w:tc>
      </w:tr>
      <w:tr w:rsidR="00000000">
        <w:trPr>
          <w:trHeight w:val="150"/>
        </w:trPr>
        <w:tc>
          <w:tcPr>
            <w:tcW w:w="5988" w:type="dxa"/>
            <w:tcBorders>
              <w:bottom w:val="nil"/>
            </w:tcBorders>
          </w:tcPr>
          <w:p w:rsidR="00000000" w:rsidRDefault="00000000">
            <w:pPr>
              <w:spacing w:after="120"/>
            </w:pPr>
            <w:r>
              <w:t>Establecimientos fideeros automatizados</w:t>
            </w:r>
          </w:p>
        </w:tc>
        <w:tc>
          <w:tcPr>
            <w:tcW w:w="3480" w:type="dxa"/>
            <w:tcBorders>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spacing w:after="120"/>
              <w:ind w:left="284"/>
            </w:pPr>
            <w:r>
              <w:t>Maquinista</w:t>
            </w:r>
          </w:p>
        </w:tc>
        <w:tc>
          <w:tcPr>
            <w:tcW w:w="3480" w:type="dxa"/>
            <w:tcBorders>
              <w:top w:val="nil"/>
              <w:bottom w:val="nil"/>
            </w:tcBorders>
          </w:tcPr>
          <w:p w:rsidR="00000000" w:rsidRDefault="00000000">
            <w:pPr>
              <w:spacing w:after="120"/>
            </w:pPr>
            <w:r>
              <w:t>Salario mensual:  1.463.960</w:t>
            </w:r>
            <w:r>
              <w:br/>
              <w:t>Salario diario:  56.306</w:t>
            </w:r>
          </w:p>
        </w:tc>
      </w:tr>
      <w:tr w:rsidR="00000000">
        <w:trPr>
          <w:trHeight w:val="150"/>
        </w:trPr>
        <w:tc>
          <w:tcPr>
            <w:tcW w:w="5988" w:type="dxa"/>
            <w:tcBorders>
              <w:top w:val="nil"/>
              <w:bottom w:val="nil"/>
            </w:tcBorders>
          </w:tcPr>
          <w:p w:rsidR="00000000" w:rsidRDefault="00000000">
            <w:pPr>
              <w:spacing w:after="120"/>
              <w:ind w:left="284"/>
            </w:pPr>
            <w:r>
              <w:t>Ayudante maquinista</w:t>
            </w:r>
          </w:p>
        </w:tc>
        <w:tc>
          <w:tcPr>
            <w:tcW w:w="3480" w:type="dxa"/>
            <w:tcBorders>
              <w:top w:val="nil"/>
              <w:bottom w:val="nil"/>
            </w:tcBorders>
          </w:tcPr>
          <w:p w:rsidR="00000000" w:rsidRDefault="00000000">
            <w:pPr>
              <w:spacing w:after="120"/>
            </w:pPr>
            <w:r>
              <w:t>Salario mensual:  1.342.135</w:t>
            </w:r>
            <w:r>
              <w:br/>
              <w:t>Salario diario:  51.621</w:t>
            </w:r>
          </w:p>
        </w:tc>
      </w:tr>
      <w:tr w:rsidR="00000000">
        <w:trPr>
          <w:trHeight w:val="150"/>
        </w:trPr>
        <w:tc>
          <w:tcPr>
            <w:tcW w:w="5988" w:type="dxa"/>
            <w:tcBorders>
              <w:top w:val="nil"/>
              <w:bottom w:val="nil"/>
            </w:tcBorders>
          </w:tcPr>
          <w:p w:rsidR="00000000" w:rsidRDefault="00000000">
            <w:pPr>
              <w:spacing w:after="120"/>
              <w:ind w:left="284"/>
            </w:pPr>
            <w:r>
              <w:t>Secantero</w:t>
            </w:r>
          </w:p>
        </w:tc>
        <w:tc>
          <w:tcPr>
            <w:tcW w:w="3480" w:type="dxa"/>
            <w:tcBorders>
              <w:top w:val="nil"/>
              <w:bottom w:val="nil"/>
            </w:tcBorders>
          </w:tcPr>
          <w:p w:rsidR="00000000" w:rsidRDefault="00000000">
            <w:pPr>
              <w:spacing w:after="120"/>
            </w:pPr>
            <w:r>
              <w:t>Salario mensual:  1.463.960</w:t>
            </w:r>
            <w:r>
              <w:br/>
              <w:t>Salario diario:  56.306</w:t>
            </w:r>
          </w:p>
        </w:tc>
      </w:tr>
      <w:tr w:rsidR="00000000">
        <w:trPr>
          <w:trHeight w:val="150"/>
        </w:trPr>
        <w:tc>
          <w:tcPr>
            <w:tcW w:w="5988" w:type="dxa"/>
            <w:tcBorders>
              <w:top w:val="nil"/>
            </w:tcBorders>
          </w:tcPr>
          <w:p w:rsidR="00000000" w:rsidRDefault="00000000">
            <w:pPr>
              <w:ind w:left="284"/>
            </w:pPr>
            <w:r>
              <w:t>Ayudante secantero</w:t>
            </w:r>
          </w:p>
        </w:tc>
        <w:tc>
          <w:tcPr>
            <w:tcW w:w="3480" w:type="dxa"/>
            <w:tcBorders>
              <w:top w:val="nil"/>
            </w:tcBorders>
          </w:tcPr>
          <w:p w:rsidR="00000000" w:rsidRDefault="00000000">
            <w:r>
              <w:t>Salario mensual:  1.341.751</w:t>
            </w:r>
            <w:r>
              <w:br/>
              <w:t>Salario diario:  51.606</w:t>
            </w:r>
          </w:p>
        </w:tc>
      </w:tr>
      <w:tr w:rsidR="00000000">
        <w:trPr>
          <w:trHeight w:val="20"/>
        </w:trPr>
        <w:tc>
          <w:tcPr>
            <w:tcW w:w="5988" w:type="dxa"/>
            <w:tcBorders>
              <w:bottom w:val="single" w:sz="4" w:space="0" w:color="auto"/>
            </w:tcBorders>
          </w:tcPr>
          <w:p w:rsidR="00000000" w:rsidRDefault="00000000">
            <w:r>
              <w:t>Tanineras</w:t>
            </w:r>
          </w:p>
        </w:tc>
        <w:tc>
          <w:tcPr>
            <w:tcW w:w="3480" w:type="dxa"/>
            <w:tcBorders>
              <w:bottom w:val="single" w:sz="4" w:space="0" w:color="auto"/>
            </w:tcBorders>
          </w:tcPr>
          <w:p w:rsidR="00000000" w:rsidRDefault="00000000">
            <w:r>
              <w:t>Salario mensual:  1.219.795</w:t>
            </w:r>
            <w:r>
              <w:br/>
              <w:t>Salario diario:  46.915</w:t>
            </w:r>
          </w:p>
        </w:tc>
      </w:tr>
      <w:tr w:rsidR="00000000">
        <w:trPr>
          <w:trHeight w:val="150"/>
        </w:trPr>
        <w:tc>
          <w:tcPr>
            <w:tcW w:w="5988" w:type="dxa"/>
            <w:tcBorders>
              <w:bottom w:val="nil"/>
            </w:tcBorders>
          </w:tcPr>
          <w:p w:rsidR="00000000" w:rsidRDefault="00000000">
            <w:pPr>
              <w:spacing w:after="120"/>
            </w:pPr>
            <w:r>
              <w:t>Transporte público</w:t>
            </w:r>
          </w:p>
        </w:tc>
        <w:tc>
          <w:tcPr>
            <w:tcW w:w="3480" w:type="dxa"/>
            <w:tcBorders>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spacing w:after="120"/>
              <w:ind w:left="284"/>
            </w:pPr>
            <w:r>
              <w:t>Chofer cobrador</w:t>
            </w:r>
          </w:p>
        </w:tc>
        <w:tc>
          <w:tcPr>
            <w:tcW w:w="3480" w:type="dxa"/>
            <w:tcBorders>
              <w:top w:val="nil"/>
              <w:bottom w:val="nil"/>
            </w:tcBorders>
          </w:tcPr>
          <w:p w:rsidR="00000000" w:rsidRDefault="00000000">
            <w:pPr>
              <w:spacing w:after="120"/>
            </w:pPr>
            <w:r>
              <w:t>Salario mensual:  1.875.430</w:t>
            </w:r>
            <w:r>
              <w:br/>
              <w:t>Salario diario:  72.132</w:t>
            </w:r>
          </w:p>
        </w:tc>
      </w:tr>
      <w:tr w:rsidR="00000000">
        <w:trPr>
          <w:trHeight w:val="150"/>
        </w:trPr>
        <w:tc>
          <w:tcPr>
            <w:tcW w:w="5988" w:type="dxa"/>
            <w:tcBorders>
              <w:top w:val="nil"/>
              <w:bottom w:val="nil"/>
            </w:tcBorders>
          </w:tcPr>
          <w:p w:rsidR="00000000" w:rsidRDefault="00000000">
            <w:pPr>
              <w:spacing w:after="120"/>
              <w:ind w:left="284"/>
            </w:pPr>
            <w:r>
              <w:t>Chofer de ómnibus</w:t>
            </w:r>
          </w:p>
        </w:tc>
        <w:tc>
          <w:tcPr>
            <w:tcW w:w="3480" w:type="dxa"/>
            <w:tcBorders>
              <w:top w:val="nil"/>
              <w:bottom w:val="nil"/>
            </w:tcBorders>
          </w:tcPr>
          <w:p w:rsidR="00000000" w:rsidRDefault="00000000">
            <w:pPr>
              <w:spacing w:after="120"/>
            </w:pPr>
            <w:r>
              <w:t>Salario mensual:  1.505.241</w:t>
            </w:r>
            <w:r>
              <w:br/>
              <w:t>Salario diario:  57.894</w:t>
            </w:r>
          </w:p>
        </w:tc>
      </w:tr>
      <w:tr w:rsidR="00000000">
        <w:trPr>
          <w:trHeight w:val="150"/>
        </w:trPr>
        <w:tc>
          <w:tcPr>
            <w:tcW w:w="5988" w:type="dxa"/>
            <w:tcBorders>
              <w:top w:val="nil"/>
              <w:bottom w:val="single" w:sz="4" w:space="0" w:color="auto"/>
            </w:tcBorders>
          </w:tcPr>
          <w:p w:rsidR="00000000" w:rsidRDefault="00000000">
            <w:pPr>
              <w:ind w:left="284"/>
            </w:pPr>
            <w:r>
              <w:t>Cobrador y/o guarda</w:t>
            </w:r>
          </w:p>
        </w:tc>
        <w:tc>
          <w:tcPr>
            <w:tcW w:w="3480" w:type="dxa"/>
            <w:tcBorders>
              <w:top w:val="nil"/>
              <w:bottom w:val="single" w:sz="4" w:space="0" w:color="auto"/>
            </w:tcBorders>
          </w:tcPr>
          <w:p w:rsidR="00000000" w:rsidRDefault="00000000">
            <w:r>
              <w:t>Salario mensual:  1.488.241</w:t>
            </w:r>
            <w:r>
              <w:br/>
              <w:t>Salario diario:  57.240</w:t>
            </w:r>
          </w:p>
        </w:tc>
      </w:tr>
      <w:tr w:rsidR="00000000">
        <w:trPr>
          <w:trHeight w:val="150"/>
        </w:trPr>
        <w:tc>
          <w:tcPr>
            <w:tcW w:w="5988" w:type="dxa"/>
            <w:tcBorders>
              <w:bottom w:val="nil"/>
            </w:tcBorders>
          </w:tcPr>
          <w:p w:rsidR="00000000" w:rsidRDefault="00000000">
            <w:pPr>
              <w:spacing w:after="120"/>
            </w:pPr>
            <w:r>
              <w:t>Trabajadores en establecimientos ganaderos</w:t>
            </w:r>
          </w:p>
        </w:tc>
        <w:tc>
          <w:tcPr>
            <w:tcW w:w="3480" w:type="dxa"/>
            <w:tcBorders>
              <w:bottom w:val="nil"/>
            </w:tcBorders>
          </w:tcPr>
          <w:p w:rsidR="00000000" w:rsidRDefault="00000000">
            <w:pPr>
              <w:spacing w:after="120"/>
            </w:pPr>
          </w:p>
        </w:tc>
      </w:tr>
      <w:tr w:rsidR="00000000">
        <w:trPr>
          <w:trHeight w:val="150"/>
        </w:trPr>
        <w:tc>
          <w:tcPr>
            <w:tcW w:w="5988" w:type="dxa"/>
            <w:tcBorders>
              <w:top w:val="nil"/>
              <w:bottom w:val="nil"/>
            </w:tcBorders>
          </w:tcPr>
          <w:p w:rsidR="00000000" w:rsidRDefault="00000000">
            <w:pPr>
              <w:spacing w:after="120"/>
              <w:ind w:left="284"/>
            </w:pPr>
            <w:r>
              <w:t>Categoría A (de 1 a 4.000 cabezas de ganado)</w:t>
            </w:r>
          </w:p>
        </w:tc>
        <w:tc>
          <w:tcPr>
            <w:tcW w:w="3480" w:type="dxa"/>
            <w:tcBorders>
              <w:top w:val="nil"/>
              <w:bottom w:val="nil"/>
            </w:tcBorders>
          </w:tcPr>
          <w:p w:rsidR="00000000" w:rsidRDefault="00000000">
            <w:pPr>
              <w:spacing w:after="120"/>
            </w:pPr>
            <w:r>
              <w:t>Salario mensual:  433.456</w:t>
            </w:r>
            <w:r>
              <w:br/>
              <w:t>Salario diario:  16.671</w:t>
            </w:r>
          </w:p>
        </w:tc>
      </w:tr>
      <w:tr w:rsidR="00000000">
        <w:trPr>
          <w:trHeight w:val="150"/>
        </w:trPr>
        <w:tc>
          <w:tcPr>
            <w:tcW w:w="5988" w:type="dxa"/>
            <w:tcBorders>
              <w:top w:val="nil"/>
              <w:bottom w:val="single" w:sz="4" w:space="0" w:color="auto"/>
            </w:tcBorders>
          </w:tcPr>
          <w:p w:rsidR="00000000" w:rsidRDefault="00000000">
            <w:pPr>
              <w:ind w:left="284"/>
            </w:pPr>
            <w:r>
              <w:t>Categoría B (de 4.001 y más cabezas de ganado)</w:t>
            </w:r>
          </w:p>
        </w:tc>
        <w:tc>
          <w:tcPr>
            <w:tcW w:w="3480" w:type="dxa"/>
            <w:tcBorders>
              <w:top w:val="nil"/>
              <w:bottom w:val="single" w:sz="4" w:space="0" w:color="auto"/>
            </w:tcBorders>
          </w:tcPr>
          <w:p w:rsidR="00000000" w:rsidRDefault="00000000">
            <w:r>
              <w:t>Salario mensual:  595.920</w:t>
            </w:r>
            <w:r>
              <w:br/>
              <w:t>Salario diario:  22.920</w:t>
            </w:r>
          </w:p>
        </w:tc>
      </w:tr>
      <w:tr w:rsidR="00000000">
        <w:trPr>
          <w:trHeight w:val="150"/>
        </w:trPr>
        <w:tc>
          <w:tcPr>
            <w:tcW w:w="5988" w:type="dxa"/>
            <w:tcBorders>
              <w:bottom w:val="nil"/>
            </w:tcBorders>
          </w:tcPr>
          <w:p w:rsidR="00000000" w:rsidRDefault="00000000">
            <w:pPr>
              <w:keepNext/>
              <w:spacing w:after="120"/>
            </w:pPr>
            <w:r>
              <w:t>Talleres mecánicos</w:t>
            </w:r>
          </w:p>
        </w:tc>
        <w:tc>
          <w:tcPr>
            <w:tcW w:w="3480" w:type="dxa"/>
            <w:tcBorders>
              <w:bottom w:val="nil"/>
            </w:tcBorders>
          </w:tcPr>
          <w:p w:rsidR="00000000" w:rsidRDefault="00000000">
            <w:pPr>
              <w:keepNext/>
              <w:spacing w:after="120"/>
            </w:pPr>
          </w:p>
        </w:tc>
      </w:tr>
      <w:tr w:rsidR="00000000">
        <w:trPr>
          <w:trHeight w:val="150"/>
        </w:trPr>
        <w:tc>
          <w:tcPr>
            <w:tcW w:w="5988" w:type="dxa"/>
            <w:tcBorders>
              <w:top w:val="nil"/>
              <w:bottom w:val="nil"/>
            </w:tcBorders>
          </w:tcPr>
          <w:p w:rsidR="00000000" w:rsidRDefault="00000000">
            <w:pPr>
              <w:keepNext/>
              <w:spacing w:after="120"/>
              <w:ind w:left="284"/>
            </w:pPr>
            <w:r>
              <w:t>Oficial de primera</w:t>
            </w:r>
          </w:p>
        </w:tc>
        <w:tc>
          <w:tcPr>
            <w:tcW w:w="3480" w:type="dxa"/>
            <w:tcBorders>
              <w:top w:val="nil"/>
              <w:bottom w:val="nil"/>
            </w:tcBorders>
          </w:tcPr>
          <w:p w:rsidR="00000000" w:rsidRDefault="00000000">
            <w:pPr>
              <w:keepNext/>
              <w:spacing w:after="120"/>
            </w:pPr>
            <w:r>
              <w:t>Salario mensual:  1.587.933</w:t>
            </w:r>
            <w:r>
              <w:br/>
              <w:t>Salario diario:  61.074</w:t>
            </w:r>
          </w:p>
        </w:tc>
      </w:tr>
      <w:tr w:rsidR="00000000">
        <w:trPr>
          <w:trHeight w:val="150"/>
        </w:trPr>
        <w:tc>
          <w:tcPr>
            <w:tcW w:w="5988" w:type="dxa"/>
            <w:tcBorders>
              <w:top w:val="nil"/>
              <w:bottom w:val="nil"/>
            </w:tcBorders>
          </w:tcPr>
          <w:p w:rsidR="00000000" w:rsidRDefault="00000000">
            <w:pPr>
              <w:spacing w:after="120"/>
              <w:ind w:left="284"/>
            </w:pPr>
            <w:r>
              <w:t>Oficial de segunda</w:t>
            </w:r>
          </w:p>
        </w:tc>
        <w:tc>
          <w:tcPr>
            <w:tcW w:w="3480" w:type="dxa"/>
            <w:tcBorders>
              <w:top w:val="nil"/>
              <w:bottom w:val="nil"/>
            </w:tcBorders>
          </w:tcPr>
          <w:p w:rsidR="00000000" w:rsidRDefault="00000000">
            <w:pPr>
              <w:spacing w:after="120"/>
            </w:pPr>
            <w:r>
              <w:t>Salario mensual:  1.460.150</w:t>
            </w:r>
            <w:r>
              <w:br/>
              <w:t>Salario diario:  56.160</w:t>
            </w:r>
          </w:p>
        </w:tc>
      </w:tr>
      <w:tr w:rsidR="00000000">
        <w:trPr>
          <w:trHeight w:val="150"/>
        </w:trPr>
        <w:tc>
          <w:tcPr>
            <w:tcW w:w="5988" w:type="dxa"/>
            <w:tcBorders>
              <w:top w:val="nil"/>
            </w:tcBorders>
          </w:tcPr>
          <w:p w:rsidR="00000000" w:rsidRDefault="00000000">
            <w:pPr>
              <w:ind w:left="284"/>
            </w:pPr>
            <w:r>
              <w:t>Ayudante</w:t>
            </w:r>
          </w:p>
        </w:tc>
        <w:tc>
          <w:tcPr>
            <w:tcW w:w="3480" w:type="dxa"/>
            <w:tcBorders>
              <w:top w:val="nil"/>
            </w:tcBorders>
          </w:tcPr>
          <w:p w:rsidR="00000000" w:rsidRDefault="00000000">
            <w:r>
              <w:t>Salario mensual:  1.369.024</w:t>
            </w:r>
            <w:r>
              <w:br/>
              <w:t>Salario diario:  52.655</w:t>
            </w:r>
          </w:p>
        </w:tc>
      </w:tr>
    </w:tbl>
    <w:p w:rsidR="00000000" w:rsidRDefault="00000000">
      <w:pPr>
        <w:autoSpaceDE w:val="0"/>
        <w:autoSpaceDN w:val="0"/>
        <w:adjustRightInd w:val="0"/>
        <w:spacing w:before="480" w:after="240"/>
        <w:rPr>
          <w:bCs/>
        </w:rPr>
      </w:pPr>
      <w:r>
        <w:rPr>
          <w:bCs/>
        </w:rPr>
        <w:t>197.</w:t>
      </w:r>
      <w:r>
        <w:rPr>
          <w:bCs/>
        </w:rPr>
        <w:tab/>
        <w:t xml:space="preserve">Existen varios mecanismos de control para asegurar la vigencia del salario mínimo entre ellas las visitas de inspección laboral, que la realizan diversas instituciones como la Fiscalía, la Dirección General de </w:t>
      </w:r>
      <w:r>
        <w:rPr>
          <w:szCs w:val="36"/>
        </w:rPr>
        <w:t>Migraciones</w:t>
      </w:r>
      <w:r>
        <w:rPr>
          <w:bCs/>
        </w:rPr>
        <w:t xml:space="preserve"> y el Ministerio de Justicia y Trabajo.  En cada inspección laboral se supervisa el cumplimiento efectivo de la aplicación del </w:t>
      </w:r>
      <w:r>
        <w:rPr>
          <w:szCs w:val="36"/>
        </w:rPr>
        <w:t>salario</w:t>
      </w:r>
      <w:r>
        <w:rPr>
          <w:bCs/>
        </w:rPr>
        <w:t xml:space="preserve"> mínimo en las empresas, así como la vigencia de todos los aspectos que hacen a la protección laboral, como el seguro médico y las condiciones de salubridad.  Por otro lado, no existen mecanismos legales para amonestar o sancionar en base a la productividad del trabajador.</w:t>
      </w:r>
    </w:p>
    <w:p w:rsidR="00000000" w:rsidRDefault="00000000">
      <w:pPr>
        <w:spacing w:after="240"/>
        <w:rPr>
          <w:b/>
        </w:rPr>
      </w:pPr>
      <w:r>
        <w:rPr>
          <w:b/>
        </w:rPr>
        <w:t>3.</w:t>
      </w:r>
      <w:r>
        <w:rPr>
          <w:b/>
        </w:rPr>
        <w:tab/>
        <w:t>Igual remuneración por el mismo trabajo</w:t>
      </w:r>
    </w:p>
    <w:p w:rsidR="00000000" w:rsidRDefault="00000000">
      <w:pPr>
        <w:autoSpaceDE w:val="0"/>
        <w:autoSpaceDN w:val="0"/>
        <w:adjustRightInd w:val="0"/>
        <w:spacing w:after="240"/>
      </w:pPr>
      <w:r>
        <w:t>198.</w:t>
      </w:r>
      <w:r>
        <w:tab/>
        <w:t xml:space="preserve">Si bien la igualdad de remuneración por igual trabajo sin discriminación de ningún tipo está garantizada por ley, en la realidad aún se dan casos donde esto ocurre.  Por ende, algunas </w:t>
      </w:r>
      <w:r>
        <w:rPr>
          <w:szCs w:val="36"/>
        </w:rPr>
        <w:t>estadísticas</w:t>
      </w:r>
      <w:r>
        <w:t xml:space="preserve"> sobre el trabajo de la mujer registran un grado de discriminación que está siendo abordado por un Plan Nacional de igualdad de oportunidades implementado por la Secretaría de la Mujer de la Presidencia de la República.  En cuanto a las desigualdades en los ingresos, las mujeres ocupadas ganan en la ocupación principal el 28,1% menos que los hombres</w:t>
      </w:r>
      <w:r>
        <w:rPr>
          <w:rStyle w:val="FootnoteReference"/>
        </w:rPr>
        <w:footnoteReference w:id="18"/>
      </w:r>
      <w:r>
        <w:t xml:space="preserve">.  El Ministerio de Justicia y Trabajo a través de fiscalizaciones laborales verifica el cumplimiento de las disposiciones que consagran la igualdad.  En casos de incumplimiento de las disposiciones respectivas a este tema, se procede a la instrucción de sumario administrativo al empleador, con imposición de multas.  </w:t>
      </w:r>
    </w:p>
    <w:p w:rsidR="00000000" w:rsidRDefault="00000000">
      <w:pPr>
        <w:autoSpaceDE w:val="0"/>
        <w:autoSpaceDN w:val="0"/>
        <w:adjustRightInd w:val="0"/>
        <w:spacing w:after="240"/>
      </w:pPr>
      <w:r>
        <w:t>199.</w:t>
      </w:r>
      <w:r>
        <w:tab/>
        <w:t xml:space="preserve">Asimismo, el Ministerio de Justicia y Trabajo posee una Dirección de Promoción de la Mujer Trabajadora, la cual brinda asesoramiento y acompañamiento en audiencias de conciliación referidas a temas de discriminación.  Al mismo tiempo promueve, participa y </w:t>
      </w:r>
      <w:r>
        <w:rPr>
          <w:szCs w:val="36"/>
        </w:rPr>
        <w:t>colabora</w:t>
      </w:r>
      <w:r>
        <w:t xml:space="preserve"> en campañas de concienciación sobre la no discriminación en el empleo y la ocupación.  Por otra parte el Ministerio de Justicia y Trabajo es integrante de la mesa institucional de seguimiento a la aplicación de la CEDAW.</w:t>
      </w:r>
    </w:p>
    <w:p w:rsidR="00000000" w:rsidRDefault="00000000">
      <w:pPr>
        <w:autoSpaceDE w:val="0"/>
        <w:autoSpaceDN w:val="0"/>
        <w:adjustRightInd w:val="0"/>
        <w:spacing w:after="240"/>
      </w:pPr>
      <w:r>
        <w:t>200.</w:t>
      </w:r>
      <w:r>
        <w:tab/>
        <w:t xml:space="preserve">Otras de las </w:t>
      </w:r>
      <w:r>
        <w:rPr>
          <w:szCs w:val="36"/>
        </w:rPr>
        <w:t>responsabilidades</w:t>
      </w:r>
      <w:r>
        <w:t xml:space="preserve"> de la Dirección de Promoción de la Mujer Trabajadora incluyen:</w:t>
      </w:r>
    </w:p>
    <w:p w:rsidR="00000000" w:rsidRDefault="00000000">
      <w:pPr>
        <w:spacing w:after="240"/>
        <w:ind w:left="924" w:hanging="357"/>
      </w:pPr>
      <w:r>
        <w:t>-</w:t>
      </w:r>
      <w:r>
        <w:tab/>
        <w:t>La coordinación de la Comisión Nacional Tripartita para igualdad de oportunidades en el trabajo.</w:t>
      </w:r>
    </w:p>
    <w:p w:rsidR="00000000" w:rsidRDefault="00000000">
      <w:pPr>
        <w:spacing w:after="240"/>
        <w:ind w:left="924" w:hanging="357"/>
      </w:pPr>
      <w:r>
        <w:t>-</w:t>
      </w:r>
      <w:r>
        <w:tab/>
        <w:t>Asistencia técnica y asesoramiento jurídico laboral a las mujeres trabajadoras.</w:t>
      </w:r>
    </w:p>
    <w:p w:rsidR="00000000" w:rsidRDefault="00000000">
      <w:pPr>
        <w:tabs>
          <w:tab w:val="num" w:pos="1440"/>
        </w:tabs>
        <w:spacing w:after="240"/>
        <w:ind w:left="924" w:hanging="357"/>
      </w:pPr>
      <w:r>
        <w:t>-</w:t>
      </w:r>
      <w:r>
        <w:tab/>
        <w:t>El desarrollo de acciones de capacitación y sensibilización.</w:t>
      </w:r>
    </w:p>
    <w:p w:rsidR="00000000" w:rsidRDefault="00000000">
      <w:pPr>
        <w:tabs>
          <w:tab w:val="num" w:pos="1440"/>
        </w:tabs>
        <w:spacing w:after="240"/>
        <w:ind w:left="924" w:hanging="357"/>
      </w:pPr>
      <w:r>
        <w:t>-</w:t>
      </w:r>
      <w:r>
        <w:tab/>
        <w:t>Programa de acceso a los recursos y el trabajo de las mujeres, para contribuir a la igualdad de oportunidades en el acceso, la administración y el disfrute de los recursos económicos y el trabajo, entre hombres y mujeres.  El propósito del Programa es el de establecer un marco de acción para trasversalizar la perspectiva de género en las políticas de empleo y del mercado de trabajo.  El mismo cuenta con un marco normativo que incorpora disposiciones legales nacionales e internacionales.</w:t>
      </w:r>
    </w:p>
    <w:p w:rsidR="00000000" w:rsidRDefault="00000000">
      <w:pPr>
        <w:autoSpaceDE w:val="0"/>
        <w:autoSpaceDN w:val="0"/>
        <w:adjustRightInd w:val="0"/>
        <w:spacing w:after="240"/>
      </w:pPr>
      <w:r>
        <w:t>201.</w:t>
      </w:r>
      <w:r>
        <w:tab/>
        <w:t xml:space="preserve">El citado </w:t>
      </w:r>
      <w:r>
        <w:rPr>
          <w:szCs w:val="36"/>
        </w:rPr>
        <w:t>Programa</w:t>
      </w:r>
      <w:r>
        <w:t xml:space="preserve"> cuenta con tres componentes:</w:t>
      </w:r>
    </w:p>
    <w:p w:rsidR="00000000" w:rsidRDefault="00000000">
      <w:pPr>
        <w:tabs>
          <w:tab w:val="num" w:pos="1440"/>
        </w:tabs>
        <w:spacing w:after="240"/>
        <w:ind w:left="924" w:hanging="357"/>
      </w:pPr>
      <w:r>
        <w:t>-</w:t>
      </w:r>
      <w:r>
        <w:tab/>
        <w:t>Unidad de apoyo a la trasversalización de la perspectiva de género;</w:t>
      </w:r>
    </w:p>
    <w:p w:rsidR="00000000" w:rsidRDefault="00000000">
      <w:pPr>
        <w:tabs>
          <w:tab w:val="num" w:pos="1440"/>
        </w:tabs>
        <w:spacing w:after="240"/>
        <w:ind w:left="924" w:hanging="357"/>
      </w:pPr>
      <w:r>
        <w:t>-</w:t>
      </w:r>
      <w:r>
        <w:tab/>
        <w:t>Unidad de apoyo a emprendimientos productivos;</w:t>
      </w:r>
    </w:p>
    <w:p w:rsidR="00000000" w:rsidRDefault="00000000">
      <w:pPr>
        <w:tabs>
          <w:tab w:val="num" w:pos="1440"/>
        </w:tabs>
        <w:spacing w:after="240"/>
        <w:ind w:left="924" w:hanging="357"/>
      </w:pPr>
      <w:r>
        <w:t>-</w:t>
      </w:r>
      <w:r>
        <w:tab/>
        <w:t>Unidad de apoyo a la inserción en cadenas productivas;</w:t>
      </w:r>
    </w:p>
    <w:p w:rsidR="00000000" w:rsidRDefault="00000000">
      <w:pPr>
        <w:autoSpaceDE w:val="0"/>
        <w:autoSpaceDN w:val="0"/>
        <w:adjustRightInd w:val="0"/>
        <w:spacing w:after="240"/>
      </w:pPr>
      <w:r>
        <w:t>202.</w:t>
      </w:r>
      <w:r>
        <w:tab/>
        <w:t>Asimismo, el Programa cuenta con un punto focal, que es la Dirección de Promoción Social de la Mujer Trabajadora, para trasversalizar las perspectivas de género en las políticas de empleo, y una mesa de articulación conformada con la participación de todas las instancias involucradas, que promueve el diálogo social y realiza el monitoreo y evaluación permanente de dichas políticas.</w:t>
      </w:r>
    </w:p>
    <w:p w:rsidR="00000000" w:rsidRDefault="00000000">
      <w:pPr>
        <w:autoSpaceDE w:val="0"/>
        <w:autoSpaceDN w:val="0"/>
        <w:adjustRightInd w:val="0"/>
        <w:spacing w:after="240"/>
      </w:pPr>
      <w:r>
        <w:t>203.</w:t>
      </w:r>
      <w:r>
        <w:tab/>
        <w:t>Este Programa ha sido diseñado con la cooperación de la OIT, y actualmente se están llevando a cabo reuniones con la Secretaría de la Mujer para programar las acciones a fin de su implementación.</w:t>
      </w:r>
    </w:p>
    <w:p w:rsidR="00000000" w:rsidRDefault="00000000">
      <w:pPr>
        <w:autoSpaceDE w:val="0"/>
        <w:autoSpaceDN w:val="0"/>
        <w:adjustRightInd w:val="0"/>
        <w:spacing w:after="240"/>
      </w:pPr>
      <w:r>
        <w:t>204.</w:t>
      </w:r>
      <w:r>
        <w:tab/>
        <w:t xml:space="preserve">Por otra parte, se han tomado medidas desde la ratificación de la CEDAW (Convención sobre eliminación de todas las formas de discriminación contra la mujer) en </w:t>
      </w:r>
      <w:r>
        <w:rPr>
          <w:szCs w:val="36"/>
        </w:rPr>
        <w:t>1986</w:t>
      </w:r>
      <w:r>
        <w:t>, las cuales han significado normativas igualitarias y cambios en otras leyes, eliminando discriminaciones de género y estableciendo la igualdad entre mujeres y hombres.  La Secretaría de la Mujer promueve la implementación de convenios internacionales que subsecuentemente forman parte del ordenamiento jurídico paraguayo.  A raíz de éstos han surgido planes, programas y proyectos específicos que han propiciado la mayor participación de la mujer en el campo laboral, en las organizaciones comunitarias, pero tales acciones aún son insuficientes.  Si bien las mujeres en general sufren discriminaciones en cuanto al acceso a los recursos y al desarrollo, las más afectadas son las mujeres rurales y de grupos étnicos.  Se ha creado en 2003 dentro de la estructura de la Secretaría, la Dirección de Descentralización, a fin de articular estrategias que posibiliten mayor presencia del estado en dichas áreas.</w:t>
      </w:r>
    </w:p>
    <w:p w:rsidR="00000000" w:rsidRDefault="00000000">
      <w:pPr>
        <w:autoSpaceDE w:val="0"/>
        <w:autoSpaceDN w:val="0"/>
        <w:adjustRightInd w:val="0"/>
        <w:spacing w:after="240"/>
      </w:pPr>
      <w:r>
        <w:t>205.</w:t>
      </w:r>
      <w:r>
        <w:tab/>
        <w:t xml:space="preserve">Es importante señalar que el Paraguay se ha puesto al día con la presentación de informes </w:t>
      </w:r>
      <w:r>
        <w:rPr>
          <w:szCs w:val="36"/>
        </w:rPr>
        <w:t>periódicos</w:t>
      </w:r>
      <w:r>
        <w:t xml:space="preserve"> al Comité CEDAW con la defensa del informe en enero de 2005, a cuyas observaciones se han dado amplia difusión y para el seguimiento de dichas recomendaciones se ha conformado una mesa interinstitucional de seguimiento a la aplicación de la CEDAW, la cual cuenta con un plan operativo global.</w:t>
      </w:r>
    </w:p>
    <w:p w:rsidR="00000000" w:rsidRDefault="00000000">
      <w:pPr>
        <w:autoSpaceDE w:val="0"/>
        <w:autoSpaceDN w:val="0"/>
        <w:adjustRightInd w:val="0"/>
        <w:spacing w:after="240"/>
      </w:pPr>
      <w:r>
        <w:t>206.</w:t>
      </w:r>
      <w:r>
        <w:tab/>
        <w:t xml:space="preserve">Así también, la Secretaría de la Mujer viene desarrollando la campaña "Iguales en todo".  La campaña se desarrolla desde junio de 2004, en el marco de la cual se realizaron </w:t>
      </w:r>
      <w:r>
        <w:rPr>
          <w:i/>
          <w:iCs/>
        </w:rPr>
        <w:t>spots</w:t>
      </w:r>
      <w:r>
        <w:t xml:space="preserve"> publicitarios, radiales, televisivos, sobre la discriminación en el trabajo, en dos aspectos, uno muestra a una mujer embarazada, quien por su condición no era tenida en cuenta para la selección del trabajo solicitado.  Otro </w:t>
      </w:r>
      <w:r>
        <w:rPr>
          <w:i/>
          <w:iCs/>
        </w:rPr>
        <w:t>spot</w:t>
      </w:r>
      <w:r>
        <w:t xml:space="preserve"> muestra a hombres y mujeres realizando el mismo trabajo, pero recibiendo remuneración diferenciada, dejando un margen de desventaja en contra de la mujer.  Los temas priorizados en esta campaña son:  violencia contra la mujer, igualdad de derechos en el trabajo, salud, permanencia en la educación, participación social y política de las mujeres.  El principal impacto en la población se dio en el aumento de denuncias de casos de violencia.  Una nueva modalidad de denuncias en la Secretaría de la Mujer es la discriminación laboral por razones de género.  Actualmente la campaña "Iguales en todo" continúa en vigencia.</w:t>
      </w:r>
    </w:p>
    <w:p w:rsidR="00000000" w:rsidRDefault="00000000">
      <w:pPr>
        <w:autoSpaceDE w:val="0"/>
        <w:autoSpaceDN w:val="0"/>
        <w:adjustRightInd w:val="0"/>
        <w:spacing w:after="240"/>
      </w:pPr>
      <w:r>
        <w:t>207.</w:t>
      </w:r>
      <w:r>
        <w:tab/>
        <w:t>Sin embargo, persisten grupos de trabajadores que no gozan de igual oportunidad de trabajo y remuneración, éstos son los subempleados y los trabajadores informales, entre éstos también se encuentran los trabajadores domésticos y los trabajadores rurales.  Según la Encuesta Permanente de Hogares 2004 la tasa total de subocupación es del 24,2%, correspondiendo a los hombres 21,8 y 27,7% para mujeres.  Se considera a los trabajadores informales a aquellos que trabajan por cuenta propia, y a las empresas que emplean hasta cinco personas, de lo cual obtenemos un 69,8% de la población ocupada.</w:t>
      </w:r>
    </w:p>
    <w:p w:rsidR="00000000" w:rsidRDefault="00000000">
      <w:pPr>
        <w:autoSpaceDE w:val="0"/>
        <w:autoSpaceDN w:val="0"/>
        <w:adjustRightInd w:val="0"/>
        <w:spacing w:after="240"/>
      </w:pPr>
      <w:r>
        <w:t>208.</w:t>
      </w:r>
      <w:r>
        <w:tab/>
        <w:t xml:space="preserve">La situación de las trabajadoras domésticas es la más precaria, el 95% de ellas ganan menos de lo establecido legalmente, no tienen derechos a pagos de bonificación familiar, tienen </w:t>
      </w:r>
      <w:r>
        <w:rPr>
          <w:szCs w:val="36"/>
        </w:rPr>
        <w:t>largas</w:t>
      </w:r>
      <w:r>
        <w:t xml:space="preserve"> jornadas de trabajos y a pesar del seguro social el mismo sólo da cobertura a aquellos inscriptos en la capital.  Según trabajos de investigación de la OIT una de las mayores causas de despido de las trabajadoras domésticas es el embarazo, debiendo al contrario ser protegidas en su condición.</w:t>
      </w:r>
    </w:p>
    <w:p w:rsidR="00000000" w:rsidRDefault="00000000">
      <w:pPr>
        <w:spacing w:after="240"/>
        <w:rPr>
          <w:b/>
        </w:rPr>
      </w:pPr>
      <w:r>
        <w:rPr>
          <w:b/>
        </w:rPr>
        <w:t>4.</w:t>
      </w:r>
      <w:r>
        <w:rPr>
          <w:b/>
        </w:rPr>
        <w:tab/>
        <w:t>Medidas adoptadas para revertir la desigualdad en el trabajo</w:t>
      </w:r>
    </w:p>
    <w:p w:rsidR="00000000" w:rsidRDefault="00000000">
      <w:pPr>
        <w:autoSpaceDE w:val="0"/>
        <w:autoSpaceDN w:val="0"/>
        <w:adjustRightInd w:val="0"/>
        <w:spacing w:after="240"/>
      </w:pPr>
      <w:r>
        <w:t>209.</w:t>
      </w:r>
      <w:r>
        <w:tab/>
        <w:t xml:space="preserve">Si bien normativamente la oportunidad está dada en igualdad de condiciones, se requieren medidas especiales que garanticen el acceso de las mujeres a un empleo digno y a ser </w:t>
      </w:r>
      <w:r>
        <w:rPr>
          <w:szCs w:val="36"/>
        </w:rPr>
        <w:t>promovidas</w:t>
      </w:r>
      <w:r>
        <w:t>, por lo que se ha presentado una propuesta de ley de igualdad de oportunidades y de trato entre mujeres y hombres en la función pública y el empleo a la que la Secretaría de la Mujer ha presentado aportes y se encuentra en estudio en el Parlamento.</w:t>
      </w:r>
    </w:p>
    <w:p w:rsidR="00000000" w:rsidRDefault="00000000">
      <w:pPr>
        <w:autoSpaceDE w:val="0"/>
        <w:autoSpaceDN w:val="0"/>
        <w:adjustRightInd w:val="0"/>
        <w:spacing w:after="240"/>
        <w:rPr>
          <w:szCs w:val="20"/>
          <w:lang w:val="es-MX"/>
        </w:rPr>
      </w:pPr>
      <w:r>
        <w:t>210.</w:t>
      </w:r>
      <w:r>
        <w:tab/>
        <w:t xml:space="preserve">La Secretaría de la Mujer ha realizado conjuntamente con el Centro de Documentación y Estudios reuniones de trabajo, en relación a la situación del trabajador(a) doméstico(a) dirigidas a organizaciones de mujeres, al Instituto de Previsión Social, representantes sindicales, representantes de instituciones públicas, estableciendo líneas de trabajo que sirvieron de base para la firma del convenio entre el Ministerio </w:t>
      </w:r>
      <w:r>
        <w:rPr>
          <w:szCs w:val="36"/>
        </w:rPr>
        <w:t>de</w:t>
      </w:r>
      <w:r>
        <w:t xml:space="preserve"> Justicia y Trabajo y la Secretaría de la Mujer.  Asimismo, se han dictado conferencias informativas y brindado charlas para el fortalecimiento de capacidades a las mujeres microempresarias.  Estas reuniones se centraron en la </w:t>
      </w:r>
      <w:r>
        <w:rPr>
          <w:szCs w:val="20"/>
          <w:lang w:val="es-MX"/>
        </w:rPr>
        <w:t>capital, y contaron con el apoyo de instituciones como el Instituto de Previsión Social y algunos sindicatos del país.</w:t>
      </w:r>
    </w:p>
    <w:p w:rsidR="00000000" w:rsidRDefault="00000000">
      <w:pPr>
        <w:autoSpaceDE w:val="0"/>
        <w:autoSpaceDN w:val="0"/>
        <w:adjustRightInd w:val="0"/>
        <w:spacing w:after="240"/>
      </w:pPr>
      <w:r>
        <w:t>211.</w:t>
      </w:r>
      <w:r>
        <w:tab/>
        <w:t xml:space="preserve">Asimismo, el Ministerio de Justicia y Trabajo ha propiciado la generación de espacios de diálogo con empresarios e industriales, con el objetivo de garantizar el acceso de las mujeres al </w:t>
      </w:r>
      <w:r>
        <w:rPr>
          <w:szCs w:val="36"/>
        </w:rPr>
        <w:t>trabajo</w:t>
      </w:r>
      <w:r>
        <w:t xml:space="preserve"> decente, a cargos de decisión y a la igualdad de remuneración por igual trabajo.  El Código Laboral establece que son trabajadores(as) domésticos(as) los que se encuentran por debajo del salario mínimo, y con condiciones vulnerables de trabajo, como mayor cantidad de carga horaria, etc.  Existe una Comisión Tripartita</w:t>
      </w:r>
      <w:r>
        <w:rPr>
          <w:rStyle w:val="FootnoteReference"/>
        </w:rPr>
        <w:footnoteReference w:id="19"/>
      </w:r>
      <w:r>
        <w:t xml:space="preserve"> que ha realizado un análisis y examen de dicha situación para promover la igualdad de oportunidades para las mujeres en el trabajo, apoyada por el Centro de Documentación y Estudios (ONG) en iniciativas acompañadas y respaldadas por la Secretaría de la Mujer.  A continuación se detallan los resultados obtenidos por la citada Comisión Tripartita:</w:t>
      </w:r>
    </w:p>
    <w:p w:rsidR="00000000" w:rsidRDefault="00000000">
      <w:pPr>
        <w:spacing w:after="240"/>
        <w:jc w:val="center"/>
        <w:rPr>
          <w:b/>
          <w:bCs/>
          <w:szCs w:val="28"/>
        </w:rPr>
      </w:pPr>
      <w:r>
        <w:rPr>
          <w:b/>
          <w:bCs/>
          <w:szCs w:val="28"/>
        </w:rPr>
        <w:t>Informes anuales de las actividades de la Dirección General</w:t>
      </w:r>
      <w:r>
        <w:rPr>
          <w:b/>
          <w:bCs/>
          <w:szCs w:val="28"/>
        </w:rPr>
        <w:br/>
        <w:t>del Trabajo del Ministerio de Justicia y Trabajo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814"/>
        <w:gridCol w:w="815"/>
        <w:gridCol w:w="815"/>
        <w:gridCol w:w="815"/>
        <w:gridCol w:w="815"/>
        <w:gridCol w:w="815"/>
        <w:gridCol w:w="815"/>
      </w:tblGrid>
      <w:tr w:rsidR="00000000">
        <w:tblPrEx>
          <w:tblCellMar>
            <w:top w:w="0" w:type="dxa"/>
            <w:bottom w:w="0" w:type="dxa"/>
          </w:tblCellMar>
        </w:tblPrEx>
        <w:trPr>
          <w:cantSplit/>
          <w:jc w:val="center"/>
        </w:trPr>
        <w:tc>
          <w:tcPr>
            <w:tcW w:w="3790" w:type="dxa"/>
            <w:vMerge w:val="restart"/>
            <w:vAlign w:val="center"/>
          </w:tcPr>
          <w:p w:rsidR="00000000" w:rsidRDefault="00000000">
            <w:pPr>
              <w:jc w:val="center"/>
              <w:rPr>
                <w:b/>
                <w:bCs/>
              </w:rPr>
            </w:pPr>
            <w:r>
              <w:rPr>
                <w:b/>
                <w:bCs/>
              </w:rPr>
              <w:t>Referencias</w:t>
            </w:r>
          </w:p>
        </w:tc>
        <w:tc>
          <w:tcPr>
            <w:tcW w:w="4889" w:type="dxa"/>
            <w:gridSpan w:val="6"/>
            <w:vAlign w:val="center"/>
          </w:tcPr>
          <w:p w:rsidR="00000000" w:rsidRDefault="00000000">
            <w:pPr>
              <w:jc w:val="center"/>
              <w:rPr>
                <w:b/>
                <w:bCs/>
              </w:rPr>
            </w:pPr>
            <w:r>
              <w:rPr>
                <w:b/>
                <w:bCs/>
              </w:rPr>
              <w:t>Años</w:t>
            </w:r>
          </w:p>
        </w:tc>
        <w:tc>
          <w:tcPr>
            <w:tcW w:w="815" w:type="dxa"/>
            <w:vMerge w:val="restart"/>
            <w:vAlign w:val="center"/>
          </w:tcPr>
          <w:p w:rsidR="00000000" w:rsidRDefault="00000000">
            <w:pPr>
              <w:jc w:val="center"/>
              <w:rPr>
                <w:b/>
                <w:bCs/>
              </w:rPr>
            </w:pPr>
            <w:r>
              <w:rPr>
                <w:b/>
                <w:bCs/>
              </w:rPr>
              <w:t>Total</w:t>
            </w:r>
          </w:p>
        </w:tc>
      </w:tr>
      <w:tr w:rsidR="00000000">
        <w:tblPrEx>
          <w:tblCellMar>
            <w:top w:w="0" w:type="dxa"/>
            <w:bottom w:w="0" w:type="dxa"/>
          </w:tblCellMar>
        </w:tblPrEx>
        <w:trPr>
          <w:cantSplit/>
          <w:jc w:val="center"/>
        </w:trPr>
        <w:tc>
          <w:tcPr>
            <w:tcW w:w="3790" w:type="dxa"/>
            <w:vMerge/>
            <w:vAlign w:val="center"/>
          </w:tcPr>
          <w:p w:rsidR="00000000" w:rsidRDefault="00000000">
            <w:pPr>
              <w:jc w:val="center"/>
            </w:pPr>
          </w:p>
        </w:tc>
        <w:tc>
          <w:tcPr>
            <w:tcW w:w="814" w:type="dxa"/>
            <w:vAlign w:val="center"/>
          </w:tcPr>
          <w:p w:rsidR="00000000" w:rsidRDefault="00000000">
            <w:pPr>
              <w:jc w:val="center"/>
              <w:rPr>
                <w:b/>
                <w:bCs/>
                <w:szCs w:val="20"/>
              </w:rPr>
            </w:pPr>
            <w:r>
              <w:rPr>
                <w:b/>
                <w:bCs/>
                <w:szCs w:val="20"/>
              </w:rPr>
              <w:t>2000</w:t>
            </w:r>
          </w:p>
        </w:tc>
        <w:tc>
          <w:tcPr>
            <w:tcW w:w="815" w:type="dxa"/>
            <w:vAlign w:val="center"/>
          </w:tcPr>
          <w:p w:rsidR="00000000" w:rsidRDefault="00000000">
            <w:pPr>
              <w:jc w:val="center"/>
              <w:rPr>
                <w:b/>
                <w:bCs/>
                <w:szCs w:val="20"/>
              </w:rPr>
            </w:pPr>
            <w:r>
              <w:rPr>
                <w:b/>
                <w:bCs/>
                <w:szCs w:val="20"/>
              </w:rPr>
              <w:t>2001</w:t>
            </w:r>
          </w:p>
        </w:tc>
        <w:tc>
          <w:tcPr>
            <w:tcW w:w="815" w:type="dxa"/>
            <w:vAlign w:val="center"/>
          </w:tcPr>
          <w:p w:rsidR="00000000" w:rsidRDefault="00000000">
            <w:pPr>
              <w:jc w:val="center"/>
              <w:rPr>
                <w:b/>
                <w:bCs/>
                <w:szCs w:val="20"/>
              </w:rPr>
            </w:pPr>
            <w:r>
              <w:rPr>
                <w:b/>
                <w:bCs/>
                <w:szCs w:val="20"/>
              </w:rPr>
              <w:t>2002</w:t>
            </w:r>
          </w:p>
        </w:tc>
        <w:tc>
          <w:tcPr>
            <w:tcW w:w="815" w:type="dxa"/>
            <w:vAlign w:val="center"/>
          </w:tcPr>
          <w:p w:rsidR="00000000" w:rsidRDefault="00000000">
            <w:pPr>
              <w:jc w:val="center"/>
              <w:rPr>
                <w:b/>
                <w:bCs/>
                <w:szCs w:val="20"/>
              </w:rPr>
            </w:pPr>
            <w:r>
              <w:rPr>
                <w:b/>
                <w:bCs/>
                <w:szCs w:val="20"/>
              </w:rPr>
              <w:t>2003</w:t>
            </w:r>
          </w:p>
        </w:tc>
        <w:tc>
          <w:tcPr>
            <w:tcW w:w="815" w:type="dxa"/>
            <w:vAlign w:val="center"/>
          </w:tcPr>
          <w:p w:rsidR="00000000" w:rsidRDefault="00000000">
            <w:pPr>
              <w:jc w:val="center"/>
              <w:rPr>
                <w:b/>
                <w:bCs/>
                <w:szCs w:val="20"/>
              </w:rPr>
            </w:pPr>
            <w:r>
              <w:rPr>
                <w:b/>
                <w:bCs/>
                <w:szCs w:val="20"/>
              </w:rPr>
              <w:t>2004</w:t>
            </w:r>
          </w:p>
        </w:tc>
        <w:tc>
          <w:tcPr>
            <w:tcW w:w="815" w:type="dxa"/>
            <w:vAlign w:val="center"/>
          </w:tcPr>
          <w:p w:rsidR="00000000" w:rsidRDefault="00000000">
            <w:pPr>
              <w:jc w:val="center"/>
              <w:rPr>
                <w:b/>
                <w:bCs/>
                <w:szCs w:val="20"/>
              </w:rPr>
            </w:pPr>
            <w:r>
              <w:rPr>
                <w:b/>
                <w:bCs/>
                <w:szCs w:val="20"/>
              </w:rPr>
              <w:t>2005</w:t>
            </w:r>
          </w:p>
        </w:tc>
        <w:tc>
          <w:tcPr>
            <w:tcW w:w="815" w:type="dxa"/>
            <w:vMerge/>
            <w:vAlign w:val="center"/>
          </w:tcPr>
          <w:p w:rsidR="00000000" w:rsidRDefault="00000000">
            <w:pPr>
              <w:jc w:val="center"/>
            </w:pPr>
          </w:p>
        </w:tc>
      </w:tr>
      <w:tr w:rsidR="00000000">
        <w:tblPrEx>
          <w:tblCellMar>
            <w:top w:w="0" w:type="dxa"/>
            <w:bottom w:w="0" w:type="dxa"/>
          </w:tblCellMar>
        </w:tblPrEx>
        <w:trPr>
          <w:jc w:val="center"/>
        </w:trPr>
        <w:tc>
          <w:tcPr>
            <w:tcW w:w="3790" w:type="dxa"/>
          </w:tcPr>
          <w:p w:rsidR="00000000" w:rsidRDefault="00000000">
            <w:r>
              <w:t>Resultados de las reuniones tripartitas</w:t>
            </w:r>
          </w:p>
        </w:tc>
        <w:tc>
          <w:tcPr>
            <w:tcW w:w="814"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r>
      <w:tr w:rsidR="00000000">
        <w:tblPrEx>
          <w:tblCellMar>
            <w:top w:w="0" w:type="dxa"/>
            <w:bottom w:w="0" w:type="dxa"/>
          </w:tblCellMar>
        </w:tblPrEx>
        <w:trPr>
          <w:jc w:val="center"/>
        </w:trPr>
        <w:tc>
          <w:tcPr>
            <w:tcW w:w="3790" w:type="dxa"/>
          </w:tcPr>
          <w:p w:rsidR="00000000" w:rsidRDefault="00000000">
            <w:r>
              <w:t>Comparecencias</w:t>
            </w:r>
          </w:p>
        </w:tc>
        <w:tc>
          <w:tcPr>
            <w:tcW w:w="814"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r>
      <w:tr w:rsidR="00000000">
        <w:tblPrEx>
          <w:tblCellMar>
            <w:top w:w="0" w:type="dxa"/>
            <w:bottom w:w="0" w:type="dxa"/>
          </w:tblCellMar>
        </w:tblPrEx>
        <w:trPr>
          <w:jc w:val="center"/>
        </w:trPr>
        <w:tc>
          <w:tcPr>
            <w:tcW w:w="3790" w:type="dxa"/>
          </w:tcPr>
          <w:p w:rsidR="00000000" w:rsidRDefault="00000000">
            <w:pPr>
              <w:ind w:left="284"/>
            </w:pPr>
            <w:r>
              <w:t>Solucionados</w:t>
            </w:r>
          </w:p>
        </w:tc>
        <w:tc>
          <w:tcPr>
            <w:tcW w:w="814" w:type="dxa"/>
            <w:vAlign w:val="bottom"/>
          </w:tcPr>
          <w:p w:rsidR="00000000" w:rsidRDefault="00000000">
            <w:pPr>
              <w:ind w:right="170"/>
              <w:jc w:val="right"/>
              <w:rPr>
                <w:szCs w:val="20"/>
              </w:rPr>
            </w:pPr>
            <w:r>
              <w:rPr>
                <w:szCs w:val="20"/>
              </w:rPr>
              <w:t>191</w:t>
            </w:r>
          </w:p>
        </w:tc>
        <w:tc>
          <w:tcPr>
            <w:tcW w:w="815" w:type="dxa"/>
            <w:vAlign w:val="bottom"/>
          </w:tcPr>
          <w:p w:rsidR="00000000" w:rsidRDefault="00000000">
            <w:pPr>
              <w:ind w:right="170"/>
              <w:jc w:val="right"/>
              <w:rPr>
                <w:szCs w:val="20"/>
              </w:rPr>
            </w:pPr>
            <w:r>
              <w:rPr>
                <w:szCs w:val="20"/>
              </w:rPr>
              <w:t>192</w:t>
            </w:r>
          </w:p>
        </w:tc>
        <w:tc>
          <w:tcPr>
            <w:tcW w:w="815" w:type="dxa"/>
            <w:vAlign w:val="bottom"/>
          </w:tcPr>
          <w:p w:rsidR="00000000" w:rsidRDefault="00000000">
            <w:pPr>
              <w:ind w:right="170"/>
              <w:jc w:val="right"/>
              <w:rPr>
                <w:szCs w:val="20"/>
              </w:rPr>
            </w:pPr>
            <w:r>
              <w:rPr>
                <w:szCs w:val="20"/>
              </w:rPr>
              <w:t>133</w:t>
            </w:r>
          </w:p>
        </w:tc>
        <w:tc>
          <w:tcPr>
            <w:tcW w:w="815" w:type="dxa"/>
            <w:vAlign w:val="bottom"/>
          </w:tcPr>
          <w:p w:rsidR="00000000" w:rsidRDefault="00000000">
            <w:pPr>
              <w:ind w:right="170"/>
              <w:jc w:val="right"/>
              <w:rPr>
                <w:szCs w:val="20"/>
              </w:rPr>
            </w:pPr>
            <w:r>
              <w:rPr>
                <w:szCs w:val="20"/>
              </w:rPr>
              <w:t>105</w:t>
            </w:r>
          </w:p>
        </w:tc>
        <w:tc>
          <w:tcPr>
            <w:tcW w:w="815" w:type="dxa"/>
            <w:vAlign w:val="bottom"/>
          </w:tcPr>
          <w:p w:rsidR="00000000" w:rsidRDefault="00000000">
            <w:pPr>
              <w:ind w:right="170"/>
              <w:jc w:val="right"/>
              <w:rPr>
                <w:szCs w:val="20"/>
              </w:rPr>
            </w:pPr>
            <w:r>
              <w:rPr>
                <w:szCs w:val="20"/>
              </w:rPr>
              <w:t>85</w:t>
            </w:r>
          </w:p>
        </w:tc>
        <w:tc>
          <w:tcPr>
            <w:tcW w:w="815" w:type="dxa"/>
            <w:vAlign w:val="bottom"/>
          </w:tcPr>
          <w:p w:rsidR="00000000" w:rsidRDefault="00000000">
            <w:pPr>
              <w:ind w:right="170"/>
              <w:jc w:val="right"/>
              <w:rPr>
                <w:szCs w:val="20"/>
              </w:rPr>
            </w:pPr>
            <w:r>
              <w:rPr>
                <w:szCs w:val="20"/>
              </w:rPr>
              <w:t>121</w:t>
            </w:r>
          </w:p>
        </w:tc>
        <w:tc>
          <w:tcPr>
            <w:tcW w:w="815" w:type="dxa"/>
            <w:vAlign w:val="bottom"/>
          </w:tcPr>
          <w:p w:rsidR="00000000" w:rsidRDefault="00000000">
            <w:pPr>
              <w:ind w:right="170"/>
              <w:jc w:val="right"/>
              <w:rPr>
                <w:b/>
                <w:bCs/>
                <w:szCs w:val="20"/>
              </w:rPr>
            </w:pPr>
            <w:r>
              <w:rPr>
                <w:b/>
                <w:bCs/>
                <w:szCs w:val="20"/>
              </w:rPr>
              <w:t>827</w:t>
            </w:r>
          </w:p>
        </w:tc>
      </w:tr>
      <w:tr w:rsidR="00000000">
        <w:tblPrEx>
          <w:tblCellMar>
            <w:top w:w="0" w:type="dxa"/>
            <w:bottom w:w="0" w:type="dxa"/>
          </w:tblCellMar>
        </w:tblPrEx>
        <w:trPr>
          <w:jc w:val="center"/>
        </w:trPr>
        <w:tc>
          <w:tcPr>
            <w:tcW w:w="3790" w:type="dxa"/>
          </w:tcPr>
          <w:p w:rsidR="00000000" w:rsidRDefault="00000000">
            <w:pPr>
              <w:ind w:left="284"/>
            </w:pPr>
            <w:r>
              <w:t>No solucionados</w:t>
            </w:r>
          </w:p>
        </w:tc>
        <w:tc>
          <w:tcPr>
            <w:tcW w:w="814" w:type="dxa"/>
            <w:vAlign w:val="bottom"/>
          </w:tcPr>
          <w:p w:rsidR="00000000" w:rsidRDefault="00000000">
            <w:pPr>
              <w:ind w:right="170"/>
              <w:jc w:val="right"/>
              <w:rPr>
                <w:szCs w:val="20"/>
              </w:rPr>
            </w:pPr>
            <w:r>
              <w:rPr>
                <w:szCs w:val="20"/>
              </w:rPr>
              <w:t>60</w:t>
            </w:r>
          </w:p>
        </w:tc>
        <w:tc>
          <w:tcPr>
            <w:tcW w:w="815" w:type="dxa"/>
            <w:vAlign w:val="bottom"/>
          </w:tcPr>
          <w:p w:rsidR="00000000" w:rsidRDefault="00000000">
            <w:pPr>
              <w:ind w:right="170"/>
              <w:jc w:val="right"/>
              <w:rPr>
                <w:szCs w:val="20"/>
              </w:rPr>
            </w:pPr>
            <w:r>
              <w:rPr>
                <w:szCs w:val="20"/>
              </w:rPr>
              <w:t>59</w:t>
            </w:r>
          </w:p>
        </w:tc>
        <w:tc>
          <w:tcPr>
            <w:tcW w:w="815" w:type="dxa"/>
            <w:vAlign w:val="bottom"/>
          </w:tcPr>
          <w:p w:rsidR="00000000" w:rsidRDefault="00000000">
            <w:pPr>
              <w:ind w:right="170"/>
              <w:jc w:val="right"/>
              <w:rPr>
                <w:szCs w:val="20"/>
              </w:rPr>
            </w:pPr>
            <w:r>
              <w:rPr>
                <w:szCs w:val="20"/>
              </w:rPr>
              <w:t>58</w:t>
            </w:r>
          </w:p>
        </w:tc>
        <w:tc>
          <w:tcPr>
            <w:tcW w:w="815" w:type="dxa"/>
            <w:vAlign w:val="bottom"/>
          </w:tcPr>
          <w:p w:rsidR="00000000" w:rsidRDefault="00000000">
            <w:pPr>
              <w:ind w:right="170"/>
              <w:jc w:val="right"/>
              <w:rPr>
                <w:szCs w:val="20"/>
              </w:rPr>
            </w:pPr>
            <w:r>
              <w:rPr>
                <w:szCs w:val="20"/>
              </w:rPr>
              <w:t>45</w:t>
            </w:r>
          </w:p>
        </w:tc>
        <w:tc>
          <w:tcPr>
            <w:tcW w:w="815" w:type="dxa"/>
            <w:vAlign w:val="bottom"/>
          </w:tcPr>
          <w:p w:rsidR="00000000" w:rsidRDefault="00000000">
            <w:pPr>
              <w:ind w:right="170"/>
              <w:jc w:val="right"/>
              <w:rPr>
                <w:szCs w:val="20"/>
              </w:rPr>
            </w:pPr>
            <w:r>
              <w:rPr>
                <w:szCs w:val="20"/>
              </w:rPr>
              <w:t>28</w:t>
            </w:r>
          </w:p>
        </w:tc>
        <w:tc>
          <w:tcPr>
            <w:tcW w:w="815" w:type="dxa"/>
            <w:vAlign w:val="bottom"/>
          </w:tcPr>
          <w:p w:rsidR="00000000" w:rsidRDefault="00000000">
            <w:pPr>
              <w:ind w:right="170"/>
              <w:jc w:val="right"/>
              <w:rPr>
                <w:szCs w:val="20"/>
              </w:rPr>
            </w:pPr>
            <w:r>
              <w:rPr>
                <w:szCs w:val="20"/>
              </w:rPr>
              <w:t>31</w:t>
            </w:r>
          </w:p>
        </w:tc>
        <w:tc>
          <w:tcPr>
            <w:tcW w:w="815" w:type="dxa"/>
            <w:vAlign w:val="bottom"/>
          </w:tcPr>
          <w:p w:rsidR="00000000" w:rsidRDefault="00000000">
            <w:pPr>
              <w:ind w:right="170"/>
              <w:jc w:val="right"/>
              <w:rPr>
                <w:b/>
                <w:bCs/>
                <w:szCs w:val="20"/>
              </w:rPr>
            </w:pPr>
            <w:r>
              <w:rPr>
                <w:b/>
                <w:bCs/>
                <w:szCs w:val="20"/>
              </w:rPr>
              <w:t>281</w:t>
            </w:r>
          </w:p>
        </w:tc>
      </w:tr>
      <w:tr w:rsidR="00000000">
        <w:tblPrEx>
          <w:tblCellMar>
            <w:top w:w="0" w:type="dxa"/>
            <w:bottom w:w="0" w:type="dxa"/>
          </w:tblCellMar>
        </w:tblPrEx>
        <w:trPr>
          <w:jc w:val="center"/>
        </w:trPr>
        <w:tc>
          <w:tcPr>
            <w:tcW w:w="3790" w:type="dxa"/>
          </w:tcPr>
          <w:p w:rsidR="00000000" w:rsidRDefault="00000000">
            <w:r>
              <w:t>Incomparecencias</w:t>
            </w:r>
          </w:p>
        </w:tc>
        <w:tc>
          <w:tcPr>
            <w:tcW w:w="814"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c>
          <w:tcPr>
            <w:tcW w:w="815" w:type="dxa"/>
          </w:tcPr>
          <w:p w:rsidR="00000000" w:rsidRDefault="00000000">
            <w:pPr>
              <w:ind w:right="170"/>
              <w:jc w:val="right"/>
            </w:pPr>
          </w:p>
        </w:tc>
      </w:tr>
      <w:tr w:rsidR="00000000">
        <w:tblPrEx>
          <w:tblCellMar>
            <w:top w:w="0" w:type="dxa"/>
            <w:bottom w:w="0" w:type="dxa"/>
          </w:tblCellMar>
        </w:tblPrEx>
        <w:trPr>
          <w:jc w:val="center"/>
        </w:trPr>
        <w:tc>
          <w:tcPr>
            <w:tcW w:w="3790" w:type="dxa"/>
          </w:tcPr>
          <w:p w:rsidR="00000000" w:rsidRDefault="00000000">
            <w:pPr>
              <w:ind w:left="284"/>
            </w:pPr>
            <w:r>
              <w:t>Sindicales</w:t>
            </w:r>
          </w:p>
        </w:tc>
        <w:tc>
          <w:tcPr>
            <w:tcW w:w="814" w:type="dxa"/>
            <w:vAlign w:val="bottom"/>
          </w:tcPr>
          <w:p w:rsidR="00000000" w:rsidRDefault="00000000">
            <w:pPr>
              <w:ind w:right="170"/>
              <w:jc w:val="right"/>
              <w:rPr>
                <w:szCs w:val="20"/>
              </w:rPr>
            </w:pPr>
            <w:r>
              <w:rPr>
                <w:szCs w:val="20"/>
              </w:rPr>
              <w:t>1</w:t>
            </w:r>
          </w:p>
        </w:tc>
        <w:tc>
          <w:tcPr>
            <w:tcW w:w="815" w:type="dxa"/>
            <w:vAlign w:val="bottom"/>
          </w:tcPr>
          <w:p w:rsidR="00000000" w:rsidRDefault="00000000">
            <w:pPr>
              <w:ind w:right="170"/>
              <w:jc w:val="right"/>
              <w:rPr>
                <w:szCs w:val="20"/>
              </w:rPr>
            </w:pPr>
            <w:r>
              <w:rPr>
                <w:szCs w:val="20"/>
              </w:rPr>
              <w:t>3</w:t>
            </w:r>
          </w:p>
        </w:tc>
        <w:tc>
          <w:tcPr>
            <w:tcW w:w="815" w:type="dxa"/>
            <w:vAlign w:val="bottom"/>
          </w:tcPr>
          <w:p w:rsidR="00000000" w:rsidRDefault="00000000">
            <w:pPr>
              <w:ind w:right="170"/>
              <w:jc w:val="right"/>
              <w:rPr>
                <w:szCs w:val="20"/>
              </w:rPr>
            </w:pPr>
            <w:r>
              <w:rPr>
                <w:szCs w:val="20"/>
              </w:rPr>
              <w:t>6</w:t>
            </w:r>
          </w:p>
        </w:tc>
        <w:tc>
          <w:tcPr>
            <w:tcW w:w="815" w:type="dxa"/>
            <w:vAlign w:val="bottom"/>
          </w:tcPr>
          <w:p w:rsidR="00000000" w:rsidRDefault="00000000">
            <w:pPr>
              <w:ind w:right="170"/>
              <w:jc w:val="right"/>
              <w:rPr>
                <w:szCs w:val="20"/>
              </w:rPr>
            </w:pPr>
            <w:r>
              <w:rPr>
                <w:szCs w:val="20"/>
              </w:rPr>
              <w:t>10</w:t>
            </w:r>
          </w:p>
        </w:tc>
        <w:tc>
          <w:tcPr>
            <w:tcW w:w="815" w:type="dxa"/>
            <w:vAlign w:val="bottom"/>
          </w:tcPr>
          <w:p w:rsidR="00000000" w:rsidRDefault="00000000">
            <w:pPr>
              <w:ind w:right="170"/>
              <w:jc w:val="right"/>
              <w:rPr>
                <w:szCs w:val="20"/>
              </w:rPr>
            </w:pPr>
            <w:r>
              <w:rPr>
                <w:szCs w:val="20"/>
              </w:rPr>
              <w:t>9</w:t>
            </w:r>
          </w:p>
        </w:tc>
        <w:tc>
          <w:tcPr>
            <w:tcW w:w="815" w:type="dxa"/>
            <w:vAlign w:val="bottom"/>
          </w:tcPr>
          <w:p w:rsidR="00000000" w:rsidRDefault="00000000">
            <w:pPr>
              <w:ind w:right="170"/>
              <w:jc w:val="right"/>
              <w:rPr>
                <w:szCs w:val="20"/>
              </w:rPr>
            </w:pPr>
            <w:r>
              <w:rPr>
                <w:szCs w:val="20"/>
              </w:rPr>
              <w:t>7</w:t>
            </w:r>
          </w:p>
        </w:tc>
        <w:tc>
          <w:tcPr>
            <w:tcW w:w="815" w:type="dxa"/>
            <w:vAlign w:val="bottom"/>
          </w:tcPr>
          <w:p w:rsidR="00000000" w:rsidRDefault="00000000">
            <w:pPr>
              <w:ind w:right="170"/>
              <w:jc w:val="right"/>
              <w:rPr>
                <w:b/>
                <w:bCs/>
                <w:szCs w:val="20"/>
              </w:rPr>
            </w:pPr>
            <w:r>
              <w:rPr>
                <w:b/>
                <w:bCs/>
                <w:szCs w:val="20"/>
              </w:rPr>
              <w:t>36</w:t>
            </w:r>
          </w:p>
        </w:tc>
      </w:tr>
      <w:tr w:rsidR="00000000">
        <w:tblPrEx>
          <w:tblCellMar>
            <w:top w:w="0" w:type="dxa"/>
            <w:bottom w:w="0" w:type="dxa"/>
          </w:tblCellMar>
        </w:tblPrEx>
        <w:trPr>
          <w:jc w:val="center"/>
        </w:trPr>
        <w:tc>
          <w:tcPr>
            <w:tcW w:w="3790" w:type="dxa"/>
          </w:tcPr>
          <w:p w:rsidR="00000000" w:rsidRDefault="00000000">
            <w:pPr>
              <w:ind w:left="284"/>
            </w:pPr>
            <w:r>
              <w:t>Patronales</w:t>
            </w:r>
          </w:p>
        </w:tc>
        <w:tc>
          <w:tcPr>
            <w:tcW w:w="814" w:type="dxa"/>
            <w:vAlign w:val="bottom"/>
          </w:tcPr>
          <w:p w:rsidR="00000000" w:rsidRDefault="00000000">
            <w:pPr>
              <w:ind w:right="170"/>
              <w:jc w:val="right"/>
              <w:rPr>
                <w:szCs w:val="20"/>
              </w:rPr>
            </w:pPr>
            <w:r>
              <w:rPr>
                <w:szCs w:val="20"/>
              </w:rPr>
              <w:t>76</w:t>
            </w:r>
          </w:p>
        </w:tc>
        <w:tc>
          <w:tcPr>
            <w:tcW w:w="815" w:type="dxa"/>
            <w:vAlign w:val="bottom"/>
          </w:tcPr>
          <w:p w:rsidR="00000000" w:rsidRDefault="00000000">
            <w:pPr>
              <w:ind w:right="170"/>
              <w:jc w:val="right"/>
              <w:rPr>
                <w:szCs w:val="20"/>
              </w:rPr>
            </w:pPr>
            <w:r>
              <w:rPr>
                <w:szCs w:val="20"/>
              </w:rPr>
              <w:t>79</w:t>
            </w:r>
          </w:p>
        </w:tc>
        <w:tc>
          <w:tcPr>
            <w:tcW w:w="815" w:type="dxa"/>
            <w:vAlign w:val="bottom"/>
          </w:tcPr>
          <w:p w:rsidR="00000000" w:rsidRDefault="00000000">
            <w:pPr>
              <w:ind w:right="170"/>
              <w:jc w:val="right"/>
              <w:rPr>
                <w:szCs w:val="20"/>
              </w:rPr>
            </w:pPr>
            <w:r>
              <w:rPr>
                <w:szCs w:val="20"/>
              </w:rPr>
              <w:t>71</w:t>
            </w:r>
          </w:p>
        </w:tc>
        <w:tc>
          <w:tcPr>
            <w:tcW w:w="815" w:type="dxa"/>
            <w:vAlign w:val="bottom"/>
          </w:tcPr>
          <w:p w:rsidR="00000000" w:rsidRDefault="00000000">
            <w:pPr>
              <w:ind w:right="170"/>
              <w:jc w:val="right"/>
              <w:rPr>
                <w:szCs w:val="20"/>
              </w:rPr>
            </w:pPr>
            <w:r>
              <w:rPr>
                <w:szCs w:val="20"/>
              </w:rPr>
              <w:t>92</w:t>
            </w:r>
          </w:p>
        </w:tc>
        <w:tc>
          <w:tcPr>
            <w:tcW w:w="815" w:type="dxa"/>
            <w:vAlign w:val="bottom"/>
          </w:tcPr>
          <w:p w:rsidR="00000000" w:rsidRDefault="00000000">
            <w:pPr>
              <w:ind w:right="170"/>
              <w:jc w:val="right"/>
              <w:rPr>
                <w:szCs w:val="20"/>
              </w:rPr>
            </w:pPr>
            <w:r>
              <w:rPr>
                <w:szCs w:val="20"/>
              </w:rPr>
              <w:t>75</w:t>
            </w:r>
          </w:p>
        </w:tc>
        <w:tc>
          <w:tcPr>
            <w:tcW w:w="815" w:type="dxa"/>
            <w:vAlign w:val="bottom"/>
          </w:tcPr>
          <w:p w:rsidR="00000000" w:rsidRDefault="00000000">
            <w:pPr>
              <w:ind w:right="170"/>
              <w:jc w:val="right"/>
              <w:rPr>
                <w:szCs w:val="20"/>
              </w:rPr>
            </w:pPr>
            <w:r>
              <w:rPr>
                <w:szCs w:val="20"/>
              </w:rPr>
              <w:t>61</w:t>
            </w:r>
          </w:p>
        </w:tc>
        <w:tc>
          <w:tcPr>
            <w:tcW w:w="815" w:type="dxa"/>
            <w:vAlign w:val="bottom"/>
          </w:tcPr>
          <w:p w:rsidR="00000000" w:rsidRDefault="00000000">
            <w:pPr>
              <w:ind w:right="170"/>
              <w:jc w:val="right"/>
              <w:rPr>
                <w:b/>
                <w:bCs/>
                <w:szCs w:val="20"/>
              </w:rPr>
            </w:pPr>
            <w:r>
              <w:rPr>
                <w:b/>
                <w:bCs/>
                <w:szCs w:val="20"/>
              </w:rPr>
              <w:t>454</w:t>
            </w:r>
          </w:p>
        </w:tc>
      </w:tr>
      <w:tr w:rsidR="00000000">
        <w:tblPrEx>
          <w:tblCellMar>
            <w:top w:w="0" w:type="dxa"/>
            <w:bottom w:w="0" w:type="dxa"/>
          </w:tblCellMar>
        </w:tblPrEx>
        <w:trPr>
          <w:jc w:val="center"/>
        </w:trPr>
        <w:tc>
          <w:tcPr>
            <w:tcW w:w="3790" w:type="dxa"/>
          </w:tcPr>
          <w:p w:rsidR="00000000" w:rsidRDefault="00000000">
            <w:pPr>
              <w:ind w:left="284"/>
            </w:pPr>
            <w:r>
              <w:t>Ambas partes</w:t>
            </w:r>
          </w:p>
        </w:tc>
        <w:tc>
          <w:tcPr>
            <w:tcW w:w="814" w:type="dxa"/>
            <w:vAlign w:val="bottom"/>
          </w:tcPr>
          <w:p w:rsidR="00000000" w:rsidRDefault="00000000">
            <w:pPr>
              <w:ind w:right="170"/>
              <w:jc w:val="right"/>
              <w:rPr>
                <w:szCs w:val="20"/>
              </w:rPr>
            </w:pPr>
            <w:r>
              <w:rPr>
                <w:szCs w:val="20"/>
              </w:rPr>
              <w:t>25</w:t>
            </w:r>
          </w:p>
        </w:tc>
        <w:tc>
          <w:tcPr>
            <w:tcW w:w="815" w:type="dxa"/>
            <w:vAlign w:val="bottom"/>
          </w:tcPr>
          <w:p w:rsidR="00000000" w:rsidRDefault="00000000">
            <w:pPr>
              <w:ind w:right="170"/>
              <w:jc w:val="right"/>
              <w:rPr>
                <w:szCs w:val="20"/>
              </w:rPr>
            </w:pPr>
            <w:r>
              <w:rPr>
                <w:szCs w:val="20"/>
              </w:rPr>
              <w:t>21</w:t>
            </w:r>
          </w:p>
        </w:tc>
        <w:tc>
          <w:tcPr>
            <w:tcW w:w="815" w:type="dxa"/>
            <w:vAlign w:val="bottom"/>
          </w:tcPr>
          <w:p w:rsidR="00000000" w:rsidRDefault="00000000">
            <w:pPr>
              <w:ind w:right="170"/>
              <w:jc w:val="right"/>
              <w:rPr>
                <w:szCs w:val="20"/>
              </w:rPr>
            </w:pPr>
            <w:r>
              <w:rPr>
                <w:szCs w:val="20"/>
              </w:rPr>
              <w:t>10</w:t>
            </w:r>
          </w:p>
        </w:tc>
        <w:tc>
          <w:tcPr>
            <w:tcW w:w="815" w:type="dxa"/>
            <w:vAlign w:val="bottom"/>
          </w:tcPr>
          <w:p w:rsidR="00000000" w:rsidRDefault="00000000">
            <w:pPr>
              <w:ind w:right="170"/>
              <w:jc w:val="right"/>
              <w:rPr>
                <w:szCs w:val="20"/>
              </w:rPr>
            </w:pPr>
            <w:r>
              <w:rPr>
                <w:szCs w:val="20"/>
              </w:rPr>
              <w:t>9</w:t>
            </w:r>
          </w:p>
        </w:tc>
        <w:tc>
          <w:tcPr>
            <w:tcW w:w="815" w:type="dxa"/>
            <w:vAlign w:val="bottom"/>
          </w:tcPr>
          <w:p w:rsidR="00000000" w:rsidRDefault="00000000">
            <w:pPr>
              <w:ind w:right="170"/>
              <w:jc w:val="right"/>
              <w:rPr>
                <w:szCs w:val="20"/>
              </w:rPr>
            </w:pPr>
            <w:r>
              <w:rPr>
                <w:szCs w:val="20"/>
              </w:rPr>
              <w:t>7</w:t>
            </w:r>
          </w:p>
        </w:tc>
        <w:tc>
          <w:tcPr>
            <w:tcW w:w="815" w:type="dxa"/>
            <w:vAlign w:val="bottom"/>
          </w:tcPr>
          <w:p w:rsidR="00000000" w:rsidRDefault="00000000">
            <w:pPr>
              <w:ind w:right="170"/>
              <w:jc w:val="right"/>
              <w:rPr>
                <w:szCs w:val="20"/>
              </w:rPr>
            </w:pPr>
            <w:r>
              <w:rPr>
                <w:szCs w:val="20"/>
              </w:rPr>
              <w:t>8</w:t>
            </w:r>
          </w:p>
        </w:tc>
        <w:tc>
          <w:tcPr>
            <w:tcW w:w="815" w:type="dxa"/>
            <w:vAlign w:val="bottom"/>
          </w:tcPr>
          <w:p w:rsidR="00000000" w:rsidRDefault="00000000">
            <w:pPr>
              <w:ind w:right="170"/>
              <w:jc w:val="right"/>
              <w:rPr>
                <w:b/>
                <w:bCs/>
                <w:szCs w:val="20"/>
              </w:rPr>
            </w:pPr>
            <w:r>
              <w:rPr>
                <w:b/>
                <w:bCs/>
                <w:szCs w:val="20"/>
              </w:rPr>
              <w:t>80</w:t>
            </w:r>
          </w:p>
        </w:tc>
      </w:tr>
    </w:tbl>
    <w:p w:rsidR="00000000" w:rsidRDefault="00000000">
      <w:pPr>
        <w:keepNext/>
        <w:spacing w:before="480" w:after="240"/>
        <w:ind w:left="567"/>
        <w:rPr>
          <w:b/>
        </w:rPr>
      </w:pPr>
      <w:r>
        <w:rPr>
          <w:b/>
        </w:rPr>
        <w:t>4.1.</w:t>
      </w:r>
      <w:r>
        <w:rPr>
          <w:b/>
        </w:rPr>
        <w:tab/>
        <w:t>Balance de los resultados obtenidos de las reuniones tripartitas - Año 2006</w:t>
      </w:r>
    </w:p>
    <w:p w:rsidR="00000000" w:rsidRDefault="00000000">
      <w:pPr>
        <w:keepNext/>
        <w:spacing w:after="240"/>
        <w:jc w:val="center"/>
        <w:rPr>
          <w:b/>
          <w:bCs/>
          <w:szCs w:val="20"/>
        </w:rPr>
      </w:pPr>
      <w:r>
        <w:rPr>
          <w:b/>
          <w:bCs/>
          <w:szCs w:val="20"/>
        </w:rPr>
        <w:t>Informe de actividades de la Dirección General del Trabajo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50"/>
        <w:gridCol w:w="1336"/>
        <w:gridCol w:w="1336"/>
        <w:gridCol w:w="1336"/>
        <w:gridCol w:w="1336"/>
      </w:tblGrid>
      <w:tr w:rsidR="00000000">
        <w:tblPrEx>
          <w:tblCellMar>
            <w:top w:w="0" w:type="dxa"/>
            <w:bottom w:w="0" w:type="dxa"/>
          </w:tblCellMar>
        </w:tblPrEx>
        <w:trPr>
          <w:cantSplit/>
          <w:tblHeader/>
        </w:trPr>
        <w:tc>
          <w:tcPr>
            <w:tcW w:w="4150" w:type="dxa"/>
            <w:vMerge w:val="restart"/>
            <w:vAlign w:val="center"/>
          </w:tcPr>
          <w:p w:rsidR="00000000" w:rsidRDefault="00000000">
            <w:pPr>
              <w:keepNext/>
              <w:jc w:val="center"/>
              <w:rPr>
                <w:b/>
              </w:rPr>
            </w:pPr>
            <w:r>
              <w:rPr>
                <w:b/>
                <w:bCs/>
                <w:szCs w:val="20"/>
              </w:rPr>
              <w:br w:type="page"/>
            </w:r>
            <w:r>
              <w:rPr>
                <w:b/>
              </w:rPr>
              <w:t>Referencias</w:t>
            </w:r>
          </w:p>
        </w:tc>
        <w:tc>
          <w:tcPr>
            <w:tcW w:w="5344" w:type="dxa"/>
            <w:gridSpan w:val="4"/>
            <w:vAlign w:val="center"/>
          </w:tcPr>
          <w:p w:rsidR="00000000" w:rsidRDefault="00000000">
            <w:pPr>
              <w:keepNext/>
              <w:jc w:val="center"/>
              <w:rPr>
                <w:b/>
              </w:rPr>
            </w:pPr>
            <w:r>
              <w:rPr>
                <w:b/>
              </w:rPr>
              <w:t>Resultados obtenidos</w:t>
            </w:r>
          </w:p>
        </w:tc>
      </w:tr>
      <w:tr w:rsidR="00000000">
        <w:tblPrEx>
          <w:tblCellMar>
            <w:top w:w="0" w:type="dxa"/>
            <w:bottom w:w="0" w:type="dxa"/>
          </w:tblCellMar>
        </w:tblPrEx>
        <w:trPr>
          <w:cantSplit/>
          <w:tblHeader/>
        </w:trPr>
        <w:tc>
          <w:tcPr>
            <w:tcW w:w="4150" w:type="dxa"/>
            <w:vMerge/>
            <w:vAlign w:val="center"/>
          </w:tcPr>
          <w:p w:rsidR="00000000" w:rsidRDefault="00000000">
            <w:pPr>
              <w:jc w:val="center"/>
              <w:rPr>
                <w:b/>
              </w:rPr>
            </w:pPr>
          </w:p>
        </w:tc>
        <w:tc>
          <w:tcPr>
            <w:tcW w:w="1336" w:type="dxa"/>
            <w:vAlign w:val="center"/>
          </w:tcPr>
          <w:p w:rsidR="00000000" w:rsidRDefault="00000000">
            <w:pPr>
              <w:jc w:val="center"/>
              <w:rPr>
                <w:b/>
                <w:bCs/>
                <w:szCs w:val="18"/>
              </w:rPr>
            </w:pPr>
            <w:r>
              <w:rPr>
                <w:b/>
                <w:bCs/>
                <w:szCs w:val="18"/>
              </w:rPr>
              <w:t>Enero</w:t>
            </w:r>
          </w:p>
        </w:tc>
        <w:tc>
          <w:tcPr>
            <w:tcW w:w="1336" w:type="dxa"/>
            <w:vAlign w:val="center"/>
          </w:tcPr>
          <w:p w:rsidR="00000000" w:rsidRDefault="00000000">
            <w:pPr>
              <w:jc w:val="center"/>
              <w:rPr>
                <w:b/>
                <w:bCs/>
                <w:szCs w:val="18"/>
              </w:rPr>
            </w:pPr>
            <w:r>
              <w:rPr>
                <w:b/>
                <w:bCs/>
                <w:szCs w:val="18"/>
              </w:rPr>
              <w:t>Febrero</w:t>
            </w:r>
          </w:p>
        </w:tc>
        <w:tc>
          <w:tcPr>
            <w:tcW w:w="1336" w:type="dxa"/>
            <w:vAlign w:val="center"/>
          </w:tcPr>
          <w:p w:rsidR="00000000" w:rsidRDefault="00000000">
            <w:pPr>
              <w:jc w:val="center"/>
              <w:rPr>
                <w:b/>
                <w:bCs/>
                <w:szCs w:val="18"/>
              </w:rPr>
            </w:pPr>
            <w:r>
              <w:rPr>
                <w:b/>
                <w:bCs/>
                <w:szCs w:val="18"/>
              </w:rPr>
              <w:t>Marzo</w:t>
            </w:r>
          </w:p>
        </w:tc>
        <w:tc>
          <w:tcPr>
            <w:tcW w:w="1336" w:type="dxa"/>
            <w:vAlign w:val="center"/>
          </w:tcPr>
          <w:p w:rsidR="00000000" w:rsidRDefault="00000000">
            <w:pPr>
              <w:jc w:val="center"/>
              <w:rPr>
                <w:b/>
                <w:bCs/>
                <w:szCs w:val="18"/>
              </w:rPr>
            </w:pPr>
            <w:r>
              <w:rPr>
                <w:b/>
                <w:bCs/>
                <w:szCs w:val="18"/>
              </w:rPr>
              <w:t>Totales</w:t>
            </w:r>
          </w:p>
        </w:tc>
      </w:tr>
      <w:tr w:rsidR="00000000">
        <w:tblPrEx>
          <w:tblCellMar>
            <w:top w:w="0" w:type="dxa"/>
            <w:bottom w:w="0" w:type="dxa"/>
          </w:tblCellMar>
        </w:tblPrEx>
        <w:tc>
          <w:tcPr>
            <w:tcW w:w="4150" w:type="dxa"/>
          </w:tcPr>
          <w:p w:rsidR="00000000" w:rsidRDefault="00000000">
            <w:pPr>
              <w:keepNext/>
              <w:rPr>
                <w:b/>
              </w:rPr>
            </w:pPr>
            <w:r>
              <w:rPr>
                <w:b/>
              </w:rPr>
              <w:t>Reuniones tripartitas</w:t>
            </w:r>
          </w:p>
        </w:tc>
        <w:tc>
          <w:tcPr>
            <w:tcW w:w="1336" w:type="dxa"/>
          </w:tcPr>
          <w:p w:rsidR="00000000" w:rsidRDefault="00000000">
            <w:pPr>
              <w:keepNext/>
              <w:tabs>
                <w:tab w:val="decimal" w:pos="650"/>
              </w:tabs>
              <w:rPr>
                <w:b/>
              </w:rPr>
            </w:pPr>
          </w:p>
        </w:tc>
        <w:tc>
          <w:tcPr>
            <w:tcW w:w="1336" w:type="dxa"/>
          </w:tcPr>
          <w:p w:rsidR="00000000" w:rsidRDefault="00000000">
            <w:pPr>
              <w:keepNext/>
              <w:rPr>
                <w:b/>
              </w:rPr>
            </w:pPr>
          </w:p>
        </w:tc>
        <w:tc>
          <w:tcPr>
            <w:tcW w:w="1336" w:type="dxa"/>
          </w:tcPr>
          <w:p w:rsidR="00000000" w:rsidRDefault="00000000">
            <w:pPr>
              <w:keepNext/>
              <w:rPr>
                <w:b/>
              </w:rPr>
            </w:pPr>
          </w:p>
        </w:tc>
        <w:tc>
          <w:tcPr>
            <w:tcW w:w="1336" w:type="dxa"/>
          </w:tcPr>
          <w:p w:rsidR="00000000" w:rsidRDefault="00000000">
            <w:pPr>
              <w:keepNext/>
              <w:rPr>
                <w:b/>
              </w:rPr>
            </w:pPr>
          </w:p>
        </w:tc>
      </w:tr>
      <w:tr w:rsidR="00000000">
        <w:tblPrEx>
          <w:tblCellMar>
            <w:top w:w="0" w:type="dxa"/>
            <w:bottom w:w="0" w:type="dxa"/>
          </w:tblCellMar>
        </w:tblPrEx>
        <w:tc>
          <w:tcPr>
            <w:tcW w:w="4150" w:type="dxa"/>
            <w:vAlign w:val="bottom"/>
          </w:tcPr>
          <w:p w:rsidR="00000000" w:rsidRDefault="00000000">
            <w:pPr>
              <w:rPr>
                <w:szCs w:val="20"/>
              </w:rPr>
            </w:pPr>
            <w:r>
              <w:rPr>
                <w:szCs w:val="20"/>
              </w:rPr>
              <w:t>Convocatorias</w:t>
            </w:r>
          </w:p>
        </w:tc>
        <w:tc>
          <w:tcPr>
            <w:tcW w:w="1336" w:type="dxa"/>
            <w:vAlign w:val="bottom"/>
          </w:tcPr>
          <w:p w:rsidR="00000000" w:rsidRDefault="00000000">
            <w:pPr>
              <w:ind w:right="454"/>
              <w:jc w:val="right"/>
              <w:rPr>
                <w:szCs w:val="20"/>
              </w:rPr>
            </w:pPr>
            <w:r>
              <w:rPr>
                <w:szCs w:val="20"/>
              </w:rPr>
              <w:t>24</w:t>
            </w:r>
          </w:p>
        </w:tc>
        <w:tc>
          <w:tcPr>
            <w:tcW w:w="1336" w:type="dxa"/>
            <w:vAlign w:val="bottom"/>
          </w:tcPr>
          <w:p w:rsidR="00000000" w:rsidRDefault="00000000">
            <w:pPr>
              <w:ind w:right="454"/>
              <w:jc w:val="right"/>
              <w:rPr>
                <w:szCs w:val="20"/>
              </w:rPr>
            </w:pPr>
            <w:r>
              <w:rPr>
                <w:szCs w:val="20"/>
              </w:rPr>
              <w:t>33</w:t>
            </w:r>
          </w:p>
        </w:tc>
        <w:tc>
          <w:tcPr>
            <w:tcW w:w="1336" w:type="dxa"/>
            <w:vAlign w:val="bottom"/>
          </w:tcPr>
          <w:p w:rsidR="00000000" w:rsidRDefault="00000000">
            <w:pPr>
              <w:ind w:right="454"/>
              <w:jc w:val="right"/>
              <w:rPr>
                <w:szCs w:val="20"/>
              </w:rPr>
            </w:pPr>
            <w:r>
              <w:rPr>
                <w:szCs w:val="20"/>
              </w:rPr>
              <w:t>33</w:t>
            </w:r>
          </w:p>
        </w:tc>
        <w:tc>
          <w:tcPr>
            <w:tcW w:w="1336" w:type="dxa"/>
            <w:vAlign w:val="bottom"/>
          </w:tcPr>
          <w:p w:rsidR="00000000" w:rsidRDefault="00000000">
            <w:pPr>
              <w:ind w:right="454"/>
              <w:jc w:val="right"/>
              <w:rPr>
                <w:szCs w:val="20"/>
              </w:rPr>
            </w:pPr>
            <w:r>
              <w:rPr>
                <w:szCs w:val="20"/>
              </w:rPr>
              <w:t>90</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Notas</w:t>
            </w:r>
          </w:p>
        </w:tc>
        <w:tc>
          <w:tcPr>
            <w:tcW w:w="1336" w:type="dxa"/>
            <w:vAlign w:val="bottom"/>
          </w:tcPr>
          <w:p w:rsidR="00000000" w:rsidRDefault="00000000">
            <w:pPr>
              <w:ind w:right="454"/>
              <w:jc w:val="right"/>
              <w:rPr>
                <w:szCs w:val="20"/>
              </w:rPr>
            </w:pPr>
            <w:r>
              <w:rPr>
                <w:szCs w:val="20"/>
              </w:rPr>
              <w:t>13</w:t>
            </w:r>
          </w:p>
        </w:tc>
        <w:tc>
          <w:tcPr>
            <w:tcW w:w="1336" w:type="dxa"/>
            <w:vAlign w:val="bottom"/>
          </w:tcPr>
          <w:p w:rsidR="00000000" w:rsidRDefault="00000000">
            <w:pPr>
              <w:ind w:right="454"/>
              <w:jc w:val="right"/>
              <w:rPr>
                <w:szCs w:val="20"/>
              </w:rPr>
            </w:pPr>
            <w:r>
              <w:rPr>
                <w:szCs w:val="20"/>
              </w:rPr>
              <w:t>20</w:t>
            </w:r>
          </w:p>
        </w:tc>
        <w:tc>
          <w:tcPr>
            <w:tcW w:w="1336" w:type="dxa"/>
            <w:vAlign w:val="bottom"/>
          </w:tcPr>
          <w:p w:rsidR="00000000" w:rsidRDefault="00000000">
            <w:pPr>
              <w:ind w:right="454"/>
              <w:jc w:val="right"/>
              <w:rPr>
                <w:szCs w:val="20"/>
              </w:rPr>
            </w:pPr>
            <w:r>
              <w:rPr>
                <w:szCs w:val="20"/>
              </w:rPr>
              <w:t>8</w:t>
            </w:r>
          </w:p>
        </w:tc>
        <w:tc>
          <w:tcPr>
            <w:tcW w:w="1336" w:type="dxa"/>
            <w:vAlign w:val="bottom"/>
          </w:tcPr>
          <w:p w:rsidR="00000000" w:rsidRDefault="00000000">
            <w:pPr>
              <w:ind w:right="454"/>
              <w:jc w:val="right"/>
              <w:rPr>
                <w:szCs w:val="20"/>
              </w:rPr>
            </w:pPr>
            <w:r>
              <w:rPr>
                <w:szCs w:val="20"/>
              </w:rPr>
              <w:t>41</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Oficio</w:t>
            </w:r>
          </w:p>
        </w:tc>
        <w:tc>
          <w:tcPr>
            <w:tcW w:w="1336" w:type="dxa"/>
            <w:vAlign w:val="bottom"/>
          </w:tcPr>
          <w:p w:rsidR="00000000" w:rsidRDefault="00000000">
            <w:pPr>
              <w:ind w:right="454"/>
              <w:jc w:val="right"/>
              <w:rPr>
                <w:szCs w:val="20"/>
              </w:rPr>
            </w:pPr>
            <w:r>
              <w:rPr>
                <w:szCs w:val="20"/>
              </w:rPr>
              <w:t>1</w:t>
            </w:r>
          </w:p>
        </w:tc>
        <w:tc>
          <w:tcPr>
            <w:tcW w:w="1336" w:type="dxa"/>
            <w:vAlign w:val="bottom"/>
          </w:tcPr>
          <w:p w:rsidR="00000000" w:rsidRDefault="00000000">
            <w:pPr>
              <w:ind w:right="454"/>
              <w:jc w:val="right"/>
              <w:rPr>
                <w:szCs w:val="20"/>
              </w:rPr>
            </w:pPr>
            <w:r>
              <w:rPr>
                <w:szCs w:val="20"/>
              </w:rPr>
              <w:t>5</w:t>
            </w:r>
          </w:p>
        </w:tc>
        <w:tc>
          <w:tcPr>
            <w:tcW w:w="1336" w:type="dxa"/>
            <w:vAlign w:val="bottom"/>
          </w:tcPr>
          <w:p w:rsidR="00000000" w:rsidRDefault="00000000">
            <w:pPr>
              <w:ind w:right="454"/>
              <w:jc w:val="right"/>
              <w:rPr>
                <w:szCs w:val="20"/>
              </w:rPr>
            </w:pPr>
            <w:r>
              <w:rPr>
                <w:szCs w:val="20"/>
              </w:rPr>
              <w:t>5</w:t>
            </w:r>
          </w:p>
        </w:tc>
        <w:tc>
          <w:tcPr>
            <w:tcW w:w="1336" w:type="dxa"/>
            <w:vAlign w:val="bottom"/>
          </w:tcPr>
          <w:p w:rsidR="00000000" w:rsidRDefault="00000000">
            <w:pPr>
              <w:ind w:right="454"/>
              <w:jc w:val="right"/>
              <w:rPr>
                <w:szCs w:val="20"/>
              </w:rPr>
            </w:pPr>
            <w:r>
              <w:rPr>
                <w:szCs w:val="20"/>
              </w:rPr>
              <w:t>11</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Dictamen</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r>
      <w:tr w:rsidR="00000000">
        <w:tblPrEx>
          <w:tblCellMar>
            <w:top w:w="0" w:type="dxa"/>
            <w:bottom w:w="0" w:type="dxa"/>
          </w:tblCellMar>
        </w:tblPrEx>
        <w:tc>
          <w:tcPr>
            <w:tcW w:w="4150" w:type="dxa"/>
            <w:vAlign w:val="bottom"/>
          </w:tcPr>
          <w:p w:rsidR="00000000" w:rsidRDefault="00000000">
            <w:pPr>
              <w:rPr>
                <w:szCs w:val="20"/>
              </w:rPr>
            </w:pPr>
            <w:r>
              <w:rPr>
                <w:szCs w:val="20"/>
              </w:rPr>
              <w:t>Por actividad y expediente</w:t>
            </w:r>
          </w:p>
        </w:tc>
        <w:tc>
          <w:tcPr>
            <w:tcW w:w="1336" w:type="dxa"/>
            <w:vAlign w:val="bottom"/>
          </w:tcPr>
          <w:p w:rsidR="00000000" w:rsidRDefault="00000000">
            <w:pPr>
              <w:ind w:right="454"/>
              <w:jc w:val="right"/>
              <w:rPr>
                <w:szCs w:val="20"/>
              </w:rPr>
            </w:pPr>
            <w:r>
              <w:rPr>
                <w:szCs w:val="20"/>
              </w:rPr>
              <w:t>14</w:t>
            </w:r>
          </w:p>
        </w:tc>
        <w:tc>
          <w:tcPr>
            <w:tcW w:w="1336" w:type="dxa"/>
            <w:vAlign w:val="bottom"/>
          </w:tcPr>
          <w:p w:rsidR="00000000" w:rsidRDefault="00000000">
            <w:pPr>
              <w:ind w:right="454"/>
              <w:jc w:val="right"/>
              <w:rPr>
                <w:szCs w:val="20"/>
              </w:rPr>
            </w:pPr>
            <w:r>
              <w:rPr>
                <w:szCs w:val="20"/>
              </w:rPr>
              <w:t>25</w:t>
            </w:r>
          </w:p>
        </w:tc>
        <w:tc>
          <w:tcPr>
            <w:tcW w:w="1336" w:type="dxa"/>
            <w:vAlign w:val="bottom"/>
          </w:tcPr>
          <w:p w:rsidR="00000000" w:rsidRDefault="00000000">
            <w:pPr>
              <w:ind w:right="454"/>
              <w:jc w:val="right"/>
              <w:rPr>
                <w:szCs w:val="20"/>
              </w:rPr>
            </w:pPr>
            <w:r>
              <w:rPr>
                <w:szCs w:val="20"/>
              </w:rPr>
              <w:t>13</w:t>
            </w:r>
          </w:p>
        </w:tc>
        <w:tc>
          <w:tcPr>
            <w:tcW w:w="1336" w:type="dxa"/>
            <w:vAlign w:val="bottom"/>
          </w:tcPr>
          <w:p w:rsidR="00000000" w:rsidRDefault="00000000">
            <w:pPr>
              <w:ind w:right="454"/>
              <w:jc w:val="right"/>
              <w:rPr>
                <w:szCs w:val="20"/>
              </w:rPr>
            </w:pPr>
            <w:r>
              <w:rPr>
                <w:szCs w:val="20"/>
              </w:rPr>
              <w:t>52</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Comercio</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Servicio</w:t>
            </w:r>
          </w:p>
        </w:tc>
        <w:tc>
          <w:tcPr>
            <w:tcW w:w="1336" w:type="dxa"/>
            <w:vAlign w:val="bottom"/>
          </w:tcPr>
          <w:p w:rsidR="00000000" w:rsidRDefault="00000000">
            <w:pPr>
              <w:ind w:right="454"/>
              <w:jc w:val="right"/>
              <w:rPr>
                <w:szCs w:val="20"/>
              </w:rPr>
            </w:pPr>
            <w:r>
              <w:rPr>
                <w:szCs w:val="20"/>
              </w:rPr>
              <w:t>1</w:t>
            </w:r>
          </w:p>
        </w:tc>
        <w:tc>
          <w:tcPr>
            <w:tcW w:w="1336" w:type="dxa"/>
            <w:vAlign w:val="bottom"/>
          </w:tcPr>
          <w:p w:rsidR="00000000" w:rsidRDefault="00000000">
            <w:pPr>
              <w:ind w:right="454"/>
              <w:jc w:val="right"/>
              <w:rPr>
                <w:szCs w:val="20"/>
              </w:rPr>
            </w:pPr>
            <w:r>
              <w:rPr>
                <w:szCs w:val="20"/>
              </w:rPr>
              <w:t>4</w:t>
            </w:r>
          </w:p>
        </w:tc>
        <w:tc>
          <w:tcPr>
            <w:tcW w:w="1336" w:type="dxa"/>
            <w:vAlign w:val="bottom"/>
          </w:tcPr>
          <w:p w:rsidR="00000000" w:rsidRDefault="00000000">
            <w:pPr>
              <w:ind w:right="454"/>
              <w:jc w:val="right"/>
              <w:rPr>
                <w:szCs w:val="20"/>
              </w:rPr>
            </w:pPr>
            <w:r>
              <w:rPr>
                <w:szCs w:val="20"/>
              </w:rPr>
              <w:t>1</w:t>
            </w:r>
          </w:p>
        </w:tc>
        <w:tc>
          <w:tcPr>
            <w:tcW w:w="1336" w:type="dxa"/>
            <w:vAlign w:val="bottom"/>
          </w:tcPr>
          <w:p w:rsidR="00000000" w:rsidRDefault="00000000">
            <w:pPr>
              <w:ind w:right="454"/>
              <w:jc w:val="right"/>
              <w:rPr>
                <w:szCs w:val="20"/>
              </w:rPr>
            </w:pPr>
            <w:r>
              <w:rPr>
                <w:szCs w:val="20"/>
              </w:rPr>
              <w:t>6</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Industria</w:t>
            </w:r>
          </w:p>
        </w:tc>
        <w:tc>
          <w:tcPr>
            <w:tcW w:w="1336" w:type="dxa"/>
            <w:vAlign w:val="bottom"/>
          </w:tcPr>
          <w:p w:rsidR="00000000" w:rsidRDefault="00000000">
            <w:pPr>
              <w:ind w:right="454"/>
              <w:jc w:val="right"/>
              <w:rPr>
                <w:szCs w:val="20"/>
              </w:rPr>
            </w:pPr>
            <w:r>
              <w:rPr>
                <w:szCs w:val="20"/>
              </w:rPr>
              <w:t>4</w:t>
            </w:r>
          </w:p>
        </w:tc>
        <w:tc>
          <w:tcPr>
            <w:tcW w:w="1336" w:type="dxa"/>
            <w:vAlign w:val="bottom"/>
          </w:tcPr>
          <w:p w:rsidR="00000000" w:rsidRDefault="00000000">
            <w:pPr>
              <w:ind w:right="454"/>
              <w:jc w:val="right"/>
              <w:rPr>
                <w:szCs w:val="20"/>
              </w:rPr>
            </w:pPr>
            <w:r>
              <w:rPr>
                <w:szCs w:val="20"/>
              </w:rPr>
              <w:t>5</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9</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Transporte</w:t>
            </w:r>
          </w:p>
        </w:tc>
        <w:tc>
          <w:tcPr>
            <w:tcW w:w="1336" w:type="dxa"/>
            <w:vAlign w:val="bottom"/>
          </w:tcPr>
          <w:p w:rsidR="00000000" w:rsidRDefault="00000000">
            <w:pPr>
              <w:ind w:right="454"/>
              <w:jc w:val="right"/>
              <w:rPr>
                <w:szCs w:val="20"/>
              </w:rPr>
            </w:pPr>
            <w:r>
              <w:rPr>
                <w:szCs w:val="20"/>
              </w:rPr>
              <w:t>6</w:t>
            </w:r>
          </w:p>
        </w:tc>
        <w:tc>
          <w:tcPr>
            <w:tcW w:w="1336" w:type="dxa"/>
            <w:vAlign w:val="bottom"/>
          </w:tcPr>
          <w:p w:rsidR="00000000" w:rsidRDefault="00000000">
            <w:pPr>
              <w:ind w:right="454"/>
              <w:jc w:val="right"/>
              <w:rPr>
                <w:szCs w:val="20"/>
              </w:rPr>
            </w:pPr>
            <w:r>
              <w:rPr>
                <w:szCs w:val="20"/>
              </w:rPr>
              <w:t>10</w:t>
            </w:r>
          </w:p>
        </w:tc>
        <w:tc>
          <w:tcPr>
            <w:tcW w:w="1336" w:type="dxa"/>
            <w:vAlign w:val="bottom"/>
          </w:tcPr>
          <w:p w:rsidR="00000000" w:rsidRDefault="00000000">
            <w:pPr>
              <w:ind w:right="454"/>
              <w:jc w:val="right"/>
              <w:rPr>
                <w:szCs w:val="20"/>
              </w:rPr>
            </w:pPr>
            <w:r>
              <w:rPr>
                <w:szCs w:val="20"/>
              </w:rPr>
              <w:t>6</w:t>
            </w:r>
          </w:p>
        </w:tc>
        <w:tc>
          <w:tcPr>
            <w:tcW w:w="1336" w:type="dxa"/>
            <w:vAlign w:val="bottom"/>
          </w:tcPr>
          <w:p w:rsidR="00000000" w:rsidRDefault="00000000">
            <w:pPr>
              <w:ind w:right="454"/>
              <w:jc w:val="right"/>
              <w:rPr>
                <w:szCs w:val="20"/>
              </w:rPr>
            </w:pPr>
            <w:r>
              <w:rPr>
                <w:szCs w:val="20"/>
              </w:rPr>
              <w:t>22</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Estado</w:t>
            </w:r>
          </w:p>
        </w:tc>
        <w:tc>
          <w:tcPr>
            <w:tcW w:w="1336" w:type="dxa"/>
            <w:vAlign w:val="bottom"/>
          </w:tcPr>
          <w:p w:rsidR="00000000" w:rsidRDefault="00000000">
            <w:pPr>
              <w:ind w:right="454"/>
              <w:jc w:val="right"/>
              <w:rPr>
                <w:szCs w:val="20"/>
              </w:rPr>
            </w:pPr>
            <w:r>
              <w:rPr>
                <w:szCs w:val="20"/>
              </w:rPr>
              <w:t>3</w:t>
            </w:r>
          </w:p>
        </w:tc>
        <w:tc>
          <w:tcPr>
            <w:tcW w:w="1336" w:type="dxa"/>
            <w:vAlign w:val="bottom"/>
          </w:tcPr>
          <w:p w:rsidR="00000000" w:rsidRDefault="00000000">
            <w:pPr>
              <w:ind w:right="454"/>
              <w:jc w:val="right"/>
              <w:rPr>
                <w:szCs w:val="20"/>
              </w:rPr>
            </w:pPr>
            <w:r>
              <w:rPr>
                <w:szCs w:val="20"/>
              </w:rPr>
              <w:t>6</w:t>
            </w:r>
          </w:p>
        </w:tc>
        <w:tc>
          <w:tcPr>
            <w:tcW w:w="1336" w:type="dxa"/>
            <w:vAlign w:val="bottom"/>
          </w:tcPr>
          <w:p w:rsidR="00000000" w:rsidRDefault="00000000">
            <w:pPr>
              <w:ind w:right="454"/>
              <w:jc w:val="right"/>
              <w:rPr>
                <w:szCs w:val="20"/>
              </w:rPr>
            </w:pPr>
            <w:r>
              <w:rPr>
                <w:szCs w:val="20"/>
              </w:rPr>
              <w:t>6</w:t>
            </w:r>
          </w:p>
        </w:tc>
        <w:tc>
          <w:tcPr>
            <w:tcW w:w="1336" w:type="dxa"/>
            <w:vAlign w:val="bottom"/>
          </w:tcPr>
          <w:p w:rsidR="00000000" w:rsidRDefault="00000000">
            <w:pPr>
              <w:ind w:right="454"/>
              <w:jc w:val="right"/>
              <w:rPr>
                <w:szCs w:val="20"/>
              </w:rPr>
            </w:pPr>
            <w:r>
              <w:rPr>
                <w:szCs w:val="20"/>
              </w:rPr>
              <w:t>15</w:t>
            </w:r>
          </w:p>
        </w:tc>
      </w:tr>
      <w:tr w:rsidR="00000000">
        <w:tblPrEx>
          <w:tblCellMar>
            <w:top w:w="0" w:type="dxa"/>
            <w:bottom w:w="0" w:type="dxa"/>
          </w:tblCellMar>
        </w:tblPrEx>
        <w:tc>
          <w:tcPr>
            <w:tcW w:w="4150" w:type="dxa"/>
            <w:vAlign w:val="bottom"/>
          </w:tcPr>
          <w:p w:rsidR="00000000" w:rsidRDefault="00000000">
            <w:pPr>
              <w:keepNext/>
              <w:rPr>
                <w:szCs w:val="20"/>
              </w:rPr>
            </w:pPr>
            <w:r>
              <w:rPr>
                <w:szCs w:val="20"/>
              </w:rPr>
              <w:t>Por motivo</w:t>
            </w:r>
          </w:p>
        </w:tc>
        <w:tc>
          <w:tcPr>
            <w:tcW w:w="1336" w:type="dxa"/>
            <w:vAlign w:val="bottom"/>
          </w:tcPr>
          <w:p w:rsidR="00000000" w:rsidRDefault="00000000">
            <w:pPr>
              <w:keepNext/>
              <w:ind w:right="454"/>
              <w:jc w:val="right"/>
              <w:rPr>
                <w:szCs w:val="20"/>
              </w:rPr>
            </w:pPr>
            <w:r>
              <w:rPr>
                <w:szCs w:val="20"/>
              </w:rPr>
              <w:t>14</w:t>
            </w:r>
          </w:p>
        </w:tc>
        <w:tc>
          <w:tcPr>
            <w:tcW w:w="1336" w:type="dxa"/>
            <w:vAlign w:val="bottom"/>
          </w:tcPr>
          <w:p w:rsidR="00000000" w:rsidRDefault="00000000">
            <w:pPr>
              <w:keepNext/>
              <w:ind w:right="454"/>
              <w:jc w:val="right"/>
              <w:rPr>
                <w:szCs w:val="20"/>
              </w:rPr>
            </w:pPr>
            <w:r>
              <w:rPr>
                <w:szCs w:val="20"/>
              </w:rPr>
              <w:t>25</w:t>
            </w:r>
          </w:p>
        </w:tc>
        <w:tc>
          <w:tcPr>
            <w:tcW w:w="1336" w:type="dxa"/>
            <w:vAlign w:val="bottom"/>
          </w:tcPr>
          <w:p w:rsidR="00000000" w:rsidRDefault="00000000">
            <w:pPr>
              <w:keepNext/>
              <w:ind w:right="454"/>
              <w:jc w:val="right"/>
              <w:rPr>
                <w:szCs w:val="20"/>
              </w:rPr>
            </w:pPr>
            <w:r>
              <w:rPr>
                <w:szCs w:val="20"/>
              </w:rPr>
              <w:t>13</w:t>
            </w:r>
          </w:p>
        </w:tc>
        <w:tc>
          <w:tcPr>
            <w:tcW w:w="1336" w:type="dxa"/>
            <w:vAlign w:val="bottom"/>
          </w:tcPr>
          <w:p w:rsidR="00000000" w:rsidRDefault="00000000">
            <w:pPr>
              <w:keepNext/>
              <w:ind w:right="454"/>
              <w:jc w:val="right"/>
              <w:rPr>
                <w:szCs w:val="20"/>
              </w:rPr>
            </w:pPr>
            <w:r>
              <w:rPr>
                <w:szCs w:val="20"/>
              </w:rPr>
              <w:t>52</w:t>
            </w:r>
          </w:p>
        </w:tc>
      </w:tr>
      <w:tr w:rsidR="00000000">
        <w:tblPrEx>
          <w:tblCellMar>
            <w:top w:w="0" w:type="dxa"/>
            <w:bottom w:w="0" w:type="dxa"/>
          </w:tblCellMar>
        </w:tblPrEx>
        <w:tc>
          <w:tcPr>
            <w:tcW w:w="4150" w:type="dxa"/>
            <w:vAlign w:val="bottom"/>
          </w:tcPr>
          <w:p w:rsidR="00000000" w:rsidRDefault="00000000">
            <w:pPr>
              <w:keepNext/>
              <w:ind w:left="284"/>
              <w:rPr>
                <w:szCs w:val="20"/>
              </w:rPr>
            </w:pPr>
            <w:r>
              <w:rPr>
                <w:szCs w:val="20"/>
              </w:rPr>
              <w:t>Varios temas de interés laboral</w:t>
            </w:r>
          </w:p>
        </w:tc>
        <w:tc>
          <w:tcPr>
            <w:tcW w:w="1336" w:type="dxa"/>
            <w:vAlign w:val="bottom"/>
          </w:tcPr>
          <w:p w:rsidR="00000000" w:rsidRDefault="00000000">
            <w:pPr>
              <w:keepNext/>
              <w:ind w:right="454"/>
              <w:jc w:val="right"/>
              <w:rPr>
                <w:szCs w:val="20"/>
              </w:rPr>
            </w:pPr>
            <w:r>
              <w:rPr>
                <w:szCs w:val="20"/>
              </w:rPr>
              <w:t>13</w:t>
            </w:r>
          </w:p>
        </w:tc>
        <w:tc>
          <w:tcPr>
            <w:tcW w:w="1336" w:type="dxa"/>
            <w:vAlign w:val="bottom"/>
          </w:tcPr>
          <w:p w:rsidR="00000000" w:rsidRDefault="00000000">
            <w:pPr>
              <w:keepNext/>
              <w:ind w:right="454"/>
              <w:jc w:val="right"/>
              <w:rPr>
                <w:szCs w:val="20"/>
              </w:rPr>
            </w:pPr>
            <w:r>
              <w:rPr>
                <w:szCs w:val="20"/>
              </w:rPr>
              <w:t>19</w:t>
            </w:r>
          </w:p>
        </w:tc>
        <w:tc>
          <w:tcPr>
            <w:tcW w:w="1336" w:type="dxa"/>
            <w:vAlign w:val="bottom"/>
          </w:tcPr>
          <w:p w:rsidR="00000000" w:rsidRDefault="00000000">
            <w:pPr>
              <w:keepNext/>
              <w:ind w:right="454"/>
              <w:jc w:val="right"/>
              <w:rPr>
                <w:szCs w:val="20"/>
              </w:rPr>
            </w:pPr>
            <w:r>
              <w:rPr>
                <w:szCs w:val="20"/>
              </w:rPr>
              <w:t>12</w:t>
            </w:r>
          </w:p>
        </w:tc>
        <w:tc>
          <w:tcPr>
            <w:tcW w:w="1336" w:type="dxa"/>
            <w:vAlign w:val="bottom"/>
          </w:tcPr>
          <w:p w:rsidR="00000000" w:rsidRDefault="00000000">
            <w:pPr>
              <w:keepNext/>
              <w:ind w:right="454"/>
              <w:jc w:val="right"/>
              <w:rPr>
                <w:szCs w:val="20"/>
              </w:rPr>
            </w:pPr>
            <w:r>
              <w:rPr>
                <w:szCs w:val="20"/>
              </w:rPr>
              <w:t>44</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Comunicación de medida de fuerza</w:t>
            </w:r>
          </w:p>
        </w:tc>
        <w:tc>
          <w:tcPr>
            <w:tcW w:w="1336" w:type="dxa"/>
            <w:vAlign w:val="bottom"/>
          </w:tcPr>
          <w:p w:rsidR="00000000" w:rsidRDefault="00000000">
            <w:pPr>
              <w:ind w:right="454"/>
              <w:jc w:val="right"/>
              <w:rPr>
                <w:szCs w:val="20"/>
              </w:rPr>
            </w:pPr>
            <w:r>
              <w:rPr>
                <w:szCs w:val="20"/>
              </w:rPr>
              <w:t>1</w:t>
            </w:r>
          </w:p>
        </w:tc>
        <w:tc>
          <w:tcPr>
            <w:tcW w:w="1336" w:type="dxa"/>
            <w:vAlign w:val="bottom"/>
          </w:tcPr>
          <w:p w:rsidR="00000000" w:rsidRDefault="00000000">
            <w:pPr>
              <w:ind w:right="454"/>
              <w:jc w:val="right"/>
              <w:rPr>
                <w:szCs w:val="20"/>
              </w:rPr>
            </w:pPr>
            <w:r>
              <w:rPr>
                <w:szCs w:val="20"/>
              </w:rPr>
              <w:t>6</w:t>
            </w:r>
          </w:p>
        </w:tc>
        <w:tc>
          <w:tcPr>
            <w:tcW w:w="1336" w:type="dxa"/>
            <w:vAlign w:val="bottom"/>
          </w:tcPr>
          <w:p w:rsidR="00000000" w:rsidRDefault="00000000">
            <w:pPr>
              <w:ind w:right="454"/>
              <w:jc w:val="right"/>
              <w:rPr>
                <w:szCs w:val="20"/>
              </w:rPr>
            </w:pPr>
            <w:r>
              <w:rPr>
                <w:szCs w:val="20"/>
              </w:rPr>
              <w:t>1</w:t>
            </w:r>
          </w:p>
        </w:tc>
        <w:tc>
          <w:tcPr>
            <w:tcW w:w="1336" w:type="dxa"/>
            <w:vAlign w:val="bottom"/>
          </w:tcPr>
          <w:p w:rsidR="00000000" w:rsidRDefault="00000000">
            <w:pPr>
              <w:ind w:right="454"/>
              <w:jc w:val="right"/>
              <w:rPr>
                <w:szCs w:val="20"/>
              </w:rPr>
            </w:pPr>
            <w:r>
              <w:rPr>
                <w:szCs w:val="20"/>
              </w:rPr>
              <w:t>8</w:t>
            </w:r>
          </w:p>
        </w:tc>
      </w:tr>
      <w:tr w:rsidR="00000000">
        <w:tblPrEx>
          <w:tblCellMar>
            <w:top w:w="0" w:type="dxa"/>
            <w:bottom w:w="0" w:type="dxa"/>
          </w:tblCellMar>
        </w:tblPrEx>
        <w:tc>
          <w:tcPr>
            <w:tcW w:w="4150" w:type="dxa"/>
            <w:vAlign w:val="bottom"/>
          </w:tcPr>
          <w:p w:rsidR="00000000" w:rsidRDefault="00000000">
            <w:pPr>
              <w:rPr>
                <w:szCs w:val="20"/>
              </w:rPr>
            </w:pPr>
            <w:r>
              <w:rPr>
                <w:szCs w:val="20"/>
              </w:rPr>
              <w:t>Por resultados</w:t>
            </w:r>
          </w:p>
        </w:tc>
        <w:tc>
          <w:tcPr>
            <w:tcW w:w="1336" w:type="dxa"/>
            <w:vAlign w:val="bottom"/>
          </w:tcPr>
          <w:p w:rsidR="00000000" w:rsidRDefault="00000000">
            <w:pPr>
              <w:ind w:right="454"/>
              <w:jc w:val="right"/>
              <w:rPr>
                <w:szCs w:val="20"/>
              </w:rPr>
            </w:pPr>
            <w:r>
              <w:rPr>
                <w:szCs w:val="20"/>
              </w:rPr>
              <w:t>14</w:t>
            </w:r>
          </w:p>
        </w:tc>
        <w:tc>
          <w:tcPr>
            <w:tcW w:w="1336" w:type="dxa"/>
            <w:vAlign w:val="bottom"/>
          </w:tcPr>
          <w:p w:rsidR="00000000" w:rsidRDefault="00000000">
            <w:pPr>
              <w:ind w:right="454"/>
              <w:jc w:val="right"/>
              <w:rPr>
                <w:szCs w:val="20"/>
              </w:rPr>
            </w:pPr>
            <w:r>
              <w:rPr>
                <w:szCs w:val="20"/>
              </w:rPr>
              <w:t>25</w:t>
            </w:r>
          </w:p>
        </w:tc>
        <w:tc>
          <w:tcPr>
            <w:tcW w:w="1336" w:type="dxa"/>
            <w:vAlign w:val="bottom"/>
          </w:tcPr>
          <w:p w:rsidR="00000000" w:rsidRDefault="00000000">
            <w:pPr>
              <w:ind w:right="454"/>
              <w:jc w:val="right"/>
              <w:rPr>
                <w:szCs w:val="20"/>
              </w:rPr>
            </w:pPr>
            <w:r>
              <w:rPr>
                <w:szCs w:val="20"/>
              </w:rPr>
              <w:t>13</w:t>
            </w:r>
          </w:p>
        </w:tc>
        <w:tc>
          <w:tcPr>
            <w:tcW w:w="1336" w:type="dxa"/>
            <w:vAlign w:val="bottom"/>
          </w:tcPr>
          <w:p w:rsidR="00000000" w:rsidRDefault="00000000">
            <w:pPr>
              <w:ind w:right="454"/>
              <w:jc w:val="right"/>
              <w:rPr>
                <w:szCs w:val="20"/>
              </w:rPr>
            </w:pPr>
            <w:r>
              <w:rPr>
                <w:szCs w:val="20"/>
              </w:rPr>
              <w:t>53</w:t>
            </w:r>
          </w:p>
        </w:tc>
      </w:tr>
      <w:tr w:rsidR="00000000">
        <w:tblPrEx>
          <w:tblCellMar>
            <w:top w:w="0" w:type="dxa"/>
            <w:bottom w:w="0" w:type="dxa"/>
          </w:tblCellMar>
        </w:tblPrEx>
        <w:tc>
          <w:tcPr>
            <w:tcW w:w="4150" w:type="dxa"/>
            <w:vAlign w:val="bottom"/>
          </w:tcPr>
          <w:p w:rsidR="00000000" w:rsidRDefault="00000000">
            <w:pPr>
              <w:keepNext/>
              <w:rPr>
                <w:szCs w:val="20"/>
              </w:rPr>
            </w:pPr>
            <w:r>
              <w:rPr>
                <w:szCs w:val="20"/>
              </w:rPr>
              <w:t>Comparecencias</w:t>
            </w:r>
          </w:p>
        </w:tc>
        <w:tc>
          <w:tcPr>
            <w:tcW w:w="1336" w:type="dxa"/>
            <w:vAlign w:val="bottom"/>
          </w:tcPr>
          <w:p w:rsidR="00000000" w:rsidRDefault="00000000">
            <w:pPr>
              <w:keepNext/>
              <w:ind w:right="454"/>
              <w:jc w:val="right"/>
              <w:rPr>
                <w:szCs w:val="20"/>
              </w:rPr>
            </w:pPr>
            <w:r>
              <w:rPr>
                <w:szCs w:val="20"/>
              </w:rPr>
              <w:t>9</w:t>
            </w:r>
          </w:p>
        </w:tc>
        <w:tc>
          <w:tcPr>
            <w:tcW w:w="1336" w:type="dxa"/>
            <w:vAlign w:val="bottom"/>
          </w:tcPr>
          <w:p w:rsidR="00000000" w:rsidRDefault="00000000">
            <w:pPr>
              <w:keepNext/>
              <w:ind w:right="454"/>
              <w:jc w:val="right"/>
              <w:rPr>
                <w:szCs w:val="20"/>
              </w:rPr>
            </w:pPr>
            <w:r>
              <w:rPr>
                <w:szCs w:val="20"/>
              </w:rPr>
              <w:t>19</w:t>
            </w:r>
          </w:p>
        </w:tc>
        <w:tc>
          <w:tcPr>
            <w:tcW w:w="1336" w:type="dxa"/>
            <w:vAlign w:val="bottom"/>
          </w:tcPr>
          <w:p w:rsidR="00000000" w:rsidRDefault="00000000">
            <w:pPr>
              <w:keepNext/>
              <w:ind w:right="454"/>
              <w:jc w:val="right"/>
              <w:rPr>
                <w:szCs w:val="20"/>
              </w:rPr>
            </w:pPr>
            <w:r>
              <w:rPr>
                <w:szCs w:val="20"/>
              </w:rPr>
              <w:t>10</w:t>
            </w:r>
          </w:p>
        </w:tc>
        <w:tc>
          <w:tcPr>
            <w:tcW w:w="1336" w:type="dxa"/>
            <w:vAlign w:val="bottom"/>
          </w:tcPr>
          <w:p w:rsidR="00000000" w:rsidRDefault="00000000">
            <w:pPr>
              <w:keepNext/>
              <w:ind w:right="454"/>
              <w:jc w:val="right"/>
              <w:rPr>
                <w:szCs w:val="20"/>
              </w:rPr>
            </w:pPr>
            <w:r>
              <w:rPr>
                <w:szCs w:val="20"/>
              </w:rPr>
              <w:t>38</w:t>
            </w:r>
          </w:p>
        </w:tc>
      </w:tr>
      <w:tr w:rsidR="00000000">
        <w:tblPrEx>
          <w:tblCellMar>
            <w:top w:w="0" w:type="dxa"/>
            <w:bottom w:w="0" w:type="dxa"/>
          </w:tblCellMar>
        </w:tblPrEx>
        <w:tc>
          <w:tcPr>
            <w:tcW w:w="4150" w:type="dxa"/>
            <w:vAlign w:val="bottom"/>
          </w:tcPr>
          <w:p w:rsidR="00000000" w:rsidRDefault="00000000">
            <w:pPr>
              <w:keepNext/>
              <w:ind w:left="284"/>
              <w:rPr>
                <w:szCs w:val="20"/>
              </w:rPr>
            </w:pPr>
            <w:r>
              <w:rPr>
                <w:szCs w:val="20"/>
              </w:rPr>
              <w:t>Solucionado</w:t>
            </w:r>
          </w:p>
        </w:tc>
        <w:tc>
          <w:tcPr>
            <w:tcW w:w="1336" w:type="dxa"/>
            <w:vAlign w:val="bottom"/>
          </w:tcPr>
          <w:p w:rsidR="00000000" w:rsidRDefault="00000000">
            <w:pPr>
              <w:keepNext/>
              <w:ind w:right="454"/>
              <w:jc w:val="right"/>
              <w:rPr>
                <w:szCs w:val="20"/>
              </w:rPr>
            </w:pPr>
            <w:r>
              <w:rPr>
                <w:szCs w:val="20"/>
              </w:rPr>
              <w:t>5</w:t>
            </w:r>
          </w:p>
        </w:tc>
        <w:tc>
          <w:tcPr>
            <w:tcW w:w="1336" w:type="dxa"/>
            <w:vAlign w:val="bottom"/>
          </w:tcPr>
          <w:p w:rsidR="00000000" w:rsidRDefault="00000000">
            <w:pPr>
              <w:keepNext/>
              <w:ind w:right="454"/>
              <w:jc w:val="right"/>
              <w:rPr>
                <w:szCs w:val="20"/>
              </w:rPr>
            </w:pPr>
            <w:r>
              <w:rPr>
                <w:szCs w:val="20"/>
              </w:rPr>
              <w:t>14</w:t>
            </w:r>
          </w:p>
        </w:tc>
        <w:tc>
          <w:tcPr>
            <w:tcW w:w="1336" w:type="dxa"/>
            <w:vAlign w:val="bottom"/>
          </w:tcPr>
          <w:p w:rsidR="00000000" w:rsidRDefault="00000000">
            <w:pPr>
              <w:keepNext/>
              <w:ind w:right="454"/>
              <w:jc w:val="right"/>
              <w:rPr>
                <w:szCs w:val="20"/>
              </w:rPr>
            </w:pPr>
            <w:r>
              <w:rPr>
                <w:szCs w:val="20"/>
              </w:rPr>
              <w:t>9</w:t>
            </w:r>
          </w:p>
        </w:tc>
        <w:tc>
          <w:tcPr>
            <w:tcW w:w="1336" w:type="dxa"/>
            <w:vAlign w:val="bottom"/>
          </w:tcPr>
          <w:p w:rsidR="00000000" w:rsidRDefault="00000000">
            <w:pPr>
              <w:keepNext/>
              <w:ind w:right="454"/>
              <w:jc w:val="right"/>
              <w:rPr>
                <w:szCs w:val="20"/>
              </w:rPr>
            </w:pPr>
            <w:r>
              <w:rPr>
                <w:szCs w:val="20"/>
              </w:rPr>
              <w:t>28</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No solucionado</w:t>
            </w:r>
          </w:p>
        </w:tc>
        <w:tc>
          <w:tcPr>
            <w:tcW w:w="1336" w:type="dxa"/>
            <w:vAlign w:val="bottom"/>
          </w:tcPr>
          <w:p w:rsidR="00000000" w:rsidRDefault="00000000">
            <w:pPr>
              <w:ind w:right="454"/>
              <w:jc w:val="right"/>
              <w:rPr>
                <w:szCs w:val="20"/>
              </w:rPr>
            </w:pPr>
            <w:r>
              <w:rPr>
                <w:szCs w:val="20"/>
              </w:rPr>
              <w:t>4</w:t>
            </w:r>
          </w:p>
        </w:tc>
        <w:tc>
          <w:tcPr>
            <w:tcW w:w="1336" w:type="dxa"/>
            <w:vAlign w:val="bottom"/>
          </w:tcPr>
          <w:p w:rsidR="00000000" w:rsidRDefault="00000000">
            <w:pPr>
              <w:ind w:right="454"/>
              <w:jc w:val="right"/>
              <w:rPr>
                <w:szCs w:val="20"/>
              </w:rPr>
            </w:pPr>
            <w:r>
              <w:rPr>
                <w:szCs w:val="20"/>
              </w:rPr>
              <w:t>5</w:t>
            </w:r>
          </w:p>
        </w:tc>
        <w:tc>
          <w:tcPr>
            <w:tcW w:w="1336" w:type="dxa"/>
            <w:vAlign w:val="bottom"/>
          </w:tcPr>
          <w:p w:rsidR="00000000" w:rsidRDefault="00000000">
            <w:pPr>
              <w:ind w:right="454"/>
              <w:jc w:val="right"/>
              <w:rPr>
                <w:szCs w:val="20"/>
              </w:rPr>
            </w:pPr>
            <w:r>
              <w:rPr>
                <w:szCs w:val="20"/>
              </w:rPr>
              <w:t>1</w:t>
            </w:r>
          </w:p>
        </w:tc>
        <w:tc>
          <w:tcPr>
            <w:tcW w:w="1336" w:type="dxa"/>
            <w:vAlign w:val="bottom"/>
          </w:tcPr>
          <w:p w:rsidR="00000000" w:rsidRDefault="00000000">
            <w:pPr>
              <w:ind w:right="454"/>
              <w:jc w:val="right"/>
              <w:rPr>
                <w:szCs w:val="20"/>
              </w:rPr>
            </w:pPr>
            <w:r>
              <w:rPr>
                <w:szCs w:val="20"/>
              </w:rPr>
              <w:t>10</w:t>
            </w:r>
          </w:p>
        </w:tc>
      </w:tr>
      <w:tr w:rsidR="00000000">
        <w:tblPrEx>
          <w:tblCellMar>
            <w:top w:w="0" w:type="dxa"/>
            <w:bottom w:w="0" w:type="dxa"/>
          </w:tblCellMar>
        </w:tblPrEx>
        <w:tc>
          <w:tcPr>
            <w:tcW w:w="4150" w:type="dxa"/>
            <w:vAlign w:val="bottom"/>
          </w:tcPr>
          <w:p w:rsidR="00000000" w:rsidRDefault="00000000">
            <w:pPr>
              <w:rPr>
                <w:szCs w:val="20"/>
              </w:rPr>
            </w:pPr>
            <w:r>
              <w:rPr>
                <w:szCs w:val="20"/>
              </w:rPr>
              <w:t>Incomparecencias</w:t>
            </w:r>
          </w:p>
        </w:tc>
        <w:tc>
          <w:tcPr>
            <w:tcW w:w="1336" w:type="dxa"/>
            <w:vAlign w:val="bottom"/>
          </w:tcPr>
          <w:p w:rsidR="00000000" w:rsidRDefault="00000000">
            <w:pPr>
              <w:ind w:right="454"/>
              <w:jc w:val="right"/>
              <w:rPr>
                <w:szCs w:val="20"/>
              </w:rPr>
            </w:pPr>
            <w:r>
              <w:rPr>
                <w:szCs w:val="20"/>
              </w:rPr>
              <w:t>5</w:t>
            </w:r>
          </w:p>
        </w:tc>
        <w:tc>
          <w:tcPr>
            <w:tcW w:w="1336" w:type="dxa"/>
            <w:vAlign w:val="bottom"/>
          </w:tcPr>
          <w:p w:rsidR="00000000" w:rsidRDefault="00000000">
            <w:pPr>
              <w:ind w:right="454"/>
              <w:jc w:val="right"/>
              <w:rPr>
                <w:szCs w:val="20"/>
              </w:rPr>
            </w:pPr>
            <w:r>
              <w:rPr>
                <w:szCs w:val="20"/>
              </w:rPr>
              <w:t>6</w:t>
            </w:r>
          </w:p>
        </w:tc>
        <w:tc>
          <w:tcPr>
            <w:tcW w:w="1336" w:type="dxa"/>
            <w:vAlign w:val="bottom"/>
          </w:tcPr>
          <w:p w:rsidR="00000000" w:rsidRDefault="00000000">
            <w:pPr>
              <w:ind w:right="454"/>
              <w:jc w:val="right"/>
              <w:rPr>
                <w:szCs w:val="20"/>
              </w:rPr>
            </w:pPr>
            <w:r>
              <w:rPr>
                <w:szCs w:val="20"/>
              </w:rPr>
              <w:t>3</w:t>
            </w:r>
          </w:p>
        </w:tc>
        <w:tc>
          <w:tcPr>
            <w:tcW w:w="1336" w:type="dxa"/>
            <w:vAlign w:val="bottom"/>
          </w:tcPr>
          <w:p w:rsidR="00000000" w:rsidRDefault="00000000">
            <w:pPr>
              <w:ind w:right="454"/>
              <w:jc w:val="right"/>
              <w:rPr>
                <w:szCs w:val="20"/>
              </w:rPr>
            </w:pPr>
            <w:r>
              <w:rPr>
                <w:szCs w:val="20"/>
              </w:rPr>
              <w:t>14</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Incomparecencia patronal</w:t>
            </w:r>
          </w:p>
        </w:tc>
        <w:tc>
          <w:tcPr>
            <w:tcW w:w="1336" w:type="dxa"/>
            <w:vAlign w:val="bottom"/>
          </w:tcPr>
          <w:p w:rsidR="00000000" w:rsidRDefault="00000000">
            <w:pPr>
              <w:ind w:right="454"/>
              <w:jc w:val="right"/>
              <w:rPr>
                <w:szCs w:val="20"/>
              </w:rPr>
            </w:pPr>
            <w:r>
              <w:rPr>
                <w:szCs w:val="20"/>
              </w:rPr>
              <w:t>4</w:t>
            </w:r>
          </w:p>
        </w:tc>
        <w:tc>
          <w:tcPr>
            <w:tcW w:w="1336" w:type="dxa"/>
            <w:vAlign w:val="bottom"/>
          </w:tcPr>
          <w:p w:rsidR="00000000" w:rsidRDefault="00000000">
            <w:pPr>
              <w:ind w:right="454"/>
              <w:jc w:val="right"/>
              <w:rPr>
                <w:szCs w:val="20"/>
              </w:rPr>
            </w:pPr>
            <w:r>
              <w:rPr>
                <w:szCs w:val="20"/>
              </w:rPr>
              <w:t>4</w:t>
            </w:r>
          </w:p>
        </w:tc>
        <w:tc>
          <w:tcPr>
            <w:tcW w:w="1336" w:type="dxa"/>
            <w:vAlign w:val="bottom"/>
          </w:tcPr>
          <w:p w:rsidR="00000000" w:rsidRDefault="00000000">
            <w:pPr>
              <w:ind w:right="454"/>
              <w:jc w:val="right"/>
              <w:rPr>
                <w:szCs w:val="20"/>
              </w:rPr>
            </w:pPr>
            <w:r>
              <w:rPr>
                <w:szCs w:val="20"/>
              </w:rPr>
              <w:t>2</w:t>
            </w:r>
          </w:p>
        </w:tc>
        <w:tc>
          <w:tcPr>
            <w:tcW w:w="1336" w:type="dxa"/>
            <w:vAlign w:val="bottom"/>
          </w:tcPr>
          <w:p w:rsidR="00000000" w:rsidRDefault="00000000">
            <w:pPr>
              <w:ind w:right="454"/>
              <w:jc w:val="right"/>
              <w:rPr>
                <w:szCs w:val="20"/>
              </w:rPr>
            </w:pPr>
            <w:r>
              <w:rPr>
                <w:szCs w:val="20"/>
              </w:rPr>
              <w:t>10</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Incomparecencia sindical</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c>
          <w:tcPr>
            <w:tcW w:w="1336" w:type="dxa"/>
            <w:vAlign w:val="bottom"/>
          </w:tcPr>
          <w:p w:rsidR="00000000" w:rsidRDefault="00000000">
            <w:pPr>
              <w:ind w:right="454"/>
              <w:jc w:val="right"/>
              <w:rPr>
                <w:szCs w:val="20"/>
              </w:rPr>
            </w:pPr>
            <w:r>
              <w:rPr>
                <w:szCs w:val="20"/>
              </w:rPr>
              <w:t>0</w:t>
            </w:r>
          </w:p>
        </w:tc>
      </w:tr>
      <w:tr w:rsidR="00000000">
        <w:tblPrEx>
          <w:tblCellMar>
            <w:top w:w="0" w:type="dxa"/>
            <w:bottom w:w="0" w:type="dxa"/>
          </w:tblCellMar>
        </w:tblPrEx>
        <w:tc>
          <w:tcPr>
            <w:tcW w:w="4150" w:type="dxa"/>
            <w:vAlign w:val="bottom"/>
          </w:tcPr>
          <w:p w:rsidR="00000000" w:rsidRDefault="00000000">
            <w:pPr>
              <w:ind w:left="284"/>
              <w:rPr>
                <w:szCs w:val="20"/>
              </w:rPr>
            </w:pPr>
            <w:r>
              <w:rPr>
                <w:szCs w:val="20"/>
              </w:rPr>
              <w:t>Incomparecencia de ambas partes</w:t>
            </w:r>
          </w:p>
        </w:tc>
        <w:tc>
          <w:tcPr>
            <w:tcW w:w="1336" w:type="dxa"/>
            <w:vAlign w:val="bottom"/>
          </w:tcPr>
          <w:p w:rsidR="00000000" w:rsidRDefault="00000000">
            <w:pPr>
              <w:ind w:right="454"/>
              <w:jc w:val="right"/>
              <w:rPr>
                <w:szCs w:val="20"/>
              </w:rPr>
            </w:pPr>
            <w:r>
              <w:rPr>
                <w:szCs w:val="20"/>
              </w:rPr>
              <w:t>1</w:t>
            </w:r>
          </w:p>
        </w:tc>
        <w:tc>
          <w:tcPr>
            <w:tcW w:w="1336" w:type="dxa"/>
            <w:vAlign w:val="bottom"/>
          </w:tcPr>
          <w:p w:rsidR="00000000" w:rsidRDefault="00000000">
            <w:pPr>
              <w:ind w:right="454"/>
              <w:jc w:val="right"/>
              <w:rPr>
                <w:szCs w:val="20"/>
              </w:rPr>
            </w:pPr>
            <w:r>
              <w:rPr>
                <w:szCs w:val="20"/>
              </w:rPr>
              <w:t>2</w:t>
            </w:r>
          </w:p>
        </w:tc>
        <w:tc>
          <w:tcPr>
            <w:tcW w:w="1336" w:type="dxa"/>
            <w:vAlign w:val="bottom"/>
          </w:tcPr>
          <w:p w:rsidR="00000000" w:rsidRDefault="00000000">
            <w:pPr>
              <w:ind w:right="454"/>
              <w:jc w:val="right"/>
              <w:rPr>
                <w:szCs w:val="20"/>
              </w:rPr>
            </w:pPr>
            <w:r>
              <w:rPr>
                <w:szCs w:val="20"/>
              </w:rPr>
              <w:t>1</w:t>
            </w:r>
          </w:p>
        </w:tc>
        <w:tc>
          <w:tcPr>
            <w:tcW w:w="1336" w:type="dxa"/>
            <w:vAlign w:val="bottom"/>
          </w:tcPr>
          <w:p w:rsidR="00000000" w:rsidRDefault="00000000">
            <w:pPr>
              <w:ind w:right="454"/>
              <w:jc w:val="right"/>
              <w:rPr>
                <w:szCs w:val="20"/>
              </w:rPr>
            </w:pPr>
            <w:r>
              <w:rPr>
                <w:szCs w:val="20"/>
              </w:rPr>
              <w:t>4</w:t>
            </w:r>
          </w:p>
        </w:tc>
      </w:tr>
    </w:tbl>
    <w:p w:rsidR="00000000" w:rsidRDefault="00000000">
      <w:pPr>
        <w:spacing w:before="240" w:after="480"/>
        <w:rPr>
          <w:bCs/>
        </w:rPr>
      </w:pPr>
      <w:r>
        <w:rPr>
          <w:i/>
          <w:iCs/>
          <w:szCs w:val="20"/>
        </w:rPr>
        <w:t>Fuente:</w:t>
      </w:r>
      <w:r>
        <w:rPr>
          <w:szCs w:val="20"/>
        </w:rPr>
        <w:t xml:space="preserve">  Dirección General del Trabajo, Asunción, 4 de abril de 2006.</w:t>
      </w:r>
    </w:p>
    <w:p w:rsidR="00000000" w:rsidRDefault="00000000">
      <w:pPr>
        <w:keepNext/>
        <w:spacing w:after="240"/>
        <w:ind w:left="1134"/>
        <w:rPr>
          <w:b/>
        </w:rPr>
      </w:pPr>
      <w:r>
        <w:rPr>
          <w:b/>
        </w:rPr>
        <w:t>4.1.1.  Representación gráfica de los resultados de la Comisión Tripartita</w:t>
      </w:r>
    </w:p>
    <w:bookmarkStart w:id="14" w:name="_MON_1236162313"/>
    <w:bookmarkStart w:id="15" w:name="_MON_1236162415"/>
    <w:bookmarkStart w:id="16" w:name="_MON_1236162454"/>
    <w:bookmarkStart w:id="17" w:name="_MON_1236162478"/>
    <w:bookmarkEnd w:id="14"/>
    <w:bookmarkEnd w:id="15"/>
    <w:bookmarkEnd w:id="16"/>
    <w:bookmarkEnd w:id="17"/>
    <w:p w:rsidR="00000000" w:rsidRDefault="00000000">
      <w:pPr>
        <w:spacing w:after="240"/>
      </w:pPr>
      <w:r>
        <w:object w:dxaOrig="3986" w:dyaOrig="2279">
          <v:shape id="_x0000_i1030" type="#_x0000_t75" style="width:199.5pt;height:114pt" o:ole="">
            <v:imagedata r:id="rId35" o:title=""/>
          </v:shape>
          <o:OLEObject Type="Embed" ProgID="Word.Picture.8" ShapeID="_x0000_i1030" DrawAspect="Content" ObjectID="_1394904853" r:id="rId36"/>
        </w:object>
      </w:r>
      <w:r>
        <w:tab/>
      </w:r>
      <w:r>
        <w:tab/>
      </w:r>
      <w:bookmarkStart w:id="18" w:name="_MON_1236162509"/>
      <w:bookmarkStart w:id="19" w:name="_MON_1236162598"/>
      <w:bookmarkStart w:id="20" w:name="_MON_1236163032"/>
      <w:bookmarkEnd w:id="18"/>
      <w:bookmarkEnd w:id="19"/>
      <w:bookmarkEnd w:id="20"/>
      <w:r>
        <w:object w:dxaOrig="3970" w:dyaOrig="2295">
          <v:shape id="_x0000_i1031" type="#_x0000_t75" style="width:198.75pt;height:114.75pt" o:ole="">
            <v:imagedata r:id="rId37" o:title=""/>
          </v:shape>
          <o:OLEObject Type="Embed" ProgID="Word.Picture.8" ShapeID="_x0000_i1031" DrawAspect="Content" ObjectID="_1394904854" r:id="rId38"/>
        </w:object>
      </w:r>
    </w:p>
    <w:bookmarkStart w:id="21" w:name="_MON_1236162687"/>
    <w:bookmarkStart w:id="22" w:name="_MON_1236162825"/>
    <w:bookmarkStart w:id="23" w:name="_MON_1236163046"/>
    <w:bookmarkEnd w:id="21"/>
    <w:bookmarkEnd w:id="22"/>
    <w:bookmarkEnd w:id="23"/>
    <w:p w:rsidR="00000000" w:rsidRDefault="00000000">
      <w:pPr>
        <w:spacing w:after="240"/>
      </w:pPr>
      <w:r>
        <w:object w:dxaOrig="6280" w:dyaOrig="2345">
          <v:shape id="_x0000_i1032" type="#_x0000_t75" style="width:314.25pt;height:117pt" o:ole="">
            <v:imagedata r:id="rId39" o:title=""/>
          </v:shape>
          <o:OLEObject Type="Embed" ProgID="Word.Picture.8" ShapeID="_x0000_i1032" DrawAspect="Content" ObjectID="_1394904855" r:id="rId40"/>
        </w:object>
      </w:r>
    </w:p>
    <w:bookmarkStart w:id="24" w:name="_MON_1236162833"/>
    <w:bookmarkStart w:id="25" w:name="_MON_1236163028"/>
    <w:bookmarkEnd w:id="24"/>
    <w:bookmarkEnd w:id="25"/>
    <w:p w:rsidR="00000000" w:rsidRDefault="00000000">
      <w:pPr>
        <w:spacing w:after="360"/>
      </w:pPr>
      <w:r>
        <w:object w:dxaOrig="3936" w:dyaOrig="2261">
          <v:shape id="_x0000_i1033" type="#_x0000_t75" style="width:196.5pt;height:113.25pt" o:ole="">
            <v:imagedata r:id="rId41" o:title=""/>
          </v:shape>
          <o:OLEObject Type="Embed" ProgID="Word.Picture.8" ShapeID="_x0000_i1033" DrawAspect="Content" ObjectID="_1394904856" r:id="rId42"/>
        </w:object>
      </w:r>
    </w:p>
    <w:p w:rsidR="00000000" w:rsidRDefault="00000000">
      <w:pPr>
        <w:keepNext/>
        <w:spacing w:after="240"/>
        <w:ind w:left="1134" w:hanging="567"/>
        <w:rPr>
          <w:b/>
        </w:rPr>
      </w:pPr>
      <w:r>
        <w:rPr>
          <w:b/>
        </w:rPr>
        <w:t>4.2.</w:t>
      </w:r>
      <w:r>
        <w:rPr>
          <w:b/>
        </w:rPr>
        <w:tab/>
        <w:t>Plan nacional de igualdad de oportunidades para las mujeres - Ámbito laboral</w:t>
      </w:r>
    </w:p>
    <w:p w:rsidR="00000000" w:rsidRDefault="00000000">
      <w:pPr>
        <w:autoSpaceDE w:val="0"/>
        <w:autoSpaceDN w:val="0"/>
        <w:adjustRightInd w:val="0"/>
        <w:spacing w:after="240"/>
      </w:pPr>
      <w:r>
        <w:t>212.</w:t>
      </w:r>
      <w:r>
        <w:tab/>
        <w:t xml:space="preserve">En el aspecto laboral, este Plan tiene por objetivo lograr la igualdad de oportunidades en el </w:t>
      </w:r>
      <w:r>
        <w:rPr>
          <w:szCs w:val="36"/>
        </w:rPr>
        <w:t>acceso</w:t>
      </w:r>
      <w:r>
        <w:t xml:space="preserve"> a los recursos económico, en especial al trabajo, para reducir la pobreza de las mujeres y asegurar una mejor calidad de vida.  El Plan propone entre otros:</w:t>
      </w:r>
    </w:p>
    <w:p w:rsidR="00000000" w:rsidRDefault="00000000">
      <w:pPr>
        <w:spacing w:after="240"/>
        <w:ind w:left="924" w:hanging="357"/>
      </w:pPr>
      <w:r>
        <w:t>-</w:t>
      </w:r>
      <w:r>
        <w:tab/>
        <w:t>Facilitar la información y orientación para mejorar el acceso, permanencia y posición de las mujeres en el mercado de trabajo;</w:t>
      </w:r>
    </w:p>
    <w:p w:rsidR="00000000" w:rsidRDefault="00000000">
      <w:pPr>
        <w:spacing w:after="240"/>
        <w:ind w:left="924" w:hanging="357"/>
      </w:pPr>
      <w:r>
        <w:t>-</w:t>
      </w:r>
      <w:r>
        <w:tab/>
        <w:t>Proporcionar capacitación adecuada a las necesidades del mercado y al desarrollo laboral de las mujeres;</w:t>
      </w:r>
    </w:p>
    <w:p w:rsidR="00000000" w:rsidRDefault="00000000">
      <w:pPr>
        <w:spacing w:after="240"/>
        <w:ind w:left="924" w:hanging="357"/>
      </w:pPr>
      <w:r>
        <w:t>-</w:t>
      </w:r>
      <w:r>
        <w:tab/>
        <w:t>Mejorar la calidad del empleo femenino;</w:t>
      </w:r>
    </w:p>
    <w:p w:rsidR="00000000" w:rsidRDefault="00000000">
      <w:pPr>
        <w:spacing w:after="240"/>
        <w:ind w:left="924" w:hanging="357"/>
      </w:pPr>
      <w:r>
        <w:t>-</w:t>
      </w:r>
      <w:r>
        <w:tab/>
        <w:t>Garantizar una adecuada cobertura del sistema de seguridad social para las mujeres trabajadoras;</w:t>
      </w:r>
    </w:p>
    <w:p w:rsidR="00000000" w:rsidRDefault="00000000">
      <w:pPr>
        <w:spacing w:after="240"/>
        <w:ind w:left="924" w:hanging="357"/>
      </w:pPr>
      <w:r>
        <w:t>-</w:t>
      </w:r>
      <w:r>
        <w:tab/>
        <w:t>Apoyar el desarrollo de la capacidad empresarial de las mujeres;</w:t>
      </w:r>
    </w:p>
    <w:p w:rsidR="00000000" w:rsidRDefault="00000000">
      <w:pPr>
        <w:spacing w:after="240"/>
        <w:ind w:left="924" w:hanging="357"/>
      </w:pPr>
      <w:r>
        <w:t>-</w:t>
      </w:r>
      <w:r>
        <w:tab/>
        <w:t>Promover la distribución equitativa de las responsabilidades familiares;</w:t>
      </w:r>
    </w:p>
    <w:p w:rsidR="00000000" w:rsidRDefault="00000000">
      <w:pPr>
        <w:spacing w:after="240"/>
        <w:ind w:left="924" w:hanging="357"/>
      </w:pPr>
      <w:r>
        <w:t>-</w:t>
      </w:r>
      <w:r>
        <w:tab/>
        <w:t>Facilitar el acceso de las mujeres rurales a los servicios y a los recursos productivos;</w:t>
      </w:r>
    </w:p>
    <w:p w:rsidR="00000000" w:rsidRDefault="00000000">
      <w:pPr>
        <w:spacing w:after="240"/>
        <w:ind w:left="924" w:hanging="357"/>
      </w:pPr>
      <w:r>
        <w:t>-</w:t>
      </w:r>
      <w:r>
        <w:tab/>
        <w:t>Reducir la situación de pobreza de las mujeres, con especial atención a las jefas de hogar.</w:t>
      </w:r>
    </w:p>
    <w:p w:rsidR="00000000" w:rsidRDefault="00000000">
      <w:pPr>
        <w:autoSpaceDE w:val="0"/>
        <w:autoSpaceDN w:val="0"/>
        <w:adjustRightInd w:val="0"/>
        <w:spacing w:after="240"/>
      </w:pPr>
      <w:r>
        <w:t>213.</w:t>
      </w:r>
      <w:r>
        <w:tab/>
        <w:t xml:space="preserve">Este Plan es de cobertura nacional, y exige su cumplimiento y ejecución por las instituciones públicas y privadas involucradas.  El Ministerio de Justicia y Trabajo lo viene </w:t>
      </w:r>
      <w:r>
        <w:rPr>
          <w:szCs w:val="36"/>
        </w:rPr>
        <w:t>implementando</w:t>
      </w:r>
      <w:r>
        <w:t>, a través de acciones concretas desde la Dirección de Promoción de la Mujer Trabajadora y la Comisión Nacional Tripartita, prevista en su Plan de Acción Anual y la Agenda de Trabajo Decente para la Mujer Paraguaya.</w:t>
      </w:r>
    </w:p>
    <w:p w:rsidR="00000000" w:rsidRDefault="00000000">
      <w:pPr>
        <w:autoSpaceDE w:val="0"/>
        <w:autoSpaceDN w:val="0"/>
        <w:adjustRightInd w:val="0"/>
        <w:spacing w:after="240"/>
      </w:pPr>
      <w:r>
        <w:rPr>
          <w:lang w:val="es-MX"/>
        </w:rPr>
        <w:t>214.</w:t>
      </w:r>
      <w:r>
        <w:rPr>
          <w:lang w:val="es-MX"/>
        </w:rPr>
        <w:tab/>
        <w:t>En otro ámbito, se encuentra vigente l</w:t>
      </w:r>
      <w:r>
        <w:t>a Ley N° 1725 "Estatuto docente", capítulo V, "Remuneración", dentro de sus artículos 23 al 29, en donde se deja constancia que, tanto para el/la docente del sector público como para el sector privado, la remuneración evaluable, en virtud de las funciones docentes, técnicas y administrativas establecidas en el Presupuesto General de la Nación para cada función.</w:t>
      </w:r>
    </w:p>
    <w:p w:rsidR="00000000" w:rsidRDefault="00000000">
      <w:pPr>
        <w:spacing w:after="240"/>
        <w:ind w:left="567"/>
        <w:rPr>
          <w:b/>
        </w:rPr>
      </w:pPr>
      <w:r>
        <w:rPr>
          <w:b/>
        </w:rPr>
        <w:t>4.3.</w:t>
      </w:r>
      <w:r>
        <w:rPr>
          <w:b/>
        </w:rPr>
        <w:tab/>
        <w:t>Otras acciones específicas</w:t>
      </w:r>
    </w:p>
    <w:p w:rsidR="00000000" w:rsidRDefault="00000000">
      <w:pPr>
        <w:autoSpaceDE w:val="0"/>
        <w:autoSpaceDN w:val="0"/>
        <w:adjustRightInd w:val="0"/>
        <w:spacing w:after="240"/>
        <w:rPr>
          <w:lang w:val="es-MX"/>
        </w:rPr>
      </w:pPr>
      <w:r>
        <w:rPr>
          <w:lang w:val="es-MX"/>
        </w:rPr>
        <w:t>215.</w:t>
      </w:r>
      <w:r>
        <w:rPr>
          <w:lang w:val="es-MX"/>
        </w:rPr>
        <w:tab/>
        <w:t xml:space="preserve">El </w:t>
      </w:r>
      <w:r>
        <w:rPr>
          <w:bCs/>
          <w:lang w:val="es-MX"/>
        </w:rPr>
        <w:t xml:space="preserve">Centro de Liderazgo Femenino, iniciativa de la Secretaría de la Mujer, tiene el objetivo de formar a </w:t>
      </w:r>
      <w:r>
        <w:rPr>
          <w:lang w:val="es-MX"/>
        </w:rPr>
        <w:t xml:space="preserve">las mujeres en sus derechos ciudadanos a fin de que las mismas logren la igualdad de oportunidades para ejercer y tomar decisiones; ocupar espacios de poder y ayudarlas a crear alianzas y asociaciones estratégicas en la lucha por sus intereses </w:t>
      </w:r>
      <w:r>
        <w:rPr>
          <w:szCs w:val="36"/>
        </w:rPr>
        <w:t>comunes</w:t>
      </w:r>
      <w:r>
        <w:rPr>
          <w:lang w:val="es-MX"/>
        </w:rPr>
        <w:t>.  La meta para el año fue la capacitación de 1.000 mujeres en diversos temas que hacen a la realidad nacional, superada a la fecha con la participación de 1.800 mujeres pertenecientes a diversos partidos políticos y organizaciones sociales.</w:t>
      </w:r>
    </w:p>
    <w:p w:rsidR="00000000" w:rsidRDefault="00000000">
      <w:pPr>
        <w:autoSpaceDE w:val="0"/>
        <w:autoSpaceDN w:val="0"/>
        <w:adjustRightInd w:val="0"/>
        <w:spacing w:after="240"/>
        <w:rPr>
          <w:lang w:val="es-MX"/>
        </w:rPr>
      </w:pPr>
      <w:r>
        <w:rPr>
          <w:lang w:val="es-MX"/>
        </w:rPr>
        <w:t>216.</w:t>
      </w:r>
      <w:r>
        <w:rPr>
          <w:lang w:val="es-MX"/>
        </w:rPr>
        <w:tab/>
        <w:t xml:space="preserve">Asimismo, el </w:t>
      </w:r>
      <w:r>
        <w:rPr>
          <w:bCs/>
          <w:lang w:val="es-MX"/>
        </w:rPr>
        <w:t>Parlamento Mujer</w:t>
      </w:r>
      <w:r>
        <w:rPr>
          <w:lang w:val="es-MX"/>
        </w:rPr>
        <w:t>, espacio donde 125 liderezas de todos los partidos políticos realizan la práctica y conocimiento del manejo parlamentario, así como la formulación y presentación de proyectos.</w:t>
      </w:r>
    </w:p>
    <w:p w:rsidR="00000000" w:rsidRDefault="00000000">
      <w:pPr>
        <w:spacing w:after="240"/>
        <w:jc w:val="center"/>
        <w:rPr>
          <w:b/>
        </w:rPr>
      </w:pPr>
      <w:r>
        <w:rPr>
          <w:b/>
        </w:rPr>
        <w:t>B.  Salubridad y seguridad en el trabajo</w:t>
      </w:r>
    </w:p>
    <w:p w:rsidR="00000000" w:rsidRDefault="00000000">
      <w:pPr>
        <w:autoSpaceDE w:val="0"/>
        <w:autoSpaceDN w:val="0"/>
        <w:adjustRightInd w:val="0"/>
        <w:spacing w:after="240"/>
      </w:pPr>
      <w:r>
        <w:t>217.</w:t>
      </w:r>
      <w:r>
        <w:tab/>
        <w:t xml:space="preserve">En cuanto a las medidas administrativas o de otra índole respecto a las condiciones mínimas de salubridad y seguridad se puede citar a la legislación vigente que prevé y establece los mecanismos para asegurar las condiciones mínimas de salubridad y seguridad ocupacional.  La Constitución nacional en su artículo 91, parágrafo 2, menciona que:  "... la ley fijará jornadas más favorables para las tareas insalubres, peligrosas, penosas, nocturnas, o las que se desarrollen en turnos continuos o rotativos"; artículo 92, parágrafo 2, "... el reconocimiento de un salario superior al básico por </w:t>
      </w:r>
      <w:r>
        <w:rPr>
          <w:szCs w:val="36"/>
        </w:rPr>
        <w:t>horas</w:t>
      </w:r>
      <w:r>
        <w:t xml:space="preserve"> de trabajo insalubre o riesgoso, y las horas extraordinarias, nocturnas y en días feriados"; el Código del Trabajo establece en su artículo 198 "cuando el trabajo debe realizarse en lugares insalubres o por su naturaleza ponga en peligro la salud o la vida de los trabajadores o en condiciones penosas, turnos continuos o rotativos, su duración no excederá de 6 horas diarias o de 36 semanales, debiendo percibir salario correspondiente a 8 horas diarias"; así también en el artículo 272 dice:  "... el trabajador en la prestación de sus servicios profesionales tendrá derecho a una protección eficaz en materia de salud, seguridad e higiene en el trabajo", artículo 273 "... la política de prevención de riegos ocupacionales se desarrolla a través de la seguridad, higiene y medicina del trabajo, ...".</w:t>
      </w:r>
    </w:p>
    <w:p w:rsidR="00000000" w:rsidRDefault="00000000">
      <w:pPr>
        <w:autoSpaceDE w:val="0"/>
        <w:autoSpaceDN w:val="0"/>
        <w:adjustRightInd w:val="0"/>
        <w:spacing w:after="240"/>
      </w:pPr>
      <w:r>
        <w:t>218.</w:t>
      </w:r>
      <w:r>
        <w:tab/>
        <w:t xml:space="preserve">Otras medidas legales concordantes incluyen la Constitución nacional artículos 47, 48 y 89, el Código del Trabajo, Ley Nº 213/93, actualizada por la Ley Nº 496/95, título V "De la seguridad, </w:t>
      </w:r>
      <w:r>
        <w:rPr>
          <w:szCs w:val="36"/>
        </w:rPr>
        <w:t>higiene</w:t>
      </w:r>
      <w:r>
        <w:t xml:space="preserve"> y comodidad en el trabajo", artículos 272 al 282, y la Ley Nº 1626/00 de la función pública.  </w:t>
      </w:r>
    </w:p>
    <w:p w:rsidR="00000000" w:rsidRDefault="00000000">
      <w:pPr>
        <w:spacing w:after="240"/>
        <w:rPr>
          <w:b/>
        </w:rPr>
      </w:pPr>
      <w:r>
        <w:rPr>
          <w:b/>
        </w:rPr>
        <w:t>1.</w:t>
      </w:r>
      <w:r>
        <w:rPr>
          <w:b/>
        </w:rPr>
        <w:tab/>
        <w:t>Protección especial al trabajador</w:t>
      </w:r>
    </w:p>
    <w:p w:rsidR="00000000" w:rsidRDefault="00000000">
      <w:pPr>
        <w:autoSpaceDE w:val="0"/>
        <w:autoSpaceDN w:val="0"/>
        <w:adjustRightInd w:val="0"/>
        <w:spacing w:after="240"/>
        <w:rPr>
          <w:i/>
        </w:rPr>
      </w:pPr>
      <w:r>
        <w:t>219.</w:t>
      </w:r>
      <w:r>
        <w:tab/>
        <w:t xml:space="preserve">El Código Laboral establece, la seguridad e higiene en el trabajo especialmente para las mujeres, </w:t>
      </w:r>
      <w:r>
        <w:rPr>
          <w:szCs w:val="36"/>
        </w:rPr>
        <w:t>quienes</w:t>
      </w:r>
      <w:r>
        <w:t xml:space="preserve"> no podrán realizar labores insalubres o peligrosas, trabajo nocturno industrial, en establecimientos comerciales o de servicios después de las 10 de la noche, en horas extraordinarias, cuando exista peligro para la salud de la madre o del hijo en estado de gestación o durante el período de lactancia.  No podrán realizarse labores insalubres que por la naturaleza de las mismas, por las condiciones físicas, químicas y biológicas del medio en que se prestan, o por la composición de la materia prima que se utilice, puedan actuar sobre la vida y la salud física y mental de la mujer o de su hijo.  Se prohíbe la ocupación de menores de 18 años en trabajos tales como:  a) expendio de bebidas embriagantes de consumo,  b) tareas o servicios susceptibles de afectar su moralidad o sus buenas costumbres,  c) trabajos ambulantes, salvo autorización especial,  d) trabajos peligrosos o insalubres,  e) trabajos con jornadas superiores a las establecidas, a sus fuerzas físicas o que puedan impedir o retardar el desarrollo físico mental, y  f) trabajos nocturnos.  </w:t>
      </w:r>
    </w:p>
    <w:p w:rsidR="00000000" w:rsidRDefault="00000000">
      <w:pPr>
        <w:autoSpaceDE w:val="0"/>
        <w:autoSpaceDN w:val="0"/>
        <w:adjustRightInd w:val="0"/>
        <w:spacing w:after="240"/>
      </w:pPr>
      <w:r>
        <w:t>220.</w:t>
      </w:r>
      <w:r>
        <w:tab/>
        <w:t>El Paraguay es Estado Parte del Convenio 138 de la OIT sobre la edad mínima de trabajo</w:t>
      </w:r>
      <w:r>
        <w:rPr>
          <w:rStyle w:val="FootnoteReference"/>
        </w:rPr>
        <w:footnoteReference w:id="20"/>
      </w:r>
      <w:r>
        <w:t xml:space="preserve"> fijándose la misma en 14 años de edad; asimismo, el Paraguay ha ratificado la </w:t>
      </w:r>
      <w:r>
        <w:rPr>
          <w:szCs w:val="36"/>
        </w:rPr>
        <w:t>Convención</w:t>
      </w:r>
      <w:r>
        <w:t xml:space="preserve"> de los Derechos del Niño y sus dos protocolos</w:t>
      </w:r>
      <w:r>
        <w:rPr>
          <w:rStyle w:val="FootnoteReference"/>
        </w:rPr>
        <w:footnoteReference w:id="21"/>
      </w:r>
      <w:r>
        <w:t>, que conforman el ordenamiento jurídico nacional, y por ende constituyen un nivel más de protección a la niñez en cuanto a la explotación laboral y contra las peores formas de trabajo.  Sobre este aspecto en particular, el artículo 58 del Código de la Niñez y Adolescencia estipula igualmente como medida adicional de protección que "el adolescente trabajador que haya cumplido 14 años y hasta cumplir los 16 años no podrá trabajar 4 horas diarias ni 24 horas semanales" por lo tanto el límite de edad para lo cual el trabajo remunerado es prohibido son los 13 años.</w:t>
      </w:r>
    </w:p>
    <w:p w:rsidR="00000000" w:rsidRDefault="00000000">
      <w:pPr>
        <w:autoSpaceDE w:val="0"/>
        <w:autoSpaceDN w:val="0"/>
        <w:adjustRightInd w:val="0"/>
        <w:spacing w:after="240"/>
      </w:pPr>
      <w:r>
        <w:t>221.</w:t>
      </w:r>
      <w:r>
        <w:tab/>
        <w:t xml:space="preserve">Asimismo, para garantizar condiciones de seguridad y salubridad en el trabajo existen normas legales, además de un reglamento de salud y seguridad en el trabajo.  Asimismo </w:t>
      </w:r>
      <w:r>
        <w:rPr>
          <w:szCs w:val="36"/>
        </w:rPr>
        <w:t>se</w:t>
      </w:r>
      <w:r>
        <w:t xml:space="preserve"> mantiene en el Ministerio de Justicia y Trabajo una Dirección de Higiene, Salud y Seguridad ocupacional.</w:t>
      </w:r>
    </w:p>
    <w:p w:rsidR="00000000" w:rsidRDefault="00000000">
      <w:pPr>
        <w:autoSpaceDE w:val="0"/>
        <w:autoSpaceDN w:val="0"/>
        <w:adjustRightInd w:val="0"/>
        <w:spacing w:after="240"/>
      </w:pPr>
      <w:r>
        <w:t>222.</w:t>
      </w:r>
      <w:r>
        <w:tab/>
        <w:t xml:space="preserve">En ese sentido, el artículo 274 del Código Laboral establece:  "el empleador deberá garantizar la higiene, seguridad y salud de los trabajadores en la ejecución de su actividad </w:t>
      </w:r>
      <w:r>
        <w:rPr>
          <w:szCs w:val="36"/>
        </w:rPr>
        <w:t>laboral</w:t>
      </w:r>
      <w:r>
        <w:t>.  Para el efecto, adoptará cuantas medidas sean necesarias, incluidas las actividades de información, formación, prevención de riesgos y la constitución de la organización o medios que sean precisos.  Las medidas de seguridad e higiene del trabajo no implicarán ninguna carga económica para los trabajadores".  El artículo 278 de igual manera estipula:  "el incumplimiento por el trabajador y el empleador de sus obligaciones en materia de salud, higiene y seguridad en el trabajo constituye contravenciones graves sancionadas por este Código".</w:t>
      </w:r>
    </w:p>
    <w:p w:rsidR="00000000" w:rsidRDefault="00000000">
      <w:pPr>
        <w:autoSpaceDE w:val="0"/>
        <w:autoSpaceDN w:val="0"/>
        <w:adjustRightInd w:val="0"/>
        <w:spacing w:after="240"/>
        <w:jc w:val="center"/>
        <w:rPr>
          <w:b/>
        </w:rPr>
      </w:pPr>
      <w:r>
        <w:rPr>
          <w:b/>
        </w:rPr>
        <w:t>C.  Vacaciones y descansos pagados</w:t>
      </w:r>
    </w:p>
    <w:p w:rsidR="00000000" w:rsidRDefault="00000000">
      <w:pPr>
        <w:autoSpaceDE w:val="0"/>
        <w:autoSpaceDN w:val="0"/>
        <w:adjustRightInd w:val="0"/>
        <w:spacing w:after="240"/>
      </w:pPr>
      <w:r>
        <w:t>223.</w:t>
      </w:r>
      <w:r>
        <w:tab/>
        <w:t xml:space="preserve">El Código Laboral establece un descanso ininterrumpido de diez horas por lo menos entre jornadas de trabajo, y todo trabajador deberá tener derecho a un día de descanso semanal que </w:t>
      </w:r>
      <w:r>
        <w:rPr>
          <w:szCs w:val="36"/>
        </w:rPr>
        <w:t>normalmente</w:t>
      </w:r>
      <w:r>
        <w:t xml:space="preserve"> será el día domingo.  La Secretaría de la Mujer ha dado un continuo asesoramiento a la Secretaría Nacional de la Función Pública en relación a la carga horaria de no más de seis horas diarias, permisos especiales para mujeres a cargo de personas con capacidades espaciales, jefas de hogar, con enfermedades terminales, etc.</w:t>
      </w:r>
    </w:p>
    <w:p w:rsidR="00000000" w:rsidRDefault="00000000">
      <w:pPr>
        <w:keepNext/>
        <w:spacing w:after="240"/>
        <w:rPr>
          <w:b/>
          <w:bCs/>
        </w:rPr>
      </w:pPr>
      <w:r>
        <w:rPr>
          <w:b/>
          <w:bCs/>
        </w:rPr>
        <w:t>1.</w:t>
      </w:r>
      <w:r>
        <w:rPr>
          <w:b/>
          <w:bCs/>
        </w:rPr>
        <w:tab/>
        <w:t>Normas referentes al descanso legal</w:t>
      </w:r>
    </w:p>
    <w:p w:rsidR="00000000" w:rsidRDefault="00000000">
      <w:pPr>
        <w:keepNext/>
        <w:spacing w:after="240"/>
        <w:ind w:left="567"/>
        <w:rPr>
          <w:b/>
        </w:rPr>
      </w:pPr>
      <w:r>
        <w:rPr>
          <w:b/>
        </w:rPr>
        <w:t>1.1.</w:t>
      </w:r>
      <w:r>
        <w:rPr>
          <w:b/>
        </w:rPr>
        <w:tab/>
        <w:t xml:space="preserve">Código Laboral:  </w:t>
      </w:r>
    </w:p>
    <w:p w:rsidR="00000000" w:rsidRDefault="00000000">
      <w:pPr>
        <w:spacing w:after="240"/>
        <w:ind w:left="1491" w:hanging="357"/>
      </w:pPr>
      <w:r>
        <w:t>-</w:t>
      </w:r>
      <w:r>
        <w:tab/>
      </w:r>
      <w:r>
        <w:rPr>
          <w:b/>
        </w:rPr>
        <w:t xml:space="preserve">Artículo 67.  </w:t>
      </w:r>
      <w:r>
        <w:t>Los trabajadores tienen los siguientes derechos:</w:t>
      </w:r>
      <w:r>
        <w:rPr>
          <w:bCs/>
        </w:rPr>
        <w:t xml:space="preserve">  b) </w:t>
      </w:r>
      <w:r>
        <w:t>Gozar de los descansos obligatorios establecidos en este Código.</w:t>
      </w:r>
    </w:p>
    <w:p w:rsidR="00000000" w:rsidRDefault="00000000">
      <w:pPr>
        <w:spacing w:after="240"/>
        <w:ind w:left="1491" w:hanging="357"/>
      </w:pPr>
      <w:r>
        <w:t>-</w:t>
      </w:r>
      <w:r>
        <w:tab/>
      </w:r>
      <w:r>
        <w:rPr>
          <w:b/>
        </w:rPr>
        <w:t xml:space="preserve">Artículo 62.  </w:t>
      </w:r>
      <w:r>
        <w:t xml:space="preserve">Son obligaciones de los empleadores:  </w:t>
      </w:r>
    </w:p>
    <w:p w:rsidR="00000000" w:rsidRDefault="00000000">
      <w:pPr>
        <w:spacing w:after="240"/>
        <w:ind w:left="2058" w:hanging="567"/>
      </w:pPr>
      <w:r>
        <w:rPr>
          <w:bCs/>
        </w:rPr>
        <w:t>h)</w:t>
      </w:r>
      <w:r>
        <w:rPr>
          <w:bCs/>
        </w:rPr>
        <w:tab/>
      </w:r>
      <w:r>
        <w:t>Conceder licencia al trabajador para cumplir sus obligaciones personales impuestas por leyes o disposiciones gubernativas; pero el empleador no está obligado a reconocer por estas causas, más de 2 días remunerados en cada mes calendario, y en ningún caso más de 15 días en el mismo año;</w:t>
      </w:r>
    </w:p>
    <w:p w:rsidR="00000000" w:rsidRDefault="00000000">
      <w:pPr>
        <w:spacing w:after="240"/>
        <w:ind w:left="2058" w:hanging="567"/>
      </w:pPr>
      <w:r>
        <w:rPr>
          <w:bCs/>
        </w:rPr>
        <w:t>j)</w:t>
      </w:r>
      <w:r>
        <w:rPr>
          <w:bCs/>
        </w:rPr>
        <w:tab/>
      </w:r>
      <w:r>
        <w:t>Conceder, a solicitud del trabajador, 3 días de licencia con goce de salario para contraer matrimonio, 2 días en caso de nacimiento de un hijo y 4 días en caso de fallecimiento del cónyuge, hijos, padres, abuelos o hermanos.</w:t>
      </w:r>
    </w:p>
    <w:p w:rsidR="00000000" w:rsidRDefault="00000000">
      <w:pPr>
        <w:spacing w:after="240"/>
        <w:ind w:left="1491" w:hanging="357"/>
      </w:pPr>
      <w:r>
        <w:t>-</w:t>
      </w:r>
      <w:r>
        <w:tab/>
      </w:r>
      <w:r>
        <w:rPr>
          <w:b/>
        </w:rPr>
        <w:t xml:space="preserve">Artículo 133.  </w:t>
      </w:r>
      <w:r>
        <w:t>Toda trabajadora tendrá derecho a suspender su trabajo siempre que presente un certificado médico expedido o visado por el Instituto de Previsión Social, o el Ministerio de Salud Pública y Bienestar Social, en el que se indique que el parto habrá de producirse probablemente dentro de las seis semanas siguientes, y salvo autorización médica, no se le permitirá trabajar durante las seis semanas posteriores al parto.  Durante su ausencia por reposo de maternidad y en cualquier período adicional entre la fecha presunta y la fecha real del parto, la trabajadora recibirá asistencia médica y prestaciones suficientes, con cargo al régimen de seguridad social.</w:t>
      </w:r>
    </w:p>
    <w:p w:rsidR="00000000" w:rsidRDefault="00000000">
      <w:pPr>
        <w:spacing w:after="240"/>
        <w:ind w:left="1491" w:hanging="357"/>
      </w:pPr>
      <w:r>
        <w:t>-</w:t>
      </w:r>
      <w:r>
        <w:tab/>
      </w:r>
      <w:r>
        <w:rPr>
          <w:b/>
        </w:rPr>
        <w:t xml:space="preserve">Artículo 134.  </w:t>
      </w:r>
      <w:r>
        <w:t>En el período de lactancia, las madres trabajadoras tendrán dos descansos extraordinarios por día, de media hora cada uno, para amamantar a sus hijos.  Dichos descansos serán considerados como períodos trabajados, con goce de salarios.  A este fin, los establecimientos industriales o comerciales en que trabajen más de 50 mujeres, están obligados a habilitar salas maternales para niños menores de 2 años, donde éstos quedarán bajo custodia, durante el tiempo de ocupación de las madres.  Esta obligación cesará cuando las instituciones de seguridad social atiendan dicha asistencia.</w:t>
      </w:r>
    </w:p>
    <w:p w:rsidR="00000000" w:rsidRDefault="00000000">
      <w:pPr>
        <w:spacing w:after="240"/>
        <w:ind w:left="1491" w:hanging="357"/>
      </w:pPr>
      <w:r>
        <w:t>-</w:t>
      </w:r>
      <w:r>
        <w:tab/>
      </w:r>
      <w:r>
        <w:rPr>
          <w:b/>
          <w:bCs/>
        </w:rPr>
        <w:t>Artículo 135.</w:t>
      </w:r>
      <w:r>
        <w:t xml:space="preserve">  Durante los tres meses anteriores al parto, las mujeres no desempeñarán ningún trabajo que exija esfuerzo físico considerable.  Si transcurrido el reposo de maternidad se encontrasen imposibilitadas para reanudar sus labores a consecuencia del embarazo o parto, tendrán derecho a licencia por todo el tiempo indispensable al restablecimiento, conservando su empleo y los derechos adquiridos por virtud del contrato de trabajo.</w:t>
      </w:r>
    </w:p>
    <w:p w:rsidR="00000000" w:rsidRDefault="00000000">
      <w:pPr>
        <w:spacing w:after="240"/>
        <w:ind w:left="1491" w:hanging="357"/>
      </w:pPr>
      <w:r>
        <w:t>-</w:t>
      </w:r>
      <w:r>
        <w:tab/>
      </w:r>
      <w:r>
        <w:rPr>
          <w:b/>
          <w:bCs/>
        </w:rPr>
        <w:t>Artículo 136.</w:t>
      </w:r>
      <w:r>
        <w:t xml:space="preserve">  Desde el momento en que el empleador haya sido notificado del embarazo de la trabajadora y mientras ésta disfrute de los descansos de maternidad, será nulo el preaviso y el despido decididos por el empleador.</w:t>
      </w:r>
    </w:p>
    <w:p w:rsidR="00000000" w:rsidRDefault="00000000">
      <w:pPr>
        <w:spacing w:after="240"/>
        <w:ind w:left="1491" w:hanging="357"/>
      </w:pPr>
      <w:r>
        <w:t>-</w:t>
      </w:r>
      <w:r>
        <w:tab/>
      </w:r>
      <w:r>
        <w:rPr>
          <w:b/>
        </w:rPr>
        <w:t xml:space="preserve">Artículo 154.  </w:t>
      </w:r>
      <w:r>
        <w:t>Los trabajadores domésticos, de común acuerdo con el empleador, podrán trabajar los días feriados, que la ley señale, pero gozan de los siguientes descansos:</w:t>
      </w:r>
    </w:p>
    <w:p w:rsidR="00000000" w:rsidRDefault="00000000">
      <w:pPr>
        <w:spacing w:after="240"/>
        <w:ind w:left="2058" w:hanging="567"/>
      </w:pPr>
      <w:r>
        <w:rPr>
          <w:bCs/>
        </w:rPr>
        <w:t>a)</w:t>
      </w:r>
      <w:r>
        <w:rPr>
          <w:bCs/>
        </w:rPr>
        <w:tab/>
      </w:r>
      <w:r>
        <w:t>Uno absoluto de 12 horas diarias.  Para aquellos que no tienen retiro por lo menos 10 horas se destinará al sueño y 2 horas a las comidas; y</w:t>
      </w:r>
    </w:p>
    <w:p w:rsidR="00000000" w:rsidRDefault="00000000">
      <w:pPr>
        <w:spacing w:after="240"/>
        <w:ind w:left="2058" w:hanging="567"/>
      </w:pPr>
      <w:r>
        <w:rPr>
          <w:bCs/>
        </w:rPr>
        <w:t>b)</w:t>
      </w:r>
      <w:r>
        <w:rPr>
          <w:bCs/>
        </w:rPr>
        <w:tab/>
        <w:t>Vacaciones anuales remuneradas como todos los trabajadores, en cuanto a</w:t>
      </w:r>
      <w:r>
        <w:t xml:space="preserve"> duración y remuneración en efectivo.</w:t>
      </w:r>
    </w:p>
    <w:p w:rsidR="00000000" w:rsidRDefault="00000000">
      <w:pPr>
        <w:autoSpaceDE w:val="0"/>
        <w:autoSpaceDN w:val="0"/>
        <w:adjustRightInd w:val="0"/>
        <w:spacing w:after="240"/>
      </w:pPr>
      <w:r>
        <w:t>224.</w:t>
      </w:r>
      <w:r>
        <w:tab/>
        <w:t>Así también, el mismo Código estipula sobre descansos legales:</w:t>
      </w:r>
    </w:p>
    <w:p w:rsidR="00000000" w:rsidRDefault="00000000">
      <w:pPr>
        <w:spacing w:after="240"/>
        <w:ind w:left="924" w:hanging="357"/>
      </w:pPr>
      <w:r>
        <w:t>-</w:t>
      </w:r>
      <w:r>
        <w:tab/>
      </w:r>
      <w:r>
        <w:rPr>
          <w:b/>
        </w:rPr>
        <w:t xml:space="preserve">Artículo 212.  </w:t>
      </w:r>
      <w:r>
        <w:t>Después de la terminación del tiempo de trabajo diario, se concederá a los trabajadores un período de descanso ininterrumpido de diez horas por lo menos.</w:t>
      </w:r>
    </w:p>
    <w:p w:rsidR="00000000" w:rsidRDefault="00000000">
      <w:pPr>
        <w:spacing w:after="240"/>
        <w:ind w:left="924" w:hanging="357"/>
      </w:pPr>
      <w:r>
        <w:t>-</w:t>
      </w:r>
      <w:r>
        <w:tab/>
      </w:r>
      <w:r>
        <w:rPr>
          <w:b/>
        </w:rPr>
        <w:t xml:space="preserve">Artículo 213.  </w:t>
      </w:r>
      <w:r>
        <w:t>Todo trabajador tendrá derecho a un día de descanso semanal que normalmente será el domingo.  Excepcionalmente, puede estipularse un período íntegro de 24 horas consecutivas de descanso, en día distinto laboral y dentro de la siguiente semana a cambio del descanso dominical, en los casos siguientes:</w:t>
      </w:r>
    </w:p>
    <w:p w:rsidR="00000000" w:rsidRDefault="00000000">
      <w:pPr>
        <w:spacing w:after="240"/>
        <w:ind w:left="1491" w:hanging="567"/>
        <w:rPr>
          <w:bCs/>
        </w:rPr>
      </w:pPr>
      <w:r>
        <w:rPr>
          <w:bCs/>
        </w:rPr>
        <w:t>a)</w:t>
      </w:r>
      <w:r>
        <w:rPr>
          <w:bCs/>
        </w:rPr>
        <w:tab/>
        <w:t>Trabajos no susceptibles de interrupción, por la índole de las necesidades que satisfacen, por motivos de carácter técnico o razones que determinen grave perjuicio al interés público o a la misma empresa;</w:t>
      </w:r>
    </w:p>
    <w:p w:rsidR="00000000" w:rsidRDefault="00000000">
      <w:pPr>
        <w:spacing w:after="240"/>
        <w:ind w:left="1491" w:hanging="567"/>
        <w:rPr>
          <w:bCs/>
        </w:rPr>
      </w:pPr>
      <w:r>
        <w:rPr>
          <w:bCs/>
        </w:rPr>
        <w:t>b)</w:t>
      </w:r>
      <w:r>
        <w:rPr>
          <w:bCs/>
        </w:rPr>
        <w:tab/>
        <w:t>Labores de reparación y limpieza de maquinarias, instalaciones o locales industriales y comerciales, que fuesen indispensables a fin de no interrumpir las faenas de la semana; y</w:t>
      </w:r>
    </w:p>
    <w:p w:rsidR="00000000" w:rsidRDefault="00000000">
      <w:pPr>
        <w:spacing w:after="240"/>
        <w:ind w:left="1491" w:hanging="567"/>
      </w:pPr>
      <w:r>
        <w:rPr>
          <w:bCs/>
        </w:rPr>
        <w:t>c)</w:t>
      </w:r>
      <w:r>
        <w:tab/>
        <w:t>Trabajos que eventualmente sean de evidente y urgente necesidad de realizar por inminencia de daños, accidentes, caso fortuito, fuerza mayor u otras circunstancias transitorias inaplazables que deben aprovecharse.</w:t>
      </w:r>
    </w:p>
    <w:p w:rsidR="00000000" w:rsidRDefault="00000000">
      <w:pPr>
        <w:spacing w:after="240"/>
        <w:ind w:left="924" w:hanging="357"/>
      </w:pPr>
      <w:r>
        <w:t>-</w:t>
      </w:r>
      <w:r>
        <w:tab/>
      </w:r>
      <w:r>
        <w:rPr>
          <w:b/>
        </w:rPr>
        <w:t xml:space="preserve">Artículo 217.  </w:t>
      </w:r>
      <w:r>
        <w:t>Serán también días de descanso obligatorio los feriados establecidos por la ley.</w:t>
      </w:r>
    </w:p>
    <w:p w:rsidR="00000000" w:rsidRDefault="00000000">
      <w:pPr>
        <w:spacing w:after="240"/>
        <w:ind w:left="924" w:hanging="357"/>
      </w:pPr>
      <w:r>
        <w:t>-</w:t>
      </w:r>
      <w:r>
        <w:tab/>
      </w:r>
      <w:r>
        <w:rPr>
          <w:b/>
        </w:rPr>
        <w:t xml:space="preserve">Artículo 218.  </w:t>
      </w:r>
      <w:r>
        <w:t>Todo trabajador tiene derecho a un período de vacaciones remuneradas después de cada año de trabajo continuo al servicio del mismo empleador, cuya duración mínima será:</w:t>
      </w:r>
    </w:p>
    <w:p w:rsidR="00000000" w:rsidRDefault="00000000">
      <w:pPr>
        <w:spacing w:after="240"/>
        <w:ind w:left="1491" w:hanging="567"/>
        <w:rPr>
          <w:bCs/>
        </w:rPr>
      </w:pPr>
      <w:r>
        <w:rPr>
          <w:bCs/>
        </w:rPr>
        <w:t>a)</w:t>
      </w:r>
      <w:r>
        <w:rPr>
          <w:bCs/>
        </w:rPr>
        <w:tab/>
        <w:t>Para trabajadores de hasta 5 años de antigüedad, 12 días corridos;</w:t>
      </w:r>
    </w:p>
    <w:p w:rsidR="00000000" w:rsidRDefault="00000000">
      <w:pPr>
        <w:spacing w:after="240"/>
        <w:ind w:left="1491" w:hanging="567"/>
        <w:rPr>
          <w:bCs/>
        </w:rPr>
      </w:pPr>
      <w:r>
        <w:rPr>
          <w:bCs/>
        </w:rPr>
        <w:t>b)</w:t>
      </w:r>
      <w:r>
        <w:rPr>
          <w:bCs/>
        </w:rPr>
        <w:tab/>
        <w:t>Para trabajadores con más de 5 años y hasta 10 años de antigüedad, 18 días corridos; y</w:t>
      </w:r>
    </w:p>
    <w:p w:rsidR="00000000" w:rsidRDefault="00000000">
      <w:pPr>
        <w:spacing w:after="240"/>
        <w:ind w:left="1491" w:hanging="567"/>
      </w:pPr>
      <w:r>
        <w:rPr>
          <w:bCs/>
        </w:rPr>
        <w:t>c)</w:t>
      </w:r>
      <w:r>
        <w:tab/>
        <w:t>Para trabajadores con más de 10 años de antigüedad, 30 días corridos.</w:t>
      </w:r>
    </w:p>
    <w:p w:rsidR="00000000" w:rsidRDefault="00000000">
      <w:pPr>
        <w:spacing w:after="240"/>
        <w:ind w:left="567"/>
        <w:rPr>
          <w:b/>
        </w:rPr>
      </w:pPr>
      <w:r>
        <w:rPr>
          <w:b/>
        </w:rPr>
        <w:t>1.2.</w:t>
      </w:r>
      <w:r>
        <w:rPr>
          <w:b/>
        </w:rPr>
        <w:tab/>
        <w:t>Dificultades que afectan la plena realización de vacaciones pagadas</w:t>
      </w:r>
    </w:p>
    <w:p w:rsidR="00000000" w:rsidRDefault="00000000">
      <w:pPr>
        <w:autoSpaceDE w:val="0"/>
        <w:autoSpaceDN w:val="0"/>
        <w:adjustRightInd w:val="0"/>
        <w:spacing w:after="240"/>
      </w:pPr>
      <w:r>
        <w:t>225.</w:t>
      </w:r>
      <w:r>
        <w:tab/>
        <w:t>Cada año se reciben denuncias sobre incumplimiento del pago de vacaciones, aunque después de una instancia de conciliación, el 80% de los casos son subsanados en la autoridad administrativa del trabajo.</w:t>
      </w:r>
    </w:p>
    <w:p w:rsidR="00000000" w:rsidRDefault="00000000">
      <w:pPr>
        <w:spacing w:after="240"/>
        <w:rPr>
          <w:b/>
        </w:rPr>
      </w:pPr>
      <w:r>
        <w:rPr>
          <w:b/>
        </w:rPr>
        <w:t>2.</w:t>
      </w:r>
      <w:r>
        <w:rPr>
          <w:b/>
        </w:rPr>
        <w:tab/>
        <w:t>Licencia por maternidad</w:t>
      </w:r>
    </w:p>
    <w:p w:rsidR="00000000" w:rsidRDefault="00000000">
      <w:pPr>
        <w:autoSpaceDE w:val="0"/>
        <w:autoSpaceDN w:val="0"/>
        <w:adjustRightInd w:val="0"/>
        <w:spacing w:after="240"/>
      </w:pPr>
      <w:r>
        <w:t>226.</w:t>
      </w:r>
      <w:r>
        <w:tab/>
        <w:t>De igual manera, el Código Laboral establece:  licencia por maternidad en un período no inferior a 12 semanas; licencias por período de lactancia; descansos extraordinarios por día, todos estos con goce de sueldo.  Asimismo tres meses antes del parto, las mujeres no desempeñarán ningún trabajo que exija esfuerzos físicos considerables.  Si durante el tiempo de reposo de la maternidad la madre se encontrase imposibilitada para reanudar sus labores tendrá derecho a licencia, conservando su empleo y los derechos adquiridos por virtud del contrato de trabajo.  Está prohibido el preaviso y el despido, desde la notificación del embarazo.  Asimismo el deber de establecer centros infantiles en los lugares de trabajo que tengan como mínimo 50 personas.  Estas normativas se han establecido a partir de 1993 y han sido modificadas en 1995.  A partir de 2004, la Secretaría de la Mujer a dado seguimiento a la "propuesta presentada de licencia por maternidad a mujeres en cargos electivos", la cual tiene actualmente media sanción de la Cámara de Diputados/as.</w:t>
      </w:r>
    </w:p>
    <w:p w:rsidR="00000000" w:rsidRDefault="00000000">
      <w:pPr>
        <w:spacing w:after="240"/>
        <w:jc w:val="center"/>
        <w:rPr>
          <w:b/>
        </w:rPr>
      </w:pPr>
      <w:r>
        <w:rPr>
          <w:b/>
        </w:rPr>
        <w:t>D.  Avances en materia de derechos laborales</w:t>
      </w:r>
    </w:p>
    <w:p w:rsidR="00000000" w:rsidRDefault="00000000">
      <w:pPr>
        <w:autoSpaceDE w:val="0"/>
        <w:autoSpaceDN w:val="0"/>
        <w:adjustRightInd w:val="0"/>
        <w:spacing w:after="240"/>
      </w:pPr>
      <w:r>
        <w:t>227.</w:t>
      </w:r>
      <w:r>
        <w:tab/>
        <w:t xml:space="preserve">En lo que hace al derecho laboral, desde la sanción de la Constitución de 1992 se produjeron cambios de interés en la legislación vigente por la sanción del nuevo Código del Trabajo, Ley Nº 213, de 29 de octubre de 1993, y su modificación por la Ley Nº 495 de 1995, legislación esta que se encuentra vigente en nuestros días con muy escasas modificaciones en su texto.  </w:t>
      </w:r>
    </w:p>
    <w:p w:rsidR="00000000" w:rsidRDefault="00000000">
      <w:pPr>
        <w:spacing w:after="240"/>
        <w:rPr>
          <w:b/>
        </w:rPr>
      </w:pPr>
      <w:r>
        <w:rPr>
          <w:b/>
        </w:rPr>
        <w:t>1.</w:t>
      </w:r>
      <w:r>
        <w:rPr>
          <w:b/>
        </w:rPr>
        <w:tab/>
        <w:t>Sector público</w:t>
      </w:r>
    </w:p>
    <w:p w:rsidR="00000000" w:rsidRDefault="00000000">
      <w:pPr>
        <w:autoSpaceDE w:val="0"/>
        <w:autoSpaceDN w:val="0"/>
        <w:adjustRightInd w:val="0"/>
        <w:spacing w:after="240"/>
      </w:pPr>
      <w:r>
        <w:t>228.</w:t>
      </w:r>
      <w:r>
        <w:tab/>
        <w:t>Los cambios más significativos operados en materia de legislación laboral fueron los operados en el sector público, primeramente con la sanción de la Ley Nº 508/94 sobre negociación colectiva en el sector público, autorizando el funcionamiento de dicha institución que durante el período dictatorial se encontraba prohibido, para culminar con la sanción de la nueva Ley de la función pública, Ley Nº 1626/2000, que deroga la antigua Ley Nº 200 que regía el Estatuto del funcionario público a quienes se les prohibía el ejercicio de las labores gremiales así como el derecho de huelga, la contratación colectiva y otros derechos fundamentales reconocidos por los convenios internacionales sobre la materia.  Concretamente, a partir de la sanción de la Constitución nacional de 1992, en la que se reconocen todos estos derechos fundamentales a los funcionarios públicos, se genera en la práctica, una situación de hecho que permitió el incremento de las organizaciones gremiales del sector público, con el reconocimiento de sindicatos gremiales, la suscripción de contratos colectivos y el ejercicio de huelga, rigiéndose todos estos institutos a través del Código del Trabajo hasta tanto se dictara la nueva Ley de la función pública.</w:t>
      </w:r>
    </w:p>
    <w:p w:rsidR="00000000" w:rsidRDefault="00000000">
      <w:pPr>
        <w:autoSpaceDE w:val="0"/>
        <w:autoSpaceDN w:val="0"/>
        <w:adjustRightInd w:val="0"/>
        <w:spacing w:after="240"/>
      </w:pPr>
      <w:r>
        <w:t>229.</w:t>
      </w:r>
      <w:r>
        <w:tab/>
        <w:t>La Ley Nº 1626 de 2000 constituye finalmente la reacción de las propias autoridades gubernamentales tendientes a reglamentar el ejercicio de los derechos consagrados en la Constitución.  En consecuencia, muchas de las normas incorporadas en dicha ley fueron reclamadas como inconstitucionales por los sectores gremiales, haciendo que la Corte Suprema de Justicia en ciertos casos se expida sobre el tema, en particular sobre cuestiones de procedimiento pero sin decidir sobre el fondo de la cuestión.  En la actualidad existe una fuerte tendencia hacia la modificación de la mencionada ley a nivel parlamentario donde se encuentra estudiando un nuevo proyecto.</w:t>
      </w:r>
    </w:p>
    <w:p w:rsidR="00000000" w:rsidRDefault="00000000">
      <w:pPr>
        <w:autoSpaceDE w:val="0"/>
        <w:autoSpaceDN w:val="0"/>
        <w:adjustRightInd w:val="0"/>
        <w:spacing w:after="240"/>
      </w:pPr>
      <w:r>
        <w:t>230.</w:t>
      </w:r>
      <w:r>
        <w:tab/>
        <w:t>Sin embargo, es en este sector de la función pública donde se ha podido observar la implementación de medidas de flexibilización en la legislación laboral, y en especial a lo que hace al derecho colectivo del trabajo.</w:t>
      </w:r>
    </w:p>
    <w:p w:rsidR="00000000" w:rsidRDefault="00000000">
      <w:pPr>
        <w:spacing w:after="240"/>
        <w:rPr>
          <w:b/>
        </w:rPr>
      </w:pPr>
      <w:r>
        <w:rPr>
          <w:b/>
        </w:rPr>
        <w:t>2.</w:t>
      </w:r>
      <w:r>
        <w:rPr>
          <w:b/>
        </w:rPr>
        <w:tab/>
        <w:t>Modificaciones al Código del Trabajo vigente</w:t>
      </w:r>
    </w:p>
    <w:p w:rsidR="00000000" w:rsidRDefault="00000000">
      <w:pPr>
        <w:autoSpaceDE w:val="0"/>
        <w:autoSpaceDN w:val="0"/>
        <w:adjustRightInd w:val="0"/>
        <w:spacing w:after="240"/>
      </w:pPr>
      <w:r>
        <w:t>231.</w:t>
      </w:r>
      <w:r>
        <w:tab/>
        <w:t xml:space="preserve">En lo que hace a las modificaciones legislativas a la Ley Nº 496 de 1995, se pueden mencionar las siguientes:  </w:t>
      </w:r>
    </w:p>
    <w:p w:rsidR="00000000" w:rsidRDefault="00000000">
      <w:pPr>
        <w:spacing w:after="240"/>
        <w:ind w:left="924" w:hanging="357"/>
      </w:pPr>
      <w:r>
        <w:t>-</w:t>
      </w:r>
      <w:r>
        <w:tab/>
        <w:t>La Ley Nº 285 de 1993 que reglamenta el artículo 93 de la Constitución nacional;</w:t>
      </w:r>
    </w:p>
    <w:p w:rsidR="00000000" w:rsidRDefault="00000000">
      <w:pPr>
        <w:spacing w:after="240"/>
        <w:ind w:left="924" w:hanging="357"/>
      </w:pPr>
      <w:r>
        <w:t>-</w:t>
      </w:r>
      <w:r>
        <w:tab/>
        <w:t>La Ley Nº 1416/99 que regula las condiciones de trabajo en el transporte terrestre;</w:t>
      </w:r>
    </w:p>
    <w:p w:rsidR="00000000" w:rsidRDefault="00000000">
      <w:pPr>
        <w:spacing w:after="240"/>
        <w:ind w:left="924" w:hanging="357"/>
      </w:pPr>
      <w:r>
        <w:t>-</w:t>
      </w:r>
      <w:r>
        <w:tab/>
        <w:t>La Ley Nº 1542/2000 que establece el procedimiento para la calificación de la huelga;</w:t>
      </w:r>
    </w:p>
    <w:p w:rsidR="00000000" w:rsidRDefault="00000000">
      <w:pPr>
        <w:spacing w:after="240"/>
        <w:ind w:left="924" w:hanging="357"/>
      </w:pPr>
      <w:r>
        <w:t>-</w:t>
      </w:r>
      <w:r>
        <w:tab/>
        <w:t>La Ley Nº 1652/2000 por la que se crea el Sistema de Formación y Capacitación Laboral;</w:t>
      </w:r>
    </w:p>
    <w:p w:rsidR="00000000" w:rsidRDefault="00000000">
      <w:pPr>
        <w:spacing w:after="240"/>
        <w:ind w:left="924" w:hanging="357"/>
      </w:pPr>
      <w:r>
        <w:t>-</w:t>
      </w:r>
      <w:r>
        <w:tab/>
        <w:t>La Ley Nº 1680/2001 que sanciona el Código de la Niñez y la Adolescencia, modificatoria del Código Laboral en esos puntos;</w:t>
      </w:r>
    </w:p>
    <w:p w:rsidR="00000000" w:rsidRDefault="00000000">
      <w:pPr>
        <w:spacing w:after="240"/>
        <w:ind w:left="924" w:hanging="357"/>
      </w:pPr>
      <w:r>
        <w:t>-</w:t>
      </w:r>
      <w:r>
        <w:tab/>
        <w:t>La Ley Nº 1702/2001 que establece el alcance de los términos niño, adolescente y menor adulto;</w:t>
      </w:r>
    </w:p>
    <w:p w:rsidR="00000000" w:rsidRDefault="00000000">
      <w:pPr>
        <w:spacing w:after="240"/>
        <w:ind w:left="924" w:hanging="357"/>
      </w:pPr>
      <w:r>
        <w:t>-</w:t>
      </w:r>
      <w:r>
        <w:tab/>
        <w:t>La Ley Nº 1725/2001 que establece el Estatuto del educador;</w:t>
      </w:r>
    </w:p>
    <w:p w:rsidR="00000000" w:rsidRDefault="00000000">
      <w:pPr>
        <w:spacing w:after="240"/>
        <w:ind w:left="924" w:hanging="357"/>
      </w:pPr>
      <w:r>
        <w:t>-</w:t>
      </w:r>
      <w:r>
        <w:tab/>
        <w:t>La Ley Nº 1980 de 2002 sobre primer empleo;</w:t>
      </w:r>
    </w:p>
    <w:p w:rsidR="00000000" w:rsidRDefault="00000000">
      <w:pPr>
        <w:spacing w:after="240"/>
        <w:ind w:left="924" w:hanging="357"/>
      </w:pPr>
      <w:r>
        <w:t>-</w:t>
      </w:r>
      <w:r>
        <w:tab/>
        <w:t>La Ley Nº 2332 de 2003 que aprueba el Convenio Nº 138 de la OIT sobre edad mínima para trabajar de 1973, y entre los que cabe mencionar también la Ley Nº 1626 de la función publica respecto del ámbito de aplicación del Código en las empresas del Estado y los derechos colectivos que pasan a regirse por la nueva norma.</w:t>
      </w:r>
    </w:p>
    <w:p w:rsidR="00000000" w:rsidRDefault="00000000">
      <w:pPr>
        <w:spacing w:after="240"/>
        <w:rPr>
          <w:b/>
        </w:rPr>
      </w:pPr>
      <w:r>
        <w:rPr>
          <w:b/>
        </w:rPr>
        <w:t>3.</w:t>
      </w:r>
      <w:r>
        <w:rPr>
          <w:b/>
        </w:rPr>
        <w:tab/>
        <w:t>Sector administrativo del trabajo</w:t>
      </w:r>
    </w:p>
    <w:p w:rsidR="00000000" w:rsidRDefault="00000000">
      <w:pPr>
        <w:autoSpaceDE w:val="0"/>
        <w:autoSpaceDN w:val="0"/>
        <w:adjustRightInd w:val="0"/>
        <w:spacing w:after="240"/>
      </w:pPr>
      <w:r>
        <w:t>232.</w:t>
      </w:r>
      <w:r>
        <w:tab/>
        <w:t>En el campo meramente administrativolaboral se dictan numerosos Decretos:  Nº 8421, de 1991, por el cual se reglamentan las funciones de la Subsecretaria de Estado del Trabajo y Seguridad Social; Nº 10047, de 1995, por el cual se reglamenta la inscripción en el Registro Patronal del Ministerio del Trabajo; Nº 15030, de 2001, por el cual se establecen los procedimientos administrativos del pasivo laboral por desvinculación laboral, los organismos de la actividad central y entidades descentralizadas; Nº 17781, de 2002, por el cual se reglamenta el sumario administrativo previsto en la Ley de la función pública; Nº 468, de 2003, por el cual se reglamenta la aplicación del Estatuto del educador.</w:t>
      </w:r>
    </w:p>
    <w:p w:rsidR="00000000" w:rsidRDefault="00000000">
      <w:pPr>
        <w:autoSpaceDE w:val="0"/>
        <w:autoSpaceDN w:val="0"/>
        <w:adjustRightInd w:val="0"/>
        <w:spacing w:after="240"/>
      </w:pPr>
      <w:r>
        <w:t>233.</w:t>
      </w:r>
      <w:r>
        <w:tab/>
        <w:t>Así como también, los reglamentos relativos a las inscripciones patronales, la documentación que debe presentarse, el reglamento para la aplicación de sanciones.</w:t>
      </w:r>
    </w:p>
    <w:p w:rsidR="00000000" w:rsidRDefault="00000000">
      <w:pPr>
        <w:keepNext/>
        <w:spacing w:after="240"/>
        <w:rPr>
          <w:b/>
        </w:rPr>
      </w:pPr>
      <w:r>
        <w:rPr>
          <w:b/>
        </w:rPr>
        <w:t>4.</w:t>
      </w:r>
      <w:r>
        <w:rPr>
          <w:b/>
        </w:rPr>
        <w:tab/>
        <w:t>Aspectos procesales</w:t>
      </w:r>
    </w:p>
    <w:p w:rsidR="00000000" w:rsidRDefault="00000000">
      <w:pPr>
        <w:autoSpaceDE w:val="0"/>
        <w:autoSpaceDN w:val="0"/>
        <w:adjustRightInd w:val="0"/>
        <w:spacing w:after="240"/>
      </w:pPr>
      <w:r>
        <w:t>234.</w:t>
      </w:r>
      <w:r>
        <w:tab/>
        <w:t xml:space="preserve">En materia procesal la solución de los conflictos laborales para el sector privado sigue siendo regulada por el antiguo Código Procesal del Trabajo sancionado en 1961, sin que se hayan operado modificaciones de interés, salvo la desaparición práctica de la Junta Permanente de Conciliación y Arbitraje dependiente del Ministerio del Trabajo que establecía el procedimiento obligatorio en los casos de conflictos colectivos; al ser modificado por la Constitución nacional que hace desaparecer dicha obligatoriedad y establece la conciliación y el arbitraje voluntario, quedando a cargo de las partes la solución de los conflictos colectivos laborales.  </w:t>
      </w:r>
    </w:p>
    <w:p w:rsidR="00000000" w:rsidRDefault="00000000">
      <w:pPr>
        <w:autoSpaceDE w:val="0"/>
        <w:autoSpaceDN w:val="0"/>
        <w:adjustRightInd w:val="0"/>
        <w:spacing w:after="240"/>
      </w:pPr>
      <w:r>
        <w:t>235.</w:t>
      </w:r>
      <w:r>
        <w:tab/>
        <w:t xml:space="preserve">En lo que hace a los funcionarios públicos la jurisdicción contenciosa administrativa, creando además la Ley Nº 1626 una serie de confusiones respecto a la jurisdicción de los trabajadores contratados que no forman parte del </w:t>
      </w:r>
      <w:r>
        <w:rPr>
          <w:i/>
          <w:iCs/>
        </w:rPr>
        <w:t>staff</w:t>
      </w:r>
      <w:r>
        <w:t xml:space="preserve"> permanente de las instituciones, así como la de ciertos funcionarios inferiores que en algunos casos son destinados a la jurisdicción laboral.</w:t>
      </w:r>
    </w:p>
    <w:p w:rsidR="00000000" w:rsidRDefault="00000000">
      <w:pPr>
        <w:autoSpaceDE w:val="0"/>
        <w:autoSpaceDN w:val="0"/>
        <w:adjustRightInd w:val="0"/>
        <w:spacing w:after="240"/>
      </w:pPr>
      <w:r>
        <w:t>236.</w:t>
      </w:r>
      <w:r>
        <w:tab/>
        <w:t xml:space="preserve">Cabe mencionar también que la Constitución nacional en su artículo 296 establece la obligatoriedad del juicio oral en materia laboral, cosa que hasta el presente no se ha puesto en práctica salvo la labor realizada directamente por la segunda sala del Tribunal del Trabajo de la Capital.  Por otro lado, la crisis económica también ha generado el mantenimiento de un alto grado de conflictividad que se ve en la cuantía de juicios laborales que se siguen presentando ante los juzgados y tribunales del trabajo.  </w:t>
      </w:r>
    </w:p>
    <w:p w:rsidR="00000000" w:rsidRDefault="00000000">
      <w:pPr>
        <w:autoSpaceDE w:val="0"/>
        <w:autoSpaceDN w:val="0"/>
        <w:adjustRightInd w:val="0"/>
        <w:spacing w:after="240"/>
      </w:pPr>
      <w:r>
        <w:t>237.</w:t>
      </w:r>
      <w:r>
        <w:tab/>
        <w:t>En cuanto a las decisiones del poder judicial en materia de trabajo, se ha podido observar numerosos casos en que se ha declarado la ilegalidad de las huelgas, que trae como consecuencia el despido de los trabajadores participantes; así como cierta tendencia de algunos magistrados y tribunales tendientes a flexibilizar de alguna manera las relaciones de trabajo.  En este sentido, conviene señalar que la propia Sala Constitucional de la Corte Suprema de Justicia ha emitido recientemente un pronunciamiento tendiente a desregular paulatinamente el derecho a la estabilidad en el trabajo que en el Paraguay se adquiere después de los diez años de servicio.</w:t>
      </w:r>
    </w:p>
    <w:p w:rsidR="00000000" w:rsidRDefault="00000000">
      <w:pPr>
        <w:autoSpaceDE w:val="0"/>
        <w:autoSpaceDN w:val="0"/>
        <w:adjustRightInd w:val="0"/>
        <w:spacing w:after="240"/>
      </w:pPr>
      <w:r>
        <w:t>238.</w:t>
      </w:r>
      <w:r>
        <w:tab/>
        <w:t>Sin embargo, y en líneas generales siguen siendo los juzgados y tribunales del trabajo los organismos que tratan de proteger los casos de violación de normas legales y de convenios colectivos que se plantean a su consideración, ante la ausencia de organizaciones gremiales capaces de cumplir con esta función o de los organismos administrativos estatales de escasa presencia práctica.</w:t>
      </w:r>
    </w:p>
    <w:p w:rsidR="00000000" w:rsidRDefault="00000000">
      <w:pPr>
        <w:keepNext/>
        <w:spacing w:after="240"/>
        <w:rPr>
          <w:b/>
        </w:rPr>
      </w:pPr>
      <w:r>
        <w:rPr>
          <w:b/>
        </w:rPr>
        <w:t>5.</w:t>
      </w:r>
      <w:r>
        <w:rPr>
          <w:b/>
        </w:rPr>
        <w:tab/>
        <w:t>Instancia administrativa laboral</w:t>
      </w:r>
    </w:p>
    <w:p w:rsidR="00000000" w:rsidRDefault="00000000">
      <w:pPr>
        <w:autoSpaceDE w:val="0"/>
        <w:autoSpaceDN w:val="0"/>
        <w:adjustRightInd w:val="0"/>
        <w:spacing w:after="240"/>
      </w:pPr>
      <w:r>
        <w:t>239.</w:t>
      </w:r>
      <w:r>
        <w:tab/>
        <w:t>En el plano administrativo y de política laboral a cargo del Ministerio del Trabajo, se han incorporado cambios positivos.  En este sentido, la labor de conciliación que en materia de derecho individual tiene una importancia práctica por la costumbre de los trabajadores de recurrir a dicha institución en los casos de despido, aunque no tenga competencia legal, ha motivado el estudio de proyectos de ley tendientes a la obligatoriedad de su participación antes del inicio de cualquier juicio laboral.</w:t>
      </w:r>
    </w:p>
    <w:p w:rsidR="00000000" w:rsidRDefault="00000000">
      <w:pPr>
        <w:autoSpaceDE w:val="0"/>
        <w:autoSpaceDN w:val="0"/>
        <w:adjustRightInd w:val="0"/>
        <w:spacing w:after="240"/>
      </w:pPr>
      <w:r>
        <w:t>240.</w:t>
      </w:r>
      <w:r>
        <w:tab/>
        <w:t>En materia de derecho colectivo al eliminarse la Junta Permanente de Conciliación y Arbitraje su labor se ha reducido a audiencias conciliatorias tripartitas, de escaso valor práctico, aunque siguen manteniendo ciertas atribuciones en lo que hace a la suspensión de los contratos de trabajo y al cierre de las empresas, que conforme a la legislación se requiere de la autorización previa del Ministerio del Trabajo con participación de los afectados.</w:t>
      </w:r>
    </w:p>
    <w:p w:rsidR="00000000" w:rsidRDefault="00000000">
      <w:pPr>
        <w:keepNext/>
        <w:autoSpaceDE w:val="0"/>
        <w:autoSpaceDN w:val="0"/>
        <w:adjustRightInd w:val="0"/>
        <w:spacing w:after="240"/>
        <w:jc w:val="center"/>
      </w:pPr>
      <w:r>
        <w:rPr>
          <w:b/>
          <w:szCs w:val="20"/>
        </w:rPr>
        <w:t>Datos estadísticos sobre actuaciones de mediación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50"/>
        <w:gridCol w:w="1781"/>
        <w:gridCol w:w="1781"/>
        <w:gridCol w:w="1782"/>
      </w:tblGrid>
      <w:tr w:rsidR="00000000">
        <w:tblPrEx>
          <w:tblCellMar>
            <w:top w:w="0" w:type="dxa"/>
            <w:bottom w:w="0" w:type="dxa"/>
          </w:tblCellMar>
        </w:tblPrEx>
        <w:trPr>
          <w:cantSplit/>
        </w:trPr>
        <w:tc>
          <w:tcPr>
            <w:tcW w:w="4150" w:type="dxa"/>
            <w:vMerge w:val="restart"/>
            <w:vAlign w:val="center"/>
          </w:tcPr>
          <w:p w:rsidR="00000000" w:rsidRDefault="00000000">
            <w:pPr>
              <w:jc w:val="center"/>
              <w:rPr>
                <w:b/>
                <w:szCs w:val="20"/>
              </w:rPr>
            </w:pPr>
            <w:r>
              <w:rPr>
                <w:b/>
                <w:szCs w:val="20"/>
              </w:rPr>
              <w:t>Referencias</w:t>
            </w:r>
          </w:p>
        </w:tc>
        <w:tc>
          <w:tcPr>
            <w:tcW w:w="5344" w:type="dxa"/>
            <w:gridSpan w:val="3"/>
            <w:vAlign w:val="center"/>
          </w:tcPr>
          <w:p w:rsidR="00000000" w:rsidRDefault="00000000">
            <w:pPr>
              <w:jc w:val="center"/>
              <w:rPr>
                <w:b/>
                <w:szCs w:val="20"/>
              </w:rPr>
            </w:pPr>
            <w:r>
              <w:rPr>
                <w:b/>
                <w:szCs w:val="20"/>
              </w:rPr>
              <w:t>Año</w:t>
            </w:r>
          </w:p>
        </w:tc>
      </w:tr>
      <w:tr w:rsidR="00000000">
        <w:tblPrEx>
          <w:tblCellMar>
            <w:top w:w="0" w:type="dxa"/>
            <w:bottom w:w="0" w:type="dxa"/>
          </w:tblCellMar>
        </w:tblPrEx>
        <w:trPr>
          <w:cantSplit/>
        </w:trPr>
        <w:tc>
          <w:tcPr>
            <w:tcW w:w="4150" w:type="dxa"/>
            <w:vMerge/>
            <w:vAlign w:val="center"/>
          </w:tcPr>
          <w:p w:rsidR="00000000" w:rsidRDefault="00000000">
            <w:pPr>
              <w:autoSpaceDE w:val="0"/>
              <w:autoSpaceDN w:val="0"/>
              <w:adjustRightInd w:val="0"/>
              <w:jc w:val="center"/>
            </w:pPr>
          </w:p>
        </w:tc>
        <w:tc>
          <w:tcPr>
            <w:tcW w:w="1781" w:type="dxa"/>
            <w:vAlign w:val="center"/>
          </w:tcPr>
          <w:p w:rsidR="00000000" w:rsidRDefault="00000000">
            <w:pPr>
              <w:jc w:val="center"/>
              <w:rPr>
                <w:b/>
                <w:szCs w:val="20"/>
              </w:rPr>
            </w:pPr>
            <w:r>
              <w:rPr>
                <w:b/>
                <w:szCs w:val="20"/>
              </w:rPr>
              <w:t>2004</w:t>
            </w:r>
          </w:p>
        </w:tc>
        <w:tc>
          <w:tcPr>
            <w:tcW w:w="1781" w:type="dxa"/>
            <w:vAlign w:val="center"/>
          </w:tcPr>
          <w:p w:rsidR="00000000" w:rsidRDefault="00000000">
            <w:pPr>
              <w:jc w:val="center"/>
              <w:rPr>
                <w:b/>
                <w:szCs w:val="20"/>
              </w:rPr>
            </w:pPr>
            <w:r>
              <w:rPr>
                <w:b/>
                <w:szCs w:val="20"/>
              </w:rPr>
              <w:t>2005</w:t>
            </w:r>
          </w:p>
        </w:tc>
        <w:tc>
          <w:tcPr>
            <w:tcW w:w="1782" w:type="dxa"/>
            <w:vAlign w:val="center"/>
          </w:tcPr>
          <w:p w:rsidR="00000000" w:rsidRDefault="00000000">
            <w:pPr>
              <w:jc w:val="center"/>
              <w:rPr>
                <w:b/>
                <w:szCs w:val="20"/>
              </w:rPr>
            </w:pPr>
            <w:r>
              <w:rPr>
                <w:b/>
                <w:szCs w:val="20"/>
              </w:rPr>
              <w:t>2006</w:t>
            </w:r>
          </w:p>
        </w:tc>
      </w:tr>
      <w:tr w:rsidR="00000000">
        <w:tblPrEx>
          <w:tblCellMar>
            <w:top w:w="0" w:type="dxa"/>
            <w:bottom w:w="0" w:type="dxa"/>
          </w:tblCellMar>
        </w:tblPrEx>
        <w:tc>
          <w:tcPr>
            <w:tcW w:w="4150" w:type="dxa"/>
            <w:vAlign w:val="bottom"/>
          </w:tcPr>
          <w:p w:rsidR="00000000" w:rsidRDefault="00000000">
            <w:pPr>
              <w:rPr>
                <w:bCs/>
                <w:szCs w:val="20"/>
              </w:rPr>
            </w:pPr>
            <w:r>
              <w:rPr>
                <w:bCs/>
                <w:szCs w:val="20"/>
              </w:rPr>
              <w:t>Denuncias</w:t>
            </w:r>
          </w:p>
        </w:tc>
        <w:tc>
          <w:tcPr>
            <w:tcW w:w="1781" w:type="dxa"/>
            <w:vAlign w:val="bottom"/>
          </w:tcPr>
          <w:p w:rsidR="00000000" w:rsidRDefault="00000000">
            <w:pPr>
              <w:tabs>
                <w:tab w:val="decimal" w:pos="1130"/>
              </w:tabs>
              <w:rPr>
                <w:szCs w:val="20"/>
              </w:rPr>
            </w:pPr>
            <w:r>
              <w:rPr>
                <w:szCs w:val="20"/>
              </w:rPr>
              <w:t>3.108</w:t>
            </w:r>
          </w:p>
        </w:tc>
        <w:tc>
          <w:tcPr>
            <w:tcW w:w="1781" w:type="dxa"/>
            <w:vAlign w:val="bottom"/>
          </w:tcPr>
          <w:p w:rsidR="00000000" w:rsidRDefault="00000000">
            <w:pPr>
              <w:tabs>
                <w:tab w:val="decimal" w:pos="1130"/>
              </w:tabs>
              <w:rPr>
                <w:szCs w:val="20"/>
              </w:rPr>
            </w:pPr>
            <w:r>
              <w:rPr>
                <w:szCs w:val="20"/>
              </w:rPr>
              <w:t>3.100</w:t>
            </w:r>
          </w:p>
        </w:tc>
        <w:tc>
          <w:tcPr>
            <w:tcW w:w="1782" w:type="dxa"/>
            <w:vAlign w:val="bottom"/>
          </w:tcPr>
          <w:p w:rsidR="00000000" w:rsidRDefault="00000000">
            <w:pPr>
              <w:tabs>
                <w:tab w:val="decimal" w:pos="1130"/>
              </w:tabs>
              <w:rPr>
                <w:szCs w:val="20"/>
              </w:rPr>
            </w:pPr>
            <w:r>
              <w:rPr>
                <w:szCs w:val="20"/>
              </w:rPr>
              <w:t>1.145</w:t>
            </w:r>
          </w:p>
        </w:tc>
      </w:tr>
      <w:tr w:rsidR="00000000">
        <w:tblPrEx>
          <w:tblCellMar>
            <w:top w:w="0" w:type="dxa"/>
            <w:bottom w:w="0" w:type="dxa"/>
          </w:tblCellMar>
        </w:tblPrEx>
        <w:tc>
          <w:tcPr>
            <w:tcW w:w="4150" w:type="dxa"/>
            <w:vAlign w:val="bottom"/>
          </w:tcPr>
          <w:p w:rsidR="00000000" w:rsidRDefault="00000000">
            <w:pPr>
              <w:rPr>
                <w:bCs/>
                <w:szCs w:val="20"/>
              </w:rPr>
            </w:pPr>
            <w:r>
              <w:rPr>
                <w:bCs/>
                <w:szCs w:val="20"/>
              </w:rPr>
              <w:t>Resultados de conciliaciones</w:t>
            </w:r>
          </w:p>
        </w:tc>
        <w:tc>
          <w:tcPr>
            <w:tcW w:w="1781" w:type="dxa"/>
            <w:vAlign w:val="bottom"/>
          </w:tcPr>
          <w:p w:rsidR="00000000" w:rsidRDefault="00000000">
            <w:pPr>
              <w:tabs>
                <w:tab w:val="decimal" w:pos="1130"/>
              </w:tabs>
              <w:rPr>
                <w:szCs w:val="20"/>
              </w:rPr>
            </w:pPr>
            <w:r>
              <w:rPr>
                <w:szCs w:val="20"/>
              </w:rPr>
              <w:t>3.108</w:t>
            </w:r>
          </w:p>
        </w:tc>
        <w:tc>
          <w:tcPr>
            <w:tcW w:w="1781" w:type="dxa"/>
            <w:vAlign w:val="bottom"/>
          </w:tcPr>
          <w:p w:rsidR="00000000" w:rsidRDefault="00000000">
            <w:pPr>
              <w:tabs>
                <w:tab w:val="decimal" w:pos="1130"/>
              </w:tabs>
              <w:rPr>
                <w:szCs w:val="20"/>
              </w:rPr>
            </w:pPr>
            <w:r>
              <w:rPr>
                <w:szCs w:val="20"/>
              </w:rPr>
              <w:t>3.100</w:t>
            </w:r>
          </w:p>
        </w:tc>
        <w:tc>
          <w:tcPr>
            <w:tcW w:w="1782" w:type="dxa"/>
            <w:vAlign w:val="bottom"/>
          </w:tcPr>
          <w:p w:rsidR="00000000" w:rsidRDefault="00000000">
            <w:pPr>
              <w:tabs>
                <w:tab w:val="decimal" w:pos="1130"/>
              </w:tabs>
              <w:rPr>
                <w:szCs w:val="20"/>
              </w:rPr>
            </w:pPr>
            <w:r>
              <w:rPr>
                <w:szCs w:val="20"/>
              </w:rPr>
              <w:t>1.145</w:t>
            </w:r>
          </w:p>
        </w:tc>
      </w:tr>
      <w:tr w:rsidR="00000000">
        <w:tblPrEx>
          <w:tblCellMar>
            <w:top w:w="0" w:type="dxa"/>
            <w:bottom w:w="0" w:type="dxa"/>
          </w:tblCellMar>
        </w:tblPrEx>
        <w:tc>
          <w:tcPr>
            <w:tcW w:w="4150" w:type="dxa"/>
            <w:vAlign w:val="bottom"/>
          </w:tcPr>
          <w:p w:rsidR="00000000" w:rsidRDefault="00000000">
            <w:pPr>
              <w:ind w:left="284"/>
              <w:rPr>
                <w:bCs/>
                <w:szCs w:val="20"/>
              </w:rPr>
            </w:pPr>
            <w:r>
              <w:rPr>
                <w:bCs/>
                <w:szCs w:val="20"/>
              </w:rPr>
              <w:t>Solucionado</w:t>
            </w:r>
          </w:p>
        </w:tc>
        <w:tc>
          <w:tcPr>
            <w:tcW w:w="1781" w:type="dxa"/>
            <w:vAlign w:val="bottom"/>
          </w:tcPr>
          <w:p w:rsidR="00000000" w:rsidRDefault="00000000">
            <w:pPr>
              <w:tabs>
                <w:tab w:val="decimal" w:pos="1130"/>
              </w:tabs>
              <w:rPr>
                <w:szCs w:val="20"/>
              </w:rPr>
            </w:pPr>
            <w:r>
              <w:rPr>
                <w:szCs w:val="20"/>
              </w:rPr>
              <w:t>636</w:t>
            </w:r>
          </w:p>
        </w:tc>
        <w:tc>
          <w:tcPr>
            <w:tcW w:w="1781" w:type="dxa"/>
            <w:vAlign w:val="bottom"/>
          </w:tcPr>
          <w:p w:rsidR="00000000" w:rsidRDefault="00000000">
            <w:pPr>
              <w:tabs>
                <w:tab w:val="decimal" w:pos="1130"/>
              </w:tabs>
              <w:rPr>
                <w:szCs w:val="20"/>
              </w:rPr>
            </w:pPr>
            <w:r>
              <w:rPr>
                <w:szCs w:val="20"/>
              </w:rPr>
              <w:t>1.063</w:t>
            </w:r>
          </w:p>
        </w:tc>
        <w:tc>
          <w:tcPr>
            <w:tcW w:w="1782" w:type="dxa"/>
            <w:vAlign w:val="bottom"/>
          </w:tcPr>
          <w:p w:rsidR="00000000" w:rsidRDefault="00000000">
            <w:pPr>
              <w:tabs>
                <w:tab w:val="decimal" w:pos="1130"/>
              </w:tabs>
              <w:rPr>
                <w:szCs w:val="20"/>
              </w:rPr>
            </w:pPr>
            <w:r>
              <w:rPr>
                <w:szCs w:val="20"/>
              </w:rPr>
              <w:t>388</w:t>
            </w:r>
          </w:p>
        </w:tc>
      </w:tr>
      <w:tr w:rsidR="00000000">
        <w:tblPrEx>
          <w:tblCellMar>
            <w:top w:w="0" w:type="dxa"/>
            <w:bottom w:w="0" w:type="dxa"/>
          </w:tblCellMar>
        </w:tblPrEx>
        <w:tc>
          <w:tcPr>
            <w:tcW w:w="4150" w:type="dxa"/>
            <w:vAlign w:val="bottom"/>
          </w:tcPr>
          <w:p w:rsidR="00000000" w:rsidRDefault="00000000">
            <w:pPr>
              <w:ind w:left="284"/>
              <w:rPr>
                <w:bCs/>
                <w:szCs w:val="20"/>
              </w:rPr>
            </w:pPr>
            <w:r>
              <w:rPr>
                <w:bCs/>
                <w:szCs w:val="20"/>
              </w:rPr>
              <w:t>No solucionado</w:t>
            </w:r>
          </w:p>
        </w:tc>
        <w:tc>
          <w:tcPr>
            <w:tcW w:w="1781" w:type="dxa"/>
            <w:vAlign w:val="bottom"/>
          </w:tcPr>
          <w:p w:rsidR="00000000" w:rsidRDefault="00000000">
            <w:pPr>
              <w:tabs>
                <w:tab w:val="decimal" w:pos="1130"/>
              </w:tabs>
              <w:rPr>
                <w:szCs w:val="20"/>
              </w:rPr>
            </w:pPr>
            <w:r>
              <w:rPr>
                <w:szCs w:val="20"/>
              </w:rPr>
              <w:t>566</w:t>
            </w:r>
          </w:p>
        </w:tc>
        <w:tc>
          <w:tcPr>
            <w:tcW w:w="1781" w:type="dxa"/>
            <w:vAlign w:val="bottom"/>
          </w:tcPr>
          <w:p w:rsidR="00000000" w:rsidRDefault="00000000">
            <w:pPr>
              <w:tabs>
                <w:tab w:val="decimal" w:pos="1130"/>
              </w:tabs>
              <w:rPr>
                <w:szCs w:val="20"/>
              </w:rPr>
            </w:pPr>
            <w:r>
              <w:rPr>
                <w:szCs w:val="20"/>
              </w:rPr>
              <w:t>735</w:t>
            </w:r>
          </w:p>
        </w:tc>
        <w:tc>
          <w:tcPr>
            <w:tcW w:w="1782" w:type="dxa"/>
            <w:vAlign w:val="bottom"/>
          </w:tcPr>
          <w:p w:rsidR="00000000" w:rsidRDefault="00000000">
            <w:pPr>
              <w:tabs>
                <w:tab w:val="decimal" w:pos="1130"/>
              </w:tabs>
              <w:rPr>
                <w:szCs w:val="20"/>
              </w:rPr>
            </w:pPr>
            <w:r>
              <w:rPr>
                <w:szCs w:val="20"/>
              </w:rPr>
              <w:t>248</w:t>
            </w:r>
          </w:p>
        </w:tc>
      </w:tr>
      <w:tr w:rsidR="00000000">
        <w:tblPrEx>
          <w:tblCellMar>
            <w:top w:w="0" w:type="dxa"/>
            <w:bottom w:w="0" w:type="dxa"/>
          </w:tblCellMar>
        </w:tblPrEx>
        <w:tc>
          <w:tcPr>
            <w:tcW w:w="4150" w:type="dxa"/>
            <w:vAlign w:val="bottom"/>
          </w:tcPr>
          <w:p w:rsidR="00000000" w:rsidRDefault="00000000">
            <w:pPr>
              <w:tabs>
                <w:tab w:val="left" w:pos="600"/>
              </w:tabs>
              <w:ind w:left="284"/>
              <w:rPr>
                <w:bCs/>
                <w:szCs w:val="20"/>
              </w:rPr>
            </w:pPr>
            <w:r>
              <w:rPr>
                <w:bCs/>
                <w:szCs w:val="20"/>
              </w:rPr>
              <w:t>I.</w:t>
            </w:r>
            <w:r>
              <w:rPr>
                <w:bCs/>
                <w:szCs w:val="20"/>
              </w:rPr>
              <w:tab/>
              <w:t>Patronal</w:t>
            </w:r>
          </w:p>
        </w:tc>
        <w:tc>
          <w:tcPr>
            <w:tcW w:w="1781" w:type="dxa"/>
            <w:vAlign w:val="bottom"/>
          </w:tcPr>
          <w:p w:rsidR="00000000" w:rsidRDefault="00000000">
            <w:pPr>
              <w:tabs>
                <w:tab w:val="decimal" w:pos="1130"/>
              </w:tabs>
              <w:rPr>
                <w:szCs w:val="20"/>
              </w:rPr>
            </w:pPr>
            <w:r>
              <w:rPr>
                <w:szCs w:val="20"/>
              </w:rPr>
              <w:t>1.006</w:t>
            </w:r>
          </w:p>
        </w:tc>
        <w:tc>
          <w:tcPr>
            <w:tcW w:w="1781" w:type="dxa"/>
            <w:vAlign w:val="bottom"/>
          </w:tcPr>
          <w:p w:rsidR="00000000" w:rsidRDefault="00000000">
            <w:pPr>
              <w:tabs>
                <w:tab w:val="decimal" w:pos="1130"/>
              </w:tabs>
              <w:rPr>
                <w:szCs w:val="20"/>
              </w:rPr>
            </w:pPr>
            <w:r>
              <w:rPr>
                <w:szCs w:val="20"/>
              </w:rPr>
              <w:t>662</w:t>
            </w:r>
          </w:p>
        </w:tc>
        <w:tc>
          <w:tcPr>
            <w:tcW w:w="1782" w:type="dxa"/>
            <w:vAlign w:val="bottom"/>
          </w:tcPr>
          <w:p w:rsidR="00000000" w:rsidRDefault="00000000">
            <w:pPr>
              <w:tabs>
                <w:tab w:val="decimal" w:pos="1130"/>
              </w:tabs>
              <w:rPr>
                <w:szCs w:val="20"/>
              </w:rPr>
            </w:pPr>
            <w:r>
              <w:rPr>
                <w:szCs w:val="20"/>
              </w:rPr>
              <w:t>247</w:t>
            </w:r>
          </w:p>
        </w:tc>
      </w:tr>
      <w:tr w:rsidR="00000000">
        <w:tblPrEx>
          <w:tblCellMar>
            <w:top w:w="0" w:type="dxa"/>
            <w:bottom w:w="0" w:type="dxa"/>
          </w:tblCellMar>
        </w:tblPrEx>
        <w:tc>
          <w:tcPr>
            <w:tcW w:w="4150" w:type="dxa"/>
            <w:vAlign w:val="bottom"/>
          </w:tcPr>
          <w:p w:rsidR="00000000" w:rsidRDefault="00000000">
            <w:pPr>
              <w:tabs>
                <w:tab w:val="left" w:pos="600"/>
              </w:tabs>
              <w:ind w:left="284"/>
              <w:rPr>
                <w:bCs/>
                <w:szCs w:val="20"/>
              </w:rPr>
            </w:pPr>
            <w:r>
              <w:rPr>
                <w:bCs/>
                <w:szCs w:val="20"/>
              </w:rPr>
              <w:t>I.</w:t>
            </w:r>
            <w:r>
              <w:rPr>
                <w:bCs/>
                <w:szCs w:val="20"/>
              </w:rPr>
              <w:tab/>
              <w:t>Trabajador</w:t>
            </w:r>
          </w:p>
        </w:tc>
        <w:tc>
          <w:tcPr>
            <w:tcW w:w="1781" w:type="dxa"/>
            <w:vAlign w:val="bottom"/>
          </w:tcPr>
          <w:p w:rsidR="00000000" w:rsidRDefault="00000000">
            <w:pPr>
              <w:tabs>
                <w:tab w:val="decimal" w:pos="1130"/>
              </w:tabs>
              <w:rPr>
                <w:szCs w:val="20"/>
              </w:rPr>
            </w:pPr>
            <w:r>
              <w:rPr>
                <w:szCs w:val="20"/>
              </w:rPr>
              <w:t>66</w:t>
            </w:r>
          </w:p>
        </w:tc>
        <w:tc>
          <w:tcPr>
            <w:tcW w:w="1781" w:type="dxa"/>
            <w:vAlign w:val="bottom"/>
          </w:tcPr>
          <w:p w:rsidR="00000000" w:rsidRDefault="00000000">
            <w:pPr>
              <w:tabs>
                <w:tab w:val="decimal" w:pos="1130"/>
              </w:tabs>
              <w:rPr>
                <w:szCs w:val="20"/>
              </w:rPr>
            </w:pPr>
            <w:r>
              <w:rPr>
                <w:szCs w:val="20"/>
              </w:rPr>
              <w:t>86</w:t>
            </w:r>
          </w:p>
        </w:tc>
        <w:tc>
          <w:tcPr>
            <w:tcW w:w="1782" w:type="dxa"/>
            <w:vAlign w:val="bottom"/>
          </w:tcPr>
          <w:p w:rsidR="00000000" w:rsidRDefault="00000000">
            <w:pPr>
              <w:tabs>
                <w:tab w:val="decimal" w:pos="1130"/>
              </w:tabs>
              <w:rPr>
                <w:szCs w:val="20"/>
              </w:rPr>
            </w:pPr>
            <w:r>
              <w:rPr>
                <w:szCs w:val="20"/>
              </w:rPr>
              <w:t>32</w:t>
            </w:r>
          </w:p>
        </w:tc>
      </w:tr>
      <w:tr w:rsidR="00000000">
        <w:tblPrEx>
          <w:tblCellMar>
            <w:top w:w="0" w:type="dxa"/>
            <w:bottom w:w="0" w:type="dxa"/>
          </w:tblCellMar>
        </w:tblPrEx>
        <w:tc>
          <w:tcPr>
            <w:tcW w:w="4150" w:type="dxa"/>
            <w:vAlign w:val="bottom"/>
          </w:tcPr>
          <w:p w:rsidR="00000000" w:rsidRDefault="00000000">
            <w:pPr>
              <w:tabs>
                <w:tab w:val="left" w:pos="600"/>
              </w:tabs>
              <w:ind w:left="284"/>
              <w:rPr>
                <w:bCs/>
                <w:szCs w:val="20"/>
              </w:rPr>
            </w:pPr>
            <w:r>
              <w:rPr>
                <w:bCs/>
                <w:szCs w:val="20"/>
              </w:rPr>
              <w:t>D.</w:t>
            </w:r>
            <w:r>
              <w:rPr>
                <w:bCs/>
                <w:szCs w:val="20"/>
              </w:rPr>
              <w:tab/>
              <w:t>Acción</w:t>
            </w:r>
          </w:p>
        </w:tc>
        <w:tc>
          <w:tcPr>
            <w:tcW w:w="1781" w:type="dxa"/>
            <w:vAlign w:val="bottom"/>
          </w:tcPr>
          <w:p w:rsidR="00000000" w:rsidRDefault="00000000">
            <w:pPr>
              <w:tabs>
                <w:tab w:val="decimal" w:pos="1130"/>
              </w:tabs>
              <w:rPr>
                <w:szCs w:val="20"/>
              </w:rPr>
            </w:pPr>
            <w:r>
              <w:rPr>
                <w:szCs w:val="20"/>
              </w:rPr>
              <w:t>189</w:t>
            </w:r>
          </w:p>
        </w:tc>
        <w:tc>
          <w:tcPr>
            <w:tcW w:w="1781" w:type="dxa"/>
            <w:vAlign w:val="bottom"/>
          </w:tcPr>
          <w:p w:rsidR="00000000" w:rsidRDefault="00000000">
            <w:pPr>
              <w:tabs>
                <w:tab w:val="decimal" w:pos="1130"/>
              </w:tabs>
              <w:rPr>
                <w:szCs w:val="20"/>
              </w:rPr>
            </w:pPr>
            <w:r>
              <w:rPr>
                <w:szCs w:val="20"/>
              </w:rPr>
              <w:t>210</w:t>
            </w:r>
          </w:p>
        </w:tc>
        <w:tc>
          <w:tcPr>
            <w:tcW w:w="1782" w:type="dxa"/>
            <w:vAlign w:val="bottom"/>
          </w:tcPr>
          <w:p w:rsidR="00000000" w:rsidRDefault="00000000">
            <w:pPr>
              <w:tabs>
                <w:tab w:val="decimal" w:pos="1130"/>
              </w:tabs>
              <w:rPr>
                <w:szCs w:val="20"/>
              </w:rPr>
            </w:pPr>
            <w:r>
              <w:rPr>
                <w:szCs w:val="20"/>
              </w:rPr>
              <w:t>78</w:t>
            </w:r>
          </w:p>
        </w:tc>
      </w:tr>
      <w:tr w:rsidR="00000000">
        <w:tblPrEx>
          <w:tblCellMar>
            <w:top w:w="0" w:type="dxa"/>
            <w:bottom w:w="0" w:type="dxa"/>
          </w:tblCellMar>
        </w:tblPrEx>
        <w:tc>
          <w:tcPr>
            <w:tcW w:w="4150" w:type="dxa"/>
            <w:vAlign w:val="bottom"/>
          </w:tcPr>
          <w:p w:rsidR="00000000" w:rsidRDefault="00000000">
            <w:pPr>
              <w:tabs>
                <w:tab w:val="left" w:pos="600"/>
              </w:tabs>
              <w:ind w:left="284"/>
              <w:rPr>
                <w:bCs/>
                <w:szCs w:val="20"/>
              </w:rPr>
            </w:pPr>
            <w:r>
              <w:rPr>
                <w:bCs/>
                <w:szCs w:val="20"/>
              </w:rPr>
              <w:t>D.</w:t>
            </w:r>
            <w:r>
              <w:rPr>
                <w:bCs/>
                <w:szCs w:val="20"/>
              </w:rPr>
              <w:tab/>
              <w:t>Instancia</w:t>
            </w:r>
          </w:p>
        </w:tc>
        <w:tc>
          <w:tcPr>
            <w:tcW w:w="1781" w:type="dxa"/>
            <w:vAlign w:val="bottom"/>
          </w:tcPr>
          <w:p w:rsidR="00000000" w:rsidRDefault="00000000">
            <w:pPr>
              <w:tabs>
                <w:tab w:val="decimal" w:pos="1130"/>
              </w:tabs>
              <w:rPr>
                <w:szCs w:val="20"/>
              </w:rPr>
            </w:pPr>
            <w:r>
              <w:rPr>
                <w:szCs w:val="20"/>
              </w:rPr>
              <w:t>645</w:t>
            </w:r>
          </w:p>
        </w:tc>
        <w:tc>
          <w:tcPr>
            <w:tcW w:w="1781" w:type="dxa"/>
            <w:vAlign w:val="bottom"/>
          </w:tcPr>
          <w:p w:rsidR="00000000" w:rsidRDefault="00000000">
            <w:pPr>
              <w:tabs>
                <w:tab w:val="decimal" w:pos="1130"/>
              </w:tabs>
              <w:rPr>
                <w:szCs w:val="20"/>
              </w:rPr>
            </w:pPr>
            <w:r>
              <w:rPr>
                <w:szCs w:val="20"/>
              </w:rPr>
              <w:t>344</w:t>
            </w:r>
          </w:p>
        </w:tc>
        <w:tc>
          <w:tcPr>
            <w:tcW w:w="1782" w:type="dxa"/>
            <w:vAlign w:val="bottom"/>
          </w:tcPr>
          <w:p w:rsidR="00000000" w:rsidRDefault="00000000">
            <w:pPr>
              <w:tabs>
                <w:tab w:val="decimal" w:pos="1130"/>
              </w:tabs>
              <w:rPr>
                <w:szCs w:val="20"/>
              </w:rPr>
            </w:pPr>
            <w:r>
              <w:rPr>
                <w:szCs w:val="20"/>
              </w:rPr>
              <w:t>122</w:t>
            </w:r>
          </w:p>
        </w:tc>
      </w:tr>
      <w:tr w:rsidR="00000000">
        <w:tblPrEx>
          <w:tblCellMar>
            <w:top w:w="0" w:type="dxa"/>
            <w:bottom w:w="0" w:type="dxa"/>
          </w:tblCellMar>
        </w:tblPrEx>
        <w:tc>
          <w:tcPr>
            <w:tcW w:w="4150" w:type="dxa"/>
            <w:vAlign w:val="bottom"/>
          </w:tcPr>
          <w:p w:rsidR="00000000" w:rsidRDefault="00000000">
            <w:pPr>
              <w:ind w:left="284"/>
              <w:rPr>
                <w:bCs/>
                <w:szCs w:val="20"/>
              </w:rPr>
            </w:pPr>
            <w:r>
              <w:rPr>
                <w:bCs/>
                <w:szCs w:val="20"/>
              </w:rPr>
              <w:t>Expedientes no informados</w:t>
            </w:r>
          </w:p>
        </w:tc>
        <w:tc>
          <w:tcPr>
            <w:tcW w:w="1781" w:type="dxa"/>
            <w:vAlign w:val="bottom"/>
          </w:tcPr>
          <w:p w:rsidR="00000000" w:rsidRDefault="00000000">
            <w:pPr>
              <w:tabs>
                <w:tab w:val="decimal" w:pos="1130"/>
              </w:tabs>
              <w:rPr>
                <w:szCs w:val="20"/>
              </w:rPr>
            </w:pPr>
            <w:r>
              <w:rPr>
                <w:szCs w:val="20"/>
              </w:rPr>
              <w:t>0</w:t>
            </w:r>
          </w:p>
        </w:tc>
        <w:tc>
          <w:tcPr>
            <w:tcW w:w="1781" w:type="dxa"/>
            <w:vAlign w:val="bottom"/>
          </w:tcPr>
          <w:p w:rsidR="00000000" w:rsidRDefault="00000000">
            <w:pPr>
              <w:tabs>
                <w:tab w:val="decimal" w:pos="1130"/>
              </w:tabs>
              <w:rPr>
                <w:szCs w:val="20"/>
              </w:rPr>
            </w:pPr>
            <w:r>
              <w:rPr>
                <w:szCs w:val="20"/>
              </w:rPr>
              <w:t>0</w:t>
            </w:r>
          </w:p>
        </w:tc>
        <w:tc>
          <w:tcPr>
            <w:tcW w:w="1782" w:type="dxa"/>
            <w:vAlign w:val="bottom"/>
          </w:tcPr>
          <w:p w:rsidR="00000000" w:rsidRDefault="00000000">
            <w:pPr>
              <w:tabs>
                <w:tab w:val="decimal" w:pos="1130"/>
              </w:tabs>
              <w:rPr>
                <w:szCs w:val="20"/>
              </w:rPr>
            </w:pPr>
            <w:r>
              <w:rPr>
                <w:szCs w:val="20"/>
              </w:rPr>
              <w:t>31</w:t>
            </w:r>
          </w:p>
        </w:tc>
      </w:tr>
      <w:tr w:rsidR="00000000">
        <w:tblPrEx>
          <w:tblCellMar>
            <w:top w:w="0" w:type="dxa"/>
            <w:bottom w:w="0" w:type="dxa"/>
          </w:tblCellMar>
        </w:tblPrEx>
        <w:tc>
          <w:tcPr>
            <w:tcW w:w="4150" w:type="dxa"/>
            <w:vAlign w:val="bottom"/>
          </w:tcPr>
          <w:p w:rsidR="00000000" w:rsidRDefault="00000000">
            <w:pPr>
              <w:tabs>
                <w:tab w:val="left" w:pos="360"/>
              </w:tabs>
              <w:rPr>
                <w:bCs/>
                <w:szCs w:val="20"/>
              </w:rPr>
            </w:pPr>
            <w:r>
              <w:rPr>
                <w:bCs/>
                <w:szCs w:val="20"/>
              </w:rPr>
              <w:t>Audiencias atendidas</w:t>
            </w:r>
          </w:p>
        </w:tc>
        <w:tc>
          <w:tcPr>
            <w:tcW w:w="1781" w:type="dxa"/>
            <w:vAlign w:val="bottom"/>
          </w:tcPr>
          <w:p w:rsidR="00000000" w:rsidRDefault="00000000">
            <w:pPr>
              <w:tabs>
                <w:tab w:val="decimal" w:pos="1130"/>
              </w:tabs>
              <w:rPr>
                <w:szCs w:val="20"/>
              </w:rPr>
            </w:pPr>
            <w:r>
              <w:rPr>
                <w:szCs w:val="20"/>
              </w:rPr>
              <w:t>2.359</w:t>
            </w:r>
          </w:p>
        </w:tc>
        <w:tc>
          <w:tcPr>
            <w:tcW w:w="1781" w:type="dxa"/>
            <w:vAlign w:val="bottom"/>
          </w:tcPr>
          <w:p w:rsidR="00000000" w:rsidRDefault="00000000">
            <w:pPr>
              <w:tabs>
                <w:tab w:val="decimal" w:pos="1130"/>
              </w:tabs>
              <w:rPr>
                <w:szCs w:val="20"/>
              </w:rPr>
            </w:pPr>
            <w:r>
              <w:rPr>
                <w:szCs w:val="20"/>
              </w:rPr>
              <w:t>2.540</w:t>
            </w:r>
          </w:p>
        </w:tc>
        <w:tc>
          <w:tcPr>
            <w:tcW w:w="1782" w:type="dxa"/>
            <w:vAlign w:val="bottom"/>
          </w:tcPr>
          <w:p w:rsidR="00000000" w:rsidRDefault="00000000">
            <w:pPr>
              <w:tabs>
                <w:tab w:val="decimal" w:pos="1130"/>
              </w:tabs>
              <w:rPr>
                <w:szCs w:val="20"/>
              </w:rPr>
            </w:pPr>
            <w:r>
              <w:rPr>
                <w:szCs w:val="20"/>
              </w:rPr>
              <w:t>938</w:t>
            </w:r>
          </w:p>
        </w:tc>
      </w:tr>
      <w:tr w:rsidR="00000000">
        <w:tblPrEx>
          <w:tblCellMar>
            <w:top w:w="0" w:type="dxa"/>
            <w:bottom w:w="0" w:type="dxa"/>
          </w:tblCellMar>
        </w:tblPrEx>
        <w:tc>
          <w:tcPr>
            <w:tcW w:w="4150" w:type="dxa"/>
            <w:vAlign w:val="bottom"/>
          </w:tcPr>
          <w:p w:rsidR="00000000" w:rsidRDefault="00000000">
            <w:pPr>
              <w:rPr>
                <w:bCs/>
                <w:szCs w:val="20"/>
              </w:rPr>
            </w:pPr>
            <w:r>
              <w:rPr>
                <w:bCs/>
                <w:szCs w:val="20"/>
              </w:rPr>
              <w:t>Confección segunda notificación</w:t>
            </w:r>
          </w:p>
        </w:tc>
        <w:tc>
          <w:tcPr>
            <w:tcW w:w="1781" w:type="dxa"/>
            <w:vAlign w:val="bottom"/>
          </w:tcPr>
          <w:p w:rsidR="00000000" w:rsidRDefault="00000000">
            <w:pPr>
              <w:tabs>
                <w:tab w:val="decimal" w:pos="1130"/>
              </w:tabs>
              <w:rPr>
                <w:szCs w:val="20"/>
              </w:rPr>
            </w:pPr>
            <w:r>
              <w:rPr>
                <w:szCs w:val="20"/>
              </w:rPr>
              <w:t>1.657</w:t>
            </w:r>
          </w:p>
        </w:tc>
        <w:tc>
          <w:tcPr>
            <w:tcW w:w="1781" w:type="dxa"/>
            <w:vAlign w:val="bottom"/>
          </w:tcPr>
          <w:p w:rsidR="00000000" w:rsidRDefault="00000000">
            <w:pPr>
              <w:tabs>
                <w:tab w:val="decimal" w:pos="1130"/>
              </w:tabs>
              <w:rPr>
                <w:szCs w:val="20"/>
              </w:rPr>
            </w:pPr>
            <w:r>
              <w:rPr>
                <w:szCs w:val="20"/>
              </w:rPr>
              <w:t>882</w:t>
            </w:r>
          </w:p>
        </w:tc>
        <w:tc>
          <w:tcPr>
            <w:tcW w:w="1782" w:type="dxa"/>
            <w:vAlign w:val="bottom"/>
          </w:tcPr>
          <w:p w:rsidR="00000000" w:rsidRDefault="00000000">
            <w:pPr>
              <w:tabs>
                <w:tab w:val="decimal" w:pos="1130"/>
              </w:tabs>
              <w:rPr>
                <w:szCs w:val="20"/>
              </w:rPr>
            </w:pPr>
            <w:r>
              <w:rPr>
                <w:szCs w:val="20"/>
              </w:rPr>
              <w:t>326</w:t>
            </w:r>
          </w:p>
        </w:tc>
      </w:tr>
      <w:tr w:rsidR="00000000">
        <w:tblPrEx>
          <w:tblCellMar>
            <w:top w:w="0" w:type="dxa"/>
            <w:bottom w:w="0" w:type="dxa"/>
          </w:tblCellMar>
        </w:tblPrEx>
        <w:tc>
          <w:tcPr>
            <w:tcW w:w="4150" w:type="dxa"/>
            <w:vAlign w:val="bottom"/>
          </w:tcPr>
          <w:p w:rsidR="00000000" w:rsidRDefault="00000000">
            <w:pPr>
              <w:rPr>
                <w:bCs/>
                <w:szCs w:val="20"/>
              </w:rPr>
            </w:pPr>
            <w:r>
              <w:rPr>
                <w:bCs/>
                <w:szCs w:val="20"/>
              </w:rPr>
              <w:t>Segunda notificación</w:t>
            </w:r>
          </w:p>
        </w:tc>
        <w:tc>
          <w:tcPr>
            <w:tcW w:w="1781" w:type="dxa"/>
            <w:vAlign w:val="bottom"/>
          </w:tcPr>
          <w:p w:rsidR="00000000" w:rsidRDefault="00000000">
            <w:pPr>
              <w:tabs>
                <w:tab w:val="decimal" w:pos="1130"/>
              </w:tabs>
              <w:rPr>
                <w:szCs w:val="20"/>
              </w:rPr>
            </w:pPr>
            <w:r>
              <w:rPr>
                <w:szCs w:val="20"/>
              </w:rPr>
              <w:t>1.657</w:t>
            </w:r>
          </w:p>
        </w:tc>
        <w:tc>
          <w:tcPr>
            <w:tcW w:w="1781" w:type="dxa"/>
            <w:vAlign w:val="bottom"/>
          </w:tcPr>
          <w:p w:rsidR="00000000" w:rsidRDefault="00000000">
            <w:pPr>
              <w:tabs>
                <w:tab w:val="decimal" w:pos="1130"/>
              </w:tabs>
              <w:rPr>
                <w:szCs w:val="20"/>
              </w:rPr>
            </w:pPr>
            <w:r>
              <w:rPr>
                <w:szCs w:val="20"/>
              </w:rPr>
              <w:t>882</w:t>
            </w:r>
          </w:p>
        </w:tc>
        <w:tc>
          <w:tcPr>
            <w:tcW w:w="1782" w:type="dxa"/>
            <w:vAlign w:val="bottom"/>
          </w:tcPr>
          <w:p w:rsidR="00000000" w:rsidRDefault="00000000">
            <w:pPr>
              <w:tabs>
                <w:tab w:val="decimal" w:pos="1130"/>
              </w:tabs>
              <w:rPr>
                <w:szCs w:val="20"/>
              </w:rPr>
            </w:pPr>
            <w:r>
              <w:rPr>
                <w:szCs w:val="20"/>
              </w:rPr>
              <w:t>326</w:t>
            </w:r>
          </w:p>
        </w:tc>
      </w:tr>
    </w:tbl>
    <w:p w:rsidR="00000000" w:rsidRDefault="00000000">
      <w:pPr>
        <w:spacing w:before="480" w:after="240"/>
        <w:rPr>
          <w:b/>
        </w:rPr>
      </w:pPr>
      <w:r>
        <w:rPr>
          <w:b/>
        </w:rPr>
        <w:t>Artículo 8</w:t>
      </w:r>
    </w:p>
    <w:p w:rsidR="00000000" w:rsidRDefault="00000000">
      <w:pPr>
        <w:autoSpaceDE w:val="0"/>
        <w:autoSpaceDN w:val="0"/>
        <w:adjustRightInd w:val="0"/>
        <w:spacing w:after="240"/>
      </w:pPr>
      <w:r>
        <w:t>241.</w:t>
      </w:r>
      <w:r>
        <w:tab/>
        <w:t>El Estado paraguayo es Parte de los siguientes instrumentos internacionales correspondientes a la protección de los derechos laborales y que guardan relación con la aplicación del presente artículo:</w:t>
      </w:r>
    </w:p>
    <w:p w:rsidR="00000000" w:rsidRDefault="00000000">
      <w:pPr>
        <w:keepNext/>
        <w:spacing w:after="240"/>
        <w:ind w:left="924" w:hanging="357"/>
        <w:rPr>
          <w:b/>
        </w:rPr>
      </w:pPr>
      <w:r>
        <w:rPr>
          <w:bCs/>
        </w:rPr>
        <w:t>-</w:t>
      </w:r>
      <w:r>
        <w:rPr>
          <w:b/>
        </w:rPr>
        <w:tab/>
        <w:t>Pacto Internacional sobre Derechos Civiles y Políticos</w:t>
      </w:r>
    </w:p>
    <w:p w:rsidR="00000000" w:rsidRDefault="00000000">
      <w:pPr>
        <w:spacing w:after="240"/>
        <w:ind w:left="924"/>
      </w:pPr>
      <w:r>
        <w:t>Adhesión:  10 de junio de 1992</w:t>
      </w:r>
      <w:r>
        <w:br/>
        <w:t>Ratificado por Ley N° 5/92, de fecha 9 de abril de 1992</w:t>
      </w:r>
      <w:r>
        <w:br/>
        <w:t>Entrada en vigor para el Paraguay:  10 de noviembre de 1992</w:t>
      </w:r>
    </w:p>
    <w:p w:rsidR="00000000" w:rsidRDefault="00000000">
      <w:pPr>
        <w:spacing w:after="240"/>
        <w:ind w:left="924" w:hanging="357"/>
        <w:rPr>
          <w:b/>
        </w:rPr>
      </w:pPr>
      <w:r>
        <w:rPr>
          <w:bCs/>
        </w:rPr>
        <w:t>-</w:t>
      </w:r>
      <w:r>
        <w:rPr>
          <w:b/>
        </w:rPr>
        <w:tab/>
        <w:t>Convenio Nº 87 relativo a la libertad sindical y a la protección del derecho de sindicación</w:t>
      </w:r>
    </w:p>
    <w:p w:rsidR="00000000" w:rsidRDefault="00000000">
      <w:pPr>
        <w:spacing w:after="240"/>
        <w:ind w:left="924"/>
      </w:pPr>
      <w:r>
        <w:t>Ratificado por Ley Nº 748, de fecha 31 de agosto de 1961</w:t>
      </w:r>
      <w:r>
        <w:br/>
        <w:t>Depósito:  Ginebra, 28 de junio de 1962</w:t>
      </w:r>
      <w:r>
        <w:br/>
        <w:t>Entrada en vigor para el Paraguay:  28 de junio de 1963</w:t>
      </w:r>
    </w:p>
    <w:p w:rsidR="00000000" w:rsidRDefault="00000000">
      <w:pPr>
        <w:keepNext/>
        <w:spacing w:after="240"/>
        <w:ind w:left="924" w:hanging="357"/>
      </w:pPr>
      <w:r>
        <w:rPr>
          <w:bCs/>
        </w:rPr>
        <w:t>-</w:t>
      </w:r>
      <w:r>
        <w:rPr>
          <w:b/>
        </w:rPr>
        <w:tab/>
        <w:t>Convenio Nº 98 relativo a la aplicación de los principios del derecho de sindicación y de negociación colectiva</w:t>
      </w:r>
    </w:p>
    <w:p w:rsidR="00000000" w:rsidRDefault="00000000">
      <w:pPr>
        <w:spacing w:after="240"/>
        <w:ind w:left="924"/>
      </w:pPr>
      <w:r>
        <w:t>Ratificado por Ley Nº 977, de fecha 31 de agosto de 1964</w:t>
      </w:r>
      <w:r>
        <w:br/>
        <w:t>Deposito:  Ginebra, 21 de marzo de 1966</w:t>
      </w:r>
      <w:r>
        <w:br/>
        <w:t>Entrada en vigor para el Paraguay:  21 de marzo de 1967</w:t>
      </w:r>
    </w:p>
    <w:p w:rsidR="00000000" w:rsidRDefault="00000000">
      <w:pPr>
        <w:keepNext/>
        <w:spacing w:after="240"/>
        <w:jc w:val="center"/>
      </w:pPr>
      <w:r>
        <w:rPr>
          <w:b/>
        </w:rPr>
        <w:t>A.  Derechos sindicales</w:t>
      </w:r>
    </w:p>
    <w:p w:rsidR="00000000" w:rsidRDefault="00000000">
      <w:pPr>
        <w:autoSpaceDE w:val="0"/>
        <w:autoSpaceDN w:val="0"/>
        <w:adjustRightInd w:val="0"/>
        <w:spacing w:after="240"/>
      </w:pPr>
      <w:r>
        <w:t>242.</w:t>
      </w:r>
      <w:r>
        <w:tab/>
        <w:t>A continuación se detalla las condiciones formales, según los artículos del Código Laboral, para adherirse a una organización sindical, así como las normas para establecer sindicatos de ciertas categorías.</w:t>
      </w:r>
    </w:p>
    <w:p w:rsidR="00000000" w:rsidRDefault="00000000">
      <w:pPr>
        <w:spacing w:after="240"/>
        <w:rPr>
          <w:b/>
        </w:rPr>
      </w:pPr>
      <w:r>
        <w:rPr>
          <w:b/>
        </w:rPr>
        <w:t>1.</w:t>
      </w:r>
      <w:r>
        <w:rPr>
          <w:b/>
        </w:rPr>
        <w:tab/>
        <w:t>Libre asociación</w:t>
      </w:r>
    </w:p>
    <w:p w:rsidR="00000000" w:rsidRDefault="00000000">
      <w:pPr>
        <w:spacing w:after="240"/>
        <w:ind w:left="924" w:hanging="357"/>
      </w:pPr>
      <w:r>
        <w:rPr>
          <w:bCs/>
        </w:rPr>
        <w:t>-</w:t>
      </w:r>
      <w:r>
        <w:rPr>
          <w:b/>
        </w:rPr>
        <w:tab/>
        <w:t xml:space="preserve">Artículo 283.  </w:t>
      </w:r>
      <w:r>
        <w:t>La ley reconoce a los trabajadores y empleadores sin distinción de sexo o nacionalidad, y sin necesidad de autorización previa, el derecho de constituir libremente organizaciones que tengan por objeto el estudio, la defensa, el fomento y la protección de los intereses profesionales, así como el mejoramiento social, económico, cultural y moral de los asociados.  El derecho de asociación en sindicatos se extiende a los funcionarios y trabajadores del sector público, conforme a lo dispuesto por el artículo 2 de este Código.</w:t>
      </w:r>
    </w:p>
    <w:p w:rsidR="00000000" w:rsidRDefault="00000000">
      <w:pPr>
        <w:spacing w:after="240"/>
        <w:ind w:left="924" w:hanging="357"/>
      </w:pPr>
      <w:r>
        <w:rPr>
          <w:bCs/>
        </w:rPr>
        <w:t>-</w:t>
      </w:r>
      <w:r>
        <w:rPr>
          <w:b/>
        </w:rPr>
        <w:tab/>
        <w:t xml:space="preserve">Artículo 284.  </w:t>
      </w:r>
      <w:r>
        <w:t>Todo empleador de actividad privada, el trabajador dependiente y los trabajadores del sector público, salvo las excepciones previstas, gozan del derecho de afiliarse o separarse de la organización sindical que le corresponda.</w:t>
      </w:r>
    </w:p>
    <w:p w:rsidR="00000000" w:rsidRDefault="00000000">
      <w:pPr>
        <w:spacing w:after="240"/>
        <w:ind w:left="924" w:hanging="357"/>
      </w:pPr>
      <w:r>
        <w:rPr>
          <w:bCs/>
        </w:rPr>
        <w:t>-</w:t>
      </w:r>
      <w:r>
        <w:rPr>
          <w:b/>
        </w:rPr>
        <w:tab/>
        <w:t xml:space="preserve">Artículo 285.  </w:t>
      </w:r>
      <w:r>
        <w:t>Las organizaciones sindicales de trabajadores y empleadores tienen derecho a elaborar sus estatutos y reglamentos administrativos, elegir libremente sus autoridades y representantes, organizar su administración y actividades lícitas.  Las autoridades públicas se abstendrán de toda intervención que tienda a limitar este derecho o entorpecer su ejercicio.</w:t>
      </w:r>
    </w:p>
    <w:p w:rsidR="00000000" w:rsidRDefault="00000000">
      <w:pPr>
        <w:spacing w:after="240"/>
        <w:ind w:left="924" w:hanging="357"/>
      </w:pPr>
      <w:r>
        <w:rPr>
          <w:bCs/>
        </w:rPr>
        <w:t>-</w:t>
      </w:r>
      <w:r>
        <w:rPr>
          <w:b/>
        </w:rPr>
        <w:tab/>
        <w:t xml:space="preserve">Artículo 286.  </w:t>
      </w:r>
      <w:r>
        <w:t>Las organizaciones sindicales de trabajadores y empleadores gozarán de adecuada protección contra todo acto de injerencia de unas respecto de las otras.</w:t>
      </w:r>
    </w:p>
    <w:p w:rsidR="00000000" w:rsidRDefault="00000000">
      <w:pPr>
        <w:spacing w:after="240"/>
        <w:ind w:left="924" w:firstLine="567"/>
      </w:pPr>
      <w:r>
        <w:t>Se consideran actos de injerencia principalmente las medidas que tiendan a fomentar la constitución de organizaciones de trabajadores dominadas por un empleador o una organización de empleadores, o sostener económicamente o en otra forma organizaciones de trabajadores, con objeto de colocarlas bajo el control de un empleador o de una organización de empleadores.</w:t>
      </w:r>
    </w:p>
    <w:p w:rsidR="00000000" w:rsidRDefault="00000000">
      <w:pPr>
        <w:spacing w:after="240"/>
        <w:ind w:left="924" w:hanging="357"/>
      </w:pPr>
      <w:r>
        <w:rPr>
          <w:bCs/>
        </w:rPr>
        <w:t>-</w:t>
      </w:r>
      <w:r>
        <w:rPr>
          <w:b/>
        </w:rPr>
        <w:tab/>
        <w:t xml:space="preserve">Artículo 287.  </w:t>
      </w:r>
      <w:r>
        <w:t>Las organizaciones de trabajadores y empleadores determinarán sus respectivas posiciones respecto a los partidos políticos y las entidades religiosas, las que no deberán comprometer las funciones económicas y sociales de las respectivas entidades.</w:t>
      </w:r>
    </w:p>
    <w:p w:rsidR="00000000" w:rsidRDefault="00000000">
      <w:pPr>
        <w:tabs>
          <w:tab w:val="num" w:pos="540"/>
        </w:tabs>
        <w:spacing w:after="240"/>
        <w:ind w:left="567"/>
        <w:rPr>
          <w:b/>
        </w:rPr>
      </w:pPr>
      <w:r>
        <w:rPr>
          <w:b/>
        </w:rPr>
        <w:t>1.2.</w:t>
      </w:r>
      <w:r>
        <w:rPr>
          <w:b/>
        </w:rPr>
        <w:tab/>
        <w:t>Constitución de los sindicatos</w:t>
      </w:r>
    </w:p>
    <w:p w:rsidR="00000000" w:rsidRDefault="00000000">
      <w:pPr>
        <w:spacing w:after="240"/>
        <w:ind w:left="1491" w:hanging="357"/>
      </w:pPr>
      <w:r>
        <w:rPr>
          <w:bCs/>
        </w:rPr>
        <w:t>-</w:t>
      </w:r>
      <w:r>
        <w:rPr>
          <w:b/>
        </w:rPr>
        <w:tab/>
        <w:t xml:space="preserve">Artículo 288.  </w:t>
      </w:r>
      <w:r>
        <w:t>Sindicato es la asociación de personas que trabajan en una empresa, institución o industria, ejercen un mismo oficio o profesión o profesiones similares o conexas, constituida exclusivamente para los fines previstos en el artículo 284 de este Código.</w:t>
      </w:r>
    </w:p>
    <w:p w:rsidR="00000000" w:rsidRDefault="00000000">
      <w:pPr>
        <w:spacing w:after="240"/>
        <w:ind w:left="1491" w:hanging="357"/>
      </w:pPr>
      <w:r>
        <w:rPr>
          <w:bCs/>
        </w:rPr>
        <w:t>-</w:t>
      </w:r>
      <w:r>
        <w:rPr>
          <w:b/>
        </w:rPr>
        <w:tab/>
        <w:t xml:space="preserve">Artículo 289.  </w:t>
      </w:r>
      <w:r>
        <w:rPr>
          <w:bCs/>
        </w:rPr>
        <w:t xml:space="preserve">Los </w:t>
      </w:r>
      <w:r>
        <w:t>sindicatos pueden ser de trabajadores y de empleadores.  Los sindicatos de trabajadores dependientes se organizarán por empresa, gremio o industria.  Los sindicatos de empleadores podrán ser de industrias de una misma rama, de comerciantes o de servicios.  Los sindicatos de empresas están formados por trabajadores de varias profesiones, oficios, ocupaciones o especialidades que prestan servicios en el establecimiento o institución.  Son gremiales los constituidos por trabajadores de una misma profesión, oficio o especialidad.  Sindicato de industria es el organizado por trabajadores que prestan servicios en varias empresas de una misma rama industrial.  El sindicato gremial mayoritario podrá tener en el local un delegado elegido por sus compañeros.</w:t>
      </w:r>
    </w:p>
    <w:p w:rsidR="00000000" w:rsidRDefault="00000000">
      <w:pPr>
        <w:spacing w:after="240"/>
        <w:ind w:left="1491" w:hanging="357"/>
      </w:pPr>
      <w:r>
        <w:rPr>
          <w:bCs/>
        </w:rPr>
        <w:t>-</w:t>
      </w:r>
      <w:r>
        <w:rPr>
          <w:b/>
        </w:rPr>
        <w:tab/>
        <w:t xml:space="preserve">Artículo 292.  </w:t>
      </w:r>
      <w:r>
        <w:t xml:space="preserve">Los sindicatos </w:t>
      </w:r>
      <w:r>
        <w:rPr>
          <w:bCs/>
        </w:rPr>
        <w:t>de</w:t>
      </w:r>
      <w:r>
        <w:t xml:space="preserve"> empleadores no podrán constituirse con menos de 3 miembros.  Los de trabajadores no podrán hacerlo con menos de 20 fundadores cuando se trata de sindicato de empresa, con menos de 30 si fuere gremial, y con menos de 300 cuando sean de industria.  Los sindicatos de trabajadores del sector público, podrán constituirse con un mínimo del 20% (veinte por ciento) hasta 500 de sus dependientes, de esta cantidad hasta 1.000 un mínimo del 10% (diez por ciento) y de más de 1.000, un mínimo no inferior al 5% (cinco por ciento) de sus dependientes.</w:t>
      </w:r>
    </w:p>
    <w:p w:rsidR="00000000" w:rsidRDefault="00000000">
      <w:pPr>
        <w:spacing w:after="240"/>
        <w:ind w:left="1491" w:hanging="357"/>
      </w:pPr>
      <w:r>
        <w:rPr>
          <w:bCs/>
        </w:rPr>
        <w:t>-</w:t>
      </w:r>
      <w:r>
        <w:rPr>
          <w:b/>
        </w:rPr>
        <w:tab/>
        <w:t xml:space="preserve">Artículo 293.  </w:t>
      </w:r>
      <w:r>
        <w:t>Pueden formar parte de los sindicatos:  a) los trabajadores, sin distinción de sexo, mayores de 18 años, nacionales o extranjeros;  b) todos los trabajadores que no ejerzan la representación de la empresa conforme el artículo 25 de este Código;  c) cada trabajador sólo puede asociarse a un sindicato, sea de su empresa, o industria, profesión u oficio, o institución; y  d) para integrar la directiva de una organización se requiere la mayoría de edad y ser socio activo del sindicato.</w:t>
      </w:r>
    </w:p>
    <w:p w:rsidR="00000000" w:rsidRDefault="00000000">
      <w:pPr>
        <w:keepNext/>
        <w:tabs>
          <w:tab w:val="num" w:pos="540"/>
        </w:tabs>
        <w:spacing w:after="240"/>
        <w:ind w:left="567"/>
        <w:rPr>
          <w:b/>
        </w:rPr>
      </w:pPr>
      <w:r>
        <w:rPr>
          <w:b/>
        </w:rPr>
        <w:t>1.3.</w:t>
      </w:r>
      <w:r>
        <w:rPr>
          <w:b/>
        </w:rPr>
        <w:tab/>
        <w:t>Inscripción de los sindicatos</w:t>
      </w:r>
    </w:p>
    <w:p w:rsidR="00000000" w:rsidRDefault="00000000">
      <w:pPr>
        <w:spacing w:after="240"/>
        <w:ind w:left="1491" w:hanging="357"/>
      </w:pPr>
      <w:r>
        <w:rPr>
          <w:bCs/>
        </w:rPr>
        <w:t>-</w:t>
      </w:r>
      <w:r>
        <w:rPr>
          <w:b/>
        </w:rPr>
        <w:tab/>
        <w:t xml:space="preserve">Artículo 294.  </w:t>
      </w:r>
      <w:r>
        <w:t>A los fines de la legalización de documentos y registro de un sindicato, los promotores u organizadores deberán presentar a la Autoridad Administrativa del Trabajo los siguientes documentos:</w:t>
      </w:r>
      <w:r>
        <w:rPr>
          <w:bCs/>
        </w:rPr>
        <w:t xml:space="preserve">  a) </w:t>
      </w:r>
      <w:r>
        <w:t>original y copia autenticada del acta constitutiva;</w:t>
      </w:r>
      <w:r>
        <w:rPr>
          <w:bCs/>
        </w:rPr>
        <w:t xml:space="preserve">  b) </w:t>
      </w:r>
      <w:r>
        <w:t>un ejemplar de los estatutos, aprobados por la asamblea; y</w:t>
      </w:r>
      <w:r>
        <w:rPr>
          <w:bCs/>
        </w:rPr>
        <w:t xml:space="preserve">  c) n</w:t>
      </w:r>
      <w:r>
        <w:t>ómina de los miembros fundadores y sus respectivas firmas.</w:t>
      </w:r>
    </w:p>
    <w:p w:rsidR="00000000" w:rsidRDefault="00000000">
      <w:pPr>
        <w:tabs>
          <w:tab w:val="num" w:pos="540"/>
        </w:tabs>
        <w:spacing w:after="240"/>
        <w:ind w:left="567"/>
        <w:rPr>
          <w:b/>
        </w:rPr>
      </w:pPr>
      <w:r>
        <w:rPr>
          <w:b/>
        </w:rPr>
        <w:t>1.4.</w:t>
      </w:r>
      <w:r>
        <w:rPr>
          <w:b/>
        </w:rPr>
        <w:tab/>
        <w:t>Federaciones y confederaciones de sindicatos</w:t>
      </w:r>
    </w:p>
    <w:p w:rsidR="00000000" w:rsidRDefault="00000000">
      <w:pPr>
        <w:spacing w:after="240"/>
        <w:ind w:left="1491" w:hanging="357"/>
      </w:pPr>
      <w:r>
        <w:rPr>
          <w:bCs/>
        </w:rPr>
        <w:t>-</w:t>
      </w:r>
      <w:r>
        <w:rPr>
          <w:b/>
        </w:rPr>
        <w:tab/>
        <w:t xml:space="preserve">Artículo 306.  </w:t>
      </w:r>
      <w:r>
        <w:t>Los sindicatos de trabajadores dependientes legalmente registrados podrán constituir federaciones y confederaciones nacionales o internacionales y formar parte de las mismas.  Los sindicatos de funcionarios y trabajadores del sector público con derecho a sindicalizarse también podrán constituir federaciones y confederaciones.</w:t>
      </w:r>
    </w:p>
    <w:p w:rsidR="00000000" w:rsidRDefault="00000000">
      <w:pPr>
        <w:spacing w:after="240"/>
        <w:ind w:left="1491" w:hanging="357"/>
      </w:pPr>
      <w:r>
        <w:rPr>
          <w:bCs/>
        </w:rPr>
        <w:t>-</w:t>
      </w:r>
      <w:r>
        <w:rPr>
          <w:b/>
        </w:rPr>
        <w:tab/>
        <w:t xml:space="preserve">Artículo 307.  </w:t>
      </w:r>
      <w:r>
        <w:t>Cualquier sindicato asociado adherente podrá retirarse de una federación en el momento que lo desee, aunque exista cláusula en contrario.  El mismo derecho tendrá la federación respecto de la confederación.</w:t>
      </w:r>
    </w:p>
    <w:p w:rsidR="00000000" w:rsidRDefault="00000000">
      <w:pPr>
        <w:spacing w:after="240"/>
        <w:ind w:left="1491" w:hanging="357"/>
      </w:pPr>
      <w:r>
        <w:rPr>
          <w:bCs/>
        </w:rPr>
        <w:t>-</w:t>
      </w:r>
      <w:r>
        <w:rPr>
          <w:b/>
        </w:rPr>
        <w:tab/>
        <w:t xml:space="preserve">Artículo 308.  </w:t>
      </w:r>
      <w:r>
        <w:t>Las disposiciones del presente Código, relativas a los sindicatos, se aplicarán a las federaciones y confederaciones de sindicatos, en cuanto fuere posible.</w:t>
      </w:r>
    </w:p>
    <w:p w:rsidR="00000000" w:rsidRDefault="00000000">
      <w:pPr>
        <w:keepNext/>
        <w:spacing w:after="240"/>
        <w:ind w:left="567"/>
        <w:rPr>
          <w:b/>
        </w:rPr>
      </w:pPr>
      <w:r>
        <w:rPr>
          <w:b/>
        </w:rPr>
        <w:t>1.5.</w:t>
      </w:r>
      <w:r>
        <w:rPr>
          <w:b/>
        </w:rPr>
        <w:tab/>
        <w:t>Extinción y disolución de los sindicatos</w:t>
      </w:r>
    </w:p>
    <w:p w:rsidR="00000000" w:rsidRDefault="00000000">
      <w:pPr>
        <w:spacing w:after="240"/>
        <w:ind w:left="1491" w:hanging="357"/>
      </w:pPr>
      <w:r>
        <w:rPr>
          <w:bCs/>
        </w:rPr>
        <w:t>-</w:t>
      </w:r>
      <w:r>
        <w:rPr>
          <w:b/>
        </w:rPr>
        <w:tab/>
        <w:t xml:space="preserve">Artículo 309.  </w:t>
      </w:r>
      <w:r>
        <w:t>Ningún sindicato podrá subsistir sin el número de miembros que el artículo 292 de este Código señala para su constitución.</w:t>
      </w:r>
    </w:p>
    <w:p w:rsidR="00000000" w:rsidRDefault="00000000">
      <w:pPr>
        <w:spacing w:after="240"/>
        <w:ind w:left="1491" w:hanging="357"/>
      </w:pPr>
      <w:r>
        <w:rPr>
          <w:bCs/>
        </w:rPr>
        <w:t>-</w:t>
      </w:r>
      <w:r>
        <w:rPr>
          <w:b/>
        </w:rPr>
        <w:tab/>
        <w:t xml:space="preserve">Artículo 310.  </w:t>
      </w:r>
      <w:r>
        <w:t>Será causa de extinción de todo sindicato de empresa la disolución y el cierre definitivo de la empresa correspondiente.</w:t>
      </w:r>
    </w:p>
    <w:p w:rsidR="00000000" w:rsidRDefault="00000000">
      <w:pPr>
        <w:spacing w:after="240"/>
        <w:ind w:left="1491" w:hanging="357"/>
      </w:pPr>
      <w:r>
        <w:rPr>
          <w:bCs/>
        </w:rPr>
        <w:t>-</w:t>
      </w:r>
      <w:r>
        <w:rPr>
          <w:b/>
        </w:rPr>
        <w:tab/>
        <w:t xml:space="preserve">Artículo 311.  </w:t>
      </w:r>
      <w:r>
        <w:t>La inscripción de los sindicatos, federaciones y confederaciones podrá ser cancelada, con el consiguiente retiro de la personería gremial, cuando de hecho se dediquen a actividades ajenas a sus estatutos, y por incumplimiento de obligaciones o prohibiciones previstas en la ley o en contratos colectivos.  La demanda para el retiro de la personería gremial de un sindicato será iniciada por la Dirección del Trabajo ante el juzgado del trabajo de turno.  Si se tratase de una federación o confederación, el Ministerio de Justicia y Trabajo planteará el juicio de disolución y extinción, en sede judicial.</w:t>
      </w:r>
    </w:p>
    <w:p w:rsidR="00000000" w:rsidRDefault="00000000">
      <w:pPr>
        <w:spacing w:after="240"/>
        <w:ind w:left="1491" w:hanging="357"/>
      </w:pPr>
      <w:r>
        <w:rPr>
          <w:bCs/>
        </w:rPr>
        <w:t>-</w:t>
      </w:r>
      <w:r>
        <w:rPr>
          <w:b/>
        </w:rPr>
        <w:tab/>
        <w:t xml:space="preserve">Artículo 312.  </w:t>
      </w:r>
      <w:r>
        <w:t>Las organizaciones sindicales de empleadores y trabajadores no podrán federarse con asociaciones o partidos políticos, nacionales o extranjeros ni adscribirse a ellos, bajo pena de ser disueltas con arreglo a la ley.</w:t>
      </w:r>
    </w:p>
    <w:p w:rsidR="00000000" w:rsidRDefault="00000000">
      <w:pPr>
        <w:spacing w:after="240"/>
        <w:ind w:left="1491" w:hanging="357"/>
      </w:pPr>
      <w:r>
        <w:rPr>
          <w:bCs/>
        </w:rPr>
        <w:t>-</w:t>
      </w:r>
      <w:r>
        <w:rPr>
          <w:b/>
        </w:rPr>
        <w:tab/>
        <w:t xml:space="preserve">Artículo 313.  </w:t>
      </w:r>
      <w:r>
        <w:t>La asociación será considerada disuelta con la cancelación de su registro establecida en sentencia firme y ejecutoriada de la autoridad judicial.</w:t>
      </w:r>
    </w:p>
    <w:p w:rsidR="00000000" w:rsidRDefault="00000000">
      <w:pPr>
        <w:spacing w:after="240"/>
        <w:ind w:left="1491" w:hanging="357"/>
      </w:pPr>
      <w:r>
        <w:rPr>
          <w:b/>
        </w:rPr>
        <w:t>-</w:t>
      </w:r>
      <w:r>
        <w:rPr>
          <w:b/>
        </w:rPr>
        <w:tab/>
        <w:t xml:space="preserve">Artículo 314.  </w:t>
      </w:r>
      <w:r>
        <w:t>Los sindicatos de empleadores y trabajadores serán disueltos además por los motivos establecidos en sus estatutos.</w:t>
      </w:r>
    </w:p>
    <w:p w:rsidR="00000000" w:rsidRDefault="00000000">
      <w:pPr>
        <w:spacing w:after="240"/>
        <w:ind w:left="1491" w:hanging="357"/>
      </w:pPr>
      <w:r>
        <w:rPr>
          <w:bCs/>
        </w:rPr>
        <w:t>-</w:t>
      </w:r>
      <w:r>
        <w:rPr>
          <w:b/>
        </w:rPr>
        <w:tab/>
        <w:t xml:space="preserve">Artículo 315.  </w:t>
      </w:r>
      <w:r>
        <w:t>En caso de disolución de un sindicato y a falta de disposición de sus estatutos, el activo será transferido en donación a instituciones benéficas de asistencia o previsión social o a otras organizaciones sindicales legalmente constituidas.</w:t>
      </w:r>
    </w:p>
    <w:p w:rsidR="00000000" w:rsidRDefault="00000000">
      <w:pPr>
        <w:spacing w:after="240"/>
        <w:ind w:left="1491" w:hanging="357"/>
      </w:pPr>
      <w:r>
        <w:rPr>
          <w:bCs/>
        </w:rPr>
        <w:t>-</w:t>
      </w:r>
      <w:r>
        <w:rPr>
          <w:b/>
        </w:rPr>
        <w:tab/>
        <w:t xml:space="preserve">Artículo 316.  </w:t>
      </w:r>
      <w:r>
        <w:t>La liquidación y disposición del activo social de una asociación gremial serán efectuadas con intervención judicial.</w:t>
      </w:r>
    </w:p>
    <w:p w:rsidR="00000000" w:rsidRDefault="00000000">
      <w:pPr>
        <w:spacing w:after="240"/>
        <w:rPr>
          <w:b/>
          <w:bCs/>
        </w:rPr>
      </w:pPr>
      <w:r>
        <w:rPr>
          <w:b/>
          <w:bCs/>
        </w:rPr>
        <w:t>2.</w:t>
      </w:r>
      <w:r>
        <w:rPr>
          <w:b/>
          <w:bCs/>
        </w:rPr>
        <w:tab/>
        <w:t>Derecho a huelga</w:t>
      </w:r>
    </w:p>
    <w:p w:rsidR="00000000" w:rsidRDefault="00000000">
      <w:pPr>
        <w:autoSpaceDE w:val="0"/>
        <w:autoSpaceDN w:val="0"/>
        <w:adjustRightInd w:val="0"/>
        <w:spacing w:after="240"/>
      </w:pPr>
      <w:r>
        <w:t>243.</w:t>
      </w:r>
      <w:r>
        <w:tab/>
        <w:t xml:space="preserve">Según el Código Laboral se estipula cuanto sigue en materia de huelga:  </w:t>
      </w:r>
    </w:p>
    <w:p w:rsidR="00000000" w:rsidRDefault="00000000">
      <w:pPr>
        <w:spacing w:after="240"/>
        <w:ind w:left="924" w:hanging="357"/>
      </w:pPr>
      <w:r>
        <w:rPr>
          <w:bCs/>
        </w:rPr>
        <w:t>-</w:t>
      </w:r>
      <w:r>
        <w:rPr>
          <w:b/>
        </w:rPr>
        <w:tab/>
        <w:t xml:space="preserve">Artículo 358.  </w:t>
      </w:r>
      <w:r>
        <w:t>Huelga es la suspensión temporal, colectiva y concertada del trabajo, por iniciativa de los trabajadores para la defensa directa y exclusiva de sus intereses profesionales.</w:t>
      </w:r>
    </w:p>
    <w:p w:rsidR="00000000" w:rsidRDefault="00000000">
      <w:pPr>
        <w:spacing w:after="240"/>
        <w:ind w:left="924" w:hanging="357"/>
      </w:pPr>
      <w:r>
        <w:rPr>
          <w:bCs/>
        </w:rPr>
        <w:t>-</w:t>
      </w:r>
      <w:r>
        <w:rPr>
          <w:b/>
        </w:rPr>
        <w:tab/>
        <w:t xml:space="preserve">Artículo 359.  </w:t>
      </w:r>
      <w:r>
        <w:t>Todos los trabajadores tienen derecho a declararse en huelga, de acuerdo con lo dispuesto por la Constitución nacional.</w:t>
      </w:r>
    </w:p>
    <w:p w:rsidR="00000000" w:rsidRDefault="00000000">
      <w:pPr>
        <w:spacing w:after="240"/>
        <w:ind w:left="924" w:hanging="357"/>
      </w:pPr>
      <w:r>
        <w:rPr>
          <w:bCs/>
        </w:rPr>
        <w:t>-</w:t>
      </w:r>
      <w:r>
        <w:rPr>
          <w:b/>
        </w:rPr>
        <w:tab/>
        <w:t xml:space="preserve">Artículo 360.  </w:t>
      </w:r>
      <w:r>
        <w:t>A los efectos del ejercicio del derecho de huelga, se consideran trabajadores a quienes trabajan en relación de dependencia.  No gozan de este derecho los miembros de las Fuerzas Armadas y la policía.</w:t>
      </w:r>
    </w:p>
    <w:p w:rsidR="00000000" w:rsidRDefault="00000000">
      <w:pPr>
        <w:spacing w:after="240"/>
        <w:ind w:left="924" w:hanging="357"/>
      </w:pPr>
      <w:r>
        <w:rPr>
          <w:bCs/>
        </w:rPr>
        <w:t>-</w:t>
      </w:r>
      <w:r>
        <w:rPr>
          <w:b/>
        </w:rPr>
        <w:tab/>
        <w:t xml:space="preserve">Artículo 361.  </w:t>
      </w:r>
      <w:r>
        <w:t>El ejercicio del derecho de huelga será pacífico y consistirá en la cesación de servicios de los trabajadores afectados, sin ocupación por los mismos de los centros de trabajo, o de cualquiera de sus dependencias.</w:t>
      </w:r>
    </w:p>
    <w:p w:rsidR="00000000" w:rsidRDefault="00000000">
      <w:pPr>
        <w:spacing w:after="240"/>
        <w:ind w:left="924" w:hanging="357"/>
      </w:pPr>
      <w:r>
        <w:rPr>
          <w:bCs/>
        </w:rPr>
        <w:t>-</w:t>
      </w:r>
      <w:r>
        <w:rPr>
          <w:b/>
        </w:rPr>
        <w:tab/>
        <w:t xml:space="preserve">Artículo 362.  </w:t>
      </w:r>
      <w:r>
        <w:t>Los trabajadores de los servicios públicos imprescindibles para la comunidad, como ser suministro de agua, energía eléctrica y hospitales, deberán asegurar, en caso de huelga, el suministro mínimo esencial para la población.  Los hospitales deberán mantener activos los servicios de primeros auxilios y todo servicio necesario para no poner en peligro la vida de las personas.</w:t>
      </w:r>
    </w:p>
    <w:p w:rsidR="00000000" w:rsidRDefault="00000000">
      <w:pPr>
        <w:spacing w:after="240"/>
        <w:ind w:left="924" w:hanging="357"/>
      </w:pPr>
      <w:r>
        <w:rPr>
          <w:bCs/>
        </w:rPr>
        <w:t>-</w:t>
      </w:r>
      <w:r>
        <w:rPr>
          <w:b/>
        </w:rPr>
        <w:tab/>
        <w:t xml:space="preserve">Artículo 363.  </w:t>
      </w:r>
      <w:r>
        <w:t>Están facultados para declarar la huelga los propios trabajadores del centro de trabajo en la forma indicada en el artículo 298.  La asamblea se decide declararla, y en caso de que los trabajadores no estén organizados en sindicato, nombrará un comité de huelga compuesto de cinco miembros, que se encargarán de las negociaciones y de la búsqueda de la solución del conflicto.</w:t>
      </w:r>
    </w:p>
    <w:p w:rsidR="00000000" w:rsidRDefault="00000000">
      <w:pPr>
        <w:spacing w:after="240"/>
        <w:ind w:left="924" w:hanging="357"/>
      </w:pPr>
      <w:r>
        <w:rPr>
          <w:bCs/>
        </w:rPr>
        <w:t>-</w:t>
      </w:r>
      <w:r>
        <w:rPr>
          <w:b/>
        </w:rPr>
        <w:tab/>
        <w:t xml:space="preserve">Artículo 364.  </w:t>
      </w:r>
      <w:r>
        <w:t>El acuerdo de declaración de huelga, el contenido del acta y las firmas de los asistentes a la asamblea, así como la designación de los negociadores o de los integrantes del comité de huelga serán proporcionados a la autoridad competente, con por lo menos 72 horas de antelación a la fecha de inicio de la huelga.  Con la misma antelación se comunicará al empleador la declaración de huelga, los negociadores por el sindicato o los integrantes del comité de huelga, los objetivos de la huelga y su tiempo de duración.  Desde ese momento quedará instalada una comisión bipartita que buscará la conciliación de los intereses encontrados.</w:t>
      </w:r>
    </w:p>
    <w:p w:rsidR="00000000" w:rsidRDefault="00000000">
      <w:pPr>
        <w:spacing w:after="240"/>
        <w:ind w:left="924" w:hanging="357"/>
      </w:pPr>
      <w:r>
        <w:rPr>
          <w:bCs/>
        </w:rPr>
        <w:t>-</w:t>
      </w:r>
      <w:r>
        <w:rPr>
          <w:b/>
        </w:rPr>
        <w:tab/>
        <w:t xml:space="preserve">Artículo 365.  </w:t>
      </w:r>
      <w:r>
        <w:t>Los miembros del comité de huelga serán trabajadores del centro afectado por la misma, exclusivamente.  Podrán recibir asesoramiento legal o sindical.</w:t>
      </w:r>
    </w:p>
    <w:p w:rsidR="00000000" w:rsidRDefault="00000000">
      <w:pPr>
        <w:spacing w:after="240"/>
        <w:ind w:left="924" w:hanging="357"/>
      </w:pPr>
      <w:r>
        <w:rPr>
          <w:bCs/>
        </w:rPr>
        <w:t>-</w:t>
      </w:r>
      <w:r>
        <w:rPr>
          <w:b/>
        </w:rPr>
        <w:tab/>
        <w:t xml:space="preserve">Artículo 366:  </w:t>
      </w:r>
      <w:r>
        <w:t>Será declarada ilegal toda huelga declarada durante la vigencia de un contrato colectivo y que no se refiera al incumplimiento, por la parte empleadora, de alguna de las cláusulas de ese contrato.  Salvo las huelgas de solidaridad o huelgas generales.</w:t>
      </w:r>
    </w:p>
    <w:p w:rsidR="00000000" w:rsidRDefault="00000000">
      <w:pPr>
        <w:spacing w:after="240"/>
        <w:ind w:left="924" w:hanging="357"/>
      </w:pPr>
      <w:r>
        <w:rPr>
          <w:bCs/>
        </w:rPr>
        <w:t>-</w:t>
      </w:r>
      <w:r>
        <w:rPr>
          <w:b/>
        </w:rPr>
        <w:tab/>
        <w:t xml:space="preserve">Artículo 367.  </w:t>
      </w:r>
      <w:r>
        <w:t>Corresponde al sindicato, o en su defecto al comité de huelga, representar a los trabajadores en huelga durante el término del conflicto.</w:t>
      </w:r>
    </w:p>
    <w:p w:rsidR="00000000" w:rsidRDefault="00000000">
      <w:pPr>
        <w:spacing w:after="240"/>
        <w:ind w:left="924" w:hanging="357"/>
      </w:pPr>
      <w:r>
        <w:rPr>
          <w:bCs/>
        </w:rPr>
        <w:t>-</w:t>
      </w:r>
      <w:r>
        <w:rPr>
          <w:b/>
        </w:rPr>
        <w:tab/>
        <w:t xml:space="preserve">Artículo 368.  </w:t>
      </w:r>
      <w:r>
        <w:t>Mientras no sea declarada ilegal una huelga, el empleador no podrá sustituir a los huelguistas con otros trabajadores ajenos a la empresa.</w:t>
      </w:r>
    </w:p>
    <w:p w:rsidR="00000000" w:rsidRDefault="00000000">
      <w:pPr>
        <w:spacing w:after="240"/>
        <w:ind w:left="924" w:hanging="357"/>
      </w:pPr>
      <w:r>
        <w:rPr>
          <w:bCs/>
        </w:rPr>
        <w:t>-</w:t>
      </w:r>
      <w:r>
        <w:rPr>
          <w:b/>
        </w:rPr>
        <w:tab/>
        <w:t xml:space="preserve">Artículo 369.  </w:t>
      </w:r>
      <w:r>
        <w:t>Queda garantizada la libertad de trabajo de los trabajadores que no se sumen a la huelga.  Los empleadores y trabajadores podrán utilizar todos los recursos legales para el ejercicio de esta garantía constitucional.  Queda prohibido a los huelguistas intentar o impedir por cualquier medio el acceso a los lugares de trabajo o la salida de productos de la empresa, salvo incumplimiento, por parte del empleador, de lo establecido en el artículo 368.</w:t>
      </w:r>
    </w:p>
    <w:p w:rsidR="00000000" w:rsidRDefault="00000000">
      <w:pPr>
        <w:spacing w:after="240"/>
        <w:ind w:left="924" w:hanging="357"/>
      </w:pPr>
      <w:r>
        <w:rPr>
          <w:bCs/>
        </w:rPr>
        <w:t>-</w:t>
      </w:r>
      <w:r>
        <w:rPr>
          <w:b/>
        </w:rPr>
        <w:tab/>
        <w:t xml:space="preserve">Artículo 370.  </w:t>
      </w:r>
      <w:r>
        <w:t>El sindicato, o en su defecto el comité de huelga, garantizará la prestación de los servicios esenciales a que se refiere la Constitución nacional cuando la empresa en conflicto los preste de acuerdo con el artículo 362.</w:t>
      </w:r>
    </w:p>
    <w:p w:rsidR="00000000" w:rsidRDefault="00000000">
      <w:pPr>
        <w:spacing w:after="240"/>
        <w:ind w:left="924" w:hanging="357"/>
      </w:pPr>
      <w:r>
        <w:rPr>
          <w:bCs/>
        </w:rPr>
        <w:t>-</w:t>
      </w:r>
      <w:r>
        <w:rPr>
          <w:b/>
        </w:rPr>
        <w:tab/>
        <w:t xml:space="preserve">Artículo 371.  </w:t>
      </w:r>
      <w:r>
        <w:t>Los trabajadores en huelga podrán efectuar la pacífica publicidad de la misma, así como recolectar fondos para la misma.  No podrán obligar a ningún trabajador a contribuir contra su voluntad.</w:t>
      </w:r>
    </w:p>
    <w:p w:rsidR="00000000" w:rsidRDefault="00000000">
      <w:pPr>
        <w:spacing w:after="240"/>
        <w:ind w:left="924" w:hanging="357"/>
      </w:pPr>
      <w:r>
        <w:rPr>
          <w:bCs/>
        </w:rPr>
        <w:t>-</w:t>
      </w:r>
      <w:r>
        <w:rPr>
          <w:b/>
        </w:rPr>
        <w:tab/>
        <w:t xml:space="preserve">Artículo 372.  </w:t>
      </w:r>
      <w:r>
        <w:t>El ejercicio de la huelga declarada legal no extingue la relación de trabajo ni puede dar origen a sanción alguna.</w:t>
      </w:r>
    </w:p>
    <w:p w:rsidR="00000000" w:rsidRDefault="00000000">
      <w:pPr>
        <w:spacing w:after="240"/>
        <w:ind w:left="924" w:hanging="357"/>
      </w:pPr>
      <w:r>
        <w:rPr>
          <w:bCs/>
        </w:rPr>
        <w:t>-</w:t>
      </w:r>
      <w:r>
        <w:rPr>
          <w:b/>
        </w:rPr>
        <w:tab/>
        <w:t xml:space="preserve">Artículo 373.  </w:t>
      </w:r>
      <w:r>
        <w:t>Durante la huelga quedará suspendido el contrato de trabajo, no teniendo el trabajador derecho a la percepción del salario por el tiempo de la duración de la misma.  Si las partes llegan a un acuerdo para poner fin al conflicto, luego de la huelga, se podrá convenir la recuperación total o parcial de los salarios dejados de percibir durante la misma, así como la recuperación total o parcial de las horas de trabajo perdidas.</w:t>
      </w:r>
    </w:p>
    <w:p w:rsidR="00000000" w:rsidRDefault="00000000">
      <w:pPr>
        <w:spacing w:after="240"/>
        <w:ind w:left="924" w:hanging="357"/>
      </w:pPr>
      <w:r>
        <w:rPr>
          <w:bCs/>
        </w:rPr>
        <w:t>-</w:t>
      </w:r>
      <w:r>
        <w:rPr>
          <w:b/>
        </w:rPr>
        <w:tab/>
        <w:t xml:space="preserve">Artículo 374.  </w:t>
      </w:r>
      <w:r>
        <w:t>Una vez declarada la huelga, la Comisión Bipartita, conformada según el artículo 364, tendrá 72 horas para establecer un acuerdo entre las partes.  Sus recomendaciones pueden ser rechazadas por cualquiera de las partes.</w:t>
      </w:r>
    </w:p>
    <w:p w:rsidR="00000000" w:rsidRDefault="00000000">
      <w:pPr>
        <w:spacing w:after="240"/>
        <w:ind w:left="924" w:hanging="357"/>
      </w:pPr>
      <w:r>
        <w:rPr>
          <w:bCs/>
        </w:rPr>
        <w:t>-</w:t>
      </w:r>
      <w:r>
        <w:rPr>
          <w:b/>
        </w:rPr>
        <w:tab/>
        <w:t xml:space="preserve">Artículo 375.  </w:t>
      </w:r>
      <w:r>
        <w:t>Ninguna autoridad del Gobierno podrá declarar, con carácter general la ilegalidad de una huelga antes o al tiempo de producirse.</w:t>
      </w:r>
    </w:p>
    <w:p w:rsidR="00000000" w:rsidRDefault="00000000">
      <w:pPr>
        <w:spacing w:after="240"/>
        <w:ind w:left="924" w:hanging="357"/>
      </w:pPr>
      <w:r>
        <w:rPr>
          <w:bCs/>
        </w:rPr>
        <w:t>-</w:t>
      </w:r>
      <w:r>
        <w:rPr>
          <w:b/>
        </w:rPr>
        <w:tab/>
        <w:t xml:space="preserve">Artículo 376.  </w:t>
      </w:r>
      <w:r>
        <w:t>La huelga es ilegal:  a) cuando no tenga por motivo o fin, o no tenga relación alguna, con la promoción y defensa de los intereses de los trabajadores;  b) cuando es declarada o sostenida por motivo estrictamente políticos, o tenga por finalidad directa ejercer coacción sobre los poderes del Estado;  c) cuando los trabajadores de servicios públicos imprescindibles no garanticen los suministros mínimos esenciales para la población, definidos en el artículo 362; y  d) en la situación prevista por el artículo 366.</w:t>
      </w:r>
    </w:p>
    <w:p w:rsidR="00000000" w:rsidRDefault="00000000">
      <w:pPr>
        <w:spacing w:after="240"/>
        <w:ind w:left="924" w:hanging="357"/>
      </w:pPr>
      <w:r>
        <w:rPr>
          <w:bCs/>
        </w:rPr>
        <w:t>-</w:t>
      </w:r>
      <w:r>
        <w:rPr>
          <w:b/>
        </w:rPr>
        <w:tab/>
        <w:t xml:space="preserve">Artículo 377.  </w:t>
      </w:r>
      <w:r>
        <w:t>La participación en una huelga ilegal, así como la negativa de prestar servicios en las actividades esenciales definidas en el artículo 362, podrán ser sancionadas con el despido del trabajador.</w:t>
      </w:r>
    </w:p>
    <w:p w:rsidR="00000000" w:rsidRDefault="00000000">
      <w:pPr>
        <w:spacing w:after="240"/>
        <w:ind w:left="924" w:hanging="357"/>
      </w:pPr>
      <w:r>
        <w:rPr>
          <w:bCs/>
        </w:rPr>
        <w:t>-</w:t>
      </w:r>
      <w:r>
        <w:rPr>
          <w:b/>
        </w:rPr>
        <w:tab/>
        <w:t xml:space="preserve">Artículo 378.  </w:t>
      </w:r>
      <w:r>
        <w:t>Cualquier juzgado en lo laboral podrá declarar la legalidad o ilegalidad de una huelga.</w:t>
      </w:r>
    </w:p>
    <w:p w:rsidR="00000000" w:rsidRDefault="00000000">
      <w:pPr>
        <w:autoSpaceDE w:val="0"/>
        <w:autoSpaceDN w:val="0"/>
        <w:adjustRightInd w:val="0"/>
        <w:spacing w:after="240"/>
      </w:pPr>
      <w:r>
        <w:t>244.</w:t>
      </w:r>
      <w:r>
        <w:tab/>
        <w:t xml:space="preserve">Del mismo modo, el Código Laboral paraguayo contempla la posibilidad de paros, en ese sentido:  </w:t>
      </w:r>
    </w:p>
    <w:p w:rsidR="00000000" w:rsidRDefault="00000000">
      <w:pPr>
        <w:spacing w:after="240"/>
        <w:ind w:left="924" w:hanging="357"/>
      </w:pPr>
      <w:r>
        <w:rPr>
          <w:bCs/>
        </w:rPr>
        <w:t>-</w:t>
      </w:r>
      <w:r>
        <w:rPr>
          <w:b/>
        </w:rPr>
        <w:tab/>
        <w:t xml:space="preserve">Artículo 379.  </w:t>
      </w:r>
      <w:r>
        <w:t>Queda garantizado el derecho de paro para los empleadores, conforme al artículo 97 de la Constitución nacional.</w:t>
      </w:r>
    </w:p>
    <w:p w:rsidR="00000000" w:rsidRDefault="00000000">
      <w:pPr>
        <w:spacing w:after="240"/>
        <w:ind w:left="924" w:hanging="357"/>
      </w:pPr>
      <w:r>
        <w:rPr>
          <w:bCs/>
        </w:rPr>
        <w:t>-</w:t>
      </w:r>
      <w:r>
        <w:rPr>
          <w:b/>
        </w:rPr>
        <w:tab/>
        <w:t xml:space="preserve">Artículo 380.  </w:t>
      </w:r>
      <w:r>
        <w:t>El paro es legal cuando:  a) se efectúa para evitar el peligro de violencia para las personas o de daño para las cosas;  b) se realiza para desalojar a ocupantes de la empresa o cualquiera de sus dependencias;  c) se para por imposibilidad de mantener el proceso de producción en condiciones competitivas;  d) cuando existe violación reiterada del contrato colectivo provocada por los trabajadores; y  e) se efectúa en defensa de cualquier interés legítimo.</w:t>
      </w:r>
    </w:p>
    <w:p w:rsidR="00000000" w:rsidRDefault="00000000">
      <w:pPr>
        <w:spacing w:after="240"/>
        <w:ind w:left="924" w:hanging="357"/>
      </w:pPr>
      <w:r>
        <w:rPr>
          <w:bCs/>
        </w:rPr>
        <w:t>-</w:t>
      </w:r>
      <w:r>
        <w:rPr>
          <w:b/>
        </w:rPr>
        <w:tab/>
        <w:t xml:space="preserve">Artículo 381.  </w:t>
      </w:r>
      <w:r>
        <w:t>El paro declarado legal por cualquier juez de primera instancia, no obliga al empleador a pagar salarios durante su duración.  Todo paro ilegal, declarado de igual manera, obliga al pago de salarios durante el tiempo de su vigencia.</w:t>
      </w:r>
    </w:p>
    <w:p w:rsidR="00000000" w:rsidRDefault="00000000">
      <w:pPr>
        <w:keepNext/>
        <w:spacing w:after="240"/>
        <w:ind w:left="1134" w:hanging="567"/>
        <w:rPr>
          <w:b/>
        </w:rPr>
      </w:pPr>
      <w:r>
        <w:rPr>
          <w:b/>
          <w:bCs/>
        </w:rPr>
        <w:t>1.4.</w:t>
      </w:r>
      <w:r>
        <w:rPr>
          <w:b/>
          <w:bCs/>
        </w:rPr>
        <w:tab/>
      </w:r>
      <w:r>
        <w:rPr>
          <w:b/>
        </w:rPr>
        <w:t>Restricciones del derecho a huelga a las Fuerzas Armadas y a la Policía Nacional</w:t>
      </w:r>
    </w:p>
    <w:p w:rsidR="00000000" w:rsidRDefault="00000000">
      <w:pPr>
        <w:autoSpaceDE w:val="0"/>
        <w:autoSpaceDN w:val="0"/>
        <w:adjustRightInd w:val="0"/>
        <w:spacing w:after="240"/>
        <w:rPr>
          <w:bCs/>
        </w:rPr>
      </w:pPr>
      <w:r>
        <w:rPr>
          <w:bCs/>
        </w:rPr>
        <w:t>245.</w:t>
      </w:r>
      <w:r>
        <w:rPr>
          <w:bCs/>
        </w:rPr>
        <w:tab/>
        <w:t xml:space="preserve">En el mismo </w:t>
      </w:r>
      <w:r>
        <w:t>espíritu</w:t>
      </w:r>
      <w:r>
        <w:rPr>
          <w:bCs/>
        </w:rPr>
        <w:t xml:space="preserve"> que las restricciones a los derechos laborales arriba mencionados en el artículo 362 (trabajadores de servicios indispensables…), tales limitaciones se dan con relación a los miembros de las Fuerzas Armadas y la Policía Nacional.  En ese sentido, la misma Constitución nacional dispone:</w:t>
      </w:r>
    </w:p>
    <w:p w:rsidR="00000000" w:rsidRDefault="00000000">
      <w:pPr>
        <w:spacing w:after="240"/>
        <w:ind w:left="924" w:hanging="357"/>
        <w:rPr>
          <w:bCs/>
        </w:rPr>
      </w:pPr>
      <w:r>
        <w:rPr>
          <w:bCs/>
        </w:rPr>
        <w:t>-</w:t>
      </w:r>
      <w:r>
        <w:rPr>
          <w:b/>
        </w:rPr>
        <w:tab/>
      </w:r>
      <w:r>
        <w:rPr>
          <w:b/>
          <w:bCs/>
        </w:rPr>
        <w:t xml:space="preserve">Artículo 96.  </w:t>
      </w:r>
      <w:r>
        <w:rPr>
          <w:bCs/>
        </w:rPr>
        <w:t xml:space="preserve">De la libertad sindical:  Todos los trabajadores públicos y privados tienen derecho a organizarse en sindicatos sin necesidad de autorización previa.  </w:t>
      </w:r>
      <w:r>
        <w:rPr>
          <w:i/>
        </w:rPr>
        <w:t>Quedan exceptuados de este derecho los miembros de las Fuerzas Armadas y de las policiales</w:t>
      </w:r>
      <w:r>
        <w:rPr>
          <w:b/>
          <w:bCs/>
          <w:i/>
        </w:rPr>
        <w:t xml:space="preserve">.  </w:t>
      </w:r>
      <w:r>
        <w:rPr>
          <w:bCs/>
        </w:rPr>
        <w:t>Los empleadores gozan de igual libertad de organización.  Nadie puede ser obligado a pertenecer a un sindicato.</w:t>
      </w:r>
    </w:p>
    <w:p w:rsidR="00000000" w:rsidRDefault="00000000">
      <w:pPr>
        <w:keepLines/>
        <w:spacing w:after="240"/>
        <w:ind w:left="924" w:hanging="357"/>
        <w:rPr>
          <w:bCs/>
        </w:rPr>
      </w:pPr>
      <w:r>
        <w:rPr>
          <w:bCs/>
        </w:rPr>
        <w:t>-</w:t>
      </w:r>
      <w:r>
        <w:rPr>
          <w:b/>
        </w:rPr>
        <w:tab/>
      </w:r>
      <w:r>
        <w:rPr>
          <w:b/>
          <w:bCs/>
        </w:rPr>
        <w:t xml:space="preserve">Artículo 98.  </w:t>
      </w:r>
      <w:r>
        <w:rPr>
          <w:bCs/>
        </w:rPr>
        <w:t xml:space="preserve">Del derecho de huelga y de paro:  Todos los trabajadores de los sectores públicos y privados tienen el derecho a recurrir a la huelga en caso de conflicto de intereses.  Los empleadores gozan del derecho de paro en las mismas condiciones.  </w:t>
      </w:r>
      <w:r>
        <w:rPr>
          <w:i/>
        </w:rPr>
        <w:t>Los derechos de huelga y de paro no alcanzan a los miembros de las Fuerzas Armadas de la Nación ni a los de los policiales.</w:t>
      </w:r>
      <w:r>
        <w:rPr>
          <w:iCs/>
        </w:rPr>
        <w:t xml:space="preserve">  </w:t>
      </w:r>
      <w:r>
        <w:rPr>
          <w:bCs/>
        </w:rPr>
        <w:t>La ley regulará el ejercicio de estos derechos de tal manera que no afecten servicios públicos imprescindibles para la comunidad.</w:t>
      </w:r>
    </w:p>
    <w:p w:rsidR="00000000" w:rsidRDefault="00000000">
      <w:pPr>
        <w:autoSpaceDE w:val="0"/>
        <w:autoSpaceDN w:val="0"/>
        <w:adjustRightInd w:val="0"/>
        <w:spacing w:after="240"/>
      </w:pPr>
      <w:r>
        <w:t>246.</w:t>
      </w:r>
      <w:r>
        <w:tab/>
        <w:t>Dichas restricciones impuestas a las Fuerzas Armadas y a los agentes de la Policía Nacional condicen con la necesidad del mantenimiento del orden público, y en ningún sentido imponen un gravamen adverso hacia los mismos.  En tal sentido, se puede afirmar que los miembros de las Fuerzas Armadas y de la Policía Nacional no gozan del derecho a huelga en razón a que éstas constituyen la fuerza pública de la nación y que como tal satisfacen a la necesidad de proveer seguridad en forma permanente a la sociedad.  La misión de las Fuerzas Armadas es de custodiar la integridad territorial y la de defender a las autoridades legítimamente constituidas.  Cabe acotar, que lo dispuesto por los artículos mencionados precedentemente, en cuanto al ejercicio del derecho de huelga para miembros de las Fuerzas Armadas y la Policía Nacional, son aplicados en forma estricta enmarcando las funciones castrenses y policiales, respectivamente, dentro de lo establecido en la Constitución nacional.</w:t>
      </w:r>
    </w:p>
    <w:p w:rsidR="00000000" w:rsidRDefault="00000000">
      <w:pPr>
        <w:keepNext/>
        <w:spacing w:after="240"/>
        <w:rPr>
          <w:b/>
        </w:rPr>
      </w:pPr>
      <w:r>
        <w:rPr>
          <w:b/>
        </w:rPr>
        <w:t>Artículo 9</w:t>
      </w:r>
    </w:p>
    <w:p w:rsidR="00000000" w:rsidRDefault="00000000">
      <w:pPr>
        <w:keepNext/>
        <w:spacing w:after="240"/>
        <w:jc w:val="center"/>
      </w:pPr>
      <w:r>
        <w:rPr>
          <w:b/>
        </w:rPr>
        <w:t>A.  Seguro social</w:t>
      </w:r>
    </w:p>
    <w:p w:rsidR="00000000" w:rsidRDefault="00000000">
      <w:pPr>
        <w:autoSpaceDE w:val="0"/>
        <w:autoSpaceDN w:val="0"/>
        <w:adjustRightInd w:val="0"/>
        <w:spacing w:after="240"/>
      </w:pPr>
      <w:r>
        <w:t>247.</w:t>
      </w:r>
      <w:r>
        <w:tab/>
        <w:t>En el Paraguay existen las siguientes variantes de seguro social reconocidos en el marco normativo nacional</w:t>
      </w:r>
      <w:r>
        <w:rPr>
          <w:rStyle w:val="FootnoteReference"/>
        </w:rPr>
        <w:footnoteReference w:id="22"/>
      </w:r>
      <w:r>
        <w:t>.</w:t>
      </w:r>
    </w:p>
    <w:p w:rsidR="00000000" w:rsidRDefault="00000000">
      <w:pPr>
        <w:spacing w:after="240"/>
        <w:ind w:left="1134" w:hanging="567"/>
      </w:pPr>
      <w:r>
        <w:rPr>
          <w:bCs/>
        </w:rPr>
        <w:t>1.</w:t>
      </w:r>
      <w:r>
        <w:rPr>
          <w:bCs/>
        </w:rPr>
        <w:tab/>
      </w:r>
      <w:r>
        <w:rPr>
          <w:b/>
        </w:rPr>
        <w:t>Seguro médico</w:t>
      </w:r>
      <w:r>
        <w:rPr>
          <w:b/>
          <w:bCs/>
        </w:rPr>
        <w:t>.</w:t>
      </w:r>
      <w:r>
        <w:t xml:space="preserve">  Se encuentra establecido en la Ley Nº 2053/05 del Presupuesto General de Gastos de la Nación y dice:  "... fijase en Gs. 85.000 (ochenta y cinco mil guaraníes) mensuales la ayuda estatal en concepto de "subsidio para la salud" objeto del gasto 191, por cada funcionario o empleado dependiente del poder ejecutivo, poder judicial, Contraloría General de la República y de los entes descentralizados, cuyos empleados y obreros no tengan cobertura del seguro médico por el Instituto de Previsión Social u otro régimen especial".</w:t>
      </w:r>
    </w:p>
    <w:p w:rsidR="00000000" w:rsidRDefault="00000000">
      <w:pPr>
        <w:autoSpaceDE w:val="0"/>
        <w:autoSpaceDN w:val="0"/>
        <w:adjustRightInd w:val="0"/>
        <w:spacing w:after="240"/>
      </w:pPr>
      <w:r>
        <w:t>248.</w:t>
      </w:r>
      <w:r>
        <w:tab/>
        <w:t>El seguro médico está organizado en función a riesgos determinados:  riesgo de enfermedad o accidente común, riesgo de enfermedad o accidente laboral, riesgo maternidad.  El riesgo de enfermedad o accidente común:  los accidentes comunes son los hechos fortuitos e impredecibles que ocurren fuera del lugar de trabajo, que producen un daño físico o psíquico al trabajador asegurado, y que requieren de atención médica.  Las enfermedades comunes son aquellas que no son causadas por las condiciones del lugar de trabajo.  Los accidentes y las enfermedades comunes dan derecho al trabajador asegurado a recibir atención médica, quirúrgica, dental, medicamentos y hospitalización, así como a solicitar el pago de un subsidio mientras se encuentren imposibilitados temporalmente para trabajar, o si la incapacidad ya es definitiva, una jubilación de invalidez por accidente o enfermedad común.</w:t>
      </w:r>
    </w:p>
    <w:p w:rsidR="00000000" w:rsidRDefault="00000000">
      <w:pPr>
        <w:spacing w:after="240"/>
        <w:ind w:left="1134" w:hanging="567"/>
      </w:pPr>
      <w:r>
        <w:rPr>
          <w:bCs/>
        </w:rPr>
        <w:t>2.</w:t>
      </w:r>
      <w:r>
        <w:rPr>
          <w:bCs/>
        </w:rPr>
        <w:tab/>
      </w:r>
      <w:r>
        <w:rPr>
          <w:b/>
        </w:rPr>
        <w:t>Seguro o subsidio por enfermedad</w:t>
      </w:r>
      <w:r>
        <w:rPr>
          <w:b/>
          <w:bCs/>
        </w:rPr>
        <w:t>.</w:t>
      </w:r>
      <w:r>
        <w:t xml:space="preserve">  La Ley Nº 375/56 actualizado por las Leyes Nos. 1085/65, 427/73 y 98/92 del Instituto de Previsión Social establece en su artículo 30 "... en caso de enfermedad no profesional o accidente que no sea de trabajo la proporción de:  a) atención médico quirúrgica y dental, medicamentos y hospitalización...;  b) un subsidio en dinero a los asegurados activos sometidos a los tratamientos médicos, con reposo por enfermedad...;  c) provisión de aparatos de prótesis y ortopedia de acuerdo al reglamento…" el artículo 32 establece el monto por el cual se designará el subsidio por enfermedad.</w:t>
      </w:r>
    </w:p>
    <w:p w:rsidR="00000000" w:rsidRDefault="00000000">
      <w:pPr>
        <w:autoSpaceDE w:val="0"/>
        <w:autoSpaceDN w:val="0"/>
        <w:adjustRightInd w:val="0"/>
        <w:spacing w:after="240"/>
      </w:pPr>
      <w:r>
        <w:t>249.</w:t>
      </w:r>
      <w:r>
        <w:tab/>
        <w:t xml:space="preserve">Las enfermedades laborales son aquellas causadas por las condiciones del trabajo.  Los accidentes y las enfermedades laborales dan derecho al trabajador asegurado a recibir atención médica, quirúrgica, dental, medicamentos y hospitalización, así como a solicitar el pago de un subsidio mientras se encuentren imposibilitados temporalmente para trabajar, o si la posibilidad laboral es parcial o total y definitiva, una jubilación de invalidez por accidente o enfermedad laboral (ver también enfermedad profesional).  Se otorga a los asegurados activos, sometidos a tratamientos médicos con reposos por enfermedad común.  Se inicia a partir del día siguiente de la incapacidad y se provee mientras subsista la misma, siempre y cuando el beneficiario se encuentre sometido a tratamiento médico en el Instituto.  </w:t>
      </w:r>
    </w:p>
    <w:p w:rsidR="00000000" w:rsidRDefault="00000000">
      <w:pPr>
        <w:spacing w:after="240"/>
        <w:ind w:left="1134" w:hanging="567"/>
        <w:rPr>
          <w:i/>
        </w:rPr>
      </w:pPr>
      <w:r>
        <w:rPr>
          <w:bCs/>
        </w:rPr>
        <w:t>3.</w:t>
      </w:r>
      <w:r>
        <w:rPr>
          <w:bCs/>
        </w:rPr>
        <w:tab/>
      </w:r>
      <w:r>
        <w:rPr>
          <w:b/>
        </w:rPr>
        <w:t>Seguro de maternidad</w:t>
      </w:r>
      <w:r>
        <w:rPr>
          <w:b/>
          <w:bCs/>
        </w:rPr>
        <w:t>.</w:t>
      </w:r>
      <w:r>
        <w:t xml:space="preserve">  La Ley Nº 375/56 actualizada por las Leyes Nos. 1085/65, 427/73 y 98/92 del Instituto de Previsión Social establece en sus artículos 36 al 39 los beneficios a las aseguradas durante el embarazo, parto y puerperio; en el artículo 37 dice:  "... a) un subsidio en dinero durante las tres semanas anteriores y seis posteriores a la fecha probable del parto;  b) provisión de leche para el hijo que no pueda amamantar por incapacidad constatada por el médico, ...".</w:t>
      </w:r>
    </w:p>
    <w:p w:rsidR="00000000" w:rsidRDefault="00000000">
      <w:pPr>
        <w:autoSpaceDE w:val="0"/>
        <w:autoSpaceDN w:val="0"/>
        <w:adjustRightInd w:val="0"/>
        <w:spacing w:after="240"/>
      </w:pPr>
      <w:r>
        <w:t>250.</w:t>
      </w:r>
      <w:r>
        <w:tab/>
        <w:t>El riesgo de maternidad de la asegurada.  Es la condición de embarazo, parto y post parto, durante la cual el Instituto de Previsión Social provee a la trabajadora asegurada o a la esposa o concubina de un trabajador asegurado o de un jubilado, las prestaciones médicas establecidas en la ley, así como el descanso pre y posparto obligatorio, un subsidio en dinero y la provisión de leche si no puede amamantar.  La hija del trabajador asegurado, o del jubilado, aunque integran el grupo de familiares asegurados, no tiene derecho a las prestaciones por maternidad.  El riesgo de maternidad provee a las aseguradas prestaciones durante el embarazo, parto y puerperio, y los beneficios son los siguientes:  atención medicoquirúrgica y dental, medicamentos y hospitalización, conforme a las normas que dispongan los reglamentos del Instituto.  Los mismos derechos tienen el cónyuge del asegurado o la asegurada, o a falta de los mismos, la concubina o el concubino respectivamente, con quien haya vivido en forma pública, estable y singular, durante dos años anteriores a la enfermedad.</w:t>
      </w:r>
    </w:p>
    <w:p w:rsidR="00000000" w:rsidRDefault="00000000">
      <w:pPr>
        <w:spacing w:after="240"/>
        <w:ind w:left="1134" w:hanging="567"/>
        <w:rPr>
          <w:b/>
          <w:u w:val="single"/>
        </w:rPr>
      </w:pPr>
      <w:r>
        <w:rPr>
          <w:bCs/>
        </w:rPr>
        <w:t>4.</w:t>
      </w:r>
      <w:r>
        <w:rPr>
          <w:bCs/>
        </w:rPr>
        <w:tab/>
      </w:r>
      <w:r>
        <w:rPr>
          <w:b/>
        </w:rPr>
        <w:t>Seguro o subsidio familiar.</w:t>
      </w:r>
      <w:r>
        <w:rPr>
          <w:bCs/>
        </w:rPr>
        <w:t xml:space="preserve">  S</w:t>
      </w:r>
      <w:r>
        <w:t>e encuentra establecido en la Ley Nº 2053/05 del Presupuesto General de Gastos de la Nación; en su artículo 49 dice:  "... fíjase en Gs. 35.000 (treinta y cinco mil guaraníes) mensuales, el subsidio familiar, por cada hijo mejor de 18 años, hasta un máximo de tres hijos, de un funcionario público que perciba hasta la suma de Gs. 1.000.000 (un millón de guaraníes) mensuales".  El Código del Trabajo en sus artículos del</w:t>
      </w:r>
      <w:r>
        <w:rPr>
          <w:iCs/>
        </w:rPr>
        <w:t xml:space="preserve"> </w:t>
      </w:r>
      <w:r>
        <w:t>261</w:t>
      </w:r>
      <w:r>
        <w:rPr>
          <w:iCs/>
        </w:rPr>
        <w:t xml:space="preserve"> </w:t>
      </w:r>
      <w:r>
        <w:t>al 271 establece los requisitos en relación a la asignación familiar.</w:t>
      </w:r>
    </w:p>
    <w:p w:rsidR="00000000" w:rsidRDefault="00000000">
      <w:pPr>
        <w:spacing w:after="240"/>
        <w:ind w:left="1134" w:hanging="567"/>
      </w:pPr>
      <w:r>
        <w:rPr>
          <w:bCs/>
        </w:rPr>
        <w:t>5.</w:t>
      </w:r>
      <w:r>
        <w:rPr>
          <w:bCs/>
        </w:rPr>
        <w:tab/>
      </w:r>
      <w:r>
        <w:rPr>
          <w:b/>
        </w:rPr>
        <w:t>Seguro o pensión por ancianidad.</w:t>
      </w:r>
      <w:r>
        <w:rPr>
          <w:bCs/>
        </w:rPr>
        <w:t xml:space="preserve">  L</w:t>
      </w:r>
      <w:r>
        <w:t>a Constitución nacional en su artículo 103 dice:  "... dentro del sistema de la seguridad social, la ley regulará el régimen de jubilaciones de los funcionarios y empleados públicos, atendiendo a que los organismos autárquicos creados con ese propósito acuerden a los aportantes y jubilados la administración de dichos entes bajo control estatal.  Participaran del mismo régimen todos los que, bajo cualquier título, presten servicios al Estado.  La ley garantizará la actualización de los haberes jubilatorios en igualdad de tratamiento dispensado al funcionario público en actividad".  La Ley Nº 375/56 actualizado por las Leyes Nos. 1085/65, 427/73 y 98/92 del Instituto de Previsión Social establece en su artículo 60 la jubilación ordinaria o seguro por ancianidad y dice:  "... el asegurado que haya cumplido 60 (sesenta) años de edad y tenga 25 (veinticinco) años como mínimo de servicios reconocido...".</w:t>
      </w:r>
    </w:p>
    <w:p w:rsidR="00000000" w:rsidRDefault="00000000">
      <w:pPr>
        <w:spacing w:after="240"/>
        <w:ind w:left="1134" w:hanging="567"/>
      </w:pPr>
      <w:r>
        <w:rPr>
          <w:bCs/>
        </w:rPr>
        <w:t>6.</w:t>
      </w:r>
      <w:r>
        <w:rPr>
          <w:bCs/>
        </w:rPr>
        <w:tab/>
      </w:r>
      <w:r>
        <w:rPr>
          <w:b/>
        </w:rPr>
        <w:t xml:space="preserve">Seguro o pensión por invalidez por accidente de trabajo.  </w:t>
      </w:r>
      <w:r>
        <w:t>La Ley Nº 375/56 actualizado por las Leyes Nos. 1085/65, 427/73 y 98/92 del Instituto de Previsión Social establece en su artículo 61 la jubilación por invalidez por enfermedad común y por accidente del trabajo o enfermedad profesional la cual "... se compondrá de un monto base, igual al 50% (cincuenta) del salario mensual promedio de los 36 (treinta y seis) últimos meses anteriores a la declaratoria de invalidez...".</w:t>
      </w:r>
    </w:p>
    <w:p w:rsidR="00000000" w:rsidRDefault="00000000">
      <w:pPr>
        <w:spacing w:after="240"/>
        <w:ind w:left="1134" w:hanging="567"/>
      </w:pPr>
      <w:r>
        <w:rPr>
          <w:bCs/>
        </w:rPr>
        <w:t>7.</w:t>
      </w:r>
      <w:r>
        <w:rPr>
          <w:bCs/>
        </w:rPr>
        <w:tab/>
      </w:r>
      <w:r>
        <w:rPr>
          <w:b/>
        </w:rPr>
        <w:t>Seguro de incapacidad del trabajador</w:t>
      </w:r>
      <w:r>
        <w:rPr>
          <w:b/>
          <w:bCs/>
        </w:rPr>
        <w:t>.</w:t>
      </w:r>
      <w:r>
        <w:t xml:space="preserve">  Ocurre como consecuencia de un accidente laboral que produce al trabajador una imposibilidad temporal o permanente para trabajar.  La incapacidad temporal puede durar entre 3 días y 52 semanas y da derecho al pago de un subsidio en dinero que es igual al 75% del promedio salarial de los últimos cuatro meses.  Pero si desde el mismo accidente laboral el trabajador ya queda incapacitado permanentemente, o si al cabo de esas 52 semanas sigue la incapacidad, tiene derecho a una pensión mensual que se calcula según el daño o grado de incapacidad sufrida.  Esta incapacidad no debe confundirse con la invalidez.  El riesgo de incapacidad se cubre con una pensión calculada en base a una tabla valorativa de incapacidad.</w:t>
      </w:r>
    </w:p>
    <w:p w:rsidR="00000000" w:rsidRDefault="00000000">
      <w:pPr>
        <w:spacing w:after="240"/>
        <w:ind w:left="1134" w:hanging="567"/>
      </w:pPr>
      <w:r>
        <w:rPr>
          <w:bCs/>
        </w:rPr>
        <w:t>8.</w:t>
      </w:r>
      <w:r>
        <w:rPr>
          <w:bCs/>
        </w:rPr>
        <w:tab/>
      </w:r>
      <w:r>
        <w:rPr>
          <w:b/>
        </w:rPr>
        <w:t>Seguro por invalidez</w:t>
      </w:r>
      <w:r>
        <w:rPr>
          <w:b/>
          <w:bCs/>
        </w:rPr>
        <w:t>.</w:t>
      </w:r>
      <w:r>
        <w:t xml:space="preserve">  El Instituto de Previsión Social considera inválido al asegurado que a consecuencia de enfermedad no profesional, o de senilidad o vejez prematura, o accidente que no sea del trabajo, se encuentre incapacitado para procurarse mediante una labor proporcionada a sus fuerzas, capacidad y formación profesional, una remuneración equivalente por lo menos a un tercio de la remuneración habitual que percibe un trabajador sano del mismo sexo y de capacidad y formación semejantes, en la misma región.  En este caso, tendrán derecho a una pensión de invalidez los asegurados que reúnan los siguientes requisitos:  a) sean declarados inválidos de acuerdo con la definición del artículo precedente, por una comisión de tres médicos del Instituto, designados especialmente para el efecto;  b) tengan por lo menos 150 de cuotas y menos de 55 años de edad al sobrevenir la invalidez, o de 150 a 250 semanas de cuotas y menos de 60 años, o de 250 a 400 semanas de cuotas y menos de 65 años.  No se concederá pensión de invalidez si la realización del riesgo es consecuencia de un hecho voluntario o delictuoso del asegurado.</w:t>
      </w:r>
    </w:p>
    <w:p w:rsidR="00000000" w:rsidRDefault="00000000">
      <w:pPr>
        <w:autoSpaceDE w:val="0"/>
        <w:autoSpaceDN w:val="0"/>
        <w:adjustRightInd w:val="0"/>
        <w:spacing w:after="240"/>
      </w:pPr>
      <w:r>
        <w:t>251.</w:t>
      </w:r>
      <w:r>
        <w:tab/>
        <w:t>Las pensiones de invalidez se concederán en carácter de provisorias por un lapso no mayor de cinco años, durante el cual los beneficiarios estarán obligados a someterse a los exámenes y tratamientos médicos que se les indique, y en carácter de definitivas en cualquier momento y en todo caso a la expiración del lapso de cinco años, a condición de que la invalidez sea permanente.</w:t>
      </w:r>
    </w:p>
    <w:p w:rsidR="00000000" w:rsidRDefault="00000000">
      <w:pPr>
        <w:autoSpaceDE w:val="0"/>
        <w:autoSpaceDN w:val="0"/>
        <w:adjustRightInd w:val="0"/>
        <w:spacing w:after="240"/>
      </w:pPr>
      <w:r>
        <w:t>252.</w:t>
      </w:r>
      <w:r>
        <w:tab/>
        <w:t>El beneficiario menor de 60 años que recupere más del 50% de la capacidad de trabajo, dejará de percibir la pensión de invalidez, pero el Instituto podrá continuar pagándola por seis meses si con ello facilita la readaptación del asegurado al trabajo.  El Instituto podrá efectuar hasta una vez al año los exámenes que tengan por objeto comprobar el grado de incapacidad subsistente, si el beneficiario goza de pensión definitiva y éste quedará obligado a someterse a los tratamientos médicos que se le prescriban.</w:t>
      </w:r>
    </w:p>
    <w:p w:rsidR="00000000" w:rsidRDefault="00000000">
      <w:pPr>
        <w:autoSpaceDE w:val="0"/>
        <w:autoSpaceDN w:val="0"/>
        <w:adjustRightInd w:val="0"/>
        <w:spacing w:after="240"/>
      </w:pPr>
      <w:r>
        <w:t>253.</w:t>
      </w:r>
      <w:r>
        <w:tab/>
        <w:t xml:space="preserve">Las pensiones de invalidez se pagarán por mensualidades vencidas que se computarán desde el comienzo del estado de invalidez o desde la fecha en que se solicite el beneficio si éste es posterior.  </w:t>
      </w:r>
    </w:p>
    <w:p w:rsidR="00000000" w:rsidRDefault="00000000">
      <w:pPr>
        <w:autoSpaceDE w:val="0"/>
        <w:autoSpaceDN w:val="0"/>
        <w:adjustRightInd w:val="0"/>
        <w:spacing w:after="240"/>
      </w:pPr>
      <w:r>
        <w:t>254.</w:t>
      </w:r>
      <w:r>
        <w:tab/>
        <w:t>Sin embargo, el Instituto podrá retrasar el período de iniciación del pago mientras el asegurado tenga derecho a recibir subsidio por enfermedad.</w:t>
      </w:r>
    </w:p>
    <w:p w:rsidR="00000000" w:rsidRDefault="00000000">
      <w:pPr>
        <w:autoSpaceDE w:val="0"/>
        <w:autoSpaceDN w:val="0"/>
        <w:adjustRightInd w:val="0"/>
        <w:spacing w:after="240"/>
      </w:pPr>
      <w:r>
        <w:t>255.</w:t>
      </w:r>
      <w:r>
        <w:tab/>
        <w:t>La pensión mensual de invalidez se compondrá de un monto base igual al 42,5% del salario mensual promedio de los 3 años anteriores al comienzo de la invalidez, y de aumentos que ascenderán al 1,5% de dicho monto base por cada 50 semanas de cuotas en exceso sobre las primeras 750 semanas de cuotas.</w:t>
      </w:r>
    </w:p>
    <w:p w:rsidR="00000000" w:rsidRDefault="00000000">
      <w:pPr>
        <w:autoSpaceDE w:val="0"/>
        <w:autoSpaceDN w:val="0"/>
        <w:adjustRightInd w:val="0"/>
        <w:spacing w:after="240"/>
      </w:pPr>
      <w:r>
        <w:t>256.</w:t>
      </w:r>
      <w:r>
        <w:tab/>
        <w:t>El salario mensual promedio se determinará dividiendo por 36 el total de salarios que corresponde a las cuotas de los 3 años señaladas en el párrafo anterior.  En el caso de existir períodos en el que el asegurado haya recibido, dentro de los citados 3 años, subsidios o pensiones de invalidez, se computarán como salarios los promedio de salarios que sirvieron de base para el cálculo de dichos subsidios o pensiones.</w:t>
      </w:r>
    </w:p>
    <w:p w:rsidR="00000000" w:rsidRDefault="00000000">
      <w:pPr>
        <w:spacing w:after="240"/>
        <w:ind w:left="1134" w:hanging="567"/>
      </w:pPr>
      <w:r>
        <w:rPr>
          <w:bCs/>
        </w:rPr>
        <w:t>9.</w:t>
      </w:r>
      <w:r>
        <w:rPr>
          <w:bCs/>
        </w:rPr>
        <w:tab/>
      </w:r>
      <w:r>
        <w:rPr>
          <w:b/>
        </w:rPr>
        <w:t xml:space="preserve">Seguro por invalidez por enfermedad común.  </w:t>
      </w:r>
      <w:r>
        <w:t xml:space="preserve">El Instituto de Previsión Social otorga una jubilación mensual de invalidez por enfermedad común a sus asegurados, que se compone de un monto base igual al 50% del salario mensual promedio de los 36 últimos meses anteriores a la declaratoria de invalidez, y de aumentos que ascenderán al 1,5% de dicho monto, por cada 50 semanas de cuotas que sobrepasen las 150 semanas de aportes, hasta totalizar el 100%.  </w:t>
      </w:r>
    </w:p>
    <w:p w:rsidR="00000000" w:rsidRDefault="00000000">
      <w:pPr>
        <w:autoSpaceDE w:val="0"/>
        <w:autoSpaceDN w:val="0"/>
        <w:adjustRightInd w:val="0"/>
        <w:spacing w:after="240"/>
      </w:pPr>
      <w:r>
        <w:t>257.</w:t>
      </w:r>
      <w:r>
        <w:tab/>
        <w:t xml:space="preserve">En el caso de existir períodos en los que el asegurado haya recibido dentro de los citados 36 meses, subsidios o jubilación de invalidez temporal, se computarán como salarios los promedios de los mismos que sirvieron de base para el cálculo de dicho subsidio o jubilación.  </w:t>
      </w:r>
    </w:p>
    <w:p w:rsidR="00000000" w:rsidRDefault="00000000">
      <w:pPr>
        <w:autoSpaceDE w:val="0"/>
        <w:autoSpaceDN w:val="0"/>
        <w:adjustRightInd w:val="0"/>
        <w:spacing w:after="240"/>
      </w:pPr>
      <w:r>
        <w:t>258.</w:t>
      </w:r>
      <w:r>
        <w:tab/>
        <w:t xml:space="preserve">El riesgo jubilación de invalidez por accidente o enfermedad laboral.  La jubilación por invalidez causada por accidente del trabajo o por enfermedad profesional, se determina conforme a una tabla valorativa de incapacidades, a la tabla de porcentaje de jubilación, y al salario mensual promedio de los 36 meses anteriores a la iniciación de la incapacidad.  Si el accidente de trabajo ocurriera antes de que el asegurado haya percibido salario alguno, la jubilación se calculará sobre la base del salario mínimo legal vigente en el momento para actividades diversas no especificadas en la capital de la República.  </w:t>
      </w:r>
    </w:p>
    <w:p w:rsidR="00000000" w:rsidRDefault="00000000">
      <w:pPr>
        <w:autoSpaceDE w:val="0"/>
        <w:autoSpaceDN w:val="0"/>
        <w:adjustRightInd w:val="0"/>
        <w:spacing w:after="240"/>
      </w:pPr>
      <w:r>
        <w:t>259.</w:t>
      </w:r>
      <w:r>
        <w:tab/>
        <w:t xml:space="preserve">En el caso de que el asegurado haya percibido salarios por tiempo menor de 36  meses, se le computarán los faltantes con las equivalencias correspondientes de acuerdo con los salarios mínimos legales.  </w:t>
      </w:r>
    </w:p>
    <w:p w:rsidR="00000000" w:rsidRDefault="00000000">
      <w:pPr>
        <w:autoSpaceDE w:val="0"/>
        <w:autoSpaceDN w:val="0"/>
        <w:adjustRightInd w:val="0"/>
        <w:spacing w:after="240"/>
      </w:pPr>
      <w:r>
        <w:t>260.</w:t>
      </w:r>
      <w:r>
        <w:tab/>
        <w:t>A continuación, la tabla valorativa de incapacidades por accidente del trabajo o enfermedad profesional fijada por el Consejo de Administración del Instituto.  Actualmente está vigente la siguiente.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059"/>
        <w:gridCol w:w="803"/>
        <w:gridCol w:w="803"/>
        <w:gridCol w:w="803"/>
        <w:gridCol w:w="803"/>
        <w:gridCol w:w="803"/>
        <w:gridCol w:w="803"/>
        <w:gridCol w:w="803"/>
        <w:gridCol w:w="810"/>
      </w:tblGrid>
      <w:tr w:rsidR="00000000">
        <w:trPr>
          <w:cantSplit/>
        </w:trPr>
        <w:tc>
          <w:tcPr>
            <w:tcW w:w="1612" w:type="pct"/>
            <w:vMerge w:val="restart"/>
            <w:shd w:val="clear" w:color="auto" w:fill="FFFFFF"/>
            <w:vAlign w:val="center"/>
          </w:tcPr>
          <w:p w:rsidR="00000000" w:rsidRDefault="00000000">
            <w:pPr>
              <w:keepNext/>
              <w:jc w:val="center"/>
              <w:rPr>
                <w:b/>
                <w:bCs/>
              </w:rPr>
            </w:pPr>
            <w:r>
              <w:rPr>
                <w:b/>
                <w:bCs/>
              </w:rPr>
              <w:t>Antigüedad (años)</w:t>
            </w:r>
          </w:p>
        </w:tc>
        <w:tc>
          <w:tcPr>
            <w:tcW w:w="3388" w:type="pct"/>
            <w:gridSpan w:val="8"/>
            <w:shd w:val="clear" w:color="auto" w:fill="FFFFFF"/>
            <w:vAlign w:val="center"/>
          </w:tcPr>
          <w:p w:rsidR="00000000" w:rsidRDefault="00000000">
            <w:pPr>
              <w:keepNext/>
              <w:jc w:val="center"/>
              <w:rPr>
                <w:b/>
                <w:bCs/>
              </w:rPr>
            </w:pPr>
            <w:r>
              <w:rPr>
                <w:b/>
                <w:bCs/>
              </w:rPr>
              <w:t>Porcentaje de pérdida de la capacidad de trabajo</w:t>
            </w:r>
          </w:p>
        </w:tc>
      </w:tr>
      <w:tr w:rsidR="00000000">
        <w:trPr>
          <w:cantSplit/>
        </w:trPr>
        <w:tc>
          <w:tcPr>
            <w:tcW w:w="1612" w:type="pct"/>
            <w:vMerge/>
            <w:shd w:val="clear" w:color="auto" w:fill="FFFFFF"/>
          </w:tcPr>
          <w:p w:rsidR="00000000" w:rsidRDefault="00000000">
            <w:pPr>
              <w:keepNext/>
              <w:rPr>
                <w:b/>
                <w:bCs/>
              </w:rPr>
            </w:pPr>
          </w:p>
        </w:tc>
        <w:tc>
          <w:tcPr>
            <w:tcW w:w="423" w:type="pct"/>
            <w:shd w:val="clear" w:color="auto" w:fill="FFFFFF"/>
            <w:vAlign w:val="center"/>
          </w:tcPr>
          <w:p w:rsidR="00000000" w:rsidRDefault="00000000">
            <w:pPr>
              <w:keepNext/>
              <w:jc w:val="center"/>
              <w:rPr>
                <w:b/>
                <w:bCs/>
              </w:rPr>
            </w:pPr>
            <w:r>
              <w:rPr>
                <w:b/>
                <w:bCs/>
              </w:rPr>
              <w:t>100</w:t>
            </w:r>
          </w:p>
        </w:tc>
        <w:tc>
          <w:tcPr>
            <w:tcW w:w="423" w:type="pct"/>
            <w:shd w:val="clear" w:color="auto" w:fill="FFFFFF"/>
            <w:vAlign w:val="center"/>
          </w:tcPr>
          <w:p w:rsidR="00000000" w:rsidRDefault="00000000">
            <w:pPr>
              <w:keepNext/>
              <w:jc w:val="center"/>
              <w:rPr>
                <w:b/>
                <w:bCs/>
              </w:rPr>
            </w:pPr>
            <w:r>
              <w:rPr>
                <w:b/>
                <w:bCs/>
              </w:rPr>
              <w:t>90</w:t>
            </w:r>
          </w:p>
        </w:tc>
        <w:tc>
          <w:tcPr>
            <w:tcW w:w="423" w:type="pct"/>
            <w:shd w:val="clear" w:color="auto" w:fill="FFFFFF"/>
            <w:vAlign w:val="center"/>
          </w:tcPr>
          <w:p w:rsidR="00000000" w:rsidRDefault="00000000">
            <w:pPr>
              <w:keepNext/>
              <w:jc w:val="center"/>
              <w:rPr>
                <w:b/>
                <w:bCs/>
              </w:rPr>
            </w:pPr>
            <w:r>
              <w:rPr>
                <w:b/>
                <w:bCs/>
              </w:rPr>
              <w:t>80</w:t>
            </w:r>
          </w:p>
        </w:tc>
        <w:tc>
          <w:tcPr>
            <w:tcW w:w="423" w:type="pct"/>
            <w:shd w:val="clear" w:color="auto" w:fill="FFFFFF"/>
            <w:vAlign w:val="center"/>
          </w:tcPr>
          <w:p w:rsidR="00000000" w:rsidRDefault="00000000">
            <w:pPr>
              <w:keepNext/>
              <w:jc w:val="center"/>
              <w:rPr>
                <w:b/>
                <w:bCs/>
              </w:rPr>
            </w:pPr>
            <w:r>
              <w:rPr>
                <w:b/>
                <w:bCs/>
              </w:rPr>
              <w:t>70</w:t>
            </w:r>
          </w:p>
        </w:tc>
        <w:tc>
          <w:tcPr>
            <w:tcW w:w="423" w:type="pct"/>
            <w:shd w:val="clear" w:color="auto" w:fill="FFFFFF"/>
            <w:vAlign w:val="center"/>
          </w:tcPr>
          <w:p w:rsidR="00000000" w:rsidRDefault="00000000">
            <w:pPr>
              <w:keepNext/>
              <w:jc w:val="center"/>
              <w:rPr>
                <w:b/>
                <w:bCs/>
              </w:rPr>
            </w:pPr>
            <w:r>
              <w:rPr>
                <w:b/>
                <w:bCs/>
              </w:rPr>
              <w:t>60</w:t>
            </w:r>
          </w:p>
        </w:tc>
        <w:tc>
          <w:tcPr>
            <w:tcW w:w="423" w:type="pct"/>
            <w:shd w:val="clear" w:color="auto" w:fill="FFFFFF"/>
            <w:vAlign w:val="center"/>
          </w:tcPr>
          <w:p w:rsidR="00000000" w:rsidRDefault="00000000">
            <w:pPr>
              <w:keepNext/>
              <w:jc w:val="center"/>
              <w:rPr>
                <w:b/>
                <w:bCs/>
              </w:rPr>
            </w:pPr>
            <w:r>
              <w:rPr>
                <w:b/>
                <w:bCs/>
              </w:rPr>
              <w:t>50</w:t>
            </w:r>
          </w:p>
        </w:tc>
        <w:tc>
          <w:tcPr>
            <w:tcW w:w="423" w:type="pct"/>
            <w:shd w:val="clear" w:color="auto" w:fill="FFFFFF"/>
            <w:vAlign w:val="center"/>
          </w:tcPr>
          <w:p w:rsidR="00000000" w:rsidRDefault="00000000">
            <w:pPr>
              <w:keepNext/>
              <w:jc w:val="center"/>
              <w:rPr>
                <w:b/>
                <w:bCs/>
              </w:rPr>
            </w:pPr>
            <w:r>
              <w:rPr>
                <w:b/>
                <w:bCs/>
              </w:rPr>
              <w:t>40</w:t>
            </w:r>
          </w:p>
        </w:tc>
        <w:tc>
          <w:tcPr>
            <w:tcW w:w="426" w:type="pct"/>
            <w:shd w:val="clear" w:color="auto" w:fill="FFFFFF"/>
            <w:vAlign w:val="center"/>
          </w:tcPr>
          <w:p w:rsidR="00000000" w:rsidRDefault="00000000">
            <w:pPr>
              <w:keepNext/>
              <w:jc w:val="center"/>
              <w:rPr>
                <w:b/>
                <w:bCs/>
              </w:rPr>
            </w:pPr>
            <w:r>
              <w:rPr>
                <w:b/>
                <w:bCs/>
              </w:rPr>
              <w:t>30</w:t>
            </w:r>
          </w:p>
        </w:tc>
      </w:tr>
      <w:tr w:rsidR="00000000">
        <w:trPr>
          <w:cantSplit/>
        </w:trPr>
        <w:tc>
          <w:tcPr>
            <w:tcW w:w="1612" w:type="pct"/>
            <w:vMerge/>
          </w:tcPr>
          <w:p w:rsidR="00000000" w:rsidRDefault="00000000">
            <w:pPr>
              <w:keepNext/>
              <w:rPr>
                <w:b/>
                <w:bCs/>
              </w:rPr>
            </w:pPr>
          </w:p>
        </w:tc>
        <w:tc>
          <w:tcPr>
            <w:tcW w:w="3388" w:type="pct"/>
            <w:gridSpan w:val="8"/>
            <w:vAlign w:val="center"/>
          </w:tcPr>
          <w:p w:rsidR="00000000" w:rsidRDefault="00000000">
            <w:pPr>
              <w:keepNext/>
              <w:jc w:val="center"/>
              <w:rPr>
                <w:b/>
                <w:bCs/>
              </w:rPr>
            </w:pPr>
            <w:r>
              <w:rPr>
                <w:b/>
                <w:bCs/>
              </w:rPr>
              <w:t>Porcentaje de jubilación sobre el salario</w:t>
            </w:r>
          </w:p>
        </w:tc>
      </w:tr>
      <w:tr w:rsidR="00000000">
        <w:tc>
          <w:tcPr>
            <w:tcW w:w="1612" w:type="pct"/>
            <w:vAlign w:val="bottom"/>
          </w:tcPr>
          <w:p w:rsidR="00000000" w:rsidRDefault="00000000">
            <w:r>
              <w:t>3 a 5</w:t>
            </w:r>
          </w:p>
        </w:tc>
        <w:tc>
          <w:tcPr>
            <w:tcW w:w="423" w:type="pct"/>
            <w:vAlign w:val="bottom"/>
          </w:tcPr>
          <w:p w:rsidR="00000000" w:rsidRDefault="00000000">
            <w:pPr>
              <w:tabs>
                <w:tab w:val="decimal" w:pos="416"/>
              </w:tabs>
            </w:pPr>
            <w:r>
              <w:t>75</w:t>
            </w:r>
          </w:p>
        </w:tc>
        <w:tc>
          <w:tcPr>
            <w:tcW w:w="423" w:type="pct"/>
            <w:vAlign w:val="bottom"/>
          </w:tcPr>
          <w:p w:rsidR="00000000" w:rsidRDefault="00000000">
            <w:pPr>
              <w:jc w:val="center"/>
            </w:pPr>
            <w:r>
              <w:t>67,5</w:t>
            </w:r>
          </w:p>
        </w:tc>
        <w:tc>
          <w:tcPr>
            <w:tcW w:w="423" w:type="pct"/>
            <w:vAlign w:val="bottom"/>
          </w:tcPr>
          <w:p w:rsidR="00000000" w:rsidRDefault="00000000">
            <w:pPr>
              <w:tabs>
                <w:tab w:val="decimal" w:pos="372"/>
              </w:tabs>
            </w:pPr>
            <w:r>
              <w:t>60</w:t>
            </w:r>
          </w:p>
        </w:tc>
        <w:tc>
          <w:tcPr>
            <w:tcW w:w="423" w:type="pct"/>
            <w:vAlign w:val="bottom"/>
          </w:tcPr>
          <w:p w:rsidR="00000000" w:rsidRDefault="00000000">
            <w:pPr>
              <w:jc w:val="center"/>
            </w:pPr>
            <w:r>
              <w:t>52,2</w:t>
            </w:r>
          </w:p>
        </w:tc>
        <w:tc>
          <w:tcPr>
            <w:tcW w:w="423" w:type="pct"/>
            <w:vAlign w:val="bottom"/>
          </w:tcPr>
          <w:p w:rsidR="00000000" w:rsidRDefault="00000000">
            <w:pPr>
              <w:tabs>
                <w:tab w:val="decimal" w:pos="372"/>
              </w:tabs>
            </w:pPr>
            <w:r>
              <w:t>45</w:t>
            </w:r>
          </w:p>
        </w:tc>
        <w:tc>
          <w:tcPr>
            <w:tcW w:w="423" w:type="pct"/>
            <w:vAlign w:val="bottom"/>
          </w:tcPr>
          <w:p w:rsidR="00000000" w:rsidRDefault="00000000">
            <w:pPr>
              <w:jc w:val="center"/>
            </w:pPr>
            <w:r>
              <w:t>37,5</w:t>
            </w:r>
          </w:p>
        </w:tc>
        <w:tc>
          <w:tcPr>
            <w:tcW w:w="423" w:type="pct"/>
            <w:vAlign w:val="bottom"/>
          </w:tcPr>
          <w:p w:rsidR="00000000" w:rsidRDefault="00000000">
            <w:pPr>
              <w:tabs>
                <w:tab w:val="decimal" w:pos="372"/>
              </w:tabs>
            </w:pPr>
            <w:r>
              <w:t>30</w:t>
            </w:r>
          </w:p>
        </w:tc>
        <w:tc>
          <w:tcPr>
            <w:tcW w:w="426" w:type="pct"/>
            <w:vAlign w:val="bottom"/>
          </w:tcPr>
          <w:p w:rsidR="00000000" w:rsidRDefault="00000000">
            <w:pPr>
              <w:jc w:val="center"/>
            </w:pPr>
            <w:r>
              <w:t>22,5</w:t>
            </w:r>
          </w:p>
        </w:tc>
      </w:tr>
      <w:tr w:rsidR="00000000">
        <w:tc>
          <w:tcPr>
            <w:tcW w:w="1612" w:type="pct"/>
            <w:vAlign w:val="bottom"/>
          </w:tcPr>
          <w:p w:rsidR="00000000" w:rsidRDefault="00000000">
            <w:r>
              <w:t xml:space="preserve">6 a 9 </w:t>
            </w:r>
          </w:p>
        </w:tc>
        <w:tc>
          <w:tcPr>
            <w:tcW w:w="423" w:type="pct"/>
            <w:vAlign w:val="bottom"/>
          </w:tcPr>
          <w:p w:rsidR="00000000" w:rsidRDefault="00000000">
            <w:pPr>
              <w:tabs>
                <w:tab w:val="decimal" w:pos="416"/>
              </w:tabs>
            </w:pPr>
            <w:r>
              <w:t>79,5</w:t>
            </w:r>
          </w:p>
        </w:tc>
        <w:tc>
          <w:tcPr>
            <w:tcW w:w="423" w:type="pct"/>
            <w:vAlign w:val="bottom"/>
          </w:tcPr>
          <w:p w:rsidR="00000000" w:rsidRDefault="00000000">
            <w:pPr>
              <w:jc w:val="center"/>
            </w:pPr>
            <w:r>
              <w:t>71,5</w:t>
            </w:r>
          </w:p>
        </w:tc>
        <w:tc>
          <w:tcPr>
            <w:tcW w:w="423" w:type="pct"/>
            <w:vAlign w:val="bottom"/>
          </w:tcPr>
          <w:p w:rsidR="00000000" w:rsidRDefault="00000000">
            <w:pPr>
              <w:tabs>
                <w:tab w:val="decimal" w:pos="372"/>
              </w:tabs>
            </w:pPr>
            <w:r>
              <w:t>63,6</w:t>
            </w:r>
          </w:p>
        </w:tc>
        <w:tc>
          <w:tcPr>
            <w:tcW w:w="423" w:type="pct"/>
            <w:vAlign w:val="bottom"/>
          </w:tcPr>
          <w:p w:rsidR="00000000" w:rsidRDefault="00000000">
            <w:pPr>
              <w:jc w:val="center"/>
            </w:pPr>
            <w:r>
              <w:t>55,6</w:t>
            </w:r>
          </w:p>
        </w:tc>
        <w:tc>
          <w:tcPr>
            <w:tcW w:w="423" w:type="pct"/>
            <w:vAlign w:val="bottom"/>
          </w:tcPr>
          <w:p w:rsidR="00000000" w:rsidRDefault="00000000">
            <w:pPr>
              <w:tabs>
                <w:tab w:val="decimal" w:pos="372"/>
              </w:tabs>
            </w:pPr>
            <w:r>
              <w:t>47,7</w:t>
            </w:r>
          </w:p>
        </w:tc>
        <w:tc>
          <w:tcPr>
            <w:tcW w:w="423" w:type="pct"/>
            <w:vAlign w:val="bottom"/>
          </w:tcPr>
          <w:p w:rsidR="00000000" w:rsidRDefault="00000000">
            <w:pPr>
              <w:jc w:val="center"/>
            </w:pPr>
            <w:r>
              <w:t>39,7</w:t>
            </w:r>
          </w:p>
        </w:tc>
        <w:tc>
          <w:tcPr>
            <w:tcW w:w="423" w:type="pct"/>
            <w:vAlign w:val="bottom"/>
          </w:tcPr>
          <w:p w:rsidR="00000000" w:rsidRDefault="00000000">
            <w:pPr>
              <w:tabs>
                <w:tab w:val="decimal" w:pos="372"/>
              </w:tabs>
            </w:pPr>
            <w:r>
              <w:t>31,8</w:t>
            </w:r>
          </w:p>
        </w:tc>
        <w:tc>
          <w:tcPr>
            <w:tcW w:w="426" w:type="pct"/>
            <w:vAlign w:val="bottom"/>
          </w:tcPr>
          <w:p w:rsidR="00000000" w:rsidRDefault="00000000">
            <w:pPr>
              <w:jc w:val="center"/>
            </w:pPr>
            <w:r>
              <w:t>23,9</w:t>
            </w:r>
          </w:p>
        </w:tc>
      </w:tr>
      <w:tr w:rsidR="00000000">
        <w:tc>
          <w:tcPr>
            <w:tcW w:w="1612" w:type="pct"/>
            <w:vAlign w:val="bottom"/>
          </w:tcPr>
          <w:p w:rsidR="00000000" w:rsidRDefault="00000000">
            <w:r>
              <w:t xml:space="preserve">10 a 14 </w:t>
            </w:r>
          </w:p>
        </w:tc>
        <w:tc>
          <w:tcPr>
            <w:tcW w:w="423" w:type="pct"/>
            <w:vAlign w:val="bottom"/>
          </w:tcPr>
          <w:p w:rsidR="00000000" w:rsidRDefault="00000000">
            <w:pPr>
              <w:tabs>
                <w:tab w:val="decimal" w:pos="416"/>
              </w:tabs>
            </w:pPr>
            <w:r>
              <w:t>85,5</w:t>
            </w:r>
          </w:p>
        </w:tc>
        <w:tc>
          <w:tcPr>
            <w:tcW w:w="423" w:type="pct"/>
            <w:vAlign w:val="bottom"/>
          </w:tcPr>
          <w:p w:rsidR="00000000" w:rsidRDefault="00000000">
            <w:pPr>
              <w:jc w:val="center"/>
            </w:pPr>
            <w:r>
              <w:t>76,9</w:t>
            </w:r>
          </w:p>
        </w:tc>
        <w:tc>
          <w:tcPr>
            <w:tcW w:w="423" w:type="pct"/>
            <w:vAlign w:val="bottom"/>
          </w:tcPr>
          <w:p w:rsidR="00000000" w:rsidRDefault="00000000">
            <w:pPr>
              <w:tabs>
                <w:tab w:val="decimal" w:pos="372"/>
              </w:tabs>
            </w:pPr>
            <w:r>
              <w:t>68,4</w:t>
            </w:r>
          </w:p>
        </w:tc>
        <w:tc>
          <w:tcPr>
            <w:tcW w:w="423" w:type="pct"/>
            <w:vAlign w:val="bottom"/>
          </w:tcPr>
          <w:p w:rsidR="00000000" w:rsidRDefault="00000000">
            <w:pPr>
              <w:jc w:val="center"/>
            </w:pPr>
            <w:r>
              <w:t>59,8</w:t>
            </w:r>
          </w:p>
        </w:tc>
        <w:tc>
          <w:tcPr>
            <w:tcW w:w="423" w:type="pct"/>
            <w:vAlign w:val="bottom"/>
          </w:tcPr>
          <w:p w:rsidR="00000000" w:rsidRDefault="00000000">
            <w:pPr>
              <w:tabs>
                <w:tab w:val="decimal" w:pos="372"/>
              </w:tabs>
            </w:pPr>
            <w:r>
              <w:t>51,3</w:t>
            </w:r>
          </w:p>
        </w:tc>
        <w:tc>
          <w:tcPr>
            <w:tcW w:w="423" w:type="pct"/>
            <w:vAlign w:val="bottom"/>
          </w:tcPr>
          <w:p w:rsidR="00000000" w:rsidRDefault="00000000">
            <w:pPr>
              <w:jc w:val="center"/>
            </w:pPr>
            <w:r>
              <w:t>42,7</w:t>
            </w:r>
          </w:p>
        </w:tc>
        <w:tc>
          <w:tcPr>
            <w:tcW w:w="423" w:type="pct"/>
            <w:vAlign w:val="bottom"/>
          </w:tcPr>
          <w:p w:rsidR="00000000" w:rsidRDefault="00000000">
            <w:pPr>
              <w:tabs>
                <w:tab w:val="decimal" w:pos="372"/>
              </w:tabs>
            </w:pPr>
            <w:r>
              <w:t>34,2</w:t>
            </w:r>
          </w:p>
        </w:tc>
        <w:tc>
          <w:tcPr>
            <w:tcW w:w="426" w:type="pct"/>
            <w:vAlign w:val="bottom"/>
          </w:tcPr>
          <w:p w:rsidR="00000000" w:rsidRDefault="00000000">
            <w:pPr>
              <w:jc w:val="center"/>
            </w:pPr>
            <w:r>
              <w:t>25,6</w:t>
            </w:r>
          </w:p>
        </w:tc>
      </w:tr>
      <w:tr w:rsidR="00000000">
        <w:tc>
          <w:tcPr>
            <w:tcW w:w="1612" w:type="pct"/>
            <w:vAlign w:val="bottom"/>
          </w:tcPr>
          <w:p w:rsidR="00000000" w:rsidRDefault="00000000">
            <w:r>
              <w:t xml:space="preserve">15 a 19 </w:t>
            </w:r>
          </w:p>
        </w:tc>
        <w:tc>
          <w:tcPr>
            <w:tcW w:w="423" w:type="pct"/>
            <w:vAlign w:val="bottom"/>
          </w:tcPr>
          <w:p w:rsidR="00000000" w:rsidRDefault="00000000">
            <w:pPr>
              <w:tabs>
                <w:tab w:val="decimal" w:pos="416"/>
              </w:tabs>
            </w:pPr>
            <w:r>
              <w:t>93</w:t>
            </w:r>
          </w:p>
        </w:tc>
        <w:tc>
          <w:tcPr>
            <w:tcW w:w="423" w:type="pct"/>
            <w:vAlign w:val="bottom"/>
          </w:tcPr>
          <w:p w:rsidR="00000000" w:rsidRDefault="00000000">
            <w:pPr>
              <w:jc w:val="center"/>
            </w:pPr>
            <w:r>
              <w:t>83,7</w:t>
            </w:r>
          </w:p>
        </w:tc>
        <w:tc>
          <w:tcPr>
            <w:tcW w:w="423" w:type="pct"/>
            <w:vAlign w:val="bottom"/>
          </w:tcPr>
          <w:p w:rsidR="00000000" w:rsidRDefault="00000000">
            <w:pPr>
              <w:tabs>
                <w:tab w:val="decimal" w:pos="372"/>
              </w:tabs>
            </w:pPr>
            <w:r>
              <w:t>74,4</w:t>
            </w:r>
          </w:p>
        </w:tc>
        <w:tc>
          <w:tcPr>
            <w:tcW w:w="423" w:type="pct"/>
            <w:vAlign w:val="bottom"/>
          </w:tcPr>
          <w:p w:rsidR="00000000" w:rsidRDefault="00000000">
            <w:pPr>
              <w:jc w:val="center"/>
            </w:pPr>
            <w:r>
              <w:t>65,1</w:t>
            </w:r>
          </w:p>
        </w:tc>
        <w:tc>
          <w:tcPr>
            <w:tcW w:w="423" w:type="pct"/>
            <w:vAlign w:val="bottom"/>
          </w:tcPr>
          <w:p w:rsidR="00000000" w:rsidRDefault="00000000">
            <w:pPr>
              <w:tabs>
                <w:tab w:val="decimal" w:pos="372"/>
              </w:tabs>
            </w:pPr>
            <w:r>
              <w:t>55,8</w:t>
            </w:r>
          </w:p>
        </w:tc>
        <w:tc>
          <w:tcPr>
            <w:tcW w:w="423" w:type="pct"/>
            <w:vAlign w:val="bottom"/>
          </w:tcPr>
          <w:p w:rsidR="00000000" w:rsidRDefault="00000000">
            <w:pPr>
              <w:jc w:val="center"/>
            </w:pPr>
            <w:r>
              <w:t>46,5</w:t>
            </w:r>
          </w:p>
        </w:tc>
        <w:tc>
          <w:tcPr>
            <w:tcW w:w="423" w:type="pct"/>
            <w:vAlign w:val="bottom"/>
          </w:tcPr>
          <w:p w:rsidR="00000000" w:rsidRDefault="00000000">
            <w:pPr>
              <w:tabs>
                <w:tab w:val="decimal" w:pos="372"/>
              </w:tabs>
            </w:pPr>
            <w:r>
              <w:t>37,2</w:t>
            </w:r>
          </w:p>
        </w:tc>
        <w:tc>
          <w:tcPr>
            <w:tcW w:w="426" w:type="pct"/>
            <w:vAlign w:val="bottom"/>
          </w:tcPr>
          <w:p w:rsidR="00000000" w:rsidRDefault="00000000">
            <w:pPr>
              <w:jc w:val="center"/>
            </w:pPr>
            <w:r>
              <w:t>27,9</w:t>
            </w:r>
          </w:p>
        </w:tc>
      </w:tr>
      <w:tr w:rsidR="00000000">
        <w:tc>
          <w:tcPr>
            <w:tcW w:w="1612" w:type="pct"/>
            <w:vAlign w:val="bottom"/>
          </w:tcPr>
          <w:p w:rsidR="00000000" w:rsidRDefault="00000000">
            <w:r>
              <w:t>20 o más</w:t>
            </w:r>
          </w:p>
        </w:tc>
        <w:tc>
          <w:tcPr>
            <w:tcW w:w="423" w:type="pct"/>
            <w:vAlign w:val="bottom"/>
          </w:tcPr>
          <w:p w:rsidR="00000000" w:rsidRDefault="00000000">
            <w:pPr>
              <w:tabs>
                <w:tab w:val="decimal" w:pos="416"/>
              </w:tabs>
            </w:pPr>
            <w:r>
              <w:t>100</w:t>
            </w:r>
          </w:p>
        </w:tc>
        <w:tc>
          <w:tcPr>
            <w:tcW w:w="423" w:type="pct"/>
            <w:vAlign w:val="bottom"/>
          </w:tcPr>
          <w:p w:rsidR="00000000" w:rsidRDefault="00000000">
            <w:pPr>
              <w:jc w:val="center"/>
            </w:pPr>
            <w:r>
              <w:t>90,4</w:t>
            </w:r>
          </w:p>
        </w:tc>
        <w:tc>
          <w:tcPr>
            <w:tcW w:w="423" w:type="pct"/>
            <w:vAlign w:val="bottom"/>
          </w:tcPr>
          <w:p w:rsidR="00000000" w:rsidRDefault="00000000">
            <w:pPr>
              <w:tabs>
                <w:tab w:val="decimal" w:pos="372"/>
              </w:tabs>
            </w:pPr>
            <w:r>
              <w:t>80,4</w:t>
            </w:r>
          </w:p>
        </w:tc>
        <w:tc>
          <w:tcPr>
            <w:tcW w:w="423" w:type="pct"/>
            <w:vAlign w:val="bottom"/>
          </w:tcPr>
          <w:p w:rsidR="00000000" w:rsidRDefault="00000000">
            <w:pPr>
              <w:jc w:val="center"/>
            </w:pPr>
            <w:r>
              <w:t>70,3</w:t>
            </w:r>
          </w:p>
        </w:tc>
        <w:tc>
          <w:tcPr>
            <w:tcW w:w="423" w:type="pct"/>
            <w:vAlign w:val="bottom"/>
          </w:tcPr>
          <w:p w:rsidR="00000000" w:rsidRDefault="00000000">
            <w:pPr>
              <w:tabs>
                <w:tab w:val="decimal" w:pos="372"/>
              </w:tabs>
            </w:pPr>
            <w:r>
              <w:t>60,3</w:t>
            </w:r>
          </w:p>
        </w:tc>
        <w:tc>
          <w:tcPr>
            <w:tcW w:w="423" w:type="pct"/>
            <w:vAlign w:val="bottom"/>
          </w:tcPr>
          <w:p w:rsidR="00000000" w:rsidRDefault="00000000">
            <w:pPr>
              <w:jc w:val="center"/>
            </w:pPr>
            <w:r>
              <w:t>50,2</w:t>
            </w:r>
          </w:p>
        </w:tc>
        <w:tc>
          <w:tcPr>
            <w:tcW w:w="423" w:type="pct"/>
            <w:vAlign w:val="bottom"/>
          </w:tcPr>
          <w:p w:rsidR="00000000" w:rsidRDefault="00000000">
            <w:pPr>
              <w:tabs>
                <w:tab w:val="decimal" w:pos="372"/>
              </w:tabs>
            </w:pPr>
            <w:r>
              <w:t>40,2</w:t>
            </w:r>
          </w:p>
        </w:tc>
        <w:tc>
          <w:tcPr>
            <w:tcW w:w="426" w:type="pct"/>
            <w:vAlign w:val="bottom"/>
          </w:tcPr>
          <w:p w:rsidR="00000000" w:rsidRDefault="00000000">
            <w:pPr>
              <w:jc w:val="center"/>
            </w:pPr>
            <w:r>
              <w:t>30,1</w:t>
            </w:r>
          </w:p>
        </w:tc>
      </w:tr>
    </w:tbl>
    <w:p w:rsidR="00000000" w:rsidRDefault="00000000">
      <w:pPr>
        <w:spacing w:before="480" w:after="240"/>
        <w:ind w:left="1134" w:hanging="567"/>
      </w:pPr>
      <w:r>
        <w:rPr>
          <w:bCs/>
        </w:rPr>
        <w:t>10.</w:t>
      </w:r>
      <w:r>
        <w:rPr>
          <w:bCs/>
        </w:rPr>
        <w:tab/>
      </w:r>
      <w:r>
        <w:rPr>
          <w:b/>
        </w:rPr>
        <w:t xml:space="preserve">Seguro de sobrevivientes o de derechohabientes.  </w:t>
      </w:r>
      <w:r>
        <w:t>En caso de fallecimiento de un jubilado, o de un asegurado activo, que hubiera adquirido derechos a una jubilación, o que acreditare un mínimo de 750 semanas de aportes sin tener la edad mínima para su jubilación, o que fallezca a consecuencia de un accidente del trabajo o enfermedad profesional, los familiares sobrevivientes tendrán derecho a percibir en concepto de pensión el 60% del importe de la jubilación que disfrutaba o que le hubiera correspondido al causante, en orden excluyente:</w:t>
      </w:r>
    </w:p>
    <w:p w:rsidR="00000000" w:rsidRDefault="00000000">
      <w:pPr>
        <w:spacing w:after="240"/>
        <w:ind w:left="1701" w:hanging="567"/>
      </w:pPr>
      <w:r>
        <w:t>a)</w:t>
      </w:r>
      <w:r>
        <w:tab/>
        <w:t>La viuda o concubina o viudo o concubino en concurrencia con los hijos solteros hasta la mayoría de edad, y los incapacitados y declarados tales por una junta médica del Instituto, en cuyo caso la mitad de la pensión corresponderá a la viuda o concubina o viudo o concubino, y la otra mitad a los citados hijos por partes iguales.</w:t>
      </w:r>
    </w:p>
    <w:p w:rsidR="00000000" w:rsidRDefault="00000000">
      <w:pPr>
        <w:spacing w:after="240"/>
        <w:ind w:left="1701" w:hanging="567"/>
      </w:pPr>
      <w:r>
        <w:t>b)</w:t>
      </w:r>
      <w:r>
        <w:tab/>
        <w:t>La viuda o concubina o viudo o concubino menor de 40 años de edad, le corresponderá una indemnización equivalente a 3 anualidades de la pensión que le hubiera correspondido.</w:t>
      </w:r>
    </w:p>
    <w:p w:rsidR="00000000" w:rsidRDefault="00000000">
      <w:pPr>
        <w:spacing w:after="240"/>
        <w:ind w:left="1701" w:hanging="567"/>
      </w:pPr>
      <w:r>
        <w:t>c)</w:t>
      </w:r>
      <w:r>
        <w:tab/>
        <w:t>Los hijos huérfanos hasta la mayoría de edad; los incapacitados y declarados tales por una junta médica del Instituto, por partes iguales, la totalidad de la pensión.</w:t>
      </w:r>
    </w:p>
    <w:p w:rsidR="00000000" w:rsidRDefault="00000000">
      <w:pPr>
        <w:spacing w:after="240"/>
        <w:ind w:left="1701" w:hanging="567"/>
      </w:pPr>
      <w:r>
        <w:t>d)</w:t>
      </w:r>
      <w:r>
        <w:tab/>
        <w:t>Los padres, siempre que hayan vivido bajo la protección del causante, en partes iguales.  De sobrevivir uno de ellos, recibirá la totalidad de la pensión.</w:t>
      </w:r>
    </w:p>
    <w:p w:rsidR="00000000" w:rsidRDefault="00000000">
      <w:pPr>
        <w:spacing w:after="240"/>
        <w:ind w:left="1134"/>
      </w:pPr>
      <w:r>
        <w:t>Las pensiones indicadas en los incisos a) y c), acrecerán proporcionalmente a medida que los beneficiarios concurrentes dejen de tener derecho a ellos.</w:t>
      </w:r>
    </w:p>
    <w:p w:rsidR="00000000" w:rsidRDefault="00000000">
      <w:pPr>
        <w:spacing w:after="240"/>
        <w:ind w:left="1134"/>
      </w:pPr>
      <w:r>
        <w:t>El derecho de percibir la pensión se adquiere desde la fecha del fallecimiento del asegurado o de la asegurada, y se extinguirá si la viuda o concubina o viudo o concubino, contrae matrimonio o viviere en concubinato; recibirán en tales casos por una única vez la suma equivalente a dos anualidades de la pensión.  La pensión a los hijos incapacitados se pagará mientras dure la incapacidad de los mismos.</w:t>
      </w:r>
    </w:p>
    <w:p w:rsidR="00000000" w:rsidRDefault="00000000">
      <w:pPr>
        <w:autoSpaceDE w:val="0"/>
        <w:autoSpaceDN w:val="0"/>
        <w:adjustRightInd w:val="0"/>
        <w:spacing w:after="240"/>
      </w:pPr>
      <w:r>
        <w:t>261.</w:t>
      </w:r>
      <w:r>
        <w:tab/>
        <w:t>Para que la concubina o el concubino tenga derecho a la pensión debe haber vivido voluntariamente en relación de pública notoriedad, estable y singular, como mínimo durante dos años si tuvieren hijos comunes y cinco años si no los tuvieren, y además estar inscripta o inscripto en los registros del Instituto antes del fallecimiento del asegurado o asegurada.</w:t>
      </w:r>
    </w:p>
    <w:p w:rsidR="00000000" w:rsidRDefault="00000000">
      <w:pPr>
        <w:spacing w:after="240"/>
        <w:ind w:left="1134" w:hanging="567"/>
      </w:pPr>
      <w:r>
        <w:rPr>
          <w:bCs/>
        </w:rPr>
        <w:t>11.</w:t>
      </w:r>
      <w:r>
        <w:rPr>
          <w:bCs/>
        </w:rPr>
        <w:tab/>
      </w:r>
      <w:r>
        <w:rPr>
          <w:b/>
        </w:rPr>
        <w:t xml:space="preserve">Muerte del asegurado.  </w:t>
      </w:r>
      <w:r>
        <w:t>En caso de muerte de un asegurado, el Instituto de Previsión Social concederá las siguientes prestaciones:</w:t>
      </w:r>
    </w:p>
    <w:p w:rsidR="00000000" w:rsidRDefault="00000000">
      <w:pPr>
        <w:spacing w:after="240"/>
        <w:ind w:left="1701" w:hanging="567"/>
      </w:pPr>
      <w:r>
        <w:t>a)</w:t>
      </w:r>
      <w:r>
        <w:tab/>
        <w:t>Cuando el asegurado fallecido tuviere menos de 750 semanas de aportes, se otorgará a sus herederos o beneficiarios, un subsidio en dinero por una sola vez equivalente a un mes de salario por cada año de antigüedad que tuviere el asegurado.  A dicho efecto se tomará como base el salario mínimo legal vigente para actividades diversas no especificadas en la capital de la República, y el pago se realizará en la proporción establecida en el articulo 62 de esta ley; y</w:t>
      </w:r>
    </w:p>
    <w:p w:rsidR="00000000" w:rsidRDefault="00000000">
      <w:pPr>
        <w:spacing w:after="240"/>
        <w:ind w:left="1701" w:hanging="567"/>
      </w:pPr>
      <w:r>
        <w:t>b)</w:t>
      </w:r>
      <w:r>
        <w:tab/>
        <w:t>Si no existiere heredero o beneficiario, se abonará a quien o quienes justifiquen haber realizado los gastos fúnebres correspondientes, hasta un monto equivalente a 75 jornales mínimos establecidos para actividades diversas no especificadas en la capital de la República.  Cuando posteriormente apareciera algún heredero o beneficiario, el monto de los gastos se descontará de la pensión o del subsidio, en su caso.</w:t>
      </w:r>
    </w:p>
    <w:p w:rsidR="00000000" w:rsidRDefault="00000000">
      <w:pPr>
        <w:spacing w:after="240"/>
        <w:jc w:val="center"/>
        <w:rPr>
          <w:b/>
        </w:rPr>
      </w:pPr>
      <w:r>
        <w:rPr>
          <w:b/>
        </w:rPr>
        <w:t>A.  Cantidad de asegurados</w:t>
      </w:r>
    </w:p>
    <w:p w:rsidR="00000000" w:rsidRDefault="00000000">
      <w:pPr>
        <w:autoSpaceDE w:val="0"/>
        <w:autoSpaceDN w:val="0"/>
        <w:adjustRightInd w:val="0"/>
        <w:spacing w:after="240"/>
        <w:rPr>
          <w:b/>
          <w:bCs/>
        </w:rPr>
      </w:pPr>
      <w:r>
        <w:t>262.</w:t>
      </w:r>
      <w:r>
        <w:tab/>
        <w:t>El total de asegurados titulares de todos los regímenes (general, magisterio, docente jubilado, no contributivo, servicio doméstico y pasivos del Instituto de Previsión Social) es de aproximadamente 375.000 personas; con los respectivos grupos familiares, la población total asegurada llega a 1.200.000 personas.  En el Paraguay no existe seguro de desempleo.</w:t>
      </w:r>
    </w:p>
    <w:p w:rsidR="00000000" w:rsidRDefault="00000000">
      <w:pPr>
        <w:keepNext/>
        <w:spacing w:after="240"/>
        <w:jc w:val="center"/>
      </w:pPr>
      <w:r>
        <w:rPr>
          <w:b/>
        </w:rPr>
        <w:t>B.  Métodos de financiación</w:t>
      </w:r>
    </w:p>
    <w:p w:rsidR="00000000" w:rsidRDefault="00000000">
      <w:pPr>
        <w:autoSpaceDE w:val="0"/>
        <w:autoSpaceDN w:val="0"/>
        <w:adjustRightInd w:val="0"/>
        <w:spacing w:after="240"/>
      </w:pPr>
      <w:r>
        <w:t>263.</w:t>
      </w:r>
      <w:r>
        <w:tab/>
        <w:t>La financiación de las prestaciones asistenciales de salud de corto plazo se financia mediante un sistema de reparto solidario puro.  La financiación de los beneficios de largo plazo (jubilaciones, pensiones) se financia mediante un sistema de capitalización colectiva, de beneficios definidos, y con la rentabilidad de las reservas técnicas.</w:t>
      </w:r>
    </w:p>
    <w:p w:rsidR="00000000" w:rsidRDefault="00000000">
      <w:pPr>
        <w:pStyle w:val="BodyText2"/>
        <w:spacing w:after="240" w:line="240" w:lineRule="auto"/>
        <w:jc w:val="center"/>
        <w:rPr>
          <w:b/>
        </w:rPr>
      </w:pPr>
      <w:r>
        <w:rPr>
          <w:b/>
          <w:iCs/>
        </w:rPr>
        <w:t>Porcentaje del PIB y p</w:t>
      </w:r>
      <w:r>
        <w:rPr>
          <w:b/>
        </w:rPr>
        <w:t>resupuesto general de gastos</w:t>
      </w:r>
      <w:r>
        <w:rPr>
          <w:b/>
        </w:rPr>
        <w:br/>
        <w:t>de la nacional destinado al seguro social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2"/>
        <w:gridCol w:w="1880"/>
        <w:gridCol w:w="2110"/>
        <w:gridCol w:w="2037"/>
        <w:gridCol w:w="1194"/>
        <w:gridCol w:w="1381"/>
      </w:tblGrid>
      <w:tr w:rsidR="00000000">
        <w:tblPrEx>
          <w:tblCellMar>
            <w:top w:w="0" w:type="dxa"/>
            <w:bottom w:w="0" w:type="dxa"/>
          </w:tblCellMar>
        </w:tblPrEx>
        <w:trPr>
          <w:cantSplit/>
          <w:tblHeader/>
        </w:trPr>
        <w:tc>
          <w:tcPr>
            <w:tcW w:w="833" w:type="pct"/>
            <w:vMerge w:val="restart"/>
            <w:vAlign w:val="center"/>
          </w:tcPr>
          <w:p w:rsidR="00000000" w:rsidRDefault="00000000">
            <w:pPr>
              <w:jc w:val="center"/>
              <w:rPr>
                <w:b/>
                <w:lang w:eastAsia="es-ES"/>
              </w:rPr>
            </w:pPr>
            <w:r>
              <w:rPr>
                <w:b/>
              </w:rPr>
              <w:br w:type="page"/>
            </w:r>
            <w:r>
              <w:rPr>
                <w:b/>
                <w:lang w:eastAsia="es-ES"/>
              </w:rPr>
              <w:t>Años</w:t>
            </w:r>
          </w:p>
        </w:tc>
        <w:tc>
          <w:tcPr>
            <w:tcW w:w="1353" w:type="pct"/>
            <w:vMerge w:val="restart"/>
            <w:vAlign w:val="center"/>
          </w:tcPr>
          <w:p w:rsidR="00000000" w:rsidRDefault="00000000">
            <w:pPr>
              <w:jc w:val="center"/>
              <w:rPr>
                <w:b/>
                <w:lang w:val="es-MX" w:eastAsia="es-ES"/>
              </w:rPr>
            </w:pPr>
            <w:r>
              <w:rPr>
                <w:b/>
                <w:lang w:val="es-MX" w:eastAsia="es-ES"/>
              </w:rPr>
              <w:t>PIB total (millones de guaraníes corrientes)</w:t>
            </w:r>
          </w:p>
        </w:tc>
        <w:tc>
          <w:tcPr>
            <w:tcW w:w="734" w:type="pct"/>
            <w:vMerge w:val="restart"/>
            <w:vAlign w:val="center"/>
          </w:tcPr>
          <w:p w:rsidR="00000000" w:rsidRDefault="00000000">
            <w:pPr>
              <w:jc w:val="center"/>
              <w:rPr>
                <w:b/>
                <w:lang w:val="es-MX" w:eastAsia="es-ES"/>
              </w:rPr>
            </w:pPr>
            <w:r>
              <w:rPr>
                <w:b/>
                <w:lang w:val="es-MX" w:eastAsia="es-ES"/>
              </w:rPr>
              <w:t>Presupuesto nacional</w:t>
            </w:r>
            <w:r>
              <w:rPr>
                <w:b/>
                <w:vertAlign w:val="superscript"/>
                <w:lang w:val="es-MX" w:eastAsia="es-ES"/>
              </w:rPr>
              <w:t>1</w:t>
            </w:r>
          </w:p>
        </w:tc>
        <w:tc>
          <w:tcPr>
            <w:tcW w:w="695" w:type="pct"/>
            <w:vMerge w:val="restart"/>
            <w:vAlign w:val="center"/>
          </w:tcPr>
          <w:p w:rsidR="00000000" w:rsidRDefault="00000000">
            <w:pPr>
              <w:jc w:val="center"/>
              <w:rPr>
                <w:b/>
                <w:lang w:val="es-MX" w:eastAsia="es-ES"/>
              </w:rPr>
            </w:pPr>
            <w:r>
              <w:rPr>
                <w:b/>
                <w:lang w:val="es-MX" w:eastAsia="es-ES"/>
              </w:rPr>
              <w:t>Seguridad social</w:t>
            </w:r>
            <w:r>
              <w:rPr>
                <w:b/>
                <w:vertAlign w:val="superscript"/>
                <w:lang w:val="es-MX" w:eastAsia="es-ES"/>
              </w:rPr>
              <w:t>2</w:t>
            </w:r>
          </w:p>
        </w:tc>
        <w:tc>
          <w:tcPr>
            <w:tcW w:w="657" w:type="pct"/>
            <w:vAlign w:val="center"/>
          </w:tcPr>
          <w:p w:rsidR="00000000" w:rsidRDefault="00000000">
            <w:pPr>
              <w:jc w:val="center"/>
              <w:rPr>
                <w:b/>
                <w:lang w:val="es-MX" w:eastAsia="es-ES"/>
              </w:rPr>
            </w:pPr>
            <w:r>
              <w:rPr>
                <w:b/>
                <w:lang w:val="es-MX" w:eastAsia="es-ES"/>
              </w:rPr>
              <w:t>Seguridad social/PIB</w:t>
            </w:r>
          </w:p>
        </w:tc>
        <w:tc>
          <w:tcPr>
            <w:tcW w:w="728" w:type="pct"/>
            <w:vAlign w:val="center"/>
          </w:tcPr>
          <w:p w:rsidR="00000000" w:rsidRDefault="00000000">
            <w:pPr>
              <w:jc w:val="center"/>
              <w:rPr>
                <w:b/>
                <w:lang w:val="es-MX" w:eastAsia="es-ES"/>
              </w:rPr>
            </w:pPr>
            <w:r>
              <w:rPr>
                <w:b/>
                <w:lang w:val="es-MX" w:eastAsia="es-ES"/>
              </w:rPr>
              <w:t>Seguridad social/ presupuesto</w:t>
            </w:r>
          </w:p>
        </w:tc>
      </w:tr>
      <w:tr w:rsidR="00000000">
        <w:tblPrEx>
          <w:tblCellMar>
            <w:top w:w="0" w:type="dxa"/>
            <w:bottom w:w="0" w:type="dxa"/>
          </w:tblCellMar>
        </w:tblPrEx>
        <w:trPr>
          <w:cantSplit/>
          <w:tblHeader/>
        </w:trPr>
        <w:tc>
          <w:tcPr>
            <w:tcW w:w="833" w:type="pct"/>
            <w:vMerge/>
            <w:vAlign w:val="center"/>
          </w:tcPr>
          <w:p w:rsidR="00000000" w:rsidRDefault="00000000">
            <w:pPr>
              <w:jc w:val="center"/>
              <w:rPr>
                <w:bCs/>
                <w:lang w:val="es-MX" w:eastAsia="es-ES"/>
              </w:rPr>
            </w:pPr>
          </w:p>
        </w:tc>
        <w:tc>
          <w:tcPr>
            <w:tcW w:w="1353" w:type="pct"/>
            <w:vMerge/>
            <w:vAlign w:val="center"/>
          </w:tcPr>
          <w:p w:rsidR="00000000" w:rsidRDefault="00000000">
            <w:pPr>
              <w:jc w:val="center"/>
              <w:rPr>
                <w:bCs/>
                <w:lang w:val="es-MX" w:eastAsia="es-ES"/>
              </w:rPr>
            </w:pPr>
          </w:p>
        </w:tc>
        <w:tc>
          <w:tcPr>
            <w:tcW w:w="734" w:type="pct"/>
            <w:vMerge/>
            <w:vAlign w:val="center"/>
          </w:tcPr>
          <w:p w:rsidR="00000000" w:rsidRDefault="00000000">
            <w:pPr>
              <w:jc w:val="center"/>
              <w:rPr>
                <w:bCs/>
                <w:lang w:val="es-MX" w:eastAsia="es-ES"/>
              </w:rPr>
            </w:pPr>
          </w:p>
        </w:tc>
        <w:tc>
          <w:tcPr>
            <w:tcW w:w="695" w:type="pct"/>
            <w:vMerge/>
            <w:vAlign w:val="center"/>
          </w:tcPr>
          <w:p w:rsidR="00000000" w:rsidRDefault="00000000">
            <w:pPr>
              <w:jc w:val="center"/>
              <w:rPr>
                <w:bCs/>
                <w:lang w:val="es-MX" w:eastAsia="es-ES"/>
              </w:rPr>
            </w:pPr>
          </w:p>
        </w:tc>
        <w:tc>
          <w:tcPr>
            <w:tcW w:w="1385" w:type="pct"/>
            <w:gridSpan w:val="2"/>
            <w:vAlign w:val="center"/>
          </w:tcPr>
          <w:p w:rsidR="00000000" w:rsidRDefault="00000000">
            <w:pPr>
              <w:jc w:val="center"/>
              <w:rPr>
                <w:b/>
                <w:lang w:val="es-MX" w:eastAsia="es-ES"/>
              </w:rPr>
            </w:pPr>
            <w:r>
              <w:rPr>
                <w:b/>
                <w:lang w:val="es-MX" w:eastAsia="es-ES"/>
              </w:rPr>
              <w:t>Porcentaje</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1994</w:t>
            </w:r>
          </w:p>
        </w:tc>
        <w:tc>
          <w:tcPr>
            <w:tcW w:w="1353" w:type="pct"/>
          </w:tcPr>
          <w:p w:rsidR="00000000" w:rsidRDefault="00000000">
            <w:pPr>
              <w:jc w:val="center"/>
              <w:rPr>
                <w:bCs/>
                <w:lang w:val="es-MX" w:eastAsia="es-ES"/>
              </w:rPr>
            </w:pPr>
            <w:r>
              <w:rPr>
                <w:bCs/>
                <w:lang w:val="es-MX" w:eastAsia="es-ES"/>
              </w:rPr>
              <w:t>13.220.624</w:t>
            </w:r>
          </w:p>
        </w:tc>
        <w:tc>
          <w:tcPr>
            <w:tcW w:w="734" w:type="pct"/>
          </w:tcPr>
          <w:p w:rsidR="00000000" w:rsidRDefault="00000000">
            <w:pPr>
              <w:tabs>
                <w:tab w:val="decimal" w:pos="1130"/>
              </w:tabs>
              <w:rPr>
                <w:bCs/>
                <w:lang w:val="es-MX" w:eastAsia="es-ES"/>
              </w:rPr>
            </w:pPr>
            <w:r>
              <w:rPr>
                <w:bCs/>
                <w:lang w:val="es-MX" w:eastAsia="es-ES"/>
              </w:rPr>
              <w:t>2.253.329</w:t>
            </w:r>
          </w:p>
        </w:tc>
        <w:tc>
          <w:tcPr>
            <w:tcW w:w="695" w:type="pct"/>
          </w:tcPr>
          <w:p w:rsidR="00000000" w:rsidRDefault="00000000">
            <w:pPr>
              <w:tabs>
                <w:tab w:val="decimal" w:pos="1056"/>
              </w:tabs>
              <w:rPr>
                <w:bCs/>
                <w:lang w:val="es-MX" w:eastAsia="es-ES"/>
              </w:rPr>
            </w:pPr>
            <w:r>
              <w:rPr>
                <w:bCs/>
                <w:lang w:val="es-MX" w:eastAsia="es-ES"/>
              </w:rPr>
              <w:t>18.435</w:t>
            </w:r>
          </w:p>
        </w:tc>
        <w:tc>
          <w:tcPr>
            <w:tcW w:w="657" w:type="pct"/>
          </w:tcPr>
          <w:p w:rsidR="00000000" w:rsidRDefault="00000000">
            <w:pPr>
              <w:jc w:val="center"/>
              <w:rPr>
                <w:bCs/>
                <w:lang w:val="es-MX" w:eastAsia="es-ES"/>
              </w:rPr>
            </w:pPr>
            <w:r>
              <w:rPr>
                <w:bCs/>
                <w:lang w:val="es-MX" w:eastAsia="es-ES"/>
              </w:rPr>
              <w:t>0,14</w:t>
            </w:r>
          </w:p>
        </w:tc>
        <w:tc>
          <w:tcPr>
            <w:tcW w:w="728" w:type="pct"/>
          </w:tcPr>
          <w:p w:rsidR="00000000" w:rsidRDefault="00000000">
            <w:pPr>
              <w:tabs>
                <w:tab w:val="decimal" w:pos="634"/>
              </w:tabs>
              <w:rPr>
                <w:bCs/>
                <w:lang w:val="es-MX" w:eastAsia="es-ES"/>
              </w:rPr>
            </w:pPr>
            <w:r>
              <w:rPr>
                <w:bCs/>
                <w:lang w:val="es-MX" w:eastAsia="es-ES"/>
              </w:rPr>
              <w:t>0,82</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1995</w:t>
            </w:r>
          </w:p>
        </w:tc>
        <w:tc>
          <w:tcPr>
            <w:tcW w:w="1353" w:type="pct"/>
          </w:tcPr>
          <w:p w:rsidR="00000000" w:rsidRDefault="00000000">
            <w:pPr>
              <w:jc w:val="center"/>
              <w:rPr>
                <w:bCs/>
                <w:lang w:val="es-MX" w:eastAsia="es-ES"/>
              </w:rPr>
            </w:pPr>
            <w:r>
              <w:rPr>
                <w:bCs/>
                <w:lang w:val="es-MX" w:eastAsia="es-ES"/>
              </w:rPr>
              <w:t>15.833.186</w:t>
            </w:r>
          </w:p>
        </w:tc>
        <w:tc>
          <w:tcPr>
            <w:tcW w:w="734" w:type="pct"/>
          </w:tcPr>
          <w:p w:rsidR="00000000" w:rsidRDefault="00000000">
            <w:pPr>
              <w:tabs>
                <w:tab w:val="decimal" w:pos="1130"/>
              </w:tabs>
              <w:rPr>
                <w:bCs/>
                <w:lang w:val="es-MX" w:eastAsia="es-ES"/>
              </w:rPr>
            </w:pPr>
            <w:r>
              <w:rPr>
                <w:bCs/>
                <w:lang w:val="es-MX" w:eastAsia="es-ES"/>
              </w:rPr>
              <w:t>3.042.601</w:t>
            </w:r>
          </w:p>
        </w:tc>
        <w:tc>
          <w:tcPr>
            <w:tcW w:w="695" w:type="pct"/>
          </w:tcPr>
          <w:p w:rsidR="00000000" w:rsidRDefault="00000000">
            <w:pPr>
              <w:tabs>
                <w:tab w:val="decimal" w:pos="1056"/>
              </w:tabs>
              <w:rPr>
                <w:bCs/>
                <w:lang w:val="es-MX" w:eastAsia="es-ES"/>
              </w:rPr>
            </w:pPr>
            <w:r>
              <w:rPr>
                <w:bCs/>
                <w:lang w:val="es-MX" w:eastAsia="es-ES"/>
              </w:rPr>
              <w:t>32.169</w:t>
            </w:r>
          </w:p>
        </w:tc>
        <w:tc>
          <w:tcPr>
            <w:tcW w:w="657" w:type="pct"/>
          </w:tcPr>
          <w:p w:rsidR="00000000" w:rsidRDefault="00000000">
            <w:pPr>
              <w:jc w:val="center"/>
              <w:rPr>
                <w:bCs/>
                <w:lang w:val="es-MX" w:eastAsia="es-ES"/>
              </w:rPr>
            </w:pPr>
            <w:r>
              <w:rPr>
                <w:bCs/>
                <w:lang w:val="es-MX" w:eastAsia="es-ES"/>
              </w:rPr>
              <w:t>0,20</w:t>
            </w:r>
          </w:p>
        </w:tc>
        <w:tc>
          <w:tcPr>
            <w:tcW w:w="728" w:type="pct"/>
          </w:tcPr>
          <w:p w:rsidR="00000000" w:rsidRDefault="00000000">
            <w:pPr>
              <w:tabs>
                <w:tab w:val="decimal" w:pos="634"/>
              </w:tabs>
              <w:rPr>
                <w:bCs/>
                <w:lang w:val="es-MX" w:eastAsia="es-ES"/>
              </w:rPr>
            </w:pPr>
            <w:r>
              <w:rPr>
                <w:bCs/>
                <w:lang w:val="es-MX" w:eastAsia="es-ES"/>
              </w:rPr>
              <w:t>1,06</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1996</w:t>
            </w:r>
          </w:p>
        </w:tc>
        <w:tc>
          <w:tcPr>
            <w:tcW w:w="1353" w:type="pct"/>
          </w:tcPr>
          <w:p w:rsidR="00000000" w:rsidRDefault="00000000">
            <w:pPr>
              <w:jc w:val="center"/>
              <w:rPr>
                <w:bCs/>
                <w:lang w:val="es-MX" w:eastAsia="es-ES"/>
              </w:rPr>
            </w:pPr>
            <w:r>
              <w:rPr>
                <w:bCs/>
                <w:lang w:val="es-MX" w:eastAsia="es-ES"/>
              </w:rPr>
              <w:t>18.004.374</w:t>
            </w:r>
          </w:p>
        </w:tc>
        <w:tc>
          <w:tcPr>
            <w:tcW w:w="734" w:type="pct"/>
          </w:tcPr>
          <w:p w:rsidR="00000000" w:rsidRDefault="00000000">
            <w:pPr>
              <w:tabs>
                <w:tab w:val="decimal" w:pos="1130"/>
              </w:tabs>
              <w:rPr>
                <w:bCs/>
                <w:lang w:val="es-MX" w:eastAsia="es-ES"/>
              </w:rPr>
            </w:pPr>
            <w:r>
              <w:rPr>
                <w:bCs/>
                <w:lang w:val="es-MX" w:eastAsia="es-ES"/>
              </w:rPr>
              <w:t>3.416.260</w:t>
            </w:r>
          </w:p>
        </w:tc>
        <w:tc>
          <w:tcPr>
            <w:tcW w:w="695" w:type="pct"/>
          </w:tcPr>
          <w:p w:rsidR="00000000" w:rsidRDefault="00000000">
            <w:pPr>
              <w:tabs>
                <w:tab w:val="decimal" w:pos="1056"/>
              </w:tabs>
              <w:rPr>
                <w:bCs/>
                <w:lang w:val="es-MX" w:eastAsia="es-ES"/>
              </w:rPr>
            </w:pPr>
            <w:r>
              <w:rPr>
                <w:bCs/>
                <w:lang w:val="es-MX" w:eastAsia="es-ES"/>
              </w:rPr>
              <w:t>28.217</w:t>
            </w:r>
          </w:p>
        </w:tc>
        <w:tc>
          <w:tcPr>
            <w:tcW w:w="657" w:type="pct"/>
          </w:tcPr>
          <w:p w:rsidR="00000000" w:rsidRDefault="00000000">
            <w:pPr>
              <w:jc w:val="center"/>
              <w:rPr>
                <w:bCs/>
                <w:lang w:val="es-MX" w:eastAsia="es-ES"/>
              </w:rPr>
            </w:pPr>
            <w:r>
              <w:rPr>
                <w:bCs/>
                <w:lang w:val="es-MX" w:eastAsia="es-ES"/>
              </w:rPr>
              <w:t>0,16</w:t>
            </w:r>
          </w:p>
        </w:tc>
        <w:tc>
          <w:tcPr>
            <w:tcW w:w="728" w:type="pct"/>
          </w:tcPr>
          <w:p w:rsidR="00000000" w:rsidRDefault="00000000">
            <w:pPr>
              <w:tabs>
                <w:tab w:val="decimal" w:pos="634"/>
              </w:tabs>
              <w:rPr>
                <w:bCs/>
                <w:lang w:val="es-MX" w:eastAsia="es-ES"/>
              </w:rPr>
            </w:pPr>
            <w:r>
              <w:rPr>
                <w:bCs/>
                <w:lang w:val="es-MX" w:eastAsia="es-ES"/>
              </w:rPr>
              <w:t>0,83</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1997</w:t>
            </w:r>
          </w:p>
        </w:tc>
        <w:tc>
          <w:tcPr>
            <w:tcW w:w="1353" w:type="pct"/>
          </w:tcPr>
          <w:p w:rsidR="00000000" w:rsidRDefault="00000000">
            <w:pPr>
              <w:jc w:val="center"/>
              <w:rPr>
                <w:bCs/>
                <w:lang w:val="es-MX" w:eastAsia="es-ES"/>
              </w:rPr>
            </w:pPr>
            <w:r>
              <w:rPr>
                <w:bCs/>
                <w:lang w:val="es-MX" w:eastAsia="es-ES"/>
              </w:rPr>
              <w:t>19.322.537</w:t>
            </w:r>
          </w:p>
        </w:tc>
        <w:tc>
          <w:tcPr>
            <w:tcW w:w="734" w:type="pct"/>
          </w:tcPr>
          <w:p w:rsidR="00000000" w:rsidRDefault="00000000">
            <w:pPr>
              <w:tabs>
                <w:tab w:val="decimal" w:pos="1130"/>
              </w:tabs>
              <w:rPr>
                <w:bCs/>
                <w:lang w:val="es-MX" w:eastAsia="es-ES"/>
              </w:rPr>
            </w:pPr>
            <w:r>
              <w:rPr>
                <w:bCs/>
                <w:lang w:val="es-MX" w:eastAsia="es-ES"/>
              </w:rPr>
              <w:t>9.896.024</w:t>
            </w:r>
          </w:p>
        </w:tc>
        <w:tc>
          <w:tcPr>
            <w:tcW w:w="695" w:type="pct"/>
          </w:tcPr>
          <w:p w:rsidR="00000000" w:rsidRDefault="00000000">
            <w:pPr>
              <w:tabs>
                <w:tab w:val="decimal" w:pos="1056"/>
              </w:tabs>
              <w:rPr>
                <w:bCs/>
                <w:lang w:val="es-MX" w:eastAsia="es-ES"/>
              </w:rPr>
            </w:pPr>
            <w:r>
              <w:rPr>
                <w:bCs/>
                <w:lang w:val="es-MX" w:eastAsia="es-ES"/>
              </w:rPr>
              <w:t>230.510</w:t>
            </w:r>
          </w:p>
        </w:tc>
        <w:tc>
          <w:tcPr>
            <w:tcW w:w="657" w:type="pct"/>
          </w:tcPr>
          <w:p w:rsidR="00000000" w:rsidRDefault="00000000">
            <w:pPr>
              <w:jc w:val="center"/>
              <w:rPr>
                <w:bCs/>
                <w:lang w:val="es-MX" w:eastAsia="es-ES"/>
              </w:rPr>
            </w:pPr>
            <w:r>
              <w:rPr>
                <w:bCs/>
                <w:lang w:val="es-MX" w:eastAsia="es-ES"/>
              </w:rPr>
              <w:t>1,19</w:t>
            </w:r>
          </w:p>
        </w:tc>
        <w:tc>
          <w:tcPr>
            <w:tcW w:w="728" w:type="pct"/>
          </w:tcPr>
          <w:p w:rsidR="00000000" w:rsidRDefault="00000000">
            <w:pPr>
              <w:tabs>
                <w:tab w:val="decimal" w:pos="634"/>
              </w:tabs>
              <w:rPr>
                <w:bCs/>
                <w:lang w:val="es-MX" w:eastAsia="es-ES"/>
              </w:rPr>
            </w:pPr>
            <w:r>
              <w:rPr>
                <w:bCs/>
                <w:lang w:val="es-MX" w:eastAsia="es-ES"/>
              </w:rPr>
              <w:t>2,33</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1998</w:t>
            </w:r>
          </w:p>
        </w:tc>
        <w:tc>
          <w:tcPr>
            <w:tcW w:w="1353" w:type="pct"/>
          </w:tcPr>
          <w:p w:rsidR="00000000" w:rsidRDefault="00000000">
            <w:pPr>
              <w:jc w:val="center"/>
              <w:rPr>
                <w:bCs/>
                <w:lang w:val="es-MX" w:eastAsia="es-ES"/>
              </w:rPr>
            </w:pPr>
            <w:r>
              <w:rPr>
                <w:bCs/>
                <w:lang w:val="es-MX" w:eastAsia="es-ES"/>
              </w:rPr>
              <w:t>21.580.611</w:t>
            </w:r>
          </w:p>
        </w:tc>
        <w:tc>
          <w:tcPr>
            <w:tcW w:w="734" w:type="pct"/>
          </w:tcPr>
          <w:p w:rsidR="00000000" w:rsidRDefault="00000000">
            <w:pPr>
              <w:tabs>
                <w:tab w:val="decimal" w:pos="1130"/>
              </w:tabs>
              <w:rPr>
                <w:bCs/>
                <w:lang w:val="es-MX" w:eastAsia="es-ES"/>
              </w:rPr>
            </w:pPr>
            <w:r>
              <w:rPr>
                <w:bCs/>
                <w:lang w:val="es-MX" w:eastAsia="es-ES"/>
              </w:rPr>
              <w:t>11.077.222</w:t>
            </w:r>
          </w:p>
        </w:tc>
        <w:tc>
          <w:tcPr>
            <w:tcW w:w="695" w:type="pct"/>
          </w:tcPr>
          <w:p w:rsidR="00000000" w:rsidRDefault="00000000">
            <w:pPr>
              <w:tabs>
                <w:tab w:val="decimal" w:pos="1056"/>
              </w:tabs>
              <w:rPr>
                <w:bCs/>
                <w:lang w:val="es-MX" w:eastAsia="es-ES"/>
              </w:rPr>
            </w:pPr>
            <w:r>
              <w:rPr>
                <w:bCs/>
                <w:lang w:val="es-MX" w:eastAsia="es-ES"/>
              </w:rPr>
              <w:t>508.992</w:t>
            </w:r>
          </w:p>
        </w:tc>
        <w:tc>
          <w:tcPr>
            <w:tcW w:w="657" w:type="pct"/>
          </w:tcPr>
          <w:p w:rsidR="00000000" w:rsidRDefault="00000000">
            <w:pPr>
              <w:jc w:val="center"/>
              <w:rPr>
                <w:bCs/>
                <w:lang w:val="es-MX" w:eastAsia="es-ES"/>
              </w:rPr>
            </w:pPr>
            <w:r>
              <w:rPr>
                <w:bCs/>
                <w:lang w:val="es-MX" w:eastAsia="es-ES"/>
              </w:rPr>
              <w:t>2,36</w:t>
            </w:r>
          </w:p>
        </w:tc>
        <w:tc>
          <w:tcPr>
            <w:tcW w:w="728" w:type="pct"/>
          </w:tcPr>
          <w:p w:rsidR="00000000" w:rsidRDefault="00000000">
            <w:pPr>
              <w:tabs>
                <w:tab w:val="decimal" w:pos="634"/>
              </w:tabs>
              <w:rPr>
                <w:bCs/>
                <w:lang w:val="es-MX" w:eastAsia="es-ES"/>
              </w:rPr>
            </w:pPr>
            <w:r>
              <w:rPr>
                <w:bCs/>
                <w:lang w:val="es-MX" w:eastAsia="es-ES"/>
              </w:rPr>
              <w:t>4,59</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1999</w:t>
            </w:r>
          </w:p>
        </w:tc>
        <w:tc>
          <w:tcPr>
            <w:tcW w:w="1353" w:type="pct"/>
          </w:tcPr>
          <w:p w:rsidR="00000000" w:rsidRDefault="00000000">
            <w:pPr>
              <w:jc w:val="center"/>
              <w:rPr>
                <w:bCs/>
                <w:lang w:val="es-MX" w:eastAsia="es-ES"/>
              </w:rPr>
            </w:pPr>
            <w:r>
              <w:rPr>
                <w:bCs/>
                <w:lang w:val="es-MX" w:eastAsia="es-ES"/>
              </w:rPr>
              <w:t>22.771.596</w:t>
            </w:r>
          </w:p>
        </w:tc>
        <w:tc>
          <w:tcPr>
            <w:tcW w:w="734" w:type="pct"/>
          </w:tcPr>
          <w:p w:rsidR="00000000" w:rsidRDefault="00000000">
            <w:pPr>
              <w:tabs>
                <w:tab w:val="decimal" w:pos="1130"/>
              </w:tabs>
              <w:rPr>
                <w:bCs/>
                <w:lang w:val="es-MX" w:eastAsia="es-ES"/>
              </w:rPr>
            </w:pPr>
            <w:r>
              <w:rPr>
                <w:bCs/>
                <w:lang w:val="es-MX" w:eastAsia="es-ES"/>
              </w:rPr>
              <w:t>12.255.602</w:t>
            </w:r>
          </w:p>
        </w:tc>
        <w:tc>
          <w:tcPr>
            <w:tcW w:w="695" w:type="pct"/>
          </w:tcPr>
          <w:p w:rsidR="00000000" w:rsidRDefault="00000000">
            <w:pPr>
              <w:tabs>
                <w:tab w:val="decimal" w:pos="1056"/>
              </w:tabs>
              <w:rPr>
                <w:bCs/>
                <w:lang w:val="es-MX" w:eastAsia="es-ES"/>
              </w:rPr>
            </w:pPr>
            <w:r>
              <w:rPr>
                <w:bCs/>
                <w:lang w:val="es-MX" w:eastAsia="es-ES"/>
              </w:rPr>
              <w:t>670.137</w:t>
            </w:r>
          </w:p>
        </w:tc>
        <w:tc>
          <w:tcPr>
            <w:tcW w:w="657" w:type="pct"/>
          </w:tcPr>
          <w:p w:rsidR="00000000" w:rsidRDefault="00000000">
            <w:pPr>
              <w:jc w:val="center"/>
              <w:rPr>
                <w:bCs/>
                <w:lang w:val="es-MX" w:eastAsia="es-ES"/>
              </w:rPr>
            </w:pPr>
            <w:r>
              <w:rPr>
                <w:bCs/>
                <w:lang w:val="es-MX" w:eastAsia="es-ES"/>
              </w:rPr>
              <w:t>2,94</w:t>
            </w:r>
          </w:p>
        </w:tc>
        <w:tc>
          <w:tcPr>
            <w:tcW w:w="728" w:type="pct"/>
          </w:tcPr>
          <w:p w:rsidR="00000000" w:rsidRDefault="00000000">
            <w:pPr>
              <w:tabs>
                <w:tab w:val="decimal" w:pos="634"/>
              </w:tabs>
              <w:rPr>
                <w:bCs/>
                <w:lang w:val="es-MX" w:eastAsia="es-ES"/>
              </w:rPr>
            </w:pPr>
            <w:r>
              <w:rPr>
                <w:bCs/>
                <w:lang w:val="es-MX" w:eastAsia="es-ES"/>
              </w:rPr>
              <w:t>5,47</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2000</w:t>
            </w:r>
          </w:p>
        </w:tc>
        <w:tc>
          <w:tcPr>
            <w:tcW w:w="1353" w:type="pct"/>
          </w:tcPr>
          <w:p w:rsidR="00000000" w:rsidRDefault="00000000">
            <w:pPr>
              <w:jc w:val="center"/>
              <w:rPr>
                <w:bCs/>
                <w:lang w:val="es-MX" w:eastAsia="es-ES"/>
              </w:rPr>
            </w:pPr>
            <w:r>
              <w:rPr>
                <w:bCs/>
                <w:lang w:val="es-MX" w:eastAsia="es-ES"/>
              </w:rPr>
              <w:t>24.736.526</w:t>
            </w:r>
          </w:p>
        </w:tc>
        <w:tc>
          <w:tcPr>
            <w:tcW w:w="734" w:type="pct"/>
          </w:tcPr>
          <w:p w:rsidR="00000000" w:rsidRDefault="00000000">
            <w:pPr>
              <w:tabs>
                <w:tab w:val="decimal" w:pos="1130"/>
              </w:tabs>
              <w:rPr>
                <w:bCs/>
                <w:lang w:val="es-MX" w:eastAsia="es-ES"/>
              </w:rPr>
            </w:pPr>
            <w:r>
              <w:rPr>
                <w:bCs/>
                <w:lang w:val="es-MX" w:eastAsia="es-ES"/>
              </w:rPr>
              <w:t>13.128.124</w:t>
            </w:r>
          </w:p>
        </w:tc>
        <w:tc>
          <w:tcPr>
            <w:tcW w:w="695" w:type="pct"/>
          </w:tcPr>
          <w:p w:rsidR="00000000" w:rsidRDefault="00000000">
            <w:pPr>
              <w:tabs>
                <w:tab w:val="decimal" w:pos="1056"/>
              </w:tabs>
              <w:rPr>
                <w:bCs/>
                <w:lang w:val="es-MX" w:eastAsia="es-ES"/>
              </w:rPr>
            </w:pPr>
            <w:r>
              <w:rPr>
                <w:bCs/>
                <w:lang w:val="es-MX" w:eastAsia="es-ES"/>
              </w:rPr>
              <w:t>1.150.935</w:t>
            </w:r>
          </w:p>
        </w:tc>
        <w:tc>
          <w:tcPr>
            <w:tcW w:w="657" w:type="pct"/>
          </w:tcPr>
          <w:p w:rsidR="00000000" w:rsidRDefault="00000000">
            <w:pPr>
              <w:jc w:val="center"/>
              <w:rPr>
                <w:bCs/>
                <w:lang w:val="es-MX" w:eastAsia="es-ES"/>
              </w:rPr>
            </w:pPr>
            <w:r>
              <w:rPr>
                <w:bCs/>
                <w:lang w:val="es-MX" w:eastAsia="es-ES"/>
              </w:rPr>
              <w:t>4,65</w:t>
            </w:r>
          </w:p>
        </w:tc>
        <w:tc>
          <w:tcPr>
            <w:tcW w:w="728" w:type="pct"/>
          </w:tcPr>
          <w:p w:rsidR="00000000" w:rsidRDefault="00000000">
            <w:pPr>
              <w:tabs>
                <w:tab w:val="decimal" w:pos="634"/>
              </w:tabs>
              <w:rPr>
                <w:bCs/>
                <w:lang w:val="es-MX" w:eastAsia="es-ES"/>
              </w:rPr>
            </w:pPr>
            <w:r>
              <w:rPr>
                <w:bCs/>
                <w:lang w:val="es-MX" w:eastAsia="es-ES"/>
              </w:rPr>
              <w:t>8,77</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2001</w:t>
            </w:r>
          </w:p>
        </w:tc>
        <w:tc>
          <w:tcPr>
            <w:tcW w:w="1353" w:type="pct"/>
          </w:tcPr>
          <w:p w:rsidR="00000000" w:rsidRDefault="00000000">
            <w:pPr>
              <w:jc w:val="center"/>
              <w:rPr>
                <w:bCs/>
                <w:lang w:val="es-MX" w:eastAsia="es-ES"/>
              </w:rPr>
            </w:pPr>
            <w:r>
              <w:rPr>
                <w:bCs/>
                <w:lang w:val="es-MX" w:eastAsia="es-ES"/>
              </w:rPr>
              <w:t>26.465.663</w:t>
            </w:r>
          </w:p>
        </w:tc>
        <w:tc>
          <w:tcPr>
            <w:tcW w:w="734" w:type="pct"/>
          </w:tcPr>
          <w:p w:rsidR="00000000" w:rsidRDefault="00000000">
            <w:pPr>
              <w:tabs>
                <w:tab w:val="decimal" w:pos="1130"/>
              </w:tabs>
              <w:rPr>
                <w:bCs/>
                <w:lang w:val="es-MX" w:eastAsia="es-ES"/>
              </w:rPr>
            </w:pPr>
            <w:r>
              <w:rPr>
                <w:bCs/>
                <w:lang w:val="es-MX" w:eastAsia="es-ES"/>
              </w:rPr>
              <w:t>15.357.915</w:t>
            </w:r>
          </w:p>
        </w:tc>
        <w:tc>
          <w:tcPr>
            <w:tcW w:w="695" w:type="pct"/>
          </w:tcPr>
          <w:p w:rsidR="00000000" w:rsidRDefault="00000000">
            <w:pPr>
              <w:tabs>
                <w:tab w:val="decimal" w:pos="1056"/>
              </w:tabs>
              <w:rPr>
                <w:bCs/>
                <w:lang w:val="es-MX" w:eastAsia="es-ES"/>
              </w:rPr>
            </w:pPr>
            <w:r>
              <w:rPr>
                <w:bCs/>
                <w:lang w:val="es-MX" w:eastAsia="es-ES"/>
              </w:rPr>
              <w:t>1.244.987</w:t>
            </w:r>
          </w:p>
        </w:tc>
        <w:tc>
          <w:tcPr>
            <w:tcW w:w="657" w:type="pct"/>
          </w:tcPr>
          <w:p w:rsidR="00000000" w:rsidRDefault="00000000">
            <w:pPr>
              <w:jc w:val="center"/>
              <w:rPr>
                <w:bCs/>
                <w:lang w:val="es-MX" w:eastAsia="es-ES"/>
              </w:rPr>
            </w:pPr>
            <w:r>
              <w:rPr>
                <w:bCs/>
                <w:lang w:val="es-MX" w:eastAsia="es-ES"/>
              </w:rPr>
              <w:t>4,70</w:t>
            </w:r>
          </w:p>
        </w:tc>
        <w:tc>
          <w:tcPr>
            <w:tcW w:w="728" w:type="pct"/>
          </w:tcPr>
          <w:p w:rsidR="00000000" w:rsidRDefault="00000000">
            <w:pPr>
              <w:tabs>
                <w:tab w:val="decimal" w:pos="634"/>
              </w:tabs>
              <w:rPr>
                <w:bCs/>
                <w:lang w:val="es-MX" w:eastAsia="es-ES"/>
              </w:rPr>
            </w:pPr>
            <w:r>
              <w:rPr>
                <w:bCs/>
                <w:lang w:val="es-MX" w:eastAsia="es-ES"/>
              </w:rPr>
              <w:t>8,11</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2002</w:t>
            </w:r>
          </w:p>
        </w:tc>
        <w:tc>
          <w:tcPr>
            <w:tcW w:w="1353" w:type="pct"/>
          </w:tcPr>
          <w:p w:rsidR="00000000" w:rsidRDefault="00000000">
            <w:pPr>
              <w:jc w:val="center"/>
              <w:rPr>
                <w:bCs/>
                <w:lang w:val="es-MX" w:eastAsia="es-ES"/>
              </w:rPr>
            </w:pPr>
            <w:r>
              <w:rPr>
                <w:bCs/>
                <w:lang w:val="es-MX" w:eastAsia="es-ES"/>
              </w:rPr>
              <w:t>29.104.530</w:t>
            </w:r>
          </w:p>
        </w:tc>
        <w:tc>
          <w:tcPr>
            <w:tcW w:w="734" w:type="pct"/>
          </w:tcPr>
          <w:p w:rsidR="00000000" w:rsidRDefault="00000000">
            <w:pPr>
              <w:tabs>
                <w:tab w:val="decimal" w:pos="1130"/>
              </w:tabs>
              <w:rPr>
                <w:bCs/>
                <w:lang w:val="es-MX" w:eastAsia="es-ES"/>
              </w:rPr>
            </w:pPr>
            <w:r>
              <w:rPr>
                <w:bCs/>
                <w:lang w:val="es-MX" w:eastAsia="es-ES"/>
              </w:rPr>
              <w:t>15.306.971</w:t>
            </w:r>
          </w:p>
        </w:tc>
        <w:tc>
          <w:tcPr>
            <w:tcW w:w="695" w:type="pct"/>
          </w:tcPr>
          <w:p w:rsidR="00000000" w:rsidRDefault="00000000">
            <w:pPr>
              <w:tabs>
                <w:tab w:val="decimal" w:pos="1056"/>
              </w:tabs>
              <w:rPr>
                <w:bCs/>
                <w:lang w:val="es-MX" w:eastAsia="es-ES"/>
              </w:rPr>
            </w:pPr>
            <w:r>
              <w:rPr>
                <w:bCs/>
                <w:lang w:val="es-MX" w:eastAsia="es-ES"/>
              </w:rPr>
              <w:t>744.328</w:t>
            </w:r>
          </w:p>
        </w:tc>
        <w:tc>
          <w:tcPr>
            <w:tcW w:w="657" w:type="pct"/>
          </w:tcPr>
          <w:p w:rsidR="00000000" w:rsidRDefault="00000000">
            <w:pPr>
              <w:jc w:val="center"/>
              <w:rPr>
                <w:bCs/>
                <w:lang w:val="es-MX" w:eastAsia="es-ES"/>
              </w:rPr>
            </w:pPr>
            <w:r>
              <w:rPr>
                <w:bCs/>
                <w:lang w:val="es-MX" w:eastAsia="es-ES"/>
              </w:rPr>
              <w:t>2,56</w:t>
            </w:r>
          </w:p>
        </w:tc>
        <w:tc>
          <w:tcPr>
            <w:tcW w:w="728" w:type="pct"/>
          </w:tcPr>
          <w:p w:rsidR="00000000" w:rsidRDefault="00000000">
            <w:pPr>
              <w:tabs>
                <w:tab w:val="decimal" w:pos="634"/>
              </w:tabs>
              <w:rPr>
                <w:bCs/>
                <w:lang w:val="es-MX" w:eastAsia="es-ES"/>
              </w:rPr>
            </w:pPr>
            <w:r>
              <w:rPr>
                <w:bCs/>
                <w:lang w:val="es-MX" w:eastAsia="es-ES"/>
              </w:rPr>
              <w:t>4,86</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2003</w:t>
            </w:r>
          </w:p>
        </w:tc>
        <w:tc>
          <w:tcPr>
            <w:tcW w:w="1353" w:type="pct"/>
          </w:tcPr>
          <w:p w:rsidR="00000000" w:rsidRDefault="00000000">
            <w:pPr>
              <w:jc w:val="center"/>
              <w:rPr>
                <w:bCs/>
                <w:lang w:val="es-MX" w:eastAsia="es-ES"/>
              </w:rPr>
            </w:pPr>
            <w:r>
              <w:rPr>
                <w:bCs/>
                <w:lang w:val="es-MX" w:eastAsia="es-ES"/>
              </w:rPr>
              <w:t>35.713.137</w:t>
            </w:r>
          </w:p>
        </w:tc>
        <w:tc>
          <w:tcPr>
            <w:tcW w:w="734" w:type="pct"/>
          </w:tcPr>
          <w:p w:rsidR="00000000" w:rsidRDefault="00000000">
            <w:pPr>
              <w:tabs>
                <w:tab w:val="decimal" w:pos="1130"/>
              </w:tabs>
              <w:rPr>
                <w:bCs/>
                <w:lang w:val="es-MX" w:eastAsia="es-ES"/>
              </w:rPr>
            </w:pPr>
            <w:r>
              <w:rPr>
                <w:bCs/>
                <w:lang w:val="es-MX" w:eastAsia="es-ES"/>
              </w:rPr>
              <w:t>18.246.180</w:t>
            </w:r>
          </w:p>
        </w:tc>
        <w:tc>
          <w:tcPr>
            <w:tcW w:w="695" w:type="pct"/>
          </w:tcPr>
          <w:p w:rsidR="00000000" w:rsidRDefault="00000000">
            <w:pPr>
              <w:tabs>
                <w:tab w:val="decimal" w:pos="1056"/>
              </w:tabs>
              <w:rPr>
                <w:bCs/>
                <w:lang w:val="es-MX" w:eastAsia="es-ES"/>
              </w:rPr>
            </w:pPr>
            <w:r>
              <w:rPr>
                <w:bCs/>
                <w:lang w:val="es-MX" w:eastAsia="es-ES"/>
              </w:rPr>
              <w:t>1.693.496</w:t>
            </w:r>
          </w:p>
        </w:tc>
        <w:tc>
          <w:tcPr>
            <w:tcW w:w="657" w:type="pct"/>
          </w:tcPr>
          <w:p w:rsidR="00000000" w:rsidRDefault="00000000">
            <w:pPr>
              <w:jc w:val="center"/>
              <w:rPr>
                <w:bCs/>
                <w:lang w:val="es-MX" w:eastAsia="es-ES"/>
              </w:rPr>
            </w:pPr>
            <w:r>
              <w:rPr>
                <w:bCs/>
                <w:lang w:val="es-MX" w:eastAsia="es-ES"/>
              </w:rPr>
              <w:t>4,74</w:t>
            </w:r>
          </w:p>
        </w:tc>
        <w:tc>
          <w:tcPr>
            <w:tcW w:w="728" w:type="pct"/>
          </w:tcPr>
          <w:p w:rsidR="00000000" w:rsidRDefault="00000000">
            <w:pPr>
              <w:tabs>
                <w:tab w:val="decimal" w:pos="634"/>
              </w:tabs>
              <w:rPr>
                <w:bCs/>
                <w:lang w:val="es-MX" w:eastAsia="es-ES"/>
              </w:rPr>
            </w:pPr>
            <w:r>
              <w:rPr>
                <w:bCs/>
                <w:lang w:val="es-MX" w:eastAsia="es-ES"/>
              </w:rPr>
              <w:t>9,28</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2004</w:t>
            </w:r>
          </w:p>
        </w:tc>
        <w:tc>
          <w:tcPr>
            <w:tcW w:w="1353" w:type="pct"/>
          </w:tcPr>
          <w:p w:rsidR="00000000" w:rsidRDefault="00000000">
            <w:pPr>
              <w:jc w:val="center"/>
              <w:rPr>
                <w:bCs/>
                <w:lang w:val="es-MX" w:eastAsia="es-ES"/>
              </w:rPr>
            </w:pPr>
            <w:r>
              <w:rPr>
                <w:bCs/>
                <w:lang w:val="es-MX" w:eastAsia="es-ES"/>
              </w:rPr>
              <w:t>41.400.770</w:t>
            </w:r>
          </w:p>
        </w:tc>
        <w:tc>
          <w:tcPr>
            <w:tcW w:w="734" w:type="pct"/>
          </w:tcPr>
          <w:p w:rsidR="00000000" w:rsidRDefault="00000000">
            <w:pPr>
              <w:tabs>
                <w:tab w:val="decimal" w:pos="1130"/>
              </w:tabs>
              <w:rPr>
                <w:bCs/>
                <w:lang w:val="es-MX" w:eastAsia="es-ES"/>
              </w:rPr>
            </w:pPr>
            <w:r>
              <w:rPr>
                <w:bCs/>
                <w:lang w:val="es-MX" w:eastAsia="es-ES"/>
              </w:rPr>
              <w:t>18.915.114</w:t>
            </w:r>
          </w:p>
        </w:tc>
        <w:tc>
          <w:tcPr>
            <w:tcW w:w="695" w:type="pct"/>
          </w:tcPr>
          <w:p w:rsidR="00000000" w:rsidRDefault="00000000">
            <w:pPr>
              <w:tabs>
                <w:tab w:val="decimal" w:pos="1056"/>
              </w:tabs>
              <w:rPr>
                <w:bCs/>
                <w:lang w:val="es-MX" w:eastAsia="es-ES"/>
              </w:rPr>
            </w:pPr>
            <w:r>
              <w:rPr>
                <w:bCs/>
                <w:lang w:val="es-MX" w:eastAsia="es-ES"/>
              </w:rPr>
              <w:t>1.550.558</w:t>
            </w:r>
          </w:p>
        </w:tc>
        <w:tc>
          <w:tcPr>
            <w:tcW w:w="657" w:type="pct"/>
          </w:tcPr>
          <w:p w:rsidR="00000000" w:rsidRDefault="00000000">
            <w:pPr>
              <w:jc w:val="center"/>
              <w:rPr>
                <w:bCs/>
                <w:lang w:val="es-MX" w:eastAsia="es-ES"/>
              </w:rPr>
            </w:pPr>
            <w:r>
              <w:rPr>
                <w:bCs/>
                <w:lang w:val="es-MX" w:eastAsia="es-ES"/>
              </w:rPr>
              <w:t>3,75</w:t>
            </w:r>
          </w:p>
        </w:tc>
        <w:tc>
          <w:tcPr>
            <w:tcW w:w="728" w:type="pct"/>
          </w:tcPr>
          <w:p w:rsidR="00000000" w:rsidRDefault="00000000">
            <w:pPr>
              <w:tabs>
                <w:tab w:val="decimal" w:pos="634"/>
              </w:tabs>
              <w:rPr>
                <w:bCs/>
                <w:lang w:val="es-MX" w:eastAsia="es-ES"/>
              </w:rPr>
            </w:pPr>
            <w:r>
              <w:rPr>
                <w:bCs/>
                <w:lang w:val="es-MX" w:eastAsia="es-ES"/>
              </w:rPr>
              <w:t>8,20</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2005</w:t>
            </w:r>
          </w:p>
        </w:tc>
        <w:tc>
          <w:tcPr>
            <w:tcW w:w="1353" w:type="pct"/>
          </w:tcPr>
          <w:p w:rsidR="00000000" w:rsidRDefault="00000000">
            <w:pPr>
              <w:jc w:val="center"/>
              <w:rPr>
                <w:bCs/>
                <w:lang w:val="es-MX" w:eastAsia="es-ES"/>
              </w:rPr>
            </w:pPr>
            <w:r>
              <w:rPr>
                <w:bCs/>
                <w:lang w:val="es-MX" w:eastAsia="es-ES"/>
              </w:rPr>
              <w:t>45.737.176</w:t>
            </w:r>
          </w:p>
        </w:tc>
        <w:tc>
          <w:tcPr>
            <w:tcW w:w="734" w:type="pct"/>
          </w:tcPr>
          <w:p w:rsidR="00000000" w:rsidRDefault="00000000">
            <w:pPr>
              <w:tabs>
                <w:tab w:val="decimal" w:pos="1130"/>
              </w:tabs>
              <w:rPr>
                <w:bCs/>
                <w:lang w:val="es-MX" w:eastAsia="es-ES"/>
              </w:rPr>
            </w:pPr>
            <w:r>
              <w:rPr>
                <w:bCs/>
                <w:lang w:val="es-MX" w:eastAsia="es-ES"/>
              </w:rPr>
              <w:t>21.809.827</w:t>
            </w:r>
          </w:p>
        </w:tc>
        <w:tc>
          <w:tcPr>
            <w:tcW w:w="695" w:type="pct"/>
          </w:tcPr>
          <w:p w:rsidR="00000000" w:rsidRDefault="00000000">
            <w:pPr>
              <w:tabs>
                <w:tab w:val="decimal" w:pos="1056"/>
              </w:tabs>
              <w:rPr>
                <w:bCs/>
                <w:lang w:val="es-MX" w:eastAsia="es-ES"/>
              </w:rPr>
            </w:pPr>
            <w:r>
              <w:rPr>
                <w:bCs/>
                <w:lang w:val="es-MX" w:eastAsia="es-ES"/>
              </w:rPr>
              <w:t>2.330.027</w:t>
            </w:r>
          </w:p>
        </w:tc>
        <w:tc>
          <w:tcPr>
            <w:tcW w:w="657" w:type="pct"/>
          </w:tcPr>
          <w:p w:rsidR="00000000" w:rsidRDefault="00000000">
            <w:pPr>
              <w:jc w:val="center"/>
              <w:rPr>
                <w:bCs/>
                <w:lang w:val="es-MX" w:eastAsia="es-ES"/>
              </w:rPr>
            </w:pPr>
            <w:r>
              <w:rPr>
                <w:bCs/>
                <w:lang w:val="es-MX" w:eastAsia="es-ES"/>
              </w:rPr>
              <w:t>5,09</w:t>
            </w:r>
          </w:p>
        </w:tc>
        <w:tc>
          <w:tcPr>
            <w:tcW w:w="728" w:type="pct"/>
          </w:tcPr>
          <w:p w:rsidR="00000000" w:rsidRDefault="00000000">
            <w:pPr>
              <w:tabs>
                <w:tab w:val="decimal" w:pos="634"/>
              </w:tabs>
              <w:rPr>
                <w:bCs/>
                <w:lang w:val="es-MX" w:eastAsia="es-ES"/>
              </w:rPr>
            </w:pPr>
            <w:r>
              <w:rPr>
                <w:bCs/>
                <w:lang w:val="es-MX" w:eastAsia="es-ES"/>
              </w:rPr>
              <w:t>10,68</w:t>
            </w:r>
          </w:p>
        </w:tc>
      </w:tr>
      <w:tr w:rsidR="00000000">
        <w:tblPrEx>
          <w:tblCellMar>
            <w:top w:w="0" w:type="dxa"/>
            <w:bottom w:w="0" w:type="dxa"/>
          </w:tblCellMar>
        </w:tblPrEx>
        <w:tc>
          <w:tcPr>
            <w:tcW w:w="833" w:type="pct"/>
          </w:tcPr>
          <w:p w:rsidR="00000000" w:rsidRDefault="00000000">
            <w:pPr>
              <w:jc w:val="center"/>
              <w:rPr>
                <w:bCs/>
                <w:lang w:val="es-MX" w:eastAsia="es-ES"/>
              </w:rPr>
            </w:pPr>
            <w:r>
              <w:rPr>
                <w:bCs/>
                <w:lang w:val="es-MX" w:eastAsia="es-ES"/>
              </w:rPr>
              <w:t xml:space="preserve"> 2006</w:t>
            </w:r>
            <w:r>
              <w:rPr>
                <w:b/>
                <w:vertAlign w:val="superscript"/>
                <w:lang w:val="es-MX" w:eastAsia="es-ES"/>
              </w:rPr>
              <w:t>*</w:t>
            </w:r>
          </w:p>
        </w:tc>
        <w:tc>
          <w:tcPr>
            <w:tcW w:w="1353" w:type="pct"/>
          </w:tcPr>
          <w:p w:rsidR="00000000" w:rsidRDefault="00000000">
            <w:pPr>
              <w:jc w:val="center"/>
              <w:rPr>
                <w:bCs/>
                <w:lang w:val="es-MX" w:eastAsia="es-ES"/>
              </w:rPr>
            </w:pPr>
            <w:r>
              <w:rPr>
                <w:bCs/>
                <w:lang w:val="es-MX" w:eastAsia="es-ES"/>
              </w:rPr>
              <w:t>50.585.316</w:t>
            </w:r>
          </w:p>
        </w:tc>
        <w:tc>
          <w:tcPr>
            <w:tcW w:w="734" w:type="pct"/>
          </w:tcPr>
          <w:p w:rsidR="00000000" w:rsidRDefault="00000000">
            <w:pPr>
              <w:tabs>
                <w:tab w:val="decimal" w:pos="1130"/>
              </w:tabs>
              <w:rPr>
                <w:bCs/>
                <w:lang w:val="es-MX" w:eastAsia="es-ES"/>
              </w:rPr>
            </w:pPr>
            <w:r>
              <w:rPr>
                <w:bCs/>
                <w:lang w:val="es-MX" w:eastAsia="es-ES"/>
              </w:rPr>
              <w:t>21.255.118</w:t>
            </w:r>
          </w:p>
        </w:tc>
        <w:tc>
          <w:tcPr>
            <w:tcW w:w="695" w:type="pct"/>
          </w:tcPr>
          <w:p w:rsidR="00000000" w:rsidRDefault="00000000">
            <w:pPr>
              <w:tabs>
                <w:tab w:val="decimal" w:pos="1056"/>
              </w:tabs>
              <w:rPr>
                <w:bCs/>
                <w:lang w:val="es-MX" w:eastAsia="es-ES"/>
              </w:rPr>
            </w:pPr>
            <w:r>
              <w:rPr>
                <w:bCs/>
                <w:lang w:val="es-MX" w:eastAsia="es-ES"/>
              </w:rPr>
              <w:t>2.391.342</w:t>
            </w:r>
          </w:p>
        </w:tc>
        <w:tc>
          <w:tcPr>
            <w:tcW w:w="657" w:type="pct"/>
          </w:tcPr>
          <w:p w:rsidR="00000000" w:rsidRDefault="00000000">
            <w:pPr>
              <w:jc w:val="center"/>
              <w:rPr>
                <w:bCs/>
                <w:lang w:val="es-MX" w:eastAsia="es-ES"/>
              </w:rPr>
            </w:pPr>
            <w:r>
              <w:rPr>
                <w:bCs/>
                <w:lang w:val="es-MX" w:eastAsia="es-ES"/>
              </w:rPr>
              <w:t>4,73</w:t>
            </w:r>
          </w:p>
        </w:tc>
        <w:tc>
          <w:tcPr>
            <w:tcW w:w="728" w:type="pct"/>
          </w:tcPr>
          <w:p w:rsidR="00000000" w:rsidRDefault="00000000">
            <w:pPr>
              <w:tabs>
                <w:tab w:val="decimal" w:pos="634"/>
              </w:tabs>
              <w:rPr>
                <w:bCs/>
                <w:lang w:val="es-MX" w:eastAsia="es-ES"/>
              </w:rPr>
            </w:pPr>
            <w:r>
              <w:rPr>
                <w:bCs/>
                <w:lang w:val="es-MX" w:eastAsia="es-ES"/>
              </w:rPr>
              <w:t>11,25</w:t>
            </w:r>
          </w:p>
        </w:tc>
      </w:tr>
    </w:tbl>
    <w:p w:rsidR="00000000" w:rsidRDefault="00000000">
      <w:pPr>
        <w:spacing w:before="240" w:after="240"/>
        <w:rPr>
          <w:bCs/>
          <w:lang w:val="es-MX" w:eastAsia="es-ES"/>
        </w:rPr>
      </w:pPr>
      <w:r>
        <w:rPr>
          <w:bCs/>
          <w:i/>
          <w:iCs/>
          <w:lang w:val="es-MX" w:eastAsia="es-ES"/>
        </w:rPr>
        <w:t>Fuente</w:t>
      </w:r>
      <w:r>
        <w:rPr>
          <w:bCs/>
          <w:lang w:val="es-MX" w:eastAsia="es-ES"/>
        </w:rPr>
        <w:t>:  Sistema de Contabilidad (SICO).  En millones de guaraníes.</w:t>
      </w:r>
    </w:p>
    <w:p w:rsidR="00000000" w:rsidRDefault="00000000">
      <w:pPr>
        <w:spacing w:after="240"/>
        <w:rPr>
          <w:bCs/>
          <w:lang w:val="es-MX" w:eastAsia="es-ES"/>
        </w:rPr>
      </w:pPr>
      <w:r>
        <w:rPr>
          <w:b/>
          <w:vertAlign w:val="superscript"/>
          <w:lang w:val="es-MX" w:eastAsia="es-ES"/>
        </w:rPr>
        <w:t>*</w:t>
      </w:r>
      <w:r>
        <w:rPr>
          <w:bCs/>
          <w:lang w:val="es-MX" w:eastAsia="es-ES"/>
        </w:rPr>
        <w:t xml:space="preserve"> Para el año 2006 se registra la cifra estimada del PIB.  </w:t>
      </w:r>
      <w:r>
        <w:rPr>
          <w:bCs/>
          <w:i/>
          <w:iCs/>
          <w:lang w:val="es-MX" w:eastAsia="es-ES"/>
        </w:rPr>
        <w:t>Fuente</w:t>
      </w:r>
      <w:r>
        <w:rPr>
          <w:bCs/>
          <w:lang w:val="es-MX" w:eastAsia="es-ES"/>
        </w:rPr>
        <w:t>:  Banco Central del Paraguay.</w:t>
      </w:r>
    </w:p>
    <w:p w:rsidR="00000000" w:rsidRDefault="00000000">
      <w:pPr>
        <w:spacing w:after="240"/>
        <w:rPr>
          <w:bCs/>
          <w:lang w:val="es-MX" w:eastAsia="es-ES"/>
        </w:rPr>
      </w:pPr>
      <w:r>
        <w:rPr>
          <w:b/>
          <w:vertAlign w:val="superscript"/>
          <w:lang w:val="es-MX" w:eastAsia="es-ES"/>
        </w:rPr>
        <w:t>1</w:t>
      </w:r>
      <w:r>
        <w:rPr>
          <w:bCs/>
          <w:lang w:val="es-MX" w:eastAsia="es-ES"/>
        </w:rPr>
        <w:t xml:space="preserve"> Presupuesto ajustado correspondiente a la Administración central hasta el año 1996.  A partir de 1997 corresponde al presupuesto de AC más las entidades descentralizadas.</w:t>
      </w:r>
    </w:p>
    <w:p w:rsidR="00000000" w:rsidRDefault="00000000">
      <w:pPr>
        <w:spacing w:after="480"/>
        <w:rPr>
          <w:bCs/>
          <w:lang w:val="es-MX" w:eastAsia="es-ES"/>
        </w:rPr>
      </w:pPr>
      <w:r>
        <w:rPr>
          <w:b/>
          <w:vertAlign w:val="superscript"/>
          <w:lang w:val="es-MX" w:eastAsia="es-ES"/>
        </w:rPr>
        <w:t xml:space="preserve">2 </w:t>
      </w:r>
      <w:r>
        <w:rPr>
          <w:bCs/>
          <w:lang w:val="es-MX" w:eastAsia="es-ES"/>
        </w:rPr>
        <w:t>Corresponde a la asignación por clasificación funcional.  Incluye todas aquellas entidades que realizan alguna prestación de seguridad social.  IPS más cuatro cajas previsionales.  Asistencia a la vejez, servicios de jubilaciones.</w:t>
      </w:r>
    </w:p>
    <w:p w:rsidR="00000000" w:rsidRDefault="00000000">
      <w:pPr>
        <w:keepNext/>
        <w:spacing w:after="160"/>
        <w:ind w:left="709" w:hanging="709"/>
        <w:jc w:val="center"/>
        <w:rPr>
          <w:b/>
          <w:sz w:val="16"/>
          <w:lang w:eastAsia="es-ES"/>
        </w:rPr>
      </w:pPr>
      <w:r>
        <w:rPr>
          <w:b/>
          <w:sz w:val="16"/>
          <w:lang w:eastAsia="es-ES"/>
        </w:rPr>
        <w:t>Evolución de gastos en el seguro social del Instituto de Previsión Social (IPS)</w:t>
      </w:r>
    </w:p>
    <w:tbl>
      <w:tblPr>
        <w:tblW w:w="499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19"/>
        <w:gridCol w:w="839"/>
        <w:gridCol w:w="840"/>
        <w:gridCol w:w="840"/>
        <w:gridCol w:w="840"/>
        <w:gridCol w:w="840"/>
        <w:gridCol w:w="840"/>
        <w:gridCol w:w="840"/>
        <w:gridCol w:w="793"/>
      </w:tblGrid>
      <w:tr w:rsidR="00000000">
        <w:trPr>
          <w:cantSplit/>
          <w:trHeight w:val="20"/>
          <w:tblHeader/>
        </w:trPr>
        <w:tc>
          <w:tcPr>
            <w:tcW w:w="1448" w:type="pct"/>
            <w:vMerge w:val="restart"/>
            <w:noWrap/>
            <w:vAlign w:val="center"/>
          </w:tcPr>
          <w:p w:rsidR="00000000" w:rsidRDefault="00000000">
            <w:pPr>
              <w:rPr>
                <w:sz w:val="16"/>
                <w:szCs w:val="14"/>
              </w:rPr>
            </w:pPr>
            <w:r>
              <w:rPr>
                <w:b/>
                <w:bCs/>
                <w:sz w:val="16"/>
                <w:szCs w:val="14"/>
              </w:rPr>
              <w:t>Presupuesto total del IPS</w:t>
            </w:r>
          </w:p>
        </w:tc>
        <w:tc>
          <w:tcPr>
            <w:tcW w:w="447" w:type="pct"/>
            <w:noWrap/>
            <w:vAlign w:val="center"/>
          </w:tcPr>
          <w:p w:rsidR="00000000" w:rsidRDefault="00000000">
            <w:pPr>
              <w:keepNext/>
              <w:jc w:val="center"/>
              <w:rPr>
                <w:b/>
                <w:bCs/>
                <w:sz w:val="16"/>
                <w:szCs w:val="14"/>
              </w:rPr>
            </w:pPr>
            <w:r>
              <w:rPr>
                <w:b/>
                <w:bCs/>
                <w:sz w:val="16"/>
                <w:szCs w:val="14"/>
              </w:rPr>
              <w:t>1997</w:t>
            </w:r>
          </w:p>
        </w:tc>
        <w:tc>
          <w:tcPr>
            <w:tcW w:w="447" w:type="pct"/>
            <w:noWrap/>
            <w:vAlign w:val="center"/>
          </w:tcPr>
          <w:p w:rsidR="00000000" w:rsidRDefault="00000000">
            <w:pPr>
              <w:keepNext/>
              <w:jc w:val="center"/>
              <w:rPr>
                <w:b/>
                <w:bCs/>
                <w:sz w:val="16"/>
                <w:szCs w:val="14"/>
              </w:rPr>
            </w:pPr>
            <w:r>
              <w:rPr>
                <w:b/>
                <w:bCs/>
                <w:sz w:val="16"/>
                <w:szCs w:val="14"/>
              </w:rPr>
              <w:t>1998</w:t>
            </w:r>
          </w:p>
        </w:tc>
        <w:tc>
          <w:tcPr>
            <w:tcW w:w="447" w:type="pct"/>
            <w:noWrap/>
            <w:vAlign w:val="center"/>
          </w:tcPr>
          <w:p w:rsidR="00000000" w:rsidRDefault="00000000">
            <w:pPr>
              <w:keepNext/>
              <w:jc w:val="center"/>
              <w:rPr>
                <w:b/>
                <w:bCs/>
                <w:sz w:val="16"/>
                <w:szCs w:val="14"/>
              </w:rPr>
            </w:pPr>
            <w:r>
              <w:rPr>
                <w:b/>
                <w:bCs/>
                <w:sz w:val="16"/>
                <w:szCs w:val="14"/>
              </w:rPr>
              <w:t>1999</w:t>
            </w:r>
          </w:p>
        </w:tc>
        <w:tc>
          <w:tcPr>
            <w:tcW w:w="447" w:type="pct"/>
            <w:noWrap/>
            <w:vAlign w:val="center"/>
          </w:tcPr>
          <w:p w:rsidR="00000000" w:rsidRDefault="00000000">
            <w:pPr>
              <w:keepNext/>
              <w:jc w:val="center"/>
              <w:rPr>
                <w:b/>
                <w:bCs/>
                <w:sz w:val="16"/>
                <w:szCs w:val="14"/>
              </w:rPr>
            </w:pPr>
            <w:r>
              <w:rPr>
                <w:b/>
                <w:bCs/>
                <w:sz w:val="16"/>
                <w:szCs w:val="14"/>
              </w:rPr>
              <w:t>2000</w:t>
            </w:r>
          </w:p>
        </w:tc>
        <w:tc>
          <w:tcPr>
            <w:tcW w:w="447" w:type="pct"/>
            <w:noWrap/>
            <w:vAlign w:val="center"/>
          </w:tcPr>
          <w:p w:rsidR="00000000" w:rsidRDefault="00000000">
            <w:pPr>
              <w:keepNext/>
              <w:jc w:val="center"/>
              <w:rPr>
                <w:b/>
                <w:bCs/>
                <w:sz w:val="16"/>
                <w:szCs w:val="14"/>
              </w:rPr>
            </w:pPr>
            <w:r>
              <w:rPr>
                <w:b/>
                <w:bCs/>
                <w:sz w:val="16"/>
                <w:szCs w:val="14"/>
              </w:rPr>
              <w:t>2001</w:t>
            </w:r>
          </w:p>
        </w:tc>
        <w:tc>
          <w:tcPr>
            <w:tcW w:w="447" w:type="pct"/>
            <w:vAlign w:val="center"/>
          </w:tcPr>
          <w:p w:rsidR="00000000" w:rsidRDefault="00000000">
            <w:pPr>
              <w:keepNext/>
              <w:jc w:val="center"/>
              <w:rPr>
                <w:b/>
                <w:bCs/>
                <w:sz w:val="16"/>
                <w:szCs w:val="14"/>
              </w:rPr>
            </w:pPr>
            <w:r>
              <w:rPr>
                <w:b/>
                <w:bCs/>
                <w:sz w:val="16"/>
                <w:szCs w:val="14"/>
              </w:rPr>
              <w:t>2002</w:t>
            </w:r>
          </w:p>
        </w:tc>
        <w:tc>
          <w:tcPr>
            <w:tcW w:w="447" w:type="pct"/>
            <w:noWrap/>
            <w:vAlign w:val="center"/>
          </w:tcPr>
          <w:p w:rsidR="00000000" w:rsidRDefault="00000000">
            <w:pPr>
              <w:keepNext/>
              <w:jc w:val="center"/>
              <w:rPr>
                <w:b/>
                <w:bCs/>
                <w:sz w:val="16"/>
                <w:szCs w:val="14"/>
              </w:rPr>
            </w:pPr>
            <w:r>
              <w:rPr>
                <w:b/>
                <w:bCs/>
                <w:sz w:val="16"/>
                <w:szCs w:val="14"/>
              </w:rPr>
              <w:t>2003</w:t>
            </w:r>
          </w:p>
        </w:tc>
        <w:tc>
          <w:tcPr>
            <w:tcW w:w="422" w:type="pct"/>
            <w:noWrap/>
            <w:vAlign w:val="center"/>
          </w:tcPr>
          <w:p w:rsidR="00000000" w:rsidRDefault="00000000">
            <w:pPr>
              <w:keepNext/>
              <w:jc w:val="center"/>
              <w:rPr>
                <w:b/>
                <w:bCs/>
                <w:sz w:val="16"/>
                <w:szCs w:val="14"/>
              </w:rPr>
            </w:pPr>
            <w:r>
              <w:rPr>
                <w:b/>
                <w:bCs/>
                <w:sz w:val="16"/>
                <w:szCs w:val="14"/>
              </w:rPr>
              <w:t>2004</w:t>
            </w:r>
          </w:p>
        </w:tc>
      </w:tr>
      <w:tr w:rsidR="00000000">
        <w:trPr>
          <w:cantSplit/>
          <w:trHeight w:val="20"/>
        </w:trPr>
        <w:tc>
          <w:tcPr>
            <w:tcW w:w="1448" w:type="pct"/>
            <w:vMerge/>
            <w:noWrap/>
            <w:vAlign w:val="bottom"/>
          </w:tcPr>
          <w:p w:rsidR="00000000" w:rsidRDefault="00000000">
            <w:pPr>
              <w:rPr>
                <w:b/>
                <w:bCs/>
                <w:sz w:val="16"/>
                <w:szCs w:val="14"/>
              </w:rPr>
            </w:pPr>
          </w:p>
        </w:tc>
        <w:tc>
          <w:tcPr>
            <w:tcW w:w="447" w:type="pct"/>
            <w:noWrap/>
            <w:vAlign w:val="bottom"/>
          </w:tcPr>
          <w:p w:rsidR="00000000" w:rsidRDefault="00000000">
            <w:pPr>
              <w:jc w:val="right"/>
              <w:rPr>
                <w:b/>
                <w:bCs/>
                <w:sz w:val="16"/>
                <w:szCs w:val="14"/>
              </w:rPr>
            </w:pPr>
            <w:r>
              <w:rPr>
                <w:b/>
                <w:bCs/>
                <w:sz w:val="16"/>
                <w:szCs w:val="14"/>
              </w:rPr>
              <w:t>726.917</w:t>
            </w:r>
          </w:p>
        </w:tc>
        <w:tc>
          <w:tcPr>
            <w:tcW w:w="447" w:type="pct"/>
            <w:noWrap/>
            <w:vAlign w:val="bottom"/>
          </w:tcPr>
          <w:p w:rsidR="00000000" w:rsidRDefault="00000000">
            <w:pPr>
              <w:jc w:val="right"/>
              <w:rPr>
                <w:b/>
                <w:bCs/>
                <w:sz w:val="16"/>
                <w:szCs w:val="14"/>
              </w:rPr>
            </w:pPr>
            <w:r>
              <w:rPr>
                <w:b/>
                <w:bCs/>
                <w:sz w:val="16"/>
                <w:szCs w:val="14"/>
              </w:rPr>
              <w:t>700.767</w:t>
            </w:r>
          </w:p>
        </w:tc>
        <w:tc>
          <w:tcPr>
            <w:tcW w:w="447" w:type="pct"/>
            <w:noWrap/>
            <w:vAlign w:val="bottom"/>
          </w:tcPr>
          <w:p w:rsidR="00000000" w:rsidRDefault="00000000">
            <w:pPr>
              <w:jc w:val="right"/>
              <w:rPr>
                <w:b/>
                <w:bCs/>
                <w:sz w:val="16"/>
                <w:szCs w:val="14"/>
              </w:rPr>
            </w:pPr>
            <w:r>
              <w:rPr>
                <w:b/>
                <w:bCs/>
                <w:sz w:val="16"/>
                <w:szCs w:val="14"/>
              </w:rPr>
              <w:t>450.499</w:t>
            </w:r>
          </w:p>
        </w:tc>
        <w:tc>
          <w:tcPr>
            <w:tcW w:w="447" w:type="pct"/>
            <w:noWrap/>
            <w:vAlign w:val="bottom"/>
          </w:tcPr>
          <w:p w:rsidR="00000000" w:rsidRDefault="00000000">
            <w:pPr>
              <w:jc w:val="right"/>
              <w:rPr>
                <w:b/>
                <w:bCs/>
                <w:sz w:val="16"/>
                <w:szCs w:val="14"/>
              </w:rPr>
            </w:pPr>
            <w:r>
              <w:rPr>
                <w:b/>
                <w:bCs/>
                <w:sz w:val="16"/>
                <w:szCs w:val="14"/>
              </w:rPr>
              <w:t>539.735</w:t>
            </w:r>
          </w:p>
        </w:tc>
        <w:tc>
          <w:tcPr>
            <w:tcW w:w="447" w:type="pct"/>
            <w:noWrap/>
            <w:vAlign w:val="bottom"/>
          </w:tcPr>
          <w:p w:rsidR="00000000" w:rsidRDefault="00000000">
            <w:pPr>
              <w:jc w:val="right"/>
              <w:rPr>
                <w:b/>
                <w:bCs/>
                <w:sz w:val="16"/>
                <w:szCs w:val="14"/>
              </w:rPr>
            </w:pPr>
            <w:r>
              <w:rPr>
                <w:b/>
                <w:bCs/>
                <w:sz w:val="16"/>
                <w:szCs w:val="14"/>
              </w:rPr>
              <w:t>672.637</w:t>
            </w:r>
          </w:p>
        </w:tc>
        <w:tc>
          <w:tcPr>
            <w:tcW w:w="447" w:type="pct"/>
            <w:vAlign w:val="bottom"/>
          </w:tcPr>
          <w:p w:rsidR="00000000" w:rsidRDefault="00000000">
            <w:pPr>
              <w:jc w:val="right"/>
              <w:rPr>
                <w:b/>
                <w:bCs/>
                <w:sz w:val="16"/>
                <w:szCs w:val="14"/>
              </w:rPr>
            </w:pPr>
            <w:r>
              <w:rPr>
                <w:b/>
                <w:bCs/>
                <w:sz w:val="16"/>
                <w:szCs w:val="14"/>
              </w:rPr>
              <w:t>853.903</w:t>
            </w:r>
          </w:p>
        </w:tc>
        <w:tc>
          <w:tcPr>
            <w:tcW w:w="447" w:type="pct"/>
            <w:noWrap/>
            <w:vAlign w:val="bottom"/>
          </w:tcPr>
          <w:p w:rsidR="00000000" w:rsidRDefault="00000000">
            <w:pPr>
              <w:jc w:val="right"/>
              <w:rPr>
                <w:b/>
                <w:bCs/>
                <w:sz w:val="16"/>
                <w:szCs w:val="14"/>
              </w:rPr>
            </w:pPr>
            <w:r>
              <w:rPr>
                <w:b/>
                <w:bCs/>
                <w:sz w:val="16"/>
                <w:szCs w:val="14"/>
              </w:rPr>
              <w:t>705.514</w:t>
            </w:r>
          </w:p>
        </w:tc>
        <w:tc>
          <w:tcPr>
            <w:tcW w:w="422" w:type="pct"/>
            <w:noWrap/>
            <w:vAlign w:val="bottom"/>
          </w:tcPr>
          <w:p w:rsidR="00000000" w:rsidRDefault="00000000">
            <w:pPr>
              <w:jc w:val="right"/>
              <w:rPr>
                <w:b/>
                <w:bCs/>
                <w:sz w:val="16"/>
                <w:szCs w:val="14"/>
              </w:rPr>
            </w:pPr>
            <w:r>
              <w:rPr>
                <w:b/>
                <w:bCs/>
                <w:sz w:val="16"/>
                <w:szCs w:val="14"/>
              </w:rPr>
              <w:t>830.230</w:t>
            </w:r>
          </w:p>
        </w:tc>
      </w:tr>
      <w:tr w:rsidR="00000000">
        <w:trPr>
          <w:trHeight w:val="20"/>
        </w:trPr>
        <w:tc>
          <w:tcPr>
            <w:tcW w:w="1448" w:type="pct"/>
            <w:noWrap/>
            <w:vAlign w:val="bottom"/>
          </w:tcPr>
          <w:p w:rsidR="00000000" w:rsidRDefault="00000000">
            <w:pPr>
              <w:rPr>
                <w:sz w:val="16"/>
                <w:szCs w:val="14"/>
              </w:rPr>
            </w:pPr>
            <w:r>
              <w:rPr>
                <w:sz w:val="16"/>
                <w:szCs w:val="14"/>
              </w:rPr>
              <w:t xml:space="preserve">Gasto en salud </w:t>
            </w:r>
          </w:p>
        </w:tc>
        <w:tc>
          <w:tcPr>
            <w:tcW w:w="447" w:type="pct"/>
            <w:noWrap/>
            <w:vAlign w:val="bottom"/>
          </w:tcPr>
          <w:p w:rsidR="00000000" w:rsidRDefault="00000000">
            <w:pPr>
              <w:jc w:val="right"/>
              <w:rPr>
                <w:sz w:val="16"/>
                <w:szCs w:val="14"/>
              </w:rPr>
            </w:pPr>
            <w:r>
              <w:rPr>
                <w:sz w:val="16"/>
                <w:szCs w:val="14"/>
              </w:rPr>
              <w:t>240.617</w:t>
            </w:r>
          </w:p>
        </w:tc>
        <w:tc>
          <w:tcPr>
            <w:tcW w:w="447" w:type="pct"/>
            <w:noWrap/>
            <w:vAlign w:val="bottom"/>
          </w:tcPr>
          <w:p w:rsidR="00000000" w:rsidRDefault="00000000">
            <w:pPr>
              <w:jc w:val="right"/>
              <w:rPr>
                <w:sz w:val="16"/>
                <w:szCs w:val="14"/>
              </w:rPr>
            </w:pPr>
            <w:r>
              <w:rPr>
                <w:sz w:val="16"/>
                <w:szCs w:val="14"/>
              </w:rPr>
              <w:t>350.725</w:t>
            </w:r>
          </w:p>
        </w:tc>
        <w:tc>
          <w:tcPr>
            <w:tcW w:w="447" w:type="pct"/>
            <w:noWrap/>
            <w:vAlign w:val="bottom"/>
          </w:tcPr>
          <w:p w:rsidR="00000000" w:rsidRDefault="00000000">
            <w:pPr>
              <w:jc w:val="right"/>
              <w:rPr>
                <w:sz w:val="16"/>
                <w:szCs w:val="14"/>
              </w:rPr>
            </w:pPr>
            <w:r>
              <w:rPr>
                <w:sz w:val="16"/>
                <w:szCs w:val="14"/>
              </w:rPr>
              <w:t>377.540</w:t>
            </w:r>
          </w:p>
        </w:tc>
        <w:tc>
          <w:tcPr>
            <w:tcW w:w="447" w:type="pct"/>
            <w:noWrap/>
            <w:vAlign w:val="bottom"/>
          </w:tcPr>
          <w:p w:rsidR="00000000" w:rsidRDefault="00000000">
            <w:pPr>
              <w:jc w:val="right"/>
              <w:rPr>
                <w:sz w:val="16"/>
                <w:szCs w:val="14"/>
              </w:rPr>
            </w:pPr>
            <w:r>
              <w:rPr>
                <w:sz w:val="16"/>
                <w:szCs w:val="14"/>
              </w:rPr>
              <w:t>483.677</w:t>
            </w:r>
          </w:p>
        </w:tc>
        <w:tc>
          <w:tcPr>
            <w:tcW w:w="447" w:type="pct"/>
            <w:noWrap/>
            <w:vAlign w:val="bottom"/>
          </w:tcPr>
          <w:p w:rsidR="00000000" w:rsidRDefault="00000000">
            <w:pPr>
              <w:jc w:val="right"/>
              <w:rPr>
                <w:sz w:val="16"/>
                <w:szCs w:val="14"/>
              </w:rPr>
            </w:pPr>
            <w:r>
              <w:rPr>
                <w:sz w:val="16"/>
                <w:szCs w:val="14"/>
              </w:rPr>
              <w:t>394.746</w:t>
            </w:r>
          </w:p>
        </w:tc>
        <w:tc>
          <w:tcPr>
            <w:tcW w:w="447" w:type="pct"/>
            <w:vAlign w:val="bottom"/>
          </w:tcPr>
          <w:p w:rsidR="00000000" w:rsidRDefault="00000000">
            <w:pPr>
              <w:jc w:val="right"/>
              <w:rPr>
                <w:sz w:val="16"/>
                <w:szCs w:val="14"/>
              </w:rPr>
            </w:pPr>
            <w:r>
              <w:rPr>
                <w:sz w:val="16"/>
                <w:szCs w:val="14"/>
              </w:rPr>
              <w:t>318.576</w:t>
            </w:r>
          </w:p>
        </w:tc>
        <w:tc>
          <w:tcPr>
            <w:tcW w:w="447" w:type="pct"/>
            <w:noWrap/>
            <w:vAlign w:val="bottom"/>
          </w:tcPr>
          <w:p w:rsidR="00000000" w:rsidRDefault="00000000">
            <w:pPr>
              <w:jc w:val="right"/>
              <w:rPr>
                <w:sz w:val="16"/>
                <w:szCs w:val="14"/>
              </w:rPr>
            </w:pPr>
            <w:r>
              <w:rPr>
                <w:sz w:val="16"/>
                <w:szCs w:val="14"/>
              </w:rPr>
              <w:t>352.792</w:t>
            </w:r>
          </w:p>
        </w:tc>
        <w:tc>
          <w:tcPr>
            <w:tcW w:w="422" w:type="pct"/>
            <w:noWrap/>
            <w:vAlign w:val="bottom"/>
          </w:tcPr>
          <w:p w:rsidR="00000000" w:rsidRDefault="00000000">
            <w:pPr>
              <w:jc w:val="right"/>
              <w:rPr>
                <w:sz w:val="16"/>
                <w:szCs w:val="14"/>
              </w:rPr>
            </w:pPr>
            <w:r>
              <w:rPr>
                <w:sz w:val="16"/>
                <w:szCs w:val="14"/>
              </w:rPr>
              <w:t>401.069</w:t>
            </w:r>
          </w:p>
        </w:tc>
      </w:tr>
      <w:tr w:rsidR="00000000">
        <w:trPr>
          <w:trHeight w:val="20"/>
        </w:trPr>
        <w:tc>
          <w:tcPr>
            <w:tcW w:w="1448" w:type="pct"/>
            <w:noWrap/>
            <w:vAlign w:val="bottom"/>
          </w:tcPr>
          <w:p w:rsidR="00000000" w:rsidRDefault="00000000">
            <w:pPr>
              <w:rPr>
                <w:sz w:val="16"/>
                <w:szCs w:val="14"/>
              </w:rPr>
            </w:pPr>
            <w:r>
              <w:rPr>
                <w:sz w:val="16"/>
                <w:szCs w:val="14"/>
              </w:rPr>
              <w:t>Gasto en pensiones y jubilaciones</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vAlign w:val="bottom"/>
          </w:tcPr>
          <w:p w:rsidR="00000000" w:rsidRDefault="00000000">
            <w:pPr>
              <w:jc w:val="right"/>
              <w:rPr>
                <w:sz w:val="16"/>
                <w:szCs w:val="14"/>
              </w:rPr>
            </w:pPr>
            <w:r>
              <w:rPr>
                <w:sz w:val="16"/>
                <w:szCs w:val="14"/>
              </w:rPr>
              <w:t>271.791</w:t>
            </w:r>
          </w:p>
        </w:tc>
        <w:tc>
          <w:tcPr>
            <w:tcW w:w="447" w:type="pct"/>
            <w:noWrap/>
            <w:vAlign w:val="bottom"/>
          </w:tcPr>
          <w:p w:rsidR="00000000" w:rsidRDefault="00000000">
            <w:pPr>
              <w:jc w:val="right"/>
              <w:rPr>
                <w:sz w:val="16"/>
                <w:szCs w:val="14"/>
              </w:rPr>
            </w:pPr>
            <w:r>
              <w:rPr>
                <w:sz w:val="16"/>
                <w:szCs w:val="14"/>
              </w:rPr>
              <w:t>338.616</w:t>
            </w:r>
          </w:p>
        </w:tc>
        <w:tc>
          <w:tcPr>
            <w:tcW w:w="422" w:type="pct"/>
            <w:noWrap/>
            <w:vAlign w:val="bottom"/>
          </w:tcPr>
          <w:p w:rsidR="00000000" w:rsidRDefault="00000000">
            <w:pPr>
              <w:jc w:val="right"/>
              <w:rPr>
                <w:sz w:val="16"/>
                <w:szCs w:val="14"/>
              </w:rPr>
            </w:pPr>
            <w:r>
              <w:rPr>
                <w:sz w:val="16"/>
                <w:szCs w:val="14"/>
              </w:rPr>
              <w:t>409.773</w:t>
            </w:r>
          </w:p>
        </w:tc>
      </w:tr>
      <w:tr w:rsidR="00000000">
        <w:trPr>
          <w:trHeight w:val="20"/>
        </w:trPr>
        <w:tc>
          <w:tcPr>
            <w:tcW w:w="1448" w:type="pct"/>
            <w:noWrap/>
            <w:vAlign w:val="bottom"/>
          </w:tcPr>
          <w:p w:rsidR="00000000" w:rsidRDefault="00000000">
            <w:pPr>
              <w:rPr>
                <w:sz w:val="16"/>
                <w:szCs w:val="14"/>
              </w:rPr>
            </w:pPr>
            <w:r>
              <w:rPr>
                <w:sz w:val="16"/>
                <w:szCs w:val="14"/>
              </w:rPr>
              <w:t xml:space="preserve">Otros gastos </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350.042</w:t>
            </w:r>
          </w:p>
        </w:tc>
        <w:tc>
          <w:tcPr>
            <w:tcW w:w="447" w:type="pct"/>
            <w:noWrap/>
            <w:vAlign w:val="bottom"/>
          </w:tcPr>
          <w:p w:rsidR="00000000" w:rsidRDefault="00000000">
            <w:pPr>
              <w:jc w:val="right"/>
              <w:rPr>
                <w:sz w:val="16"/>
                <w:szCs w:val="14"/>
              </w:rPr>
            </w:pPr>
            <w:r>
              <w:rPr>
                <w:sz w:val="16"/>
                <w:szCs w:val="14"/>
              </w:rPr>
              <w:t>72.959</w:t>
            </w:r>
          </w:p>
        </w:tc>
        <w:tc>
          <w:tcPr>
            <w:tcW w:w="447" w:type="pct"/>
            <w:noWrap/>
            <w:vAlign w:val="bottom"/>
          </w:tcPr>
          <w:p w:rsidR="00000000" w:rsidRDefault="00000000">
            <w:pPr>
              <w:jc w:val="right"/>
              <w:rPr>
                <w:sz w:val="16"/>
                <w:szCs w:val="14"/>
              </w:rPr>
            </w:pPr>
            <w:r>
              <w:rPr>
                <w:sz w:val="16"/>
                <w:szCs w:val="14"/>
              </w:rPr>
              <w:t>56.058</w:t>
            </w:r>
          </w:p>
        </w:tc>
        <w:tc>
          <w:tcPr>
            <w:tcW w:w="447" w:type="pct"/>
            <w:noWrap/>
            <w:vAlign w:val="bottom"/>
          </w:tcPr>
          <w:p w:rsidR="00000000" w:rsidRDefault="00000000">
            <w:pPr>
              <w:jc w:val="right"/>
              <w:rPr>
                <w:sz w:val="16"/>
                <w:szCs w:val="14"/>
              </w:rPr>
            </w:pPr>
            <w:r>
              <w:rPr>
                <w:sz w:val="16"/>
                <w:szCs w:val="14"/>
              </w:rPr>
              <w:t>277.891</w:t>
            </w:r>
          </w:p>
        </w:tc>
        <w:tc>
          <w:tcPr>
            <w:tcW w:w="447" w:type="pct"/>
            <w:vAlign w:val="bottom"/>
          </w:tcPr>
          <w:p w:rsidR="00000000" w:rsidRDefault="00000000">
            <w:pPr>
              <w:jc w:val="right"/>
              <w:rPr>
                <w:sz w:val="16"/>
                <w:szCs w:val="14"/>
              </w:rPr>
            </w:pPr>
            <w:r>
              <w:rPr>
                <w:sz w:val="16"/>
                <w:szCs w:val="14"/>
              </w:rPr>
              <w:t>263.536</w:t>
            </w:r>
          </w:p>
        </w:tc>
        <w:tc>
          <w:tcPr>
            <w:tcW w:w="447" w:type="pct"/>
            <w:noWrap/>
            <w:vAlign w:val="bottom"/>
          </w:tcPr>
          <w:p w:rsidR="00000000" w:rsidRDefault="00000000">
            <w:pPr>
              <w:jc w:val="right"/>
              <w:rPr>
                <w:sz w:val="16"/>
                <w:szCs w:val="14"/>
              </w:rPr>
            </w:pPr>
            <w:r>
              <w:rPr>
                <w:sz w:val="16"/>
                <w:szCs w:val="14"/>
              </w:rPr>
              <w:t>14.106</w:t>
            </w:r>
          </w:p>
        </w:tc>
        <w:tc>
          <w:tcPr>
            <w:tcW w:w="422" w:type="pct"/>
            <w:noWrap/>
            <w:vAlign w:val="bottom"/>
          </w:tcPr>
          <w:p w:rsidR="00000000" w:rsidRDefault="00000000">
            <w:pPr>
              <w:jc w:val="right"/>
              <w:rPr>
                <w:sz w:val="16"/>
                <w:szCs w:val="14"/>
              </w:rPr>
            </w:pPr>
            <w:r>
              <w:rPr>
                <w:sz w:val="16"/>
                <w:szCs w:val="14"/>
              </w:rPr>
              <w:t>19.388</w:t>
            </w:r>
          </w:p>
        </w:tc>
      </w:tr>
      <w:tr w:rsidR="00000000">
        <w:trPr>
          <w:trHeight w:val="20"/>
        </w:trPr>
        <w:tc>
          <w:tcPr>
            <w:tcW w:w="1448" w:type="pct"/>
            <w:noWrap/>
            <w:vAlign w:val="bottom"/>
          </w:tcPr>
          <w:p w:rsidR="00000000" w:rsidRDefault="00000000">
            <w:pPr>
              <w:rPr>
                <w:sz w:val="16"/>
                <w:szCs w:val="14"/>
              </w:rPr>
            </w:pPr>
            <w:r>
              <w:rPr>
                <w:sz w:val="16"/>
                <w:szCs w:val="14"/>
              </w:rPr>
              <w:t>Gasto público total</w:t>
            </w:r>
          </w:p>
        </w:tc>
        <w:tc>
          <w:tcPr>
            <w:tcW w:w="447" w:type="pct"/>
            <w:noWrap/>
            <w:vAlign w:val="bottom"/>
          </w:tcPr>
          <w:p w:rsidR="00000000" w:rsidRDefault="00000000">
            <w:pPr>
              <w:jc w:val="right"/>
              <w:rPr>
                <w:sz w:val="16"/>
                <w:szCs w:val="14"/>
              </w:rPr>
            </w:pPr>
            <w:r>
              <w:rPr>
                <w:sz w:val="16"/>
                <w:szCs w:val="14"/>
              </w:rPr>
              <w:t>10.014.255</w:t>
            </w:r>
          </w:p>
        </w:tc>
        <w:tc>
          <w:tcPr>
            <w:tcW w:w="447" w:type="pct"/>
            <w:noWrap/>
            <w:vAlign w:val="bottom"/>
          </w:tcPr>
          <w:p w:rsidR="00000000" w:rsidRDefault="00000000">
            <w:pPr>
              <w:jc w:val="right"/>
              <w:rPr>
                <w:sz w:val="16"/>
                <w:szCs w:val="14"/>
              </w:rPr>
            </w:pPr>
            <w:r>
              <w:rPr>
                <w:sz w:val="16"/>
                <w:szCs w:val="14"/>
              </w:rPr>
              <w:t>10.142.171</w:t>
            </w:r>
          </w:p>
        </w:tc>
        <w:tc>
          <w:tcPr>
            <w:tcW w:w="447" w:type="pct"/>
            <w:noWrap/>
            <w:vAlign w:val="bottom"/>
          </w:tcPr>
          <w:p w:rsidR="00000000" w:rsidRDefault="00000000">
            <w:pPr>
              <w:jc w:val="right"/>
              <w:rPr>
                <w:sz w:val="16"/>
                <w:szCs w:val="14"/>
              </w:rPr>
            </w:pPr>
            <w:r>
              <w:rPr>
                <w:sz w:val="16"/>
                <w:szCs w:val="14"/>
              </w:rPr>
              <w:t>9.748.383</w:t>
            </w:r>
          </w:p>
        </w:tc>
        <w:tc>
          <w:tcPr>
            <w:tcW w:w="447" w:type="pct"/>
            <w:noWrap/>
            <w:vAlign w:val="bottom"/>
          </w:tcPr>
          <w:p w:rsidR="00000000" w:rsidRDefault="00000000">
            <w:pPr>
              <w:jc w:val="right"/>
              <w:rPr>
                <w:sz w:val="16"/>
                <w:szCs w:val="14"/>
              </w:rPr>
            </w:pPr>
            <w:r>
              <w:rPr>
                <w:sz w:val="16"/>
                <w:szCs w:val="14"/>
              </w:rPr>
              <w:t>11.226.571</w:t>
            </w:r>
          </w:p>
        </w:tc>
        <w:tc>
          <w:tcPr>
            <w:tcW w:w="447" w:type="pct"/>
            <w:noWrap/>
            <w:vAlign w:val="bottom"/>
          </w:tcPr>
          <w:p w:rsidR="00000000" w:rsidRDefault="00000000">
            <w:pPr>
              <w:jc w:val="right"/>
              <w:rPr>
                <w:sz w:val="16"/>
                <w:szCs w:val="14"/>
              </w:rPr>
            </w:pPr>
            <w:r>
              <w:rPr>
                <w:sz w:val="16"/>
                <w:szCs w:val="14"/>
              </w:rPr>
              <w:t>11.475.031</w:t>
            </w:r>
          </w:p>
        </w:tc>
        <w:tc>
          <w:tcPr>
            <w:tcW w:w="447" w:type="pct"/>
            <w:vAlign w:val="bottom"/>
          </w:tcPr>
          <w:p w:rsidR="00000000" w:rsidRDefault="00000000">
            <w:pPr>
              <w:jc w:val="right"/>
              <w:rPr>
                <w:sz w:val="16"/>
                <w:szCs w:val="14"/>
              </w:rPr>
            </w:pPr>
            <w:r>
              <w:rPr>
                <w:sz w:val="16"/>
                <w:szCs w:val="14"/>
              </w:rPr>
              <w:t>14.292.510</w:t>
            </w:r>
          </w:p>
        </w:tc>
        <w:tc>
          <w:tcPr>
            <w:tcW w:w="447" w:type="pct"/>
            <w:noWrap/>
            <w:vAlign w:val="bottom"/>
          </w:tcPr>
          <w:p w:rsidR="00000000" w:rsidRDefault="00000000">
            <w:pPr>
              <w:jc w:val="right"/>
              <w:rPr>
                <w:sz w:val="16"/>
                <w:szCs w:val="14"/>
              </w:rPr>
            </w:pPr>
            <w:r>
              <w:rPr>
                <w:sz w:val="16"/>
                <w:szCs w:val="14"/>
              </w:rPr>
              <w:t>15.546.136</w:t>
            </w:r>
          </w:p>
        </w:tc>
        <w:tc>
          <w:tcPr>
            <w:tcW w:w="422" w:type="pct"/>
            <w:noWrap/>
            <w:vAlign w:val="bottom"/>
          </w:tcPr>
          <w:p w:rsidR="00000000" w:rsidRDefault="00000000">
            <w:pPr>
              <w:jc w:val="right"/>
              <w:rPr>
                <w:sz w:val="16"/>
                <w:szCs w:val="14"/>
              </w:rPr>
            </w:pPr>
            <w:r>
              <w:rPr>
                <w:sz w:val="16"/>
                <w:szCs w:val="14"/>
              </w:rPr>
              <w:t>16.564.956</w:t>
            </w:r>
          </w:p>
        </w:tc>
      </w:tr>
      <w:tr w:rsidR="00000000">
        <w:trPr>
          <w:trHeight w:val="20"/>
        </w:trPr>
        <w:tc>
          <w:tcPr>
            <w:tcW w:w="1448" w:type="pct"/>
            <w:noWrap/>
            <w:vAlign w:val="bottom"/>
          </w:tcPr>
          <w:p w:rsidR="00000000" w:rsidRDefault="00000000">
            <w:pPr>
              <w:rPr>
                <w:sz w:val="16"/>
                <w:szCs w:val="14"/>
              </w:rPr>
            </w:pPr>
            <w:r>
              <w:rPr>
                <w:sz w:val="16"/>
                <w:szCs w:val="14"/>
              </w:rPr>
              <w:t>Gasto total en salud del país</w:t>
            </w:r>
          </w:p>
        </w:tc>
        <w:tc>
          <w:tcPr>
            <w:tcW w:w="447" w:type="pct"/>
            <w:noWrap/>
            <w:vAlign w:val="bottom"/>
          </w:tcPr>
          <w:p w:rsidR="00000000" w:rsidRDefault="00000000">
            <w:pPr>
              <w:jc w:val="right"/>
              <w:rPr>
                <w:sz w:val="16"/>
                <w:szCs w:val="14"/>
              </w:rPr>
            </w:pPr>
            <w:r>
              <w:rPr>
                <w:sz w:val="16"/>
                <w:szCs w:val="14"/>
              </w:rPr>
              <w:t>1.324.732</w:t>
            </w:r>
          </w:p>
        </w:tc>
        <w:tc>
          <w:tcPr>
            <w:tcW w:w="447" w:type="pct"/>
            <w:noWrap/>
            <w:vAlign w:val="bottom"/>
          </w:tcPr>
          <w:p w:rsidR="00000000" w:rsidRDefault="00000000">
            <w:pPr>
              <w:jc w:val="right"/>
              <w:rPr>
                <w:sz w:val="16"/>
                <w:szCs w:val="14"/>
              </w:rPr>
            </w:pPr>
            <w:r>
              <w:rPr>
                <w:sz w:val="16"/>
                <w:szCs w:val="14"/>
              </w:rPr>
              <w:t>1.526.484</w:t>
            </w:r>
          </w:p>
        </w:tc>
        <w:tc>
          <w:tcPr>
            <w:tcW w:w="447" w:type="pct"/>
            <w:noWrap/>
            <w:vAlign w:val="bottom"/>
          </w:tcPr>
          <w:p w:rsidR="00000000" w:rsidRDefault="00000000">
            <w:pPr>
              <w:jc w:val="right"/>
              <w:rPr>
                <w:sz w:val="16"/>
                <w:szCs w:val="14"/>
              </w:rPr>
            </w:pPr>
            <w:r>
              <w:rPr>
                <w:sz w:val="16"/>
                <w:szCs w:val="14"/>
              </w:rPr>
              <w:t>1.747.512</w:t>
            </w:r>
          </w:p>
        </w:tc>
        <w:tc>
          <w:tcPr>
            <w:tcW w:w="447" w:type="pct"/>
            <w:noWrap/>
            <w:vAlign w:val="bottom"/>
          </w:tcPr>
          <w:p w:rsidR="00000000" w:rsidRDefault="00000000">
            <w:pPr>
              <w:jc w:val="right"/>
              <w:rPr>
                <w:sz w:val="16"/>
                <w:szCs w:val="14"/>
              </w:rPr>
            </w:pPr>
            <w:r>
              <w:rPr>
                <w:sz w:val="16"/>
                <w:szCs w:val="14"/>
              </w:rPr>
              <w:t>2.273.199</w:t>
            </w:r>
          </w:p>
        </w:tc>
        <w:tc>
          <w:tcPr>
            <w:tcW w:w="447" w:type="pct"/>
            <w:noWrap/>
            <w:vAlign w:val="bottom"/>
          </w:tcPr>
          <w:p w:rsidR="00000000" w:rsidRDefault="00000000">
            <w:pPr>
              <w:jc w:val="right"/>
              <w:rPr>
                <w:sz w:val="16"/>
                <w:szCs w:val="14"/>
              </w:rPr>
            </w:pPr>
            <w:r>
              <w:rPr>
                <w:sz w:val="16"/>
                <w:szCs w:val="14"/>
              </w:rPr>
              <w:t>2.351.880</w:t>
            </w:r>
          </w:p>
        </w:tc>
        <w:tc>
          <w:tcPr>
            <w:tcW w:w="447" w:type="pct"/>
            <w:vAlign w:val="bottom"/>
          </w:tcPr>
          <w:p w:rsidR="00000000" w:rsidRDefault="00000000">
            <w:pPr>
              <w:jc w:val="right"/>
              <w:rPr>
                <w:sz w:val="16"/>
                <w:szCs w:val="14"/>
              </w:rPr>
            </w:pPr>
            <w:r>
              <w:rPr>
                <w:sz w:val="16"/>
                <w:szCs w:val="14"/>
              </w:rPr>
              <w:t>2.640.589</w:t>
            </w:r>
          </w:p>
        </w:tc>
        <w:tc>
          <w:tcPr>
            <w:tcW w:w="447" w:type="pct"/>
            <w:noWrap/>
            <w:vAlign w:val="bottom"/>
          </w:tcPr>
          <w:p w:rsidR="00000000" w:rsidRDefault="00000000">
            <w:pPr>
              <w:jc w:val="right"/>
              <w:rPr>
                <w:sz w:val="16"/>
                <w:szCs w:val="14"/>
              </w:rPr>
            </w:pPr>
            <w:r>
              <w:rPr>
                <w:sz w:val="16"/>
                <w:szCs w:val="14"/>
              </w:rPr>
              <w:t>2.813.799</w:t>
            </w:r>
          </w:p>
        </w:tc>
        <w:tc>
          <w:tcPr>
            <w:tcW w:w="422" w:type="pct"/>
            <w:noWrap/>
            <w:vAlign w:val="bottom"/>
          </w:tcPr>
          <w:p w:rsidR="00000000" w:rsidRDefault="00000000">
            <w:pPr>
              <w:jc w:val="right"/>
              <w:rPr>
                <w:sz w:val="16"/>
                <w:szCs w:val="14"/>
              </w:rPr>
            </w:pPr>
            <w:r>
              <w:rPr>
                <w:sz w:val="16"/>
                <w:szCs w:val="14"/>
              </w:rPr>
              <w:t>3.178.524</w:t>
            </w:r>
          </w:p>
        </w:tc>
      </w:tr>
      <w:tr w:rsidR="00000000">
        <w:trPr>
          <w:trHeight w:val="20"/>
        </w:trPr>
        <w:tc>
          <w:tcPr>
            <w:tcW w:w="1448" w:type="pct"/>
            <w:noWrap/>
            <w:vAlign w:val="bottom"/>
          </w:tcPr>
          <w:p w:rsidR="00000000" w:rsidRDefault="00000000">
            <w:pPr>
              <w:rPr>
                <w:sz w:val="16"/>
                <w:szCs w:val="14"/>
              </w:rPr>
            </w:pPr>
            <w:r>
              <w:rPr>
                <w:sz w:val="16"/>
                <w:szCs w:val="14"/>
              </w:rPr>
              <w:t>Gasto seguridad social en jubilaciones y pensiones/producto interno bruto (porcentaje)</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rPr>
            </w:pPr>
            <w:r>
              <w:rPr>
                <w:sz w:val="16"/>
                <w:szCs w:val="14"/>
              </w:rPr>
              <w:t>-</w:t>
            </w:r>
          </w:p>
        </w:tc>
        <w:tc>
          <w:tcPr>
            <w:tcW w:w="447" w:type="pct"/>
            <w:vAlign w:val="bottom"/>
          </w:tcPr>
          <w:p w:rsidR="00000000" w:rsidRDefault="00000000">
            <w:pPr>
              <w:tabs>
                <w:tab w:val="decimal" w:pos="368"/>
              </w:tabs>
              <w:jc w:val="right"/>
              <w:rPr>
                <w:sz w:val="16"/>
                <w:szCs w:val="14"/>
              </w:rPr>
            </w:pPr>
            <w:r>
              <w:rPr>
                <w:sz w:val="16"/>
                <w:szCs w:val="14"/>
              </w:rPr>
              <w:t>0,8</w:t>
            </w:r>
          </w:p>
        </w:tc>
        <w:tc>
          <w:tcPr>
            <w:tcW w:w="447" w:type="pct"/>
            <w:noWrap/>
            <w:vAlign w:val="bottom"/>
          </w:tcPr>
          <w:p w:rsidR="00000000" w:rsidRDefault="00000000">
            <w:pPr>
              <w:tabs>
                <w:tab w:val="decimal" w:pos="368"/>
              </w:tabs>
              <w:jc w:val="right"/>
              <w:rPr>
                <w:sz w:val="16"/>
                <w:szCs w:val="14"/>
              </w:rPr>
            </w:pPr>
            <w:r>
              <w:rPr>
                <w:sz w:val="16"/>
                <w:szCs w:val="14"/>
              </w:rPr>
              <w:t>0,9</w:t>
            </w:r>
          </w:p>
        </w:tc>
        <w:tc>
          <w:tcPr>
            <w:tcW w:w="422" w:type="pct"/>
            <w:noWrap/>
            <w:vAlign w:val="bottom"/>
          </w:tcPr>
          <w:p w:rsidR="00000000" w:rsidRDefault="00000000">
            <w:pPr>
              <w:tabs>
                <w:tab w:val="decimal" w:pos="368"/>
              </w:tabs>
              <w:jc w:val="right"/>
              <w:rPr>
                <w:sz w:val="16"/>
                <w:szCs w:val="14"/>
              </w:rPr>
            </w:pPr>
            <w:r>
              <w:rPr>
                <w:sz w:val="16"/>
                <w:szCs w:val="14"/>
              </w:rPr>
              <w:t>1,0</w:t>
            </w:r>
          </w:p>
        </w:tc>
      </w:tr>
      <w:tr w:rsidR="00000000">
        <w:trPr>
          <w:trHeight w:val="20"/>
        </w:trPr>
        <w:tc>
          <w:tcPr>
            <w:tcW w:w="1448" w:type="pct"/>
            <w:noWrap/>
            <w:vAlign w:val="bottom"/>
          </w:tcPr>
          <w:p w:rsidR="00000000" w:rsidRDefault="00000000">
            <w:pPr>
              <w:rPr>
                <w:sz w:val="16"/>
                <w:szCs w:val="14"/>
              </w:rPr>
            </w:pPr>
            <w:r>
              <w:rPr>
                <w:sz w:val="16"/>
                <w:szCs w:val="14"/>
              </w:rPr>
              <w:t>Gasto seguridad social en jubilaciones y pensiones/gasto de la Administración central (porcentaje)</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vAlign w:val="bottom"/>
          </w:tcPr>
          <w:p w:rsidR="00000000" w:rsidRDefault="00000000">
            <w:pPr>
              <w:tabs>
                <w:tab w:val="decimal" w:pos="368"/>
              </w:tabs>
              <w:jc w:val="right"/>
              <w:rPr>
                <w:sz w:val="16"/>
                <w:szCs w:val="14"/>
              </w:rPr>
            </w:pPr>
            <w:r>
              <w:rPr>
                <w:sz w:val="16"/>
                <w:szCs w:val="14"/>
              </w:rPr>
              <w:t>3,7</w:t>
            </w:r>
          </w:p>
        </w:tc>
        <w:tc>
          <w:tcPr>
            <w:tcW w:w="447" w:type="pct"/>
            <w:noWrap/>
            <w:vAlign w:val="bottom"/>
          </w:tcPr>
          <w:p w:rsidR="00000000" w:rsidRDefault="00000000">
            <w:pPr>
              <w:tabs>
                <w:tab w:val="decimal" w:pos="368"/>
              </w:tabs>
              <w:jc w:val="right"/>
              <w:rPr>
                <w:sz w:val="16"/>
                <w:szCs w:val="14"/>
              </w:rPr>
            </w:pPr>
            <w:r>
              <w:rPr>
                <w:sz w:val="16"/>
                <w:szCs w:val="14"/>
              </w:rPr>
              <w:t>4,2</w:t>
            </w:r>
          </w:p>
        </w:tc>
        <w:tc>
          <w:tcPr>
            <w:tcW w:w="422" w:type="pct"/>
            <w:noWrap/>
            <w:vAlign w:val="bottom"/>
          </w:tcPr>
          <w:p w:rsidR="00000000" w:rsidRDefault="00000000">
            <w:pPr>
              <w:tabs>
                <w:tab w:val="decimal" w:pos="368"/>
              </w:tabs>
              <w:jc w:val="right"/>
              <w:rPr>
                <w:sz w:val="16"/>
                <w:szCs w:val="14"/>
              </w:rPr>
            </w:pPr>
            <w:r>
              <w:rPr>
                <w:sz w:val="16"/>
                <w:szCs w:val="14"/>
              </w:rPr>
              <w:t>4,7</w:t>
            </w:r>
          </w:p>
        </w:tc>
      </w:tr>
      <w:tr w:rsidR="00000000">
        <w:trPr>
          <w:trHeight w:val="20"/>
        </w:trPr>
        <w:tc>
          <w:tcPr>
            <w:tcW w:w="1448" w:type="pct"/>
            <w:noWrap/>
            <w:vAlign w:val="bottom"/>
          </w:tcPr>
          <w:p w:rsidR="00000000" w:rsidRDefault="00000000">
            <w:pPr>
              <w:rPr>
                <w:sz w:val="16"/>
                <w:szCs w:val="14"/>
              </w:rPr>
            </w:pPr>
            <w:r>
              <w:rPr>
                <w:sz w:val="16"/>
                <w:szCs w:val="14"/>
              </w:rPr>
              <w:t>Gasto seguridad social en jubilaciones y pensiones/gasto público total (porcentaje)</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vAlign w:val="bottom"/>
          </w:tcPr>
          <w:p w:rsidR="00000000" w:rsidRDefault="00000000">
            <w:pPr>
              <w:tabs>
                <w:tab w:val="decimal" w:pos="368"/>
              </w:tabs>
              <w:jc w:val="right"/>
              <w:rPr>
                <w:sz w:val="16"/>
                <w:szCs w:val="14"/>
              </w:rPr>
            </w:pPr>
            <w:r>
              <w:rPr>
                <w:sz w:val="16"/>
                <w:szCs w:val="14"/>
              </w:rPr>
              <w:t>1,9</w:t>
            </w:r>
          </w:p>
        </w:tc>
        <w:tc>
          <w:tcPr>
            <w:tcW w:w="447" w:type="pct"/>
            <w:noWrap/>
            <w:vAlign w:val="bottom"/>
          </w:tcPr>
          <w:p w:rsidR="00000000" w:rsidRDefault="00000000">
            <w:pPr>
              <w:tabs>
                <w:tab w:val="decimal" w:pos="368"/>
              </w:tabs>
              <w:jc w:val="right"/>
              <w:rPr>
                <w:sz w:val="16"/>
                <w:szCs w:val="14"/>
              </w:rPr>
            </w:pPr>
            <w:r>
              <w:rPr>
                <w:sz w:val="16"/>
                <w:szCs w:val="14"/>
              </w:rPr>
              <w:t>2,2</w:t>
            </w:r>
          </w:p>
        </w:tc>
        <w:tc>
          <w:tcPr>
            <w:tcW w:w="422" w:type="pct"/>
            <w:noWrap/>
            <w:vAlign w:val="bottom"/>
          </w:tcPr>
          <w:p w:rsidR="00000000" w:rsidRDefault="00000000">
            <w:pPr>
              <w:tabs>
                <w:tab w:val="decimal" w:pos="368"/>
              </w:tabs>
              <w:jc w:val="right"/>
              <w:rPr>
                <w:sz w:val="16"/>
                <w:szCs w:val="14"/>
              </w:rPr>
            </w:pPr>
            <w:r>
              <w:rPr>
                <w:sz w:val="16"/>
                <w:szCs w:val="14"/>
              </w:rPr>
              <w:t>2,5</w:t>
            </w:r>
          </w:p>
        </w:tc>
      </w:tr>
      <w:tr w:rsidR="00000000">
        <w:trPr>
          <w:trHeight w:val="20"/>
        </w:trPr>
        <w:tc>
          <w:tcPr>
            <w:tcW w:w="1448" w:type="pct"/>
            <w:noWrap/>
            <w:vAlign w:val="bottom"/>
          </w:tcPr>
          <w:p w:rsidR="00000000" w:rsidRDefault="00000000">
            <w:pPr>
              <w:rPr>
                <w:sz w:val="16"/>
                <w:szCs w:val="14"/>
              </w:rPr>
            </w:pPr>
            <w:r>
              <w:rPr>
                <w:sz w:val="16"/>
                <w:szCs w:val="14"/>
              </w:rPr>
              <w:t>Gasto seguridad social en salud/gasto total de la seguridad social (porcentaje)</w:t>
            </w:r>
          </w:p>
        </w:tc>
        <w:tc>
          <w:tcPr>
            <w:tcW w:w="447" w:type="pct"/>
            <w:noWrap/>
            <w:vAlign w:val="bottom"/>
          </w:tcPr>
          <w:p w:rsidR="00000000" w:rsidRDefault="00000000">
            <w:pPr>
              <w:tabs>
                <w:tab w:val="decimal" w:pos="368"/>
              </w:tabs>
              <w:jc w:val="right"/>
              <w:rPr>
                <w:sz w:val="16"/>
                <w:szCs w:val="14"/>
              </w:rPr>
            </w:pPr>
            <w:r>
              <w:rPr>
                <w:sz w:val="16"/>
                <w:szCs w:val="14"/>
              </w:rPr>
              <w:t>33,1</w:t>
            </w:r>
          </w:p>
        </w:tc>
        <w:tc>
          <w:tcPr>
            <w:tcW w:w="447" w:type="pct"/>
            <w:noWrap/>
            <w:vAlign w:val="bottom"/>
          </w:tcPr>
          <w:p w:rsidR="00000000" w:rsidRDefault="00000000">
            <w:pPr>
              <w:tabs>
                <w:tab w:val="decimal" w:pos="368"/>
              </w:tabs>
              <w:jc w:val="right"/>
              <w:rPr>
                <w:sz w:val="16"/>
                <w:szCs w:val="14"/>
              </w:rPr>
            </w:pPr>
            <w:r>
              <w:rPr>
                <w:sz w:val="16"/>
                <w:szCs w:val="14"/>
              </w:rPr>
              <w:t>50,0</w:t>
            </w:r>
          </w:p>
        </w:tc>
        <w:tc>
          <w:tcPr>
            <w:tcW w:w="447" w:type="pct"/>
            <w:noWrap/>
            <w:vAlign w:val="bottom"/>
          </w:tcPr>
          <w:p w:rsidR="00000000" w:rsidRDefault="00000000">
            <w:pPr>
              <w:tabs>
                <w:tab w:val="decimal" w:pos="368"/>
              </w:tabs>
              <w:jc w:val="right"/>
              <w:rPr>
                <w:sz w:val="16"/>
                <w:szCs w:val="14"/>
              </w:rPr>
            </w:pPr>
            <w:r>
              <w:rPr>
                <w:sz w:val="16"/>
                <w:szCs w:val="14"/>
              </w:rPr>
              <w:t>83,8</w:t>
            </w:r>
          </w:p>
        </w:tc>
        <w:tc>
          <w:tcPr>
            <w:tcW w:w="447" w:type="pct"/>
            <w:noWrap/>
            <w:vAlign w:val="bottom"/>
          </w:tcPr>
          <w:p w:rsidR="00000000" w:rsidRDefault="00000000">
            <w:pPr>
              <w:tabs>
                <w:tab w:val="decimal" w:pos="368"/>
              </w:tabs>
              <w:jc w:val="right"/>
              <w:rPr>
                <w:sz w:val="16"/>
                <w:szCs w:val="14"/>
              </w:rPr>
            </w:pPr>
            <w:r>
              <w:rPr>
                <w:sz w:val="16"/>
                <w:szCs w:val="14"/>
              </w:rPr>
              <w:t>89,6</w:t>
            </w:r>
          </w:p>
        </w:tc>
        <w:tc>
          <w:tcPr>
            <w:tcW w:w="447" w:type="pct"/>
            <w:noWrap/>
            <w:vAlign w:val="bottom"/>
          </w:tcPr>
          <w:p w:rsidR="00000000" w:rsidRDefault="00000000">
            <w:pPr>
              <w:tabs>
                <w:tab w:val="decimal" w:pos="368"/>
              </w:tabs>
              <w:jc w:val="right"/>
              <w:rPr>
                <w:sz w:val="16"/>
                <w:szCs w:val="14"/>
              </w:rPr>
            </w:pPr>
            <w:r>
              <w:rPr>
                <w:sz w:val="16"/>
                <w:szCs w:val="14"/>
              </w:rPr>
              <w:t>58,7</w:t>
            </w:r>
          </w:p>
        </w:tc>
        <w:tc>
          <w:tcPr>
            <w:tcW w:w="447" w:type="pct"/>
            <w:vAlign w:val="bottom"/>
          </w:tcPr>
          <w:p w:rsidR="00000000" w:rsidRDefault="00000000">
            <w:pPr>
              <w:tabs>
                <w:tab w:val="decimal" w:pos="368"/>
              </w:tabs>
              <w:jc w:val="right"/>
              <w:rPr>
                <w:sz w:val="16"/>
                <w:szCs w:val="14"/>
              </w:rPr>
            </w:pPr>
            <w:r>
              <w:rPr>
                <w:sz w:val="16"/>
                <w:szCs w:val="14"/>
              </w:rPr>
              <w:t>37,3</w:t>
            </w:r>
          </w:p>
        </w:tc>
        <w:tc>
          <w:tcPr>
            <w:tcW w:w="447" w:type="pct"/>
            <w:noWrap/>
            <w:vAlign w:val="bottom"/>
          </w:tcPr>
          <w:p w:rsidR="00000000" w:rsidRDefault="00000000">
            <w:pPr>
              <w:tabs>
                <w:tab w:val="decimal" w:pos="368"/>
              </w:tabs>
              <w:jc w:val="right"/>
              <w:rPr>
                <w:sz w:val="16"/>
                <w:szCs w:val="14"/>
              </w:rPr>
            </w:pPr>
            <w:r>
              <w:rPr>
                <w:sz w:val="16"/>
                <w:szCs w:val="14"/>
              </w:rPr>
              <w:t>50,0</w:t>
            </w:r>
          </w:p>
        </w:tc>
        <w:tc>
          <w:tcPr>
            <w:tcW w:w="422" w:type="pct"/>
            <w:noWrap/>
            <w:vAlign w:val="bottom"/>
          </w:tcPr>
          <w:p w:rsidR="00000000" w:rsidRDefault="00000000">
            <w:pPr>
              <w:tabs>
                <w:tab w:val="decimal" w:pos="368"/>
              </w:tabs>
              <w:jc w:val="right"/>
              <w:rPr>
                <w:sz w:val="16"/>
                <w:szCs w:val="14"/>
              </w:rPr>
            </w:pPr>
            <w:r>
              <w:rPr>
                <w:sz w:val="16"/>
                <w:szCs w:val="14"/>
              </w:rPr>
              <w:t>48,3</w:t>
            </w:r>
          </w:p>
        </w:tc>
      </w:tr>
      <w:tr w:rsidR="00000000">
        <w:trPr>
          <w:trHeight w:val="20"/>
        </w:trPr>
        <w:tc>
          <w:tcPr>
            <w:tcW w:w="1448" w:type="pct"/>
            <w:noWrap/>
            <w:vAlign w:val="bottom"/>
          </w:tcPr>
          <w:p w:rsidR="00000000" w:rsidRDefault="00000000">
            <w:pPr>
              <w:rPr>
                <w:sz w:val="16"/>
                <w:szCs w:val="14"/>
              </w:rPr>
            </w:pPr>
            <w:r>
              <w:rPr>
                <w:sz w:val="16"/>
                <w:szCs w:val="14"/>
              </w:rPr>
              <w:t>Gasto seguridad social en jubilaciones y pensiones/gasto total de la seguridad social (porcentaje)</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noWrap/>
            <w:vAlign w:val="bottom"/>
          </w:tcPr>
          <w:p w:rsidR="00000000" w:rsidRDefault="00000000">
            <w:pPr>
              <w:jc w:val="right"/>
              <w:rPr>
                <w:sz w:val="16"/>
                <w:szCs w:val="14"/>
              </w:rPr>
            </w:pPr>
            <w:r>
              <w:rPr>
                <w:sz w:val="16"/>
                <w:szCs w:val="14"/>
              </w:rPr>
              <w:t>-</w:t>
            </w:r>
          </w:p>
        </w:tc>
        <w:tc>
          <w:tcPr>
            <w:tcW w:w="447" w:type="pct"/>
            <w:vAlign w:val="bottom"/>
          </w:tcPr>
          <w:p w:rsidR="00000000" w:rsidRDefault="00000000">
            <w:pPr>
              <w:tabs>
                <w:tab w:val="decimal" w:pos="368"/>
              </w:tabs>
              <w:jc w:val="right"/>
              <w:rPr>
                <w:sz w:val="16"/>
                <w:szCs w:val="14"/>
              </w:rPr>
            </w:pPr>
            <w:r>
              <w:rPr>
                <w:sz w:val="16"/>
                <w:szCs w:val="14"/>
              </w:rPr>
              <w:t>31,8</w:t>
            </w:r>
          </w:p>
        </w:tc>
        <w:tc>
          <w:tcPr>
            <w:tcW w:w="447" w:type="pct"/>
            <w:noWrap/>
            <w:vAlign w:val="bottom"/>
          </w:tcPr>
          <w:p w:rsidR="00000000" w:rsidRDefault="00000000">
            <w:pPr>
              <w:tabs>
                <w:tab w:val="decimal" w:pos="368"/>
              </w:tabs>
              <w:jc w:val="right"/>
              <w:rPr>
                <w:sz w:val="16"/>
                <w:szCs w:val="14"/>
              </w:rPr>
            </w:pPr>
            <w:r>
              <w:rPr>
                <w:sz w:val="16"/>
                <w:szCs w:val="14"/>
              </w:rPr>
              <w:t>48,0</w:t>
            </w:r>
          </w:p>
        </w:tc>
        <w:tc>
          <w:tcPr>
            <w:tcW w:w="422" w:type="pct"/>
            <w:noWrap/>
            <w:vAlign w:val="bottom"/>
          </w:tcPr>
          <w:p w:rsidR="00000000" w:rsidRDefault="00000000">
            <w:pPr>
              <w:tabs>
                <w:tab w:val="decimal" w:pos="368"/>
              </w:tabs>
              <w:jc w:val="right"/>
              <w:rPr>
                <w:sz w:val="16"/>
                <w:szCs w:val="14"/>
              </w:rPr>
            </w:pPr>
            <w:r>
              <w:rPr>
                <w:sz w:val="16"/>
                <w:szCs w:val="14"/>
              </w:rPr>
              <w:t>49,4</w:t>
            </w:r>
          </w:p>
        </w:tc>
      </w:tr>
    </w:tbl>
    <w:p w:rsidR="00000000" w:rsidRDefault="00000000">
      <w:pPr>
        <w:spacing w:before="180" w:after="180"/>
        <w:rPr>
          <w:sz w:val="16"/>
          <w:szCs w:val="14"/>
        </w:rPr>
      </w:pPr>
      <w:r>
        <w:rPr>
          <w:i/>
          <w:iCs/>
          <w:sz w:val="16"/>
          <w:szCs w:val="16"/>
        </w:rPr>
        <w:t>Fuente:</w:t>
      </w:r>
      <w:r>
        <w:rPr>
          <w:sz w:val="16"/>
          <w:szCs w:val="16"/>
        </w:rPr>
        <w:t xml:space="preserve">  Departamento de Cuentas Nacionales de Salud, 2005.</w:t>
      </w:r>
      <w:r>
        <w:rPr>
          <w:sz w:val="16"/>
          <w:szCs w:val="14"/>
        </w:rPr>
        <w:t xml:space="preserve"> </w:t>
      </w:r>
    </w:p>
    <w:p w:rsidR="00000000" w:rsidRDefault="00000000">
      <w:pPr>
        <w:spacing w:after="180"/>
        <w:rPr>
          <w:sz w:val="16"/>
          <w:szCs w:val="14"/>
        </w:rPr>
      </w:pPr>
      <w:r>
        <w:rPr>
          <w:b/>
          <w:bCs/>
          <w:sz w:val="16"/>
          <w:szCs w:val="14"/>
        </w:rPr>
        <w:t>*</w:t>
      </w:r>
      <w:r>
        <w:rPr>
          <w:sz w:val="16"/>
          <w:szCs w:val="14"/>
        </w:rPr>
        <w:t xml:space="preserve"> Datos del balance.  Dirección General de Planificación y Evaluación - M.S.P. y B.S.</w:t>
      </w:r>
    </w:p>
    <w:p w:rsidR="00000000" w:rsidRDefault="00000000">
      <w:pPr>
        <w:spacing w:after="180"/>
        <w:rPr>
          <w:sz w:val="16"/>
          <w:szCs w:val="14"/>
        </w:rPr>
      </w:pPr>
      <w:r>
        <w:rPr>
          <w:sz w:val="16"/>
          <w:szCs w:val="14"/>
        </w:rPr>
        <w:t>Gasto del IPS - Seguridad social (presupuesto obligado en millones de guaraníes).</w:t>
      </w:r>
    </w:p>
    <w:p w:rsidR="00000000" w:rsidRDefault="00000000">
      <w:pPr>
        <w:spacing w:after="360"/>
        <w:rPr>
          <w:sz w:val="16"/>
          <w:szCs w:val="14"/>
        </w:rPr>
      </w:pPr>
      <w:r>
        <w:rPr>
          <w:sz w:val="16"/>
          <w:szCs w:val="14"/>
        </w:rPr>
        <w:t>1996 - 1997 = presupuesto vigente.</w:t>
      </w:r>
    </w:p>
    <w:p w:rsidR="00000000" w:rsidRDefault="00000000">
      <w:pPr>
        <w:keepNext/>
        <w:spacing w:after="240"/>
        <w:jc w:val="center"/>
        <w:rPr>
          <w:b/>
        </w:rPr>
      </w:pPr>
      <w:r>
        <w:rPr>
          <w:b/>
        </w:rPr>
        <w:t>Distribución del presupuesto del Ministerio de Salud Pública y Bienestar Social</w:t>
      </w:r>
    </w:p>
    <w:tbl>
      <w:tblPr>
        <w:tblW w:w="5000" w:type="pct"/>
        <w:tblLayout w:type="fixed"/>
        <w:tblCellMar>
          <w:left w:w="70" w:type="dxa"/>
          <w:right w:w="70" w:type="dxa"/>
        </w:tblCellMar>
        <w:tblLook w:val="0000" w:firstRow="0" w:lastRow="0" w:firstColumn="0" w:lastColumn="0" w:noHBand="0" w:noVBand="0"/>
      </w:tblPr>
      <w:tblGrid>
        <w:gridCol w:w="4869"/>
        <w:gridCol w:w="925"/>
        <w:gridCol w:w="925"/>
        <w:gridCol w:w="925"/>
        <w:gridCol w:w="925"/>
        <w:gridCol w:w="925"/>
      </w:tblGrid>
      <w:tr w:rsidR="00000000">
        <w:tc>
          <w:tcPr>
            <w:tcW w:w="2565"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jc w:val="center"/>
              <w:rPr>
                <w:b/>
                <w:szCs w:val="20"/>
              </w:rPr>
            </w:pPr>
            <w:r>
              <w:rPr>
                <w:b/>
                <w:szCs w:val="20"/>
              </w:rPr>
              <w:t>Función/servicios de salud</w:t>
            </w:r>
          </w:p>
        </w:tc>
        <w:tc>
          <w:tcPr>
            <w:tcW w:w="487"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jc w:val="center"/>
              <w:rPr>
                <w:b/>
                <w:bCs/>
                <w:szCs w:val="20"/>
              </w:rPr>
            </w:pPr>
            <w:r>
              <w:rPr>
                <w:b/>
                <w:bCs/>
                <w:szCs w:val="20"/>
              </w:rPr>
              <w:t>2000</w:t>
            </w:r>
          </w:p>
        </w:tc>
        <w:tc>
          <w:tcPr>
            <w:tcW w:w="487"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jc w:val="center"/>
              <w:rPr>
                <w:b/>
                <w:bCs/>
                <w:szCs w:val="20"/>
              </w:rPr>
            </w:pPr>
            <w:r>
              <w:rPr>
                <w:b/>
                <w:bCs/>
                <w:szCs w:val="20"/>
              </w:rPr>
              <w:t>2001</w:t>
            </w:r>
          </w:p>
        </w:tc>
        <w:tc>
          <w:tcPr>
            <w:tcW w:w="487"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jc w:val="center"/>
              <w:rPr>
                <w:b/>
                <w:bCs/>
                <w:szCs w:val="20"/>
              </w:rPr>
            </w:pPr>
            <w:r>
              <w:rPr>
                <w:b/>
                <w:bCs/>
                <w:szCs w:val="20"/>
              </w:rPr>
              <w:t>2002</w:t>
            </w:r>
          </w:p>
        </w:tc>
        <w:tc>
          <w:tcPr>
            <w:tcW w:w="487"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jc w:val="center"/>
              <w:rPr>
                <w:b/>
                <w:bCs/>
                <w:szCs w:val="20"/>
              </w:rPr>
            </w:pPr>
            <w:r>
              <w:rPr>
                <w:b/>
                <w:bCs/>
                <w:szCs w:val="20"/>
              </w:rPr>
              <w:t>2003</w:t>
            </w:r>
          </w:p>
        </w:tc>
        <w:tc>
          <w:tcPr>
            <w:tcW w:w="487"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jc w:val="center"/>
              <w:rPr>
                <w:b/>
                <w:bCs/>
                <w:szCs w:val="20"/>
              </w:rPr>
            </w:pPr>
            <w:r>
              <w:rPr>
                <w:b/>
                <w:bCs/>
                <w:szCs w:val="20"/>
              </w:rPr>
              <w:t>2004</w:t>
            </w:r>
          </w:p>
        </w:tc>
      </w:tr>
      <w:tr w:rsidR="00000000">
        <w:tc>
          <w:tcPr>
            <w:tcW w:w="2565" w:type="pct"/>
            <w:tcBorders>
              <w:top w:val="single" w:sz="4" w:space="0" w:color="auto"/>
              <w:left w:val="single" w:sz="4" w:space="0" w:color="auto"/>
              <w:bottom w:val="single" w:sz="4" w:space="0" w:color="auto"/>
              <w:right w:val="single" w:sz="4" w:space="0" w:color="auto"/>
            </w:tcBorders>
            <w:noWrap/>
            <w:vAlign w:val="bottom"/>
          </w:tcPr>
          <w:p w:rsidR="00000000" w:rsidRDefault="00000000">
            <w:pPr>
              <w:keepNext/>
              <w:rPr>
                <w:b/>
                <w:szCs w:val="20"/>
              </w:rPr>
            </w:pPr>
            <w:r>
              <w:rPr>
                <w:b/>
                <w:szCs w:val="20"/>
              </w:rPr>
              <w:t>Presupuesto obligado (millones de guaraníes)</w:t>
            </w:r>
          </w:p>
        </w:tc>
        <w:tc>
          <w:tcPr>
            <w:tcW w:w="487" w:type="pct"/>
            <w:tcBorders>
              <w:top w:val="single" w:sz="4" w:space="0" w:color="auto"/>
              <w:left w:val="nil"/>
              <w:bottom w:val="single" w:sz="4" w:space="0" w:color="auto"/>
              <w:right w:val="single" w:sz="4" w:space="0" w:color="auto"/>
            </w:tcBorders>
            <w:noWrap/>
            <w:vAlign w:val="bottom"/>
          </w:tcPr>
          <w:p w:rsidR="00000000" w:rsidRDefault="00000000">
            <w:pPr>
              <w:keepNext/>
              <w:tabs>
                <w:tab w:val="decimal" w:pos="482"/>
              </w:tabs>
              <w:rPr>
                <w:szCs w:val="20"/>
              </w:rPr>
            </w:pPr>
            <w:r>
              <w:rPr>
                <w:szCs w:val="20"/>
              </w:rPr>
              <w:t>35,0</w:t>
            </w:r>
          </w:p>
        </w:tc>
        <w:tc>
          <w:tcPr>
            <w:tcW w:w="487" w:type="pct"/>
            <w:tcBorders>
              <w:top w:val="single" w:sz="4" w:space="0" w:color="auto"/>
              <w:left w:val="nil"/>
              <w:bottom w:val="single" w:sz="4" w:space="0" w:color="auto"/>
              <w:right w:val="single" w:sz="4" w:space="0" w:color="auto"/>
            </w:tcBorders>
            <w:noWrap/>
            <w:vAlign w:val="bottom"/>
          </w:tcPr>
          <w:p w:rsidR="00000000" w:rsidRDefault="00000000">
            <w:pPr>
              <w:keepNext/>
              <w:tabs>
                <w:tab w:val="decimal" w:pos="482"/>
              </w:tabs>
              <w:rPr>
                <w:szCs w:val="20"/>
              </w:rPr>
            </w:pPr>
            <w:r>
              <w:rPr>
                <w:szCs w:val="20"/>
              </w:rPr>
              <w:t>34,8</w:t>
            </w:r>
          </w:p>
        </w:tc>
        <w:tc>
          <w:tcPr>
            <w:tcW w:w="487" w:type="pct"/>
            <w:tcBorders>
              <w:top w:val="single" w:sz="4" w:space="0" w:color="auto"/>
              <w:left w:val="nil"/>
              <w:bottom w:val="single" w:sz="4" w:space="0" w:color="auto"/>
              <w:right w:val="single" w:sz="4" w:space="0" w:color="auto"/>
            </w:tcBorders>
            <w:noWrap/>
            <w:vAlign w:val="bottom"/>
          </w:tcPr>
          <w:p w:rsidR="00000000" w:rsidRDefault="00000000">
            <w:pPr>
              <w:keepNext/>
              <w:tabs>
                <w:tab w:val="decimal" w:pos="411"/>
              </w:tabs>
              <w:rPr>
                <w:szCs w:val="20"/>
              </w:rPr>
            </w:pPr>
            <w:r>
              <w:rPr>
                <w:szCs w:val="20"/>
              </w:rPr>
              <w:t>35,1</w:t>
            </w:r>
          </w:p>
        </w:tc>
        <w:tc>
          <w:tcPr>
            <w:tcW w:w="487" w:type="pct"/>
            <w:tcBorders>
              <w:top w:val="single" w:sz="4" w:space="0" w:color="auto"/>
              <w:left w:val="nil"/>
              <w:bottom w:val="single" w:sz="4" w:space="0" w:color="auto"/>
              <w:right w:val="single" w:sz="4" w:space="0" w:color="auto"/>
            </w:tcBorders>
            <w:noWrap/>
            <w:vAlign w:val="bottom"/>
          </w:tcPr>
          <w:p w:rsidR="00000000" w:rsidRDefault="00000000">
            <w:pPr>
              <w:keepNext/>
              <w:tabs>
                <w:tab w:val="decimal" w:pos="411"/>
              </w:tabs>
              <w:rPr>
                <w:szCs w:val="20"/>
              </w:rPr>
            </w:pPr>
            <w:r>
              <w:rPr>
                <w:szCs w:val="20"/>
              </w:rPr>
              <w:t>35,4</w:t>
            </w:r>
          </w:p>
        </w:tc>
        <w:tc>
          <w:tcPr>
            <w:tcW w:w="487" w:type="pct"/>
            <w:tcBorders>
              <w:top w:val="single" w:sz="4" w:space="0" w:color="auto"/>
              <w:left w:val="nil"/>
              <w:bottom w:val="single" w:sz="4" w:space="0" w:color="auto"/>
              <w:right w:val="single" w:sz="4" w:space="0" w:color="auto"/>
            </w:tcBorders>
            <w:noWrap/>
            <w:vAlign w:val="bottom"/>
          </w:tcPr>
          <w:p w:rsidR="00000000" w:rsidRDefault="00000000">
            <w:pPr>
              <w:keepNext/>
              <w:tabs>
                <w:tab w:val="decimal" w:pos="411"/>
              </w:tabs>
              <w:rPr>
                <w:szCs w:val="20"/>
              </w:rPr>
            </w:pPr>
            <w:r>
              <w:rPr>
                <w:szCs w:val="20"/>
              </w:rPr>
              <w:t>35,3</w:t>
            </w:r>
          </w:p>
        </w:tc>
      </w:tr>
      <w:tr w:rsidR="00000000">
        <w:tc>
          <w:tcPr>
            <w:tcW w:w="2565" w:type="pct"/>
            <w:tcBorders>
              <w:top w:val="nil"/>
              <w:left w:val="single" w:sz="4" w:space="0" w:color="auto"/>
              <w:bottom w:val="single" w:sz="4" w:space="0" w:color="auto"/>
              <w:right w:val="single" w:sz="4" w:space="0" w:color="auto"/>
            </w:tcBorders>
            <w:noWrap/>
            <w:vAlign w:val="bottom"/>
          </w:tcPr>
          <w:p w:rsidR="00000000" w:rsidRDefault="00000000">
            <w:pPr>
              <w:rPr>
                <w:szCs w:val="20"/>
              </w:rPr>
            </w:pPr>
            <w:r>
              <w:rPr>
                <w:szCs w:val="20"/>
              </w:rPr>
              <w:t>Atención curativa ambulatoria (porcentaje)</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24,0</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23,2</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23,4</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26,1</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24,4</w:t>
            </w:r>
          </w:p>
        </w:tc>
      </w:tr>
      <w:tr w:rsidR="00000000">
        <w:tc>
          <w:tcPr>
            <w:tcW w:w="2565" w:type="pct"/>
            <w:tcBorders>
              <w:top w:val="nil"/>
              <w:left w:val="single" w:sz="4" w:space="0" w:color="auto"/>
              <w:bottom w:val="single" w:sz="4" w:space="0" w:color="auto"/>
              <w:right w:val="single" w:sz="4" w:space="0" w:color="auto"/>
            </w:tcBorders>
            <w:noWrap/>
            <w:vAlign w:val="bottom"/>
          </w:tcPr>
          <w:p w:rsidR="00000000" w:rsidRDefault="00000000">
            <w:pPr>
              <w:rPr>
                <w:szCs w:val="20"/>
              </w:rPr>
            </w:pPr>
            <w:r>
              <w:rPr>
                <w:szCs w:val="20"/>
              </w:rPr>
              <w:t>Subtotal de atención curativa (porcentaje)</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59,0</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58,0</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58,5</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61,5</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59,7</w:t>
            </w:r>
          </w:p>
        </w:tc>
      </w:tr>
      <w:tr w:rsidR="00000000">
        <w:tc>
          <w:tcPr>
            <w:tcW w:w="2565" w:type="pct"/>
            <w:tcBorders>
              <w:top w:val="nil"/>
              <w:left w:val="single" w:sz="4" w:space="0" w:color="auto"/>
              <w:bottom w:val="single" w:sz="4" w:space="0" w:color="auto"/>
              <w:right w:val="single" w:sz="4" w:space="0" w:color="auto"/>
            </w:tcBorders>
            <w:noWrap/>
            <w:vAlign w:val="bottom"/>
          </w:tcPr>
          <w:p w:rsidR="00000000" w:rsidRDefault="00000000">
            <w:pPr>
              <w:rPr>
                <w:szCs w:val="20"/>
              </w:rPr>
            </w:pPr>
            <w:r>
              <w:rPr>
                <w:szCs w:val="20"/>
              </w:rPr>
              <w:t>Emergencias (porcentaje)</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3,7</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4,6</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4,9</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5,4</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4,7</w:t>
            </w:r>
          </w:p>
        </w:tc>
      </w:tr>
      <w:tr w:rsidR="00000000">
        <w:tc>
          <w:tcPr>
            <w:tcW w:w="2565" w:type="pct"/>
            <w:tcBorders>
              <w:top w:val="nil"/>
              <w:left w:val="single" w:sz="4" w:space="0" w:color="auto"/>
              <w:bottom w:val="single" w:sz="4" w:space="0" w:color="auto"/>
              <w:right w:val="single" w:sz="4" w:space="0" w:color="auto"/>
            </w:tcBorders>
            <w:noWrap/>
            <w:vAlign w:val="bottom"/>
          </w:tcPr>
          <w:p w:rsidR="00000000" w:rsidRDefault="00000000">
            <w:pPr>
              <w:rPr>
                <w:szCs w:val="20"/>
              </w:rPr>
            </w:pPr>
            <w:r>
              <w:rPr>
                <w:szCs w:val="20"/>
              </w:rPr>
              <w:t>Servicios de prevención y salud pública (porcentaje)</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10,2</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10,6</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11,3</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12,9</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11,5</w:t>
            </w:r>
          </w:p>
        </w:tc>
      </w:tr>
      <w:tr w:rsidR="00000000">
        <w:tc>
          <w:tcPr>
            <w:tcW w:w="2565" w:type="pct"/>
            <w:tcBorders>
              <w:top w:val="nil"/>
              <w:left w:val="single" w:sz="4" w:space="0" w:color="auto"/>
              <w:bottom w:val="single" w:sz="4" w:space="0" w:color="auto"/>
              <w:right w:val="single" w:sz="4" w:space="0" w:color="auto"/>
            </w:tcBorders>
            <w:noWrap/>
            <w:vAlign w:val="bottom"/>
          </w:tcPr>
          <w:p w:rsidR="00000000" w:rsidRDefault="00000000">
            <w:pPr>
              <w:rPr>
                <w:szCs w:val="20"/>
              </w:rPr>
            </w:pPr>
            <w:r>
              <w:rPr>
                <w:szCs w:val="20"/>
              </w:rPr>
              <w:t>Administración de salud y seguros de salud (porcentaje)</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15,0</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15,3</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12,6</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12,1</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13,8</w:t>
            </w:r>
          </w:p>
        </w:tc>
      </w:tr>
      <w:tr w:rsidR="00000000">
        <w:tc>
          <w:tcPr>
            <w:tcW w:w="2565" w:type="pct"/>
            <w:tcBorders>
              <w:top w:val="nil"/>
              <w:left w:val="single" w:sz="4" w:space="0" w:color="auto"/>
              <w:bottom w:val="single" w:sz="4" w:space="0" w:color="auto"/>
              <w:right w:val="single" w:sz="4" w:space="0" w:color="auto"/>
            </w:tcBorders>
            <w:noWrap/>
            <w:vAlign w:val="bottom"/>
          </w:tcPr>
          <w:p w:rsidR="00000000" w:rsidRDefault="00000000">
            <w:pPr>
              <w:rPr>
                <w:szCs w:val="20"/>
              </w:rPr>
            </w:pPr>
            <w:r>
              <w:rPr>
                <w:szCs w:val="20"/>
              </w:rPr>
              <w:t>Capacitación del personal sanitario (porcentaje)</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0,9</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1,0</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0,8</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0,9</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1,0</w:t>
            </w:r>
          </w:p>
        </w:tc>
      </w:tr>
      <w:tr w:rsidR="00000000">
        <w:tc>
          <w:tcPr>
            <w:tcW w:w="2565" w:type="pct"/>
            <w:tcBorders>
              <w:top w:val="nil"/>
              <w:left w:val="single" w:sz="4" w:space="0" w:color="auto"/>
              <w:bottom w:val="single" w:sz="4" w:space="0" w:color="auto"/>
              <w:right w:val="single" w:sz="4" w:space="0" w:color="auto"/>
            </w:tcBorders>
            <w:noWrap/>
            <w:vAlign w:val="bottom"/>
          </w:tcPr>
          <w:p w:rsidR="00000000" w:rsidRDefault="00000000">
            <w:pPr>
              <w:rPr>
                <w:szCs w:val="20"/>
              </w:rPr>
            </w:pPr>
            <w:r>
              <w:rPr>
                <w:szCs w:val="20"/>
              </w:rPr>
              <w:t>Formación bruta de capital (porcentaje)</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8,6</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82"/>
              </w:tabs>
              <w:rPr>
                <w:szCs w:val="20"/>
              </w:rPr>
            </w:pPr>
            <w:r>
              <w:rPr>
                <w:szCs w:val="20"/>
              </w:rPr>
              <w:t>9,3</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11,8</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7,2</w:t>
            </w:r>
          </w:p>
        </w:tc>
        <w:tc>
          <w:tcPr>
            <w:tcW w:w="487" w:type="pct"/>
            <w:tcBorders>
              <w:top w:val="nil"/>
              <w:left w:val="nil"/>
              <w:bottom w:val="single" w:sz="4" w:space="0" w:color="auto"/>
              <w:right w:val="single" w:sz="4" w:space="0" w:color="auto"/>
            </w:tcBorders>
            <w:noWrap/>
            <w:vAlign w:val="bottom"/>
          </w:tcPr>
          <w:p w:rsidR="00000000" w:rsidRDefault="00000000">
            <w:pPr>
              <w:tabs>
                <w:tab w:val="decimal" w:pos="411"/>
              </w:tabs>
              <w:rPr>
                <w:szCs w:val="20"/>
              </w:rPr>
            </w:pPr>
            <w:r>
              <w:rPr>
                <w:szCs w:val="20"/>
              </w:rPr>
              <w:t>9,3</w:t>
            </w:r>
          </w:p>
        </w:tc>
      </w:tr>
    </w:tbl>
    <w:p w:rsidR="00000000" w:rsidRDefault="00000000">
      <w:pPr>
        <w:autoSpaceDE w:val="0"/>
        <w:autoSpaceDN w:val="0"/>
        <w:adjustRightInd w:val="0"/>
        <w:spacing w:before="480" w:after="240"/>
      </w:pPr>
      <w:r>
        <w:t>264.</w:t>
      </w:r>
      <w:r>
        <w:tab/>
        <w:t>Con relación al cambio en el presupuesto, anualmente se promulga el Decreto de lineamientos para la formulación y programación del presupuesto, en el cual se establece que el mismo, debe realizarse teniendo en cuenta el Plan del Gobierno Nacional, la política económica, las estrategias de desarrollo, el Programa Monetario y el Plan Anual de Inversión Pública.  Asimismo, cualquier cambio en la situación del presupuesto se fundamenta o tiene su origen principalmente en tener que cubrir un sector deficitario por medio de un sector con superávit, esto ocurre principalmente desde el sector de jubilaciones y pensiones hacia el sector salud</w:t>
      </w:r>
    </w:p>
    <w:p w:rsidR="00000000" w:rsidRDefault="00000000">
      <w:pPr>
        <w:autoSpaceDE w:val="0"/>
        <w:autoSpaceDN w:val="0"/>
        <w:adjustRightInd w:val="0"/>
        <w:spacing w:after="240"/>
      </w:pPr>
      <w:r>
        <w:t>265.</w:t>
      </w:r>
      <w:r>
        <w:tab/>
        <w:t>En el Paraguay el seguro social administrado por el Instituto de Previsión Social no se complementa ni se coordina con ningún sistema de seguro privado, ni con los seguros sociales administrados por las demás cajas del sistema (Bancaria, Fiscal, Municipal, Itaipú y otras), excepto con la Caja de Jubilaciones de la ANDE (Administración Nacional de Electricidad), y la Caja de Jubilaciones Parlamentaria.</w:t>
      </w:r>
    </w:p>
    <w:p w:rsidR="00000000" w:rsidRDefault="00000000">
      <w:pPr>
        <w:autoSpaceDE w:val="0"/>
        <w:autoSpaceDN w:val="0"/>
        <w:adjustRightInd w:val="0"/>
        <w:spacing w:after="240"/>
      </w:pPr>
      <w:r>
        <w:t>266.</w:t>
      </w:r>
      <w:r>
        <w:tab/>
        <w:t>Por ley (Decreto</w:t>
      </w:r>
      <w:r>
        <w:noBreakHyphen/>
        <w:t>ley Nº 17701/43) el Instituto de Previsión Social provee una cobertura integral de servicios, en el caso de no poder satisfacer la demanda o no contar con los servicios requeridos por los afiliados, compra servicios del sector privado, tales como servicios asistenciales, internación, servicios de terapia intensiva, de diagnóstico y farmacia, que en los últimos años ha superado el 10% de su programa médico.  En estos casos, el pago es por acto o por paquetes de servicios prestados.  Aproximadamente 20 de cada 100 paraguayos cuentan con algún tipo de seguro médico, esta cifra se muestra incrementada en el área urbana, 27%; en tanto que en el área rural la misma se reduce a cerca del 7%.  Según datos de la Encuesta Integrada de Hogares 2000/2001, en promedio el 49% de la población asegurada en el sector público (sanidad militar, sanidad policial e IPS), utiliza los servicios de su seguro, mientras que en el sector privado el porcentaje es mayor, el 83,2% de la población lo utiliza.  Por otra parte el 41,7% de la población que no tiene ningún tipo de seguro son asistidos por las instituciones públicas.</w:t>
      </w:r>
    </w:p>
    <w:p w:rsidR="00000000" w:rsidRDefault="00000000">
      <w:pPr>
        <w:autoSpaceDE w:val="0"/>
        <w:autoSpaceDN w:val="0"/>
        <w:adjustRightInd w:val="0"/>
        <w:spacing w:after="240"/>
      </w:pPr>
      <w:r>
        <w:t>267.</w:t>
      </w:r>
      <w:r>
        <w:tab/>
        <w:t>El Instituto de Previsión Social tiene asegurados al 10,9% de la población total, el sector privado al 6,5%, las sanidades al 11%, en el exterior 0,4 y el 81,1% de la población total del país no tiene ningún tipo de seguro.</w:t>
      </w:r>
    </w:p>
    <w:p w:rsidR="00000000" w:rsidRDefault="00000000">
      <w:pPr>
        <w:autoSpaceDE w:val="0"/>
        <w:autoSpaceDN w:val="0"/>
        <w:adjustRightInd w:val="0"/>
        <w:spacing w:after="240"/>
      </w:pPr>
      <w:r>
        <w:t>268.</w:t>
      </w:r>
      <w:r>
        <w:tab/>
        <w:t xml:space="preserve">El otro conjunto de actores privados es aquél sin fines de lucro, formado entre otros por ONG, organizaciones de servicio a la comunidad, proveedores de medicina tradicional y sistemas comunitarios (microseguros).  Dichos sectores están orientados principalmente a atender las demandas de salud de la franja de población en extrema pobreza, y se financian con donaciones de miembros honorarios, actividades de recolección de fondos y pequeños aportes </w:t>
      </w:r>
      <w:r>
        <w:noBreakHyphen/>
        <w:t>a menudo ocasionales- de los usuarios de los servicios.  Su base de financiamiento es por naturaleza inestable y generalmente pequeña, lo que limita su capacidad de oferta de servicios.</w:t>
      </w:r>
    </w:p>
    <w:p w:rsidR="00000000" w:rsidRDefault="00000000">
      <w:pPr>
        <w:autoSpaceDE w:val="0"/>
        <w:autoSpaceDN w:val="0"/>
        <w:adjustRightInd w:val="0"/>
        <w:spacing w:after="240"/>
      </w:pPr>
      <w:r>
        <w:t>269.</w:t>
      </w:r>
      <w:r>
        <w:tab/>
        <w:t>En este subsector prestan servicios las ONG y la mayor parte de ellas no ofrecen atención médica sino apoyo complementario a programas de salud e investigaciones, así como medicamentos e insumos para pacientes insolventes.  En las colonias menonitas del Chaco se ha desarrollado un sistema de seguro mutual de salud.  Los afiliados (15.000 personas) aportan al seguro del 5 al 6% del ingreso familiar.  Además, los socios deben pagar el 30% del costo de las consultas, de las atenciones médicas o medicamentos prescritos en los centros médicos, hasta un valor de 2,5 salarios mínimos; sobrepasada esa suma, todos los gastos adicionales son cubiertos por el seguro mutual.  Por otra parte, los obreros indígenas de estas colonias (aproximadamente 18.000) reciben los beneficios de la ayuda mutual hospitalaria, que constituye un sistema de seguro para aquellos con trabajos temporales.  Para ello, los indígenas aportan el 5% de sus salarios y el empleador un 10%.  La ayuda mutual cubre los gastos de consultas, internaciones y medicamentos del trabajador y su familia, y hasta un mes de reposo.</w:t>
      </w:r>
    </w:p>
    <w:p w:rsidR="00000000" w:rsidRDefault="00000000">
      <w:pPr>
        <w:spacing w:after="240"/>
        <w:jc w:val="center"/>
        <w:rPr>
          <w:b/>
          <w:bCs/>
        </w:rPr>
      </w:pPr>
      <w:r>
        <w:rPr>
          <w:b/>
          <w:bCs/>
        </w:rPr>
        <w:t>D.  Grupos sociales excluidos del seguro social</w:t>
      </w:r>
    </w:p>
    <w:p w:rsidR="00000000" w:rsidRDefault="00000000">
      <w:pPr>
        <w:autoSpaceDE w:val="0"/>
        <w:autoSpaceDN w:val="0"/>
        <w:adjustRightInd w:val="0"/>
        <w:spacing w:after="240"/>
      </w:pPr>
      <w:r>
        <w:t>270.</w:t>
      </w:r>
      <w:r>
        <w:tab/>
        <w:t xml:space="preserve">En el Paraguay los sectores poblacionales excluidos de cualquier tipo de seguro social son los sectores informales de la economía, debido a que todas las cajas están organizadas por grupos o colectivos determinados (empleados bancarios, funcionarios públicos, municipales, funcionarios de la Itaipú, Funcionarios de la ANDE).  El Instituto de Previsión Social es la única caja que provee seguro social con un criterio más amplio de proveer prestaciones al trabajador dependiente en general.  En consecuencia, el sistema administrado por el Instituto es donde se observa la mayor heterogeneidad de colectivos laborales, al haberse incorporado los docentes activos y pasivos, los empleados domésticos y los veteranos de la guerra del Chaco, con sus respectivos grupos familiares.  </w:t>
      </w:r>
    </w:p>
    <w:p w:rsidR="00000000" w:rsidRDefault="00000000">
      <w:pPr>
        <w:autoSpaceDE w:val="0"/>
        <w:autoSpaceDN w:val="0"/>
        <w:adjustRightInd w:val="0"/>
        <w:spacing w:after="240"/>
      </w:pPr>
      <w:r>
        <w:t>271.</w:t>
      </w:r>
      <w:r>
        <w:tab/>
        <w:t xml:space="preserve">Hasta la fecha, el Instituto no ha podido implementar una normativa que permita la incorporación formal del trabajador independiente, es decir, del trabajador autónomo o unifamiliar.  </w:t>
      </w:r>
    </w:p>
    <w:p w:rsidR="00000000" w:rsidRDefault="00000000">
      <w:pPr>
        <w:spacing w:after="240"/>
        <w:jc w:val="center"/>
        <w:rPr>
          <w:b/>
        </w:rPr>
      </w:pPr>
      <w:r>
        <w:rPr>
          <w:b/>
        </w:rPr>
        <w:t>E.  Acciones a favor de grupos vulnerables respecto al seguro social</w:t>
      </w:r>
    </w:p>
    <w:p w:rsidR="00000000" w:rsidRDefault="00000000">
      <w:pPr>
        <w:autoSpaceDE w:val="0"/>
        <w:autoSpaceDN w:val="0"/>
        <w:adjustRightInd w:val="0"/>
        <w:spacing w:after="240"/>
      </w:pPr>
      <w:r>
        <w:t>272.</w:t>
      </w:r>
      <w:r>
        <w:tab/>
        <w:t>El Gobierno Nacional considera necesario la extensión del seguro a través del Programa de Aseguramiento progresivo que en principio se prioriza al grupo maternoinfantil.  Además, el Ministerio de Salud Pública, mediante la Resolución Nº 19, de 2005, liberó de aranceles por consultas ambulatorias e internaciones para niños menores de 10 años en los centros asistenciales públicos del país.  Con anterioridad, (Resolución ministerial Nº 198/2003) ya se había dispuesto la liberación de aranceles por la atención a embarazadas y menores de 5 años y la gratuidad en la distribución de medicamentos e insumos para la atención de partos institucionales.</w:t>
      </w:r>
    </w:p>
    <w:p w:rsidR="00000000" w:rsidRDefault="00000000">
      <w:pPr>
        <w:autoSpaceDE w:val="0"/>
        <w:autoSpaceDN w:val="0"/>
        <w:adjustRightInd w:val="0"/>
        <w:spacing w:after="240"/>
      </w:pPr>
      <w:r>
        <w:t>273.</w:t>
      </w:r>
      <w:r>
        <w:tab/>
        <w:t>Del mismo modo, el Ministerio de Salud Pública, a través del desarrollo del Programa Nacional de aseguramiento maternoinfantil (PNAMI), implementa como estrategia articuladora de la protección en salud y la equidad en el acceso a los servicios.  Aprobado por el Directorio del Banco Mundial, el Proyecto de salud II - Proyecto de aseguramiento maternoinfantil beneficiará a 353.711 niños de 0 a 4 años de edad y 563.089 mujeres en edad fértil, totalizando una población de 916.800 personas.  Este proyecto cubrirá diez 10 regiones sanitarias.</w:t>
      </w:r>
    </w:p>
    <w:p w:rsidR="00000000" w:rsidRDefault="00000000">
      <w:pPr>
        <w:spacing w:after="240"/>
        <w:rPr>
          <w:b/>
        </w:rPr>
      </w:pPr>
      <w:r>
        <w:rPr>
          <w:b/>
        </w:rPr>
        <w:t>1.</w:t>
      </w:r>
      <w:r>
        <w:rPr>
          <w:b/>
        </w:rPr>
        <w:tab/>
        <w:t>Implementación del Programa de cuidados sanitarios básicos</w:t>
      </w:r>
    </w:p>
    <w:p w:rsidR="00000000" w:rsidRDefault="00000000">
      <w:pPr>
        <w:autoSpaceDE w:val="0"/>
        <w:autoSpaceDN w:val="0"/>
        <w:adjustRightInd w:val="0"/>
        <w:spacing w:after="240"/>
      </w:pPr>
      <w:r>
        <w:t>274.</w:t>
      </w:r>
      <w:r>
        <w:tab/>
        <w:t>Es una estrategia que asume el Ministerio de Salud Pública y Bienestar Social a través del Programa de reformas a la atención primaria de salud, que va a proveer medicamentos básicos esenciales e insumos para 20 prestaciones y 13 patologías.  El mismo tiene como meta a todas las embarazadas, niñas y niños menores de 5 años que concurran a los puestos y centros de salud, hospitales distritales, regionales y maternoinfantiles, dependientes del Ministerio de Salud Pública y Bienestar Social, a quienes se garantiza estas prestaciones en forma gratuita, en todo el territorio nacional.</w:t>
      </w:r>
    </w:p>
    <w:p w:rsidR="00000000" w:rsidRDefault="00000000">
      <w:pPr>
        <w:autoSpaceDE w:val="0"/>
        <w:autoSpaceDN w:val="0"/>
        <w:adjustRightInd w:val="0"/>
        <w:spacing w:after="240"/>
      </w:pPr>
      <w:r>
        <w:t>275.</w:t>
      </w:r>
      <w:r>
        <w:tab/>
        <w:t xml:space="preserve">Entre los efectos de estas medidas se pueden observar que en la disposición de la gratuidad de la atención a embarazadas y menores de 10 años, con provisión de </w:t>
      </w:r>
      <w:r>
        <w:rPr>
          <w:i/>
          <w:iCs/>
        </w:rPr>
        <w:t>kits</w:t>
      </w:r>
      <w:r>
        <w:t xml:space="preserve"> de partos -</w:t>
      </w:r>
      <w:r>
        <w:rPr>
          <w:i/>
          <w:iCs/>
        </w:rPr>
        <w:t>kits</w:t>
      </w:r>
      <w:r>
        <w:t xml:space="preserve"> de emergencias obstétricas- </w:t>
      </w:r>
      <w:r>
        <w:rPr>
          <w:i/>
          <w:iCs/>
        </w:rPr>
        <w:t>kits</w:t>
      </w:r>
      <w:r>
        <w:t xml:space="preserve"> de anestésicos, y medicamentos esenciales, ha tenido un logro importante en la reducción de las muertes maternas:  </w:t>
      </w:r>
    </w:p>
    <w:p w:rsidR="00000000" w:rsidRDefault="00000000">
      <w:pPr>
        <w:keepNext/>
        <w:autoSpaceDE w:val="0"/>
        <w:autoSpaceDN w:val="0"/>
        <w:adjustRightInd w:val="0"/>
        <w:spacing w:after="240"/>
        <w:ind w:left="924" w:hanging="357"/>
      </w:pPr>
      <w:r>
        <w:t>-</w:t>
      </w:r>
      <w:r>
        <w:rPr>
          <w:b/>
          <w:bCs/>
        </w:rPr>
        <w:tab/>
        <w:t>Total de muertes maternas</w:t>
      </w:r>
    </w:p>
    <w:p w:rsidR="00000000" w:rsidRDefault="00000000">
      <w:pPr>
        <w:autoSpaceDE w:val="0"/>
        <w:autoSpaceDN w:val="0"/>
        <w:adjustRightInd w:val="0"/>
        <w:ind w:left="924"/>
      </w:pPr>
      <w:r>
        <w:t>2002:  182 x 100.000</w:t>
      </w:r>
    </w:p>
    <w:p w:rsidR="00000000" w:rsidRDefault="00000000">
      <w:pPr>
        <w:autoSpaceDE w:val="0"/>
        <w:autoSpaceDN w:val="0"/>
        <w:adjustRightInd w:val="0"/>
        <w:ind w:left="924"/>
      </w:pPr>
      <w:r>
        <w:t>2003:  174 x 100.000</w:t>
      </w:r>
    </w:p>
    <w:p w:rsidR="00000000" w:rsidRDefault="00000000">
      <w:pPr>
        <w:autoSpaceDE w:val="0"/>
        <w:autoSpaceDN w:val="0"/>
        <w:adjustRightInd w:val="0"/>
        <w:spacing w:after="240"/>
        <w:ind w:left="924"/>
      </w:pPr>
      <w:r>
        <w:t>2004:  155 x 100.000</w:t>
      </w:r>
    </w:p>
    <w:p w:rsidR="00000000" w:rsidRDefault="00000000">
      <w:pPr>
        <w:autoSpaceDE w:val="0"/>
        <w:autoSpaceDN w:val="0"/>
        <w:adjustRightInd w:val="0"/>
        <w:spacing w:after="240"/>
        <w:ind w:left="924"/>
      </w:pPr>
      <w:r>
        <w:t>Hubo mejora del denominador (Registro nacidos vivos)</w:t>
      </w:r>
    </w:p>
    <w:p w:rsidR="00000000" w:rsidRDefault="00000000">
      <w:pPr>
        <w:keepNext/>
        <w:autoSpaceDE w:val="0"/>
        <w:autoSpaceDN w:val="0"/>
        <w:adjustRightInd w:val="0"/>
        <w:spacing w:after="240"/>
        <w:ind w:left="924" w:hanging="357"/>
        <w:rPr>
          <w:b/>
        </w:rPr>
      </w:pPr>
      <w:r>
        <w:t>-</w:t>
      </w:r>
      <w:r>
        <w:tab/>
      </w:r>
      <w:r>
        <w:rPr>
          <w:b/>
        </w:rPr>
        <w:t xml:space="preserve">Tendencia de </w:t>
      </w:r>
      <w:r>
        <w:rPr>
          <w:b/>
          <w:bCs/>
        </w:rPr>
        <w:t>disminución</w:t>
      </w:r>
      <w:r>
        <w:rPr>
          <w:b/>
        </w:rPr>
        <w:t xml:space="preserve"> del número bruto de muertes maternas (2005)</w:t>
      </w:r>
    </w:p>
    <w:p w:rsidR="00000000" w:rsidRDefault="00000000">
      <w:pPr>
        <w:autoSpaceDE w:val="0"/>
        <w:autoSpaceDN w:val="0"/>
        <w:adjustRightInd w:val="0"/>
        <w:spacing w:after="240"/>
        <w:ind w:left="924"/>
      </w:pPr>
      <w:r>
        <w:t>Número de muertes maternas hasta el 11 de diciembre de 2005:  108</w:t>
      </w:r>
    </w:p>
    <w:p w:rsidR="00000000" w:rsidRDefault="00000000">
      <w:pPr>
        <w:autoSpaceDE w:val="0"/>
        <w:autoSpaceDN w:val="0"/>
        <w:adjustRightInd w:val="0"/>
        <w:spacing w:after="240"/>
        <w:ind w:left="924"/>
      </w:pPr>
      <w:r>
        <w:t>Número de muertes maternas, mismo período 2004:  138</w:t>
      </w:r>
    </w:p>
    <w:p w:rsidR="00000000" w:rsidRDefault="00000000">
      <w:pPr>
        <w:tabs>
          <w:tab w:val="left" w:pos="3000"/>
        </w:tabs>
        <w:autoSpaceDE w:val="0"/>
        <w:autoSpaceDN w:val="0"/>
        <w:adjustRightInd w:val="0"/>
        <w:spacing w:after="240"/>
        <w:ind w:left="927"/>
      </w:pPr>
      <w:r>
        <w:t>Diferencia:  30 muertes maternas menos (parcial)</w:t>
      </w:r>
    </w:p>
    <w:p w:rsidR="00000000" w:rsidRDefault="00000000">
      <w:pPr>
        <w:tabs>
          <w:tab w:val="left" w:pos="3000"/>
          <w:tab w:val="left" w:pos="4440"/>
        </w:tabs>
        <w:autoSpaceDE w:val="0"/>
        <w:autoSpaceDN w:val="0"/>
        <w:adjustRightInd w:val="0"/>
        <w:ind w:left="927"/>
      </w:pPr>
      <w:r>
        <w:t>Departamentos de mayor impacto:</w:t>
      </w:r>
      <w:r>
        <w:tab/>
        <w:t>Concepción:</w:t>
      </w:r>
      <w:r>
        <w:tab/>
        <w:t>de 11 a 4 menos</w:t>
      </w:r>
    </w:p>
    <w:p w:rsidR="00000000" w:rsidRDefault="00000000">
      <w:pPr>
        <w:tabs>
          <w:tab w:val="left" w:pos="3000"/>
          <w:tab w:val="left" w:pos="4440"/>
        </w:tabs>
        <w:autoSpaceDE w:val="0"/>
        <w:autoSpaceDN w:val="0"/>
        <w:adjustRightInd w:val="0"/>
        <w:ind w:left="360"/>
      </w:pPr>
      <w:r>
        <w:tab/>
      </w:r>
      <w:r>
        <w:tab/>
        <w:t>San Pedro:</w:t>
      </w:r>
      <w:r>
        <w:tab/>
        <w:t>de 20 a 11 menos</w:t>
      </w:r>
    </w:p>
    <w:p w:rsidR="00000000" w:rsidRDefault="00000000">
      <w:pPr>
        <w:tabs>
          <w:tab w:val="left" w:pos="3000"/>
          <w:tab w:val="left" w:pos="4440"/>
        </w:tabs>
        <w:autoSpaceDE w:val="0"/>
        <w:autoSpaceDN w:val="0"/>
        <w:adjustRightInd w:val="0"/>
        <w:ind w:left="360"/>
      </w:pPr>
      <w:r>
        <w:tab/>
      </w:r>
      <w:r>
        <w:tab/>
        <w:t>Caaguazú:</w:t>
      </w:r>
      <w:r>
        <w:tab/>
        <w:t>de 18 a 9 menos</w:t>
      </w:r>
    </w:p>
    <w:p w:rsidR="00000000" w:rsidRDefault="00000000">
      <w:pPr>
        <w:tabs>
          <w:tab w:val="left" w:pos="3000"/>
          <w:tab w:val="left" w:pos="4440"/>
        </w:tabs>
        <w:autoSpaceDE w:val="0"/>
        <w:autoSpaceDN w:val="0"/>
        <w:adjustRightInd w:val="0"/>
        <w:spacing w:after="240"/>
        <w:ind w:left="357"/>
      </w:pPr>
      <w:r>
        <w:tab/>
      </w:r>
      <w:r>
        <w:tab/>
        <w:t>Amambay:</w:t>
      </w:r>
      <w:r>
        <w:tab/>
        <w:t>4 a 1 menos</w:t>
      </w:r>
    </w:p>
    <w:p w:rsidR="00000000" w:rsidRDefault="00000000">
      <w:pPr>
        <w:autoSpaceDE w:val="0"/>
        <w:autoSpaceDN w:val="0"/>
        <w:adjustRightInd w:val="0"/>
        <w:spacing w:after="240"/>
      </w:pPr>
      <w:r>
        <w:t>276.</w:t>
      </w:r>
      <w:r>
        <w:tab/>
        <w:t xml:space="preserve">Mortalidad infantil.  Se observa disminución de menos de 1% </w:t>
      </w:r>
      <w:r>
        <w:sym w:font="Symbol" w:char="F040"/>
      </w:r>
      <w:r>
        <w:t xml:space="preserve"> 19 por 1000 N. V.  El 60% está dada por mortalidad neonatal, cuyas principales causas son:  lesiones debidas al parto, sepsis, prematuridad.</w:t>
      </w:r>
    </w:p>
    <w:p w:rsidR="00000000" w:rsidRDefault="00000000">
      <w:pPr>
        <w:spacing w:after="240"/>
        <w:jc w:val="center"/>
        <w:rPr>
          <w:b/>
        </w:rPr>
      </w:pPr>
      <w:r>
        <w:rPr>
          <w:b/>
        </w:rPr>
        <w:t>D.  Análisis del seguro social en el Paraguay</w:t>
      </w:r>
    </w:p>
    <w:p w:rsidR="00000000" w:rsidRDefault="00000000">
      <w:pPr>
        <w:autoSpaceDE w:val="0"/>
        <w:autoSpaceDN w:val="0"/>
        <w:adjustRightInd w:val="0"/>
        <w:spacing w:after="240"/>
      </w:pPr>
      <w:r>
        <w:t>277.</w:t>
      </w:r>
      <w:r>
        <w:tab/>
        <w:t xml:space="preserve">La República del Paraguay ha suscrito dos convenios internacionales de seguridad social, uno con España, también suscribió un convenio con el Reino de los Países Bajos (Holanda) así como con los países miembros del MERCOSUR.  Actualmente está en estudio el convenio de seguridad social con Chile; en todos estos convenios el Instituto es la entidad gestora, es decir la que coordina la aplicación de las prestaciones establecidas en dichos convenios para los extranjeros residentes en el Paraguay y para los nacionales residentes en España, la Argentina, el Uruguay, el Brasil y próximamente Chile.  </w:t>
      </w:r>
    </w:p>
    <w:p w:rsidR="00000000" w:rsidRDefault="00000000">
      <w:pPr>
        <w:autoSpaceDE w:val="0"/>
        <w:autoSpaceDN w:val="0"/>
        <w:adjustRightInd w:val="0"/>
        <w:spacing w:after="240"/>
      </w:pPr>
      <w:r>
        <w:t>278.</w:t>
      </w:r>
      <w:r>
        <w:tab/>
        <w:t>A modo de síntesis, recientemente, el seguro social ha vuelto a ser objeto de revisión en el país, especialmente en lo que refiere a los grupos considerados vulnerables.  Las instituciones se han comprometido una vez más a mejorar la situación, debido a la dificultad de recurrir al subsidio, por lo que se están analizando otras vías de mantener el sistema, así como una profunda reestructuración a fin de lograr la sostenibilidad del mismo y las posibilidades de aumentar la cobertura existente.</w:t>
      </w:r>
    </w:p>
    <w:p w:rsidR="00000000" w:rsidRDefault="00000000">
      <w:pPr>
        <w:keepNext/>
        <w:spacing w:after="240"/>
        <w:rPr>
          <w:b/>
        </w:rPr>
      </w:pPr>
      <w:r>
        <w:rPr>
          <w:b/>
        </w:rPr>
        <w:t>Artículo 10</w:t>
      </w:r>
    </w:p>
    <w:p w:rsidR="00000000" w:rsidRDefault="00000000">
      <w:pPr>
        <w:keepNext/>
        <w:spacing w:after="240"/>
        <w:jc w:val="center"/>
        <w:rPr>
          <w:b/>
        </w:rPr>
      </w:pPr>
      <w:r>
        <w:rPr>
          <w:b/>
        </w:rPr>
        <w:t>A.  La familia en la sociedad paraguaya</w:t>
      </w:r>
    </w:p>
    <w:p w:rsidR="00000000" w:rsidRDefault="00000000">
      <w:pPr>
        <w:autoSpaceDE w:val="0"/>
        <w:autoSpaceDN w:val="0"/>
        <w:adjustRightInd w:val="0"/>
        <w:spacing w:after="240"/>
      </w:pPr>
      <w:r>
        <w:t>279.</w:t>
      </w:r>
      <w:r>
        <w:tab/>
        <w:t>El significado de "familia" en el contexto de la sociedad paraguaya está contemplado en la Constitución nacional y es considerada el fundamento de la sociedad nacional, como tal se garantiza su protección integral.  Hoy en día existen otros conceptos de familia que van más allá de lo tradicional, siendo reconocida ya en la Carta Magna las uniones de hecho estable del hombre y la mujer, a los hijos y a la comunidad que se constituya con cualquiera de los progenitores y sus descendientes.</w:t>
      </w:r>
    </w:p>
    <w:p w:rsidR="00000000" w:rsidRDefault="00000000">
      <w:pPr>
        <w:autoSpaceDE w:val="0"/>
        <w:autoSpaceDN w:val="0"/>
        <w:adjustRightInd w:val="0"/>
        <w:spacing w:after="240"/>
      </w:pPr>
      <w:r>
        <w:t>280.</w:t>
      </w:r>
      <w:r>
        <w:tab/>
        <w:t>La Constitución nacional de 1992 contiene todo un capítulo referente a los derechos de la familia donde tiene garantizada su protección integral, (capítulo IV, De los derechos de familia, arts. 49 a 61) se establece el derecho a constituir familia; asimismo asumen rango constitucional el matrimonio y las uniones de hecho, los hijos, la protección al niño (art. 54), la maternidad y la paternidad responsables, juventud, tercera edad, de los derechos de las personas excepcionales, el bien de familia, la protección contra la violencia (art. 60) y la planificación familiar y la salud maternoinfantil (art. 61).</w:t>
      </w:r>
    </w:p>
    <w:p w:rsidR="00000000" w:rsidRDefault="00000000">
      <w:pPr>
        <w:autoSpaceDE w:val="0"/>
        <w:autoSpaceDN w:val="0"/>
        <w:adjustRightInd w:val="0"/>
        <w:spacing w:after="240"/>
      </w:pPr>
      <w:r>
        <w:t>281.</w:t>
      </w:r>
      <w:r>
        <w:tab/>
        <w:t>Otra protección constitucional orientada al fortalecimiento de la familia como pilar básico de toda estructura social, es la contemplada en el artículo 115 que trata de las bases de la reforma agraria y del desarrollo rural, al disponer en el numeral 9 "El apoyo a la mujer campesina, en especial a quien sea cabeza de familia" (en concordancia con lo dispuesto en el artículo 53).  Esto se complementa con lo que establece el numeral 10 del mismo artículo 115 "La participación de la mujer campesina, en igualdad con el hombre, en los planes de la reforma agraria".</w:t>
      </w:r>
    </w:p>
    <w:p w:rsidR="00000000" w:rsidRDefault="00000000">
      <w:pPr>
        <w:autoSpaceDE w:val="0"/>
        <w:autoSpaceDN w:val="0"/>
        <w:adjustRightInd w:val="0"/>
        <w:spacing w:after="240"/>
      </w:pPr>
      <w:r>
        <w:t>282.</w:t>
      </w:r>
      <w:r>
        <w:tab/>
        <w:t>Asimismo, con la Ley Nº 1680, de 2001, fue sancionado el nuevo Código de la Niñez y la Adolescencia enmarcado en la doctrina de la protección integral, que reconoce a los niños como sujetos de derecho, dotados de capacidad de vivir, tener salud, educación, convivencia familiar, identidad, dignidad y derecho a participar en todos los asuntos que les conciernen.  En lo referente a la capacidad de contraer matrimonio, la legislación establece la edad mínima de 16 años para hombres y mujeres; asimismo la legislación establece ciertas limitaciones, necesitando el consentimiento de sus padres o tutor para contraer nupcias.  A falta o incapacidad de uno de los padres bastará con el consentimiento del otro.  Si ambas fueren incapaces o hubieren perdido la patria potestad decidirá el juez en lo tutelar.  Los hijos extramatrimoniales también menores requieren del consentimiento del padre o madre que lo reconoció, o en su caso, de ambos.  En defecto de éstos decidirá el juez.  Salvo casos excepcionales en que el juez en lo tutelar del menor autorice el matrimonio a menores en edad comprendida entre 14 y 16 años.  La edad mínima para obtener el registro de conducir es de 18 años para hombres y mujeres.  Para la compra de propiedad la edad mínima establecida por la Ley Nº 2169/03 es de 18 años de edad, así como también para la ciudadanía.  En cuanto a la responsabilidad criminal, la misma es establecida en 14 años, edad en la cual el adolescente es imputable por los delitos cometidos.</w:t>
      </w:r>
    </w:p>
    <w:p w:rsidR="00000000" w:rsidRDefault="00000000">
      <w:pPr>
        <w:spacing w:after="240"/>
        <w:rPr>
          <w:b/>
        </w:rPr>
      </w:pPr>
      <w:r>
        <w:rPr>
          <w:b/>
        </w:rPr>
        <w:t>1.</w:t>
      </w:r>
      <w:r>
        <w:rPr>
          <w:b/>
        </w:rPr>
        <w:tab/>
        <w:t>Sistema de protección a la familia</w:t>
      </w:r>
    </w:p>
    <w:p w:rsidR="00000000" w:rsidRDefault="00000000">
      <w:pPr>
        <w:autoSpaceDE w:val="0"/>
        <w:autoSpaceDN w:val="0"/>
        <w:adjustRightInd w:val="0"/>
        <w:spacing w:after="240"/>
      </w:pPr>
      <w:r>
        <w:t>283.</w:t>
      </w:r>
      <w:r>
        <w:tab/>
        <w:t>El Estado garantiza el derecho de todo hombre y mujer a contraer matrimonio, siempre y cuando hayan expresado libremente su consentimiento.  Tanto la Constitución nacional como el Código Civil en su modificación de la Ley Nº 1/92, la unión de hecho constituida entre un varón y una mujer que voluntariamente hacen vida en común, en forma estable, pública y singular, teniendo ambos la edad mínima para contraer matrimonio.  La unión que reúna las características antes mencionadas y que tuviera por lo menos cuatro años consecutivos de duración, creará entre los concubinos una comunidad de gananciales, que podrá disolverse en vida de ambos o por causa de muerte; debiendo en los dos casos distribuirse los gananciales entre los concubinos, o entre el sobreviviente y los herederos del otro, por mitades.  Cuando de la unión expresada hubieren nacido hijos comunes, el plazo de duración se considerará cumplido en la fecha del nacimiento del primer hijo.</w:t>
      </w:r>
    </w:p>
    <w:p w:rsidR="00000000" w:rsidRDefault="00000000">
      <w:pPr>
        <w:autoSpaceDE w:val="0"/>
        <w:autoSpaceDN w:val="0"/>
        <w:adjustRightInd w:val="0"/>
        <w:spacing w:after="240"/>
      </w:pPr>
      <w:r>
        <w:t>284.</w:t>
      </w:r>
      <w:r>
        <w:tab/>
        <w:t>Un aspecto que de cierta manera se considera un retroceso en el ejercicio de los derechos de familia en igualdad de condiciones se refiere a una modificación de las disposiciones a la Ley Nº 1/92 de la reforma parcial del Código Civil, en cuanto al orden de los apellidos de los hijos/as matrimoniales tanto como extramatrimoniales que disponía se definía de común acuerdo entre el marido y la esposa.  La modificación de la Ley Nº 985/96, establece que no existiendo acuerdo, llevarán en primer lugar el apellido del padre.  Adoptado un orden (de apellidos) para el primer hijo, el mismo será mantenido para todos los demás.  Sin embargo, el impacto de esta medida no implica mayores complicaciones para el acceso a otros derechos que se encuentran garantizados a todas las personas, tanto para hombres, mujeres como niños/as sin discriminación alguna.</w:t>
      </w:r>
    </w:p>
    <w:p w:rsidR="00000000" w:rsidRDefault="00000000">
      <w:pPr>
        <w:keepNext/>
        <w:spacing w:after="240"/>
        <w:rPr>
          <w:b/>
        </w:rPr>
      </w:pPr>
      <w:r>
        <w:rPr>
          <w:b/>
        </w:rPr>
        <w:tab/>
        <w:t>1.2.</w:t>
      </w:r>
      <w:r>
        <w:rPr>
          <w:b/>
        </w:rPr>
        <w:tab/>
        <w:t>Acciones concretas de protección a la familia</w:t>
      </w:r>
    </w:p>
    <w:p w:rsidR="00000000" w:rsidRDefault="00000000">
      <w:pPr>
        <w:autoSpaceDE w:val="0"/>
        <w:autoSpaceDN w:val="0"/>
        <w:adjustRightInd w:val="0"/>
        <w:spacing w:after="240"/>
      </w:pPr>
      <w:r>
        <w:t>285.</w:t>
      </w:r>
      <w:r>
        <w:tab/>
        <w:t>Varias son las medidas tomadas por el Estado paraguayo para la protección de la familia, por un lado, la Secretaría de la Mujer presentó propuestas para la modificación de medidas normativas como estrategias de transformación cultural:</w:t>
      </w:r>
    </w:p>
    <w:p w:rsidR="00000000" w:rsidRDefault="00000000">
      <w:pPr>
        <w:spacing w:after="240"/>
        <w:ind w:left="924" w:hanging="357"/>
        <w:rPr>
          <w:lang w:val="es-MX"/>
        </w:rPr>
      </w:pPr>
      <w:r>
        <w:rPr>
          <w:lang w:val="es-MX"/>
        </w:rPr>
        <w:t>-</w:t>
      </w:r>
      <w:r>
        <w:rPr>
          <w:lang w:val="es-MX"/>
        </w:rPr>
        <w:tab/>
        <w:t>Proyecto de ley "Licencia de reposo por maternidad a mujeres en cargos electivos" fue presentado en el mes de diciembre del 2004, actualmente cuenta con media sanción;</w:t>
      </w:r>
    </w:p>
    <w:p w:rsidR="00000000" w:rsidRDefault="00000000">
      <w:pPr>
        <w:spacing w:after="240"/>
        <w:ind w:left="924" w:hanging="357"/>
      </w:pPr>
      <w:r>
        <w:rPr>
          <w:lang w:val="es-MX"/>
        </w:rPr>
        <w:t>-</w:t>
      </w:r>
      <w:r>
        <w:rPr>
          <w:lang w:val="es-MX"/>
        </w:rPr>
        <w:tab/>
      </w:r>
      <w:r>
        <w:t>Propuesta de ley de paternidad y maternidad responsables presentado en fecha 2 enero de 2003.</w:t>
      </w:r>
    </w:p>
    <w:p w:rsidR="00000000" w:rsidRDefault="00000000">
      <w:pPr>
        <w:autoSpaceDE w:val="0"/>
        <w:autoSpaceDN w:val="0"/>
        <w:adjustRightInd w:val="0"/>
        <w:spacing w:after="240"/>
        <w:rPr>
          <w:lang w:eastAsia="es-ES"/>
        </w:rPr>
      </w:pPr>
      <w:r>
        <w:rPr>
          <w:lang w:eastAsia="es-ES"/>
        </w:rPr>
        <w:t>286.</w:t>
      </w:r>
      <w:r>
        <w:rPr>
          <w:lang w:eastAsia="es-ES"/>
        </w:rPr>
        <w:tab/>
        <w:t xml:space="preserve">La Secretaría de la Mujer, incide en las políticas públicas educativas del sistema en la formulación de los programas de estudios, capacitaciones e investigaciones de prácticas sexistas a través del Programa de Igualdad de Oportunidades y Resultados para las </w:t>
      </w:r>
      <w:r>
        <w:t>Mujeres</w:t>
      </w:r>
      <w:r>
        <w:rPr>
          <w:lang w:eastAsia="es-ES"/>
        </w:rPr>
        <w:t xml:space="preserve"> en la Educación (PRIOME).  Desde el Sector Ambiente, en la formulación de propuestas normativas y abordaje de género en las políticas públicas del sector.</w:t>
      </w:r>
    </w:p>
    <w:p w:rsidR="00000000" w:rsidRDefault="00000000">
      <w:pPr>
        <w:autoSpaceDE w:val="0"/>
        <w:autoSpaceDN w:val="0"/>
        <w:adjustRightInd w:val="0"/>
        <w:spacing w:after="240"/>
        <w:rPr>
          <w:lang w:eastAsia="es-ES"/>
        </w:rPr>
      </w:pPr>
      <w:r>
        <w:t>287.</w:t>
      </w:r>
      <w:r>
        <w:tab/>
        <w:t>Por otro lado, existen diversas instituciones quienes abordan desde la especificidad sectorial acciones destinadas a proteger a la familia a través del acceso a recursos económicos, a prestaciones sociales del Estado y el acceso a la propiedad de la tierra y al crédito.</w:t>
      </w:r>
    </w:p>
    <w:p w:rsidR="00000000" w:rsidRDefault="00000000">
      <w:pPr>
        <w:spacing w:after="240"/>
        <w:ind w:left="567"/>
        <w:rPr>
          <w:bCs/>
        </w:rPr>
      </w:pPr>
      <w:r>
        <w:rPr>
          <w:b/>
        </w:rPr>
        <w:t>1.2.1.  La Red de protección y promoción social</w:t>
      </w:r>
    </w:p>
    <w:p w:rsidR="00000000" w:rsidRDefault="00000000">
      <w:pPr>
        <w:autoSpaceDE w:val="0"/>
        <w:autoSpaceDN w:val="0"/>
        <w:adjustRightInd w:val="0"/>
        <w:spacing w:after="240"/>
      </w:pPr>
      <w:r>
        <w:t>288.</w:t>
      </w:r>
      <w:r>
        <w:tab/>
        <w:t xml:space="preserve">La Secretaría de Acción Social, en el marco de la estrategia nacional de lucha contra la pobreza, cuenta con la "Red de protección y promoción social", que consiste en un conjunto de acciones y programas articulados, dirigidos a prevenir, mitigar y superar los efectos adversos que la situación de pobreza provoca sobre cada grupo de población con énfasis en los más vulnerables.  La Red se concentra fundamentalmente en la familia buscando fortalecer y reconstituir su rol protector y que mejoren las capacidades humanas, económicas y sociales de sus miembros; rompiendo de esta forma con la transmisión intergeneracional de la pobreza, prioritariamente busca prevenir y superar los riesgos asociados con el desarrollo de las personas en términos de oportunidades de acceso a educación, salud, participación económica, social y política.  </w:t>
      </w:r>
    </w:p>
    <w:p w:rsidR="00000000" w:rsidRDefault="00000000">
      <w:pPr>
        <w:autoSpaceDE w:val="0"/>
        <w:autoSpaceDN w:val="0"/>
        <w:adjustRightInd w:val="0"/>
        <w:spacing w:after="240"/>
        <w:rPr>
          <w:lang w:eastAsia="es-ES"/>
        </w:rPr>
      </w:pPr>
      <w:r>
        <w:t>289.</w:t>
      </w:r>
      <w:r>
        <w:tab/>
        <w:t>Dicha Red cuenta con diversas modalidades de operación, el Programa "Teko Porã" -frase nativa que significa bienestar-, para familias del área rural, el Programa Abrazo, que está orientado a la protección de niños y niñas en situación de riesgo, y Ñopytyvo -que significa ayudémonos-, para familias de la región chaqueña de Puerto Casado.  Estas tres modalidades están destinadas a fortalecer el rol protector de la familia facilitando el acceso de los miembros más vulnerables a las prestaciones sociales del Estado con énfasis en salud, educación, identificación, apoyo sociofamiliar y fortalecimiento de las actividades de subsistencia.  Y operan a través de</w:t>
      </w:r>
      <w:r>
        <w:rPr>
          <w:lang w:eastAsia="es-ES"/>
        </w:rPr>
        <w:t xml:space="preserve"> bonos solidarios condicionados al cumplimiento de corresponsabilidades por parte de la familia.  Se entrega a la mujer jefa o madre de familia de los hogares seleccionados un apoyo monetario directo, a cambio del cumplimiento de compromisos verificables de nutrición, salud y asistencia escolar.  Se considera que la legitimación institucional de la mujer como sujeto de las transferencias implicará un cambio en la situación de dependencia económica de la mujer con respecto al hombre y que esto conllevará el aumento de la participación de la mujer en la toma de decisiones en el interior de las familias.  La capacitación y la organización son dos aspectos claves que se abordarán con las mujeres que son madres de familia.</w:t>
      </w:r>
    </w:p>
    <w:p w:rsidR="00000000" w:rsidRDefault="00000000">
      <w:pPr>
        <w:autoSpaceDE w:val="0"/>
        <w:autoSpaceDN w:val="0"/>
        <w:adjustRightInd w:val="0"/>
        <w:spacing w:after="240"/>
      </w:pPr>
      <w:r>
        <w:t>290.</w:t>
      </w:r>
      <w:r>
        <w:tab/>
        <w:t xml:space="preserve">La Red de protección y promoción social articula su acción con diversos actores del sector público y privado, para dar cuenta de sus metas superiores que son, entre otras, lograr el mejoramiento de la nutrición y la salud, retención escolar y mejoramiento de la salud básica y la alimentación, reinserción escolar y mejoramiento de la salud básica, retención y reinserción escolar juvenil; mejoramiento de la salud básica, empleabilidad y emprendibilidad.  Se considera la salud, educación y nutrición, los mayores factores de perpetuación de la pobreza y su superación es estratégica para romper el ciclo de reproducción de la pobreza extrema.  Los programas que integran la Red permiten que las personas en extrema pobreza dispongan de ingresos complementarios que les ayude a cubrir sus necesidades básicas.  Asimismo, permite igualmente que las mismas eleven su capital humano en términos de educación, salud y capacitación para el trabajo.  </w:t>
      </w:r>
    </w:p>
    <w:p w:rsidR="00000000" w:rsidRDefault="00000000">
      <w:pPr>
        <w:spacing w:after="200"/>
        <w:ind w:left="567"/>
        <w:rPr>
          <w:b/>
          <w:lang w:eastAsia="es-ES"/>
        </w:rPr>
      </w:pPr>
      <w:r>
        <w:rPr>
          <w:b/>
          <w:lang w:eastAsia="es-ES"/>
        </w:rPr>
        <w:t xml:space="preserve">1.2.2.  Programa de mejoramiento de la comunidad </w:t>
      </w:r>
    </w:p>
    <w:p w:rsidR="00000000" w:rsidRDefault="00000000">
      <w:pPr>
        <w:autoSpaceDE w:val="0"/>
        <w:autoSpaceDN w:val="0"/>
        <w:adjustRightInd w:val="0"/>
        <w:spacing w:after="200"/>
        <w:rPr>
          <w:lang w:eastAsia="es-ES"/>
        </w:rPr>
      </w:pPr>
      <w:r>
        <w:rPr>
          <w:lang w:eastAsia="es-ES"/>
        </w:rPr>
        <w:t>291.</w:t>
      </w:r>
      <w:r>
        <w:rPr>
          <w:lang w:eastAsia="es-ES"/>
        </w:rPr>
        <w:tab/>
        <w:t xml:space="preserve">Este Programa está dirigido a familias en situación de pobreza y extrema pobreza que viven en </w:t>
      </w:r>
      <w:r>
        <w:t>condiciones</w:t>
      </w:r>
      <w:r>
        <w:rPr>
          <w:lang w:eastAsia="es-ES"/>
        </w:rPr>
        <w:t xml:space="preserve"> precarias:  de insalubridad y hacinamiento.  Sus viviendas están hechas de material de desecho y no pueden acceder a una vivienda digna por los mecanismos de créditos que ofrece el mercado.  Así el Consejo Nacional de la Vivienda con la donación del Gobierno de la República de China (Taiwán) ha emprendido la tarea de cubrir, en la medida de sus posibilidades, parte de esa necesidad.</w:t>
      </w:r>
    </w:p>
    <w:p w:rsidR="00000000" w:rsidRDefault="00000000">
      <w:pPr>
        <w:autoSpaceDE w:val="0"/>
        <w:autoSpaceDN w:val="0"/>
        <w:adjustRightInd w:val="0"/>
        <w:spacing w:after="200"/>
        <w:rPr>
          <w:lang w:eastAsia="es-ES"/>
        </w:rPr>
      </w:pPr>
      <w:r>
        <w:rPr>
          <w:lang w:eastAsia="es-ES"/>
        </w:rPr>
        <w:t>292.</w:t>
      </w:r>
      <w:r>
        <w:rPr>
          <w:lang w:eastAsia="es-ES"/>
        </w:rPr>
        <w:tab/>
        <w:t xml:space="preserve">Asimismo, con el apoyo de los canalizadores de la demanda:  municipalidades, instituciones varias y ONG que facilitan terrenos, los organizadores de la demanda llaman a concurso de ofertas o a licitación para la construcción de conjuntos habitacionales de viviendas tipo UBH (Unidad Básica </w:t>
      </w:r>
      <w:r>
        <w:t>Habitacional</w:t>
      </w:r>
      <w:r>
        <w:rPr>
          <w:lang w:eastAsia="es-ES"/>
        </w:rPr>
        <w:t>) más un dormitorio e infraestructura con servicios de agua potable, desagües sanitarios, electricidad y apertura de caminos y otros equipos que sean necesarios.  Todo ello se realiza bajo la supervisión de esta institución:  Convenios CONAVI</w:t>
      </w:r>
      <w:r>
        <w:rPr>
          <w:lang w:eastAsia="es-ES"/>
        </w:rPr>
        <w:noBreakHyphen/>
        <w:t>FUNDAPUEBLOS y CONAVI-REDINSA.</w:t>
      </w:r>
    </w:p>
    <w:p w:rsidR="00000000" w:rsidRDefault="00000000">
      <w:pPr>
        <w:autoSpaceDE w:val="0"/>
        <w:autoSpaceDN w:val="0"/>
        <w:adjustRightInd w:val="0"/>
        <w:spacing w:after="200"/>
        <w:rPr>
          <w:lang w:eastAsia="es-ES"/>
        </w:rPr>
      </w:pPr>
      <w:r>
        <w:rPr>
          <w:lang w:eastAsia="es-ES"/>
        </w:rPr>
        <w:t>293.</w:t>
      </w:r>
      <w:r>
        <w:rPr>
          <w:lang w:eastAsia="es-ES"/>
        </w:rPr>
        <w:tab/>
        <w:t>El sistema operativo consiste en un subsidio habitacional y la selección de la demanda se basa en criterios de elegibilidad tales como:  la prioridad de la necesidad de vivienda, el interés demostrado por los potenciales beneficiarios, su capacidad de organización y la facilidad de obtención de los terrenos apropiados.  Asimismo, se trata de abarcar todo el territorio nacional.</w:t>
      </w:r>
    </w:p>
    <w:p w:rsidR="00000000" w:rsidRDefault="00000000">
      <w:pPr>
        <w:autoSpaceDE w:val="0"/>
        <w:autoSpaceDN w:val="0"/>
        <w:adjustRightInd w:val="0"/>
        <w:spacing w:after="200"/>
      </w:pPr>
      <w:r>
        <w:t>294.</w:t>
      </w:r>
      <w:r>
        <w:tab/>
        <w:t>En el marco del Programa "Mejoramiento de la comunidad", el CONAVI construye viviendas de interés social con alta participación de empresas constructoras y de la comunidad.  Con la ejecución de estos proyectos, el CONAVI pretende atender las necesidades habitacionales y sociales de los sectores más carentes de nuestra sociedad.  También contribuir a la reactivación económica, generando fuentes de empleo, distribuyendo trabajo a empresas del gremio de la construcción y actividades relacionadas.</w:t>
      </w:r>
    </w:p>
    <w:p w:rsidR="00000000" w:rsidRDefault="00000000">
      <w:pPr>
        <w:autoSpaceDE w:val="0"/>
        <w:autoSpaceDN w:val="0"/>
        <w:adjustRightInd w:val="0"/>
        <w:spacing w:after="200"/>
      </w:pPr>
      <w:r>
        <w:t>295.</w:t>
      </w:r>
      <w:r>
        <w:tab/>
        <w:t xml:space="preserve">Dentro de este programa, además de las inversiones realizadas en materia de viviendas e infraestructura de servicios básicos, se ha invertido aproximadamente 156.397 dólares de los EE.UU. en crear fuentes de trabajo e ingreso, a través de 487 hogares.  </w:t>
      </w:r>
    </w:p>
    <w:p w:rsidR="00000000" w:rsidRDefault="00000000">
      <w:pPr>
        <w:autoSpaceDE w:val="0"/>
        <w:autoSpaceDN w:val="0"/>
        <w:adjustRightInd w:val="0"/>
        <w:spacing w:after="200"/>
        <w:rPr>
          <w:lang w:eastAsia="es-ES"/>
        </w:rPr>
      </w:pPr>
      <w:r>
        <w:rPr>
          <w:lang w:eastAsia="es-ES"/>
        </w:rPr>
        <w:t>296.</w:t>
      </w:r>
      <w:r>
        <w:rPr>
          <w:lang w:eastAsia="es-ES"/>
        </w:rPr>
        <w:tab/>
        <w:t xml:space="preserve">Se </w:t>
      </w:r>
      <w:r>
        <w:t>construyeron</w:t>
      </w:r>
      <w:r>
        <w:rPr>
          <w:lang w:eastAsia="es-ES"/>
        </w:rPr>
        <w:t xml:space="preserve"> centros de producción de:  panadería, leche de soja, taller de costura y fábrica de ladrillos cerámicos, entre otros.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5"/>
        <w:gridCol w:w="2535"/>
        <w:gridCol w:w="3241"/>
        <w:gridCol w:w="1623"/>
      </w:tblGrid>
      <w:tr w:rsidR="00000000">
        <w:tblPrEx>
          <w:tblCellMar>
            <w:top w:w="0" w:type="dxa"/>
            <w:bottom w:w="0" w:type="dxa"/>
          </w:tblCellMar>
        </w:tblPrEx>
        <w:tc>
          <w:tcPr>
            <w:tcW w:w="1103" w:type="pct"/>
            <w:shd w:val="clear" w:color="auto" w:fill="FFFFFF"/>
            <w:vAlign w:val="center"/>
          </w:tcPr>
          <w:p w:rsidR="00000000" w:rsidRDefault="00000000">
            <w:pPr>
              <w:jc w:val="center"/>
              <w:rPr>
                <w:b/>
                <w:lang w:eastAsia="es-ES"/>
              </w:rPr>
            </w:pPr>
            <w:r>
              <w:rPr>
                <w:b/>
                <w:lang w:eastAsia="es-ES"/>
              </w:rPr>
              <w:t>Localidad</w:t>
            </w:r>
          </w:p>
        </w:tc>
        <w:tc>
          <w:tcPr>
            <w:tcW w:w="1335" w:type="pct"/>
            <w:shd w:val="clear" w:color="auto" w:fill="FFFFFF"/>
            <w:vAlign w:val="center"/>
          </w:tcPr>
          <w:p w:rsidR="00000000" w:rsidRDefault="00000000">
            <w:pPr>
              <w:jc w:val="center"/>
              <w:rPr>
                <w:b/>
                <w:lang w:eastAsia="es-ES"/>
              </w:rPr>
            </w:pPr>
            <w:r>
              <w:rPr>
                <w:b/>
                <w:lang w:eastAsia="es-ES"/>
              </w:rPr>
              <w:t>Nombre del proyecto</w:t>
            </w:r>
          </w:p>
        </w:tc>
        <w:tc>
          <w:tcPr>
            <w:tcW w:w="1707" w:type="pct"/>
            <w:shd w:val="clear" w:color="auto" w:fill="FFFFFF"/>
            <w:vAlign w:val="center"/>
          </w:tcPr>
          <w:p w:rsidR="00000000" w:rsidRDefault="00000000">
            <w:pPr>
              <w:jc w:val="center"/>
              <w:rPr>
                <w:b/>
                <w:lang w:eastAsia="es-ES"/>
              </w:rPr>
            </w:pPr>
            <w:r>
              <w:rPr>
                <w:b/>
                <w:lang w:eastAsia="es-ES"/>
              </w:rPr>
              <w:t>Centro comunitario</w:t>
            </w:r>
          </w:p>
        </w:tc>
        <w:tc>
          <w:tcPr>
            <w:tcW w:w="855" w:type="pct"/>
            <w:shd w:val="clear" w:color="auto" w:fill="FFFFFF"/>
            <w:vAlign w:val="center"/>
          </w:tcPr>
          <w:p w:rsidR="00000000" w:rsidRDefault="00000000">
            <w:pPr>
              <w:jc w:val="center"/>
              <w:rPr>
                <w:b/>
                <w:lang w:eastAsia="es-ES"/>
              </w:rPr>
            </w:pPr>
            <w:r>
              <w:rPr>
                <w:b/>
                <w:lang w:eastAsia="es-ES"/>
              </w:rPr>
              <w:t>Familias beneficiadas</w:t>
            </w:r>
          </w:p>
        </w:tc>
      </w:tr>
      <w:tr w:rsidR="00000000">
        <w:tblPrEx>
          <w:tblCellMar>
            <w:top w:w="0" w:type="dxa"/>
            <w:bottom w:w="0" w:type="dxa"/>
          </w:tblCellMar>
        </w:tblPrEx>
        <w:tc>
          <w:tcPr>
            <w:tcW w:w="1103" w:type="pct"/>
          </w:tcPr>
          <w:p w:rsidR="00000000" w:rsidRDefault="00000000">
            <w:pPr>
              <w:rPr>
                <w:lang w:eastAsia="es-ES"/>
              </w:rPr>
            </w:pPr>
            <w:r>
              <w:rPr>
                <w:lang w:eastAsia="es-ES"/>
              </w:rPr>
              <w:t>Coronel Oviedo</w:t>
            </w:r>
          </w:p>
        </w:tc>
        <w:tc>
          <w:tcPr>
            <w:tcW w:w="1335" w:type="pct"/>
          </w:tcPr>
          <w:p w:rsidR="00000000" w:rsidRDefault="00000000">
            <w:pPr>
              <w:rPr>
                <w:lang w:eastAsia="es-ES"/>
              </w:rPr>
            </w:pPr>
            <w:r>
              <w:rPr>
                <w:lang w:eastAsia="es-ES"/>
              </w:rPr>
              <w:t>Ciudad Nueva</w:t>
            </w:r>
          </w:p>
        </w:tc>
        <w:tc>
          <w:tcPr>
            <w:tcW w:w="1707" w:type="pct"/>
          </w:tcPr>
          <w:p w:rsidR="00000000" w:rsidRDefault="00000000">
            <w:pPr>
              <w:rPr>
                <w:lang w:eastAsia="es-ES"/>
              </w:rPr>
            </w:pPr>
            <w:r>
              <w:rPr>
                <w:lang w:eastAsia="es-ES"/>
              </w:rPr>
              <w:t>De producción sustentable y de cerámica con horno y secadero</w:t>
            </w:r>
          </w:p>
        </w:tc>
        <w:tc>
          <w:tcPr>
            <w:tcW w:w="855" w:type="pct"/>
          </w:tcPr>
          <w:p w:rsidR="00000000" w:rsidRDefault="00000000">
            <w:pPr>
              <w:tabs>
                <w:tab w:val="decimal" w:pos="1009"/>
              </w:tabs>
              <w:rPr>
                <w:lang w:eastAsia="es-ES"/>
              </w:rPr>
            </w:pPr>
            <w:r>
              <w:rPr>
                <w:lang w:eastAsia="es-ES"/>
              </w:rPr>
              <w:t>120</w:t>
            </w:r>
          </w:p>
        </w:tc>
      </w:tr>
      <w:tr w:rsidR="00000000">
        <w:tblPrEx>
          <w:tblCellMar>
            <w:top w:w="0" w:type="dxa"/>
            <w:bottom w:w="0" w:type="dxa"/>
          </w:tblCellMar>
        </w:tblPrEx>
        <w:tc>
          <w:tcPr>
            <w:tcW w:w="1103" w:type="pct"/>
          </w:tcPr>
          <w:p w:rsidR="00000000" w:rsidRDefault="00000000">
            <w:pPr>
              <w:rPr>
                <w:lang w:eastAsia="es-ES"/>
              </w:rPr>
            </w:pPr>
            <w:r>
              <w:rPr>
                <w:lang w:eastAsia="es-ES"/>
              </w:rPr>
              <w:t xml:space="preserve">Itá </w:t>
            </w:r>
          </w:p>
        </w:tc>
        <w:tc>
          <w:tcPr>
            <w:tcW w:w="1335" w:type="pct"/>
          </w:tcPr>
          <w:p w:rsidR="00000000" w:rsidRDefault="00000000">
            <w:pPr>
              <w:rPr>
                <w:lang w:eastAsia="es-ES"/>
              </w:rPr>
            </w:pPr>
            <w:r>
              <w:rPr>
                <w:lang w:eastAsia="es-ES"/>
              </w:rPr>
              <w:t>María Auxiliadora</w:t>
            </w:r>
          </w:p>
        </w:tc>
        <w:tc>
          <w:tcPr>
            <w:tcW w:w="1707" w:type="pct"/>
          </w:tcPr>
          <w:p w:rsidR="00000000" w:rsidRDefault="00000000">
            <w:pPr>
              <w:rPr>
                <w:lang w:eastAsia="es-ES"/>
              </w:rPr>
            </w:pPr>
            <w:r>
              <w:rPr>
                <w:lang w:eastAsia="es-ES"/>
              </w:rPr>
              <w:t>De formación y capacitación profesional</w:t>
            </w:r>
          </w:p>
        </w:tc>
        <w:tc>
          <w:tcPr>
            <w:tcW w:w="855" w:type="pct"/>
          </w:tcPr>
          <w:p w:rsidR="00000000" w:rsidRDefault="00000000">
            <w:pPr>
              <w:tabs>
                <w:tab w:val="decimal" w:pos="1009"/>
              </w:tabs>
              <w:rPr>
                <w:lang w:eastAsia="es-ES"/>
              </w:rPr>
            </w:pPr>
            <w:r>
              <w:rPr>
                <w:lang w:eastAsia="es-ES"/>
              </w:rPr>
              <w:t>90</w:t>
            </w:r>
          </w:p>
        </w:tc>
      </w:tr>
      <w:tr w:rsidR="00000000">
        <w:tblPrEx>
          <w:tblCellMar>
            <w:top w:w="0" w:type="dxa"/>
            <w:bottom w:w="0" w:type="dxa"/>
          </w:tblCellMar>
        </w:tblPrEx>
        <w:tc>
          <w:tcPr>
            <w:tcW w:w="1103" w:type="pct"/>
          </w:tcPr>
          <w:p w:rsidR="00000000" w:rsidRDefault="00000000">
            <w:pPr>
              <w:rPr>
                <w:lang w:eastAsia="es-ES"/>
              </w:rPr>
            </w:pPr>
            <w:r>
              <w:rPr>
                <w:lang w:eastAsia="es-ES"/>
              </w:rPr>
              <w:t>Asunción</w:t>
            </w:r>
          </w:p>
        </w:tc>
        <w:tc>
          <w:tcPr>
            <w:tcW w:w="1335" w:type="pct"/>
          </w:tcPr>
          <w:p w:rsidR="00000000" w:rsidRDefault="00000000">
            <w:pPr>
              <w:rPr>
                <w:lang w:eastAsia="es-ES"/>
              </w:rPr>
            </w:pPr>
            <w:r>
              <w:rPr>
                <w:lang w:eastAsia="es-ES"/>
              </w:rPr>
              <w:t>Esperanza</w:t>
            </w:r>
          </w:p>
        </w:tc>
        <w:tc>
          <w:tcPr>
            <w:tcW w:w="1707" w:type="pct"/>
          </w:tcPr>
          <w:p w:rsidR="00000000" w:rsidRDefault="00000000">
            <w:pPr>
              <w:rPr>
                <w:lang w:eastAsia="es-ES"/>
              </w:rPr>
            </w:pPr>
            <w:r>
              <w:rPr>
                <w:lang w:eastAsia="es-ES"/>
              </w:rPr>
              <w:t>De producción sustentable</w:t>
            </w:r>
          </w:p>
        </w:tc>
        <w:tc>
          <w:tcPr>
            <w:tcW w:w="855" w:type="pct"/>
          </w:tcPr>
          <w:p w:rsidR="00000000" w:rsidRDefault="00000000">
            <w:pPr>
              <w:tabs>
                <w:tab w:val="decimal" w:pos="1009"/>
              </w:tabs>
              <w:rPr>
                <w:lang w:eastAsia="es-ES"/>
              </w:rPr>
            </w:pPr>
            <w:r>
              <w:rPr>
                <w:lang w:eastAsia="es-ES"/>
              </w:rPr>
              <w:t>86</w:t>
            </w:r>
          </w:p>
        </w:tc>
      </w:tr>
      <w:tr w:rsidR="00000000">
        <w:tblPrEx>
          <w:tblCellMar>
            <w:top w:w="0" w:type="dxa"/>
            <w:bottom w:w="0" w:type="dxa"/>
          </w:tblCellMar>
        </w:tblPrEx>
        <w:tc>
          <w:tcPr>
            <w:tcW w:w="1103" w:type="pct"/>
          </w:tcPr>
          <w:p w:rsidR="00000000" w:rsidRDefault="00000000">
            <w:pPr>
              <w:rPr>
                <w:lang w:eastAsia="es-ES"/>
              </w:rPr>
            </w:pPr>
            <w:r>
              <w:rPr>
                <w:lang w:eastAsia="es-ES"/>
              </w:rPr>
              <w:t>Ñeembucú</w:t>
            </w:r>
          </w:p>
        </w:tc>
        <w:tc>
          <w:tcPr>
            <w:tcW w:w="1335" w:type="pct"/>
          </w:tcPr>
          <w:p w:rsidR="00000000" w:rsidRDefault="00000000">
            <w:pPr>
              <w:rPr>
                <w:lang w:eastAsia="es-ES"/>
              </w:rPr>
            </w:pPr>
            <w:r>
              <w:rPr>
                <w:lang w:eastAsia="es-ES"/>
              </w:rPr>
              <w:t>Laureles</w:t>
            </w:r>
          </w:p>
        </w:tc>
        <w:tc>
          <w:tcPr>
            <w:tcW w:w="1707" w:type="pct"/>
          </w:tcPr>
          <w:p w:rsidR="00000000" w:rsidRDefault="00000000">
            <w:pPr>
              <w:rPr>
                <w:lang w:eastAsia="es-ES"/>
              </w:rPr>
            </w:pPr>
            <w:r>
              <w:rPr>
                <w:lang w:eastAsia="es-ES"/>
              </w:rPr>
              <w:t>De producción sustentable</w:t>
            </w:r>
          </w:p>
        </w:tc>
        <w:tc>
          <w:tcPr>
            <w:tcW w:w="855" w:type="pct"/>
          </w:tcPr>
          <w:p w:rsidR="00000000" w:rsidRDefault="00000000">
            <w:pPr>
              <w:tabs>
                <w:tab w:val="decimal" w:pos="1009"/>
              </w:tabs>
              <w:rPr>
                <w:lang w:eastAsia="es-ES"/>
              </w:rPr>
            </w:pPr>
            <w:r>
              <w:rPr>
                <w:lang w:eastAsia="es-ES"/>
              </w:rPr>
              <w:t>30</w:t>
            </w:r>
          </w:p>
        </w:tc>
      </w:tr>
      <w:tr w:rsidR="00000000">
        <w:tblPrEx>
          <w:tblCellMar>
            <w:top w:w="0" w:type="dxa"/>
            <w:bottom w:w="0" w:type="dxa"/>
          </w:tblCellMar>
        </w:tblPrEx>
        <w:tc>
          <w:tcPr>
            <w:tcW w:w="1103" w:type="pct"/>
          </w:tcPr>
          <w:p w:rsidR="00000000" w:rsidRDefault="00000000">
            <w:pPr>
              <w:rPr>
                <w:lang w:eastAsia="es-ES"/>
              </w:rPr>
            </w:pPr>
            <w:r>
              <w:rPr>
                <w:lang w:eastAsia="es-ES"/>
              </w:rPr>
              <w:t>Guarambaré</w:t>
            </w:r>
          </w:p>
        </w:tc>
        <w:tc>
          <w:tcPr>
            <w:tcW w:w="1335" w:type="pct"/>
          </w:tcPr>
          <w:p w:rsidR="00000000" w:rsidRDefault="00000000">
            <w:pPr>
              <w:rPr>
                <w:lang w:eastAsia="es-ES"/>
              </w:rPr>
            </w:pPr>
            <w:r>
              <w:rPr>
                <w:lang w:eastAsia="es-ES"/>
              </w:rPr>
              <w:t>Tesá Peará</w:t>
            </w:r>
          </w:p>
        </w:tc>
        <w:tc>
          <w:tcPr>
            <w:tcW w:w="1707" w:type="pct"/>
          </w:tcPr>
          <w:p w:rsidR="00000000" w:rsidRDefault="00000000">
            <w:pPr>
              <w:rPr>
                <w:lang w:eastAsia="es-ES"/>
              </w:rPr>
            </w:pPr>
            <w:r>
              <w:rPr>
                <w:lang w:eastAsia="es-ES"/>
              </w:rPr>
              <w:t>De producción sustentable</w:t>
            </w:r>
          </w:p>
        </w:tc>
        <w:tc>
          <w:tcPr>
            <w:tcW w:w="855" w:type="pct"/>
          </w:tcPr>
          <w:p w:rsidR="00000000" w:rsidRDefault="00000000">
            <w:pPr>
              <w:tabs>
                <w:tab w:val="decimal" w:pos="1009"/>
              </w:tabs>
              <w:rPr>
                <w:lang w:eastAsia="es-ES"/>
              </w:rPr>
            </w:pPr>
            <w:r>
              <w:rPr>
                <w:lang w:eastAsia="es-ES"/>
              </w:rPr>
              <w:t>50</w:t>
            </w:r>
          </w:p>
        </w:tc>
      </w:tr>
      <w:tr w:rsidR="00000000">
        <w:tblPrEx>
          <w:tblCellMar>
            <w:top w:w="0" w:type="dxa"/>
            <w:bottom w:w="0" w:type="dxa"/>
          </w:tblCellMar>
        </w:tblPrEx>
        <w:tc>
          <w:tcPr>
            <w:tcW w:w="1103" w:type="pct"/>
          </w:tcPr>
          <w:p w:rsidR="00000000" w:rsidRDefault="00000000">
            <w:pPr>
              <w:rPr>
                <w:lang w:eastAsia="es-ES"/>
              </w:rPr>
            </w:pPr>
            <w:r>
              <w:rPr>
                <w:lang w:eastAsia="es-ES"/>
              </w:rPr>
              <w:t>Asunción</w:t>
            </w:r>
          </w:p>
        </w:tc>
        <w:tc>
          <w:tcPr>
            <w:tcW w:w="1335" w:type="pct"/>
          </w:tcPr>
          <w:p w:rsidR="00000000" w:rsidRDefault="00000000">
            <w:pPr>
              <w:rPr>
                <w:lang w:eastAsia="es-ES"/>
              </w:rPr>
            </w:pPr>
            <w:r>
              <w:rPr>
                <w:lang w:eastAsia="es-ES"/>
              </w:rPr>
              <w:t>Ampliación área refugio</w:t>
            </w:r>
          </w:p>
        </w:tc>
        <w:tc>
          <w:tcPr>
            <w:tcW w:w="1707" w:type="pct"/>
          </w:tcPr>
          <w:p w:rsidR="00000000" w:rsidRDefault="00000000">
            <w:pPr>
              <w:rPr>
                <w:lang w:eastAsia="es-ES"/>
              </w:rPr>
            </w:pPr>
            <w:r>
              <w:rPr>
                <w:lang w:eastAsia="es-ES"/>
              </w:rPr>
              <w:t>De producción sustentable</w:t>
            </w:r>
          </w:p>
        </w:tc>
        <w:tc>
          <w:tcPr>
            <w:tcW w:w="855" w:type="pct"/>
          </w:tcPr>
          <w:p w:rsidR="00000000" w:rsidRDefault="00000000">
            <w:pPr>
              <w:tabs>
                <w:tab w:val="decimal" w:pos="1009"/>
              </w:tabs>
              <w:rPr>
                <w:lang w:eastAsia="es-ES"/>
              </w:rPr>
            </w:pPr>
            <w:r>
              <w:rPr>
                <w:lang w:eastAsia="es-ES"/>
              </w:rPr>
              <w:t>72</w:t>
            </w:r>
          </w:p>
        </w:tc>
      </w:tr>
      <w:tr w:rsidR="00000000">
        <w:tblPrEx>
          <w:tblCellMar>
            <w:top w:w="0" w:type="dxa"/>
            <w:bottom w:w="0" w:type="dxa"/>
          </w:tblCellMar>
        </w:tblPrEx>
        <w:tc>
          <w:tcPr>
            <w:tcW w:w="1103" w:type="pct"/>
          </w:tcPr>
          <w:p w:rsidR="00000000" w:rsidRDefault="00000000">
            <w:pPr>
              <w:rPr>
                <w:lang w:eastAsia="es-ES"/>
              </w:rPr>
            </w:pPr>
            <w:r>
              <w:rPr>
                <w:lang w:eastAsia="es-ES"/>
              </w:rPr>
              <w:t>Atyrá</w:t>
            </w:r>
          </w:p>
        </w:tc>
        <w:tc>
          <w:tcPr>
            <w:tcW w:w="1335" w:type="pct"/>
          </w:tcPr>
          <w:p w:rsidR="00000000" w:rsidRDefault="00000000">
            <w:pPr>
              <w:rPr>
                <w:lang w:eastAsia="es-ES"/>
              </w:rPr>
            </w:pPr>
            <w:r>
              <w:rPr>
                <w:lang w:eastAsia="es-ES"/>
              </w:rPr>
              <w:t>Rosa Mística</w:t>
            </w:r>
          </w:p>
        </w:tc>
        <w:tc>
          <w:tcPr>
            <w:tcW w:w="1707" w:type="pct"/>
          </w:tcPr>
          <w:p w:rsidR="00000000" w:rsidRDefault="00000000">
            <w:pPr>
              <w:rPr>
                <w:lang w:eastAsia="es-ES"/>
              </w:rPr>
            </w:pPr>
            <w:r>
              <w:rPr>
                <w:lang w:eastAsia="es-ES"/>
              </w:rPr>
              <w:t>De producción sustentable</w:t>
            </w:r>
          </w:p>
        </w:tc>
        <w:tc>
          <w:tcPr>
            <w:tcW w:w="855" w:type="pct"/>
          </w:tcPr>
          <w:p w:rsidR="00000000" w:rsidRDefault="00000000">
            <w:pPr>
              <w:tabs>
                <w:tab w:val="decimal" w:pos="1009"/>
              </w:tabs>
              <w:rPr>
                <w:lang w:eastAsia="es-ES"/>
              </w:rPr>
            </w:pPr>
            <w:r>
              <w:rPr>
                <w:lang w:eastAsia="es-ES"/>
              </w:rPr>
              <w:t>15</w:t>
            </w:r>
          </w:p>
        </w:tc>
      </w:tr>
      <w:tr w:rsidR="00000000">
        <w:tblPrEx>
          <w:tblCellMar>
            <w:top w:w="0" w:type="dxa"/>
            <w:bottom w:w="0" w:type="dxa"/>
          </w:tblCellMar>
        </w:tblPrEx>
        <w:tc>
          <w:tcPr>
            <w:tcW w:w="1103" w:type="pct"/>
          </w:tcPr>
          <w:p w:rsidR="00000000" w:rsidRDefault="00000000">
            <w:pPr>
              <w:pStyle w:val="xl51"/>
              <w:pBdr>
                <w:right w:val="none" w:sz="0" w:space="0" w:color="auto"/>
              </w:pBdr>
              <w:spacing w:before="0" w:beforeAutospacing="0" w:after="0" w:afterAutospacing="0"/>
              <w:rPr>
                <w:rFonts w:ascii="Times New Roman" w:eastAsia="Times New Roman" w:hAnsi="Times New Roman" w:cs="Times New Roman"/>
                <w:lang w:val="es-PY"/>
              </w:rPr>
            </w:pPr>
            <w:r>
              <w:rPr>
                <w:rFonts w:ascii="Times New Roman" w:eastAsia="Times New Roman" w:hAnsi="Times New Roman" w:cs="Times New Roman"/>
                <w:lang w:val="es-PY"/>
              </w:rPr>
              <w:t>Nanawa</w:t>
            </w:r>
          </w:p>
        </w:tc>
        <w:tc>
          <w:tcPr>
            <w:tcW w:w="1335" w:type="pct"/>
          </w:tcPr>
          <w:p w:rsidR="00000000" w:rsidRDefault="00000000">
            <w:pPr>
              <w:rPr>
                <w:lang w:eastAsia="es-ES"/>
              </w:rPr>
            </w:pPr>
            <w:r>
              <w:rPr>
                <w:lang w:eastAsia="es-ES"/>
              </w:rPr>
              <w:t>Villa Hilaria</w:t>
            </w:r>
          </w:p>
        </w:tc>
        <w:tc>
          <w:tcPr>
            <w:tcW w:w="1707" w:type="pct"/>
          </w:tcPr>
          <w:p w:rsidR="00000000" w:rsidRDefault="00000000">
            <w:pPr>
              <w:rPr>
                <w:lang w:eastAsia="es-ES"/>
              </w:rPr>
            </w:pPr>
            <w:r>
              <w:rPr>
                <w:lang w:eastAsia="es-ES"/>
              </w:rPr>
              <w:t>De producción sustentable</w:t>
            </w:r>
          </w:p>
        </w:tc>
        <w:tc>
          <w:tcPr>
            <w:tcW w:w="855" w:type="pct"/>
          </w:tcPr>
          <w:p w:rsidR="00000000" w:rsidRDefault="00000000">
            <w:pPr>
              <w:tabs>
                <w:tab w:val="decimal" w:pos="1009"/>
              </w:tabs>
              <w:rPr>
                <w:lang w:eastAsia="es-ES"/>
              </w:rPr>
            </w:pPr>
            <w:r>
              <w:rPr>
                <w:lang w:eastAsia="es-ES"/>
              </w:rPr>
              <w:t>24</w:t>
            </w:r>
          </w:p>
        </w:tc>
      </w:tr>
      <w:tr w:rsidR="00000000">
        <w:tblPrEx>
          <w:tblCellMar>
            <w:top w:w="0" w:type="dxa"/>
            <w:bottom w:w="0" w:type="dxa"/>
          </w:tblCellMar>
        </w:tblPrEx>
        <w:tc>
          <w:tcPr>
            <w:tcW w:w="1103" w:type="pct"/>
          </w:tcPr>
          <w:p w:rsidR="00000000" w:rsidRDefault="00000000">
            <w:pPr>
              <w:ind w:left="284"/>
              <w:rPr>
                <w:b/>
                <w:lang w:eastAsia="es-ES"/>
              </w:rPr>
            </w:pPr>
            <w:r>
              <w:rPr>
                <w:b/>
                <w:lang w:eastAsia="es-ES"/>
              </w:rPr>
              <w:t>Total</w:t>
            </w:r>
          </w:p>
        </w:tc>
        <w:tc>
          <w:tcPr>
            <w:tcW w:w="1335" w:type="pct"/>
          </w:tcPr>
          <w:p w:rsidR="00000000" w:rsidRDefault="00000000">
            <w:pPr>
              <w:rPr>
                <w:b/>
                <w:lang w:eastAsia="es-ES"/>
              </w:rPr>
            </w:pPr>
          </w:p>
        </w:tc>
        <w:tc>
          <w:tcPr>
            <w:tcW w:w="1707" w:type="pct"/>
          </w:tcPr>
          <w:p w:rsidR="00000000" w:rsidRDefault="00000000">
            <w:pPr>
              <w:rPr>
                <w:b/>
                <w:lang w:eastAsia="es-ES"/>
              </w:rPr>
            </w:pPr>
          </w:p>
        </w:tc>
        <w:tc>
          <w:tcPr>
            <w:tcW w:w="855" w:type="pct"/>
          </w:tcPr>
          <w:p w:rsidR="00000000" w:rsidRDefault="00000000">
            <w:pPr>
              <w:tabs>
                <w:tab w:val="decimal" w:pos="1009"/>
              </w:tabs>
              <w:rPr>
                <w:b/>
                <w:lang w:eastAsia="es-ES"/>
              </w:rPr>
            </w:pPr>
            <w:r>
              <w:rPr>
                <w:b/>
                <w:lang w:eastAsia="es-ES"/>
              </w:rPr>
              <w:t>487</w:t>
            </w:r>
          </w:p>
        </w:tc>
      </w:tr>
    </w:tbl>
    <w:p w:rsidR="00000000" w:rsidRDefault="00000000">
      <w:pPr>
        <w:autoSpaceDE w:val="0"/>
        <w:autoSpaceDN w:val="0"/>
        <w:adjustRightInd w:val="0"/>
        <w:spacing w:before="480" w:after="240"/>
        <w:rPr>
          <w:lang w:eastAsia="es-ES"/>
        </w:rPr>
      </w:pPr>
      <w:r>
        <w:rPr>
          <w:lang w:eastAsia="es-ES"/>
        </w:rPr>
        <w:t>297.</w:t>
      </w:r>
      <w:r>
        <w:rPr>
          <w:lang w:eastAsia="es-ES"/>
        </w:rPr>
        <w:tab/>
        <w:t xml:space="preserve">En algunos proyectos, los programas de vivienda han incorporado, capacitación en oficios de construcción y a </w:t>
      </w:r>
      <w:r>
        <w:t>través</w:t>
      </w:r>
      <w:r>
        <w:rPr>
          <w:lang w:eastAsia="es-ES"/>
        </w:rPr>
        <w:t xml:space="preserve"> de las comisiones vecinales, se han promovido los microemprendimientos en esquemas grupales.  Igualmente en los proyectos se fomenta la incorporación de mano de obra local en las tareas de construcción.</w:t>
      </w:r>
    </w:p>
    <w:p w:rsidR="00000000" w:rsidRDefault="00000000">
      <w:pPr>
        <w:autoSpaceDE w:val="0"/>
        <w:autoSpaceDN w:val="0"/>
        <w:adjustRightInd w:val="0"/>
        <w:spacing w:after="240"/>
        <w:rPr>
          <w:lang w:eastAsia="es-ES"/>
        </w:rPr>
      </w:pPr>
      <w:r>
        <w:rPr>
          <w:lang w:eastAsia="es-ES"/>
        </w:rPr>
        <w:t>298.</w:t>
      </w:r>
      <w:r>
        <w:rPr>
          <w:lang w:eastAsia="es-ES"/>
        </w:rPr>
        <w:tab/>
        <w:t xml:space="preserve">En 2006, la meta dentro del Programa de mejoramiento de la comunidad, Ñande Rogará, es la </w:t>
      </w:r>
      <w:r>
        <w:t>construcción</w:t>
      </w:r>
      <w:r>
        <w:rPr>
          <w:lang w:eastAsia="es-ES"/>
        </w:rPr>
        <w:t xml:space="preserve"> de 1.070 viviendas, de las cuales 785 viviendas, están actualmente en construcción y 285 viviendas se encuentran con llamados a licitación.</w:t>
      </w:r>
    </w:p>
    <w:p w:rsidR="00000000" w:rsidRDefault="00000000">
      <w:pPr>
        <w:tabs>
          <w:tab w:val="left" w:pos="1320"/>
        </w:tabs>
        <w:spacing w:after="240"/>
        <w:ind w:left="1888" w:hanging="1321"/>
        <w:rPr>
          <w:b/>
          <w:lang w:eastAsia="es-ES"/>
        </w:rPr>
      </w:pPr>
      <w:r>
        <w:rPr>
          <w:b/>
          <w:lang w:eastAsia="es-ES"/>
        </w:rPr>
        <w:t>1.2.3.</w:t>
      </w:r>
      <w:r>
        <w:rPr>
          <w:b/>
          <w:lang w:eastAsia="es-ES"/>
        </w:rPr>
        <w:tab/>
        <w:t xml:space="preserve">Proyecto piloto - Programa de cooperativas de viviendas por ayuda mutua </w:t>
      </w:r>
    </w:p>
    <w:p w:rsidR="00000000" w:rsidRDefault="00000000">
      <w:pPr>
        <w:autoSpaceDE w:val="0"/>
        <w:autoSpaceDN w:val="0"/>
        <w:adjustRightInd w:val="0"/>
        <w:spacing w:after="240"/>
        <w:rPr>
          <w:lang w:eastAsia="es-ES"/>
        </w:rPr>
      </w:pPr>
      <w:r>
        <w:rPr>
          <w:lang w:eastAsia="es-ES"/>
        </w:rPr>
        <w:t>299.</w:t>
      </w:r>
      <w:r>
        <w:rPr>
          <w:lang w:eastAsia="es-ES"/>
        </w:rPr>
        <w:tab/>
        <w:t xml:space="preserve">Por primera vez en el país se inició un programa de cooperativas de vivienda por ayuda mutua, en base a la Ley Nº 2329/03 que crea el Fondo para las cooperativas de vivienda.  El programa ha </w:t>
      </w:r>
      <w:r>
        <w:t>tenido</w:t>
      </w:r>
      <w:r>
        <w:rPr>
          <w:lang w:eastAsia="es-ES"/>
        </w:rPr>
        <w:t xml:space="preserve"> buena aceptación y, luego de la terminación de la primera etapa del barrio cooperativo de Aveiro, Itá (septiembre de 2005), otras cooperativas han presentado proyectos que ya fueron aprobados en el Presupuesto 2006 (San Juan Bautista, Ypacarai y segunda etapa de Aveiro, Itá).</w:t>
      </w:r>
    </w:p>
    <w:p w:rsidR="00000000" w:rsidRDefault="00000000">
      <w:pPr>
        <w:autoSpaceDE w:val="0"/>
        <w:autoSpaceDN w:val="0"/>
        <w:adjustRightInd w:val="0"/>
        <w:spacing w:after="240"/>
        <w:rPr>
          <w:lang w:eastAsia="es-ES"/>
        </w:rPr>
      </w:pPr>
      <w:r>
        <w:rPr>
          <w:lang w:eastAsia="es-ES"/>
        </w:rPr>
        <w:t>300.</w:t>
      </w:r>
      <w:r>
        <w:rPr>
          <w:lang w:eastAsia="es-ES"/>
        </w:rPr>
        <w:tab/>
        <w:t xml:space="preserve">Esta iniciativa se trata de un proyecto piloto, en fase de expansión, que pretende satisfacer en parte las </w:t>
      </w:r>
      <w:r>
        <w:t>necesidades</w:t>
      </w:r>
      <w:r>
        <w:rPr>
          <w:lang w:eastAsia="es-ES"/>
        </w:rPr>
        <w:t xml:space="preserve"> de vivienda del país.  El monto total invertido es de 580.000 dólares de los EE.UU., (CONAVI:  325.000 dólares de los EE.UU.; BID:  200.000 dólares de los EE.UU., SCC:  55.000 dólares de los EE.UU.).  El costo es de 4.300 dólares de los EE.UU. por cada vivienda de 72 m</w:t>
      </w:r>
      <w:r>
        <w:rPr>
          <w:vertAlign w:val="superscript"/>
          <w:lang w:eastAsia="es-ES"/>
        </w:rPr>
        <w:t>2</w:t>
      </w:r>
      <w:r>
        <w:rPr>
          <w:lang w:eastAsia="es-ES"/>
        </w:rPr>
        <w:t>, incluyendo la infraestructura barrial.  Estos barrios integrados, productivos y sustentables, con lo cual las familias tienen más posibilidades de conservar su vivienda, en un barrio comunitariamente integrado.</w:t>
      </w:r>
    </w:p>
    <w:p w:rsidR="00000000" w:rsidRDefault="00000000">
      <w:pPr>
        <w:autoSpaceDE w:val="0"/>
        <w:autoSpaceDN w:val="0"/>
        <w:adjustRightInd w:val="0"/>
        <w:spacing w:after="240"/>
        <w:rPr>
          <w:lang w:eastAsia="es-ES"/>
        </w:rPr>
      </w:pPr>
      <w:r>
        <w:rPr>
          <w:lang w:eastAsia="es-ES"/>
        </w:rPr>
        <w:t>301.</w:t>
      </w:r>
      <w:r>
        <w:rPr>
          <w:lang w:eastAsia="es-ES"/>
        </w:rPr>
        <w:tab/>
        <w:t xml:space="preserve">El programa ha logrado generar capacidad y organización social de los beneficiarios, para hacer efectiva la ayuda mutua, como la compra de materiales y la administración de la obra.  Se avanzó en </w:t>
      </w:r>
      <w:r>
        <w:t>sentido</w:t>
      </w:r>
      <w:r>
        <w:rPr>
          <w:lang w:eastAsia="es-ES"/>
        </w:rPr>
        <w:t xml:space="preserve"> productivo, pues en lugar de comprar la casa hecha, se conformaron pequeñas empresas cooperativas que se encargaron de esa etapa de producción (aberturas de madera:  carpintería; aberturas de metal:  herrería; prefabricados de hormigón armado:  fábrica de prefabricados).</w:t>
      </w:r>
    </w:p>
    <w:p w:rsidR="00000000" w:rsidRDefault="00000000">
      <w:pPr>
        <w:autoSpaceDE w:val="0"/>
        <w:autoSpaceDN w:val="0"/>
        <w:adjustRightInd w:val="0"/>
        <w:spacing w:after="240"/>
        <w:rPr>
          <w:lang w:eastAsia="es-ES"/>
        </w:rPr>
      </w:pPr>
      <w:r>
        <w:rPr>
          <w:lang w:eastAsia="es-ES"/>
        </w:rPr>
        <w:t>302.</w:t>
      </w:r>
      <w:r>
        <w:rPr>
          <w:lang w:eastAsia="es-ES"/>
        </w:rPr>
        <w:tab/>
        <w:t xml:space="preserve">Para la habilitación y gestión del proyecto, se han asociado diferentes actores.  Han trabajado en cooperación con las instituciones públicas existentes, para la prestación del servicio de agua y de recolección de basura.  En cuanto a la escuela local, se coordina con el Ministerio de Educación y Cultura, así como con el Centro Cooperativo Sueco, </w:t>
      </w:r>
      <w:r>
        <w:t>que</w:t>
      </w:r>
      <w:r>
        <w:rPr>
          <w:lang w:eastAsia="es-ES"/>
        </w:rPr>
        <w:t xml:space="preserve"> aporta los fondos para construirla.  Se ha capacitado particularmente a las empresas cooperativas (herrería, carpintería, prefabricados de hormigón) que surgieron con la misma obra (135 familias beneficiadas).</w:t>
      </w:r>
    </w:p>
    <w:p w:rsidR="00000000" w:rsidRDefault="00000000">
      <w:pPr>
        <w:autoSpaceDE w:val="0"/>
        <w:autoSpaceDN w:val="0"/>
        <w:adjustRightInd w:val="0"/>
        <w:spacing w:after="240"/>
      </w:pPr>
      <w:r>
        <w:t>303.</w:t>
      </w:r>
      <w:r>
        <w:tab/>
        <w:t xml:space="preserve">A partir de enero de 2005 se inició la ejecución de la prueba piloto, en la que dentro de la red se van creando programas de transferencia condicionada con características comunes y diferentes, el Programa Tekoporâ (familias) de transferencias condicionadas dirigido a familias en condición de pobreza extrema con niños y niñas de 0 a 14 años, el Programa Abrazo, dirigido a niños y niñas trabajadores de la calle y sus familias y el Programa Ñopytyvo dirigido a familias de la localidad de Puerto Casado.  El trabajo con las familias consiste en la capacitación de sus integrantes, fundamentalmente madres y padres; el seguimiento a las familias en el cumplimiento de las corresponsabilidades, el acompañamiento particular para aquellas que requieran una atención especial y el trabajo con la comunidad.  Los guías familiares apoyan a las familias para fortalecer aquellos aspectos que permitan el crecimiento individual, familiar y comunitario de los beneficiarios, como una nueva valoración del cuidado de sí mismos, de la familia y de la comunidad, en lo que se refiere a alimentación, salud y educación.  </w:t>
      </w:r>
    </w:p>
    <w:p w:rsidR="00000000" w:rsidRDefault="00000000">
      <w:pPr>
        <w:autoSpaceDE w:val="0"/>
        <w:autoSpaceDN w:val="0"/>
        <w:adjustRightInd w:val="0"/>
        <w:spacing w:after="240"/>
      </w:pPr>
      <w:r>
        <w:t>304.</w:t>
      </w:r>
      <w:r>
        <w:tab/>
        <w:t>La Red de protección y promoción social cuenta con múltiples programas (Mejoramiento de la nutrición y la salud; Retención escolar y mejoramiento de la salud básica y la alimentación; Reinserción escolar y mejoramiento de la salud básica; Retención y reinserción escolar juvenil; Mejoramiento de la salud básica, empleabilidad y emprendibilidad, entre otros) dependiendo de los riesgos que se quieran enfrentar.  Se consideran a la salud, educación y nutrición, los mayores factores de perpetuación de la pobreza y su superación es estratégica para romper el ciclo de reproducción de la pobreza extrema.  Los programas que integran la `red permiten que las personas en extrema pobreza dispongan de ingresos complementarios que les ayude a cubrir sus necesidades básicas.  Asimismo, permite que las mismas eleven su capital humano en términos de educación, salud y capacitación para el trabajo.  Actualmente la Red de protección social beneficia a 3.054 familias en su Programa Teko Pora, 76% de la meta.  El Programa Abrazo beneficia a 279 familias y el Programa Ñopytyvo alcanza a 459 familias.</w:t>
      </w:r>
    </w:p>
    <w:p w:rsidR="00000000" w:rsidRDefault="00000000">
      <w:pPr>
        <w:spacing w:after="240"/>
        <w:ind w:left="567"/>
        <w:rPr>
          <w:b/>
        </w:rPr>
      </w:pPr>
      <w:r>
        <w:rPr>
          <w:b/>
        </w:rPr>
        <w:t>1.3.</w:t>
      </w:r>
      <w:r>
        <w:rPr>
          <w:b/>
        </w:rPr>
        <w:tab/>
        <w:t>Desafíos del sistema de protección a la familia</w:t>
      </w:r>
    </w:p>
    <w:p w:rsidR="00000000" w:rsidRDefault="00000000">
      <w:pPr>
        <w:autoSpaceDE w:val="0"/>
        <w:autoSpaceDN w:val="0"/>
        <w:adjustRightInd w:val="0"/>
        <w:spacing w:after="240"/>
      </w:pPr>
      <w:r>
        <w:t>305.</w:t>
      </w:r>
      <w:r>
        <w:tab/>
        <w:t>A pesar de estos esfuerzos, y dados los limitados recursos que posee el Paraguay como país en vías de desarrollo y con serias dificultades para mantener un crecimiento económico, que le permita atender las necesidades de su población más vulnerable, existen muchas familias que no gozan de un mínimo de protección social.  Según la Encuesta de Hogares 2004, aproximadamente 2.232.000 paraguayos se encuentran en condiciones de pobreza (39,2% de la población) ya que sus ingresos son inferiores al costo de una canasta.</w:t>
      </w:r>
    </w:p>
    <w:p w:rsidR="00000000" w:rsidRDefault="00000000">
      <w:pPr>
        <w:autoSpaceDE w:val="0"/>
        <w:autoSpaceDN w:val="0"/>
        <w:adjustRightInd w:val="0"/>
        <w:spacing w:after="240"/>
      </w:pPr>
      <w:r>
        <w:t>306.</w:t>
      </w:r>
      <w:r>
        <w:tab/>
        <w:t>Entre las familias más pobres, cerca del 10,4% de los ingresos familiares provienen de ayudas de familiares, ya sean éstas producidas en el país o remitidas desde el exterior.  Los hogares pertenecientes al quintil más rico perciben ingresos familiares que en promedio superan 11 veces al percibido por los hogares del quintil más pobre.  Cerca del 30% de los hogares pertenecientes al 20% más pobre de la población tiene acceso al abastecimiento de agua potable a través de Empresa de Servicios Sanitarios del Paraguay (ESSAP) o del Servicio Nacional de Saneamiento Ambiental (SENASA), mientras que el acceso a los servicios de alcantarillado sanitario y telefonía fija es prácticamente nulo.  De igual manera, los hogares más pobres en promedio tienen seis miembros a diferencia de los hogares más ricos los cuales en promedio cuentan con tres integrantes.  Relacionado lo anterior con la presencia de niños en los hogares, en promedio el número es mayor en los hogares de los quintiles de menores ingresos.  La jefatura femenina se halla presente en todos los quintiles de ingresos casi en la misma proporción, pues se podría decir que de cada cuatro hogares en uno de ellas la jefatura la ejerce una mujer.</w:t>
      </w:r>
    </w:p>
    <w:p w:rsidR="00000000" w:rsidRDefault="00000000">
      <w:pPr>
        <w:spacing w:after="240"/>
        <w:rPr>
          <w:b/>
        </w:rPr>
      </w:pPr>
      <w:r>
        <w:rPr>
          <w:b/>
        </w:rPr>
        <w:t>2.</w:t>
      </w:r>
      <w:r>
        <w:rPr>
          <w:b/>
        </w:rPr>
        <w:tab/>
        <w:t>Sistema de protección a la maternidad</w:t>
      </w:r>
    </w:p>
    <w:p w:rsidR="00000000" w:rsidRDefault="00000000">
      <w:pPr>
        <w:autoSpaceDE w:val="0"/>
        <w:autoSpaceDN w:val="0"/>
        <w:adjustRightInd w:val="0"/>
        <w:spacing w:after="240"/>
        <w:rPr>
          <w:bCs/>
          <w:szCs w:val="20"/>
        </w:rPr>
      </w:pPr>
      <w:r>
        <w:t>307.</w:t>
      </w:r>
      <w:r>
        <w:tab/>
        <w:t>Allende de los seguros sociales descritos con anterioridad, a continuación se detallan otros aspectos referentes a la protección a la maternidad.</w:t>
      </w:r>
    </w:p>
    <w:p w:rsidR="00000000" w:rsidRDefault="00000000">
      <w:pPr>
        <w:spacing w:after="240"/>
        <w:rPr>
          <w:b/>
        </w:rPr>
      </w:pPr>
      <w:r>
        <w:rPr>
          <w:b/>
          <w:szCs w:val="20"/>
        </w:rPr>
        <w:tab/>
        <w:t>2.1.</w:t>
      </w:r>
      <w:r>
        <w:rPr>
          <w:b/>
          <w:szCs w:val="20"/>
        </w:rPr>
        <w:tab/>
      </w:r>
      <w:r>
        <w:rPr>
          <w:b/>
        </w:rPr>
        <w:t>Amplitud del sistema de protección</w:t>
      </w:r>
    </w:p>
    <w:p w:rsidR="00000000" w:rsidRDefault="00000000">
      <w:pPr>
        <w:autoSpaceDE w:val="0"/>
        <w:autoSpaceDN w:val="0"/>
        <w:adjustRightInd w:val="0"/>
        <w:spacing w:after="240"/>
      </w:pPr>
      <w:r>
        <w:t>308.</w:t>
      </w:r>
      <w:r>
        <w:tab/>
        <w:t>La condición de embarazo, parto y posparto, durante la cual el Instituto de Previsión Social le provee a la trabajadora asegurada o a la esposa o concubina de un trabajador asegurado o de un jubilado, las prestaciones médicas establecidas en la ley, así como el descanso pre y posparto obligatorio, consiste en un subsidio en dinero y la provisión de leche materna artificial si no puede amamantar.  La hija del trabajador asegurado, o del jubilado, aunque integran el grupo de familiares asegurados, no tiene derecho a las prestaciones por maternidad.</w:t>
      </w:r>
    </w:p>
    <w:p w:rsidR="00000000" w:rsidRDefault="00000000">
      <w:pPr>
        <w:spacing w:after="240"/>
        <w:rPr>
          <w:b/>
        </w:rPr>
      </w:pPr>
      <w:r>
        <w:rPr>
          <w:b/>
        </w:rPr>
        <w:tab/>
        <w:t>2.2.</w:t>
      </w:r>
      <w:r>
        <w:rPr>
          <w:b/>
        </w:rPr>
        <w:tab/>
        <w:t>Duración del reposo hospitalario por maternidad</w:t>
      </w:r>
    </w:p>
    <w:p w:rsidR="00000000" w:rsidRDefault="00000000">
      <w:pPr>
        <w:autoSpaceDE w:val="0"/>
        <w:autoSpaceDN w:val="0"/>
        <w:adjustRightInd w:val="0"/>
        <w:spacing w:after="240"/>
      </w:pPr>
      <w:r>
        <w:t>309.</w:t>
      </w:r>
      <w:r>
        <w:tab/>
        <w:t xml:space="preserve">La duración del reposo por maternidad es de 63 días hábiles, y el período de reposo hospitalario obligatorio después del parto es de 48 horas en un parto normal, y llegando entre 72 horas a 5 días en parto por cesárea.  </w:t>
      </w:r>
    </w:p>
    <w:p w:rsidR="00000000" w:rsidRDefault="00000000">
      <w:pPr>
        <w:spacing w:after="240"/>
        <w:ind w:left="567"/>
        <w:rPr>
          <w:b/>
        </w:rPr>
      </w:pPr>
      <w:r>
        <w:rPr>
          <w:b/>
        </w:rPr>
        <w:t>2.3.</w:t>
      </w:r>
      <w:r>
        <w:rPr>
          <w:b/>
        </w:rPr>
        <w:tab/>
        <w:t xml:space="preserve">Beneficios sociales, médicos y económicos durante reposo por maternidad </w:t>
      </w:r>
    </w:p>
    <w:p w:rsidR="00000000" w:rsidRDefault="00000000">
      <w:pPr>
        <w:autoSpaceDE w:val="0"/>
        <w:autoSpaceDN w:val="0"/>
        <w:adjustRightInd w:val="0"/>
        <w:spacing w:after="240"/>
        <w:rPr>
          <w:lang w:val="es-MX"/>
        </w:rPr>
      </w:pPr>
      <w:r>
        <w:rPr>
          <w:lang w:val="es-MX"/>
        </w:rPr>
        <w:t>310.</w:t>
      </w:r>
      <w:r>
        <w:rPr>
          <w:lang w:val="es-MX"/>
        </w:rPr>
        <w:tab/>
        <w:t xml:space="preserve">El riesgo de maternidad provee a </w:t>
      </w:r>
      <w:r>
        <w:t xml:space="preserve">las aseguradas prestaciones durante el embarazo, parto y puerperio, y los beneficios son los siguientes:  atención medicoquirúrgica y dental, medicamentos y hospitalización, conforme a las normas que dispongan los reglamentos del Instituto de Previsión Social.  Los mismos derechos tienen el cónyuge del asegurado o la asegurada, o a falta de los mismos, la concubina o el concubino respectivamente, con quien haya vivido en forma pública, estable y singular, durante dos años anteriores al embarazo.  </w:t>
      </w:r>
      <w:r>
        <w:rPr>
          <w:lang w:val="es-MX"/>
        </w:rPr>
        <w:t>Además, e</w:t>
      </w:r>
      <w:r>
        <w:t xml:space="preserve">l Código del Trabajo en su artículo 133, parágrafo 2, establece:  "... durante su ausencia por reposo de maternidad y en cualquier período adicional entre la fecha presunta y la fecha real de parto, la trabajadora recibirá asistencia médica y prestaciones suficientes, con cargo al régimen de seguridad social...".  </w:t>
      </w:r>
      <w:r>
        <w:rPr>
          <w:lang w:val="es-MX"/>
        </w:rPr>
        <w:t xml:space="preserve">Dicho permiso laboral por maternidad alcanza los 90 días. </w:t>
      </w:r>
    </w:p>
    <w:p w:rsidR="00000000" w:rsidRDefault="00000000">
      <w:pPr>
        <w:spacing w:after="240"/>
        <w:rPr>
          <w:b/>
          <w:lang w:val="es-MX"/>
        </w:rPr>
      </w:pPr>
      <w:r>
        <w:rPr>
          <w:b/>
          <w:lang w:val="es-MX"/>
        </w:rPr>
        <w:t>3.</w:t>
      </w:r>
      <w:r>
        <w:rPr>
          <w:b/>
          <w:lang w:val="es-MX"/>
        </w:rPr>
        <w:tab/>
        <w:t>Evolución del marco legal a favor de sectores vulnerables</w:t>
      </w:r>
    </w:p>
    <w:p w:rsidR="00000000" w:rsidRDefault="00000000">
      <w:pPr>
        <w:autoSpaceDE w:val="0"/>
        <w:autoSpaceDN w:val="0"/>
        <w:adjustRightInd w:val="0"/>
        <w:spacing w:after="240"/>
      </w:pPr>
      <w:r>
        <w:t>311.</w:t>
      </w:r>
      <w:r>
        <w:tab/>
        <w:t xml:space="preserve">Durante el período que comprende el presente informe, organizaciones gubernamentales y no gubernamentales han logrado impulsar diversas modificaciones en los Códigos existentes como:  el del Trabajo, Electoral, Penal y Procesal.  Asimismo la ratificación de la Convención Interamericana para Prevenir, Sancionar y Erradicar la Violencia contra la Mujer (Belem do Pará), del Protocolo Facultativo de CEDAW.  La promulgación de la Ley de adopciones, la Ley contra la violencia doméstica, el código de la niñez y la adolescencia, y el Estatuto agrario.  Y la reciente aprobación por ley de la Convención de las Naciones Unidas contra la Delincuencia Organizada Transnacional y el Protocolo para prevenir y sancionar la trata de personas, especialmente mujeres y niños, constituyen algunos avances importantes en el marco normativo de protección de los derechos de estos sectores sociales vulnerables.  Ha sido importante también la ratificación del Convenio Nº 100 de la OIT sobre igual remuneración por igual trabajo.  Todos estos instrumentos contemplan la igualdad entre el hombre y la mujer y fueron incorporando la protección de los derechos humanos de las mujeres.  </w:t>
      </w:r>
    </w:p>
    <w:p w:rsidR="00000000" w:rsidRDefault="00000000">
      <w:pPr>
        <w:autoSpaceDE w:val="0"/>
        <w:autoSpaceDN w:val="0"/>
        <w:adjustRightInd w:val="0"/>
        <w:spacing w:after="240"/>
      </w:pPr>
      <w:r>
        <w:t>312.</w:t>
      </w:r>
      <w:r>
        <w:tab/>
        <w:t>Asimismo, el mecanismo nacional de protección a la mujer, ubicado al más alto nivel gubernamental ha creado otras instancias públicas en los tres poderes del Estado que tienen entre sus fines principales la equidad de género, signos de afianzamiento de la institucionalización de tema género en el Estado, que incluso avanza paulatinamente hacia la descentralización.  De igual manera, se crearon la Comisión de Equidad, Género y Desarrollo de ambas Cámaras del Parlamento Nacional, y la Comisión Asesora de Género y Equidad en la Junta Municipal de Asunción, experiencia que se repite en varios consejos municipales de todo el país.  Existen también Secretarías de la Mujer en los 17 departamentos del país.  De los 234 municipios en todo el territorio nacional, 135 de ellos tienen habilitadas una Secretaría de la Mujer.</w:t>
      </w:r>
    </w:p>
    <w:p w:rsidR="00000000" w:rsidRDefault="00000000">
      <w:pPr>
        <w:autoSpaceDE w:val="0"/>
        <w:autoSpaceDN w:val="0"/>
        <w:adjustRightInd w:val="0"/>
        <w:spacing w:after="240"/>
        <w:rPr>
          <w:lang w:val="es-MX"/>
        </w:rPr>
      </w:pPr>
      <w:r>
        <w:rPr>
          <w:lang w:val="es-MX"/>
        </w:rPr>
        <w:t>313.</w:t>
      </w:r>
      <w:r>
        <w:rPr>
          <w:lang w:val="es-MX"/>
        </w:rPr>
        <w:tab/>
        <w:t xml:space="preserve">Por otro lado, teniendo en cuenta las brechas de género en el sector rural y la particularidad del </w:t>
      </w:r>
      <w:r>
        <w:t>bilingüismo</w:t>
      </w:r>
      <w:r>
        <w:rPr>
          <w:lang w:val="es-MX"/>
        </w:rPr>
        <w:t xml:space="preserve"> en el Paraguay, se ejecuta el Proyecto de bialfabetización guaraní-castellano de adultas y adultos en género, producción y salud comunitaria, el que capacita en un 70% a mujeres de acuerdo a su rutina diaria, aumentando sus capacidades de autocuidado y desenvolvimiento en la comunidad.</w:t>
      </w:r>
    </w:p>
    <w:p w:rsidR="00000000" w:rsidRDefault="00000000">
      <w:pPr>
        <w:keepNext/>
        <w:spacing w:after="240"/>
        <w:jc w:val="center"/>
        <w:rPr>
          <w:b/>
        </w:rPr>
      </w:pPr>
      <w:r>
        <w:rPr>
          <w:b/>
        </w:rPr>
        <w:t>B.  Situación de la niñez y la adolescencia</w:t>
      </w:r>
    </w:p>
    <w:p w:rsidR="00000000" w:rsidRDefault="00000000">
      <w:pPr>
        <w:keepNext/>
        <w:spacing w:after="240"/>
        <w:rPr>
          <w:b/>
        </w:rPr>
      </w:pPr>
      <w:r>
        <w:rPr>
          <w:b/>
        </w:rPr>
        <w:t>1.</w:t>
      </w:r>
      <w:r>
        <w:rPr>
          <w:b/>
        </w:rPr>
        <w:tab/>
        <w:t>Medidas especiales de protección a la niñez y adolescencia</w:t>
      </w:r>
    </w:p>
    <w:p w:rsidR="00000000" w:rsidRDefault="00000000">
      <w:pPr>
        <w:autoSpaceDE w:val="0"/>
        <w:autoSpaceDN w:val="0"/>
        <w:adjustRightInd w:val="0"/>
        <w:spacing w:after="240"/>
      </w:pPr>
      <w:r>
        <w:t>314.</w:t>
      </w:r>
      <w:r>
        <w:tab/>
        <w:t>La Política Nacional de la Niñez y la Adolescencia (POLNA) está orientada a encaminar las acciones dirigidas a la niñez y la adolescencia, con un esfuerzo conjunto del Gobierno, los organismos internacionales, la sociedad civil y las organizaciones de niños/as y adolescentes, a fin de desarrollar políticas y programas eficaces que logren ajustarse a las distintas realidades, necesidades y demandas que enfrentan los niños y niñas del país.  El órgano rector de tales políticas es el Consejo Nacional de la Niñez y la Adolescencia y su órgano ejecutivo, la Secretaría de la Niñez y la Adolescencia.  La Política Nacional de la Niñez y la Adolescencia (POLNA) está diseñada para cubrir un período de diez años:  2003-2013.</w:t>
      </w:r>
    </w:p>
    <w:p w:rsidR="00000000" w:rsidRDefault="00000000">
      <w:pPr>
        <w:autoSpaceDE w:val="0"/>
        <w:autoSpaceDN w:val="0"/>
        <w:adjustRightInd w:val="0"/>
        <w:spacing w:after="240"/>
      </w:pPr>
      <w:r>
        <w:t>315.</w:t>
      </w:r>
      <w:r>
        <w:tab/>
        <w:t>El objetivo perseguido en la POLNA es "</w:t>
      </w:r>
      <w:r>
        <w:rPr>
          <w:iCs/>
        </w:rPr>
        <w:t xml:space="preserve">asegurar el desarrollo integral de niños, niñas y adolescentes en el Paraguay, así como el ejercicio efectivo y disfrute pleno de sus derechos".  </w:t>
      </w:r>
      <w:r>
        <w:t>Esto</w:t>
      </w:r>
      <w:r>
        <w:rPr>
          <w:i/>
          <w:iCs/>
        </w:rPr>
        <w:t xml:space="preserve"> </w:t>
      </w:r>
      <w:r>
        <w:t xml:space="preserve">implica, dos tipos de acciones convergentes:  la formulación e implementación de </w:t>
      </w:r>
      <w:r>
        <w:rPr>
          <w:bCs/>
        </w:rPr>
        <w:t>políticas universales básicas</w:t>
      </w:r>
      <w:r>
        <w:t xml:space="preserve"> con enfoque de derechos, que promuevan la protección integral de todos los niños, niñas y adolescentes y el diseño y la ejecución de </w:t>
      </w:r>
      <w:r>
        <w:rPr>
          <w:bCs/>
        </w:rPr>
        <w:t>políticas focalizadas</w:t>
      </w:r>
      <w:r>
        <w:t xml:space="preserve"> en problemáticas específicas que afectan a sectores especialmente vulnerables de la niñez y la adolescencia.</w:t>
      </w:r>
    </w:p>
    <w:p w:rsidR="00000000" w:rsidRDefault="00000000">
      <w:pPr>
        <w:autoSpaceDE w:val="0"/>
        <w:autoSpaceDN w:val="0"/>
        <w:adjustRightInd w:val="0"/>
        <w:spacing w:after="240"/>
      </w:pPr>
      <w:r>
        <w:t>316.</w:t>
      </w:r>
      <w:r>
        <w:tab/>
        <w:t xml:space="preserve">Para hacer realidad este objetivo, la POLNA promueve un cambio de enfoque e instala el criterio de </w:t>
      </w:r>
      <w:r>
        <w:rPr>
          <w:bCs/>
        </w:rPr>
        <w:t xml:space="preserve">focalización de las acciones </w:t>
      </w:r>
      <w:r>
        <w:t>en busca de obtener la mayor eficacia y eficiencia posibles en las acciones que se realicen "</w:t>
      </w:r>
      <w:r>
        <w:rPr>
          <w:iCs/>
        </w:rPr>
        <w:t>como un requisito de gestión para asegurar la cobertura de los sectores más vulnerables, el desarrollo de sistemas adecuados de prestación de servicios ajustados a las necesidades y la extensión a la población de menores recursos de las oportunidades y opciones básicas necesarias para promover niveles adecuados de desarrollo humano"</w:t>
      </w:r>
      <w:r>
        <w:t xml:space="preserve"> (IIN 2002:15).</w:t>
      </w:r>
    </w:p>
    <w:p w:rsidR="00000000" w:rsidRDefault="00000000">
      <w:pPr>
        <w:autoSpaceDE w:val="0"/>
        <w:autoSpaceDN w:val="0"/>
        <w:adjustRightInd w:val="0"/>
        <w:spacing w:after="240"/>
        <w:rPr>
          <w:bCs/>
        </w:rPr>
      </w:pPr>
      <w:r>
        <w:t>317.</w:t>
      </w:r>
      <w:r>
        <w:tab/>
        <w:t xml:space="preserve">La POLNA propone también una transformación del enfoque tradicional de las </w:t>
      </w:r>
      <w:r>
        <w:rPr>
          <w:bCs/>
        </w:rPr>
        <w:t>perspectivas de acción</w:t>
      </w:r>
      <w:r>
        <w:t>, desde la provisión de programas y servicios con una visión centrada en la institución prestataria y sus posibilidades y recursos (</w:t>
      </w:r>
      <w:r>
        <w:rPr>
          <w:bCs/>
        </w:rPr>
        <w:t>la oferta</w:t>
      </w:r>
      <w:r>
        <w:t>), hacia la visión centrada en el destinatario o beneficiario, es decir, centrada en las necesidades, los problemas y los derechos de los niños, niñas y adolescentes afectados y sus familias (</w:t>
      </w:r>
      <w:r>
        <w:rPr>
          <w:bCs/>
        </w:rPr>
        <w:t>la demanda</w:t>
      </w:r>
      <w:r>
        <w:t xml:space="preserve">).  </w:t>
      </w:r>
      <w:r>
        <w:rPr>
          <w:bCs/>
        </w:rPr>
        <w:t>Ver anexo V, Síntesis del Plan Nacional de Acción por la niñez y adolescencia (PNA)</w:t>
      </w:r>
      <w:r>
        <w:rPr>
          <w:rStyle w:val="FootnoteReference"/>
          <w:bCs/>
        </w:rPr>
        <w:footnoteReference w:id="23"/>
      </w:r>
      <w:r>
        <w:rPr>
          <w:bCs/>
        </w:rPr>
        <w:t>.</w:t>
      </w:r>
    </w:p>
    <w:p w:rsidR="00000000" w:rsidRDefault="00000000">
      <w:pPr>
        <w:spacing w:after="240"/>
        <w:rPr>
          <w:lang w:val="es-MX"/>
        </w:rPr>
      </w:pPr>
      <w:r>
        <w:rPr>
          <w:b/>
          <w:lang w:val="es-MX"/>
        </w:rPr>
        <w:t>2.</w:t>
      </w:r>
      <w:r>
        <w:rPr>
          <w:b/>
          <w:lang w:val="es-MX"/>
        </w:rPr>
        <w:tab/>
        <w:t xml:space="preserve">Marco legal de protección </w:t>
      </w:r>
    </w:p>
    <w:p w:rsidR="00000000" w:rsidRDefault="00000000">
      <w:pPr>
        <w:autoSpaceDE w:val="0"/>
        <w:autoSpaceDN w:val="0"/>
        <w:adjustRightInd w:val="0"/>
        <w:spacing w:after="240"/>
      </w:pPr>
      <w:r>
        <w:rPr>
          <w:lang w:val="es-MX"/>
        </w:rPr>
        <w:t>318.</w:t>
      </w:r>
      <w:r>
        <w:rPr>
          <w:lang w:val="es-MX"/>
        </w:rPr>
        <w:tab/>
      </w:r>
      <w:r>
        <w:t>Los avances en el plano legislativo contempla el Código de la Niñez y Adolescencia consiste en incorporar los principios de la Convención sobre los Derechos del Niño y la doctrina de la protección integral a la legislación nacional, dirigida a atender los asuntos relacionados a la niñez y a la adolescencia.</w:t>
      </w:r>
    </w:p>
    <w:p w:rsidR="00000000" w:rsidRDefault="00000000">
      <w:pPr>
        <w:keepNext/>
        <w:autoSpaceDE w:val="0"/>
        <w:autoSpaceDN w:val="0"/>
        <w:adjustRightInd w:val="0"/>
        <w:spacing w:after="240"/>
      </w:pPr>
      <w:r>
        <w:t>319.</w:t>
      </w:r>
      <w:r>
        <w:tab/>
        <w:t>Algunos aportes específicos de dicho Código son:</w:t>
      </w:r>
    </w:p>
    <w:p w:rsidR="00000000" w:rsidRDefault="00000000">
      <w:pPr>
        <w:spacing w:after="240"/>
        <w:ind w:left="924" w:hanging="357"/>
      </w:pPr>
      <w:r>
        <w:t>-</w:t>
      </w:r>
      <w:r>
        <w:tab/>
        <w:t>El reconocimiento expreso y tácito de derechos y garantías a los niños y adolescentes;</w:t>
      </w:r>
    </w:p>
    <w:p w:rsidR="00000000" w:rsidRDefault="00000000">
      <w:pPr>
        <w:spacing w:after="240"/>
        <w:ind w:left="924" w:hanging="357"/>
      </w:pPr>
      <w:r>
        <w:t>-</w:t>
      </w:r>
      <w:r>
        <w:tab/>
        <w:t>El reconocimiento específico de los derechos de participación de niños y adolescentes;</w:t>
      </w:r>
    </w:p>
    <w:p w:rsidR="00000000" w:rsidRDefault="00000000">
      <w:pPr>
        <w:spacing w:after="240"/>
        <w:ind w:left="924" w:hanging="357"/>
      </w:pPr>
      <w:r>
        <w:t>-</w:t>
      </w:r>
      <w:r>
        <w:tab/>
        <w:t>La instalación de un sistema social especializado y descentralizado, responsable de impulsar políticas sociales dirigidas a la atención de los problemas sociales que afectan a los derechos del niño, o sea la desjudicialización de la atención social de la infancia;</w:t>
      </w:r>
    </w:p>
    <w:p w:rsidR="00000000" w:rsidRDefault="00000000">
      <w:pPr>
        <w:spacing w:after="240"/>
        <w:ind w:left="924" w:hanging="357"/>
      </w:pPr>
      <w:r>
        <w:t>-</w:t>
      </w:r>
      <w:r>
        <w:tab/>
        <w:t>La instalación de un sistema de justicia especializada y jerarquizada para el tratamiento jurisdiccional de los asuntos referentes a niños y adolescentes, que distingue el abordaje de las causas penales que afecten a adolescentes;</w:t>
      </w:r>
    </w:p>
    <w:p w:rsidR="00000000" w:rsidRDefault="00000000">
      <w:pPr>
        <w:tabs>
          <w:tab w:val="decimal" w:pos="7920"/>
        </w:tabs>
        <w:spacing w:after="240"/>
        <w:ind w:left="924" w:hanging="357"/>
      </w:pPr>
      <w:r>
        <w:t>-</w:t>
      </w:r>
      <w:r>
        <w:tab/>
        <w:t xml:space="preserve">El tratamiento garantista y especializado de las infracciones de la ley penal cometidas por adolescentes.  </w:t>
      </w:r>
    </w:p>
    <w:p w:rsidR="00000000" w:rsidRDefault="00000000">
      <w:pPr>
        <w:autoSpaceDE w:val="0"/>
        <w:autoSpaceDN w:val="0"/>
        <w:adjustRightInd w:val="0"/>
        <w:spacing w:after="240"/>
        <w:rPr>
          <w:lang w:val="es-MX"/>
        </w:rPr>
      </w:pPr>
      <w:r>
        <w:rPr>
          <w:lang w:val="es-MX"/>
        </w:rPr>
        <w:t>320.</w:t>
      </w:r>
      <w:r>
        <w:rPr>
          <w:lang w:val="es-MX"/>
        </w:rPr>
        <w:tab/>
        <w:t xml:space="preserve">El Código de la Niñez y la Adolescencia, Ley Nº 1680/01 en su artículo 8 consagra el derecho a la </w:t>
      </w:r>
      <w:r>
        <w:t>familia</w:t>
      </w:r>
      <w:r>
        <w:rPr>
          <w:lang w:val="es-MX"/>
        </w:rPr>
        <w:t xml:space="preserve"> del niño o adolescente, consistente en el derecho a vivir y desarrollarse en su familia, y en caso de falta o insuficiencia de recursos materiales de sus familiares, el derecho a que el Estado los provea de los mismos; asimismo establece la prohibición de separar al niño o adolescente de su grupo familiar, o disponer la suspensión o pérdida de la patria potestad invocando la falta o insuficiencia de recursos.</w:t>
      </w:r>
    </w:p>
    <w:p w:rsidR="00000000" w:rsidRDefault="00000000">
      <w:pPr>
        <w:autoSpaceDE w:val="0"/>
        <w:autoSpaceDN w:val="0"/>
        <w:adjustRightInd w:val="0"/>
        <w:spacing w:after="240"/>
        <w:rPr>
          <w:lang w:val="es-MX"/>
        </w:rPr>
      </w:pPr>
      <w:r>
        <w:rPr>
          <w:lang w:val="es-MX"/>
        </w:rPr>
        <w:t>321.</w:t>
      </w:r>
      <w:r>
        <w:rPr>
          <w:lang w:val="es-MX"/>
        </w:rPr>
        <w:tab/>
        <w:t xml:space="preserve">El mismo cuerpo legal, en el artículo 9 establece que la protección de las personas por nacer se ejerce mediante la atención a la embarazada desde la concepción y hasta los 45 días posteriores al parto.  La responsabilidad del Estado está determinada en el artículo 10, que deberá atender a la mujer embarazada </w:t>
      </w:r>
      <w:r>
        <w:t>insolvente</w:t>
      </w:r>
      <w:r>
        <w:rPr>
          <w:lang w:val="es-MX"/>
        </w:rPr>
        <w:t xml:space="preserve">, a la que se proveerá de alojamiento, alimentación y medicamentos necesarios; atender a la embarazada indígena, en el marco del más amplio respeto a su cultura; elaborar planes de atención especializada para la protección de la adolescente embarazada; y promover la lactancia materna.  Aclara que la mujer embarazada estará sujeta a estas medidas de asistencia, aun cuando el niño naciere muerto o muriese durante el período neonatal.  </w:t>
      </w:r>
    </w:p>
    <w:p w:rsidR="00000000" w:rsidRDefault="00000000">
      <w:pPr>
        <w:autoSpaceDE w:val="0"/>
        <w:autoSpaceDN w:val="0"/>
        <w:adjustRightInd w:val="0"/>
        <w:spacing w:after="240"/>
        <w:rPr>
          <w:lang w:val="es-MX"/>
        </w:rPr>
      </w:pPr>
      <w:r>
        <w:rPr>
          <w:lang w:val="es-MX"/>
        </w:rPr>
        <w:t>322.</w:t>
      </w:r>
      <w:r>
        <w:rPr>
          <w:lang w:val="es-MX"/>
        </w:rPr>
        <w:tab/>
        <w:t xml:space="preserve">El artículo 11 consagra la obligación de la atención médica en el lugar más cercano de la mujer embarazada que requiriese urgente atención y prohíbe referir o rechazar a la mujer </w:t>
      </w:r>
      <w:r>
        <w:t>embarazada</w:t>
      </w:r>
      <w:r>
        <w:rPr>
          <w:lang w:val="es-MX"/>
        </w:rPr>
        <w:t xml:space="preserve"> con trabajo de parto o que requiera urgente atención, cuando sea insolvente o por falta de cama u otros medios de la institución, sin antes recibir el tratamiento de emergencia inicial.</w:t>
      </w:r>
    </w:p>
    <w:p w:rsidR="00000000" w:rsidRDefault="00000000">
      <w:pPr>
        <w:autoSpaceDE w:val="0"/>
        <w:autoSpaceDN w:val="0"/>
        <w:adjustRightInd w:val="0"/>
        <w:spacing w:after="240"/>
        <w:rPr>
          <w:lang w:val="es-MX"/>
        </w:rPr>
      </w:pPr>
      <w:r>
        <w:rPr>
          <w:lang w:val="es-MX"/>
        </w:rPr>
        <w:t>323.</w:t>
      </w:r>
      <w:r>
        <w:rPr>
          <w:lang w:val="es-MX"/>
        </w:rPr>
        <w:tab/>
        <w:t xml:space="preserve">Por ningún </w:t>
      </w:r>
      <w:r>
        <w:t>motivo</w:t>
      </w:r>
      <w:r>
        <w:rPr>
          <w:lang w:val="es-MX"/>
        </w:rPr>
        <w:t xml:space="preserve"> y en ningún caso se podrá retener al recién nacido o a la madre en el centro hospitalario donde se hubiere producido el alumbramiento, por la falta de pago de los servicios médicos (art. 12):</w:t>
      </w:r>
    </w:p>
    <w:p w:rsidR="00000000" w:rsidRDefault="00000000">
      <w:pPr>
        <w:spacing w:after="240"/>
        <w:ind w:left="924" w:hanging="357"/>
        <w:rPr>
          <w:lang w:val="es-MX"/>
        </w:rPr>
      </w:pPr>
      <w:r>
        <w:rPr>
          <w:lang w:val="es-MX"/>
        </w:rPr>
        <w:t>-</w:t>
      </w:r>
      <w:r>
        <w:rPr>
          <w:lang w:val="es-MX"/>
        </w:rPr>
        <w:tab/>
        <w:t>Artículo 13:  consagra el derecho a la salud del niño/a y adolescente;</w:t>
      </w:r>
    </w:p>
    <w:p w:rsidR="00000000" w:rsidRDefault="00000000">
      <w:pPr>
        <w:spacing w:after="240"/>
        <w:ind w:left="924" w:hanging="357"/>
        <w:rPr>
          <w:lang w:val="es-MX"/>
        </w:rPr>
      </w:pPr>
      <w:r>
        <w:rPr>
          <w:lang w:val="es-MX"/>
        </w:rPr>
        <w:t>-</w:t>
      </w:r>
      <w:r>
        <w:rPr>
          <w:lang w:val="es-MX"/>
        </w:rPr>
        <w:tab/>
        <w:t>Artículo 14:  consagra el derecho a la salud sexual y reproductiva;</w:t>
      </w:r>
    </w:p>
    <w:p w:rsidR="00000000" w:rsidRDefault="00000000">
      <w:pPr>
        <w:spacing w:after="240"/>
        <w:ind w:left="924" w:hanging="357"/>
        <w:rPr>
          <w:lang w:val="es-MX"/>
        </w:rPr>
      </w:pPr>
      <w:r>
        <w:rPr>
          <w:lang w:val="es-MX"/>
        </w:rPr>
        <w:t>-</w:t>
      </w:r>
      <w:r>
        <w:rPr>
          <w:lang w:val="es-MX"/>
        </w:rPr>
        <w:tab/>
        <w:t>Artículo 15:  consagra la gratuidad de los programas de salud pública (asistencia médica y odontológica);</w:t>
      </w:r>
    </w:p>
    <w:p w:rsidR="00000000" w:rsidRDefault="00000000">
      <w:pPr>
        <w:spacing w:after="240"/>
        <w:ind w:left="924" w:hanging="357"/>
        <w:rPr>
          <w:lang w:val="es-MX"/>
        </w:rPr>
      </w:pPr>
      <w:r>
        <w:rPr>
          <w:lang w:val="es-MX"/>
        </w:rPr>
        <w:t>-</w:t>
      </w:r>
      <w:r>
        <w:rPr>
          <w:lang w:val="es-MX"/>
        </w:rPr>
        <w:tab/>
        <w:t>Artículo 16:  consagra el derecho a la protección contra sustancias dañinas, tabaco y bebidas alcohólicas;</w:t>
      </w:r>
    </w:p>
    <w:p w:rsidR="00000000" w:rsidRDefault="00000000">
      <w:pPr>
        <w:spacing w:after="240"/>
        <w:ind w:left="924" w:hanging="357"/>
        <w:rPr>
          <w:lang w:val="es-MX"/>
        </w:rPr>
      </w:pPr>
      <w:r>
        <w:rPr>
          <w:lang w:val="es-MX"/>
        </w:rPr>
        <w:t>-</w:t>
      </w:r>
      <w:r>
        <w:rPr>
          <w:lang w:val="es-MX"/>
        </w:rPr>
        <w:tab/>
        <w:t>Artículo 17:  refiere a las autorizaciones necesarias en caso de intervención quirúrgica ante el peligro de muerte del niño/a o adolescente;</w:t>
      </w:r>
    </w:p>
    <w:p w:rsidR="00000000" w:rsidRDefault="00000000">
      <w:pPr>
        <w:spacing w:after="240"/>
        <w:ind w:left="924" w:hanging="357"/>
        <w:rPr>
          <w:lang w:val="es-MX"/>
        </w:rPr>
      </w:pPr>
      <w:r>
        <w:rPr>
          <w:lang w:val="es-MX"/>
        </w:rPr>
        <w:t>-</w:t>
      </w:r>
      <w:r>
        <w:rPr>
          <w:lang w:val="es-MX"/>
        </w:rPr>
        <w:tab/>
        <w:t>Artículo 18:  consagra el derecho a la identidad;</w:t>
      </w:r>
    </w:p>
    <w:p w:rsidR="00000000" w:rsidRDefault="00000000">
      <w:pPr>
        <w:spacing w:after="240"/>
        <w:ind w:left="924" w:hanging="357"/>
        <w:rPr>
          <w:lang w:val="es-MX"/>
        </w:rPr>
      </w:pPr>
      <w:r>
        <w:rPr>
          <w:lang w:val="es-MX"/>
        </w:rPr>
        <w:t>-</w:t>
      </w:r>
      <w:r>
        <w:rPr>
          <w:lang w:val="es-MX"/>
        </w:rPr>
        <w:tab/>
        <w:t>Artículo 19:  refiere sobre la obligación del registro de nacimiento;</w:t>
      </w:r>
    </w:p>
    <w:p w:rsidR="00000000" w:rsidRDefault="00000000">
      <w:pPr>
        <w:spacing w:after="240"/>
        <w:ind w:left="924" w:hanging="357"/>
        <w:rPr>
          <w:lang w:val="es-MX"/>
        </w:rPr>
      </w:pPr>
      <w:r>
        <w:rPr>
          <w:lang w:val="es-MX"/>
        </w:rPr>
        <w:t>-</w:t>
      </w:r>
      <w:r>
        <w:rPr>
          <w:lang w:val="es-MX"/>
        </w:rPr>
        <w:tab/>
        <w:t>Artículo 20:  consagra el derecho a la educación;</w:t>
      </w:r>
    </w:p>
    <w:p w:rsidR="00000000" w:rsidRDefault="00000000">
      <w:pPr>
        <w:spacing w:after="240"/>
        <w:ind w:left="924" w:hanging="357"/>
        <w:rPr>
          <w:lang w:val="es-MX"/>
        </w:rPr>
      </w:pPr>
      <w:r>
        <w:rPr>
          <w:lang w:val="es-MX"/>
        </w:rPr>
        <w:t>-</w:t>
      </w:r>
      <w:r>
        <w:rPr>
          <w:lang w:val="es-MX"/>
        </w:rPr>
        <w:tab/>
        <w:t>Artículo 24:  consagra el derecho a la cultura y al deporte;</w:t>
      </w:r>
    </w:p>
    <w:p w:rsidR="00000000" w:rsidRDefault="00000000">
      <w:pPr>
        <w:spacing w:after="240"/>
        <w:ind w:left="924" w:hanging="357"/>
        <w:rPr>
          <w:lang w:val="es-MX"/>
        </w:rPr>
      </w:pPr>
      <w:r>
        <w:rPr>
          <w:lang w:val="es-MX"/>
        </w:rPr>
        <w:t>-</w:t>
      </w:r>
      <w:r>
        <w:rPr>
          <w:lang w:val="es-MX"/>
        </w:rPr>
        <w:tab/>
        <w:t>Artículo 25:  consagra el derecho del niño/a y adolescente a ser protegidos contra toda forma de explotación;</w:t>
      </w:r>
    </w:p>
    <w:p w:rsidR="00000000" w:rsidRDefault="00000000">
      <w:pPr>
        <w:spacing w:after="240"/>
        <w:ind w:left="924" w:hanging="357"/>
        <w:rPr>
          <w:lang w:val="es-MX"/>
        </w:rPr>
      </w:pPr>
      <w:r>
        <w:rPr>
          <w:lang w:val="es-MX"/>
        </w:rPr>
        <w:t>-</w:t>
      </w:r>
      <w:r>
        <w:rPr>
          <w:lang w:val="es-MX"/>
        </w:rPr>
        <w:tab/>
        <w:t>Artículo 26:  consagra el derecho de petición;</w:t>
      </w:r>
    </w:p>
    <w:p w:rsidR="00000000" w:rsidRDefault="00000000">
      <w:pPr>
        <w:spacing w:after="240"/>
        <w:ind w:left="924" w:hanging="357"/>
        <w:rPr>
          <w:lang w:val="es-MX"/>
        </w:rPr>
      </w:pPr>
      <w:r>
        <w:rPr>
          <w:lang w:val="es-MX"/>
        </w:rPr>
        <w:t>-</w:t>
      </w:r>
      <w:r>
        <w:rPr>
          <w:lang w:val="es-MX"/>
        </w:rPr>
        <w:tab/>
        <w:t>Artículo 27:  establece el secreto de las actuaciones en asuntos judiciales y/o administrativos relativos al niño/a o adolescente;</w:t>
      </w:r>
    </w:p>
    <w:p w:rsidR="00000000" w:rsidRDefault="00000000">
      <w:pPr>
        <w:spacing w:after="240"/>
        <w:ind w:left="924" w:hanging="357"/>
        <w:rPr>
          <w:lang w:val="es-MX"/>
        </w:rPr>
      </w:pPr>
      <w:r>
        <w:rPr>
          <w:lang w:val="es-MX"/>
        </w:rPr>
        <w:t>-</w:t>
      </w:r>
      <w:r>
        <w:rPr>
          <w:lang w:val="es-MX"/>
        </w:rPr>
        <w:tab/>
        <w:t>Artículo 28:  establece excepciones al secreto de las actuaciones;</w:t>
      </w:r>
    </w:p>
    <w:p w:rsidR="00000000" w:rsidRDefault="00000000">
      <w:pPr>
        <w:spacing w:after="240"/>
        <w:ind w:left="924" w:hanging="357"/>
        <w:rPr>
          <w:lang w:val="es-MX"/>
        </w:rPr>
      </w:pPr>
      <w:r>
        <w:rPr>
          <w:lang w:val="es-MX"/>
        </w:rPr>
        <w:t>-</w:t>
      </w:r>
      <w:r>
        <w:rPr>
          <w:lang w:val="es-MX"/>
        </w:rPr>
        <w:tab/>
        <w:t>Artículo 29:  establece la prohibición de la publicación (en los medios de prensa) de los nombres, fotografías o datos que posibiliten identificar al niño/a o adolescente, víctima o supuesto autor de hechos punibles;</w:t>
      </w:r>
    </w:p>
    <w:p w:rsidR="00000000" w:rsidRDefault="00000000">
      <w:pPr>
        <w:spacing w:after="240"/>
        <w:ind w:left="924" w:hanging="357"/>
        <w:rPr>
          <w:lang w:val="es-MX"/>
        </w:rPr>
      </w:pPr>
      <w:r>
        <w:rPr>
          <w:lang w:val="es-MX"/>
        </w:rPr>
        <w:t>-</w:t>
      </w:r>
      <w:r>
        <w:rPr>
          <w:lang w:val="es-MX"/>
        </w:rPr>
        <w:tab/>
        <w:t>Artículo 30:  establece los deberes del niño/a o adolescente;</w:t>
      </w:r>
    </w:p>
    <w:p w:rsidR="00000000" w:rsidRDefault="00000000">
      <w:pPr>
        <w:spacing w:after="240"/>
        <w:ind w:left="924" w:hanging="357"/>
        <w:rPr>
          <w:lang w:val="es-MX"/>
        </w:rPr>
      </w:pPr>
      <w:r>
        <w:rPr>
          <w:lang w:val="es-MX"/>
        </w:rPr>
        <w:t>-</w:t>
      </w:r>
      <w:r>
        <w:rPr>
          <w:lang w:val="es-MX"/>
        </w:rPr>
        <w:tab/>
        <w:t>Artículo 31:  prohíbe la utilización de niños/as o adolescentes en el comercio sexual;</w:t>
      </w:r>
    </w:p>
    <w:p w:rsidR="00000000" w:rsidRDefault="00000000">
      <w:pPr>
        <w:spacing w:after="240"/>
        <w:ind w:left="924" w:hanging="357"/>
        <w:rPr>
          <w:lang w:val="es-MX"/>
        </w:rPr>
      </w:pPr>
      <w:r>
        <w:rPr>
          <w:lang w:val="es-MX"/>
        </w:rPr>
        <w:t>-</w:t>
      </w:r>
      <w:r>
        <w:rPr>
          <w:lang w:val="es-MX"/>
        </w:rPr>
        <w:tab/>
        <w:t>Artículo 34:  establece medidas de protección y apoyo;</w:t>
      </w:r>
    </w:p>
    <w:p w:rsidR="00000000" w:rsidRDefault="00000000">
      <w:pPr>
        <w:spacing w:after="240"/>
        <w:ind w:left="924" w:hanging="357"/>
        <w:rPr>
          <w:lang w:val="es-MX"/>
        </w:rPr>
      </w:pPr>
      <w:r>
        <w:rPr>
          <w:lang w:val="es-MX"/>
        </w:rPr>
        <w:t>-</w:t>
      </w:r>
      <w:r>
        <w:rPr>
          <w:lang w:val="es-MX"/>
        </w:rPr>
        <w:tab/>
        <w:t>Artículo 35:  establece el abrigo que consiste en la ubicación del niño/a o adolescente en una entidad destinada a su protección y cuidado, como medida excepcional y provisoria;</w:t>
      </w:r>
    </w:p>
    <w:p w:rsidR="00000000" w:rsidRDefault="00000000">
      <w:pPr>
        <w:spacing w:after="240"/>
        <w:ind w:left="924" w:hanging="357"/>
        <w:rPr>
          <w:lang w:val="es-MX"/>
        </w:rPr>
      </w:pPr>
      <w:r>
        <w:rPr>
          <w:lang w:val="es-MX"/>
        </w:rPr>
        <w:t>-</w:t>
      </w:r>
      <w:r>
        <w:rPr>
          <w:lang w:val="es-MX"/>
        </w:rPr>
        <w:tab/>
        <w:t>Artículo 37:  crea el Sistema Nacional de Protección y Promoción Integral a la Niñez y Adolescencia (SNPPI);</w:t>
      </w:r>
    </w:p>
    <w:p w:rsidR="00000000" w:rsidRDefault="00000000">
      <w:pPr>
        <w:spacing w:after="240"/>
        <w:ind w:left="924" w:hanging="357"/>
        <w:rPr>
          <w:lang w:val="es-MX"/>
        </w:rPr>
      </w:pPr>
      <w:r>
        <w:rPr>
          <w:lang w:val="es-MX"/>
        </w:rPr>
        <w:t>-</w:t>
      </w:r>
      <w:r>
        <w:rPr>
          <w:lang w:val="es-MX"/>
        </w:rPr>
        <w:tab/>
        <w:t>Artículo 39:  crea la Secretaría Nacional de la Niñez y la Adolescencia;</w:t>
      </w:r>
    </w:p>
    <w:p w:rsidR="00000000" w:rsidRDefault="00000000">
      <w:pPr>
        <w:spacing w:after="240"/>
        <w:ind w:left="924" w:hanging="357"/>
        <w:rPr>
          <w:lang w:val="es-MX"/>
        </w:rPr>
      </w:pPr>
      <w:r>
        <w:rPr>
          <w:lang w:val="es-MX"/>
        </w:rPr>
        <w:t>-</w:t>
      </w:r>
      <w:r>
        <w:rPr>
          <w:lang w:val="es-MX"/>
        </w:rPr>
        <w:tab/>
        <w:t>Artículo 42:  constituye e integra el Consejo Nacional de la Niñez y Adolescencia;</w:t>
      </w:r>
    </w:p>
    <w:p w:rsidR="00000000" w:rsidRDefault="00000000">
      <w:pPr>
        <w:spacing w:after="240"/>
        <w:ind w:left="924" w:hanging="357"/>
        <w:rPr>
          <w:lang w:val="es-MX"/>
        </w:rPr>
      </w:pPr>
      <w:r>
        <w:rPr>
          <w:lang w:val="es-MX"/>
        </w:rPr>
        <w:t>-</w:t>
      </w:r>
      <w:r>
        <w:rPr>
          <w:lang w:val="es-MX"/>
        </w:rPr>
        <w:tab/>
        <w:t>Artículo 44:  constituye e integra el Consejo Departamental de la Niñez y Adolescencia;</w:t>
      </w:r>
    </w:p>
    <w:p w:rsidR="00000000" w:rsidRDefault="00000000">
      <w:pPr>
        <w:spacing w:after="240"/>
        <w:ind w:left="924" w:hanging="357"/>
        <w:rPr>
          <w:lang w:val="es-MX"/>
        </w:rPr>
      </w:pPr>
      <w:r>
        <w:rPr>
          <w:lang w:val="es-MX"/>
        </w:rPr>
        <w:t>-</w:t>
      </w:r>
      <w:r>
        <w:rPr>
          <w:lang w:val="es-MX"/>
        </w:rPr>
        <w:tab/>
        <w:t>Artículo 46:  constituye e integra el Consejo Municipal de la Niñez y la Adolescencia;</w:t>
      </w:r>
    </w:p>
    <w:p w:rsidR="00000000" w:rsidRDefault="00000000">
      <w:pPr>
        <w:spacing w:after="240"/>
        <w:ind w:left="924" w:hanging="357"/>
        <w:rPr>
          <w:lang w:val="es-MX"/>
        </w:rPr>
      </w:pPr>
      <w:r>
        <w:rPr>
          <w:lang w:val="es-MX"/>
        </w:rPr>
        <w:t>-</w:t>
      </w:r>
      <w:r>
        <w:rPr>
          <w:lang w:val="es-MX"/>
        </w:rPr>
        <w:tab/>
        <w:t xml:space="preserve">Artículo </w:t>
      </w:r>
      <w:r>
        <w:t>48:  crea las consejerías municipales por los derechos del niño, niña y adolescente</w:t>
      </w:r>
      <w:r>
        <w:rPr>
          <w:lang w:val="es-MX"/>
        </w:rPr>
        <w:t>.</w:t>
      </w:r>
    </w:p>
    <w:p w:rsidR="00000000" w:rsidRDefault="00000000">
      <w:pPr>
        <w:autoSpaceDE w:val="0"/>
        <w:autoSpaceDN w:val="0"/>
        <w:adjustRightInd w:val="0"/>
        <w:spacing w:after="240"/>
        <w:rPr>
          <w:lang w:val="es-MX"/>
        </w:rPr>
      </w:pPr>
      <w:r>
        <w:rPr>
          <w:lang w:val="es-MX"/>
        </w:rPr>
        <w:t>324.</w:t>
      </w:r>
      <w:r>
        <w:rPr>
          <w:lang w:val="es-MX"/>
        </w:rPr>
        <w:tab/>
        <w:t>El Decreto N° 4951, de fecha 2 de marzo de 2005, del Consejo Nacional de la Niñez establece el listado de trabajo infantil peligroso.</w:t>
      </w:r>
    </w:p>
    <w:p w:rsidR="00000000" w:rsidRDefault="00000000">
      <w:pPr>
        <w:spacing w:after="240"/>
      </w:pPr>
      <w:r>
        <w:rPr>
          <w:lang w:val="es-MX"/>
        </w:rPr>
        <w:t>325.</w:t>
      </w:r>
      <w:r>
        <w:rPr>
          <w:lang w:val="es-MX"/>
        </w:rPr>
        <w:tab/>
        <w:t xml:space="preserve">El artículo 1 </w:t>
      </w:r>
      <w:r>
        <w:t>de la Ley Nº 1136/97 dispone que la adopción es la institución jurídica de protección</w:t>
      </w:r>
      <w:r>
        <w:rPr>
          <w:lang w:val="es-MX"/>
        </w:rPr>
        <w:t xml:space="preserve"> al niño y adolescente en el ámbito familiar y social por lo que, bajo vigilancia del Estado, el adoptado entra a formar parte de la familia o crea una familia con el adoptante, en calidad de hijo, y deja de pertenecer a su familia consanguínea, salvo en el caso de la adopción del hijo del cónyuge o conviviente.</w:t>
      </w:r>
    </w:p>
    <w:p w:rsidR="00000000" w:rsidRDefault="00000000">
      <w:pPr>
        <w:autoSpaceDE w:val="0"/>
        <w:autoSpaceDN w:val="0"/>
        <w:adjustRightInd w:val="0"/>
        <w:spacing w:after="240"/>
      </w:pPr>
      <w:r>
        <w:t>326.</w:t>
      </w:r>
      <w:r>
        <w:tab/>
        <w:t>Las Consejerías Municipales por los Derechos del Niño, Niña y Adolescente o CODENI es la instancia creada por el Código de la Niñez y la Adolescencia a nivel local, que presta un servicio de carácter permanente y gratuito de protección, promoción y defensa de los derechos del niño, de carácter no jurisdiccional.  Sus decisiones podrán ser revisadas por la autoridad judicial a pedido del niño(a) o responsable, y sus funcionarios(as) podrán ser inhabilitados en el caso de utilizar el cargo para beneficio propio, y/o incurrir en actos de infracción de las leyes en vigencia.</w:t>
      </w:r>
    </w:p>
    <w:p w:rsidR="00000000" w:rsidRDefault="00000000">
      <w:pPr>
        <w:autoSpaceDE w:val="0"/>
        <w:autoSpaceDN w:val="0"/>
        <w:adjustRightInd w:val="0"/>
        <w:spacing w:after="240"/>
      </w:pPr>
      <w:r>
        <w:t>327.</w:t>
      </w:r>
      <w:r>
        <w:tab/>
        <w:t>El Código de la Niñez y la Adolescencia (Ley Nº 1680/01) prevé en el artículo 50 las siguientes atribuciones de las CODENIs:</w:t>
      </w:r>
    </w:p>
    <w:p w:rsidR="00000000" w:rsidRDefault="00000000">
      <w:pPr>
        <w:autoSpaceDE w:val="0"/>
        <w:autoSpaceDN w:val="0"/>
        <w:adjustRightInd w:val="0"/>
        <w:spacing w:after="240"/>
        <w:ind w:left="1134" w:hanging="567"/>
      </w:pPr>
      <w:r>
        <w:t>a)</w:t>
      </w:r>
      <w:r>
        <w:tab/>
        <w:t>Intervenir preventivamente en caso de amenaza a transgresión de los derechos del niño(a) o adolescente, siempre que no exista intervención jurisdiccional, brindando una alternativa de resolución de conflictos;</w:t>
      </w:r>
    </w:p>
    <w:p w:rsidR="00000000" w:rsidRDefault="00000000">
      <w:pPr>
        <w:autoSpaceDE w:val="0"/>
        <w:autoSpaceDN w:val="0"/>
        <w:adjustRightInd w:val="0"/>
        <w:spacing w:after="240"/>
        <w:ind w:left="1134" w:hanging="567"/>
      </w:pPr>
      <w:r>
        <w:t>b)</w:t>
      </w:r>
      <w:r>
        <w:tab/>
        <w:t>Brindar orientación especializada a la familia para prevenir situaciones críticas;</w:t>
      </w:r>
    </w:p>
    <w:p w:rsidR="00000000" w:rsidRDefault="00000000">
      <w:pPr>
        <w:autoSpaceDE w:val="0"/>
        <w:autoSpaceDN w:val="0"/>
        <w:adjustRightInd w:val="0"/>
        <w:spacing w:after="240"/>
        <w:ind w:left="1134" w:hanging="567"/>
      </w:pPr>
      <w:r>
        <w:t>c)</w:t>
      </w:r>
      <w:r>
        <w:tab/>
        <w:t>Habilitar a entidades públicas y privadas dedicadas a desarrollar programas de abrigo y clausurarlas en casos justificados;</w:t>
      </w:r>
    </w:p>
    <w:p w:rsidR="00000000" w:rsidRDefault="00000000">
      <w:pPr>
        <w:autoSpaceDE w:val="0"/>
        <w:autoSpaceDN w:val="0"/>
        <w:adjustRightInd w:val="0"/>
        <w:spacing w:after="240"/>
        <w:ind w:left="1134" w:hanging="567"/>
      </w:pPr>
      <w:r>
        <w:t>d)</w:t>
      </w:r>
      <w:r>
        <w:tab/>
        <w:t>Derivar a la autoridad judicial los casos de su competencia;</w:t>
      </w:r>
    </w:p>
    <w:p w:rsidR="00000000" w:rsidRDefault="00000000">
      <w:pPr>
        <w:autoSpaceDE w:val="0"/>
        <w:autoSpaceDN w:val="0"/>
        <w:adjustRightInd w:val="0"/>
        <w:spacing w:after="240"/>
        <w:ind w:left="1134" w:hanging="567"/>
      </w:pPr>
      <w:r>
        <w:t>e)</w:t>
      </w:r>
      <w:r>
        <w:tab/>
        <w:t>Llevar un registro del niño y el adolescente que realizan actividades económicas, a fin de impulsar programas de protección y apoyo a las familias;</w:t>
      </w:r>
    </w:p>
    <w:p w:rsidR="00000000" w:rsidRDefault="00000000">
      <w:pPr>
        <w:autoSpaceDE w:val="0"/>
        <w:autoSpaceDN w:val="0"/>
        <w:adjustRightInd w:val="0"/>
        <w:spacing w:after="240"/>
        <w:ind w:left="1134" w:hanging="567"/>
      </w:pPr>
      <w:r>
        <w:t>f)</w:t>
      </w:r>
      <w:r>
        <w:tab/>
        <w:t>Apoyar la ejecución de medidas alternativas a la privación de libertad;</w:t>
      </w:r>
    </w:p>
    <w:p w:rsidR="00000000" w:rsidRDefault="00000000">
      <w:pPr>
        <w:autoSpaceDE w:val="0"/>
        <w:autoSpaceDN w:val="0"/>
        <w:adjustRightInd w:val="0"/>
        <w:spacing w:after="240"/>
        <w:ind w:left="1134" w:hanging="567"/>
      </w:pPr>
      <w:r>
        <w:t>g)</w:t>
      </w:r>
      <w:r>
        <w:tab/>
        <w:t>Coordinar con las entidades de formación profesional programas de capacitación de los adolescentes trabajadores; y</w:t>
      </w:r>
    </w:p>
    <w:p w:rsidR="00000000" w:rsidRDefault="00000000">
      <w:pPr>
        <w:autoSpaceDE w:val="0"/>
        <w:autoSpaceDN w:val="0"/>
        <w:adjustRightInd w:val="0"/>
        <w:spacing w:after="240"/>
        <w:ind w:left="1134" w:hanging="567"/>
      </w:pPr>
      <w:r>
        <w:t>h)</w:t>
      </w:r>
      <w:r>
        <w:tab/>
        <w:t>Proveer servicios de salas maternales, guarderías y jardines de infantes para la atención del niño cuyo padre o madre trabaje fuera del hogar.</w:t>
      </w:r>
    </w:p>
    <w:p w:rsidR="00000000" w:rsidRDefault="00000000">
      <w:pPr>
        <w:autoSpaceDE w:val="0"/>
        <w:autoSpaceDN w:val="0"/>
        <w:adjustRightInd w:val="0"/>
        <w:spacing w:after="240"/>
      </w:pPr>
      <w:r>
        <w:t>328.</w:t>
      </w:r>
      <w:r>
        <w:tab/>
        <w:t>De comprobarse la amenaza o trasgresión a los derechos del niño, se aplican las medidas establecidas en el artículo 34 del Código de la Niñez y la Adolescencia, cuando el niño o el adolescente se encuentren en situaciones que señalan la necesidad de protección o apoyo, a saber:</w:t>
      </w:r>
    </w:p>
    <w:p w:rsidR="00000000" w:rsidRDefault="00000000">
      <w:pPr>
        <w:autoSpaceDE w:val="0"/>
        <w:autoSpaceDN w:val="0"/>
        <w:adjustRightInd w:val="0"/>
        <w:spacing w:after="240"/>
        <w:ind w:left="1134" w:hanging="567"/>
      </w:pPr>
      <w:r>
        <w:t>a)</w:t>
      </w:r>
      <w:r>
        <w:tab/>
        <w:t>La advertencia al padre, a la madre, al tutor o responsable;</w:t>
      </w:r>
    </w:p>
    <w:p w:rsidR="00000000" w:rsidRDefault="00000000">
      <w:pPr>
        <w:autoSpaceDE w:val="0"/>
        <w:autoSpaceDN w:val="0"/>
        <w:adjustRightInd w:val="0"/>
        <w:spacing w:after="240"/>
        <w:ind w:left="1134" w:hanging="567"/>
      </w:pPr>
      <w:r>
        <w:t>b)</w:t>
      </w:r>
      <w:r>
        <w:tab/>
        <w:t>La orientación al niño o adolescente y a su grupo familiar;</w:t>
      </w:r>
    </w:p>
    <w:p w:rsidR="00000000" w:rsidRDefault="00000000">
      <w:pPr>
        <w:autoSpaceDE w:val="0"/>
        <w:autoSpaceDN w:val="0"/>
        <w:adjustRightInd w:val="0"/>
        <w:spacing w:after="240"/>
        <w:ind w:left="1134" w:hanging="567"/>
      </w:pPr>
      <w:r>
        <w:t>c)</w:t>
      </w:r>
      <w:r>
        <w:tab/>
        <w:t>El acompañamiento temporario al niño o adolescente y a su grupo familiar;</w:t>
      </w:r>
    </w:p>
    <w:p w:rsidR="00000000" w:rsidRDefault="00000000">
      <w:pPr>
        <w:autoSpaceDE w:val="0"/>
        <w:autoSpaceDN w:val="0"/>
        <w:adjustRightInd w:val="0"/>
        <w:spacing w:after="240"/>
        <w:ind w:left="1134" w:hanging="567"/>
      </w:pPr>
      <w:r>
        <w:t>d)</w:t>
      </w:r>
      <w:r>
        <w:tab/>
        <w:t>La incorporación del niño en un establecimiento de educación escolar básica y la obligación de asistencia;</w:t>
      </w:r>
    </w:p>
    <w:p w:rsidR="00000000" w:rsidRDefault="00000000">
      <w:pPr>
        <w:autoSpaceDE w:val="0"/>
        <w:autoSpaceDN w:val="0"/>
        <w:adjustRightInd w:val="0"/>
        <w:spacing w:after="240"/>
        <w:ind w:left="1134" w:hanging="567"/>
      </w:pPr>
      <w:r>
        <w:t>e)</w:t>
      </w:r>
      <w:r>
        <w:tab/>
        <w:t>El tratamiento médico y psicológico;</w:t>
      </w:r>
    </w:p>
    <w:p w:rsidR="00000000" w:rsidRDefault="00000000">
      <w:pPr>
        <w:autoSpaceDE w:val="0"/>
        <w:autoSpaceDN w:val="0"/>
        <w:adjustRightInd w:val="0"/>
        <w:spacing w:after="240"/>
        <w:ind w:left="1134" w:hanging="567"/>
      </w:pPr>
      <w:r>
        <w:t>f)</w:t>
      </w:r>
      <w:r>
        <w:tab/>
        <w:t>En caso de emergencia, la provisión material para el sostenimiento del niño o adolescente;</w:t>
      </w:r>
    </w:p>
    <w:p w:rsidR="00000000" w:rsidRDefault="00000000">
      <w:pPr>
        <w:autoSpaceDE w:val="0"/>
        <w:autoSpaceDN w:val="0"/>
        <w:adjustRightInd w:val="0"/>
        <w:spacing w:after="240"/>
        <w:ind w:left="1134" w:hanging="567"/>
      </w:pPr>
      <w:r>
        <w:t>g)</w:t>
      </w:r>
      <w:r>
        <w:tab/>
        <w:t>El abrigo;</w:t>
      </w:r>
    </w:p>
    <w:p w:rsidR="00000000" w:rsidRDefault="00000000">
      <w:pPr>
        <w:autoSpaceDE w:val="0"/>
        <w:autoSpaceDN w:val="0"/>
        <w:adjustRightInd w:val="0"/>
        <w:spacing w:after="240"/>
        <w:ind w:left="1134" w:hanging="567"/>
      </w:pPr>
      <w:r>
        <w:t>h)</w:t>
      </w:r>
      <w:r>
        <w:tab/>
        <w:t>La ubicación del niño o adolescente en una familia sustituta; e</w:t>
      </w:r>
    </w:p>
    <w:p w:rsidR="00000000" w:rsidRDefault="00000000">
      <w:pPr>
        <w:autoSpaceDE w:val="0"/>
        <w:autoSpaceDN w:val="0"/>
        <w:adjustRightInd w:val="0"/>
        <w:spacing w:after="240"/>
        <w:ind w:left="1134" w:hanging="567"/>
      </w:pPr>
      <w:r>
        <w:t>i)</w:t>
      </w:r>
      <w:r>
        <w:tab/>
        <w:t>La ubicación del niño o adolescente en un hogar.</w:t>
      </w:r>
    </w:p>
    <w:p w:rsidR="00000000" w:rsidRDefault="00000000">
      <w:pPr>
        <w:autoSpaceDE w:val="0"/>
        <w:autoSpaceDN w:val="0"/>
        <w:adjustRightInd w:val="0"/>
        <w:spacing w:after="240"/>
      </w:pPr>
      <w:r>
        <w:t>En caso de una medida señalada en los incisos g) al i) de este artículo, la orden requerirá autorización judicial.</w:t>
      </w:r>
    </w:p>
    <w:p w:rsidR="00000000" w:rsidRDefault="00000000">
      <w:pPr>
        <w:autoSpaceDE w:val="0"/>
        <w:autoSpaceDN w:val="0"/>
        <w:adjustRightInd w:val="0"/>
        <w:spacing w:after="240"/>
      </w:pPr>
      <w:r>
        <w:t>329.</w:t>
      </w:r>
      <w:r>
        <w:tab/>
        <w:t>En cuanto a jurisprudencia en esta materia, actualmente son dictadas infinidad de medidas de protección tanto en la esfera administrativa por CODENI, como en la esfera judicial, especialmente en el tema de disposiciones judiciales para atención a niños en centros hospitalarios que se niegan a brindar atención.</w:t>
      </w:r>
    </w:p>
    <w:p w:rsidR="00000000" w:rsidRDefault="00000000">
      <w:pPr>
        <w:autoSpaceDE w:val="0"/>
        <w:autoSpaceDN w:val="0"/>
        <w:adjustRightInd w:val="0"/>
        <w:spacing w:after="240"/>
        <w:ind w:left="567"/>
      </w:pPr>
      <w:r>
        <w:rPr>
          <w:b/>
          <w:bCs/>
        </w:rPr>
        <w:t>2.1.  Consejo Nacional de la Niñez y de la Adolescencia</w:t>
      </w:r>
    </w:p>
    <w:p w:rsidR="00000000" w:rsidRDefault="00000000">
      <w:pPr>
        <w:autoSpaceDE w:val="0"/>
        <w:autoSpaceDN w:val="0"/>
        <w:adjustRightInd w:val="0"/>
        <w:spacing w:after="240"/>
      </w:pPr>
      <w:r>
        <w:t>330.</w:t>
      </w:r>
      <w:r>
        <w:tab/>
        <w:t>El mismo, será convocado por el Secretario Ejecutivo de la Secretaría Nacional de la Niñez y Adolescencia y está integrado por un representante de:</w:t>
      </w:r>
    </w:p>
    <w:p w:rsidR="00000000" w:rsidRDefault="00000000">
      <w:pPr>
        <w:autoSpaceDE w:val="0"/>
        <w:autoSpaceDN w:val="0"/>
        <w:adjustRightInd w:val="0"/>
        <w:spacing w:after="240"/>
        <w:ind w:left="924" w:hanging="357"/>
      </w:pPr>
      <w:r>
        <w:t>-</w:t>
      </w:r>
      <w:r>
        <w:tab/>
        <w:t>La Secretaría Nacional de la Niñez y de la Adolescencia;</w:t>
      </w:r>
    </w:p>
    <w:p w:rsidR="00000000" w:rsidRDefault="00000000">
      <w:pPr>
        <w:autoSpaceDE w:val="0"/>
        <w:autoSpaceDN w:val="0"/>
        <w:adjustRightInd w:val="0"/>
        <w:spacing w:after="240"/>
        <w:ind w:left="924" w:hanging="357"/>
      </w:pPr>
      <w:r>
        <w:t>-</w:t>
      </w:r>
      <w:r>
        <w:tab/>
        <w:t>El Ministerio de Salud Pública y Bienestar Social;</w:t>
      </w:r>
    </w:p>
    <w:p w:rsidR="00000000" w:rsidRDefault="00000000">
      <w:pPr>
        <w:autoSpaceDE w:val="0"/>
        <w:autoSpaceDN w:val="0"/>
        <w:adjustRightInd w:val="0"/>
        <w:spacing w:after="240"/>
        <w:ind w:left="924" w:hanging="357"/>
      </w:pPr>
      <w:r>
        <w:t>-</w:t>
      </w:r>
      <w:r>
        <w:tab/>
        <w:t>El Ministerio de Educación y Cultura;</w:t>
      </w:r>
    </w:p>
    <w:p w:rsidR="00000000" w:rsidRDefault="00000000">
      <w:pPr>
        <w:autoSpaceDE w:val="0"/>
        <w:autoSpaceDN w:val="0"/>
        <w:adjustRightInd w:val="0"/>
        <w:spacing w:after="240"/>
        <w:ind w:left="924" w:hanging="357"/>
      </w:pPr>
      <w:r>
        <w:t>-</w:t>
      </w:r>
      <w:r>
        <w:tab/>
        <w:t>Ministerio de Justicia y Trabajo;</w:t>
      </w:r>
    </w:p>
    <w:p w:rsidR="00000000" w:rsidRDefault="00000000">
      <w:pPr>
        <w:autoSpaceDE w:val="0"/>
        <w:autoSpaceDN w:val="0"/>
        <w:adjustRightInd w:val="0"/>
        <w:spacing w:after="240"/>
        <w:ind w:left="924" w:hanging="357"/>
      </w:pPr>
      <w:r>
        <w:t>-</w:t>
      </w:r>
      <w:r>
        <w:tab/>
        <w:t>Ministerio de la Defensa Pública;</w:t>
      </w:r>
    </w:p>
    <w:p w:rsidR="00000000" w:rsidRDefault="00000000">
      <w:pPr>
        <w:autoSpaceDE w:val="0"/>
        <w:autoSpaceDN w:val="0"/>
        <w:adjustRightInd w:val="0"/>
        <w:spacing w:after="240"/>
        <w:ind w:left="924" w:hanging="357"/>
      </w:pPr>
      <w:r>
        <w:t>-</w:t>
      </w:r>
      <w:r>
        <w:tab/>
        <w:t>Ministerio público;</w:t>
      </w:r>
    </w:p>
    <w:p w:rsidR="00000000" w:rsidRDefault="00000000">
      <w:pPr>
        <w:autoSpaceDE w:val="0"/>
        <w:autoSpaceDN w:val="0"/>
        <w:adjustRightInd w:val="0"/>
        <w:spacing w:after="240"/>
        <w:ind w:left="924" w:hanging="357"/>
      </w:pPr>
      <w:r>
        <w:t>-</w:t>
      </w:r>
      <w:r>
        <w:tab/>
        <w:t>Los consejos departamentales;</w:t>
      </w:r>
    </w:p>
    <w:p w:rsidR="00000000" w:rsidRDefault="00000000">
      <w:pPr>
        <w:autoSpaceDE w:val="0"/>
        <w:autoSpaceDN w:val="0"/>
        <w:adjustRightInd w:val="0"/>
        <w:spacing w:after="240"/>
        <w:ind w:left="924" w:hanging="357"/>
      </w:pPr>
      <w:r>
        <w:t>-</w:t>
      </w:r>
      <w:r>
        <w:tab/>
        <w:t>Los organismos no gubernamentales de bien público y sin fines de lucro de cobertura nacional.</w:t>
      </w:r>
    </w:p>
    <w:p w:rsidR="00000000" w:rsidRDefault="00000000">
      <w:pPr>
        <w:autoSpaceDE w:val="0"/>
        <w:autoSpaceDN w:val="0"/>
        <w:adjustRightInd w:val="0"/>
        <w:spacing w:after="240"/>
      </w:pPr>
      <w:r>
        <w:t>331.</w:t>
      </w:r>
      <w:r>
        <w:tab/>
        <w:t>Entre sus funciones, se encuentran las de formular políticas para la promoción, atención y protección de los Derechos del Niño y del Adolescente, aprobar y supervisar los planes y programas específicos elaborados por la Secretaría Nacional de la Niñez y de la Adolescencia.</w:t>
      </w:r>
    </w:p>
    <w:p w:rsidR="00000000" w:rsidRDefault="00000000">
      <w:pPr>
        <w:autoSpaceDE w:val="0"/>
        <w:autoSpaceDN w:val="0"/>
        <w:adjustRightInd w:val="0"/>
        <w:spacing w:after="240"/>
        <w:rPr>
          <w:b/>
          <w:bCs/>
        </w:rPr>
      </w:pPr>
      <w:r>
        <w:rPr>
          <w:b/>
          <w:bCs/>
        </w:rPr>
        <w:t>3.</w:t>
      </w:r>
      <w:r>
        <w:rPr>
          <w:b/>
          <w:bCs/>
        </w:rPr>
        <w:tab/>
        <w:t>Consejería municipal por los derechos del niño, niña y adolescente (CODENI)</w:t>
      </w:r>
    </w:p>
    <w:p w:rsidR="00000000" w:rsidRDefault="00000000">
      <w:pPr>
        <w:autoSpaceDE w:val="0"/>
        <w:autoSpaceDN w:val="0"/>
        <w:adjustRightInd w:val="0"/>
        <w:spacing w:after="240"/>
      </w:pPr>
      <w:r>
        <w:t>332.</w:t>
      </w:r>
      <w:r>
        <w:tab/>
        <w:t>La finalidad de este órgano es la de prestar servicio permanente y gratuito de protección, promoción y defensa de los derechos del niño y del adolescente.  Sin embargo, no tiene carácter jurisdiccional.  Entre las atribuciones de la CODENI están la administración y seguimiento de:  a) las medidas especiales de protección en favor de niños y adolescentes sin discriminación por razón de filiación o cualquier otra condición;  b) la protección a los niños y adolescentes contra la explotación económica y social;  c) el empleo de menores en trabajos nocivos para su moral y salud o en los cuales peligre su vida; y  d) el control de la edad mínima para el empleo a sueldo de mano de obra infantil.</w:t>
      </w:r>
    </w:p>
    <w:p w:rsidR="00000000" w:rsidRDefault="00000000">
      <w:pPr>
        <w:autoSpaceDE w:val="0"/>
        <w:autoSpaceDN w:val="0"/>
        <w:adjustRightInd w:val="0"/>
        <w:spacing w:after="240"/>
        <w:rPr>
          <w:b/>
          <w:bCs/>
        </w:rPr>
      </w:pPr>
      <w:r>
        <w:rPr>
          <w:b/>
          <w:bCs/>
        </w:rPr>
        <w:t>4.</w:t>
      </w:r>
      <w:r>
        <w:rPr>
          <w:b/>
          <w:bCs/>
        </w:rPr>
        <w:tab/>
        <w:t>Acciones concretas a favor de la niñez y la adolescencia</w:t>
      </w:r>
    </w:p>
    <w:p w:rsidR="00000000" w:rsidRDefault="00000000">
      <w:pPr>
        <w:autoSpaceDE w:val="0"/>
        <w:autoSpaceDN w:val="0"/>
        <w:adjustRightInd w:val="0"/>
        <w:spacing w:after="240"/>
      </w:pPr>
      <w:r>
        <w:t>333.</w:t>
      </w:r>
      <w:r>
        <w:tab/>
        <w:t>El Plan Nacional de Acción por la Niñez y la Adolescencia, con una duración de cinco años (2003-2008) tiene como fin que se mejoren las oportunidades de acceso y disfrute de todos los niños, niñas y adolescentes a sus derechos básicos y fundamentales; una de sus estrategias operativas es el fortalecimiento de la familia (trasversal a todos los planes, programas y proyectos de la Secretaría de la Niñez y la Adolescencia) y en especial protección a la primera infancia.</w:t>
      </w:r>
    </w:p>
    <w:p w:rsidR="00000000" w:rsidRDefault="00000000">
      <w:pPr>
        <w:autoSpaceDE w:val="0"/>
        <w:autoSpaceDN w:val="0"/>
        <w:adjustRightInd w:val="0"/>
        <w:spacing w:after="240"/>
      </w:pPr>
      <w:r>
        <w:t>334.</w:t>
      </w:r>
      <w:r>
        <w:tab/>
        <w:t xml:space="preserve">En este punto se implementa el Proyecto Ministerio de Educación y Cultura-Banco Interamericano de Desarrollo, Componente 4:  educación inicial no formal, teniendo en cuenta que los primeros años de vida del niño y la niña ameritan ser especialmente considerados, porque no existe una segunda oportunidad para un buen inicio en la vida de un niño o niña y las consecuencias posteriores en las diferentes etapas de la vida.  </w:t>
      </w:r>
    </w:p>
    <w:p w:rsidR="00000000" w:rsidRDefault="00000000">
      <w:pPr>
        <w:autoSpaceDE w:val="0"/>
        <w:autoSpaceDN w:val="0"/>
        <w:adjustRightInd w:val="0"/>
        <w:spacing w:after="240"/>
      </w:pPr>
      <w:r>
        <w:t>335.</w:t>
      </w:r>
      <w:r>
        <w:tab/>
        <w:t>En el marco del Programa de Mejoramiento de la Educación Inicial y Preescolar-Componente 4:  atención no formal a la primera infancia, se acordó su instalación física en el local de la Secretaría de la Niñez y la Adolescencia a partir de julio, y validar el Convenio del Ministerio de Educación y Cultura-Secretaría Nacional de la Niñez y la Adolescencia (MEC</w:t>
      </w:r>
      <w:r>
        <w:noBreakHyphen/>
        <w:t>SNNA), lo cual se tradujo en las siguientes actividades:</w:t>
      </w:r>
    </w:p>
    <w:p w:rsidR="00000000" w:rsidRDefault="00000000">
      <w:pPr>
        <w:autoSpaceDE w:val="0"/>
        <w:autoSpaceDN w:val="0"/>
        <w:adjustRightInd w:val="0"/>
        <w:spacing w:after="240"/>
        <w:ind w:left="924" w:hanging="357"/>
      </w:pPr>
      <w:r>
        <w:t>-</w:t>
      </w:r>
      <w:r>
        <w:tab/>
        <w:t>Se organizó un ciclo de foros nacionales de atención integral a la primera infancia.</w:t>
      </w:r>
    </w:p>
    <w:p w:rsidR="00000000" w:rsidRDefault="00000000">
      <w:pPr>
        <w:autoSpaceDE w:val="0"/>
        <w:autoSpaceDN w:val="0"/>
        <w:adjustRightInd w:val="0"/>
        <w:spacing w:after="240"/>
        <w:ind w:left="924" w:hanging="357"/>
      </w:pPr>
      <w:r>
        <w:t>-</w:t>
      </w:r>
      <w:r>
        <w:tab/>
        <w:t>Se difundió la instalación del Componente 4 para el diseño de una política pública de primera infancia a través de tres foros regionales donde participaron 210 personas de distintas organizaciones.</w:t>
      </w:r>
    </w:p>
    <w:p w:rsidR="00000000" w:rsidRDefault="00000000">
      <w:pPr>
        <w:autoSpaceDE w:val="0"/>
        <w:autoSpaceDN w:val="0"/>
        <w:adjustRightInd w:val="0"/>
        <w:spacing w:after="240"/>
        <w:ind w:left="924" w:hanging="357"/>
      </w:pPr>
      <w:r>
        <w:t>-</w:t>
      </w:r>
      <w:r>
        <w:tab/>
        <w:t>Foro internacional con la participación de 554 personas de distintas organizaciones.</w:t>
      </w:r>
    </w:p>
    <w:p w:rsidR="00000000" w:rsidRDefault="00000000">
      <w:pPr>
        <w:autoSpaceDE w:val="0"/>
        <w:autoSpaceDN w:val="0"/>
        <w:adjustRightInd w:val="0"/>
        <w:spacing w:after="240"/>
        <w:ind w:left="924" w:hanging="357"/>
      </w:pPr>
      <w:r>
        <w:t>-</w:t>
      </w:r>
      <w:r>
        <w:tab/>
        <w:t>Se instaló el equipo técnico del Componente 4 en la SNNA, en cumplimiento del Convenio.</w:t>
      </w:r>
    </w:p>
    <w:p w:rsidR="00000000" w:rsidRDefault="00000000">
      <w:pPr>
        <w:autoSpaceDE w:val="0"/>
        <w:autoSpaceDN w:val="0"/>
        <w:adjustRightInd w:val="0"/>
        <w:spacing w:after="240"/>
        <w:ind w:left="924" w:hanging="357"/>
      </w:pPr>
      <w:r>
        <w:t>-</w:t>
      </w:r>
      <w:r>
        <w:tab/>
        <w:t>Se realizó la primera convocatoria del Fondo concursable para el financiamiento de proyectos de primera infancia el 11 de septiembre de 2005.</w:t>
      </w:r>
    </w:p>
    <w:p w:rsidR="00000000" w:rsidRDefault="00000000">
      <w:pPr>
        <w:autoSpaceDE w:val="0"/>
        <w:autoSpaceDN w:val="0"/>
        <w:adjustRightInd w:val="0"/>
        <w:spacing w:after="240"/>
        <w:ind w:left="924" w:hanging="357"/>
      </w:pPr>
      <w:r>
        <w:t>-</w:t>
      </w:r>
      <w:r>
        <w:tab/>
        <w:t>Se capacitaron 89 organizaciones de la sociedad civil para la presentación de proyectos al fondo concursable.  Tres foros regionales de primera infancia en fechas:  22 de junio, 30 de junio y 1º de julio, y 14 y 15 de julio.  Dos talleres de capacitación a las organizaciones de la sociedad civil abocadas a la primera infancia el 15 de septiembre de 2005 y el 20 de septiembre de 2005.</w:t>
      </w:r>
    </w:p>
    <w:p w:rsidR="00000000" w:rsidRDefault="00000000">
      <w:pPr>
        <w:autoSpaceDE w:val="0"/>
        <w:autoSpaceDN w:val="0"/>
        <w:adjustRightInd w:val="0"/>
        <w:spacing w:after="240"/>
        <w:ind w:left="924" w:hanging="357"/>
      </w:pPr>
      <w:r>
        <w:t>-</w:t>
      </w:r>
      <w:r>
        <w:tab/>
        <w:t>Elaboración de una guía para la presentación de proyectos.</w:t>
      </w:r>
    </w:p>
    <w:p w:rsidR="00000000" w:rsidRDefault="00000000">
      <w:pPr>
        <w:autoSpaceDE w:val="0"/>
        <w:autoSpaceDN w:val="0"/>
        <w:adjustRightInd w:val="0"/>
        <w:spacing w:after="240"/>
        <w:ind w:left="924" w:hanging="357"/>
      </w:pPr>
      <w:r>
        <w:t>-</w:t>
      </w:r>
      <w:r>
        <w:tab/>
        <w:t>Asesorías técnicas individuales a las ONG.</w:t>
      </w:r>
    </w:p>
    <w:p w:rsidR="00000000" w:rsidRDefault="00000000">
      <w:pPr>
        <w:autoSpaceDE w:val="0"/>
        <w:autoSpaceDN w:val="0"/>
        <w:adjustRightInd w:val="0"/>
        <w:spacing w:after="240"/>
      </w:pPr>
      <w:r>
        <w:t>336.</w:t>
      </w:r>
      <w:r>
        <w:tab/>
        <w:t>Asimismo, la Secretaría Nacional de la Niñez y la Adolescencia viene implementando un proyecto piloto de padrinazgo para aquellas familias que se encuentran en situación de pobreza extrema, de tal forma que el apoyo proporcionado por la madrina o padrino les sirva para solventar el inicio de un microemprendimiento que surta un efecto inmediato positivo en sus ingresos (venta de verduras, frutas) que les permita una subsistencia mínima a sus hijos e hijas, también puede consistir en un apoyo puntual a madres solteras, por ejemplo, conseguir algún instrumental médico, medicamentos, acompañamiento médico, y también en el ámbito escolar para sus hijos(as).  Este proyecto piloto con dos meses de implementación ha tenido muy buena receptividad en la sociedad y hasta el momento han sido beneficiadas 20 familias en la ciudad de Asunción.</w:t>
      </w:r>
    </w:p>
    <w:p w:rsidR="00000000" w:rsidRDefault="00000000">
      <w:pPr>
        <w:autoSpaceDE w:val="0"/>
        <w:autoSpaceDN w:val="0"/>
        <w:adjustRightInd w:val="0"/>
        <w:spacing w:after="240"/>
      </w:pPr>
      <w:r>
        <w:t>337.</w:t>
      </w:r>
      <w:r>
        <w:tab/>
        <w:t>Otros programas desarrollados por la Secretaría de la Niñez focalizados, 2005-2006:</w:t>
      </w:r>
    </w:p>
    <w:p w:rsidR="00000000" w:rsidRDefault="00000000">
      <w:pPr>
        <w:autoSpaceDE w:val="0"/>
        <w:autoSpaceDN w:val="0"/>
        <w:adjustRightInd w:val="0"/>
        <w:spacing w:after="240"/>
        <w:ind w:left="924" w:hanging="357"/>
      </w:pPr>
      <w:r>
        <w:t>-</w:t>
      </w:r>
      <w:r>
        <w:tab/>
        <w:t>Niñez en situación de calle (CONASICA);</w:t>
      </w:r>
    </w:p>
    <w:p w:rsidR="00000000" w:rsidRDefault="00000000">
      <w:pPr>
        <w:autoSpaceDE w:val="0"/>
        <w:autoSpaceDN w:val="0"/>
        <w:adjustRightInd w:val="0"/>
        <w:spacing w:after="240"/>
        <w:ind w:left="924" w:hanging="357"/>
      </w:pPr>
      <w:r>
        <w:t>-</w:t>
      </w:r>
      <w:r>
        <w:tab/>
        <w:t>TEKOVE POTI:  protección a niños, niñas y adolescentes frente al consumo de alcohol, tabaco y otras sustancias psicoactivas;</w:t>
      </w:r>
    </w:p>
    <w:p w:rsidR="00000000" w:rsidRDefault="00000000">
      <w:pPr>
        <w:autoSpaceDE w:val="0"/>
        <w:autoSpaceDN w:val="0"/>
        <w:adjustRightInd w:val="0"/>
        <w:spacing w:after="240"/>
        <w:ind w:left="924" w:hanging="357"/>
      </w:pPr>
      <w:r>
        <w:t>-</w:t>
      </w:r>
      <w:r>
        <w:tab/>
        <w:t>Programa Nacional de Atención Integral a la Niñez y Adolescencia con Discapacidad.</w:t>
      </w:r>
    </w:p>
    <w:p w:rsidR="00000000" w:rsidRDefault="00000000">
      <w:pPr>
        <w:autoSpaceDE w:val="0"/>
        <w:autoSpaceDN w:val="0"/>
        <w:adjustRightInd w:val="0"/>
        <w:spacing w:after="240"/>
      </w:pPr>
      <w:r>
        <w:t>338.</w:t>
      </w:r>
      <w:r>
        <w:tab/>
        <w:t>Existen también programas de salud pública conforme a los cuales se provee asistencia médica gratuita a niños y adolescentes de escasos recursos.  Además instituciones como la Secretaría de Acción Social, la Dirección de Beneficencia y Ayuda Social y REPADEH que ofrecen capacitación y subsidios a familias de escasos recursos que tienen a su cargo la educación y el cuidado de los niños dependientes.</w:t>
      </w:r>
    </w:p>
    <w:p w:rsidR="00000000" w:rsidRDefault="00000000">
      <w:pPr>
        <w:autoSpaceDE w:val="0"/>
        <w:autoSpaceDN w:val="0"/>
        <w:adjustRightInd w:val="0"/>
        <w:spacing w:after="240"/>
      </w:pPr>
      <w:r>
        <w:t>339.</w:t>
      </w:r>
      <w:r>
        <w:tab/>
        <w:t>En el mes de diciembre de 2003 el Consejo Nacional de la Niñez y la Adolescencia aprobó los planes nacionales de Prevención y Erradicación del Trabajo Infantil y Protección del Trabajo Adolescente y el de Prevención y Erradicación de la Explotación Sexual de Niños, Niñas y Adolescentes en el Paraguay, posteriormente por Decreto N° 2645 de 8 de junio de 2004 y N° 4269 de 6 de diciembre de 2004, respectivamente, fueron aprobados por el poder ejecutivo de la República del Paraguay.  De igual manera, el Decreto N° 4951 de fecha 2 de marzo de 2005 establece el listado de trabajo infantil peligroso.</w:t>
      </w:r>
    </w:p>
    <w:p w:rsidR="00000000" w:rsidRDefault="00000000">
      <w:pPr>
        <w:autoSpaceDE w:val="0"/>
        <w:autoSpaceDN w:val="0"/>
        <w:adjustRightInd w:val="0"/>
        <w:spacing w:after="240"/>
      </w:pPr>
      <w:r>
        <w:t>340.</w:t>
      </w:r>
      <w:r>
        <w:tab/>
        <w:t>La Oficina Regional de Lucha contra la Explotación Sexual Comercial Infantil en la Triple Frontera (Ciudad del Este) logró instalarse y visibilizarse como referente temático en áreas de intervención psicosocial y jurídica.  Así también, se formó un Comité de lucha contra la explotación sexual comercial infantil por diferentes instituciones gubernamentales y no gubernamentales de la zona, denominado COESCI.  En ese sentido, se coordinaron acciones y estrategias con el Consejo Tutelar del Menor y el Consulado del Paraguay en Foz de Iguazú para la asistencia y abordaje de los niños(as) y adolescentes víctimas de ESCI y niños en situación de calle que se encuentran en las inmediaciones del Puente de la Amistad y Centro, se integró como miembro al Plan Binacional de Salud promovido por la Itaipú Binacional para una intervención conjunta de los dos países (Brasil y Paraguay) en la prevención y atención de la salud pública de ambos países.  Por último, se inició el proceso de fortalecimiento a los Hogares involucrados en asistencia a niños(as) y adolescentes, se inició el proceso de coordinación del Plan Trinacional (Argentina, Brasil y Paraguay) según sus necesidades de atención y derivación oportuna de los casos relacionados con la niñez en la triple frontera, y se integró como miembro del Comité Binacional promovido por los Consulados del Paraguay y el Brasil para delinear estrategias de combate contra el contrabando, piratería, explotación de menores de edad, tanto laboral como sexual, tráfico de personas, se integró al Consejo de Salud Municipal descentralizado del Hospital Regional de Ciudad del Este, se realizaron actividades de sensibilización dirigidos a docentes, directores de área y supervisores de la zona, se evaluó el Programa de Atención directa ejecutado por CEAPRA y se delimitaron acciones conjuntas con los representantes de la Oficina Regional de lucha contra la ESCI.  El Comité Nacional de Atención Integral a la Niñez en Situación de Calle (CONASICA) conformado por Decreto presidencial N° 4907 de 10 de marzo de 2005, ha logrado los siguientes avances desde entonces:</w:t>
      </w:r>
    </w:p>
    <w:p w:rsidR="00000000" w:rsidRDefault="00000000">
      <w:pPr>
        <w:autoSpaceDE w:val="0"/>
        <w:autoSpaceDN w:val="0"/>
        <w:adjustRightInd w:val="0"/>
        <w:spacing w:after="240"/>
        <w:ind w:left="924" w:hanging="357"/>
      </w:pPr>
      <w:r>
        <w:t>-</w:t>
      </w:r>
      <w:r>
        <w:tab/>
        <w:t>Programa ABRAZO:  1.385 niños(as) (2005);</w:t>
      </w:r>
    </w:p>
    <w:p w:rsidR="00000000" w:rsidRDefault="00000000">
      <w:pPr>
        <w:autoSpaceDE w:val="0"/>
        <w:autoSpaceDN w:val="0"/>
        <w:adjustRightInd w:val="0"/>
        <w:spacing w:after="240"/>
        <w:ind w:left="924" w:hanging="357"/>
      </w:pPr>
      <w:r>
        <w:t>-</w:t>
      </w:r>
      <w:r>
        <w:tab/>
        <w:t>Programa de la DIBEN:  500 niños(as) (2005);</w:t>
      </w:r>
    </w:p>
    <w:p w:rsidR="00000000" w:rsidRDefault="00000000">
      <w:pPr>
        <w:autoSpaceDE w:val="0"/>
        <w:autoSpaceDN w:val="0"/>
        <w:adjustRightInd w:val="0"/>
        <w:spacing w:after="240"/>
        <w:ind w:left="924" w:hanging="357"/>
      </w:pPr>
      <w:r>
        <w:t>-</w:t>
      </w:r>
      <w:r>
        <w:tab/>
        <w:t>Programa de la DIBEN:  1.800 niños(as) (2006);</w:t>
      </w:r>
    </w:p>
    <w:p w:rsidR="00000000" w:rsidRDefault="00000000">
      <w:pPr>
        <w:autoSpaceDE w:val="0"/>
        <w:autoSpaceDN w:val="0"/>
        <w:adjustRightInd w:val="0"/>
        <w:spacing w:after="240"/>
        <w:ind w:left="924" w:hanging="357"/>
      </w:pPr>
      <w:r>
        <w:t>-</w:t>
      </w:r>
      <w:r>
        <w:tab/>
        <w:t>Restitución de derechos de niños(as) abandonados(as):  42 niños(as);</w:t>
      </w:r>
    </w:p>
    <w:p w:rsidR="00000000" w:rsidRDefault="00000000">
      <w:pPr>
        <w:autoSpaceDE w:val="0"/>
        <w:autoSpaceDN w:val="0"/>
        <w:adjustRightInd w:val="0"/>
        <w:spacing w:after="240"/>
        <w:ind w:left="924" w:hanging="357"/>
      </w:pPr>
      <w:r>
        <w:t>-</w:t>
      </w:r>
      <w:r>
        <w:tab/>
        <w:t>Niños(as) registrados:  421 niños(as);</w:t>
      </w:r>
    </w:p>
    <w:p w:rsidR="00000000" w:rsidRDefault="00000000">
      <w:pPr>
        <w:autoSpaceDE w:val="0"/>
        <w:autoSpaceDN w:val="0"/>
        <w:adjustRightInd w:val="0"/>
        <w:spacing w:after="240"/>
        <w:ind w:left="924" w:hanging="357"/>
      </w:pPr>
      <w:r>
        <w:t>-</w:t>
      </w:r>
      <w:r>
        <w:tab/>
        <w:t>Desintoxicados en ALCEINA:  62 niños(as);</w:t>
      </w:r>
    </w:p>
    <w:p w:rsidR="00000000" w:rsidRDefault="00000000">
      <w:pPr>
        <w:autoSpaceDE w:val="0"/>
        <w:autoSpaceDN w:val="0"/>
        <w:adjustRightInd w:val="0"/>
        <w:spacing w:after="240"/>
        <w:ind w:left="924" w:hanging="357"/>
      </w:pPr>
      <w:r>
        <w:t>-</w:t>
      </w:r>
      <w:r>
        <w:tab/>
        <w:t>Centro de adicciones:  5 niños;</w:t>
      </w:r>
    </w:p>
    <w:p w:rsidR="00000000" w:rsidRDefault="00000000">
      <w:pPr>
        <w:autoSpaceDE w:val="0"/>
        <w:autoSpaceDN w:val="0"/>
        <w:adjustRightInd w:val="0"/>
        <w:spacing w:after="240"/>
        <w:ind w:left="924" w:hanging="357"/>
      </w:pPr>
      <w:r>
        <w:t>-</w:t>
      </w:r>
      <w:r>
        <w:tab/>
        <w:t>Albergados en Tapé Pyahú:  25 niños;</w:t>
      </w:r>
    </w:p>
    <w:p w:rsidR="00000000" w:rsidRDefault="00000000">
      <w:pPr>
        <w:autoSpaceDE w:val="0"/>
        <w:autoSpaceDN w:val="0"/>
        <w:adjustRightInd w:val="0"/>
        <w:spacing w:after="240"/>
        <w:ind w:left="924" w:hanging="357"/>
      </w:pPr>
      <w:r>
        <w:t>-</w:t>
      </w:r>
      <w:r>
        <w:tab/>
        <w:t>Albergados en el Hogar María Reina:  1 niña;</w:t>
      </w:r>
    </w:p>
    <w:p w:rsidR="00000000" w:rsidRDefault="00000000">
      <w:pPr>
        <w:autoSpaceDE w:val="0"/>
        <w:autoSpaceDN w:val="0"/>
        <w:adjustRightInd w:val="0"/>
        <w:spacing w:after="240"/>
        <w:ind w:left="924" w:hanging="357"/>
      </w:pPr>
      <w:r>
        <w:t>-</w:t>
      </w:r>
      <w:r>
        <w:tab/>
        <w:t>Albergados en Unidos por Cristo:  1 niño;</w:t>
      </w:r>
    </w:p>
    <w:p w:rsidR="00000000" w:rsidRDefault="00000000">
      <w:pPr>
        <w:autoSpaceDE w:val="0"/>
        <w:autoSpaceDN w:val="0"/>
        <w:adjustRightInd w:val="0"/>
        <w:spacing w:after="240"/>
        <w:ind w:left="924" w:hanging="357"/>
      </w:pPr>
      <w:r>
        <w:t>-</w:t>
      </w:r>
      <w:r>
        <w:tab/>
        <w:t>Reinsertados en sus familias:  15 niños;</w:t>
      </w:r>
    </w:p>
    <w:p w:rsidR="00000000" w:rsidRDefault="00000000">
      <w:pPr>
        <w:autoSpaceDE w:val="0"/>
        <w:autoSpaceDN w:val="0"/>
        <w:adjustRightInd w:val="0"/>
        <w:spacing w:after="240"/>
        <w:ind w:left="924" w:hanging="357"/>
      </w:pPr>
      <w:r>
        <w:t>-</w:t>
      </w:r>
      <w:r>
        <w:tab/>
        <w:t>Regresaron a la calle:  15 niños;</w:t>
      </w:r>
    </w:p>
    <w:p w:rsidR="00000000" w:rsidRDefault="00000000">
      <w:pPr>
        <w:autoSpaceDE w:val="0"/>
        <w:autoSpaceDN w:val="0"/>
        <w:adjustRightInd w:val="0"/>
        <w:spacing w:after="240"/>
        <w:ind w:left="924" w:hanging="357"/>
      </w:pPr>
      <w:r>
        <w:t>-</w:t>
      </w:r>
      <w:r>
        <w:tab/>
        <w:t>Entregados al Instituto Paraguayo del Indígena y derivados a la Comunidad Takuaró:  19 niños(as);</w:t>
      </w:r>
    </w:p>
    <w:p w:rsidR="00000000" w:rsidRDefault="00000000">
      <w:pPr>
        <w:autoSpaceDE w:val="0"/>
        <w:autoSpaceDN w:val="0"/>
        <w:adjustRightInd w:val="0"/>
        <w:spacing w:after="240"/>
        <w:ind w:left="924" w:hanging="357"/>
      </w:pPr>
      <w:r>
        <w:t>-</w:t>
      </w:r>
      <w:r>
        <w:tab/>
        <w:t>Diseño de nuevo modelo de abordaje y coordinación con organismos de gobierno y organizaciones de la sociedad civil (Callescuela, Don Bosco Róga, Hogar Mimbí, etc.) para su implementación.</w:t>
      </w:r>
    </w:p>
    <w:p w:rsidR="00000000" w:rsidRDefault="00000000">
      <w:pPr>
        <w:autoSpaceDE w:val="0"/>
        <w:autoSpaceDN w:val="0"/>
        <w:adjustRightInd w:val="0"/>
        <w:spacing w:after="240"/>
      </w:pPr>
      <w:r>
        <w:t>341.</w:t>
      </w:r>
      <w:r>
        <w:tab/>
        <w:t>Desde septiembre de 2004 la Secretaría de la Niñez ha puesto en ejecución el Programa de prevención y atención del maltrato y abuso sexual infantil, el mismo tiene como finalidad la formación de redes descentralizadas, gubernamentales, para la intervención en los tres niveles de prevención; primaria (prevención), secundaria (atención) y terciaria (rehabilitación).</w:t>
      </w:r>
    </w:p>
    <w:p w:rsidR="00000000" w:rsidRDefault="00000000">
      <w:pPr>
        <w:keepNext/>
        <w:keepLines/>
        <w:autoSpaceDE w:val="0"/>
        <w:autoSpaceDN w:val="0"/>
        <w:adjustRightInd w:val="0"/>
        <w:spacing w:after="240"/>
        <w:rPr>
          <w:b/>
          <w:bCs/>
        </w:rPr>
      </w:pPr>
      <w:r>
        <w:rPr>
          <w:b/>
          <w:bCs/>
        </w:rPr>
        <w:t>5.</w:t>
      </w:r>
      <w:r>
        <w:rPr>
          <w:b/>
          <w:bCs/>
        </w:rPr>
        <w:tab/>
        <w:t>Trabajo infantil</w:t>
      </w:r>
    </w:p>
    <w:p w:rsidR="00000000" w:rsidRDefault="00000000">
      <w:pPr>
        <w:autoSpaceDE w:val="0"/>
        <w:autoSpaceDN w:val="0"/>
        <w:adjustRightInd w:val="0"/>
        <w:spacing w:after="240"/>
      </w:pPr>
      <w:r>
        <w:t>342.</w:t>
      </w:r>
      <w:r>
        <w:tab/>
        <w:t>El límite de edad para el cual el trabajo remunerado de menores está prohibido es de 13 años conforme se colige del artículo 58 del Código de la Niñez y la Adolescencia.  Por otra parte, en el marco constitucional, en particular en el artículo 90, se establecen las garantías para el menor trabajador, teniendo en cuenta su normal desarrollo físico, intelectual y moral.  Sin embargo, se estima que en el Paraguay, trabajan más de 265.000 niñas, niños y adolescentes, lo que significa el 13,6% del total de personas de 5 a 17 años que se dedican a alguna actividad económica</w:t>
      </w:r>
      <w:r>
        <w:rPr>
          <w:b/>
          <w:bCs/>
          <w:vertAlign w:val="superscript"/>
        </w:rPr>
        <w:footnoteReference w:id="24"/>
      </w:r>
      <w:r>
        <w:t>.  De entre las niñas, niños y adolescentes de 5 a 17 años que trabajan en el Paraguay, el 34,9% o más de 92.000 no asiste a una institución de enseñanza formal.  La mayoría alega que no estudia por razones económicas.  Parte de esta realidad es el trabajo de niños, niñas y adolescentes en negocios familiares o en la producción agrícola, lo cual significa que del total de niñas, niños y adolescentes que hay en el Paraguay (1.953.725), el 34,4% (672.081) realiza alguna tarea doméstica</w:t>
      </w:r>
      <w:r>
        <w:rPr>
          <w:b/>
          <w:bCs/>
          <w:vertAlign w:val="superscript"/>
        </w:rPr>
        <w:footnoteReference w:id="25"/>
      </w:r>
      <w:r>
        <w:t>.  Las principales actividades dentro de este grupo son limpieza de la casa (89,5%), lavado de ropas (52,6%), cocina (41,4%), cuidado de niñas y niños menores (41,2%) y planchado de ropas (34,6%)</w:t>
      </w:r>
    </w:p>
    <w:p w:rsidR="00000000" w:rsidRDefault="00000000">
      <w:pPr>
        <w:keepNext/>
        <w:keepLines/>
        <w:autoSpaceDE w:val="0"/>
        <w:autoSpaceDN w:val="0"/>
        <w:adjustRightInd w:val="0"/>
        <w:spacing w:after="240"/>
      </w:pPr>
      <w:r>
        <w:t>343.</w:t>
      </w:r>
      <w:r>
        <w:tab/>
        <w:t>Asimismo, la mayoría de las niñas, niños y adolescentes de 10 a 17 años que trabajan en el Paraguay (más de 90.000, el 37,5% del total de este grupo) se dedica a la agricultura, el trabajo agropecuario y pesquero.  El trabajo infantil en el Paraguay se presenta de varias modalidades, definidas por el tipo de relación laboral y la forma de participación en ese trabajo.</w:t>
      </w:r>
    </w:p>
    <w:p w:rsidR="00000000" w:rsidRDefault="00000000">
      <w:pPr>
        <w:autoSpaceDE w:val="0"/>
        <w:autoSpaceDN w:val="0"/>
        <w:adjustRightInd w:val="0"/>
        <w:spacing w:after="240"/>
        <w:ind w:left="567"/>
        <w:rPr>
          <w:b/>
          <w:bCs/>
        </w:rPr>
      </w:pPr>
      <w:r>
        <w:rPr>
          <w:b/>
          <w:bCs/>
        </w:rPr>
        <w:t>5.1.</w:t>
      </w:r>
      <w:r>
        <w:rPr>
          <w:b/>
          <w:bCs/>
        </w:rPr>
        <w:tab/>
        <w:t>Trabajo infantil según el tipo de relación laboral</w:t>
      </w:r>
    </w:p>
    <w:p w:rsidR="00000000" w:rsidRDefault="00000000">
      <w:pPr>
        <w:autoSpaceDE w:val="0"/>
        <w:autoSpaceDN w:val="0"/>
        <w:adjustRightInd w:val="0"/>
        <w:spacing w:after="240"/>
      </w:pPr>
      <w:r>
        <w:t>344.</w:t>
      </w:r>
      <w:r>
        <w:tab/>
      </w:r>
      <w:r>
        <w:rPr>
          <w:i/>
          <w:iCs/>
        </w:rPr>
        <w:t>Trabajo infantil rural no remunerado</w:t>
      </w:r>
      <w:r>
        <w:t>:  los niños, niñas y adolescentes no reciben remuneración económica directa; trabajan a cambio de vivienda, alimentación, vestido y educación.  Existen especialmente en las pequeñas plantaciones.</w:t>
      </w:r>
    </w:p>
    <w:p w:rsidR="00000000" w:rsidRDefault="00000000">
      <w:pPr>
        <w:autoSpaceDE w:val="0"/>
        <w:autoSpaceDN w:val="0"/>
        <w:adjustRightInd w:val="0"/>
        <w:spacing w:after="240"/>
      </w:pPr>
      <w:r>
        <w:t>345.</w:t>
      </w:r>
      <w:r>
        <w:tab/>
      </w:r>
      <w:r>
        <w:rPr>
          <w:i/>
          <w:iCs/>
        </w:rPr>
        <w:t>Trabajo infantil rural remunerado</w:t>
      </w:r>
      <w:r>
        <w:t>:  los niños, niñas y adolescentes trabajan y entonces sus padres, madres o encargados reciben pago en dinero por el mismo.  Se presenta en las grandes plantaciones y especialmente durante la época de la siembra, cosecha y recolección.</w:t>
      </w:r>
    </w:p>
    <w:p w:rsidR="00000000" w:rsidRDefault="00000000">
      <w:pPr>
        <w:autoSpaceDE w:val="0"/>
        <w:autoSpaceDN w:val="0"/>
        <w:adjustRightInd w:val="0"/>
        <w:spacing w:after="240"/>
      </w:pPr>
      <w:r>
        <w:t>346.</w:t>
      </w:r>
      <w:r>
        <w:tab/>
      </w:r>
      <w:r>
        <w:rPr>
          <w:i/>
          <w:iCs/>
        </w:rPr>
        <w:t>Trabajo infantil rural combinado</w:t>
      </w:r>
      <w:r>
        <w:t>:  en muchas ocasiones los niños, niñas y adolescentes se trasladan junto con sus padres, madres o encargados de pequeñas o grandes plantaciones, para participar en las diferentes etapas del proceso de trabajo, pasando de ser no remunerados(as) a ser remunerados(as), por lo que se puede pertenecer a ambas categorías.</w:t>
      </w:r>
    </w:p>
    <w:p w:rsidR="00000000" w:rsidRDefault="00000000">
      <w:pPr>
        <w:autoSpaceDE w:val="0"/>
        <w:autoSpaceDN w:val="0"/>
        <w:adjustRightInd w:val="0"/>
        <w:spacing w:after="240"/>
        <w:ind w:left="567"/>
        <w:rPr>
          <w:b/>
          <w:bCs/>
        </w:rPr>
      </w:pPr>
      <w:r>
        <w:rPr>
          <w:b/>
          <w:bCs/>
        </w:rPr>
        <w:t>5.2.</w:t>
      </w:r>
      <w:r>
        <w:rPr>
          <w:b/>
          <w:bCs/>
        </w:rPr>
        <w:tab/>
        <w:t>Trabajo infantil según propiedad del sitio laboral</w:t>
      </w:r>
    </w:p>
    <w:p w:rsidR="00000000" w:rsidRDefault="00000000">
      <w:pPr>
        <w:autoSpaceDE w:val="0"/>
        <w:autoSpaceDN w:val="0"/>
        <w:adjustRightInd w:val="0"/>
        <w:spacing w:after="240"/>
      </w:pPr>
      <w:r>
        <w:t>347.</w:t>
      </w:r>
      <w:r>
        <w:tab/>
      </w:r>
      <w:r>
        <w:rPr>
          <w:i/>
          <w:iCs/>
        </w:rPr>
        <w:t>Trabajo infantil en la finca familiar</w:t>
      </w:r>
      <w:r>
        <w:t>:  los niños, niñas y adolescentes trabajan en las viviendas o en las plantaciones de propiedad de la familia a la que pertenece.  Generalmente en pequeñas fincas y la producción no se destina al consumo en el hogar sino que se comercializa.</w:t>
      </w:r>
    </w:p>
    <w:p w:rsidR="00000000" w:rsidRDefault="00000000">
      <w:pPr>
        <w:autoSpaceDE w:val="0"/>
        <w:autoSpaceDN w:val="0"/>
        <w:adjustRightInd w:val="0"/>
        <w:spacing w:after="240"/>
      </w:pPr>
      <w:r>
        <w:t>348.</w:t>
      </w:r>
      <w:r>
        <w:tab/>
      </w:r>
      <w:r>
        <w:rPr>
          <w:i/>
          <w:iCs/>
        </w:rPr>
        <w:t>Trabajo infantil extra finca</w:t>
      </w:r>
      <w:r>
        <w:t>:  son las actividades desarrolladas por los niños, niñas y adolescentes para personas naturales o jurídicas.  Se realizan en grandes plantaciones y por lo general lo hacen junto con los padres, madres o encargados, siendo esta forma un trabajo remunerado.  También se contempla como trabajo extra finca la venta, aunque los productos sean de la finca familiar cuando para ello se desplazan grandes distancias, y changas diversas.</w:t>
      </w:r>
    </w:p>
    <w:p w:rsidR="00000000" w:rsidRDefault="00000000">
      <w:pPr>
        <w:autoSpaceDE w:val="0"/>
        <w:autoSpaceDN w:val="0"/>
        <w:adjustRightInd w:val="0"/>
        <w:spacing w:after="240"/>
        <w:ind w:left="567"/>
        <w:rPr>
          <w:b/>
          <w:bCs/>
        </w:rPr>
      </w:pPr>
      <w:r>
        <w:rPr>
          <w:b/>
          <w:bCs/>
        </w:rPr>
        <w:t>5.3.</w:t>
      </w:r>
      <w:r>
        <w:rPr>
          <w:b/>
          <w:bCs/>
        </w:rPr>
        <w:tab/>
        <w:t>Situación de los hijos adoptivos</w:t>
      </w:r>
    </w:p>
    <w:p w:rsidR="00000000" w:rsidRDefault="00000000">
      <w:pPr>
        <w:autoSpaceDE w:val="0"/>
        <w:autoSpaceDN w:val="0"/>
        <w:adjustRightInd w:val="0"/>
        <w:spacing w:after="240"/>
      </w:pPr>
      <w:r>
        <w:t>349.</w:t>
      </w:r>
      <w:r>
        <w:tab/>
        <w:t>La Ley Nº 1136/97 crea el Centro de Adopciones, autoridad administrativa central en materia de adopciones, a fin de garantizar a los niños huérfanos y/o abandonados, una familia que reemplace a la biológica cuando ésta no existe, no desea o no pueda hacerse cargo del niño.  Una vez concedida la adopción, el Centro de Adopciones realiza un seguimiento durante tres años hasta concretar la adopción definitiva.  Asimismo, el artículo 103 del Código de la Niñez y la Adolescencia establece que el niño o adolescente, privado de su núcleo familiar por orden judicial, podrá ser acogido por una familia, temporalmente, mediante la guarda, la tutela o definitivamente por la adopción, asimismo dispone que la familia o persona que acoja al niño o adolescente quedará obligada a alimentarlo, educarlo, cuidarlo y protegerlo, en la misma medida que corresponde a la misma, como núcleo familiar.</w:t>
      </w:r>
    </w:p>
    <w:p w:rsidR="00000000" w:rsidRDefault="00000000">
      <w:pPr>
        <w:autoSpaceDE w:val="0"/>
        <w:autoSpaceDN w:val="0"/>
        <w:adjustRightInd w:val="0"/>
        <w:spacing w:after="240"/>
      </w:pPr>
      <w:r>
        <w:t>350.</w:t>
      </w:r>
      <w:r>
        <w:tab/>
        <w:t>Por otro lado, el Centro de Adopciones lleva adelante desde el año 1999 el Programa de Familias Acogedoras, así también la Secretaría de la Niñez lleva adelante sus Programas y Proyectos como componente transversal del fortalecimiento familiar.  Así también, durante los últimos años se dieron 24 casos de restitución internacional de menores al Paraguay y desde el Paraguay al exterior.  Esta Secretaría fue designada autoridad central en materia de restitución internacional de menores sustraídos por sus padres por Decreto Nº 3230 de septiembre de 2004, para la aplicación del Convenio de La Haya sobre aspectos civiles de la sustracción internacional de menores de 1980 y la Convención Interamericana sobre restitución internacional de menores del 15 de julio de 1989 ambos ratificados por el Paraguay.</w:t>
      </w:r>
    </w:p>
    <w:p w:rsidR="00000000" w:rsidRDefault="00000000">
      <w:pPr>
        <w:autoSpaceDE w:val="0"/>
        <w:autoSpaceDN w:val="0"/>
        <w:adjustRightInd w:val="0"/>
        <w:spacing w:after="240"/>
      </w:pPr>
      <w:r>
        <w:t>351.</w:t>
      </w:r>
      <w:r>
        <w:tab/>
        <w:t>Asimismo, en el ámbito de la protección a niños(as) fuera del contexto de su familia natural, se ha conformado el Equipo Técnico de Fiscalización de Hogares de Abrigo, en el Sistema de Protección Especial, en la cual se designa a funcionarios de la Secretaría Nacional de la Niñez y la Adolescencia dependiente de la Presidencia de la República, en el marco de la implementación de políticas públicas en la atención integral de niños, niñas y adolescentes según Resolución Nº 61/2006 de 22 de junio de 2006, de la Secretaría Nacional de la Niñez y la Adolescencia (SNNA).  Este órgano tiene por objetivo asegurar el bienestar de menores en hogares transitorios.</w:t>
      </w:r>
    </w:p>
    <w:p w:rsidR="00000000" w:rsidRDefault="00000000">
      <w:pPr>
        <w:autoSpaceDE w:val="0"/>
        <w:autoSpaceDN w:val="0"/>
        <w:adjustRightInd w:val="0"/>
        <w:spacing w:after="240"/>
        <w:ind w:left="567"/>
        <w:rPr>
          <w:b/>
          <w:bCs/>
        </w:rPr>
      </w:pPr>
      <w:r>
        <w:rPr>
          <w:b/>
          <w:bCs/>
        </w:rPr>
        <w:t>5.4.</w:t>
      </w:r>
      <w:r>
        <w:rPr>
          <w:b/>
          <w:bCs/>
        </w:rPr>
        <w:tab/>
        <w:t>Derechos laborales de la infancia</w:t>
      </w:r>
    </w:p>
    <w:p w:rsidR="00000000" w:rsidRDefault="00000000">
      <w:pPr>
        <w:autoSpaceDE w:val="0"/>
        <w:autoSpaceDN w:val="0"/>
        <w:adjustRightInd w:val="0"/>
        <w:spacing w:after="240"/>
      </w:pPr>
      <w:r>
        <w:t>352.</w:t>
      </w:r>
      <w:r>
        <w:tab/>
        <w:t xml:space="preserve">El artículo 50 del Código de la Niñez y la Adolescencia, inciso e) establece como atribución del Consejo Municipal de Niñez (CODENI) el registro del niño y del adolescente que realizan actividades económicas, a fin de impulsar programas de protección y apoyo a las familias.  Como tal, la CODENI es la instancia encargada de dar a conocer los derechos de los niños, niñas y adolescentes.  El artículo 60 dispone que el empleador que ocupe a trabajadores adolescentes está obligado a llevar un registro de los mismos.  Mientras que el artículo 61 prohíbe la discriminación laboral y salarial de los adolescentes con necesidades especiales.  Toda esta información se hace pública mediante campañas masivas de educación y forma parte del currículo de la enseñanza básica.  Si bien, el Estado paraguayo impulsa la eliminación del trabajo infantil, principalmente mediante las actividades del Consejo Nacional para la Eliminación del Trabajo Infantil (CONAETI) que coordina e implementa una serie de actividades que conjugan a instituciones gubernamentales y organizaciones civiles, con miras a diezmar la incidencia de la explotación laboral infantil en el Paraguay.  </w:t>
      </w:r>
    </w:p>
    <w:p w:rsidR="00000000" w:rsidRDefault="00000000">
      <w:pPr>
        <w:autoSpaceDE w:val="0"/>
        <w:autoSpaceDN w:val="0"/>
        <w:adjustRightInd w:val="0"/>
        <w:spacing w:after="240"/>
        <w:ind w:left="567"/>
        <w:rPr>
          <w:b/>
          <w:bCs/>
        </w:rPr>
      </w:pPr>
      <w:r>
        <w:rPr>
          <w:b/>
          <w:bCs/>
        </w:rPr>
        <w:t>5.5.</w:t>
      </w:r>
      <w:r>
        <w:rPr>
          <w:b/>
          <w:bCs/>
        </w:rPr>
        <w:tab/>
        <w:t>Protección de niños y adolescentes contra la explotación económica y social</w:t>
      </w:r>
    </w:p>
    <w:p w:rsidR="00000000" w:rsidRDefault="00000000">
      <w:pPr>
        <w:autoSpaceDE w:val="0"/>
        <w:autoSpaceDN w:val="0"/>
        <w:adjustRightInd w:val="0"/>
        <w:spacing w:after="240"/>
      </w:pPr>
      <w:r>
        <w:t>353.</w:t>
      </w:r>
      <w:r>
        <w:tab/>
        <w:t>El Estado paraguayo, consciente de esta realidad, ha incorporado en su normativa diversos tratados internacionales y ha promulgado leyes  a fin de combatir y erradicar la explotación sexual comercial infantil, el tráfico de niños y la delincuencia organizada transnacional.  Numerosas organizaciones trabajan en este tema en el Paraguay.  Algunas de ellas son la Unidad de Derechos Humanos de la Corte, la Secretaría de la Niñez, la OIT-IPEC, UNICEF, y otras organizaciones gubernamentales y no gubernamentales.  Actualmente, la Unidad de Derechos Humanos, a través de su Coordinación General de la Circunscripción de Alto Paraná, participa activamente en actividades del Programa Internacional para la Erradicación del Trabajo Infantil de la Organización Internacional del Trabajo (OIT-IPEC).</w:t>
      </w:r>
    </w:p>
    <w:p w:rsidR="00000000" w:rsidRDefault="00000000">
      <w:pPr>
        <w:autoSpaceDE w:val="0"/>
        <w:autoSpaceDN w:val="0"/>
        <w:adjustRightInd w:val="0"/>
        <w:spacing w:after="240"/>
      </w:pPr>
      <w:r>
        <w:t>354.</w:t>
      </w:r>
      <w:r>
        <w:tab/>
        <w:t>Las acciones se concentran principalmente en la triple frontera en el departamento del Alto Paraná (Paraguay, Argentina y Brasil) donde se observa una presencia significativa del turismo sexual.  La explotación comercial sexual no sólo afecta a los niños y adolescentes sino también a personas mayores de edad.  Además, va más allá de casos aislados existiendo una estrecha vinculación con organizaciones delictivas y asimismo con el tráfico fronterizo.</w:t>
      </w:r>
    </w:p>
    <w:p w:rsidR="00000000" w:rsidRDefault="00000000">
      <w:pPr>
        <w:autoSpaceDE w:val="0"/>
        <w:autoSpaceDN w:val="0"/>
        <w:adjustRightInd w:val="0"/>
        <w:spacing w:after="240"/>
      </w:pPr>
      <w:r>
        <w:t>355.</w:t>
      </w:r>
      <w:r>
        <w:tab/>
        <w:t>Convenio firmado entre la Secretaría Nacional de la Niñez y la Adolescencia (SNNA), la Entidad Binacional YACYRETÁ  y la Municipalidad de la ciudad de Encarnación, para la habilitación en julio de 2006 de la oficina regional de la SNNA, en el tema específico de la Explotación Sexual Comercial Infantil (ESCI), en la ciudad de Encarnación, Departamento de Itapúa.</w:t>
      </w:r>
    </w:p>
    <w:p w:rsidR="00000000" w:rsidRDefault="00000000">
      <w:pPr>
        <w:autoSpaceDE w:val="0"/>
        <w:autoSpaceDN w:val="0"/>
        <w:adjustRightInd w:val="0"/>
        <w:spacing w:after="240"/>
      </w:pPr>
      <w:r>
        <w:t>356.</w:t>
      </w:r>
      <w:r>
        <w:tab/>
        <w:t>Entre los beneficiarios se encuentran:  a) los niños(as) y los adolescentes en situación de explotación sexual con fines comerciales de la ciudad de Encarnación y sus alrededores;  b) las familias de origen de los niños(as) y los adolescentes en situación de explotación sexual comercial; y  c) las familias acogedoras y del núcleo familiar extendido, tías, tíos, madrinas, padrinos, etc.</w:t>
      </w:r>
    </w:p>
    <w:p w:rsidR="00000000" w:rsidRDefault="00000000">
      <w:pPr>
        <w:autoSpaceDE w:val="0"/>
        <w:autoSpaceDN w:val="0"/>
        <w:adjustRightInd w:val="0"/>
        <w:spacing w:after="240"/>
      </w:pPr>
      <w:r>
        <w:t>357.</w:t>
      </w:r>
      <w:r>
        <w:tab/>
        <w:t>Para la ejecución del Proyecto, la coordinación general está a cargo de la Secretaría Nacional de la Niñez y la Adolescencia - SNNA que es el ente rector de las políticas y programas referidos a la niñez y la adolescencia, de acuerdo con el Código Nº 1680/01, Código de la Niñez y la Adolescencia.  Se le concibe como un organismo coordinador, articulador, gestor, impulsor, negociador, fiscalizador y organizador de informaciones útiles para el Sistema Nacional de Protección y Promoción Integral a la Niñez y la Adolescencia.</w:t>
      </w:r>
    </w:p>
    <w:p w:rsidR="00000000" w:rsidRDefault="00000000">
      <w:pPr>
        <w:autoSpaceDE w:val="0"/>
        <w:autoSpaceDN w:val="0"/>
        <w:adjustRightInd w:val="0"/>
        <w:spacing w:after="240"/>
      </w:pPr>
      <w:r>
        <w:t>358.</w:t>
      </w:r>
      <w:r>
        <w:tab/>
        <w:t>En cuanto a trata de personas, a partir del año 2005 en la Secretaría de la Mujer, desde la Dirección del Servicio de Apoyo a la Mujer, se habilitó el Centro de referencias en trata de personas, que ofrece a las víctimas o familiares de víctimas todo tipo de información referente a este tipo de crimen.  Asimismo brinda apoyo, tratamiento psicológico, orientación legal, social y asistencia médica inmediata a víctimas.  Fueron habilitadas también una línea telefónica y una dirección de correo electrónico para recibir denuncias sobre los posibles casos de trata.</w:t>
      </w:r>
    </w:p>
    <w:p w:rsidR="00000000" w:rsidRDefault="00000000">
      <w:pPr>
        <w:autoSpaceDE w:val="0"/>
        <w:autoSpaceDN w:val="0"/>
        <w:adjustRightInd w:val="0"/>
        <w:spacing w:after="240"/>
      </w:pPr>
      <w:r>
        <w:t>359.</w:t>
      </w:r>
      <w:r>
        <w:tab/>
        <w:t xml:space="preserve">Desde enero de 2005 a abril de 2006, se han atendido 12 casos de trata de personas, de los cuales fueron víctimas 42 mujeres, 33 de las mismas son mayores de edad y 9 menores de edad.  Por otro lado, 4 mujeres (2 mayores y 2 menores), víctimas de trata, forman parte del Programa Piloto de Proceso o Plan de Reintegración a víctimas de Trata de Personas desde febrero de 2006, con la cooperación de la Organización Internacional para las Migraciones OIM (Sede en Argentina), dicho programa constituye una propuesta de reinserción social de la víctima de trata de personas, tendiente a mejorar y/o a ampliar sus recursos socioeconómicos y a disminuir las posibilidades de revictimización de las mismas.  Incluye y cubre -por un plazo máximo de seis meses- una asignación económica mensual para la reintegración; acompañamiento psicológico (público o privado, teniendo en cuenta cuál es el psicólogo que existe en la zona); asistencia médica (pública o privada, teniendo en cuenta el médico de la zona); capacitación en oficios y/o estudios para empezar o culminar niveles de educación primario o secundario; apoyo para la realización de microemprendimientos productivos, y tramitación de documentación; entre otros.  Todas estas alternativas dependerán de la voluntad y necesidad concreta de la víctima y como ésta se puede reorientar para revertir su situación de vulnerabilidad extrema.  </w:t>
      </w:r>
    </w:p>
    <w:p w:rsidR="00000000" w:rsidRDefault="00000000">
      <w:pPr>
        <w:keepNext/>
        <w:keepLines/>
        <w:autoSpaceDE w:val="0"/>
        <w:autoSpaceDN w:val="0"/>
        <w:adjustRightInd w:val="0"/>
        <w:spacing w:after="240"/>
      </w:pPr>
      <w:r>
        <w:t>360.</w:t>
      </w:r>
      <w:r>
        <w:tab/>
        <w:t xml:space="preserve">En los meses de agosto y septiembre de 2005, estuvo vigente la campaña de comunicación "Sensibilización y Educación" sobre Trata de Personas y Explotación Sexual, que consistió en la difusión de materiales educativos (afiches-dípticos), </w:t>
      </w:r>
      <w:r>
        <w:rPr>
          <w:i/>
          <w:iCs/>
        </w:rPr>
        <w:t>spots</w:t>
      </w:r>
      <w:r>
        <w:t xml:space="preserve"> de radios en idiomas guaraní y castellano en la capital y el interior del país, y publicidad en el periódico </w:t>
      </w:r>
      <w:r>
        <w:rPr>
          <w:i/>
          <w:iCs/>
        </w:rPr>
        <w:t>Popular</w:t>
      </w:r>
      <w:r>
        <w:t>.</w:t>
      </w:r>
    </w:p>
    <w:p w:rsidR="00000000" w:rsidRDefault="00000000">
      <w:pPr>
        <w:autoSpaceDE w:val="0"/>
        <w:autoSpaceDN w:val="0"/>
        <w:adjustRightInd w:val="0"/>
        <w:spacing w:after="240"/>
      </w:pPr>
      <w:r>
        <w:t>361.</w:t>
      </w:r>
      <w:r>
        <w:tab/>
        <w:t xml:space="preserve">En abril de 2006 se lanzó el </w:t>
      </w:r>
      <w:r>
        <w:rPr>
          <w:i/>
          <w:iCs/>
        </w:rPr>
        <w:t>Manual de Procedimientos Generales de Intervención en Trata de Personas</w:t>
      </w:r>
      <w:r>
        <w:t>, cuyo propósito es brindar orientaciones generales que permitan abordar la trata de personas, especialmente mujeres, niñas y niños en el Paraguay, desde un enfoque que garantice los derechos humanos de las personas afectadas y promueva la sanción de los responsables, buscando además aportar información y análisis sobre aspectos sustantivos de la trata de personas, tales como el concepto y las normas que se ocupan directa o indirectamente de la trata y de las personas víctimas.</w:t>
      </w:r>
    </w:p>
    <w:p w:rsidR="00000000" w:rsidRDefault="00000000">
      <w:pPr>
        <w:autoSpaceDE w:val="0"/>
        <w:autoSpaceDN w:val="0"/>
        <w:adjustRightInd w:val="0"/>
        <w:spacing w:after="240"/>
        <w:rPr>
          <w:b/>
          <w:bCs/>
        </w:rPr>
      </w:pPr>
      <w:r>
        <w:rPr>
          <w:b/>
          <w:bCs/>
        </w:rPr>
        <w:t>6.</w:t>
      </w:r>
      <w:r>
        <w:rPr>
          <w:b/>
          <w:bCs/>
        </w:rPr>
        <w:tab/>
        <w:t>Acciones contra la explotación sexual comercial de niños, niñas y adolescentes</w:t>
      </w:r>
    </w:p>
    <w:p w:rsidR="00000000" w:rsidRDefault="00000000">
      <w:pPr>
        <w:autoSpaceDE w:val="0"/>
        <w:autoSpaceDN w:val="0"/>
        <w:adjustRightInd w:val="0"/>
        <w:spacing w:after="240"/>
      </w:pPr>
      <w:r>
        <w:t>362.</w:t>
      </w:r>
      <w:r>
        <w:tab/>
        <w:t>La vigencia de la Política Nacional de la Niñez y Adolescencia (POLNA) y de su Plan Nacional de la Niñez y Adolescencia (PNA), desde 2003, fueron diseñados con la misión de "promover la transversalización e institucionalización del enfoque de derechos de los niños en el conjunto de las políticas públicas impulsando y coordinando acciones de negociación y de articulación de convenios con las instancias encargadas de diseñar políticas de reactivación económica y programas de combate a la pobreza, que contemplen componentes de educación, salud, agua y saneamiento y generación de empleo, es decir, todas las acciones básicas que afectan a la vida de los niños, niñas y sus familias"</w:t>
      </w:r>
      <w:r>
        <w:rPr>
          <w:b/>
          <w:vertAlign w:val="superscript"/>
        </w:rPr>
        <w:footnoteReference w:id="26"/>
      </w:r>
      <w:r>
        <w:t>.</w:t>
      </w:r>
    </w:p>
    <w:p w:rsidR="00000000" w:rsidRDefault="00000000">
      <w:pPr>
        <w:autoSpaceDE w:val="0"/>
        <w:autoSpaceDN w:val="0"/>
        <w:adjustRightInd w:val="0"/>
        <w:spacing w:after="240"/>
      </w:pPr>
      <w:r>
        <w:t>363.</w:t>
      </w:r>
      <w:r>
        <w:tab/>
        <w:t>La explotación sexual infantil no está exenta en los mencionados instrumentos y en ese sentido, se ha impulsado actividades para combatir explotación sexual infantil a través de la integración de planes sectoriales nacionales, la promoción del diseño y ejecución a nivel municipal de acciones destinadas a combatir la explotación sexual en la calle y en los locales, impulsar la normativa municipal y nacional vigente para la explotación sexual, impulsar la aplicación efectiva de las garantías judiciales de protección y reparación de daños a las víctimas de explotación sexual, maltrato y abusos, entre otras.</w:t>
      </w:r>
    </w:p>
    <w:p w:rsidR="00000000" w:rsidRDefault="00000000">
      <w:pPr>
        <w:autoSpaceDE w:val="0"/>
        <w:autoSpaceDN w:val="0"/>
        <w:adjustRightInd w:val="0"/>
        <w:spacing w:after="240"/>
        <w:ind w:left="567"/>
        <w:rPr>
          <w:b/>
          <w:lang w:val="es-MX"/>
        </w:rPr>
      </w:pPr>
      <w:r>
        <w:rPr>
          <w:b/>
          <w:lang w:val="es-MX"/>
        </w:rPr>
        <w:t>6.1.</w:t>
      </w:r>
      <w:r>
        <w:rPr>
          <w:b/>
          <w:lang w:val="es-MX"/>
        </w:rPr>
        <w:tab/>
        <w:t>Administración de Justicia</w:t>
      </w:r>
    </w:p>
    <w:p w:rsidR="00000000" w:rsidRDefault="00000000">
      <w:pPr>
        <w:autoSpaceDE w:val="0"/>
        <w:autoSpaceDN w:val="0"/>
        <w:adjustRightInd w:val="0"/>
        <w:spacing w:after="240"/>
        <w:rPr>
          <w:lang w:val="es-MX"/>
        </w:rPr>
      </w:pPr>
      <w:r>
        <w:rPr>
          <w:lang w:val="es-MX"/>
        </w:rPr>
        <w:t>364.</w:t>
      </w:r>
      <w:r>
        <w:rPr>
          <w:lang w:val="es-MX"/>
        </w:rPr>
        <w:tab/>
        <w:t xml:space="preserve">La explotación sexual infantil está relacionada con los siguientes delitos tipificados en el Código Penal de la </w:t>
      </w:r>
      <w:r>
        <w:t>República</w:t>
      </w:r>
      <w:r>
        <w:rPr>
          <w:lang w:val="es-MX"/>
        </w:rPr>
        <w:t xml:space="preserve"> del Paraguay.</w:t>
      </w:r>
    </w:p>
    <w:p w:rsidR="00000000" w:rsidRDefault="00000000">
      <w:pPr>
        <w:autoSpaceDE w:val="0"/>
        <w:autoSpaceDN w:val="0"/>
        <w:adjustRightInd w:val="0"/>
        <w:spacing w:after="240"/>
        <w:rPr>
          <w:lang w:val="es-MX"/>
        </w:rPr>
      </w:pPr>
    </w:p>
    <w:p w:rsidR="00000000" w:rsidRDefault="00000000">
      <w:pPr>
        <w:rPr>
          <w:lang w:val="es-MX"/>
        </w:rPr>
      </w:pPr>
      <w:r>
        <w:rPr>
          <w:lang w:val="es-MX"/>
        </w:rPr>
        <w:br w:type="page"/>
      </w:r>
      <w:r>
        <w:rPr>
          <w:lang w:val="es-MX"/>
        </w:rPr>
        <w:pict>
          <v:shape id="_x0000_s1090" type="#_x0000_t75" style="position:absolute;margin-left:0;margin-top:0;width:441.85pt;height:203.65pt;z-index:13;mso-wrap-edited:f" wrapcoords="9645 397 9461 476 8875 1429 8691 2938 8801 4209 9315 5638 5538 7465 4987 7544 4987 8021 1870 8656 953 8894 953 9291 807 9609 513 10482 477 11912 697 13103 697 13976 1944 14374 4987 14374 2494 15009 2200 15168 2200 15644 1247 16200 660 16676 550 17312 330 18185 330 19456 623 20726 1137 21521 1247 21521 20683 21521 20757 21521 21343 20726 21600 19615 21600 18106 21380 17232 21307 16676 20573 16121 19766 15644 19840 15247 19546 15009 18483 14374 19913 14374 21050 13818 21050 13103 21270 11832 21233 10562 20940 9688 20793 9053 18630 7782 14266 5638 14816 4209 14926 2938 14742 1509 14156 556 13935 397 9645 397">
            <v:imagedata r:id="rId43" o:title=""/>
            <w10:anchorlock/>
          </v:shape>
        </w:pict>
      </w: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rPr>
          <w:lang w:val="es-MX"/>
        </w:rPr>
      </w:pPr>
    </w:p>
    <w:p w:rsidR="00000000" w:rsidRDefault="00000000">
      <w:pPr>
        <w:autoSpaceDE w:val="0"/>
        <w:autoSpaceDN w:val="0"/>
        <w:adjustRightInd w:val="0"/>
        <w:spacing w:after="240"/>
        <w:rPr>
          <w:lang w:val="es-MX"/>
        </w:rPr>
      </w:pPr>
      <w:r>
        <w:t>365.</w:t>
      </w:r>
      <w:r>
        <w:tab/>
        <w:t xml:space="preserve">En mayo de 2004, la Unidad de Derechos Humanos de la Corte Suprema de Justicia tomó una </w:t>
      </w:r>
      <w:r>
        <w:rPr>
          <w:lang w:val="es-MX"/>
        </w:rPr>
        <w:t>muestra</w:t>
      </w:r>
      <w:r>
        <w:t xml:space="preserve"> sobre el número de delitos de abuso sexual denunciados en Capital de los tres últimos años (2000-2003)</w:t>
      </w:r>
      <w:r>
        <w:rPr>
          <w:b/>
          <w:vertAlign w:val="superscript"/>
        </w:rPr>
        <w:footnoteReference w:id="27"/>
      </w:r>
      <w:r>
        <w:t>.  En ese período se han registrado 181 denuncias de las cuales el 95% de los casos se referían a abusos sexuales a niños y el resto a abusos en personas indefensas y bajo tutela.  No obstante, estas cifras no revelan específicamente si fueron cometidos dentro del ámbito de la explotación comercial, sin embargo dan una pauta estimativa y valorativa</w:t>
      </w:r>
      <w:r>
        <w:rPr>
          <w:lang w:val="es-MX"/>
        </w:rPr>
        <w:t xml:space="preserve"> de la vulnerabilidad de los niños en los delitos contra la autonomía sexual.</w:t>
      </w:r>
    </w:p>
    <w:p w:rsidR="00000000" w:rsidRDefault="00000000">
      <w:pPr>
        <w:autoSpaceDE w:val="0"/>
        <w:autoSpaceDN w:val="0"/>
        <w:adjustRightInd w:val="0"/>
        <w:spacing w:after="240"/>
        <w:ind w:left="567"/>
        <w:rPr>
          <w:b/>
          <w:lang w:val="es-MX"/>
        </w:rPr>
      </w:pPr>
      <w:r>
        <w:rPr>
          <w:b/>
          <w:lang w:val="es-MX"/>
        </w:rPr>
        <w:t>6.2.</w:t>
      </w:r>
      <w:r>
        <w:rPr>
          <w:b/>
          <w:lang w:val="es-MX"/>
        </w:rPr>
        <w:tab/>
        <w:t>Delitos de abuso sexual denunciados en Capital en el período 2000-2003</w:t>
      </w:r>
    </w:p>
    <w:p w:rsidR="00000000" w:rsidRDefault="00000000">
      <w:pPr>
        <w:autoSpaceDE w:val="0"/>
        <w:autoSpaceDN w:val="0"/>
        <w:adjustRightInd w:val="0"/>
        <w:rPr>
          <w:lang w:val="es-MX"/>
        </w:rPr>
      </w:pPr>
      <w:r>
        <w:rPr>
          <w:lang w:val="es-MX"/>
        </w:rPr>
        <w:pict>
          <v:shape id="_x0000_s1091" type="#_x0000_t75" style="position:absolute;margin-left:109.7pt;margin-top:0;width:244.3pt;height:204.85pt;z-index:14;mso-wrap-edited:f" wrapcoords="66 237 66 21204 21467 21204 21467 237 66 237">
            <v:imagedata r:id="rId44" o:title=""/>
            <w10:anchorlock/>
          </v:shape>
        </w:pic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spacing w:before="360"/>
        <w:ind w:left="2408"/>
        <w:rPr>
          <w:sz w:val="18"/>
        </w:rPr>
      </w:pPr>
      <w:r>
        <w:rPr>
          <w:sz w:val="18"/>
        </w:rPr>
        <w:t>Abuso sexual en personas indefensas:  5 denuncias</w:t>
      </w:r>
    </w:p>
    <w:p w:rsidR="00000000" w:rsidRDefault="00000000">
      <w:pPr>
        <w:autoSpaceDE w:val="0"/>
        <w:autoSpaceDN w:val="0"/>
        <w:adjustRightInd w:val="0"/>
        <w:ind w:left="2408"/>
        <w:rPr>
          <w:sz w:val="18"/>
        </w:rPr>
      </w:pPr>
      <w:r>
        <w:rPr>
          <w:sz w:val="18"/>
        </w:rPr>
        <w:t>Abuso sexual en persona bajo tutela:  3 denuncias</w:t>
      </w:r>
    </w:p>
    <w:p w:rsidR="00000000" w:rsidRDefault="00000000">
      <w:pPr>
        <w:autoSpaceDE w:val="0"/>
        <w:autoSpaceDN w:val="0"/>
        <w:adjustRightInd w:val="0"/>
        <w:spacing w:after="240"/>
        <w:ind w:left="2410"/>
        <w:rPr>
          <w:sz w:val="18"/>
        </w:rPr>
      </w:pPr>
      <w:r>
        <w:rPr>
          <w:sz w:val="18"/>
        </w:rPr>
        <w:t>Abuso sexual en niños:  173 denuncias</w:t>
      </w:r>
    </w:p>
    <w:p w:rsidR="00000000" w:rsidRDefault="00000000">
      <w:pPr>
        <w:autoSpaceDE w:val="0"/>
        <w:autoSpaceDN w:val="0"/>
        <w:adjustRightInd w:val="0"/>
        <w:spacing w:after="240"/>
      </w:pPr>
      <w:r>
        <w:t>366.</w:t>
      </w:r>
      <w:r>
        <w:tab/>
        <w:t>Las víctimas (los menores), de los casos denunciados relacionados a los hechos punibles contra la autonomía sexual que ingresan al sistema judicial, enfrentan otro problema durante el proceso, la revictimización.  Este es un fenómeno que ocurre no solamente en los tribunales locales sino también en los de todos los países de la región.</w:t>
      </w:r>
    </w:p>
    <w:p w:rsidR="00000000" w:rsidRDefault="00000000">
      <w:pPr>
        <w:autoSpaceDE w:val="0"/>
        <w:autoSpaceDN w:val="0"/>
        <w:adjustRightInd w:val="0"/>
        <w:spacing w:after="240"/>
        <w:rPr>
          <w:lang w:val="es-MX"/>
        </w:rPr>
      </w:pPr>
      <w:r>
        <w:t>367.</w:t>
      </w:r>
      <w:r>
        <w:tab/>
        <w:t>Según investigaciones realizadas, las razones (de las víctimas menores) por las cuales no se denuncian los hechos punibles contra la autonomía sexual son:  el miedo y la vergüenza.  Sumado a estas razones, también son sometidas a situaciones psicológicas de recuerdos dolorosos en los momentos de declaraciones y entrevistas consecuencia de falta de procedimientos judiciales especiales, insuficiente asistencia especializada a las víctimas, y por la inadecuada infraestructura</w:t>
      </w:r>
      <w:r>
        <w:rPr>
          <w:lang w:val="es-MX"/>
        </w:rPr>
        <w:t xml:space="preserve"> para la atención de las víctimas.</w:t>
      </w:r>
    </w:p>
    <w:p w:rsidR="00000000" w:rsidRDefault="00000000">
      <w:pPr>
        <w:spacing w:beforeLines="40" w:before="96" w:afterLines="40" w:after="96"/>
        <w:ind w:left="1134" w:hanging="567"/>
        <w:rPr>
          <w:b/>
          <w:lang w:val="es-MX"/>
        </w:rPr>
      </w:pPr>
      <w:r>
        <w:rPr>
          <w:b/>
          <w:lang w:val="es-MX"/>
        </w:rPr>
        <w:t>6.3.</w:t>
      </w:r>
      <w:r>
        <w:rPr>
          <w:b/>
          <w:lang w:val="es-MX"/>
        </w:rPr>
        <w:tab/>
        <w:t>Actividades de la Unidad de Derechos Humanos de la Corte Suprema de Justicia</w:t>
      </w:r>
    </w:p>
    <w:p w:rsidR="00000000" w:rsidRDefault="00000000">
      <w:pPr>
        <w:autoSpaceDE w:val="0"/>
        <w:autoSpaceDN w:val="0"/>
        <w:adjustRightInd w:val="0"/>
        <w:spacing w:after="240"/>
      </w:pPr>
      <w:r>
        <w:t>368.</w:t>
      </w:r>
      <w:r>
        <w:tab/>
        <w:t>Desde el 2004 la Unidad de Derechos Humanos de la circunscripción judicial de Alto Paraná viene trabajando en el tema de la explotación sexual comercial infantil a través del apoyo al programa de la OIT-IPEC.  Las actividades emprendidas por la Unidad en este tema convergen en la protección y difusión.  En cuanto al primero, a través de la participación interinstitucional a fin de coordinar acciones conjuntas para el combate y la erradicación del problema.  Y en cuanto al segundo, a través de eventos como taller, seminarios y lanzamientos, cuyos logros y resultados se detallan a continuación.</w:t>
      </w:r>
    </w:p>
    <w:p w:rsidR="00000000" w:rsidRDefault="00000000">
      <w:pPr>
        <w:autoSpaceDE w:val="0"/>
        <w:autoSpaceDN w:val="0"/>
        <w:adjustRightInd w:val="0"/>
        <w:spacing w:after="240"/>
        <w:ind w:left="567"/>
        <w:rPr>
          <w:b/>
          <w:bCs/>
          <w:i/>
          <w:iCs/>
        </w:rPr>
      </w:pPr>
      <w:r>
        <w:rPr>
          <w:b/>
          <w:bCs/>
          <w:i/>
          <w:iCs/>
        </w:rPr>
        <w:t>6.3.1.  Taller sobre Trabajo Infantil y Adecuación Legislativa (2003)</w:t>
      </w:r>
    </w:p>
    <w:p w:rsidR="00000000" w:rsidRDefault="00000000">
      <w:pPr>
        <w:autoSpaceDE w:val="0"/>
        <w:autoSpaceDN w:val="0"/>
        <w:adjustRightInd w:val="0"/>
        <w:spacing w:after="240"/>
      </w:pPr>
      <w:r>
        <w:t>369.</w:t>
      </w:r>
      <w:r>
        <w:tab/>
        <w:t>Este taller propició discusiones entre jueces de la niñez y jueces laboralistas en torno al trabajo infantil.  Gracias a dicho intercambio de informaciones, se logró contrastar las normas de los códigos del trabajo y de la niñez en relación a este tema.</w:t>
      </w:r>
    </w:p>
    <w:p w:rsidR="00000000" w:rsidRDefault="00000000">
      <w:pPr>
        <w:autoSpaceDE w:val="0"/>
        <w:autoSpaceDN w:val="0"/>
        <w:adjustRightInd w:val="0"/>
        <w:spacing w:after="240"/>
      </w:pPr>
      <w:r>
        <w:t>370.</w:t>
      </w:r>
      <w:r>
        <w:tab/>
        <w:t>La Organización Internacional del Trabajo (OIT) ofreció a la Unidad de Derechos Humanos de la Corte Suprema de Justicia el apoyo para realizar un taller sobre "Trabajo Infantil y Adecuación Legislativa", a fin de que magistrados opinaran sobre el proyecto de ley (patrocinado por la OIT) que regula el trabajo de los(as) adolescentes.  A tal evento asistieron magistrados del fuero laboral y de la niñez y la adolescencia, defensores públicos, representantes del UNICEF, y de ONG.  A pedido de los magistrados presentes, se organizó un segundo taller para continuar con el análisis del mencionado proyecto.  Dicho taller se realizó el 9 de abril de 2003.</w:t>
      </w:r>
    </w:p>
    <w:p w:rsidR="00000000" w:rsidRDefault="00000000">
      <w:pPr>
        <w:autoSpaceDE w:val="0"/>
        <w:autoSpaceDN w:val="0"/>
        <w:adjustRightInd w:val="0"/>
        <w:spacing w:after="240"/>
        <w:ind w:left="1260" w:hanging="693"/>
        <w:rPr>
          <w:i/>
          <w:iCs/>
        </w:rPr>
      </w:pPr>
      <w:r>
        <w:rPr>
          <w:b/>
          <w:bCs/>
          <w:i/>
          <w:iCs/>
        </w:rPr>
        <w:t xml:space="preserve">6.3.2.  "Seminario-taller de Derechos Humanos y Derecho de la Infancia en el Paraguay organizado por la Unidad de Derechos Humanos de la Corte Suprema de Justicia y apoyado por la OIT-IPEC y el CIDSEP" (2003) </w:t>
      </w:r>
    </w:p>
    <w:p w:rsidR="00000000" w:rsidRDefault="00000000">
      <w:pPr>
        <w:autoSpaceDE w:val="0"/>
        <w:autoSpaceDN w:val="0"/>
        <w:adjustRightInd w:val="0"/>
        <w:spacing w:after="240"/>
      </w:pPr>
      <w:r>
        <w:t>371.</w:t>
      </w:r>
      <w:r>
        <w:tab/>
        <w:t>El presente evento se realizó en las siguientes fechas:  5 de noviembre (Coronel Oviedo), 6 de noviembre (Villarrica), 17 de noviembre (Ciudad del Este), 20 de noviembre (San Juan Bautista de Misiones), 24 de noviembre (Concepción), 25 de noviembre (Pedro Juan Caballero), 1º de diciembre (Pilar), 2 de diciembre (Encarnación), y el 26 de diciembre en Asunción.</w:t>
      </w:r>
    </w:p>
    <w:p w:rsidR="00000000" w:rsidRDefault="00000000">
      <w:pPr>
        <w:autoSpaceDE w:val="0"/>
        <w:autoSpaceDN w:val="0"/>
        <w:adjustRightInd w:val="0"/>
        <w:spacing w:after="240"/>
      </w:pPr>
      <w:r>
        <w:t>372.</w:t>
      </w:r>
      <w:r>
        <w:tab/>
        <w:t>En oportunidad de los talleres mencionados se presentaron dos planes:  la "Propuesta del Plan de Prevención y Erradicación Progresiva del Trabajo Infantil y Protección del Trabajo del Adolescente" y la "Propuesta de Erradicación y Prevención de la Explotación Sexual Infantil del Paraguay".</w:t>
      </w:r>
    </w:p>
    <w:p w:rsidR="00000000" w:rsidRDefault="00000000">
      <w:pPr>
        <w:autoSpaceDE w:val="0"/>
        <w:autoSpaceDN w:val="0"/>
        <w:adjustRightInd w:val="0"/>
        <w:spacing w:after="240"/>
        <w:ind w:left="1232" w:hanging="665"/>
        <w:rPr>
          <w:b/>
          <w:bCs/>
          <w:i/>
          <w:iCs/>
        </w:rPr>
      </w:pPr>
      <w:r>
        <w:rPr>
          <w:b/>
          <w:bCs/>
          <w:i/>
          <w:iCs/>
        </w:rPr>
        <w:t>6.3.3.</w:t>
      </w:r>
      <w:r>
        <w:rPr>
          <w:b/>
          <w:bCs/>
          <w:i/>
          <w:iCs/>
        </w:rPr>
        <w:tab/>
        <w:t>Mesa de Trabajo de la Triple Frontera sobre la explotación sexual comercial de niños, niñas y adolescentes de la OIT-IPEC (2004)</w:t>
      </w:r>
    </w:p>
    <w:p w:rsidR="00000000" w:rsidRDefault="00000000">
      <w:pPr>
        <w:autoSpaceDE w:val="0"/>
        <w:autoSpaceDN w:val="0"/>
        <w:adjustRightInd w:val="0"/>
        <w:spacing w:after="240"/>
      </w:pPr>
      <w:r>
        <w:t>373.</w:t>
      </w:r>
      <w:r>
        <w:tab/>
        <w:t>A solicitud de la Organización Internacional del Trabajo - Programa de Prevención y Eliminación de la Explotación Sexual Comercial de Niños, Niñas y Adolescentes (OIT-IPEC), la Unidad Regional de Derechos Humanos de Alto Paraná (con la participación de jueces del Tribunal de Apelación Penal de Niñez y Adolescencia y jueces de primera instancia de la niñez y la adolescencia) ha conformado una mesa de trabajo con los operadores jurídicos (abogados, defensores, magistrados y agentes de la policía) para dar seguimiento a las propuestas y recomendaciones que derivan del estudio de la "Explotación sexual comercial de niños, niñas y adolescentes en las legislaciones de la Argentina, el Brasil y el Paraguay:  alternativas de armonización para el MERCOSUR".  Los objetivos de esta mesa son promover propuestas de cooperación jurídica y social para la protección de niños y adolescentes en la Triple Frontera y la formulación de un Protocolo Especial de Asistencia Jurídica Mutua en Materia Penal en la Triple Frontera.</w:t>
      </w:r>
    </w:p>
    <w:p w:rsidR="00000000" w:rsidRDefault="00000000">
      <w:pPr>
        <w:autoSpaceDE w:val="0"/>
        <w:autoSpaceDN w:val="0"/>
        <w:adjustRightInd w:val="0"/>
        <w:spacing w:after="240"/>
      </w:pPr>
      <w:r>
        <w:t>374.</w:t>
      </w:r>
      <w:r>
        <w:tab/>
        <w:t>El mismo material "La explotación sexual comercial de niños, niñas, y adolescentes en las legislaciones de la Argentina, el Brasil y el Paraguay:  alternativas de armonización para el MERCOSUR", fue presentado el 23 de junio 2004 en Ciudad del Este y el 29 de junio 2004 en Asunción, con el apoyo de la OIT-IPEC, la CONAETI, la Unidad de Derechos Humanos de la Corte Suprema de Justicia de la Capital (29 de junio de 2004) y la Unidad Regional de Derechos Humanos de Alto Paraná (23 de junio de 2004).  El citado evento estuvo destinado a operadores de justicia.  La distribución del material presentado fue gratuita.</w:t>
      </w:r>
    </w:p>
    <w:p w:rsidR="00000000" w:rsidRDefault="00000000">
      <w:pPr>
        <w:autoSpaceDE w:val="0"/>
        <w:autoSpaceDN w:val="0"/>
        <w:adjustRightInd w:val="0"/>
        <w:spacing w:after="240"/>
        <w:ind w:left="1246" w:hanging="679"/>
        <w:rPr>
          <w:b/>
          <w:bCs/>
          <w:i/>
          <w:iCs/>
        </w:rPr>
      </w:pPr>
      <w:r>
        <w:rPr>
          <w:b/>
          <w:bCs/>
          <w:i/>
          <w:iCs/>
        </w:rPr>
        <w:t>6.3.4.  "Seminario:  Procedimientos respetuosos sobre de los derechos de la infancia y la adolescencia en situaciones de violencia sexual"</w:t>
      </w:r>
    </w:p>
    <w:p w:rsidR="00000000" w:rsidRDefault="00000000">
      <w:pPr>
        <w:autoSpaceDE w:val="0"/>
        <w:autoSpaceDN w:val="0"/>
        <w:adjustRightInd w:val="0"/>
        <w:spacing w:after="240"/>
      </w:pPr>
      <w:r>
        <w:t>375.</w:t>
      </w:r>
      <w:r>
        <w:tab/>
        <w:t>Realizado el 13 y 14 de octubre de 2006, organizado por BECA y la Unidad de Derechos Humanos de la Corte Suprema de Justicia con la finalidad de difundir y concienciar a los operadores de justicia sobre la aplicación de los principios y criterios contenidos en la Convención sobre los Derechos del Niño, el Protocolo Facultativo de la Convención sobre los Derechos del Niño relativo al tráfico de niños, a la prostitución infantil y a la utilización de niños en la pornografía; y promover e incluir en el sistema judicial prácticas respetuosas acordes al nuevo paradigma.  Auspiciado por BICE.  Dirigido a magistrados, defensores públicos y agentes fiscales.</w:t>
      </w:r>
    </w:p>
    <w:p w:rsidR="00000000" w:rsidRDefault="00000000">
      <w:pPr>
        <w:autoSpaceDE w:val="0"/>
        <w:autoSpaceDN w:val="0"/>
        <w:adjustRightInd w:val="0"/>
        <w:spacing w:after="240"/>
      </w:pPr>
      <w:r>
        <w:t>376.</w:t>
      </w:r>
      <w:r>
        <w:tab/>
        <w:t>Así también, en 2005, la Unidad de Derechos Humanos realizó en el área de investigación y análisis, un diagnóstico general sobre la situación social y jurídica del Paraguay y su vinculación con la problemática de la explotación comercial sexual de niños, niñas y adolescentes.  Para su elaboración se ha realizado un trabajo previo de recopilación de datos, además de la  sistematización y análisis de los mismos.</w:t>
      </w:r>
    </w:p>
    <w:p w:rsidR="00000000" w:rsidRDefault="00000000">
      <w:pPr>
        <w:autoSpaceDE w:val="0"/>
        <w:autoSpaceDN w:val="0"/>
        <w:adjustRightInd w:val="0"/>
        <w:spacing w:after="240"/>
        <w:ind w:left="1274" w:hanging="707"/>
        <w:rPr>
          <w:b/>
          <w:bCs/>
          <w:i/>
          <w:iCs/>
        </w:rPr>
      </w:pPr>
      <w:r>
        <w:rPr>
          <w:b/>
          <w:bCs/>
          <w:i/>
          <w:iCs/>
        </w:rPr>
        <w:t>6.3.5.  Taller sobre "Políticas de combate y prevención de la explotación comercial sexual infantil y protección de niños, niñas y adolescentes en la Triple Frontera" (2005)</w:t>
      </w:r>
    </w:p>
    <w:p w:rsidR="00000000" w:rsidRDefault="00000000">
      <w:pPr>
        <w:autoSpaceDE w:val="0"/>
        <w:autoSpaceDN w:val="0"/>
        <w:adjustRightInd w:val="0"/>
        <w:spacing w:after="240"/>
      </w:pPr>
      <w:r>
        <w:t>377.</w:t>
      </w:r>
      <w:r>
        <w:tab/>
        <w:t>Realizado en el Palacio de Justicia de Ciudad del Este y organizado por la Unidad Regional de Derechos Humanos de la Circunscripción Judicial de Alto Paraná y OIT-IPEC Ciudad del Este.  Dirigido a operadores de justicia, representantes de organismos gubernamentales y no gubernamentales</w:t>
      </w:r>
    </w:p>
    <w:p w:rsidR="00000000" w:rsidRDefault="00000000">
      <w:pPr>
        <w:autoSpaceDE w:val="0"/>
        <w:autoSpaceDN w:val="0"/>
        <w:adjustRightInd w:val="0"/>
        <w:spacing w:after="240"/>
        <w:ind w:left="567"/>
        <w:rPr>
          <w:b/>
          <w:bCs/>
          <w:i/>
          <w:iCs/>
        </w:rPr>
      </w:pPr>
      <w:r>
        <w:rPr>
          <w:b/>
          <w:bCs/>
          <w:i/>
          <w:iCs/>
        </w:rPr>
        <w:t>6.3.6.  Curso de formación en Explotación Sexual Comercial Infantil</w:t>
      </w:r>
    </w:p>
    <w:p w:rsidR="00000000" w:rsidRDefault="00000000">
      <w:pPr>
        <w:autoSpaceDE w:val="0"/>
        <w:autoSpaceDN w:val="0"/>
        <w:adjustRightInd w:val="0"/>
        <w:spacing w:after="240"/>
      </w:pPr>
      <w:r>
        <w:t>378.</w:t>
      </w:r>
      <w:r>
        <w:tab/>
        <w:t>Organizado por la OIT, con apoyo de la Unidad Regional de Derechos Humanos de la Circunscripción Judicial de Alto Paraná.  Dirigido a operadores jurídicos y actores sociales Realizado en el Palacio de Justicia de Ciudad del Este (2005).</w:t>
      </w:r>
    </w:p>
    <w:p w:rsidR="00000000" w:rsidRDefault="00000000">
      <w:pPr>
        <w:autoSpaceDE w:val="0"/>
        <w:autoSpaceDN w:val="0"/>
        <w:adjustRightInd w:val="0"/>
        <w:spacing w:after="240"/>
        <w:ind w:left="1246" w:hanging="679"/>
        <w:rPr>
          <w:b/>
          <w:bCs/>
          <w:i/>
          <w:iCs/>
        </w:rPr>
      </w:pPr>
      <w:r>
        <w:rPr>
          <w:b/>
          <w:bCs/>
          <w:i/>
          <w:iCs/>
        </w:rPr>
        <w:t>6.3.7.  Análisis del "Informe sobre violaciones de derechos a niños, niñas y adolescentes en situación de calle" - Privaciones ilegales de libertad en Ciudad del Este (2005)</w:t>
      </w:r>
    </w:p>
    <w:p w:rsidR="00000000" w:rsidRDefault="00000000">
      <w:pPr>
        <w:autoSpaceDE w:val="0"/>
        <w:autoSpaceDN w:val="0"/>
        <w:adjustRightInd w:val="0"/>
        <w:spacing w:after="240"/>
      </w:pPr>
      <w:r>
        <w:t>379.</w:t>
      </w:r>
      <w:r>
        <w:tab/>
        <w:t>Realizado en el Palacio de Justicia de Ciudad del Este seguido del panel de análisis y preguntas a las autoridades y representantes presentes, dirigido a jueces, defensores, fiscales, funcionarios judiciales, representantes de organismos gubernamentales y no gubernamentales, público en general.</w:t>
      </w:r>
    </w:p>
    <w:p w:rsidR="00000000" w:rsidRDefault="00000000">
      <w:pPr>
        <w:keepNext/>
        <w:keepLines/>
        <w:autoSpaceDE w:val="0"/>
        <w:autoSpaceDN w:val="0"/>
        <w:adjustRightInd w:val="0"/>
        <w:spacing w:after="240"/>
        <w:rPr>
          <w:b/>
          <w:bCs/>
        </w:rPr>
      </w:pPr>
      <w:r>
        <w:rPr>
          <w:b/>
          <w:bCs/>
        </w:rPr>
        <w:t>Artículo 11</w:t>
      </w:r>
    </w:p>
    <w:p w:rsidR="00000000" w:rsidRDefault="00000000">
      <w:pPr>
        <w:keepNext/>
        <w:keepLines/>
        <w:autoSpaceDE w:val="0"/>
        <w:autoSpaceDN w:val="0"/>
        <w:adjustRightInd w:val="0"/>
        <w:spacing w:after="240"/>
        <w:ind w:left="567"/>
        <w:jc w:val="center"/>
        <w:rPr>
          <w:b/>
          <w:bCs/>
        </w:rPr>
      </w:pPr>
      <w:r>
        <w:rPr>
          <w:b/>
          <w:bCs/>
        </w:rPr>
        <w:t>A.  Situación general del derecho a la alimentación adecuada</w:t>
      </w:r>
    </w:p>
    <w:p w:rsidR="00000000" w:rsidRDefault="00000000">
      <w:pPr>
        <w:autoSpaceDE w:val="0"/>
        <w:autoSpaceDN w:val="0"/>
        <w:adjustRightInd w:val="0"/>
        <w:spacing w:after="240"/>
      </w:pPr>
      <w:r>
        <w:t>380.</w:t>
      </w:r>
      <w:r>
        <w:tab/>
        <w:t>La Constitución nacional en su artículo 72 del control de calidad establece que:  "el Estado velará por el control de la calidad de los productos alimenticios, químicos, farmacéuticos y biológicos en la etapa de producción, importación y comercialización (…) y el libro II - De los alimentos, del Código Sanitario, Ley Nº 836/80, sus decretos reglamentarios y resoluciones ministeriales, constituyen el marco legal por el que el cual Ministerio de Salud Pública y Bienestar Social a través de su organismo técnico el INAN (Instituto Nacional de Alimentación y Nutrición) cuenta con un Registro Nacional de Alimentos, RSPA (registro sanitario de producto alimenticio) y el RE (registro de establecimiento), que otorgan la base de datos del universo de productos registrados circulantes en el territorio nacional.  Asimismo el área de SISVAN (sistema de vigilancia alimentario nutricional), establecida en los departamentos de todo el país, contribuye a generar información que es analizada en la institución referente al estado nutricional de la población que acude a los servicios de salud dependientes del MSP Y BS.  No existe una encuesta nacional por grupos etários del estado nutricional en nuestro país, ni un registro descentralizado de los productos alimenticios circulantes en todo el territorio nacional.  El monitoreo es parcial, focalizado y no constante por falta de recursos humanos y financieros.  En relación a la alimentación adecuada se cuenta con un instrumento educativo, las guías alimentarias del Paraguay y la del menor de 2 años, que promueven estilos saludables de alimentación en la población sana, y que se está implementando a nivel departamental.  No existe un Plan Nacional de Seguridad alimentaria.  Citamos las instituciones públicas y de la sociedad civil que intervienen con programas de alimentación en distintos grupos poblacionales:  Despacho de la Primera Dama, Pastoral del Niño, Alter Vida, Oguazú, MAG con planes de producción de autoconsumo, SAS, entre otras.</w:t>
      </w:r>
    </w:p>
    <w:p w:rsidR="00000000" w:rsidRDefault="00000000">
      <w:pPr>
        <w:autoSpaceDE w:val="0"/>
        <w:autoSpaceDN w:val="0"/>
        <w:adjustRightInd w:val="0"/>
        <w:spacing w:after="240"/>
      </w:pPr>
      <w:r>
        <w:t>381.</w:t>
      </w:r>
      <w:r>
        <w:tab/>
        <w:t>En los grupos que el Instituto Nacional de Alimentación y Nutrición (INAN) estableció el sistema de vigilancia alimentario nutricional, están los menores de 5 años, escolares, mujeres embarazadas, cuyos datos son remitidos por los servicios de salud y son procesados en el INAN dando una referencia del estado nutricional.</w:t>
      </w:r>
    </w:p>
    <w:p w:rsidR="00000000" w:rsidRDefault="00000000">
      <w:pPr>
        <w:spacing w:after="130"/>
        <w:jc w:val="center"/>
        <w:rPr>
          <w:b/>
          <w:sz w:val="13"/>
        </w:rPr>
      </w:pPr>
      <w:r>
        <w:rPr>
          <w:b/>
          <w:sz w:val="13"/>
        </w:rPr>
        <w:t>Incidencia de desnutrición en base a datos del SISVAN 2003 y EIH 2000/01</w:t>
      </w: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9"/>
        <w:gridCol w:w="804"/>
        <w:gridCol w:w="789"/>
        <w:gridCol w:w="804"/>
        <w:gridCol w:w="762"/>
        <w:gridCol w:w="819"/>
        <w:gridCol w:w="840"/>
        <w:gridCol w:w="721"/>
        <w:gridCol w:w="719"/>
        <w:gridCol w:w="721"/>
        <w:gridCol w:w="840"/>
        <w:gridCol w:w="766"/>
      </w:tblGrid>
      <w:tr w:rsidR="00000000">
        <w:tblPrEx>
          <w:tblCellMar>
            <w:top w:w="0" w:type="dxa"/>
            <w:bottom w:w="0" w:type="dxa"/>
          </w:tblCellMar>
        </w:tblPrEx>
        <w:tc>
          <w:tcPr>
            <w:tcW w:w="450" w:type="pct"/>
            <w:vAlign w:val="center"/>
          </w:tcPr>
          <w:p w:rsidR="00000000" w:rsidRDefault="00000000">
            <w:pPr>
              <w:jc w:val="center"/>
              <w:rPr>
                <w:b/>
                <w:bCs/>
                <w:spacing w:val="-4"/>
                <w:sz w:val="13"/>
              </w:rPr>
            </w:pPr>
            <w:r>
              <w:rPr>
                <w:b/>
                <w:bCs/>
                <w:spacing w:val="-4"/>
                <w:sz w:val="13"/>
              </w:rPr>
              <w:t>Distritos</w:t>
            </w:r>
          </w:p>
        </w:tc>
        <w:tc>
          <w:tcPr>
            <w:tcW w:w="426" w:type="pct"/>
            <w:vAlign w:val="center"/>
          </w:tcPr>
          <w:p w:rsidR="00000000" w:rsidRDefault="00000000">
            <w:pPr>
              <w:jc w:val="center"/>
              <w:rPr>
                <w:b/>
                <w:bCs/>
                <w:spacing w:val="-4"/>
                <w:sz w:val="13"/>
              </w:rPr>
            </w:pPr>
            <w:r>
              <w:rPr>
                <w:b/>
                <w:bCs/>
                <w:spacing w:val="-4"/>
                <w:sz w:val="13"/>
              </w:rPr>
              <w:t>Niños(as) en riesgo de desnutrición de 0 a 6 meses</w:t>
            </w:r>
          </w:p>
        </w:tc>
        <w:tc>
          <w:tcPr>
            <w:tcW w:w="418" w:type="pct"/>
            <w:vAlign w:val="center"/>
          </w:tcPr>
          <w:p w:rsidR="00000000" w:rsidRDefault="00000000">
            <w:pPr>
              <w:jc w:val="center"/>
              <w:rPr>
                <w:b/>
                <w:bCs/>
                <w:spacing w:val="-4"/>
                <w:sz w:val="13"/>
              </w:rPr>
            </w:pPr>
            <w:r>
              <w:rPr>
                <w:b/>
                <w:bCs/>
                <w:spacing w:val="-4"/>
                <w:sz w:val="13"/>
              </w:rPr>
              <w:t xml:space="preserve">Niños(as) en riesgo de desnutrición de 6 meses </w:t>
            </w:r>
            <w:r>
              <w:rPr>
                <w:b/>
                <w:bCs/>
                <w:spacing w:val="-4"/>
                <w:sz w:val="13"/>
              </w:rPr>
              <w:br/>
              <w:t>a 1 año</w:t>
            </w:r>
          </w:p>
        </w:tc>
        <w:tc>
          <w:tcPr>
            <w:tcW w:w="426" w:type="pct"/>
            <w:vAlign w:val="center"/>
          </w:tcPr>
          <w:p w:rsidR="00000000" w:rsidRDefault="00000000">
            <w:pPr>
              <w:jc w:val="center"/>
              <w:rPr>
                <w:b/>
                <w:bCs/>
                <w:spacing w:val="-4"/>
                <w:sz w:val="13"/>
              </w:rPr>
            </w:pPr>
            <w:r>
              <w:rPr>
                <w:b/>
                <w:bCs/>
                <w:spacing w:val="-4"/>
                <w:sz w:val="13"/>
              </w:rPr>
              <w:t>Niños(as) en riesgo de desnutrición de 1 a 4 años</w:t>
            </w:r>
          </w:p>
        </w:tc>
        <w:tc>
          <w:tcPr>
            <w:tcW w:w="404" w:type="pct"/>
            <w:vAlign w:val="center"/>
          </w:tcPr>
          <w:p w:rsidR="00000000" w:rsidRDefault="00000000">
            <w:pPr>
              <w:jc w:val="center"/>
              <w:rPr>
                <w:b/>
                <w:bCs/>
                <w:spacing w:val="-4"/>
                <w:sz w:val="13"/>
              </w:rPr>
            </w:pPr>
            <w:r>
              <w:rPr>
                <w:b/>
                <w:bCs/>
                <w:spacing w:val="-4"/>
                <w:sz w:val="13"/>
              </w:rPr>
              <w:t>Niños(as) desnutridos moderado a grave de 0 a 6 meses</w:t>
            </w:r>
          </w:p>
        </w:tc>
        <w:tc>
          <w:tcPr>
            <w:tcW w:w="434" w:type="pct"/>
            <w:vAlign w:val="center"/>
          </w:tcPr>
          <w:p w:rsidR="00000000" w:rsidRDefault="00000000">
            <w:pPr>
              <w:jc w:val="center"/>
              <w:rPr>
                <w:b/>
                <w:bCs/>
                <w:spacing w:val="-4"/>
                <w:sz w:val="13"/>
              </w:rPr>
            </w:pPr>
            <w:r>
              <w:rPr>
                <w:b/>
                <w:bCs/>
                <w:spacing w:val="-4"/>
                <w:sz w:val="13"/>
              </w:rPr>
              <w:t>Niños(as) desnutridos moderado a grave de 6 meses a 1 año</w:t>
            </w:r>
          </w:p>
        </w:tc>
        <w:tc>
          <w:tcPr>
            <w:tcW w:w="445" w:type="pct"/>
            <w:vAlign w:val="center"/>
          </w:tcPr>
          <w:p w:rsidR="00000000" w:rsidRDefault="00000000">
            <w:pPr>
              <w:jc w:val="center"/>
              <w:rPr>
                <w:b/>
                <w:bCs/>
                <w:spacing w:val="-4"/>
                <w:sz w:val="13"/>
              </w:rPr>
            </w:pPr>
            <w:r>
              <w:rPr>
                <w:b/>
                <w:bCs/>
                <w:spacing w:val="-4"/>
                <w:sz w:val="13"/>
              </w:rPr>
              <w:t>Niños(as) desnutridos moderado a grave de 1 a 4 años</w:t>
            </w:r>
          </w:p>
        </w:tc>
        <w:tc>
          <w:tcPr>
            <w:tcW w:w="382" w:type="pct"/>
            <w:vAlign w:val="center"/>
          </w:tcPr>
          <w:p w:rsidR="00000000" w:rsidRDefault="00000000">
            <w:pPr>
              <w:jc w:val="center"/>
              <w:rPr>
                <w:b/>
                <w:bCs/>
                <w:spacing w:val="-4"/>
                <w:sz w:val="13"/>
              </w:rPr>
            </w:pPr>
            <w:r>
              <w:rPr>
                <w:b/>
                <w:bCs/>
                <w:spacing w:val="-4"/>
                <w:sz w:val="13"/>
              </w:rPr>
              <w:t>Total de niños en riesgo de desnutrición</w:t>
            </w:r>
          </w:p>
        </w:tc>
        <w:tc>
          <w:tcPr>
            <w:tcW w:w="381" w:type="pct"/>
            <w:vAlign w:val="center"/>
          </w:tcPr>
          <w:p w:rsidR="00000000" w:rsidRDefault="00000000">
            <w:pPr>
              <w:jc w:val="center"/>
              <w:rPr>
                <w:b/>
                <w:bCs/>
                <w:spacing w:val="-4"/>
                <w:sz w:val="13"/>
              </w:rPr>
            </w:pPr>
            <w:r>
              <w:rPr>
                <w:b/>
                <w:bCs/>
                <w:spacing w:val="-4"/>
                <w:sz w:val="13"/>
              </w:rPr>
              <w:t>Total Niños(as) desnutridos</w:t>
            </w:r>
            <w:r>
              <w:rPr>
                <w:b/>
                <w:bCs/>
                <w:spacing w:val="-4"/>
                <w:sz w:val="13"/>
              </w:rPr>
              <w:br/>
              <w:t>moderado a grave</w:t>
            </w:r>
          </w:p>
        </w:tc>
        <w:tc>
          <w:tcPr>
            <w:tcW w:w="382" w:type="pct"/>
            <w:vAlign w:val="center"/>
          </w:tcPr>
          <w:p w:rsidR="00000000" w:rsidRDefault="00000000">
            <w:pPr>
              <w:jc w:val="center"/>
              <w:rPr>
                <w:b/>
                <w:bCs/>
                <w:spacing w:val="-4"/>
                <w:sz w:val="13"/>
              </w:rPr>
            </w:pPr>
            <w:r>
              <w:rPr>
                <w:b/>
                <w:bCs/>
                <w:spacing w:val="-4"/>
                <w:sz w:val="13"/>
              </w:rPr>
              <w:t>Total desnutridos</w:t>
            </w:r>
          </w:p>
        </w:tc>
        <w:tc>
          <w:tcPr>
            <w:tcW w:w="445" w:type="pct"/>
            <w:vAlign w:val="center"/>
          </w:tcPr>
          <w:p w:rsidR="00000000" w:rsidRDefault="00000000">
            <w:pPr>
              <w:jc w:val="center"/>
              <w:rPr>
                <w:b/>
                <w:bCs/>
                <w:spacing w:val="-4"/>
                <w:sz w:val="13"/>
              </w:rPr>
            </w:pPr>
            <w:r>
              <w:rPr>
                <w:b/>
                <w:bCs/>
                <w:spacing w:val="-4"/>
                <w:sz w:val="13"/>
              </w:rPr>
              <w:t>Total embarazadas desnutridas</w:t>
            </w:r>
          </w:p>
        </w:tc>
        <w:tc>
          <w:tcPr>
            <w:tcW w:w="406" w:type="pct"/>
            <w:vAlign w:val="center"/>
          </w:tcPr>
          <w:p w:rsidR="00000000" w:rsidRDefault="00000000">
            <w:pPr>
              <w:jc w:val="center"/>
              <w:rPr>
                <w:b/>
                <w:bCs/>
                <w:spacing w:val="-4"/>
                <w:sz w:val="13"/>
              </w:rPr>
            </w:pPr>
            <w:r>
              <w:rPr>
                <w:b/>
                <w:bCs/>
                <w:spacing w:val="-4"/>
                <w:sz w:val="13"/>
              </w:rPr>
              <w:t>Total beneficiarios</w:t>
            </w:r>
          </w:p>
        </w:tc>
      </w:tr>
      <w:tr w:rsidR="00000000">
        <w:tblPrEx>
          <w:tblCellMar>
            <w:top w:w="0" w:type="dxa"/>
            <w:bottom w:w="0" w:type="dxa"/>
          </w:tblCellMar>
        </w:tblPrEx>
        <w:tc>
          <w:tcPr>
            <w:tcW w:w="450" w:type="pct"/>
          </w:tcPr>
          <w:p w:rsidR="00000000" w:rsidRDefault="00000000">
            <w:pPr>
              <w:rPr>
                <w:spacing w:val="-4"/>
                <w:sz w:val="13"/>
              </w:rPr>
            </w:pPr>
            <w:r>
              <w:rPr>
                <w:spacing w:val="-4"/>
                <w:sz w:val="13"/>
              </w:rPr>
              <w:t>Coronel Oviedo</w:t>
            </w:r>
          </w:p>
        </w:tc>
        <w:tc>
          <w:tcPr>
            <w:tcW w:w="426" w:type="pct"/>
            <w:vAlign w:val="bottom"/>
          </w:tcPr>
          <w:p w:rsidR="00000000" w:rsidRDefault="00000000">
            <w:pPr>
              <w:tabs>
                <w:tab w:val="decimal" w:pos="471"/>
              </w:tabs>
              <w:rPr>
                <w:sz w:val="13"/>
              </w:rPr>
            </w:pPr>
            <w:r>
              <w:rPr>
                <w:sz w:val="13"/>
              </w:rPr>
              <w:t>36</w:t>
            </w:r>
          </w:p>
        </w:tc>
        <w:tc>
          <w:tcPr>
            <w:tcW w:w="418" w:type="pct"/>
            <w:vAlign w:val="bottom"/>
          </w:tcPr>
          <w:p w:rsidR="00000000" w:rsidRDefault="00000000">
            <w:pPr>
              <w:tabs>
                <w:tab w:val="decimal" w:pos="507"/>
              </w:tabs>
              <w:rPr>
                <w:sz w:val="13"/>
              </w:rPr>
            </w:pPr>
            <w:r>
              <w:rPr>
                <w:sz w:val="13"/>
              </w:rPr>
              <w:t>36</w:t>
            </w:r>
          </w:p>
        </w:tc>
        <w:tc>
          <w:tcPr>
            <w:tcW w:w="426" w:type="pct"/>
            <w:vAlign w:val="bottom"/>
          </w:tcPr>
          <w:p w:rsidR="00000000" w:rsidRDefault="00000000">
            <w:pPr>
              <w:tabs>
                <w:tab w:val="decimal" w:pos="471"/>
              </w:tabs>
              <w:rPr>
                <w:sz w:val="13"/>
              </w:rPr>
            </w:pPr>
            <w:r>
              <w:rPr>
                <w:sz w:val="13"/>
              </w:rPr>
              <w:t>281</w:t>
            </w:r>
          </w:p>
        </w:tc>
        <w:tc>
          <w:tcPr>
            <w:tcW w:w="404" w:type="pct"/>
            <w:vAlign w:val="bottom"/>
          </w:tcPr>
          <w:p w:rsidR="00000000" w:rsidRDefault="00000000">
            <w:pPr>
              <w:tabs>
                <w:tab w:val="decimal" w:pos="471"/>
              </w:tabs>
              <w:rPr>
                <w:sz w:val="13"/>
              </w:rPr>
            </w:pPr>
            <w:r>
              <w:rPr>
                <w:sz w:val="13"/>
              </w:rPr>
              <w:t>9</w:t>
            </w:r>
          </w:p>
        </w:tc>
        <w:tc>
          <w:tcPr>
            <w:tcW w:w="434" w:type="pct"/>
            <w:vAlign w:val="bottom"/>
          </w:tcPr>
          <w:p w:rsidR="00000000" w:rsidRDefault="00000000">
            <w:pPr>
              <w:tabs>
                <w:tab w:val="decimal" w:pos="471"/>
              </w:tabs>
              <w:rPr>
                <w:sz w:val="13"/>
              </w:rPr>
            </w:pPr>
            <w:r>
              <w:rPr>
                <w:sz w:val="13"/>
              </w:rPr>
              <w:t>9</w:t>
            </w:r>
          </w:p>
        </w:tc>
        <w:tc>
          <w:tcPr>
            <w:tcW w:w="445" w:type="pct"/>
            <w:vAlign w:val="bottom"/>
          </w:tcPr>
          <w:p w:rsidR="00000000" w:rsidRDefault="00000000">
            <w:pPr>
              <w:tabs>
                <w:tab w:val="decimal" w:pos="471"/>
              </w:tabs>
              <w:rPr>
                <w:sz w:val="13"/>
              </w:rPr>
            </w:pPr>
            <w:r>
              <w:rPr>
                <w:sz w:val="13"/>
              </w:rPr>
              <w:t>70</w:t>
            </w:r>
          </w:p>
        </w:tc>
        <w:tc>
          <w:tcPr>
            <w:tcW w:w="382" w:type="pct"/>
            <w:vAlign w:val="bottom"/>
          </w:tcPr>
          <w:p w:rsidR="00000000" w:rsidRDefault="00000000">
            <w:pPr>
              <w:tabs>
                <w:tab w:val="decimal" w:pos="453"/>
              </w:tabs>
              <w:rPr>
                <w:sz w:val="13"/>
              </w:rPr>
            </w:pPr>
            <w:r>
              <w:rPr>
                <w:sz w:val="13"/>
              </w:rPr>
              <w:t>353</w:t>
            </w:r>
          </w:p>
        </w:tc>
        <w:tc>
          <w:tcPr>
            <w:tcW w:w="381" w:type="pct"/>
            <w:vAlign w:val="bottom"/>
          </w:tcPr>
          <w:p w:rsidR="00000000" w:rsidRDefault="00000000">
            <w:pPr>
              <w:tabs>
                <w:tab w:val="decimal" w:pos="452"/>
              </w:tabs>
              <w:rPr>
                <w:sz w:val="13"/>
              </w:rPr>
            </w:pPr>
            <w:r>
              <w:rPr>
                <w:sz w:val="13"/>
              </w:rPr>
              <w:t>88</w:t>
            </w:r>
          </w:p>
        </w:tc>
        <w:tc>
          <w:tcPr>
            <w:tcW w:w="382" w:type="pct"/>
            <w:vAlign w:val="bottom"/>
          </w:tcPr>
          <w:p w:rsidR="00000000" w:rsidRDefault="00000000">
            <w:pPr>
              <w:tabs>
                <w:tab w:val="decimal" w:pos="510"/>
              </w:tabs>
              <w:rPr>
                <w:sz w:val="13"/>
              </w:rPr>
            </w:pPr>
            <w:r>
              <w:rPr>
                <w:sz w:val="13"/>
              </w:rPr>
              <w:t>441</w:t>
            </w:r>
          </w:p>
        </w:tc>
        <w:tc>
          <w:tcPr>
            <w:tcW w:w="445" w:type="pct"/>
            <w:vAlign w:val="bottom"/>
          </w:tcPr>
          <w:p w:rsidR="00000000" w:rsidRDefault="00000000">
            <w:pPr>
              <w:tabs>
                <w:tab w:val="decimal" w:pos="572"/>
              </w:tabs>
              <w:rPr>
                <w:sz w:val="13"/>
              </w:rPr>
            </w:pPr>
            <w:r>
              <w:rPr>
                <w:sz w:val="13"/>
              </w:rPr>
              <w:t>132</w:t>
            </w:r>
          </w:p>
        </w:tc>
        <w:tc>
          <w:tcPr>
            <w:tcW w:w="406" w:type="pct"/>
            <w:vAlign w:val="bottom"/>
          </w:tcPr>
          <w:p w:rsidR="00000000" w:rsidRDefault="00000000">
            <w:pPr>
              <w:tabs>
                <w:tab w:val="decimal" w:pos="572"/>
              </w:tabs>
              <w:rPr>
                <w:sz w:val="13"/>
              </w:rPr>
            </w:pPr>
            <w:r>
              <w:rPr>
                <w:sz w:val="13"/>
              </w:rPr>
              <w:t>573</w:t>
            </w:r>
          </w:p>
        </w:tc>
      </w:tr>
      <w:tr w:rsidR="00000000">
        <w:tblPrEx>
          <w:tblCellMar>
            <w:top w:w="0" w:type="dxa"/>
            <w:bottom w:w="0" w:type="dxa"/>
          </w:tblCellMar>
        </w:tblPrEx>
        <w:tc>
          <w:tcPr>
            <w:tcW w:w="450" w:type="pct"/>
          </w:tcPr>
          <w:p w:rsidR="00000000" w:rsidRDefault="00000000">
            <w:pPr>
              <w:rPr>
                <w:spacing w:val="-4"/>
                <w:sz w:val="13"/>
              </w:rPr>
            </w:pPr>
            <w:r>
              <w:rPr>
                <w:spacing w:val="-4"/>
                <w:sz w:val="13"/>
              </w:rPr>
              <w:t>San Estanislao</w:t>
            </w:r>
          </w:p>
        </w:tc>
        <w:tc>
          <w:tcPr>
            <w:tcW w:w="426" w:type="pct"/>
          </w:tcPr>
          <w:p w:rsidR="00000000" w:rsidRDefault="00000000">
            <w:pPr>
              <w:tabs>
                <w:tab w:val="decimal" w:pos="471"/>
              </w:tabs>
              <w:rPr>
                <w:sz w:val="13"/>
              </w:rPr>
            </w:pPr>
            <w:r>
              <w:rPr>
                <w:sz w:val="13"/>
              </w:rPr>
              <w:t>25</w:t>
            </w:r>
          </w:p>
        </w:tc>
        <w:tc>
          <w:tcPr>
            <w:tcW w:w="418" w:type="pct"/>
          </w:tcPr>
          <w:p w:rsidR="00000000" w:rsidRDefault="00000000">
            <w:pPr>
              <w:tabs>
                <w:tab w:val="decimal" w:pos="507"/>
              </w:tabs>
              <w:rPr>
                <w:sz w:val="13"/>
              </w:rPr>
            </w:pPr>
            <w:r>
              <w:rPr>
                <w:sz w:val="13"/>
              </w:rPr>
              <w:t>25</w:t>
            </w:r>
          </w:p>
        </w:tc>
        <w:tc>
          <w:tcPr>
            <w:tcW w:w="426" w:type="pct"/>
          </w:tcPr>
          <w:p w:rsidR="00000000" w:rsidRDefault="00000000">
            <w:pPr>
              <w:tabs>
                <w:tab w:val="decimal" w:pos="471"/>
              </w:tabs>
              <w:rPr>
                <w:sz w:val="13"/>
              </w:rPr>
            </w:pPr>
            <w:r>
              <w:rPr>
                <w:sz w:val="13"/>
              </w:rPr>
              <w:t>196</w:t>
            </w:r>
          </w:p>
        </w:tc>
        <w:tc>
          <w:tcPr>
            <w:tcW w:w="404" w:type="pct"/>
          </w:tcPr>
          <w:p w:rsidR="00000000" w:rsidRDefault="00000000">
            <w:pPr>
              <w:tabs>
                <w:tab w:val="decimal" w:pos="471"/>
              </w:tabs>
              <w:rPr>
                <w:sz w:val="13"/>
              </w:rPr>
            </w:pPr>
            <w:r>
              <w:rPr>
                <w:sz w:val="13"/>
              </w:rPr>
              <w:t>6</w:t>
            </w:r>
          </w:p>
        </w:tc>
        <w:tc>
          <w:tcPr>
            <w:tcW w:w="434" w:type="pct"/>
          </w:tcPr>
          <w:p w:rsidR="00000000" w:rsidRDefault="00000000">
            <w:pPr>
              <w:tabs>
                <w:tab w:val="decimal" w:pos="471"/>
              </w:tabs>
              <w:rPr>
                <w:sz w:val="13"/>
              </w:rPr>
            </w:pPr>
            <w:r>
              <w:rPr>
                <w:sz w:val="13"/>
              </w:rPr>
              <w:t>6</w:t>
            </w:r>
          </w:p>
        </w:tc>
        <w:tc>
          <w:tcPr>
            <w:tcW w:w="445" w:type="pct"/>
          </w:tcPr>
          <w:p w:rsidR="00000000" w:rsidRDefault="00000000">
            <w:pPr>
              <w:tabs>
                <w:tab w:val="decimal" w:pos="471"/>
              </w:tabs>
              <w:rPr>
                <w:sz w:val="13"/>
              </w:rPr>
            </w:pPr>
            <w:r>
              <w:rPr>
                <w:sz w:val="13"/>
              </w:rPr>
              <w:t>49</w:t>
            </w:r>
          </w:p>
        </w:tc>
        <w:tc>
          <w:tcPr>
            <w:tcW w:w="382" w:type="pct"/>
          </w:tcPr>
          <w:p w:rsidR="00000000" w:rsidRDefault="00000000">
            <w:pPr>
              <w:tabs>
                <w:tab w:val="decimal" w:pos="453"/>
              </w:tabs>
              <w:rPr>
                <w:sz w:val="13"/>
              </w:rPr>
            </w:pPr>
            <w:r>
              <w:rPr>
                <w:sz w:val="13"/>
              </w:rPr>
              <w:t>246</w:t>
            </w:r>
          </w:p>
        </w:tc>
        <w:tc>
          <w:tcPr>
            <w:tcW w:w="381" w:type="pct"/>
          </w:tcPr>
          <w:p w:rsidR="00000000" w:rsidRDefault="00000000">
            <w:pPr>
              <w:tabs>
                <w:tab w:val="decimal" w:pos="452"/>
              </w:tabs>
              <w:rPr>
                <w:sz w:val="13"/>
              </w:rPr>
            </w:pPr>
            <w:r>
              <w:rPr>
                <w:sz w:val="13"/>
              </w:rPr>
              <w:t>61</w:t>
            </w:r>
          </w:p>
        </w:tc>
        <w:tc>
          <w:tcPr>
            <w:tcW w:w="382" w:type="pct"/>
          </w:tcPr>
          <w:p w:rsidR="00000000" w:rsidRDefault="00000000">
            <w:pPr>
              <w:tabs>
                <w:tab w:val="decimal" w:pos="510"/>
              </w:tabs>
              <w:rPr>
                <w:sz w:val="13"/>
              </w:rPr>
            </w:pPr>
            <w:r>
              <w:rPr>
                <w:sz w:val="13"/>
              </w:rPr>
              <w:t>307</w:t>
            </w:r>
          </w:p>
        </w:tc>
        <w:tc>
          <w:tcPr>
            <w:tcW w:w="445" w:type="pct"/>
          </w:tcPr>
          <w:p w:rsidR="00000000" w:rsidRDefault="00000000">
            <w:pPr>
              <w:tabs>
                <w:tab w:val="decimal" w:pos="572"/>
              </w:tabs>
              <w:rPr>
                <w:sz w:val="13"/>
              </w:rPr>
            </w:pPr>
            <w:r>
              <w:rPr>
                <w:sz w:val="13"/>
              </w:rPr>
              <w:t>77</w:t>
            </w:r>
          </w:p>
        </w:tc>
        <w:tc>
          <w:tcPr>
            <w:tcW w:w="406" w:type="pct"/>
          </w:tcPr>
          <w:p w:rsidR="00000000" w:rsidRDefault="00000000">
            <w:pPr>
              <w:tabs>
                <w:tab w:val="decimal" w:pos="572"/>
              </w:tabs>
              <w:rPr>
                <w:sz w:val="13"/>
              </w:rPr>
            </w:pPr>
            <w:r>
              <w:rPr>
                <w:sz w:val="13"/>
              </w:rPr>
              <w:t>384</w:t>
            </w:r>
          </w:p>
        </w:tc>
      </w:tr>
      <w:tr w:rsidR="00000000">
        <w:tblPrEx>
          <w:tblCellMar>
            <w:top w:w="0" w:type="dxa"/>
            <w:bottom w:w="0" w:type="dxa"/>
          </w:tblCellMar>
        </w:tblPrEx>
        <w:tc>
          <w:tcPr>
            <w:tcW w:w="450" w:type="pct"/>
          </w:tcPr>
          <w:p w:rsidR="00000000" w:rsidRDefault="00000000">
            <w:pPr>
              <w:rPr>
                <w:spacing w:val="-4"/>
                <w:sz w:val="13"/>
              </w:rPr>
            </w:pPr>
            <w:r>
              <w:rPr>
                <w:spacing w:val="-4"/>
                <w:sz w:val="13"/>
              </w:rPr>
              <w:t>San Pedro</w:t>
            </w:r>
          </w:p>
        </w:tc>
        <w:tc>
          <w:tcPr>
            <w:tcW w:w="426" w:type="pct"/>
          </w:tcPr>
          <w:p w:rsidR="00000000" w:rsidRDefault="00000000">
            <w:pPr>
              <w:tabs>
                <w:tab w:val="decimal" w:pos="471"/>
              </w:tabs>
              <w:rPr>
                <w:sz w:val="13"/>
              </w:rPr>
            </w:pPr>
            <w:r>
              <w:rPr>
                <w:sz w:val="13"/>
              </w:rPr>
              <w:t>14</w:t>
            </w:r>
          </w:p>
        </w:tc>
        <w:tc>
          <w:tcPr>
            <w:tcW w:w="418" w:type="pct"/>
          </w:tcPr>
          <w:p w:rsidR="00000000" w:rsidRDefault="00000000">
            <w:pPr>
              <w:tabs>
                <w:tab w:val="decimal" w:pos="507"/>
              </w:tabs>
              <w:rPr>
                <w:sz w:val="13"/>
              </w:rPr>
            </w:pPr>
            <w:r>
              <w:rPr>
                <w:sz w:val="13"/>
              </w:rPr>
              <w:t>14</w:t>
            </w:r>
          </w:p>
        </w:tc>
        <w:tc>
          <w:tcPr>
            <w:tcW w:w="426" w:type="pct"/>
          </w:tcPr>
          <w:p w:rsidR="00000000" w:rsidRDefault="00000000">
            <w:pPr>
              <w:tabs>
                <w:tab w:val="decimal" w:pos="471"/>
              </w:tabs>
              <w:rPr>
                <w:sz w:val="13"/>
              </w:rPr>
            </w:pPr>
            <w:r>
              <w:rPr>
                <w:sz w:val="13"/>
              </w:rPr>
              <w:t>109</w:t>
            </w:r>
          </w:p>
        </w:tc>
        <w:tc>
          <w:tcPr>
            <w:tcW w:w="404" w:type="pct"/>
          </w:tcPr>
          <w:p w:rsidR="00000000" w:rsidRDefault="00000000">
            <w:pPr>
              <w:tabs>
                <w:tab w:val="decimal" w:pos="471"/>
              </w:tabs>
              <w:rPr>
                <w:sz w:val="13"/>
              </w:rPr>
            </w:pPr>
            <w:r>
              <w:rPr>
                <w:sz w:val="13"/>
              </w:rPr>
              <w:t>3</w:t>
            </w:r>
          </w:p>
        </w:tc>
        <w:tc>
          <w:tcPr>
            <w:tcW w:w="434" w:type="pct"/>
          </w:tcPr>
          <w:p w:rsidR="00000000" w:rsidRDefault="00000000">
            <w:pPr>
              <w:tabs>
                <w:tab w:val="decimal" w:pos="471"/>
              </w:tabs>
              <w:rPr>
                <w:sz w:val="13"/>
              </w:rPr>
            </w:pPr>
            <w:r>
              <w:rPr>
                <w:sz w:val="13"/>
              </w:rPr>
              <w:t>3</w:t>
            </w:r>
          </w:p>
        </w:tc>
        <w:tc>
          <w:tcPr>
            <w:tcW w:w="445" w:type="pct"/>
          </w:tcPr>
          <w:p w:rsidR="00000000" w:rsidRDefault="00000000">
            <w:pPr>
              <w:tabs>
                <w:tab w:val="decimal" w:pos="471"/>
              </w:tabs>
              <w:rPr>
                <w:sz w:val="13"/>
              </w:rPr>
            </w:pPr>
            <w:r>
              <w:rPr>
                <w:sz w:val="13"/>
              </w:rPr>
              <w:t>27</w:t>
            </w:r>
          </w:p>
        </w:tc>
        <w:tc>
          <w:tcPr>
            <w:tcW w:w="382" w:type="pct"/>
          </w:tcPr>
          <w:p w:rsidR="00000000" w:rsidRDefault="00000000">
            <w:pPr>
              <w:tabs>
                <w:tab w:val="decimal" w:pos="453"/>
              </w:tabs>
              <w:rPr>
                <w:sz w:val="13"/>
              </w:rPr>
            </w:pPr>
            <w:r>
              <w:rPr>
                <w:sz w:val="13"/>
              </w:rPr>
              <w:t>137</w:t>
            </w:r>
          </w:p>
        </w:tc>
        <w:tc>
          <w:tcPr>
            <w:tcW w:w="381" w:type="pct"/>
          </w:tcPr>
          <w:p w:rsidR="00000000" w:rsidRDefault="00000000">
            <w:pPr>
              <w:tabs>
                <w:tab w:val="decimal" w:pos="452"/>
              </w:tabs>
              <w:rPr>
                <w:sz w:val="13"/>
              </w:rPr>
            </w:pPr>
            <w:r>
              <w:rPr>
                <w:sz w:val="13"/>
              </w:rPr>
              <w:t>33</w:t>
            </w:r>
          </w:p>
        </w:tc>
        <w:tc>
          <w:tcPr>
            <w:tcW w:w="382" w:type="pct"/>
          </w:tcPr>
          <w:p w:rsidR="00000000" w:rsidRDefault="00000000">
            <w:pPr>
              <w:tabs>
                <w:tab w:val="decimal" w:pos="510"/>
              </w:tabs>
              <w:rPr>
                <w:sz w:val="13"/>
              </w:rPr>
            </w:pPr>
            <w:r>
              <w:rPr>
                <w:sz w:val="13"/>
              </w:rPr>
              <w:t>170</w:t>
            </w:r>
          </w:p>
        </w:tc>
        <w:tc>
          <w:tcPr>
            <w:tcW w:w="445" w:type="pct"/>
          </w:tcPr>
          <w:p w:rsidR="00000000" w:rsidRDefault="00000000">
            <w:pPr>
              <w:tabs>
                <w:tab w:val="decimal" w:pos="572"/>
              </w:tabs>
              <w:rPr>
                <w:sz w:val="13"/>
              </w:rPr>
            </w:pPr>
            <w:r>
              <w:rPr>
                <w:sz w:val="13"/>
              </w:rPr>
              <w:t>67</w:t>
            </w:r>
          </w:p>
        </w:tc>
        <w:tc>
          <w:tcPr>
            <w:tcW w:w="406" w:type="pct"/>
          </w:tcPr>
          <w:p w:rsidR="00000000" w:rsidRDefault="00000000">
            <w:pPr>
              <w:tabs>
                <w:tab w:val="decimal" w:pos="572"/>
              </w:tabs>
              <w:rPr>
                <w:sz w:val="13"/>
              </w:rPr>
            </w:pPr>
            <w:r>
              <w:rPr>
                <w:sz w:val="13"/>
              </w:rPr>
              <w:t>237</w:t>
            </w:r>
          </w:p>
        </w:tc>
      </w:tr>
      <w:tr w:rsidR="00000000">
        <w:tblPrEx>
          <w:tblCellMar>
            <w:top w:w="0" w:type="dxa"/>
            <w:bottom w:w="0" w:type="dxa"/>
          </w:tblCellMar>
        </w:tblPrEx>
        <w:tc>
          <w:tcPr>
            <w:tcW w:w="450" w:type="pct"/>
          </w:tcPr>
          <w:p w:rsidR="00000000" w:rsidRDefault="00000000">
            <w:pPr>
              <w:rPr>
                <w:spacing w:val="-4"/>
                <w:sz w:val="13"/>
              </w:rPr>
            </w:pPr>
            <w:r>
              <w:rPr>
                <w:spacing w:val="-4"/>
                <w:sz w:val="13"/>
              </w:rPr>
              <w:t>San Juan Pepomuceno</w:t>
            </w:r>
          </w:p>
        </w:tc>
        <w:tc>
          <w:tcPr>
            <w:tcW w:w="426" w:type="pct"/>
            <w:vAlign w:val="bottom"/>
          </w:tcPr>
          <w:p w:rsidR="00000000" w:rsidRDefault="00000000">
            <w:pPr>
              <w:tabs>
                <w:tab w:val="decimal" w:pos="471"/>
              </w:tabs>
              <w:rPr>
                <w:sz w:val="13"/>
              </w:rPr>
            </w:pPr>
            <w:r>
              <w:rPr>
                <w:sz w:val="13"/>
              </w:rPr>
              <w:t>9</w:t>
            </w:r>
          </w:p>
        </w:tc>
        <w:tc>
          <w:tcPr>
            <w:tcW w:w="418" w:type="pct"/>
            <w:vAlign w:val="bottom"/>
          </w:tcPr>
          <w:p w:rsidR="00000000" w:rsidRDefault="00000000">
            <w:pPr>
              <w:tabs>
                <w:tab w:val="decimal" w:pos="507"/>
              </w:tabs>
              <w:rPr>
                <w:sz w:val="13"/>
              </w:rPr>
            </w:pPr>
            <w:r>
              <w:rPr>
                <w:sz w:val="13"/>
              </w:rPr>
              <w:t>9</w:t>
            </w:r>
          </w:p>
        </w:tc>
        <w:tc>
          <w:tcPr>
            <w:tcW w:w="426" w:type="pct"/>
            <w:vAlign w:val="bottom"/>
          </w:tcPr>
          <w:p w:rsidR="00000000" w:rsidRDefault="00000000">
            <w:pPr>
              <w:tabs>
                <w:tab w:val="decimal" w:pos="471"/>
              </w:tabs>
              <w:rPr>
                <w:sz w:val="13"/>
              </w:rPr>
            </w:pPr>
            <w:r>
              <w:rPr>
                <w:sz w:val="13"/>
              </w:rPr>
              <w:t>72</w:t>
            </w:r>
          </w:p>
        </w:tc>
        <w:tc>
          <w:tcPr>
            <w:tcW w:w="404" w:type="pct"/>
            <w:vAlign w:val="bottom"/>
          </w:tcPr>
          <w:p w:rsidR="00000000" w:rsidRDefault="00000000">
            <w:pPr>
              <w:tabs>
                <w:tab w:val="decimal" w:pos="471"/>
              </w:tabs>
              <w:rPr>
                <w:sz w:val="13"/>
              </w:rPr>
            </w:pPr>
            <w:r>
              <w:rPr>
                <w:sz w:val="13"/>
              </w:rPr>
              <w:t>2</w:t>
            </w:r>
          </w:p>
        </w:tc>
        <w:tc>
          <w:tcPr>
            <w:tcW w:w="434" w:type="pct"/>
            <w:vAlign w:val="bottom"/>
          </w:tcPr>
          <w:p w:rsidR="00000000" w:rsidRDefault="00000000">
            <w:pPr>
              <w:tabs>
                <w:tab w:val="decimal" w:pos="471"/>
              </w:tabs>
              <w:rPr>
                <w:sz w:val="13"/>
              </w:rPr>
            </w:pPr>
            <w:r>
              <w:rPr>
                <w:sz w:val="13"/>
              </w:rPr>
              <w:t>2</w:t>
            </w:r>
          </w:p>
        </w:tc>
        <w:tc>
          <w:tcPr>
            <w:tcW w:w="445" w:type="pct"/>
            <w:vAlign w:val="bottom"/>
          </w:tcPr>
          <w:p w:rsidR="00000000" w:rsidRDefault="00000000">
            <w:pPr>
              <w:tabs>
                <w:tab w:val="decimal" w:pos="471"/>
              </w:tabs>
              <w:rPr>
                <w:sz w:val="13"/>
              </w:rPr>
            </w:pPr>
            <w:r>
              <w:rPr>
                <w:sz w:val="13"/>
              </w:rPr>
              <w:t>18</w:t>
            </w:r>
          </w:p>
        </w:tc>
        <w:tc>
          <w:tcPr>
            <w:tcW w:w="382" w:type="pct"/>
            <w:vAlign w:val="bottom"/>
          </w:tcPr>
          <w:p w:rsidR="00000000" w:rsidRDefault="00000000">
            <w:pPr>
              <w:tabs>
                <w:tab w:val="decimal" w:pos="453"/>
              </w:tabs>
              <w:rPr>
                <w:sz w:val="13"/>
              </w:rPr>
            </w:pPr>
            <w:r>
              <w:rPr>
                <w:sz w:val="13"/>
              </w:rPr>
              <w:t>90</w:t>
            </w:r>
          </w:p>
        </w:tc>
        <w:tc>
          <w:tcPr>
            <w:tcW w:w="381" w:type="pct"/>
            <w:vAlign w:val="bottom"/>
          </w:tcPr>
          <w:p w:rsidR="00000000" w:rsidRDefault="00000000">
            <w:pPr>
              <w:tabs>
                <w:tab w:val="decimal" w:pos="452"/>
              </w:tabs>
              <w:rPr>
                <w:sz w:val="13"/>
              </w:rPr>
            </w:pPr>
            <w:r>
              <w:rPr>
                <w:sz w:val="13"/>
              </w:rPr>
              <w:t>22</w:t>
            </w:r>
          </w:p>
        </w:tc>
        <w:tc>
          <w:tcPr>
            <w:tcW w:w="382" w:type="pct"/>
            <w:vAlign w:val="bottom"/>
          </w:tcPr>
          <w:p w:rsidR="00000000" w:rsidRDefault="00000000">
            <w:pPr>
              <w:tabs>
                <w:tab w:val="decimal" w:pos="510"/>
              </w:tabs>
              <w:rPr>
                <w:sz w:val="13"/>
              </w:rPr>
            </w:pPr>
            <w:r>
              <w:rPr>
                <w:sz w:val="13"/>
              </w:rPr>
              <w:t>112</w:t>
            </w:r>
          </w:p>
        </w:tc>
        <w:tc>
          <w:tcPr>
            <w:tcW w:w="445" w:type="pct"/>
            <w:vAlign w:val="bottom"/>
          </w:tcPr>
          <w:p w:rsidR="00000000" w:rsidRDefault="00000000">
            <w:pPr>
              <w:tabs>
                <w:tab w:val="decimal" w:pos="572"/>
              </w:tabs>
              <w:rPr>
                <w:sz w:val="13"/>
              </w:rPr>
            </w:pPr>
            <w:r>
              <w:rPr>
                <w:sz w:val="13"/>
              </w:rPr>
              <w:t>100</w:t>
            </w:r>
          </w:p>
        </w:tc>
        <w:tc>
          <w:tcPr>
            <w:tcW w:w="406" w:type="pct"/>
            <w:vAlign w:val="bottom"/>
          </w:tcPr>
          <w:p w:rsidR="00000000" w:rsidRDefault="00000000">
            <w:pPr>
              <w:tabs>
                <w:tab w:val="decimal" w:pos="572"/>
              </w:tabs>
              <w:rPr>
                <w:sz w:val="13"/>
              </w:rPr>
            </w:pPr>
            <w:r>
              <w:rPr>
                <w:sz w:val="13"/>
              </w:rPr>
              <w:t>212</w:t>
            </w:r>
          </w:p>
        </w:tc>
      </w:tr>
      <w:tr w:rsidR="00000000">
        <w:tblPrEx>
          <w:tblCellMar>
            <w:top w:w="0" w:type="dxa"/>
            <w:bottom w:w="0" w:type="dxa"/>
          </w:tblCellMar>
        </w:tblPrEx>
        <w:tc>
          <w:tcPr>
            <w:tcW w:w="450" w:type="pct"/>
          </w:tcPr>
          <w:p w:rsidR="00000000" w:rsidRDefault="00000000">
            <w:pPr>
              <w:tabs>
                <w:tab w:val="left" w:pos="240"/>
              </w:tabs>
              <w:rPr>
                <w:b/>
                <w:bCs/>
                <w:spacing w:val="-4"/>
                <w:sz w:val="13"/>
              </w:rPr>
            </w:pPr>
            <w:r>
              <w:rPr>
                <w:spacing w:val="-4"/>
                <w:sz w:val="13"/>
              </w:rPr>
              <w:tab/>
            </w:r>
            <w:r>
              <w:rPr>
                <w:b/>
                <w:bCs/>
                <w:spacing w:val="-4"/>
                <w:sz w:val="13"/>
              </w:rPr>
              <w:t>Total</w:t>
            </w:r>
          </w:p>
        </w:tc>
        <w:tc>
          <w:tcPr>
            <w:tcW w:w="426" w:type="pct"/>
          </w:tcPr>
          <w:p w:rsidR="00000000" w:rsidRDefault="00000000">
            <w:pPr>
              <w:tabs>
                <w:tab w:val="decimal" w:pos="471"/>
              </w:tabs>
              <w:rPr>
                <w:b/>
                <w:bCs/>
                <w:sz w:val="13"/>
              </w:rPr>
            </w:pPr>
            <w:r>
              <w:rPr>
                <w:b/>
                <w:bCs/>
                <w:sz w:val="13"/>
              </w:rPr>
              <w:t>84</w:t>
            </w:r>
          </w:p>
        </w:tc>
        <w:tc>
          <w:tcPr>
            <w:tcW w:w="418" w:type="pct"/>
          </w:tcPr>
          <w:p w:rsidR="00000000" w:rsidRDefault="00000000">
            <w:pPr>
              <w:tabs>
                <w:tab w:val="decimal" w:pos="507"/>
              </w:tabs>
              <w:rPr>
                <w:b/>
                <w:bCs/>
                <w:sz w:val="13"/>
              </w:rPr>
            </w:pPr>
            <w:r>
              <w:rPr>
                <w:b/>
                <w:bCs/>
                <w:sz w:val="13"/>
              </w:rPr>
              <w:t>84</w:t>
            </w:r>
          </w:p>
        </w:tc>
        <w:tc>
          <w:tcPr>
            <w:tcW w:w="426" w:type="pct"/>
          </w:tcPr>
          <w:p w:rsidR="00000000" w:rsidRDefault="00000000">
            <w:pPr>
              <w:tabs>
                <w:tab w:val="decimal" w:pos="471"/>
              </w:tabs>
              <w:rPr>
                <w:b/>
                <w:bCs/>
                <w:sz w:val="13"/>
              </w:rPr>
            </w:pPr>
            <w:r>
              <w:rPr>
                <w:b/>
                <w:bCs/>
                <w:sz w:val="13"/>
              </w:rPr>
              <w:t>658</w:t>
            </w:r>
          </w:p>
        </w:tc>
        <w:tc>
          <w:tcPr>
            <w:tcW w:w="404" w:type="pct"/>
          </w:tcPr>
          <w:p w:rsidR="00000000" w:rsidRDefault="00000000">
            <w:pPr>
              <w:tabs>
                <w:tab w:val="decimal" w:pos="471"/>
              </w:tabs>
              <w:rPr>
                <w:b/>
                <w:bCs/>
                <w:sz w:val="13"/>
              </w:rPr>
            </w:pPr>
            <w:r>
              <w:rPr>
                <w:b/>
                <w:bCs/>
                <w:sz w:val="13"/>
              </w:rPr>
              <w:t>20</w:t>
            </w:r>
          </w:p>
        </w:tc>
        <w:tc>
          <w:tcPr>
            <w:tcW w:w="434" w:type="pct"/>
          </w:tcPr>
          <w:p w:rsidR="00000000" w:rsidRDefault="00000000">
            <w:pPr>
              <w:tabs>
                <w:tab w:val="decimal" w:pos="471"/>
              </w:tabs>
              <w:rPr>
                <w:b/>
                <w:bCs/>
                <w:sz w:val="13"/>
              </w:rPr>
            </w:pPr>
            <w:r>
              <w:rPr>
                <w:b/>
                <w:bCs/>
                <w:sz w:val="13"/>
              </w:rPr>
              <w:t>20</w:t>
            </w:r>
          </w:p>
        </w:tc>
        <w:tc>
          <w:tcPr>
            <w:tcW w:w="445" w:type="pct"/>
          </w:tcPr>
          <w:p w:rsidR="00000000" w:rsidRDefault="00000000">
            <w:pPr>
              <w:tabs>
                <w:tab w:val="decimal" w:pos="471"/>
              </w:tabs>
              <w:rPr>
                <w:b/>
                <w:bCs/>
                <w:sz w:val="13"/>
              </w:rPr>
            </w:pPr>
            <w:r>
              <w:rPr>
                <w:b/>
                <w:bCs/>
                <w:sz w:val="13"/>
              </w:rPr>
              <w:t>164</w:t>
            </w:r>
          </w:p>
        </w:tc>
        <w:tc>
          <w:tcPr>
            <w:tcW w:w="382" w:type="pct"/>
          </w:tcPr>
          <w:p w:rsidR="00000000" w:rsidRDefault="00000000">
            <w:pPr>
              <w:tabs>
                <w:tab w:val="decimal" w:pos="453"/>
              </w:tabs>
              <w:rPr>
                <w:b/>
                <w:bCs/>
                <w:sz w:val="13"/>
              </w:rPr>
            </w:pPr>
            <w:r>
              <w:rPr>
                <w:b/>
                <w:bCs/>
                <w:sz w:val="13"/>
              </w:rPr>
              <w:t>826</w:t>
            </w:r>
          </w:p>
        </w:tc>
        <w:tc>
          <w:tcPr>
            <w:tcW w:w="381" w:type="pct"/>
          </w:tcPr>
          <w:p w:rsidR="00000000" w:rsidRDefault="00000000">
            <w:pPr>
              <w:tabs>
                <w:tab w:val="decimal" w:pos="452"/>
              </w:tabs>
              <w:rPr>
                <w:b/>
                <w:bCs/>
                <w:sz w:val="13"/>
              </w:rPr>
            </w:pPr>
            <w:r>
              <w:rPr>
                <w:b/>
                <w:bCs/>
                <w:sz w:val="13"/>
              </w:rPr>
              <w:t>204</w:t>
            </w:r>
          </w:p>
        </w:tc>
        <w:tc>
          <w:tcPr>
            <w:tcW w:w="382" w:type="pct"/>
          </w:tcPr>
          <w:p w:rsidR="00000000" w:rsidRDefault="00000000">
            <w:pPr>
              <w:tabs>
                <w:tab w:val="decimal" w:pos="510"/>
              </w:tabs>
              <w:rPr>
                <w:b/>
                <w:bCs/>
                <w:sz w:val="13"/>
              </w:rPr>
            </w:pPr>
            <w:r>
              <w:rPr>
                <w:b/>
                <w:bCs/>
                <w:sz w:val="13"/>
              </w:rPr>
              <w:t>1.030</w:t>
            </w:r>
          </w:p>
        </w:tc>
        <w:tc>
          <w:tcPr>
            <w:tcW w:w="445" w:type="pct"/>
          </w:tcPr>
          <w:p w:rsidR="00000000" w:rsidRDefault="00000000">
            <w:pPr>
              <w:tabs>
                <w:tab w:val="decimal" w:pos="572"/>
              </w:tabs>
              <w:rPr>
                <w:b/>
                <w:bCs/>
                <w:sz w:val="13"/>
              </w:rPr>
            </w:pPr>
            <w:r>
              <w:rPr>
                <w:b/>
                <w:bCs/>
                <w:sz w:val="13"/>
              </w:rPr>
              <w:t>376</w:t>
            </w:r>
          </w:p>
        </w:tc>
        <w:tc>
          <w:tcPr>
            <w:tcW w:w="406" w:type="pct"/>
          </w:tcPr>
          <w:p w:rsidR="00000000" w:rsidRDefault="00000000">
            <w:pPr>
              <w:tabs>
                <w:tab w:val="decimal" w:pos="572"/>
              </w:tabs>
              <w:rPr>
                <w:b/>
                <w:bCs/>
                <w:sz w:val="13"/>
              </w:rPr>
            </w:pPr>
            <w:r>
              <w:rPr>
                <w:b/>
                <w:bCs/>
                <w:sz w:val="13"/>
              </w:rPr>
              <w:t>1.406</w:t>
            </w:r>
          </w:p>
        </w:tc>
      </w:tr>
    </w:tbl>
    <w:p w:rsidR="00000000" w:rsidRDefault="00000000">
      <w:pPr>
        <w:spacing w:after="240"/>
      </w:pPr>
    </w:p>
    <w:p w:rsidR="00000000" w:rsidRDefault="00000000">
      <w:r>
        <w:rPr>
          <w:noProof/>
          <w:sz w:val="20"/>
          <w:lang w:eastAsia="es-ES"/>
        </w:rPr>
        <w:pict>
          <v:shape id="_x0000_s1093" type="#_x0000_t75" style="position:absolute;margin-left:42pt;margin-top:1.7pt;width:426.25pt;height:256.3pt;z-index:15;visibility:visible;mso-wrap-edited:f" wrapcoords="6503 63 2738 189 2776 884 10800 1074 2586 1453 2586 2021 10800 2084 4297 2526 4297 3095 7758 3221 10496 4105 532 4611 418 4863 951 5116 456 5811 456 6063 951 6126 418 7074 456 7200 951 8147 456 8147 456 8400 951 9158 456 9411 456 9663 951 10168 456 10611 456 10737 951 11179 456 11874 456 11937 951 12189 608 13011 608 13200 951 13200 570 14211 570 14653 6617 15221 10800 15221 10800 16232 1407 16926 1369 17432 16885 17432 16999 17053 15972 16863 10800 16232 10800 15221 17037 14779 17417 14211 16885 14211 16846 8526 13842 8147 8746 8147 17075 7705 17151 5305 16542 5305 16999 5053 17075 4611 10800 4105 11180 4105 14717 3221 16238 3095 16124 2526 10800 2084 18596 2021 18596 1453 10800 1074 18444 884 18368 189 6731 63 6503 63">
            <v:imagedata r:id="rId45" o:title=""/>
            <w10:anchorlock/>
          </v:shape>
          <o:OLEObject Type="Embed" ProgID="Word.Picture.8" ShapeID="_x0000_s1093" DrawAspect="Content" ObjectID="_1394904873" r:id="rId46"/>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noProof/>
          <w:sz w:val="20"/>
          <w:lang w:eastAsia="es-ES"/>
        </w:rPr>
        <w:pict>
          <v:shape id="_x0000_s1095" type="#_x0000_t75" style="position:absolute;margin-left:0;margin-top:5.95pt;width:427.55pt;height:433.2pt;z-index:16;visibility:visible;mso-wrap-edited:f" wrapcoords="6745 0 2387 37 2236 75 2236 598 834 1196 834 1644 3600 1794 10800 1794 9512 2317 -38 2541 -38 2990 606 2990 606 4783 -38 4970 -38 5381 606 5381 606 7175 0 7437 -38 7698 568 8371 606 9567 38 9791 -38 9866 -38 10165 568 10763 606 11958 76 12220 -38 12332 -38 12631 531 13154 606 14350 -38 14799 76 15023 531 15546 606 16742 227 17116 152 17228 152 17415 1137 17938 1251 18087 8678 18536 10800 18536 10800 19134 720 19358 720 19806 14552 19806 20918 19806 21069 19395 20501 19395 10800 19134 10800 18536 13074 18536 21107 18087 21107 17938 21411 17340 20728 16742 20728 16144 20918 15247 20236 15172 16598 14948 16598 14350 17091 14126 16977 13752 15575 13752 16181 13341 16181 13005 15272 12855 12505 12556 12505 8371 21411 8296 21600 8184 21524 7736 12505 7175 21486 7100 21600 6988 21524 6540 12505 5979 21448 5942 21448 5381 12505 5381 12505 4783 21600 4746 21600 4185 12505 4185 12581 2915 10648 2392 10800 1794 20463 1644 20349 1196 18758 598 18834 112 18682 37 17811 0 6745 0">
            <v:imagedata r:id="rId47" o:title=""/>
            <w10:anchorlock/>
          </v:shape>
          <o:OLEObject Type="Embed" ProgID="Word.Picture.8" ShapeID="_x0000_s1095" DrawAspect="Content" ObjectID="_1394904874" r:id="rId48"/>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pPr>
      <w:r>
        <w:br w:type="page"/>
      </w:r>
    </w:p>
    <w:p w:rsidR="00000000" w:rsidRDefault="00000000">
      <w:pPr>
        <w:spacing w:after="240"/>
      </w:pPr>
      <w:r>
        <w:rPr>
          <w:noProof/>
          <w:sz w:val="20"/>
          <w:lang w:eastAsia="es-ES"/>
        </w:rPr>
        <w:pict>
          <v:shape id="_x0000_s1056" type="#_x0000_t75" style="position:absolute;margin-left:16.25pt;margin-top:98.65pt;width:424.5pt;height:294.4pt;z-index:8;visibility:visible;mso-wrap-edited:f;mso-position-vertical-relative:page" wrapcoords="4198 385 3015 385 3015 769 878 2034 878 2253 1450 3023 1527 3902 916 3957 916 4342 1527 4782 1527 5661 916 5936 916 6266 1527 6540 1527 7420 916 7860 916 8244 1527 8299 1527 9179 878 10058 1488 10937 878 11817 878 11982 1412 12696 1527 13576 916 13740 916 14070 1527 14455 1527 15334 916 15774 916 16049 1527 16214 1527 17093 1107 17643 1030 17808 1069 18577 3091 18852 7175 18852 6411 19072 6220 19182 6220 19511 8434 19511 9312 19511 15151 18962 19387 18852 20799 18632 20837 17973 19616 17093 19616 15939 18700 15774 14464 15334 15914 15334 15799 14950 4351 14455 4427 4067 4160 4012 4351 3737 4351 3353 1679 3023 11601 2198 14120 2144 17707 1649 17669 1264 18623 824 18318 385 7671 385 4198 385" o:allowoverlap="f">
            <v:imagedata r:id="rId49" o:title=""/>
            <w10:wrap anchory="page"/>
          </v:shape>
          <o:OLEObject Type="Embed" ProgID="Word.Picture.8" ShapeID="_x0000_s1056" DrawAspect="Content" ObjectID="_1394904875" r:id="rId50"/>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 w:rsidR="00000000" w:rsidRDefault="00000000">
      <w:pPr>
        <w:spacing w:after="240"/>
      </w:pPr>
    </w:p>
    <w:p w:rsidR="00000000" w:rsidRDefault="00000000">
      <w:r>
        <w:rPr>
          <w:noProof/>
          <w:sz w:val="20"/>
          <w:lang w:eastAsia="es-ES"/>
        </w:rPr>
        <w:pict>
          <v:shape id="_x0000_s1057" type="#_x0000_t75" style="position:absolute;margin-left:13pt;margin-top:422.05pt;width:436.5pt;height:295.5pt;z-index:9;visibility:visible;mso-wrap-edited:f;mso-position-vertical-relative:page" wrapcoords="3938 824 2714 824 2561 934 2561 2034 6958 2583 153 2693 115 3133 879 3463 879 4342 153 4672 153 5111 879 5221 879 6101 153 6540 153 6980 879 6980 879 7860 268 8409 115 8629 115 8849 803 9618 191 10498 153 10718 612 11267 879 11377 879 12256 153 12311 153 12751 879 13136 879 14015 153 14290 153 14730 879 14895 879 15774 153 16269 153 16653 879 16653 879 17533 344 18247 344 18522 2905 19292 3211 19456 10131 19511 18656 19511 18771 19511 18886 19292 19153 19292 21485 18522 21524 18357 21027 18082 19421 17533 19497 16818 18656 16708 12616 16653 12654 13905 12539 13631 12234 12971 5811 12256 5887 4507 5582 4452 1032 4342 8716 4012 11201 3573 11240 2693 14451 2583 18045 2144 18083 934 16783 824 7646 824 3938 824" o:allowoverlap="f">
            <v:imagedata r:id="rId51" o:title=""/>
            <w10:wrap anchory="page"/>
          </v:shape>
          <o:OLEObject Type="Embed" ProgID="Word.Picture.8" ShapeID="_x0000_s1057" DrawAspect="Content" ObjectID="_1394904876" r:id="rId52"/>
        </w:pict>
      </w:r>
    </w:p>
    <w:p w:rsidR="00000000" w:rsidRDefault="00000000"/>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rPr>
          <w:noProof/>
          <w:sz w:val="20"/>
          <w:lang w:eastAsia="es-ES"/>
        </w:rPr>
        <w:pict>
          <v:group id="_x0000_s1058" style="position:absolute;margin-left:36.65pt;margin-top:-22.75pt;width:368.35pt;height:256.9pt;z-index:10" coordorigin="1701,2217" coordsize="7367,5138">
            <v:shape id="_x0000_s1059" type="#_x0000_t75" style="position:absolute;left:1701;top:2217;width:7211;height:5023">
              <v:imagedata r:id="rId53" o:title=""/>
            </v:shape>
            <v:rect id="_x0000_s1060" style="position:absolute;left:8912;top:7024;width:156;height:331" filled="f" stroked="f">
              <v:textbox style="mso-next-textbox:#_x0000_s1060" inset="0,0,0,0">
                <w:txbxContent>
                  <w:p w:rsidR="00000000" w:rsidRDefault="00000000">
                    <w:r>
                      <w:rPr>
                        <w:color w:val="000000"/>
                        <w:lang w:val="en-US"/>
                      </w:rPr>
                      <w:t xml:space="preserve"> </w:t>
                    </w:r>
                  </w:p>
                </w:txbxContent>
              </v:textbox>
            </v:rect>
            <w10:anchorlock/>
          </v:group>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rPr>
          <w:noProof/>
          <w:sz w:val="20"/>
          <w:lang w:eastAsia="es-ES"/>
        </w:rPr>
        <w:pict>
          <v:shape id="_x0000_s1061" type="#_x0000_t75" style="position:absolute;margin-left:0;margin-top:0;width:397.35pt;height:288.95pt;z-index:11;visibility:visible;mso-wrap-edited:f">
            <v:imagedata r:id="rId54" o:title=""/>
            <w10:wrap type="topAndBottom"/>
            <w10:anchorlock/>
          </v:shape>
          <o:OLEObject Type="Embed" ProgID="Word.Picture.8" ShapeID="_x0000_s1061" DrawAspect="Content" ObjectID="_1394904877" r:id="rId55"/>
        </w:pict>
      </w:r>
    </w:p>
    <w:p w:rsidR="00000000" w:rsidRDefault="00000000">
      <w:pPr>
        <w:spacing w:after="240"/>
      </w:pPr>
    </w:p>
    <w:p w:rsidR="00000000" w:rsidRDefault="00000000">
      <w:pPr>
        <w:spacing w:after="240"/>
      </w:pPr>
      <w:r>
        <w:rPr>
          <w:noProof/>
          <w:sz w:val="20"/>
          <w:lang w:eastAsia="es-ES"/>
        </w:rPr>
        <w:pict>
          <v:shape id="_x0000_s1097" type="#_x0000_t75" style="position:absolute;margin-left:0;margin-top:0;width:424.35pt;height:309.05pt;z-index:17;visibility:visible;mso-wrap-edited:f" wrapcoords="-38 0 -38 21548 21600 21548 21600 0 -38 0">
            <v:imagedata r:id="rId56" o:title=""/>
            <w10:anchorlock/>
          </v:shape>
          <o:OLEObject Type="Embed" ProgID="Word.Picture.8" ShapeID="_x0000_s1097" DrawAspect="Content" ObjectID="_1394904872" r:id="rId57"/>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rPr>
          <w:noProof/>
          <w:sz w:val="20"/>
          <w:lang w:eastAsia="es-ES"/>
        </w:rPr>
        <w:pict>
          <v:shape id="_x0000_s1098" type="#_x0000_t75" style="position:absolute;margin-left:1.7pt;margin-top:29.35pt;width:424.35pt;height:309.05pt;z-index:18;visibility:visible;mso-wrap-edited:f" wrapcoords="-38 0 -38 21548 21600 21548 21600 0 -38 0">
            <v:imagedata r:id="rId58" o:title=""/>
            <w10:anchorlock/>
          </v:shape>
          <o:OLEObject Type="Embed" ProgID="Word.Picture.8" ShapeID="_x0000_s1098" DrawAspect="Content" ObjectID="_1394904871" r:id="rId59"/>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autoSpaceDE w:val="0"/>
        <w:autoSpaceDN w:val="0"/>
        <w:adjustRightInd w:val="0"/>
        <w:spacing w:after="240"/>
      </w:pPr>
      <w:r>
        <w:t>382.</w:t>
      </w:r>
      <w:r>
        <w:tab/>
        <w:t>No se han visto cambios en las políticas y leyes que afecten negativamente el acceso a la alimentación adecuada para los grupos vulnerables o las regiones más desprotegidas, al contrario existen iniciativas gubernamentales en distintos ámbitos de intervenciones alimentarias y de producción de alimentos.</w:t>
      </w:r>
    </w:p>
    <w:p w:rsidR="00000000" w:rsidRDefault="00000000">
      <w:pPr>
        <w:autoSpaceDE w:val="0"/>
        <w:autoSpaceDN w:val="0"/>
        <w:adjustRightInd w:val="0"/>
        <w:spacing w:after="240"/>
        <w:rPr>
          <w:b/>
        </w:rPr>
      </w:pPr>
      <w:r>
        <w:rPr>
          <w:b/>
        </w:rPr>
        <w:t>1.</w:t>
      </w:r>
      <w:r>
        <w:rPr>
          <w:b/>
        </w:rPr>
        <w:tab/>
        <w:t>Acceso a la alimentación adecuada</w:t>
      </w:r>
    </w:p>
    <w:p w:rsidR="00000000" w:rsidRDefault="00000000">
      <w:pPr>
        <w:autoSpaceDE w:val="0"/>
        <w:autoSpaceDN w:val="0"/>
        <w:adjustRightInd w:val="0"/>
        <w:spacing w:after="240"/>
      </w:pPr>
      <w:r>
        <w:t>383.</w:t>
      </w:r>
      <w:r>
        <w:tab/>
        <w:t xml:space="preserve">El Gobierno asignó desde el año 2005 un presupuesto para la Asistencia Alimentaria Nutricional (PROAN) que provee alimentos para niño(as) menores de 5 años y mujeres embarazadas desnutridas, hasta su recuperación nutricional.  Es un programa inédito en el país, y el mismo está dirigido a 35.000 beneficiarios, distribuidos en niños(as) menores de 5 años y mujeres embarazadas, con déficit nutricional, las cuales fueron identificadas como poblaciones vulnerables, y con mayor énfasis en aquellas en extrema pobreza.  Actualmente se encuentra implementado en el departamento de Caazapá, dos distritos, departamento de San Pedro, tres distritos, departamento de Caaguazú un distrito.  En las localidades donde se implementa el programa se provee de leche en polvo, suplementos vitamínicos y cereales. </w:t>
      </w:r>
    </w:p>
    <w:p w:rsidR="00000000" w:rsidRDefault="00000000">
      <w:pPr>
        <w:autoSpaceDE w:val="0"/>
        <w:autoSpaceDN w:val="0"/>
        <w:adjustRightInd w:val="0"/>
        <w:spacing w:after="240"/>
      </w:pPr>
      <w:r>
        <w:t>384.</w:t>
      </w:r>
      <w:r>
        <w:tab/>
        <w:t xml:space="preserve">Asimismo, dicho Programa Nacional (normativo y operativo), que brinda la asistencia alimentaria y nutricional a menores de 5 años de edad con desnutrición global y en riesgo y a mujeres embarazadas con bajo peso, es uno de los componentes fundamentales de la estrategia de lucha contra la pobreza y la desigualdad orientada a la recuperación del capital humano y unas de las acciones del gobierno en el cumplimiento de los objetivos de desarrollo del Milenio.  Su objetivo es contribuir a mejorar la calidad de vida de la mujer y de la niñez paraguaya, favoreciendo la recuperación nutricional de los menores de 5 años y de las embarazadas.  Para ello se propone reducir la desnutrición en niños y niñas menores de 5 años de edad y embarazadas en bajo peso. </w:t>
      </w:r>
    </w:p>
    <w:p w:rsidR="00000000" w:rsidRDefault="00000000">
      <w:pPr>
        <w:autoSpaceDE w:val="0"/>
        <w:autoSpaceDN w:val="0"/>
        <w:adjustRightInd w:val="0"/>
        <w:spacing w:after="240"/>
      </w:pPr>
      <w:r>
        <w:t>385.</w:t>
      </w:r>
      <w:r>
        <w:tab/>
        <w:t>Tiene como objetivo específico:  1) disminuir el número de niños y niñas desnutridos menores de 5 años en los distritos seleccionados;  2) disminuir el número de mujeres embarazadas de bajo peso en distritos seleccionados;  3) contribuir al fomento de la lactancia materna;  4) contribuir a la atención integral de la niñez y de la mujer, a través de los servicios de salud;  5) fortalecer la vigilancia del Sistema de Vigilancia Alimentaria Nutricional (SISVAN);  6) promover la movilización de la comunidad hacia la recuperación, prevención y promoción nutricional de  menores de 5 años y de las embarazadas;  7) fortalecer el programa regular en todos sus componentes; y  8) la evaluación continua y permanente del programa.</w:t>
      </w:r>
    </w:p>
    <w:p w:rsidR="00000000" w:rsidRDefault="00000000">
      <w:pPr>
        <w:autoSpaceDE w:val="0"/>
        <w:autoSpaceDN w:val="0"/>
        <w:adjustRightInd w:val="0"/>
        <w:spacing w:after="240"/>
        <w:rPr>
          <w:b/>
        </w:rPr>
      </w:pPr>
      <w:r>
        <w:rPr>
          <w:b/>
        </w:rPr>
        <w:t>2.</w:t>
      </w:r>
      <w:r>
        <w:rPr>
          <w:b/>
        </w:rPr>
        <w:tab/>
        <w:t>Programa de Complemento Nutricional Escolar</w:t>
      </w:r>
    </w:p>
    <w:p w:rsidR="00000000" w:rsidRDefault="00000000">
      <w:pPr>
        <w:autoSpaceDE w:val="0"/>
        <w:autoSpaceDN w:val="0"/>
        <w:adjustRightInd w:val="0"/>
        <w:spacing w:after="240"/>
        <w:rPr>
          <w:szCs w:val="22"/>
        </w:rPr>
      </w:pPr>
      <w:r>
        <w:rPr>
          <w:szCs w:val="22"/>
        </w:rPr>
        <w:t>386.</w:t>
      </w:r>
      <w:r>
        <w:rPr>
          <w:szCs w:val="22"/>
        </w:rPr>
        <w:tab/>
        <w:t>Por su parte, el Ministerio de Educación y Cultura implementa el Programa de Complemento Nutricional Escolar que tiene como objetivo contribuir al mejoramiento de las condiciones de educabilidad de los niños de los sectores más carenciados y consecuentemente de mejorar la equidad educativa, suministrando diariamente y en forma gratuita a cada niño(a) un complemento nutricional consistente en leche enriquecida y alimento sólido.  Se implementa desde 1997, con proyección permanente y de crecimiento, según disponibilidad de recursos presupuestarios</w:t>
      </w:r>
    </w:p>
    <w:p w:rsidR="00000000" w:rsidRDefault="00000000">
      <w:pPr>
        <w:autoSpaceDE w:val="0"/>
        <w:autoSpaceDN w:val="0"/>
        <w:adjustRightInd w:val="0"/>
        <w:spacing w:after="240"/>
        <w:rPr>
          <w:szCs w:val="22"/>
        </w:rPr>
      </w:pPr>
      <w:r>
        <w:rPr>
          <w:szCs w:val="22"/>
        </w:rPr>
        <w:t>387.</w:t>
      </w:r>
      <w:r>
        <w:rPr>
          <w:szCs w:val="22"/>
        </w:rPr>
        <w:tab/>
        <w:t xml:space="preserve">Desde su implementación se pueden contar 86.329 alumnos(as) beneficiados de 454 escuelas.  La </w:t>
      </w:r>
      <w:r>
        <w:t>cobertura</w:t>
      </w:r>
      <w:r>
        <w:rPr>
          <w:szCs w:val="22"/>
        </w:rPr>
        <w:t xml:space="preserve"> se extendió a Asunción y los departamentos de Concepción, San Pedro, Cordillera, Guairá, Caaguazú, Misiones, Paraguari, Central, Ñeembucú, Presidente Hayes y Canindeyú.</w:t>
      </w:r>
    </w:p>
    <w:p w:rsidR="00000000" w:rsidRDefault="00000000">
      <w:pPr>
        <w:autoSpaceDE w:val="0"/>
        <w:autoSpaceDN w:val="0"/>
        <w:adjustRightInd w:val="0"/>
        <w:spacing w:after="240"/>
        <w:rPr>
          <w:b/>
        </w:rPr>
      </w:pPr>
      <w:r>
        <w:rPr>
          <w:b/>
        </w:rPr>
        <w:t>3.</w:t>
      </w:r>
      <w:r>
        <w:rPr>
          <w:b/>
        </w:rPr>
        <w:tab/>
        <w:t>Situación en zonas rurales</w:t>
      </w:r>
    </w:p>
    <w:p w:rsidR="00000000" w:rsidRDefault="00000000">
      <w:pPr>
        <w:autoSpaceDE w:val="0"/>
        <w:autoSpaceDN w:val="0"/>
        <w:adjustRightInd w:val="0"/>
        <w:spacing w:after="240"/>
        <w:rPr>
          <w:bCs/>
        </w:rPr>
      </w:pPr>
      <w:r>
        <w:rPr>
          <w:bCs/>
        </w:rPr>
        <w:t>388.</w:t>
      </w:r>
      <w:r>
        <w:rPr>
          <w:bCs/>
        </w:rPr>
        <w:tab/>
        <w:t xml:space="preserve">En primer término es importante hacer una síntesis sobre la situación general del sector rural en el Paraguay.  En ese sentido, en el campo vive todavía el 47% de la población total del </w:t>
      </w:r>
      <w:r>
        <w:t>país</w:t>
      </w:r>
      <w:r>
        <w:rPr>
          <w:bCs/>
        </w:rPr>
        <w:t>; las actividades agropecuarias y forestales brindan el 35% del empleo; el sector rural aporta el 25% del PIB y representa el 90% del valor de las exportaciones; el PIB agropecuario es de 2,45% anual, el que está por debajo de la tasa de crecimiento anual de la población 2,8%; el principal y más acuciante problema del país es la decadencia del 75% de las fincas campesinas, es decir, que esto afecta a unas 190.000 de las más de 280.000 explotaciones familiares que existen en el país.</w:t>
      </w:r>
    </w:p>
    <w:p w:rsidR="00000000" w:rsidRDefault="00000000">
      <w:pPr>
        <w:autoSpaceDE w:val="0"/>
        <w:autoSpaceDN w:val="0"/>
        <w:adjustRightInd w:val="0"/>
        <w:spacing w:after="240"/>
        <w:rPr>
          <w:bCs/>
        </w:rPr>
      </w:pPr>
      <w:r>
        <w:rPr>
          <w:bCs/>
        </w:rPr>
        <w:t>389.</w:t>
      </w:r>
      <w:r>
        <w:rPr>
          <w:bCs/>
        </w:rPr>
        <w:tab/>
        <w:t xml:space="preserve">Si bien no existen datos precisos sobre los campesinos sin tierras, los cálculos extraoficiales que se manejan, así como la cantidad de conflictos que ocurrieron en los últimos años, indican la gravedad del problema.  El censo agropecuario realizado en 1991, encontró </w:t>
      </w:r>
      <w:r>
        <w:t>cerca</w:t>
      </w:r>
      <w:r>
        <w:rPr>
          <w:bCs/>
        </w:rPr>
        <w:t xml:space="preserve"> de 115.000 explotaciones agrícolas menores a 5 ha y 66.000 entre 5 y 10 ha.  Las explotaciones con más de 1.000 ha son apenas el 1% y controlan 24.000.000 ha, el 77% de las tierras censadas.</w:t>
      </w:r>
    </w:p>
    <w:p w:rsidR="00000000" w:rsidRDefault="00000000">
      <w:pPr>
        <w:autoSpaceDE w:val="0"/>
        <w:autoSpaceDN w:val="0"/>
        <w:adjustRightInd w:val="0"/>
        <w:spacing w:after="240"/>
        <w:ind w:left="567"/>
        <w:rPr>
          <w:b/>
        </w:rPr>
      </w:pPr>
      <w:r>
        <w:rPr>
          <w:b/>
        </w:rPr>
        <w:t>3.1.</w:t>
      </w:r>
      <w:r>
        <w:rPr>
          <w:b/>
        </w:rPr>
        <w:tab/>
        <w:t>Marco legal de protección a la población rural</w:t>
      </w:r>
    </w:p>
    <w:p w:rsidR="00000000" w:rsidRDefault="00000000">
      <w:pPr>
        <w:autoSpaceDE w:val="0"/>
        <w:autoSpaceDN w:val="0"/>
        <w:adjustRightInd w:val="0"/>
        <w:spacing w:after="240"/>
        <w:rPr>
          <w:bCs/>
        </w:rPr>
      </w:pPr>
      <w:r>
        <w:rPr>
          <w:bCs/>
        </w:rPr>
        <w:t>390.</w:t>
      </w:r>
      <w:r>
        <w:rPr>
          <w:bCs/>
        </w:rPr>
        <w:tab/>
        <w:t xml:space="preserve">Para el Estado paraguayo la reforma agraria ha dejado de ser una simple repartición de tierra.  Con el nuevo Estatuto Agrario, el acceso a la tierra es sólo un componente aunque fundamental de la agricultura, integrando a la producción, el sistema productivo y la </w:t>
      </w:r>
      <w:r>
        <w:t>seguridad</w:t>
      </w:r>
      <w:r>
        <w:rPr>
          <w:bCs/>
        </w:rPr>
        <w:t xml:space="preserve"> alimentaria como la base de la reforma agraria.  El nuevo Estatuto Agrario declara que la reforma agraria y el desarrollo rural son partes indivisibles de un solo proceso.  La nueva Ley agraria, en sus artículos 2 y 25, supera las limitaciones de ambas posiciones, estableciendo que no será posible "el desarrollo rural como producto de la reforma agraria comporta" (…) "lograr una racional distribución de tierras agrícolas a los beneficiarios de esta ley", (…) "promoviendo la implantación de sistemas productivos sustentables" que "logren el arraigo de las familias campesinas."</w:t>
      </w:r>
    </w:p>
    <w:p w:rsidR="00000000" w:rsidRDefault="00000000">
      <w:pPr>
        <w:autoSpaceDE w:val="0"/>
        <w:autoSpaceDN w:val="0"/>
        <w:adjustRightInd w:val="0"/>
        <w:spacing w:after="240"/>
        <w:rPr>
          <w:bCs/>
        </w:rPr>
      </w:pPr>
      <w:r>
        <w:rPr>
          <w:bCs/>
        </w:rPr>
        <w:t>391.</w:t>
      </w:r>
      <w:r>
        <w:rPr>
          <w:bCs/>
        </w:rPr>
        <w:tab/>
        <w:t>Ley Nº 1863/02 "que establece el Estatuto Agrario" en sustitución de la Ley Nº 852/63, asimismo, la Ley Nº 1863/02, artículo 2 "De la Reforma Agraria y el Desarrollo Rural" establece promover la adecuación de la estructura agraria, conducente al arraigo, al fortalecimiento y a la incorporación armónica de la agricultura familiar campesina al desarrollo nacional, para contribuir a superar la pobreza rural y sus consecuencias, a través de una estrategia general que integre productividad, sostenibilidad ambiental, participación y equidad distributiva.</w:t>
      </w:r>
    </w:p>
    <w:p w:rsidR="00000000" w:rsidRDefault="00000000">
      <w:pPr>
        <w:autoSpaceDE w:val="0"/>
        <w:autoSpaceDN w:val="0"/>
        <w:adjustRightInd w:val="0"/>
        <w:spacing w:after="240"/>
        <w:rPr>
          <w:bCs/>
        </w:rPr>
      </w:pPr>
      <w:r>
        <w:rPr>
          <w:bCs/>
        </w:rPr>
        <w:t>392.</w:t>
      </w:r>
      <w:r>
        <w:rPr>
          <w:bCs/>
        </w:rPr>
        <w:tab/>
        <w:t>Así también, fue promulgada la Ley Nº 2419/04 que transforma el Instituto de Bienestar Rural (IBR), en el Instituto Nacional de Desarrollo Rural y de la Tierra (INDERT), que tiene por objetivo promover la integración armónica de la población campesina al desarrollo económico y social de la nación.  Asimismo el Instituto adecua la estructura agraria promoviendo el acceso a la tierra rural, saneando y regularizando su tenencia, coordinando y creando las condiciones propicias para el desarrollo que posibilite el arraigo conducente a la consolidación de los productores beneficiarios, configurando una estrategia que integra participación, productividad y sostenibilidad ambiental.</w:t>
      </w:r>
    </w:p>
    <w:p w:rsidR="00000000" w:rsidRDefault="00000000">
      <w:pPr>
        <w:autoSpaceDE w:val="0"/>
        <w:autoSpaceDN w:val="0"/>
        <w:adjustRightInd w:val="0"/>
        <w:spacing w:after="240"/>
        <w:jc w:val="center"/>
        <w:rPr>
          <w:b/>
        </w:rPr>
      </w:pPr>
      <w:r>
        <w:rPr>
          <w:b/>
        </w:rPr>
        <w:t>B.  Derecho a la vivienda</w:t>
      </w:r>
    </w:p>
    <w:p w:rsidR="00000000" w:rsidRDefault="00000000">
      <w:pPr>
        <w:autoSpaceDE w:val="0"/>
        <w:autoSpaceDN w:val="0"/>
        <w:adjustRightInd w:val="0"/>
        <w:spacing w:after="240"/>
        <w:rPr>
          <w:b/>
        </w:rPr>
      </w:pPr>
      <w:r>
        <w:rPr>
          <w:b/>
        </w:rPr>
        <w:t>1.</w:t>
      </w:r>
      <w:r>
        <w:rPr>
          <w:b/>
        </w:rPr>
        <w:tab/>
        <w:t>Situación de la vivienda en el Paraguay</w:t>
      </w:r>
    </w:p>
    <w:p w:rsidR="00000000" w:rsidRDefault="00000000">
      <w:pPr>
        <w:autoSpaceDE w:val="0"/>
        <w:autoSpaceDN w:val="0"/>
        <w:adjustRightInd w:val="0"/>
        <w:spacing w:after="240"/>
        <w:rPr>
          <w:bCs/>
        </w:rPr>
      </w:pPr>
      <w:r>
        <w:rPr>
          <w:bCs/>
        </w:rPr>
        <w:t>393.</w:t>
      </w:r>
      <w:r>
        <w:rPr>
          <w:bCs/>
        </w:rPr>
        <w:tab/>
        <w:t xml:space="preserve">El Paraguay se caracteriza por mantener una tasa importante de crecimiento demográfico, por un proceso sostenido de urbanización, y por una estructura de población mayoritariamente joven y una alta tasa de formación de nuevos hogares.  Estos elementos </w:t>
      </w:r>
      <w:r>
        <w:t>definen</w:t>
      </w:r>
      <w:r>
        <w:rPr>
          <w:bCs/>
        </w:rPr>
        <w:t xml:space="preserve"> una demanda importante de viviendas </w:t>
      </w:r>
      <w:r>
        <w:t>en</w:t>
      </w:r>
      <w:r>
        <w:rPr>
          <w:bCs/>
        </w:rPr>
        <w:t xml:space="preserve"> todos los estratos socioeconómicos, que se localiza principalmente en los centros urbanos, con una fuerte concentración en el área metropolitana de Asunción.  En la actualidad ya el 31% de la población total y el 55% de la población urbana, vive en el área metropolitana.</w:t>
      </w:r>
    </w:p>
    <w:p w:rsidR="00000000" w:rsidRDefault="00000000">
      <w:pPr>
        <w:autoSpaceDE w:val="0"/>
        <w:autoSpaceDN w:val="0"/>
        <w:adjustRightInd w:val="0"/>
        <w:spacing w:after="240"/>
        <w:rPr>
          <w:bCs/>
        </w:rPr>
      </w:pPr>
      <w:r>
        <w:rPr>
          <w:bCs/>
        </w:rPr>
        <w:t>394.</w:t>
      </w:r>
      <w:r>
        <w:rPr>
          <w:bCs/>
        </w:rPr>
        <w:tab/>
        <w:t>El Censo de Población y Vivienda del año 2002, demuestra que el país, con una población de 5,2 millones de habitantes, mantiene una alta tasa de crecimiento demográfico, a un promedio anual de 2,5% para el último período intercensal (1992-2002).  Esta tasa ubica al Paraguay entre los países de más alto índice de crecimiento poblacional de América Latina.  Por otra parte, el tamaño de los hogares está disminuyendo, tanto a nivel urbano como rural, para ubicarse en un promedio de 4,5 personas por hogar y vivienda ocupada.</w:t>
      </w:r>
    </w:p>
    <w:p w:rsidR="00000000" w:rsidRDefault="00000000">
      <w:pPr>
        <w:autoSpaceDE w:val="0"/>
        <w:autoSpaceDN w:val="0"/>
        <w:adjustRightInd w:val="0"/>
        <w:spacing w:after="240"/>
        <w:rPr>
          <w:bCs/>
        </w:rPr>
      </w:pPr>
      <w:r>
        <w:rPr>
          <w:bCs/>
        </w:rPr>
        <w:t>395.</w:t>
      </w:r>
      <w:r>
        <w:rPr>
          <w:bCs/>
        </w:rPr>
        <w:tab/>
        <w:t xml:space="preserve">Con una población urbana cercana a los 3 millones, Paraguay muestra un grado de urbanización </w:t>
      </w:r>
      <w:r>
        <w:t>medio</w:t>
      </w:r>
      <w:r>
        <w:rPr>
          <w:bCs/>
        </w:rPr>
        <w:t xml:space="preserve">, si consideramos que el 74% de la población de América Latina está ya viviendo en ciudades.  El país tiene una estructura demográfica donde los jóvenes gravitan fuertemente, esto sustenta la tendencia a que la formación de nuevos hogares sea alta, lo que configura la demanda bruta de viviendas nuevas.  El crecimiento del </w:t>
      </w:r>
      <w:r>
        <w:rPr>
          <w:bCs/>
          <w:i/>
          <w:iCs/>
        </w:rPr>
        <w:t>stock</w:t>
      </w:r>
      <w:r>
        <w:rPr>
          <w:bCs/>
        </w:rPr>
        <w:t xml:space="preserve"> de viviendas por otra parte, muestra que numéricamente está en línea con la formación de nuevos hogares, con un incremento promedio anual de 24.327 unidades para el último período intercensal 1992-2002.  Esa misma encuesta muestra, que de las viviendas ocupadas, el 58% están en las ciudades, ligeramente por encima del porcentaje de la población urbana (56,74%). </w:t>
      </w:r>
    </w:p>
    <w:p w:rsidR="00000000" w:rsidRDefault="00000000">
      <w:pPr>
        <w:autoSpaceDE w:val="0"/>
        <w:autoSpaceDN w:val="0"/>
        <w:adjustRightInd w:val="0"/>
        <w:spacing w:after="240"/>
        <w:ind w:left="567"/>
        <w:rPr>
          <w:b/>
        </w:rPr>
      </w:pPr>
      <w:r>
        <w:rPr>
          <w:b/>
        </w:rPr>
        <w:t>1.1.</w:t>
      </w:r>
      <w:r>
        <w:rPr>
          <w:b/>
        </w:rPr>
        <w:tab/>
        <w:t>Calidad de las viviendas</w:t>
      </w:r>
    </w:p>
    <w:p w:rsidR="00000000" w:rsidRDefault="00000000">
      <w:pPr>
        <w:autoSpaceDE w:val="0"/>
        <w:autoSpaceDN w:val="0"/>
        <w:adjustRightInd w:val="0"/>
        <w:spacing w:after="240"/>
        <w:rPr>
          <w:bCs/>
        </w:rPr>
      </w:pPr>
      <w:r>
        <w:rPr>
          <w:bCs/>
        </w:rPr>
        <w:t>396.</w:t>
      </w:r>
      <w:r>
        <w:rPr>
          <w:bCs/>
        </w:rPr>
        <w:tab/>
        <w:t xml:space="preserve">Así también, la Encuesta Permanente de Hogares 2003 muestra, que una cuarta parte del </w:t>
      </w:r>
      <w:r>
        <w:rPr>
          <w:bCs/>
          <w:i/>
          <w:iCs/>
        </w:rPr>
        <w:t>stock</w:t>
      </w:r>
      <w:r>
        <w:rPr>
          <w:bCs/>
        </w:rPr>
        <w:t xml:space="preserve"> de </w:t>
      </w:r>
      <w:r>
        <w:t>viviendas</w:t>
      </w:r>
      <w:r>
        <w:rPr>
          <w:bCs/>
        </w:rPr>
        <w:t xml:space="preserve"> en el Paraguay está afectado por problemas de calidad; que el 22% de hogares tienen problemas de hacinamiento y un porcentaje similar carecen de acceso a alguna forma de solución sanitaria.  Los problemas de calidad de la vivienda se agudizan en las áreas rurales donde más del 40% de los hogares tienen viviendas precarias y hacinadas.  En las áreas urbanas la mala calidad de la vivienda y el hacinamiento afecta al 15% de los hogares, mientras que la falta de acceso al saneamiento, al 23%.  La cobertura de servicios sanitarios por red pública es baja, con apenas el 44% de los hogares conectados a la red de agua potable, el 10% a la red de alcantarillado y el 31% cuenta con el servicio de recolección de basura.  Si se toma en cuenta que en la actualidad, el 41,4% de la población está por debajo de la línea de pobreza, definida por la metodología de la canasta básica y se comparan con los índices de calidad antes señalados, es posible dimensionar el importante esfuerzo que están haciendo las familias de menores ingresos para proveerse de vivienda, especialmente en las áreas urbanas.</w:t>
      </w:r>
    </w:p>
    <w:p w:rsidR="00000000" w:rsidRDefault="00000000">
      <w:pPr>
        <w:autoSpaceDE w:val="0"/>
        <w:autoSpaceDN w:val="0"/>
        <w:adjustRightInd w:val="0"/>
        <w:spacing w:after="220"/>
        <w:ind w:left="567"/>
        <w:jc w:val="center"/>
        <w:rPr>
          <w:b/>
          <w:sz w:val="22"/>
        </w:rPr>
      </w:pPr>
      <w:r>
        <w:rPr>
          <w:b/>
          <w:sz w:val="22"/>
        </w:rPr>
        <w:t>Cuadro 1</w:t>
      </w:r>
    </w:p>
    <w:p w:rsidR="00000000" w:rsidRDefault="00000000">
      <w:pPr>
        <w:autoSpaceDE w:val="0"/>
        <w:autoSpaceDN w:val="0"/>
        <w:adjustRightInd w:val="0"/>
        <w:spacing w:after="220"/>
        <w:ind w:left="567"/>
        <w:jc w:val="center"/>
        <w:rPr>
          <w:b/>
          <w:bCs/>
          <w:iCs/>
        </w:rPr>
      </w:pPr>
      <w:r>
        <w:rPr>
          <w:b/>
          <w:sz w:val="22"/>
        </w:rPr>
        <w:t>Viviendas particulares por área urbana-rural, según servicios básicos, 1992-2002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85"/>
        <w:gridCol w:w="1150"/>
        <w:gridCol w:w="1058"/>
        <w:gridCol w:w="1046"/>
        <w:gridCol w:w="1151"/>
        <w:gridCol w:w="1151"/>
        <w:gridCol w:w="1153"/>
      </w:tblGrid>
      <w:tr w:rsidR="00000000">
        <w:tblPrEx>
          <w:tblCellMar>
            <w:top w:w="0" w:type="dxa"/>
            <w:bottom w:w="0" w:type="dxa"/>
          </w:tblCellMar>
        </w:tblPrEx>
        <w:trPr>
          <w:cantSplit/>
          <w:jc w:val="center"/>
        </w:trPr>
        <w:tc>
          <w:tcPr>
            <w:tcW w:w="1467" w:type="pct"/>
            <w:vMerge w:val="restart"/>
            <w:vAlign w:val="center"/>
          </w:tcPr>
          <w:p w:rsidR="00000000" w:rsidRDefault="00000000">
            <w:pPr>
              <w:autoSpaceDE w:val="0"/>
              <w:autoSpaceDN w:val="0"/>
              <w:adjustRightInd w:val="0"/>
              <w:jc w:val="center"/>
              <w:rPr>
                <w:b/>
                <w:bCs/>
              </w:rPr>
            </w:pPr>
          </w:p>
        </w:tc>
        <w:tc>
          <w:tcPr>
            <w:tcW w:w="1714" w:type="pct"/>
            <w:gridSpan w:val="3"/>
            <w:vAlign w:val="center"/>
          </w:tcPr>
          <w:p w:rsidR="00000000" w:rsidRDefault="00000000">
            <w:pPr>
              <w:pStyle w:val="BodyTextIndent"/>
              <w:spacing w:after="0"/>
              <w:ind w:left="0"/>
              <w:jc w:val="center"/>
              <w:rPr>
                <w:b/>
                <w:bCs/>
              </w:rPr>
            </w:pPr>
            <w:r>
              <w:rPr>
                <w:b/>
                <w:bCs/>
              </w:rPr>
              <w:t>1992</w:t>
            </w:r>
          </w:p>
        </w:tc>
        <w:tc>
          <w:tcPr>
            <w:tcW w:w="1820" w:type="pct"/>
            <w:gridSpan w:val="3"/>
            <w:vAlign w:val="center"/>
          </w:tcPr>
          <w:p w:rsidR="00000000" w:rsidRDefault="00000000">
            <w:pPr>
              <w:pStyle w:val="BodyTextIndent"/>
              <w:spacing w:after="0"/>
              <w:ind w:left="0"/>
              <w:jc w:val="center"/>
              <w:rPr>
                <w:b/>
                <w:bCs/>
              </w:rPr>
            </w:pPr>
            <w:r>
              <w:rPr>
                <w:b/>
                <w:bCs/>
              </w:rPr>
              <w:t>2002</w:t>
            </w:r>
          </w:p>
        </w:tc>
      </w:tr>
      <w:tr w:rsidR="00000000">
        <w:tblPrEx>
          <w:tblCellMar>
            <w:top w:w="0" w:type="dxa"/>
            <w:bottom w:w="0" w:type="dxa"/>
          </w:tblCellMar>
        </w:tblPrEx>
        <w:trPr>
          <w:cantSplit/>
          <w:jc w:val="center"/>
        </w:trPr>
        <w:tc>
          <w:tcPr>
            <w:tcW w:w="1467" w:type="pct"/>
            <w:vMerge/>
            <w:vAlign w:val="center"/>
          </w:tcPr>
          <w:p w:rsidR="00000000" w:rsidRDefault="00000000">
            <w:pPr>
              <w:autoSpaceDE w:val="0"/>
              <w:autoSpaceDN w:val="0"/>
              <w:adjustRightInd w:val="0"/>
              <w:jc w:val="center"/>
              <w:rPr>
                <w:b/>
                <w:bCs/>
              </w:rPr>
            </w:pPr>
          </w:p>
        </w:tc>
        <w:tc>
          <w:tcPr>
            <w:tcW w:w="606" w:type="pct"/>
            <w:vAlign w:val="center"/>
          </w:tcPr>
          <w:p w:rsidR="00000000" w:rsidRDefault="00000000">
            <w:pPr>
              <w:pStyle w:val="BodyTextIndent"/>
              <w:spacing w:after="0"/>
              <w:ind w:left="0"/>
              <w:jc w:val="center"/>
              <w:rPr>
                <w:b/>
                <w:bCs/>
              </w:rPr>
            </w:pPr>
            <w:r>
              <w:rPr>
                <w:b/>
                <w:bCs/>
              </w:rPr>
              <w:t>País</w:t>
            </w:r>
          </w:p>
        </w:tc>
        <w:tc>
          <w:tcPr>
            <w:tcW w:w="557" w:type="pct"/>
            <w:vAlign w:val="center"/>
          </w:tcPr>
          <w:p w:rsidR="00000000" w:rsidRDefault="00000000">
            <w:pPr>
              <w:pStyle w:val="Hyperlink"/>
              <w:jc w:val="center"/>
              <w:rPr>
                <w:b/>
                <w:bCs/>
              </w:rPr>
            </w:pPr>
            <w:r>
              <w:rPr>
                <w:b/>
                <w:bCs/>
              </w:rPr>
              <w:t>Urbana</w:t>
            </w:r>
          </w:p>
        </w:tc>
        <w:tc>
          <w:tcPr>
            <w:tcW w:w="551" w:type="pct"/>
            <w:vAlign w:val="center"/>
          </w:tcPr>
          <w:p w:rsidR="00000000" w:rsidRDefault="00000000">
            <w:pPr>
              <w:pStyle w:val="Hyperlink"/>
              <w:jc w:val="center"/>
              <w:rPr>
                <w:b/>
                <w:bCs/>
              </w:rPr>
            </w:pPr>
            <w:r>
              <w:rPr>
                <w:b/>
                <w:bCs/>
              </w:rPr>
              <w:t>País</w:t>
            </w:r>
          </w:p>
        </w:tc>
        <w:tc>
          <w:tcPr>
            <w:tcW w:w="606" w:type="pct"/>
            <w:vAlign w:val="center"/>
          </w:tcPr>
          <w:p w:rsidR="00000000" w:rsidRDefault="00000000">
            <w:pPr>
              <w:pStyle w:val="Hyperlink"/>
              <w:jc w:val="center"/>
              <w:rPr>
                <w:b/>
                <w:bCs/>
              </w:rPr>
            </w:pPr>
            <w:r>
              <w:rPr>
                <w:b/>
                <w:bCs/>
              </w:rPr>
              <w:t>Urbana</w:t>
            </w:r>
          </w:p>
        </w:tc>
        <w:tc>
          <w:tcPr>
            <w:tcW w:w="606" w:type="pct"/>
            <w:vAlign w:val="center"/>
          </w:tcPr>
          <w:p w:rsidR="00000000" w:rsidRDefault="00000000">
            <w:pPr>
              <w:pStyle w:val="Hyperlink"/>
              <w:jc w:val="center"/>
              <w:rPr>
                <w:b/>
                <w:bCs/>
              </w:rPr>
            </w:pPr>
            <w:r>
              <w:rPr>
                <w:b/>
                <w:bCs/>
              </w:rPr>
              <w:t>País</w:t>
            </w:r>
          </w:p>
        </w:tc>
        <w:tc>
          <w:tcPr>
            <w:tcW w:w="607" w:type="pct"/>
            <w:vAlign w:val="center"/>
          </w:tcPr>
          <w:p w:rsidR="00000000" w:rsidRDefault="00000000">
            <w:pPr>
              <w:pStyle w:val="Hyperlink"/>
              <w:jc w:val="center"/>
              <w:rPr>
                <w:b/>
                <w:bCs/>
              </w:rPr>
            </w:pPr>
            <w:r>
              <w:rPr>
                <w:b/>
                <w:bCs/>
              </w:rPr>
              <w:t>Urbana</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Total</w:t>
            </w:r>
          </w:p>
        </w:tc>
        <w:tc>
          <w:tcPr>
            <w:tcW w:w="606" w:type="pct"/>
            <w:vAlign w:val="center"/>
          </w:tcPr>
          <w:p w:rsidR="00000000" w:rsidRDefault="00000000">
            <w:pPr>
              <w:pStyle w:val="BodyTextIndent"/>
              <w:spacing w:after="0"/>
              <w:ind w:left="0" w:right="78"/>
              <w:jc w:val="right"/>
              <w:rPr>
                <w:b/>
                <w:bCs/>
              </w:rPr>
            </w:pPr>
            <w:r>
              <w:rPr>
                <w:b/>
                <w:bCs/>
              </w:rPr>
              <w:t>855.547</w:t>
            </w:r>
          </w:p>
        </w:tc>
        <w:tc>
          <w:tcPr>
            <w:tcW w:w="557" w:type="pct"/>
            <w:vAlign w:val="center"/>
          </w:tcPr>
          <w:p w:rsidR="00000000" w:rsidRDefault="00000000">
            <w:pPr>
              <w:pStyle w:val="BodyTextIndent"/>
              <w:spacing w:after="0"/>
              <w:ind w:left="0" w:right="56"/>
              <w:jc w:val="right"/>
              <w:rPr>
                <w:b/>
                <w:bCs/>
              </w:rPr>
            </w:pPr>
            <w:r>
              <w:rPr>
                <w:b/>
                <w:bCs/>
              </w:rPr>
              <w:t>443.691</w:t>
            </w:r>
          </w:p>
        </w:tc>
        <w:tc>
          <w:tcPr>
            <w:tcW w:w="551" w:type="pct"/>
            <w:vAlign w:val="center"/>
          </w:tcPr>
          <w:p w:rsidR="00000000" w:rsidRDefault="00000000">
            <w:pPr>
              <w:pStyle w:val="BodyTextIndent"/>
              <w:spacing w:after="0"/>
              <w:ind w:left="0" w:right="22"/>
              <w:jc w:val="right"/>
              <w:rPr>
                <w:b/>
                <w:bCs/>
              </w:rPr>
            </w:pPr>
            <w:r>
              <w:rPr>
                <w:b/>
                <w:bCs/>
              </w:rPr>
              <w:t>411.856</w:t>
            </w:r>
          </w:p>
        </w:tc>
        <w:tc>
          <w:tcPr>
            <w:tcW w:w="606" w:type="pct"/>
            <w:vAlign w:val="center"/>
          </w:tcPr>
          <w:p w:rsidR="00000000" w:rsidRDefault="00000000">
            <w:pPr>
              <w:pStyle w:val="BodyTextIndent"/>
              <w:spacing w:after="0"/>
              <w:ind w:left="0"/>
              <w:jc w:val="right"/>
              <w:rPr>
                <w:b/>
                <w:bCs/>
              </w:rPr>
            </w:pPr>
            <w:r>
              <w:rPr>
                <w:b/>
                <w:bCs/>
              </w:rPr>
              <w:t>1.098.005</w:t>
            </w:r>
          </w:p>
        </w:tc>
        <w:tc>
          <w:tcPr>
            <w:tcW w:w="606" w:type="pct"/>
            <w:vAlign w:val="center"/>
          </w:tcPr>
          <w:p w:rsidR="00000000" w:rsidRDefault="00000000">
            <w:pPr>
              <w:pStyle w:val="BodyTextIndent"/>
              <w:spacing w:after="0"/>
              <w:ind w:left="0" w:right="45"/>
              <w:jc w:val="right"/>
              <w:rPr>
                <w:b/>
                <w:bCs/>
              </w:rPr>
            </w:pPr>
            <w:r>
              <w:rPr>
                <w:b/>
                <w:bCs/>
              </w:rPr>
              <w:t>643.920</w:t>
            </w:r>
          </w:p>
        </w:tc>
        <w:tc>
          <w:tcPr>
            <w:tcW w:w="607" w:type="pct"/>
            <w:vAlign w:val="center"/>
          </w:tcPr>
          <w:p w:rsidR="00000000" w:rsidRDefault="00000000">
            <w:pPr>
              <w:pStyle w:val="BodyTextIndent"/>
              <w:spacing w:after="0"/>
              <w:ind w:left="0" w:right="114"/>
              <w:jc w:val="right"/>
              <w:rPr>
                <w:b/>
                <w:bCs/>
              </w:rPr>
            </w:pPr>
            <w:r>
              <w:rPr>
                <w:b/>
                <w:bCs/>
              </w:rPr>
              <w:t>454.085</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Luz eléctrica</w:t>
            </w:r>
          </w:p>
        </w:tc>
        <w:tc>
          <w:tcPr>
            <w:tcW w:w="606" w:type="pct"/>
            <w:vAlign w:val="center"/>
          </w:tcPr>
          <w:p w:rsidR="00000000" w:rsidRDefault="00000000">
            <w:pPr>
              <w:pStyle w:val="BodyTextIndent"/>
              <w:spacing w:after="0"/>
              <w:ind w:left="0" w:right="78"/>
              <w:jc w:val="right"/>
            </w:pPr>
            <w:r>
              <w:t>504.842</w:t>
            </w:r>
          </w:p>
        </w:tc>
        <w:tc>
          <w:tcPr>
            <w:tcW w:w="557" w:type="pct"/>
            <w:vAlign w:val="center"/>
          </w:tcPr>
          <w:p w:rsidR="00000000" w:rsidRDefault="00000000">
            <w:pPr>
              <w:pStyle w:val="BodyTextIndent"/>
              <w:spacing w:after="0"/>
              <w:ind w:left="0" w:right="56"/>
              <w:jc w:val="right"/>
            </w:pPr>
            <w:r>
              <w:t>409.090</w:t>
            </w:r>
          </w:p>
        </w:tc>
        <w:tc>
          <w:tcPr>
            <w:tcW w:w="551" w:type="pct"/>
            <w:vAlign w:val="center"/>
          </w:tcPr>
          <w:p w:rsidR="00000000" w:rsidRDefault="00000000">
            <w:pPr>
              <w:pStyle w:val="BodyTextIndent"/>
              <w:spacing w:after="0"/>
              <w:ind w:left="0" w:right="22"/>
              <w:jc w:val="right"/>
            </w:pPr>
            <w:r>
              <w:t>95.752</w:t>
            </w:r>
          </w:p>
        </w:tc>
        <w:tc>
          <w:tcPr>
            <w:tcW w:w="606" w:type="pct"/>
            <w:vAlign w:val="center"/>
          </w:tcPr>
          <w:p w:rsidR="00000000" w:rsidRDefault="00000000">
            <w:pPr>
              <w:pStyle w:val="BodyTextIndent"/>
              <w:spacing w:after="0"/>
              <w:ind w:left="0"/>
              <w:jc w:val="right"/>
            </w:pPr>
            <w:r>
              <w:t>978.766</w:t>
            </w:r>
          </w:p>
        </w:tc>
        <w:tc>
          <w:tcPr>
            <w:tcW w:w="606" w:type="pct"/>
            <w:vAlign w:val="center"/>
          </w:tcPr>
          <w:p w:rsidR="00000000" w:rsidRDefault="00000000">
            <w:pPr>
              <w:pStyle w:val="BodyTextIndent"/>
              <w:spacing w:after="0"/>
              <w:ind w:left="0" w:right="45"/>
              <w:jc w:val="right"/>
            </w:pPr>
            <w:r>
              <w:t>625.602</w:t>
            </w:r>
          </w:p>
        </w:tc>
        <w:tc>
          <w:tcPr>
            <w:tcW w:w="607" w:type="pct"/>
            <w:vAlign w:val="center"/>
          </w:tcPr>
          <w:p w:rsidR="00000000" w:rsidRDefault="00000000">
            <w:pPr>
              <w:pStyle w:val="BodyTextIndent"/>
              <w:spacing w:after="0"/>
              <w:ind w:left="0" w:right="114"/>
              <w:jc w:val="right"/>
            </w:pPr>
            <w:r>
              <w:t>353.164</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Agua corriente</w:t>
            </w:r>
            <w:r>
              <w:rPr>
                <w:b/>
                <w:bCs/>
                <w:vertAlign w:val="superscript"/>
              </w:rPr>
              <w:t>*</w:t>
            </w:r>
          </w:p>
        </w:tc>
        <w:tc>
          <w:tcPr>
            <w:tcW w:w="606" w:type="pct"/>
            <w:vAlign w:val="center"/>
          </w:tcPr>
          <w:p w:rsidR="00000000" w:rsidRDefault="00000000">
            <w:pPr>
              <w:pStyle w:val="BodyTextIndent"/>
              <w:spacing w:after="0"/>
              <w:ind w:left="0" w:right="78"/>
              <w:jc w:val="right"/>
            </w:pPr>
            <w:r>
              <w:t>269.443</w:t>
            </w:r>
          </w:p>
        </w:tc>
        <w:tc>
          <w:tcPr>
            <w:tcW w:w="557" w:type="pct"/>
            <w:vAlign w:val="center"/>
          </w:tcPr>
          <w:p w:rsidR="00000000" w:rsidRDefault="00000000">
            <w:pPr>
              <w:pStyle w:val="BodyTextIndent"/>
              <w:spacing w:after="0"/>
              <w:ind w:left="0" w:right="56"/>
              <w:jc w:val="right"/>
            </w:pPr>
            <w:r>
              <w:t>256.909</w:t>
            </w:r>
          </w:p>
        </w:tc>
        <w:tc>
          <w:tcPr>
            <w:tcW w:w="551" w:type="pct"/>
            <w:vAlign w:val="center"/>
          </w:tcPr>
          <w:p w:rsidR="00000000" w:rsidRDefault="00000000">
            <w:pPr>
              <w:pStyle w:val="BodyTextIndent"/>
              <w:spacing w:after="0"/>
              <w:ind w:left="0" w:right="22"/>
              <w:jc w:val="right"/>
            </w:pPr>
            <w:r>
              <w:t>12.534</w:t>
            </w:r>
          </w:p>
        </w:tc>
        <w:tc>
          <w:tcPr>
            <w:tcW w:w="606" w:type="pct"/>
            <w:vAlign w:val="center"/>
          </w:tcPr>
          <w:p w:rsidR="00000000" w:rsidRDefault="00000000">
            <w:pPr>
              <w:pStyle w:val="BodyTextIndent"/>
              <w:spacing w:after="0"/>
              <w:ind w:left="0"/>
              <w:jc w:val="right"/>
            </w:pPr>
            <w:r>
              <w:t>578.639</w:t>
            </w:r>
          </w:p>
        </w:tc>
        <w:tc>
          <w:tcPr>
            <w:tcW w:w="606" w:type="pct"/>
            <w:vAlign w:val="center"/>
          </w:tcPr>
          <w:p w:rsidR="00000000" w:rsidRDefault="00000000">
            <w:pPr>
              <w:pStyle w:val="BodyTextIndent"/>
              <w:spacing w:after="0"/>
              <w:ind w:left="0" w:right="45"/>
              <w:jc w:val="right"/>
            </w:pPr>
            <w:r>
              <w:t>476.500</w:t>
            </w:r>
          </w:p>
        </w:tc>
        <w:tc>
          <w:tcPr>
            <w:tcW w:w="607" w:type="pct"/>
            <w:vAlign w:val="center"/>
          </w:tcPr>
          <w:p w:rsidR="00000000" w:rsidRDefault="00000000">
            <w:pPr>
              <w:pStyle w:val="BodyTextIndent"/>
              <w:spacing w:after="0"/>
              <w:ind w:left="0" w:right="114"/>
              <w:jc w:val="right"/>
            </w:pPr>
            <w:r>
              <w:t>102.139</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Baño conectado a red</w:t>
            </w:r>
          </w:p>
        </w:tc>
        <w:tc>
          <w:tcPr>
            <w:tcW w:w="606" w:type="pct"/>
            <w:vAlign w:val="center"/>
          </w:tcPr>
          <w:p w:rsidR="00000000" w:rsidRDefault="00000000">
            <w:pPr>
              <w:pStyle w:val="BodyTextIndent"/>
              <w:spacing w:after="0"/>
              <w:ind w:left="0" w:right="78"/>
              <w:jc w:val="right"/>
            </w:pPr>
            <w:r>
              <w:t>65.817</w:t>
            </w:r>
          </w:p>
        </w:tc>
        <w:tc>
          <w:tcPr>
            <w:tcW w:w="557" w:type="pct"/>
            <w:vAlign w:val="center"/>
          </w:tcPr>
          <w:p w:rsidR="00000000" w:rsidRDefault="00000000">
            <w:pPr>
              <w:pStyle w:val="BodyTextIndent"/>
              <w:spacing w:after="0"/>
              <w:ind w:left="0" w:right="56"/>
              <w:jc w:val="right"/>
            </w:pPr>
            <w:r>
              <w:t>65.802</w:t>
            </w:r>
          </w:p>
        </w:tc>
        <w:tc>
          <w:tcPr>
            <w:tcW w:w="551" w:type="pct"/>
            <w:vAlign w:val="center"/>
          </w:tcPr>
          <w:p w:rsidR="00000000" w:rsidRDefault="00000000">
            <w:pPr>
              <w:pStyle w:val="BodyTextIndent"/>
              <w:spacing w:after="0"/>
              <w:ind w:left="0" w:right="22"/>
              <w:jc w:val="right"/>
            </w:pPr>
            <w:r>
              <w:t>15</w:t>
            </w:r>
          </w:p>
        </w:tc>
        <w:tc>
          <w:tcPr>
            <w:tcW w:w="606" w:type="pct"/>
            <w:vAlign w:val="center"/>
          </w:tcPr>
          <w:p w:rsidR="00000000" w:rsidRDefault="00000000">
            <w:pPr>
              <w:pStyle w:val="BodyTextIndent"/>
              <w:spacing w:after="0"/>
              <w:ind w:left="0"/>
              <w:jc w:val="right"/>
            </w:pPr>
            <w:r>
              <w:t>103.565</w:t>
            </w:r>
          </w:p>
        </w:tc>
        <w:tc>
          <w:tcPr>
            <w:tcW w:w="606" w:type="pct"/>
            <w:vAlign w:val="center"/>
          </w:tcPr>
          <w:p w:rsidR="00000000" w:rsidRDefault="00000000">
            <w:pPr>
              <w:pStyle w:val="BodyTextIndent"/>
              <w:spacing w:after="0"/>
              <w:ind w:left="0" w:right="45"/>
              <w:jc w:val="right"/>
            </w:pPr>
            <w:r>
              <w:t>103.565</w:t>
            </w:r>
          </w:p>
        </w:tc>
        <w:tc>
          <w:tcPr>
            <w:tcW w:w="607" w:type="pct"/>
            <w:vAlign w:val="center"/>
          </w:tcPr>
          <w:p w:rsidR="00000000" w:rsidRDefault="00000000">
            <w:pPr>
              <w:pStyle w:val="BodyTextIndent"/>
              <w:spacing w:after="0"/>
              <w:ind w:left="0" w:right="114"/>
              <w:jc w:val="right"/>
            </w:pPr>
            <w:r>
              <w:t>-</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Baño con pozo ciego</w:t>
            </w:r>
          </w:p>
        </w:tc>
        <w:tc>
          <w:tcPr>
            <w:tcW w:w="606" w:type="pct"/>
            <w:vAlign w:val="center"/>
          </w:tcPr>
          <w:p w:rsidR="00000000" w:rsidRDefault="00000000">
            <w:pPr>
              <w:pStyle w:val="BodyTextIndent"/>
              <w:spacing w:after="0"/>
              <w:ind w:left="0" w:right="78"/>
              <w:jc w:val="right"/>
            </w:pPr>
            <w:r>
              <w:t>231.047</w:t>
            </w:r>
          </w:p>
        </w:tc>
        <w:tc>
          <w:tcPr>
            <w:tcW w:w="557" w:type="pct"/>
            <w:vAlign w:val="center"/>
          </w:tcPr>
          <w:p w:rsidR="00000000" w:rsidRDefault="00000000">
            <w:pPr>
              <w:pStyle w:val="BodyTextIndent"/>
              <w:spacing w:after="0"/>
              <w:ind w:left="0" w:right="56"/>
              <w:jc w:val="right"/>
            </w:pPr>
            <w:r>
              <w:t>198.878</w:t>
            </w:r>
          </w:p>
        </w:tc>
        <w:tc>
          <w:tcPr>
            <w:tcW w:w="551" w:type="pct"/>
            <w:vAlign w:val="center"/>
          </w:tcPr>
          <w:p w:rsidR="00000000" w:rsidRDefault="00000000">
            <w:pPr>
              <w:pStyle w:val="BodyTextIndent"/>
              <w:spacing w:after="0"/>
              <w:ind w:left="0" w:right="22"/>
              <w:jc w:val="right"/>
            </w:pPr>
            <w:r>
              <w:t>32.169</w:t>
            </w:r>
          </w:p>
        </w:tc>
        <w:tc>
          <w:tcPr>
            <w:tcW w:w="606" w:type="pct"/>
            <w:vAlign w:val="center"/>
          </w:tcPr>
          <w:p w:rsidR="00000000" w:rsidRDefault="00000000">
            <w:pPr>
              <w:pStyle w:val="BodyTextIndent"/>
              <w:spacing w:after="0"/>
              <w:ind w:left="0"/>
              <w:jc w:val="right"/>
            </w:pPr>
            <w:r>
              <w:t>588.003</w:t>
            </w:r>
          </w:p>
        </w:tc>
        <w:tc>
          <w:tcPr>
            <w:tcW w:w="606" w:type="pct"/>
            <w:vAlign w:val="center"/>
          </w:tcPr>
          <w:p w:rsidR="00000000" w:rsidRDefault="00000000">
            <w:pPr>
              <w:pStyle w:val="BodyTextIndent"/>
              <w:spacing w:after="0"/>
              <w:ind w:left="0" w:right="45"/>
              <w:jc w:val="right"/>
            </w:pPr>
            <w:r>
              <w:t>450.981</w:t>
            </w:r>
          </w:p>
        </w:tc>
        <w:tc>
          <w:tcPr>
            <w:tcW w:w="607" w:type="pct"/>
            <w:vAlign w:val="center"/>
          </w:tcPr>
          <w:p w:rsidR="00000000" w:rsidRDefault="00000000">
            <w:pPr>
              <w:pStyle w:val="BodyTextIndent"/>
              <w:spacing w:after="0"/>
              <w:ind w:left="0" w:right="114"/>
              <w:jc w:val="right"/>
            </w:pPr>
            <w:r>
              <w:t>137.022</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Recolección de basura</w:t>
            </w:r>
          </w:p>
        </w:tc>
        <w:tc>
          <w:tcPr>
            <w:tcW w:w="606" w:type="pct"/>
            <w:vAlign w:val="center"/>
          </w:tcPr>
          <w:p w:rsidR="00000000" w:rsidRDefault="00000000">
            <w:pPr>
              <w:pStyle w:val="BodyTextIndent"/>
              <w:spacing w:after="0"/>
              <w:ind w:left="0" w:right="78"/>
              <w:jc w:val="right"/>
            </w:pPr>
            <w:r>
              <w:t>181.726</w:t>
            </w:r>
          </w:p>
        </w:tc>
        <w:tc>
          <w:tcPr>
            <w:tcW w:w="557" w:type="pct"/>
            <w:vAlign w:val="center"/>
          </w:tcPr>
          <w:p w:rsidR="00000000" w:rsidRDefault="00000000">
            <w:pPr>
              <w:pStyle w:val="BodyTextIndent"/>
              <w:spacing w:after="0"/>
              <w:ind w:left="0" w:right="56"/>
              <w:jc w:val="right"/>
            </w:pPr>
            <w:r>
              <w:t>181.453</w:t>
            </w:r>
          </w:p>
        </w:tc>
        <w:tc>
          <w:tcPr>
            <w:tcW w:w="551" w:type="pct"/>
            <w:vAlign w:val="center"/>
          </w:tcPr>
          <w:p w:rsidR="00000000" w:rsidRDefault="00000000">
            <w:pPr>
              <w:pStyle w:val="BodyTextIndent"/>
              <w:spacing w:after="0"/>
              <w:ind w:left="0" w:right="22"/>
              <w:jc w:val="right"/>
            </w:pPr>
            <w:r>
              <w:t>273</w:t>
            </w:r>
          </w:p>
        </w:tc>
        <w:tc>
          <w:tcPr>
            <w:tcW w:w="606" w:type="pct"/>
            <w:vAlign w:val="center"/>
          </w:tcPr>
          <w:p w:rsidR="00000000" w:rsidRDefault="00000000">
            <w:pPr>
              <w:pStyle w:val="BodyTextIndent"/>
              <w:spacing w:after="0"/>
              <w:ind w:left="0"/>
              <w:jc w:val="right"/>
            </w:pPr>
            <w:r>
              <w:t>369.231</w:t>
            </w:r>
          </w:p>
        </w:tc>
        <w:tc>
          <w:tcPr>
            <w:tcW w:w="606" w:type="pct"/>
            <w:vAlign w:val="center"/>
          </w:tcPr>
          <w:p w:rsidR="00000000" w:rsidRDefault="00000000">
            <w:pPr>
              <w:pStyle w:val="BodyTextIndent"/>
              <w:spacing w:after="0"/>
              <w:ind w:left="0" w:right="45"/>
              <w:jc w:val="right"/>
            </w:pPr>
            <w:r>
              <w:t>358.012</w:t>
            </w:r>
          </w:p>
        </w:tc>
        <w:tc>
          <w:tcPr>
            <w:tcW w:w="607" w:type="pct"/>
            <w:vAlign w:val="center"/>
          </w:tcPr>
          <w:p w:rsidR="00000000" w:rsidRDefault="00000000">
            <w:pPr>
              <w:pStyle w:val="BodyTextIndent"/>
              <w:spacing w:after="0"/>
              <w:ind w:left="0" w:right="114"/>
              <w:jc w:val="right"/>
            </w:pPr>
            <w:r>
              <w:t>11.219</w:t>
            </w:r>
          </w:p>
        </w:tc>
      </w:tr>
      <w:tr w:rsidR="00000000">
        <w:tblPrEx>
          <w:tblCellMar>
            <w:top w:w="0" w:type="dxa"/>
            <w:bottom w:w="0" w:type="dxa"/>
          </w:tblCellMar>
        </w:tblPrEx>
        <w:trPr>
          <w:cantSplit/>
          <w:jc w:val="center"/>
        </w:trPr>
        <w:tc>
          <w:tcPr>
            <w:tcW w:w="1467" w:type="pct"/>
            <w:vAlign w:val="center"/>
          </w:tcPr>
          <w:p w:rsidR="00000000" w:rsidRDefault="00000000">
            <w:pPr>
              <w:pStyle w:val="BodyTextIndent"/>
              <w:tabs>
                <w:tab w:val="decimal" w:pos="804"/>
              </w:tabs>
              <w:spacing w:after="0"/>
              <w:ind w:left="0"/>
              <w:jc w:val="center"/>
              <w:rPr>
                <w:b/>
                <w:bCs/>
              </w:rPr>
            </w:pPr>
          </w:p>
        </w:tc>
        <w:tc>
          <w:tcPr>
            <w:tcW w:w="3533" w:type="pct"/>
            <w:gridSpan w:val="6"/>
            <w:vAlign w:val="center"/>
          </w:tcPr>
          <w:p w:rsidR="00000000" w:rsidRDefault="00000000">
            <w:pPr>
              <w:pStyle w:val="BodyTextIndent"/>
              <w:tabs>
                <w:tab w:val="decimal" w:pos="804"/>
              </w:tabs>
              <w:spacing w:after="0"/>
              <w:ind w:left="0"/>
              <w:jc w:val="center"/>
              <w:rPr>
                <w:b/>
                <w:bCs/>
              </w:rPr>
            </w:pPr>
            <w:r>
              <w:rPr>
                <w:b/>
                <w:bCs/>
              </w:rPr>
              <w:t>(Porcentaje)</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Total</w:t>
            </w:r>
          </w:p>
        </w:tc>
        <w:tc>
          <w:tcPr>
            <w:tcW w:w="606" w:type="pct"/>
            <w:vAlign w:val="center"/>
          </w:tcPr>
          <w:p w:rsidR="00000000" w:rsidRDefault="00000000">
            <w:pPr>
              <w:pStyle w:val="BodyTextIndent"/>
              <w:spacing w:after="0"/>
              <w:ind w:left="0" w:right="78"/>
              <w:jc w:val="right"/>
              <w:rPr>
                <w:b/>
                <w:bCs/>
              </w:rPr>
            </w:pPr>
            <w:r>
              <w:rPr>
                <w:b/>
                <w:bCs/>
              </w:rPr>
              <w:t>100,0</w:t>
            </w:r>
          </w:p>
        </w:tc>
        <w:tc>
          <w:tcPr>
            <w:tcW w:w="557" w:type="pct"/>
            <w:vAlign w:val="center"/>
          </w:tcPr>
          <w:p w:rsidR="00000000" w:rsidRDefault="00000000">
            <w:pPr>
              <w:pStyle w:val="BodyTextIndent"/>
              <w:spacing w:after="0"/>
              <w:ind w:left="0" w:right="56"/>
              <w:jc w:val="right"/>
              <w:rPr>
                <w:b/>
                <w:bCs/>
              </w:rPr>
            </w:pPr>
            <w:r>
              <w:rPr>
                <w:b/>
                <w:bCs/>
              </w:rPr>
              <w:t>100,0</w:t>
            </w:r>
          </w:p>
        </w:tc>
        <w:tc>
          <w:tcPr>
            <w:tcW w:w="551" w:type="pct"/>
            <w:vAlign w:val="center"/>
          </w:tcPr>
          <w:p w:rsidR="00000000" w:rsidRDefault="00000000">
            <w:pPr>
              <w:pStyle w:val="BodyTextIndent"/>
              <w:spacing w:after="0"/>
              <w:ind w:left="0" w:right="22"/>
              <w:jc w:val="right"/>
              <w:rPr>
                <w:b/>
                <w:bCs/>
              </w:rPr>
            </w:pPr>
            <w:r>
              <w:rPr>
                <w:b/>
                <w:bCs/>
              </w:rPr>
              <w:t>100,0</w:t>
            </w:r>
          </w:p>
        </w:tc>
        <w:tc>
          <w:tcPr>
            <w:tcW w:w="606" w:type="pct"/>
            <w:vAlign w:val="center"/>
          </w:tcPr>
          <w:p w:rsidR="00000000" w:rsidRDefault="00000000">
            <w:pPr>
              <w:pStyle w:val="BodyTextIndent"/>
              <w:spacing w:after="0"/>
              <w:ind w:left="0"/>
              <w:jc w:val="right"/>
              <w:rPr>
                <w:b/>
                <w:bCs/>
              </w:rPr>
            </w:pPr>
            <w:r>
              <w:rPr>
                <w:b/>
                <w:bCs/>
              </w:rPr>
              <w:t>100,0</w:t>
            </w:r>
          </w:p>
        </w:tc>
        <w:tc>
          <w:tcPr>
            <w:tcW w:w="606" w:type="pct"/>
            <w:vAlign w:val="center"/>
          </w:tcPr>
          <w:p w:rsidR="00000000" w:rsidRDefault="00000000">
            <w:pPr>
              <w:pStyle w:val="BodyTextIndent"/>
              <w:spacing w:after="0"/>
              <w:ind w:left="0" w:right="45"/>
              <w:jc w:val="right"/>
              <w:rPr>
                <w:b/>
                <w:bCs/>
              </w:rPr>
            </w:pPr>
            <w:r>
              <w:rPr>
                <w:b/>
                <w:bCs/>
              </w:rPr>
              <w:t>100,0</w:t>
            </w:r>
          </w:p>
        </w:tc>
        <w:tc>
          <w:tcPr>
            <w:tcW w:w="607" w:type="pct"/>
            <w:vAlign w:val="center"/>
          </w:tcPr>
          <w:p w:rsidR="00000000" w:rsidRDefault="00000000">
            <w:pPr>
              <w:pStyle w:val="BodyTextIndent"/>
              <w:spacing w:after="0"/>
              <w:ind w:left="0" w:right="113"/>
              <w:jc w:val="right"/>
              <w:rPr>
                <w:b/>
                <w:bCs/>
              </w:rPr>
            </w:pPr>
            <w:r>
              <w:rPr>
                <w:b/>
                <w:bCs/>
              </w:rPr>
              <w:t>100,0</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Luz eléctrica</w:t>
            </w:r>
          </w:p>
        </w:tc>
        <w:tc>
          <w:tcPr>
            <w:tcW w:w="606" w:type="pct"/>
            <w:vAlign w:val="center"/>
          </w:tcPr>
          <w:p w:rsidR="00000000" w:rsidRDefault="00000000">
            <w:pPr>
              <w:pStyle w:val="BodyTextIndent"/>
              <w:spacing w:after="0"/>
              <w:ind w:left="0" w:right="78"/>
              <w:jc w:val="right"/>
            </w:pPr>
            <w:r>
              <w:t>59,0</w:t>
            </w:r>
          </w:p>
        </w:tc>
        <w:tc>
          <w:tcPr>
            <w:tcW w:w="557" w:type="pct"/>
            <w:vAlign w:val="center"/>
          </w:tcPr>
          <w:p w:rsidR="00000000" w:rsidRDefault="00000000">
            <w:pPr>
              <w:pStyle w:val="BodyTextIndent"/>
              <w:spacing w:after="0"/>
              <w:ind w:left="0" w:right="56"/>
              <w:jc w:val="right"/>
            </w:pPr>
            <w:r>
              <w:t>92,2</w:t>
            </w:r>
          </w:p>
        </w:tc>
        <w:tc>
          <w:tcPr>
            <w:tcW w:w="551" w:type="pct"/>
            <w:vAlign w:val="center"/>
          </w:tcPr>
          <w:p w:rsidR="00000000" w:rsidRDefault="00000000">
            <w:pPr>
              <w:pStyle w:val="BodyTextIndent"/>
              <w:spacing w:after="0"/>
              <w:ind w:left="0" w:right="22"/>
              <w:jc w:val="right"/>
            </w:pPr>
            <w:r>
              <w:t>23,2</w:t>
            </w:r>
          </w:p>
        </w:tc>
        <w:tc>
          <w:tcPr>
            <w:tcW w:w="606" w:type="pct"/>
            <w:vAlign w:val="center"/>
          </w:tcPr>
          <w:p w:rsidR="00000000" w:rsidRDefault="00000000">
            <w:pPr>
              <w:pStyle w:val="BodyTextIndent"/>
              <w:spacing w:after="0"/>
              <w:ind w:left="0"/>
              <w:jc w:val="right"/>
            </w:pPr>
            <w:r>
              <w:t>89,1</w:t>
            </w:r>
          </w:p>
        </w:tc>
        <w:tc>
          <w:tcPr>
            <w:tcW w:w="606" w:type="pct"/>
            <w:vAlign w:val="center"/>
          </w:tcPr>
          <w:p w:rsidR="00000000" w:rsidRDefault="00000000">
            <w:pPr>
              <w:pStyle w:val="BodyTextIndent"/>
              <w:spacing w:after="0"/>
              <w:ind w:left="0" w:right="45"/>
              <w:jc w:val="right"/>
            </w:pPr>
            <w:r>
              <w:t>97,2</w:t>
            </w:r>
          </w:p>
        </w:tc>
        <w:tc>
          <w:tcPr>
            <w:tcW w:w="607" w:type="pct"/>
            <w:vAlign w:val="center"/>
          </w:tcPr>
          <w:p w:rsidR="00000000" w:rsidRDefault="00000000">
            <w:pPr>
              <w:pStyle w:val="BodyTextIndent"/>
              <w:spacing w:after="0"/>
              <w:ind w:left="0" w:right="114"/>
              <w:jc w:val="right"/>
            </w:pPr>
            <w:r>
              <w:t>77,8</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Agua corriente</w:t>
            </w:r>
            <w:r>
              <w:rPr>
                <w:b/>
                <w:bCs/>
                <w:vertAlign w:val="superscript"/>
              </w:rPr>
              <w:t>*</w:t>
            </w:r>
          </w:p>
        </w:tc>
        <w:tc>
          <w:tcPr>
            <w:tcW w:w="606" w:type="pct"/>
            <w:vAlign w:val="center"/>
          </w:tcPr>
          <w:p w:rsidR="00000000" w:rsidRDefault="00000000">
            <w:pPr>
              <w:pStyle w:val="BodyTextIndent"/>
              <w:spacing w:after="0"/>
              <w:ind w:left="0" w:right="78"/>
              <w:jc w:val="right"/>
            </w:pPr>
            <w:r>
              <w:t>31,5</w:t>
            </w:r>
          </w:p>
        </w:tc>
        <w:tc>
          <w:tcPr>
            <w:tcW w:w="557" w:type="pct"/>
            <w:vAlign w:val="center"/>
          </w:tcPr>
          <w:p w:rsidR="00000000" w:rsidRDefault="00000000">
            <w:pPr>
              <w:pStyle w:val="BodyTextIndent"/>
              <w:spacing w:after="0"/>
              <w:ind w:left="0" w:right="56"/>
              <w:jc w:val="right"/>
            </w:pPr>
            <w:r>
              <w:t>57,9</w:t>
            </w:r>
          </w:p>
        </w:tc>
        <w:tc>
          <w:tcPr>
            <w:tcW w:w="551" w:type="pct"/>
            <w:vAlign w:val="center"/>
          </w:tcPr>
          <w:p w:rsidR="00000000" w:rsidRDefault="00000000">
            <w:pPr>
              <w:pStyle w:val="BodyTextIndent"/>
              <w:spacing w:after="0"/>
              <w:ind w:left="0" w:right="22"/>
              <w:jc w:val="right"/>
            </w:pPr>
            <w:r>
              <w:t>3,0</w:t>
            </w:r>
          </w:p>
        </w:tc>
        <w:tc>
          <w:tcPr>
            <w:tcW w:w="606" w:type="pct"/>
            <w:vAlign w:val="center"/>
          </w:tcPr>
          <w:p w:rsidR="00000000" w:rsidRDefault="00000000">
            <w:pPr>
              <w:pStyle w:val="BodyTextIndent"/>
              <w:spacing w:after="0"/>
              <w:ind w:left="0"/>
              <w:jc w:val="right"/>
            </w:pPr>
            <w:r>
              <w:t>52,7</w:t>
            </w:r>
          </w:p>
        </w:tc>
        <w:tc>
          <w:tcPr>
            <w:tcW w:w="606" w:type="pct"/>
            <w:vAlign w:val="center"/>
          </w:tcPr>
          <w:p w:rsidR="00000000" w:rsidRDefault="00000000">
            <w:pPr>
              <w:pStyle w:val="BodyTextIndent"/>
              <w:spacing w:after="0"/>
              <w:ind w:left="0" w:right="45"/>
              <w:jc w:val="right"/>
            </w:pPr>
            <w:r>
              <w:t>74,0</w:t>
            </w:r>
          </w:p>
        </w:tc>
        <w:tc>
          <w:tcPr>
            <w:tcW w:w="607" w:type="pct"/>
            <w:vAlign w:val="center"/>
          </w:tcPr>
          <w:p w:rsidR="00000000" w:rsidRDefault="00000000">
            <w:pPr>
              <w:pStyle w:val="BodyTextIndent"/>
              <w:spacing w:after="0"/>
              <w:ind w:left="0" w:right="114"/>
              <w:jc w:val="right"/>
            </w:pPr>
            <w:r>
              <w:t>22,5</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Baño conectado a red</w:t>
            </w:r>
          </w:p>
        </w:tc>
        <w:tc>
          <w:tcPr>
            <w:tcW w:w="606" w:type="pct"/>
            <w:vAlign w:val="center"/>
          </w:tcPr>
          <w:p w:rsidR="00000000" w:rsidRDefault="00000000">
            <w:pPr>
              <w:pStyle w:val="BodyTextIndent"/>
              <w:spacing w:after="0"/>
              <w:ind w:left="0" w:right="78"/>
              <w:jc w:val="right"/>
            </w:pPr>
            <w:r>
              <w:t>7,7</w:t>
            </w:r>
          </w:p>
        </w:tc>
        <w:tc>
          <w:tcPr>
            <w:tcW w:w="557" w:type="pct"/>
            <w:vAlign w:val="center"/>
          </w:tcPr>
          <w:p w:rsidR="00000000" w:rsidRDefault="00000000">
            <w:pPr>
              <w:pStyle w:val="BodyTextIndent"/>
              <w:spacing w:after="0"/>
              <w:ind w:left="0" w:right="56"/>
              <w:jc w:val="right"/>
            </w:pPr>
            <w:r>
              <w:t>14,8</w:t>
            </w:r>
          </w:p>
        </w:tc>
        <w:tc>
          <w:tcPr>
            <w:tcW w:w="551" w:type="pct"/>
            <w:vAlign w:val="center"/>
          </w:tcPr>
          <w:p w:rsidR="00000000" w:rsidRDefault="00000000">
            <w:pPr>
              <w:pStyle w:val="BodyTextIndent"/>
              <w:spacing w:after="0"/>
              <w:ind w:left="0" w:right="22"/>
              <w:jc w:val="right"/>
            </w:pPr>
            <w:r>
              <w:t>0,0</w:t>
            </w:r>
          </w:p>
        </w:tc>
        <w:tc>
          <w:tcPr>
            <w:tcW w:w="606" w:type="pct"/>
            <w:vAlign w:val="center"/>
          </w:tcPr>
          <w:p w:rsidR="00000000" w:rsidRDefault="00000000">
            <w:pPr>
              <w:pStyle w:val="BodyTextIndent"/>
              <w:spacing w:after="0"/>
              <w:ind w:left="0"/>
              <w:jc w:val="right"/>
            </w:pPr>
            <w:r>
              <w:t>9,4</w:t>
            </w:r>
          </w:p>
        </w:tc>
        <w:tc>
          <w:tcPr>
            <w:tcW w:w="606" w:type="pct"/>
            <w:vAlign w:val="center"/>
          </w:tcPr>
          <w:p w:rsidR="00000000" w:rsidRDefault="00000000">
            <w:pPr>
              <w:pStyle w:val="BodyTextIndent"/>
              <w:spacing w:after="0"/>
              <w:ind w:left="0" w:right="45"/>
              <w:jc w:val="right"/>
            </w:pPr>
            <w:r>
              <w:t>16,1</w:t>
            </w:r>
          </w:p>
        </w:tc>
        <w:tc>
          <w:tcPr>
            <w:tcW w:w="607" w:type="pct"/>
            <w:vAlign w:val="center"/>
          </w:tcPr>
          <w:p w:rsidR="00000000" w:rsidRDefault="00000000">
            <w:pPr>
              <w:pStyle w:val="BodyTextIndent"/>
              <w:spacing w:after="0"/>
              <w:ind w:left="0" w:right="114"/>
              <w:jc w:val="right"/>
            </w:pPr>
            <w:r>
              <w:t>0,0</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Baño con pozo ciego</w:t>
            </w:r>
          </w:p>
        </w:tc>
        <w:tc>
          <w:tcPr>
            <w:tcW w:w="606" w:type="pct"/>
            <w:vAlign w:val="center"/>
          </w:tcPr>
          <w:p w:rsidR="00000000" w:rsidRDefault="00000000">
            <w:pPr>
              <w:pStyle w:val="BodyTextIndent"/>
              <w:spacing w:after="0"/>
              <w:ind w:left="0" w:right="78"/>
              <w:jc w:val="right"/>
            </w:pPr>
            <w:r>
              <w:t>27,0</w:t>
            </w:r>
          </w:p>
        </w:tc>
        <w:tc>
          <w:tcPr>
            <w:tcW w:w="557" w:type="pct"/>
            <w:vAlign w:val="center"/>
          </w:tcPr>
          <w:p w:rsidR="00000000" w:rsidRDefault="00000000">
            <w:pPr>
              <w:pStyle w:val="BodyTextIndent"/>
              <w:spacing w:after="0"/>
              <w:ind w:left="0" w:right="56"/>
              <w:jc w:val="right"/>
            </w:pPr>
            <w:r>
              <w:t>44,8</w:t>
            </w:r>
          </w:p>
        </w:tc>
        <w:tc>
          <w:tcPr>
            <w:tcW w:w="551" w:type="pct"/>
            <w:vAlign w:val="center"/>
          </w:tcPr>
          <w:p w:rsidR="00000000" w:rsidRDefault="00000000">
            <w:pPr>
              <w:pStyle w:val="BodyTextIndent"/>
              <w:spacing w:after="0"/>
              <w:ind w:left="0" w:right="22"/>
              <w:jc w:val="right"/>
            </w:pPr>
            <w:r>
              <w:t>7,8</w:t>
            </w:r>
          </w:p>
        </w:tc>
        <w:tc>
          <w:tcPr>
            <w:tcW w:w="606" w:type="pct"/>
            <w:vAlign w:val="center"/>
          </w:tcPr>
          <w:p w:rsidR="00000000" w:rsidRDefault="00000000">
            <w:pPr>
              <w:pStyle w:val="BodyTextIndent"/>
              <w:spacing w:after="0"/>
              <w:ind w:left="0"/>
              <w:jc w:val="right"/>
            </w:pPr>
            <w:r>
              <w:t>53,6</w:t>
            </w:r>
          </w:p>
        </w:tc>
        <w:tc>
          <w:tcPr>
            <w:tcW w:w="606" w:type="pct"/>
            <w:vAlign w:val="center"/>
          </w:tcPr>
          <w:p w:rsidR="00000000" w:rsidRDefault="00000000">
            <w:pPr>
              <w:pStyle w:val="BodyTextIndent"/>
              <w:spacing w:after="0"/>
              <w:ind w:left="0" w:right="45"/>
              <w:jc w:val="right"/>
            </w:pPr>
            <w:r>
              <w:t>70,0</w:t>
            </w:r>
          </w:p>
        </w:tc>
        <w:tc>
          <w:tcPr>
            <w:tcW w:w="607" w:type="pct"/>
            <w:vAlign w:val="center"/>
          </w:tcPr>
          <w:p w:rsidR="00000000" w:rsidRDefault="00000000">
            <w:pPr>
              <w:pStyle w:val="BodyTextIndent"/>
              <w:spacing w:after="0"/>
              <w:ind w:left="0" w:right="114"/>
              <w:jc w:val="right"/>
            </w:pPr>
            <w:r>
              <w:t>30,2</w:t>
            </w:r>
          </w:p>
        </w:tc>
      </w:tr>
      <w:tr w:rsidR="00000000">
        <w:tblPrEx>
          <w:tblCellMar>
            <w:top w:w="0" w:type="dxa"/>
            <w:bottom w:w="0" w:type="dxa"/>
          </w:tblCellMar>
        </w:tblPrEx>
        <w:trPr>
          <w:jc w:val="center"/>
        </w:trPr>
        <w:tc>
          <w:tcPr>
            <w:tcW w:w="1467" w:type="pct"/>
            <w:vAlign w:val="center"/>
          </w:tcPr>
          <w:p w:rsidR="00000000" w:rsidRDefault="00000000">
            <w:pPr>
              <w:pStyle w:val="BodyTextIndent"/>
              <w:spacing w:after="0"/>
              <w:ind w:left="0"/>
              <w:rPr>
                <w:b/>
                <w:bCs/>
              </w:rPr>
            </w:pPr>
            <w:r>
              <w:rPr>
                <w:b/>
                <w:bCs/>
              </w:rPr>
              <w:t>Recolección de basura</w:t>
            </w:r>
          </w:p>
        </w:tc>
        <w:tc>
          <w:tcPr>
            <w:tcW w:w="606" w:type="pct"/>
            <w:vAlign w:val="center"/>
          </w:tcPr>
          <w:p w:rsidR="00000000" w:rsidRDefault="00000000">
            <w:pPr>
              <w:pStyle w:val="BodyTextIndent"/>
              <w:spacing w:after="0"/>
              <w:ind w:left="0" w:right="78"/>
              <w:jc w:val="right"/>
            </w:pPr>
            <w:r>
              <w:t>21,2</w:t>
            </w:r>
          </w:p>
        </w:tc>
        <w:tc>
          <w:tcPr>
            <w:tcW w:w="557" w:type="pct"/>
            <w:vAlign w:val="center"/>
          </w:tcPr>
          <w:p w:rsidR="00000000" w:rsidRDefault="00000000">
            <w:pPr>
              <w:pStyle w:val="BodyTextIndent"/>
              <w:spacing w:after="0"/>
              <w:ind w:left="0" w:right="56"/>
              <w:jc w:val="right"/>
            </w:pPr>
            <w:r>
              <w:t>40,9</w:t>
            </w:r>
          </w:p>
        </w:tc>
        <w:tc>
          <w:tcPr>
            <w:tcW w:w="551" w:type="pct"/>
            <w:vAlign w:val="center"/>
          </w:tcPr>
          <w:p w:rsidR="00000000" w:rsidRDefault="00000000">
            <w:pPr>
              <w:pStyle w:val="BodyTextIndent"/>
              <w:spacing w:after="0"/>
              <w:ind w:left="0" w:right="22"/>
              <w:jc w:val="right"/>
            </w:pPr>
            <w:r>
              <w:t>0,1</w:t>
            </w:r>
          </w:p>
        </w:tc>
        <w:tc>
          <w:tcPr>
            <w:tcW w:w="606" w:type="pct"/>
            <w:vAlign w:val="center"/>
          </w:tcPr>
          <w:p w:rsidR="00000000" w:rsidRDefault="00000000">
            <w:pPr>
              <w:pStyle w:val="BodyTextIndent"/>
              <w:spacing w:after="0"/>
              <w:ind w:left="0"/>
              <w:jc w:val="right"/>
            </w:pPr>
            <w:r>
              <w:t>33,6</w:t>
            </w:r>
          </w:p>
        </w:tc>
        <w:tc>
          <w:tcPr>
            <w:tcW w:w="606" w:type="pct"/>
            <w:vAlign w:val="center"/>
          </w:tcPr>
          <w:p w:rsidR="00000000" w:rsidRDefault="00000000">
            <w:pPr>
              <w:pStyle w:val="BodyTextIndent"/>
              <w:spacing w:after="0"/>
              <w:ind w:left="0" w:right="45"/>
              <w:jc w:val="right"/>
            </w:pPr>
            <w:r>
              <w:t>55,6</w:t>
            </w:r>
          </w:p>
        </w:tc>
        <w:tc>
          <w:tcPr>
            <w:tcW w:w="607" w:type="pct"/>
            <w:vAlign w:val="center"/>
          </w:tcPr>
          <w:p w:rsidR="00000000" w:rsidRDefault="00000000">
            <w:pPr>
              <w:pStyle w:val="BodyTextIndent"/>
              <w:spacing w:after="0"/>
              <w:ind w:left="0" w:right="114"/>
              <w:jc w:val="right"/>
            </w:pPr>
            <w:r>
              <w:t>2,5</w:t>
            </w:r>
          </w:p>
        </w:tc>
      </w:tr>
    </w:tbl>
    <w:p w:rsidR="00000000" w:rsidRDefault="00000000">
      <w:pPr>
        <w:autoSpaceDE w:val="0"/>
        <w:autoSpaceDN w:val="0"/>
        <w:adjustRightInd w:val="0"/>
        <w:spacing w:before="240" w:after="240"/>
      </w:pPr>
      <w:r>
        <w:rPr>
          <w:i/>
          <w:iCs/>
        </w:rPr>
        <w:t>Fuente</w:t>
      </w:r>
      <w:r>
        <w:t xml:space="preserve">:  </w:t>
      </w:r>
      <w:r>
        <w:rPr>
          <w:bCs/>
        </w:rPr>
        <w:t>Paraguay</w:t>
      </w:r>
      <w:r>
        <w:t xml:space="preserve"> Resultados Finales.  Censo Nacional de Población y Viviendas, 2002.</w:t>
      </w:r>
    </w:p>
    <w:p w:rsidR="00000000" w:rsidRDefault="00000000">
      <w:pPr>
        <w:autoSpaceDE w:val="0"/>
        <w:autoSpaceDN w:val="0"/>
        <w:adjustRightInd w:val="0"/>
        <w:spacing w:after="240"/>
      </w:pPr>
      <w:r>
        <w:rPr>
          <w:b/>
          <w:bCs/>
          <w:vertAlign w:val="superscript"/>
        </w:rPr>
        <w:t>*</w:t>
      </w:r>
      <w:r>
        <w:t xml:space="preserve"> Incluye red </w:t>
      </w:r>
      <w:r>
        <w:rPr>
          <w:bCs/>
        </w:rPr>
        <w:t>pública</w:t>
      </w:r>
      <w:r>
        <w:t xml:space="preserve"> (ESSAP/SENASA) y red privada.</w:t>
      </w:r>
    </w:p>
    <w:p w:rsidR="00000000" w:rsidRDefault="00000000">
      <w:pPr>
        <w:autoSpaceDE w:val="0"/>
        <w:autoSpaceDN w:val="0"/>
        <w:adjustRightInd w:val="0"/>
        <w:spacing w:after="220"/>
        <w:jc w:val="center"/>
        <w:rPr>
          <w:b/>
          <w:bCs/>
          <w:sz w:val="22"/>
        </w:rPr>
      </w:pPr>
      <w:r>
        <w:rPr>
          <w:b/>
          <w:bCs/>
          <w:sz w:val="22"/>
        </w:rPr>
        <w:t>Gráfico 1</w:t>
      </w:r>
    </w:p>
    <w:p w:rsidR="00000000" w:rsidRDefault="00000000">
      <w:pPr>
        <w:autoSpaceDE w:val="0"/>
        <w:autoSpaceDN w:val="0"/>
        <w:adjustRightInd w:val="0"/>
        <w:spacing w:after="220"/>
        <w:jc w:val="center"/>
        <w:rPr>
          <w:b/>
          <w:bCs/>
          <w:sz w:val="22"/>
        </w:rPr>
      </w:pPr>
      <w:r>
        <w:rPr>
          <w:b/>
          <w:bCs/>
          <w:noProof/>
          <w:sz w:val="20"/>
          <w:lang w:eastAsia="es-ES"/>
        </w:rPr>
        <w:pict>
          <v:group id="_x0000_s1100" style="position:absolute;left:0;text-align:left;margin-left:80.6pt;margin-top:39.3pt;width:278.05pt;height:181.95pt;z-index:12" coordorigin="3313,9477" coordsize="5561,3639" wrapcoords="4134 0 4134 1422 2271 2044 175 2844 175 21067 21367 21067 21425 2844 16244 1422 16244 0 4134 0">
            <v:shape id="_x0000_s1064" type="#_x0000_t75" style="position:absolute;left:3313;top:9888;width:5561;height:3228;visibility:visible;mso-wrap-edited:f;mso-position-vertical-relative:page" wrapcoords="175 502 175 20997 21367 20997 21367 502 175 502" o:regroupid="1" o:allowoverlap="f">
              <v:imagedata r:id="rId60" o:title=""/>
            </v:shape>
            <v:shape id="_x0000_s1065" type="#_x0000_t202" style="position:absolute;left:4401;top:9477;width:720;height:360;mso-position-vertical-relative:page" o:regroupid="1" o:allowoverlap="f">
              <v:textbox style="mso-next-textbox:#_x0000_s1065">
                <w:txbxContent>
                  <w:p w:rsidR="00000000" w:rsidRDefault="00000000">
                    <w:pPr>
                      <w:jc w:val="center"/>
                      <w:rPr>
                        <w:sz w:val="20"/>
                      </w:rPr>
                    </w:pPr>
                    <w:r>
                      <w:rPr>
                        <w:sz w:val="20"/>
                      </w:rPr>
                      <w:t>1992</w:t>
                    </w:r>
                  </w:p>
                </w:txbxContent>
              </v:textbox>
            </v:shape>
            <v:shape id="_x0000_s1066" type="#_x0000_t202" style="position:absolute;left:6561;top:9477;width:900;height:360;mso-position-vertical-relative:page" o:regroupid="1" o:allowoverlap="f">
              <v:textbox style="mso-next-textbox:#_x0000_s1066">
                <w:txbxContent>
                  <w:p w:rsidR="00000000" w:rsidRDefault="00000000">
                    <w:pPr>
                      <w:jc w:val="center"/>
                      <w:rPr>
                        <w:sz w:val="20"/>
                      </w:rPr>
                    </w:pPr>
                    <w:r>
                      <w:rPr>
                        <w:sz w:val="20"/>
                      </w:rPr>
                      <w:t>2002</w:t>
                    </w:r>
                  </w:p>
                </w:txbxContent>
              </v:textbox>
            </v:shape>
            <w10:anchorlock/>
          </v:group>
          <o:OLEObject Type="Embed" ProgID="Word.Picture.8" ShapeID="_x0000_s1064" DrawAspect="Content" ObjectID="_1394904878" r:id="rId61"/>
        </w:pict>
      </w:r>
      <w:r>
        <w:rPr>
          <w:b/>
          <w:bCs/>
          <w:sz w:val="22"/>
        </w:rPr>
        <w:t xml:space="preserve">Viviendas particulares según tenencia de luz eléctrica </w:t>
      </w:r>
      <w:r>
        <w:rPr>
          <w:b/>
          <w:bCs/>
          <w:sz w:val="22"/>
        </w:rPr>
        <w:br/>
        <w:t>y agua corriente</w:t>
      </w: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120"/>
      </w:pPr>
    </w:p>
    <w:p w:rsidR="00000000" w:rsidRDefault="00000000">
      <w:pPr>
        <w:autoSpaceDE w:val="0"/>
        <w:autoSpaceDN w:val="0"/>
        <w:adjustRightInd w:val="0"/>
        <w:spacing w:after="240"/>
        <w:ind w:left="1722" w:right="2272"/>
        <w:rPr>
          <w:sz w:val="22"/>
        </w:rPr>
      </w:pPr>
      <w:r>
        <w:rPr>
          <w:i/>
          <w:iCs/>
          <w:sz w:val="22"/>
        </w:rPr>
        <w:t>Fuente</w:t>
      </w:r>
      <w:r>
        <w:rPr>
          <w:sz w:val="22"/>
        </w:rPr>
        <w:t>:  Paraguay resultados finales.  Censo Nacional de Población y Viviendas, 2002.</w:t>
      </w:r>
    </w:p>
    <w:p w:rsidR="00000000" w:rsidRDefault="00000000">
      <w:pPr>
        <w:autoSpaceDE w:val="0"/>
        <w:autoSpaceDN w:val="0"/>
        <w:adjustRightInd w:val="0"/>
        <w:spacing w:after="240"/>
        <w:jc w:val="center"/>
        <w:rPr>
          <w:b/>
          <w:bCs/>
          <w:sz w:val="22"/>
        </w:rPr>
      </w:pPr>
      <w:r>
        <w:rPr>
          <w:sz w:val="22"/>
        </w:rPr>
        <w:br w:type="page"/>
      </w:r>
      <w:r>
        <w:rPr>
          <w:b/>
          <w:bCs/>
          <w:sz w:val="22"/>
        </w:rPr>
        <w:t>Gráfico 2</w:t>
      </w:r>
    </w:p>
    <w:p w:rsidR="00000000" w:rsidRDefault="00000000">
      <w:pPr>
        <w:autoSpaceDE w:val="0"/>
        <w:autoSpaceDN w:val="0"/>
        <w:adjustRightInd w:val="0"/>
        <w:spacing w:after="240"/>
        <w:jc w:val="center"/>
        <w:rPr>
          <w:b/>
          <w:bCs/>
          <w:sz w:val="22"/>
        </w:rPr>
      </w:pPr>
      <w:r>
        <w:rPr>
          <w:b/>
          <w:bCs/>
          <w:sz w:val="22"/>
        </w:rPr>
        <w:t>Viviendas particulares por área urbana rural</w:t>
      </w:r>
    </w:p>
    <w:p w:rsidR="00000000" w:rsidRDefault="00000000">
      <w:pPr>
        <w:autoSpaceDE w:val="0"/>
        <w:autoSpaceDN w:val="0"/>
        <w:adjustRightInd w:val="0"/>
        <w:spacing w:after="240"/>
        <w:jc w:val="center"/>
        <w:rPr>
          <w:b/>
          <w:bCs/>
          <w:sz w:val="22"/>
        </w:rPr>
      </w:pPr>
      <w:r>
        <w:rPr>
          <w:b/>
          <w:bCs/>
          <w:sz w:val="22"/>
        </w:rPr>
        <w:t>Según servicios básicos, 2002</w:t>
      </w:r>
    </w:p>
    <w:p w:rsidR="00000000" w:rsidRDefault="00000000">
      <w:pPr>
        <w:autoSpaceDE w:val="0"/>
        <w:autoSpaceDN w:val="0"/>
        <w:adjustRightInd w:val="0"/>
        <w:spacing w:after="240"/>
        <w:rPr>
          <w:sz w:val="22"/>
        </w:rPr>
      </w:pPr>
      <w:r>
        <w:rPr>
          <w:noProof/>
          <w:sz w:val="20"/>
          <w:lang w:eastAsia="es-ES"/>
        </w:rPr>
        <w:pict>
          <v:shape id="_x0000_s1101" type="#_x0000_t75" style="position:absolute;margin-left:0;margin-top:0;width:441.7pt;height:188.9pt;z-index:19;visibility:visible;mso-wrap-edited:f" wrapcoords="110 429 110 21086 21453 21086 21453 429 110 429" o:allowoverlap="f">
            <v:imagedata r:id="rId62" o:title=""/>
          </v:shape>
          <o:OLEObject Type="Embed" ProgID="Word.Picture.8" ShapeID="_x0000_s1101" DrawAspect="Content" ObjectID="_1394904870" r:id="rId63"/>
        </w:pict>
      </w:r>
    </w:p>
    <w:p w:rsidR="00000000" w:rsidRDefault="00000000">
      <w:pPr>
        <w:autoSpaceDE w:val="0"/>
        <w:autoSpaceDN w:val="0"/>
        <w:adjustRightInd w:val="0"/>
        <w:spacing w:after="240"/>
        <w:rPr>
          <w:sz w:val="22"/>
        </w:rPr>
      </w:pPr>
    </w:p>
    <w:p w:rsidR="00000000" w:rsidRDefault="00000000">
      <w:pPr>
        <w:autoSpaceDE w:val="0"/>
        <w:autoSpaceDN w:val="0"/>
        <w:adjustRightInd w:val="0"/>
        <w:spacing w:after="240"/>
        <w:rPr>
          <w:sz w:val="22"/>
        </w:rPr>
      </w:pPr>
    </w:p>
    <w:p w:rsidR="00000000" w:rsidRDefault="00000000">
      <w:pPr>
        <w:autoSpaceDE w:val="0"/>
        <w:autoSpaceDN w:val="0"/>
        <w:adjustRightInd w:val="0"/>
        <w:spacing w:after="240"/>
        <w:rPr>
          <w:sz w:val="22"/>
        </w:rPr>
      </w:pPr>
    </w:p>
    <w:p w:rsidR="00000000" w:rsidRDefault="00000000">
      <w:pPr>
        <w:autoSpaceDE w:val="0"/>
        <w:autoSpaceDN w:val="0"/>
        <w:adjustRightInd w:val="0"/>
        <w:spacing w:after="240"/>
        <w:rPr>
          <w:sz w:val="22"/>
        </w:rPr>
      </w:pPr>
    </w:p>
    <w:p w:rsidR="00000000" w:rsidRDefault="00000000">
      <w:pPr>
        <w:autoSpaceDE w:val="0"/>
        <w:autoSpaceDN w:val="0"/>
        <w:adjustRightInd w:val="0"/>
        <w:spacing w:after="240"/>
        <w:rPr>
          <w:sz w:val="22"/>
        </w:rPr>
      </w:pPr>
    </w:p>
    <w:p w:rsidR="00000000" w:rsidRDefault="00000000">
      <w:pPr>
        <w:autoSpaceDE w:val="0"/>
        <w:autoSpaceDN w:val="0"/>
        <w:adjustRightInd w:val="0"/>
        <w:spacing w:after="240"/>
        <w:rPr>
          <w:sz w:val="22"/>
        </w:rPr>
      </w:pPr>
    </w:p>
    <w:p w:rsidR="00000000" w:rsidRDefault="00000000">
      <w:pPr>
        <w:autoSpaceDE w:val="0"/>
        <w:autoSpaceDN w:val="0"/>
        <w:adjustRightInd w:val="0"/>
        <w:spacing w:after="240"/>
        <w:rPr>
          <w:sz w:val="22"/>
        </w:rPr>
      </w:pPr>
    </w:p>
    <w:p w:rsidR="00000000" w:rsidRDefault="00000000">
      <w:pPr>
        <w:autoSpaceDE w:val="0"/>
        <w:autoSpaceDN w:val="0"/>
        <w:adjustRightInd w:val="0"/>
        <w:spacing w:after="480"/>
        <w:rPr>
          <w:sz w:val="22"/>
        </w:rPr>
      </w:pPr>
      <w:r>
        <w:rPr>
          <w:i/>
          <w:iCs/>
          <w:sz w:val="22"/>
        </w:rPr>
        <w:t>Fuente</w:t>
      </w:r>
      <w:r>
        <w:rPr>
          <w:sz w:val="22"/>
        </w:rPr>
        <w:t>:  Paraguay resultados finales.  Censo Nacional de Población y Viviendas, 2002.</w:t>
      </w:r>
    </w:p>
    <w:p w:rsidR="00000000" w:rsidRDefault="00000000">
      <w:pPr>
        <w:autoSpaceDE w:val="0"/>
        <w:autoSpaceDN w:val="0"/>
        <w:adjustRightInd w:val="0"/>
        <w:spacing w:after="240"/>
      </w:pPr>
      <w:r>
        <w:t>397.</w:t>
      </w:r>
      <w:r>
        <w:tab/>
        <w:t>El total de viviendas deficitarias por problemas de calidad física en todo el país es de 222.298, siendo las del área urbana 48.194 y del área rural 174.104 viviendas. En el cuadro 2 fueron consideradas viviendas deficitarias las del tipo: rancho, improvisadas, otras y el material predominante en paredes exteriores, piso y techo.</w:t>
      </w:r>
    </w:p>
    <w:p w:rsidR="00000000" w:rsidRDefault="00000000">
      <w:pPr>
        <w:autoSpaceDE w:val="0"/>
        <w:autoSpaceDN w:val="0"/>
        <w:adjustRightInd w:val="0"/>
        <w:spacing w:after="190"/>
        <w:jc w:val="center"/>
        <w:rPr>
          <w:b/>
          <w:bCs/>
          <w:sz w:val="19"/>
        </w:rPr>
      </w:pPr>
      <w:r>
        <w:rPr>
          <w:b/>
          <w:bCs/>
          <w:sz w:val="19"/>
        </w:rPr>
        <w:t>Cuadro 2</w:t>
      </w:r>
    </w:p>
    <w:p w:rsidR="00000000" w:rsidRDefault="00000000">
      <w:pPr>
        <w:autoSpaceDE w:val="0"/>
        <w:autoSpaceDN w:val="0"/>
        <w:adjustRightInd w:val="0"/>
        <w:spacing w:after="190"/>
        <w:jc w:val="center"/>
        <w:rPr>
          <w:b/>
          <w:iCs/>
          <w:sz w:val="19"/>
        </w:rPr>
      </w:pPr>
      <w:r>
        <w:rPr>
          <w:b/>
          <w:iCs/>
          <w:sz w:val="19"/>
        </w:rPr>
        <w:t>Viviendas particulares deficitarias por problemas de calidad física por tipo</w:t>
      </w:r>
      <w:r>
        <w:rPr>
          <w:b/>
          <w:iCs/>
          <w:sz w:val="19"/>
        </w:rPr>
        <w:br/>
        <w:t>de vivienda, según área urbana-rural y material predominante en paredes</w:t>
      </w:r>
      <w:r>
        <w:rPr>
          <w:b/>
          <w:iCs/>
          <w:sz w:val="19"/>
        </w:rPr>
        <w:br/>
        <w:t>exteriores, piso, techo,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663"/>
        <w:gridCol w:w="7"/>
        <w:gridCol w:w="1920"/>
        <w:gridCol w:w="1135"/>
        <w:gridCol w:w="1619"/>
        <w:gridCol w:w="1150"/>
      </w:tblGrid>
      <w:tr w:rsidR="00000000">
        <w:tblPrEx>
          <w:tblCellMar>
            <w:top w:w="0" w:type="dxa"/>
            <w:bottom w:w="0" w:type="dxa"/>
          </w:tblCellMar>
        </w:tblPrEx>
        <w:trPr>
          <w:cantSplit/>
          <w:tblHeader/>
        </w:trPr>
        <w:tc>
          <w:tcPr>
            <w:tcW w:w="3663" w:type="dxa"/>
            <w:vMerge w:val="restart"/>
            <w:vAlign w:val="center"/>
          </w:tcPr>
          <w:p w:rsidR="00000000" w:rsidRDefault="00000000">
            <w:pPr>
              <w:autoSpaceDE w:val="0"/>
              <w:autoSpaceDN w:val="0"/>
              <w:adjustRightInd w:val="0"/>
              <w:jc w:val="center"/>
              <w:rPr>
                <w:b/>
                <w:bCs/>
                <w:sz w:val="19"/>
              </w:rPr>
            </w:pPr>
            <w:r>
              <w:rPr>
                <w:b/>
                <w:bCs/>
                <w:iCs/>
                <w:sz w:val="19"/>
              </w:rPr>
              <w:t>Área urbana-rural y material predominante en paredes exteriores,</w:t>
            </w:r>
            <w:r>
              <w:rPr>
                <w:b/>
                <w:bCs/>
                <w:iCs/>
                <w:sz w:val="19"/>
              </w:rPr>
              <w:br/>
              <w:t>piso y techo</w:t>
            </w:r>
          </w:p>
        </w:tc>
        <w:tc>
          <w:tcPr>
            <w:tcW w:w="5831" w:type="dxa"/>
            <w:gridSpan w:val="5"/>
            <w:vAlign w:val="center"/>
          </w:tcPr>
          <w:p w:rsidR="00000000" w:rsidRDefault="00000000">
            <w:pPr>
              <w:autoSpaceDE w:val="0"/>
              <w:autoSpaceDN w:val="0"/>
              <w:adjustRightInd w:val="0"/>
              <w:jc w:val="center"/>
              <w:rPr>
                <w:b/>
                <w:bCs/>
                <w:sz w:val="19"/>
              </w:rPr>
            </w:pPr>
            <w:r>
              <w:rPr>
                <w:b/>
                <w:bCs/>
                <w:iCs/>
                <w:sz w:val="19"/>
              </w:rPr>
              <w:t>Vivienda particulares ocupadas con personas presentes</w:t>
            </w:r>
          </w:p>
        </w:tc>
      </w:tr>
      <w:tr w:rsidR="00000000">
        <w:tblPrEx>
          <w:tblCellMar>
            <w:top w:w="0" w:type="dxa"/>
            <w:bottom w:w="0" w:type="dxa"/>
          </w:tblCellMar>
        </w:tblPrEx>
        <w:trPr>
          <w:cantSplit/>
          <w:tblHeader/>
        </w:trPr>
        <w:tc>
          <w:tcPr>
            <w:tcW w:w="3663" w:type="dxa"/>
            <w:vMerge/>
            <w:vAlign w:val="center"/>
          </w:tcPr>
          <w:p w:rsidR="00000000" w:rsidRDefault="00000000">
            <w:pPr>
              <w:autoSpaceDE w:val="0"/>
              <w:autoSpaceDN w:val="0"/>
              <w:adjustRightInd w:val="0"/>
              <w:jc w:val="center"/>
              <w:rPr>
                <w:b/>
                <w:bCs/>
                <w:sz w:val="19"/>
              </w:rPr>
            </w:pPr>
          </w:p>
        </w:tc>
        <w:tc>
          <w:tcPr>
            <w:tcW w:w="1927" w:type="dxa"/>
            <w:gridSpan w:val="2"/>
            <w:vMerge w:val="restart"/>
            <w:vAlign w:val="center"/>
          </w:tcPr>
          <w:p w:rsidR="00000000" w:rsidRDefault="00000000">
            <w:pPr>
              <w:autoSpaceDE w:val="0"/>
              <w:autoSpaceDN w:val="0"/>
              <w:adjustRightInd w:val="0"/>
              <w:jc w:val="center"/>
              <w:rPr>
                <w:b/>
                <w:bCs/>
                <w:sz w:val="19"/>
              </w:rPr>
            </w:pPr>
            <w:r>
              <w:rPr>
                <w:b/>
                <w:bCs/>
                <w:sz w:val="19"/>
              </w:rPr>
              <w:t>Total</w:t>
            </w:r>
          </w:p>
        </w:tc>
        <w:tc>
          <w:tcPr>
            <w:tcW w:w="3904" w:type="dxa"/>
            <w:gridSpan w:val="3"/>
            <w:vAlign w:val="center"/>
          </w:tcPr>
          <w:p w:rsidR="00000000" w:rsidRDefault="00000000">
            <w:pPr>
              <w:autoSpaceDE w:val="0"/>
              <w:autoSpaceDN w:val="0"/>
              <w:adjustRightInd w:val="0"/>
              <w:jc w:val="center"/>
              <w:rPr>
                <w:b/>
                <w:bCs/>
                <w:sz w:val="19"/>
              </w:rPr>
            </w:pPr>
            <w:r>
              <w:rPr>
                <w:b/>
                <w:bCs/>
                <w:iCs/>
                <w:sz w:val="19"/>
              </w:rPr>
              <w:t>Tipo de vivienda</w:t>
            </w:r>
          </w:p>
        </w:tc>
      </w:tr>
      <w:tr w:rsidR="00000000">
        <w:tblPrEx>
          <w:tblCellMar>
            <w:top w:w="0" w:type="dxa"/>
            <w:bottom w:w="0" w:type="dxa"/>
          </w:tblCellMar>
        </w:tblPrEx>
        <w:trPr>
          <w:cantSplit/>
          <w:tblHeader/>
        </w:trPr>
        <w:tc>
          <w:tcPr>
            <w:tcW w:w="3663" w:type="dxa"/>
            <w:vMerge/>
            <w:vAlign w:val="center"/>
          </w:tcPr>
          <w:p w:rsidR="00000000" w:rsidRDefault="00000000">
            <w:pPr>
              <w:autoSpaceDE w:val="0"/>
              <w:autoSpaceDN w:val="0"/>
              <w:adjustRightInd w:val="0"/>
              <w:jc w:val="center"/>
              <w:rPr>
                <w:b/>
                <w:bCs/>
                <w:sz w:val="19"/>
              </w:rPr>
            </w:pPr>
          </w:p>
        </w:tc>
        <w:tc>
          <w:tcPr>
            <w:tcW w:w="1927" w:type="dxa"/>
            <w:gridSpan w:val="2"/>
            <w:vMerge/>
            <w:vAlign w:val="center"/>
          </w:tcPr>
          <w:p w:rsidR="00000000" w:rsidRDefault="00000000">
            <w:pPr>
              <w:autoSpaceDE w:val="0"/>
              <w:autoSpaceDN w:val="0"/>
              <w:adjustRightInd w:val="0"/>
              <w:jc w:val="center"/>
              <w:rPr>
                <w:b/>
                <w:bCs/>
                <w:sz w:val="19"/>
              </w:rPr>
            </w:pPr>
          </w:p>
        </w:tc>
        <w:tc>
          <w:tcPr>
            <w:tcW w:w="1135" w:type="dxa"/>
            <w:vAlign w:val="center"/>
          </w:tcPr>
          <w:p w:rsidR="00000000" w:rsidRDefault="00000000">
            <w:pPr>
              <w:autoSpaceDE w:val="0"/>
              <w:autoSpaceDN w:val="0"/>
              <w:adjustRightInd w:val="0"/>
              <w:jc w:val="center"/>
              <w:rPr>
                <w:b/>
                <w:bCs/>
                <w:sz w:val="19"/>
              </w:rPr>
            </w:pPr>
            <w:r>
              <w:rPr>
                <w:b/>
                <w:bCs/>
                <w:sz w:val="19"/>
              </w:rPr>
              <w:t>Rancho</w:t>
            </w:r>
          </w:p>
        </w:tc>
        <w:tc>
          <w:tcPr>
            <w:tcW w:w="1619" w:type="dxa"/>
            <w:vAlign w:val="center"/>
          </w:tcPr>
          <w:p w:rsidR="00000000" w:rsidRDefault="00000000">
            <w:pPr>
              <w:autoSpaceDE w:val="0"/>
              <w:autoSpaceDN w:val="0"/>
              <w:adjustRightInd w:val="0"/>
              <w:jc w:val="center"/>
              <w:rPr>
                <w:b/>
                <w:bCs/>
                <w:sz w:val="19"/>
              </w:rPr>
            </w:pPr>
            <w:r>
              <w:rPr>
                <w:b/>
                <w:bCs/>
                <w:sz w:val="19"/>
              </w:rPr>
              <w:t>Vivienda improvisada</w:t>
            </w:r>
          </w:p>
        </w:tc>
        <w:tc>
          <w:tcPr>
            <w:tcW w:w="1150" w:type="dxa"/>
            <w:vAlign w:val="center"/>
          </w:tcPr>
          <w:p w:rsidR="00000000" w:rsidRDefault="00000000">
            <w:pPr>
              <w:autoSpaceDE w:val="0"/>
              <w:autoSpaceDN w:val="0"/>
              <w:adjustRightInd w:val="0"/>
              <w:jc w:val="center"/>
              <w:rPr>
                <w:b/>
                <w:bCs/>
                <w:sz w:val="19"/>
              </w:rPr>
            </w:pPr>
            <w:r>
              <w:rPr>
                <w:b/>
                <w:bCs/>
                <w:sz w:val="19"/>
              </w:rPr>
              <w:t>Otro</w:t>
            </w:r>
          </w:p>
        </w:tc>
      </w:tr>
      <w:tr w:rsidR="00000000">
        <w:tblPrEx>
          <w:tblCellMar>
            <w:top w:w="0" w:type="dxa"/>
            <w:bottom w:w="0" w:type="dxa"/>
          </w:tblCellMar>
        </w:tblPrEx>
        <w:trPr>
          <w:cantSplit/>
        </w:trPr>
        <w:tc>
          <w:tcPr>
            <w:tcW w:w="3663" w:type="dxa"/>
          </w:tcPr>
          <w:p w:rsidR="00000000" w:rsidRDefault="00000000">
            <w:pPr>
              <w:pStyle w:val="BodyTextIndent"/>
              <w:spacing w:after="0"/>
              <w:ind w:left="0"/>
              <w:rPr>
                <w:b/>
                <w:bCs/>
                <w:sz w:val="19"/>
              </w:rPr>
            </w:pPr>
            <w:r>
              <w:rPr>
                <w:b/>
                <w:bCs/>
                <w:sz w:val="19"/>
              </w:rPr>
              <w:t>Total país</w:t>
            </w:r>
          </w:p>
        </w:tc>
        <w:tc>
          <w:tcPr>
            <w:tcW w:w="1927" w:type="dxa"/>
            <w:gridSpan w:val="2"/>
          </w:tcPr>
          <w:p w:rsidR="00000000" w:rsidRDefault="00000000">
            <w:pPr>
              <w:pStyle w:val="BodyTextIndent"/>
              <w:tabs>
                <w:tab w:val="decimal" w:pos="1010"/>
              </w:tabs>
              <w:spacing w:after="0"/>
              <w:ind w:left="0"/>
              <w:rPr>
                <w:b/>
                <w:bCs/>
                <w:sz w:val="19"/>
              </w:rPr>
            </w:pPr>
          </w:p>
        </w:tc>
        <w:tc>
          <w:tcPr>
            <w:tcW w:w="1135" w:type="dxa"/>
          </w:tcPr>
          <w:p w:rsidR="00000000" w:rsidRDefault="00000000">
            <w:pPr>
              <w:pStyle w:val="BodyTextIndent"/>
              <w:tabs>
                <w:tab w:val="decimal" w:pos="834"/>
              </w:tabs>
              <w:spacing w:after="0"/>
              <w:ind w:left="0"/>
              <w:rPr>
                <w:b/>
                <w:bCs/>
                <w:sz w:val="19"/>
              </w:rPr>
            </w:pPr>
          </w:p>
        </w:tc>
        <w:tc>
          <w:tcPr>
            <w:tcW w:w="1619" w:type="dxa"/>
          </w:tcPr>
          <w:p w:rsidR="00000000" w:rsidRDefault="00000000">
            <w:pPr>
              <w:pStyle w:val="BodyTextIndent"/>
              <w:tabs>
                <w:tab w:val="decimal" w:pos="1010"/>
              </w:tabs>
              <w:spacing w:after="0"/>
              <w:ind w:left="0"/>
              <w:rPr>
                <w:b/>
                <w:bCs/>
                <w:sz w:val="19"/>
              </w:rPr>
            </w:pPr>
          </w:p>
        </w:tc>
        <w:tc>
          <w:tcPr>
            <w:tcW w:w="1150" w:type="dxa"/>
          </w:tcPr>
          <w:p w:rsidR="00000000" w:rsidRDefault="00000000">
            <w:pPr>
              <w:pStyle w:val="BodyTextIndent"/>
              <w:tabs>
                <w:tab w:val="decimal" w:pos="835"/>
              </w:tabs>
              <w:spacing w:after="0"/>
              <w:ind w:left="0"/>
              <w:rPr>
                <w:b/>
                <w:bCs/>
                <w:sz w:val="19"/>
              </w:rPr>
            </w:pP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Total viviendas</w:t>
            </w:r>
          </w:p>
        </w:tc>
        <w:tc>
          <w:tcPr>
            <w:tcW w:w="1927" w:type="dxa"/>
            <w:gridSpan w:val="2"/>
          </w:tcPr>
          <w:p w:rsidR="00000000" w:rsidRDefault="00000000">
            <w:pPr>
              <w:pStyle w:val="BodyTextIndent"/>
              <w:tabs>
                <w:tab w:val="decimal" w:pos="1257"/>
              </w:tabs>
              <w:spacing w:after="0"/>
              <w:ind w:left="0"/>
              <w:rPr>
                <w:sz w:val="19"/>
              </w:rPr>
            </w:pPr>
            <w:r>
              <w:rPr>
                <w:sz w:val="19"/>
              </w:rPr>
              <w:t>222.298</w:t>
            </w:r>
          </w:p>
        </w:tc>
        <w:tc>
          <w:tcPr>
            <w:tcW w:w="1135" w:type="dxa"/>
          </w:tcPr>
          <w:p w:rsidR="00000000" w:rsidRDefault="00000000">
            <w:pPr>
              <w:pStyle w:val="BodyTextIndent"/>
              <w:tabs>
                <w:tab w:val="decimal" w:pos="834"/>
              </w:tabs>
              <w:spacing w:after="0"/>
              <w:ind w:left="0"/>
              <w:rPr>
                <w:sz w:val="19"/>
              </w:rPr>
            </w:pPr>
            <w:r>
              <w:rPr>
                <w:sz w:val="19"/>
              </w:rPr>
              <w:t>216.251</w:t>
            </w:r>
          </w:p>
        </w:tc>
        <w:tc>
          <w:tcPr>
            <w:tcW w:w="1619" w:type="dxa"/>
          </w:tcPr>
          <w:p w:rsidR="00000000" w:rsidRDefault="00000000">
            <w:pPr>
              <w:pStyle w:val="BodyTextIndent"/>
              <w:tabs>
                <w:tab w:val="decimal" w:pos="1010"/>
              </w:tabs>
              <w:spacing w:after="0"/>
              <w:ind w:left="0"/>
              <w:rPr>
                <w:sz w:val="19"/>
              </w:rPr>
            </w:pPr>
            <w:r>
              <w:rPr>
                <w:sz w:val="19"/>
              </w:rPr>
              <w:t>2.091</w:t>
            </w:r>
          </w:p>
        </w:tc>
        <w:tc>
          <w:tcPr>
            <w:tcW w:w="1150" w:type="dxa"/>
          </w:tcPr>
          <w:p w:rsidR="00000000" w:rsidRDefault="00000000">
            <w:pPr>
              <w:pStyle w:val="BodyTextIndent"/>
              <w:tabs>
                <w:tab w:val="decimal" w:pos="835"/>
              </w:tabs>
              <w:spacing w:after="0"/>
              <w:ind w:left="0"/>
              <w:rPr>
                <w:sz w:val="19"/>
              </w:rPr>
            </w:pPr>
            <w:r>
              <w:rPr>
                <w:sz w:val="19"/>
              </w:rPr>
              <w:t>3.956</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A. Paredes exteriores</w:t>
            </w:r>
          </w:p>
        </w:tc>
        <w:tc>
          <w:tcPr>
            <w:tcW w:w="1927" w:type="dxa"/>
            <w:gridSpan w:val="2"/>
          </w:tcPr>
          <w:p w:rsidR="00000000" w:rsidRDefault="00000000">
            <w:pPr>
              <w:pStyle w:val="BodyTextIndent"/>
              <w:tabs>
                <w:tab w:val="decimal" w:pos="1257"/>
              </w:tabs>
              <w:spacing w:after="0"/>
              <w:ind w:left="0"/>
              <w:rPr>
                <w:sz w:val="19"/>
              </w:rPr>
            </w:pPr>
          </w:p>
        </w:tc>
        <w:tc>
          <w:tcPr>
            <w:tcW w:w="1135" w:type="dxa"/>
          </w:tcPr>
          <w:p w:rsidR="00000000" w:rsidRDefault="00000000">
            <w:pPr>
              <w:pStyle w:val="BodyTextIndent"/>
              <w:tabs>
                <w:tab w:val="decimal" w:pos="834"/>
              </w:tabs>
              <w:spacing w:after="0"/>
              <w:ind w:left="0"/>
              <w:rPr>
                <w:sz w:val="19"/>
              </w:rPr>
            </w:pPr>
          </w:p>
        </w:tc>
        <w:tc>
          <w:tcPr>
            <w:tcW w:w="1619" w:type="dxa"/>
          </w:tcPr>
          <w:p w:rsidR="00000000" w:rsidRDefault="00000000">
            <w:pPr>
              <w:pStyle w:val="BodyTextIndent"/>
              <w:tabs>
                <w:tab w:val="decimal" w:pos="1010"/>
              </w:tabs>
              <w:spacing w:after="0"/>
              <w:ind w:left="0"/>
              <w:rPr>
                <w:sz w:val="19"/>
              </w:rPr>
            </w:pPr>
          </w:p>
        </w:tc>
        <w:tc>
          <w:tcPr>
            <w:tcW w:w="1150" w:type="dxa"/>
          </w:tcPr>
          <w:p w:rsidR="00000000" w:rsidRDefault="00000000">
            <w:pPr>
              <w:pStyle w:val="BodyTextIndent"/>
              <w:tabs>
                <w:tab w:val="decimal" w:pos="835"/>
              </w:tabs>
              <w:spacing w:after="0"/>
              <w:ind w:left="0"/>
              <w:rPr>
                <w:sz w:val="19"/>
              </w:rPr>
            </w:pP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Ladrillo</w:t>
            </w:r>
          </w:p>
        </w:tc>
        <w:tc>
          <w:tcPr>
            <w:tcW w:w="1927" w:type="dxa"/>
            <w:gridSpan w:val="2"/>
          </w:tcPr>
          <w:p w:rsidR="00000000" w:rsidRDefault="00000000">
            <w:pPr>
              <w:pStyle w:val="BodyTextIndent"/>
              <w:tabs>
                <w:tab w:val="decimal" w:pos="1257"/>
              </w:tabs>
              <w:spacing w:after="0"/>
              <w:ind w:left="0"/>
              <w:rPr>
                <w:sz w:val="19"/>
              </w:rPr>
            </w:pPr>
            <w:r>
              <w:rPr>
                <w:sz w:val="19"/>
              </w:rPr>
              <w:t>10.733</w:t>
            </w:r>
          </w:p>
        </w:tc>
        <w:tc>
          <w:tcPr>
            <w:tcW w:w="1135" w:type="dxa"/>
          </w:tcPr>
          <w:p w:rsidR="00000000" w:rsidRDefault="00000000">
            <w:pPr>
              <w:pStyle w:val="BodyTextIndent"/>
              <w:tabs>
                <w:tab w:val="decimal" w:pos="834"/>
              </w:tabs>
              <w:spacing w:after="0"/>
              <w:ind w:left="0"/>
              <w:rPr>
                <w:sz w:val="19"/>
              </w:rPr>
            </w:pPr>
            <w:r>
              <w:rPr>
                <w:sz w:val="19"/>
              </w:rPr>
              <w:t>8.341</w:t>
            </w:r>
          </w:p>
        </w:tc>
        <w:tc>
          <w:tcPr>
            <w:tcW w:w="1619" w:type="dxa"/>
          </w:tcPr>
          <w:p w:rsidR="00000000" w:rsidRDefault="00000000">
            <w:pPr>
              <w:pStyle w:val="BodyTextIndent"/>
              <w:tabs>
                <w:tab w:val="decimal" w:pos="1010"/>
              </w:tabs>
              <w:spacing w:after="0"/>
              <w:ind w:left="0"/>
              <w:rPr>
                <w:sz w:val="19"/>
              </w:rPr>
            </w:pPr>
            <w:r>
              <w:rPr>
                <w:sz w:val="19"/>
              </w:rPr>
              <w:t>18</w:t>
            </w:r>
          </w:p>
        </w:tc>
        <w:tc>
          <w:tcPr>
            <w:tcW w:w="1150" w:type="dxa"/>
          </w:tcPr>
          <w:p w:rsidR="00000000" w:rsidRDefault="00000000">
            <w:pPr>
              <w:pStyle w:val="BodyTextIndent"/>
              <w:tabs>
                <w:tab w:val="decimal" w:pos="835"/>
              </w:tabs>
              <w:spacing w:after="0"/>
              <w:ind w:left="0"/>
              <w:rPr>
                <w:sz w:val="19"/>
              </w:rPr>
            </w:pPr>
            <w:r>
              <w:rPr>
                <w:sz w:val="19"/>
              </w:rPr>
              <w:t>2.374</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Madera</w:t>
            </w:r>
          </w:p>
        </w:tc>
        <w:tc>
          <w:tcPr>
            <w:tcW w:w="1927" w:type="dxa"/>
            <w:gridSpan w:val="2"/>
          </w:tcPr>
          <w:p w:rsidR="00000000" w:rsidRDefault="00000000">
            <w:pPr>
              <w:pStyle w:val="BodyTextIndent"/>
              <w:tabs>
                <w:tab w:val="decimal" w:pos="1257"/>
              </w:tabs>
              <w:spacing w:after="0"/>
              <w:ind w:left="0"/>
              <w:rPr>
                <w:sz w:val="19"/>
              </w:rPr>
            </w:pPr>
            <w:r>
              <w:rPr>
                <w:sz w:val="19"/>
              </w:rPr>
              <w:t>170.007</w:t>
            </w:r>
          </w:p>
        </w:tc>
        <w:tc>
          <w:tcPr>
            <w:tcW w:w="1135" w:type="dxa"/>
          </w:tcPr>
          <w:p w:rsidR="00000000" w:rsidRDefault="00000000">
            <w:pPr>
              <w:pStyle w:val="BodyTextIndent"/>
              <w:tabs>
                <w:tab w:val="decimal" w:pos="834"/>
              </w:tabs>
              <w:spacing w:after="0"/>
              <w:ind w:left="0"/>
              <w:rPr>
                <w:sz w:val="19"/>
              </w:rPr>
            </w:pPr>
            <w:r>
              <w:rPr>
                <w:sz w:val="19"/>
              </w:rPr>
              <w:t>168.961</w:t>
            </w:r>
          </w:p>
        </w:tc>
        <w:tc>
          <w:tcPr>
            <w:tcW w:w="1619" w:type="dxa"/>
          </w:tcPr>
          <w:p w:rsidR="00000000" w:rsidRDefault="00000000">
            <w:pPr>
              <w:pStyle w:val="BodyTextIndent"/>
              <w:tabs>
                <w:tab w:val="decimal" w:pos="1010"/>
              </w:tabs>
              <w:spacing w:after="0"/>
              <w:ind w:left="0"/>
              <w:rPr>
                <w:sz w:val="19"/>
              </w:rPr>
            </w:pPr>
            <w:r>
              <w:rPr>
                <w:sz w:val="19"/>
              </w:rPr>
              <w:t>144</w:t>
            </w:r>
          </w:p>
        </w:tc>
        <w:tc>
          <w:tcPr>
            <w:tcW w:w="1150" w:type="dxa"/>
          </w:tcPr>
          <w:p w:rsidR="00000000" w:rsidRDefault="00000000">
            <w:pPr>
              <w:pStyle w:val="BodyTextIndent"/>
              <w:tabs>
                <w:tab w:val="decimal" w:pos="835"/>
              </w:tabs>
              <w:spacing w:after="0"/>
              <w:ind w:left="0"/>
              <w:rPr>
                <w:sz w:val="19"/>
              </w:rPr>
            </w:pPr>
            <w:r>
              <w:rPr>
                <w:sz w:val="19"/>
              </w:rPr>
              <w:t>902</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Estaqueo</w:t>
            </w:r>
          </w:p>
        </w:tc>
        <w:tc>
          <w:tcPr>
            <w:tcW w:w="1927" w:type="dxa"/>
            <w:gridSpan w:val="2"/>
          </w:tcPr>
          <w:p w:rsidR="00000000" w:rsidRDefault="00000000">
            <w:pPr>
              <w:pStyle w:val="BodyTextIndent"/>
              <w:tabs>
                <w:tab w:val="decimal" w:pos="1257"/>
              </w:tabs>
              <w:spacing w:after="0"/>
              <w:ind w:left="0"/>
              <w:rPr>
                <w:sz w:val="19"/>
              </w:rPr>
            </w:pPr>
            <w:r>
              <w:rPr>
                <w:sz w:val="19"/>
              </w:rPr>
              <w:t>24.025</w:t>
            </w:r>
          </w:p>
        </w:tc>
        <w:tc>
          <w:tcPr>
            <w:tcW w:w="1135" w:type="dxa"/>
          </w:tcPr>
          <w:p w:rsidR="00000000" w:rsidRDefault="00000000">
            <w:pPr>
              <w:pStyle w:val="BodyTextIndent"/>
              <w:tabs>
                <w:tab w:val="decimal" w:pos="834"/>
              </w:tabs>
              <w:spacing w:after="0"/>
              <w:ind w:left="0"/>
              <w:rPr>
                <w:sz w:val="19"/>
              </w:rPr>
            </w:pPr>
            <w:r>
              <w:rPr>
                <w:sz w:val="19"/>
              </w:rPr>
              <w:t>23.926</w:t>
            </w:r>
          </w:p>
        </w:tc>
        <w:tc>
          <w:tcPr>
            <w:tcW w:w="1619" w:type="dxa"/>
          </w:tcPr>
          <w:p w:rsidR="00000000" w:rsidRDefault="00000000">
            <w:pPr>
              <w:pStyle w:val="BodyTextIndent"/>
              <w:tabs>
                <w:tab w:val="decimal" w:pos="1010"/>
              </w:tabs>
              <w:spacing w:after="0"/>
              <w:ind w:left="0"/>
              <w:rPr>
                <w:sz w:val="19"/>
              </w:rPr>
            </w:pPr>
            <w:r>
              <w:rPr>
                <w:sz w:val="19"/>
              </w:rPr>
              <w:t>60</w:t>
            </w:r>
          </w:p>
        </w:tc>
        <w:tc>
          <w:tcPr>
            <w:tcW w:w="1150" w:type="dxa"/>
          </w:tcPr>
          <w:p w:rsidR="00000000" w:rsidRDefault="00000000">
            <w:pPr>
              <w:pStyle w:val="BodyTextIndent"/>
              <w:tabs>
                <w:tab w:val="decimal" w:pos="835"/>
              </w:tabs>
              <w:spacing w:after="0"/>
              <w:ind w:left="0"/>
              <w:rPr>
                <w:sz w:val="19"/>
              </w:rPr>
            </w:pPr>
            <w:r>
              <w:rPr>
                <w:sz w:val="19"/>
              </w:rPr>
              <w:t>39</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Adobe</w:t>
            </w:r>
          </w:p>
        </w:tc>
        <w:tc>
          <w:tcPr>
            <w:tcW w:w="1927" w:type="dxa"/>
            <w:gridSpan w:val="2"/>
          </w:tcPr>
          <w:p w:rsidR="00000000" w:rsidRDefault="00000000">
            <w:pPr>
              <w:pStyle w:val="BodyTextIndent"/>
              <w:tabs>
                <w:tab w:val="decimal" w:pos="1257"/>
              </w:tabs>
              <w:spacing w:after="0"/>
              <w:ind w:left="0"/>
              <w:rPr>
                <w:sz w:val="19"/>
              </w:rPr>
            </w:pPr>
            <w:r>
              <w:rPr>
                <w:sz w:val="19"/>
              </w:rPr>
              <w:t>7.865</w:t>
            </w:r>
          </w:p>
        </w:tc>
        <w:tc>
          <w:tcPr>
            <w:tcW w:w="1135" w:type="dxa"/>
          </w:tcPr>
          <w:p w:rsidR="00000000" w:rsidRDefault="00000000">
            <w:pPr>
              <w:pStyle w:val="BodyTextIndent"/>
              <w:tabs>
                <w:tab w:val="decimal" w:pos="834"/>
              </w:tabs>
              <w:spacing w:after="0"/>
              <w:ind w:left="0"/>
              <w:rPr>
                <w:sz w:val="19"/>
              </w:rPr>
            </w:pPr>
            <w:r>
              <w:rPr>
                <w:sz w:val="19"/>
              </w:rPr>
              <w:t>7.858</w:t>
            </w:r>
          </w:p>
        </w:tc>
        <w:tc>
          <w:tcPr>
            <w:tcW w:w="1619" w:type="dxa"/>
          </w:tcPr>
          <w:p w:rsidR="00000000" w:rsidRDefault="00000000">
            <w:pPr>
              <w:pStyle w:val="BodyTextIndent"/>
              <w:tabs>
                <w:tab w:val="decimal" w:pos="1010"/>
              </w:tabs>
              <w:spacing w:after="0"/>
              <w:ind w:left="0"/>
              <w:rPr>
                <w:sz w:val="19"/>
              </w:rPr>
            </w:pPr>
            <w:r>
              <w:rPr>
                <w:sz w:val="19"/>
              </w:rPr>
              <w:t>3</w:t>
            </w:r>
          </w:p>
        </w:tc>
        <w:tc>
          <w:tcPr>
            <w:tcW w:w="1150" w:type="dxa"/>
          </w:tcPr>
          <w:p w:rsidR="00000000" w:rsidRDefault="00000000">
            <w:pPr>
              <w:pStyle w:val="BodyTextIndent"/>
              <w:tabs>
                <w:tab w:val="decimal" w:pos="835"/>
              </w:tabs>
              <w:spacing w:after="0"/>
              <w:ind w:left="0"/>
              <w:rPr>
                <w:sz w:val="19"/>
              </w:rPr>
            </w:pPr>
            <w:r>
              <w:rPr>
                <w:sz w:val="19"/>
              </w:rPr>
              <w:t>4</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Tronco de palma</w:t>
            </w:r>
          </w:p>
        </w:tc>
        <w:tc>
          <w:tcPr>
            <w:tcW w:w="1927" w:type="dxa"/>
            <w:gridSpan w:val="2"/>
          </w:tcPr>
          <w:p w:rsidR="00000000" w:rsidRDefault="00000000">
            <w:pPr>
              <w:pStyle w:val="BodyTextIndent"/>
              <w:tabs>
                <w:tab w:val="decimal" w:pos="1257"/>
              </w:tabs>
              <w:spacing w:after="0"/>
              <w:ind w:left="0"/>
              <w:rPr>
                <w:sz w:val="19"/>
              </w:rPr>
            </w:pPr>
            <w:r>
              <w:rPr>
                <w:sz w:val="19"/>
              </w:rPr>
              <w:t>6.190</w:t>
            </w:r>
          </w:p>
        </w:tc>
        <w:tc>
          <w:tcPr>
            <w:tcW w:w="1135" w:type="dxa"/>
          </w:tcPr>
          <w:p w:rsidR="00000000" w:rsidRDefault="00000000">
            <w:pPr>
              <w:pStyle w:val="BodyTextIndent"/>
              <w:tabs>
                <w:tab w:val="decimal" w:pos="834"/>
              </w:tabs>
              <w:spacing w:after="0"/>
              <w:ind w:left="0"/>
              <w:rPr>
                <w:sz w:val="19"/>
              </w:rPr>
            </w:pPr>
            <w:r>
              <w:rPr>
                <w:sz w:val="19"/>
              </w:rPr>
              <w:t>6.146</w:t>
            </w:r>
          </w:p>
        </w:tc>
        <w:tc>
          <w:tcPr>
            <w:tcW w:w="1619" w:type="dxa"/>
          </w:tcPr>
          <w:p w:rsidR="00000000" w:rsidRDefault="00000000">
            <w:pPr>
              <w:pStyle w:val="BodyTextIndent"/>
              <w:tabs>
                <w:tab w:val="decimal" w:pos="1010"/>
              </w:tabs>
              <w:spacing w:after="0"/>
              <w:ind w:left="0"/>
              <w:rPr>
                <w:sz w:val="19"/>
              </w:rPr>
            </w:pPr>
            <w:r>
              <w:rPr>
                <w:sz w:val="19"/>
              </w:rPr>
              <w:t>33</w:t>
            </w:r>
          </w:p>
        </w:tc>
        <w:tc>
          <w:tcPr>
            <w:tcW w:w="1150" w:type="dxa"/>
          </w:tcPr>
          <w:p w:rsidR="00000000" w:rsidRDefault="00000000">
            <w:pPr>
              <w:pStyle w:val="BodyTextIndent"/>
              <w:tabs>
                <w:tab w:val="decimal" w:pos="835"/>
              </w:tabs>
              <w:spacing w:after="0"/>
              <w:ind w:left="0"/>
              <w:rPr>
                <w:sz w:val="19"/>
              </w:rPr>
            </w:pPr>
            <w:r>
              <w:rPr>
                <w:sz w:val="19"/>
              </w:rPr>
              <w:t>11</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Bloque de cemento</w:t>
            </w:r>
          </w:p>
        </w:tc>
        <w:tc>
          <w:tcPr>
            <w:tcW w:w="1927" w:type="dxa"/>
            <w:gridSpan w:val="2"/>
          </w:tcPr>
          <w:p w:rsidR="00000000" w:rsidRDefault="00000000">
            <w:pPr>
              <w:pStyle w:val="BodyTextIndent"/>
              <w:tabs>
                <w:tab w:val="decimal" w:pos="1257"/>
              </w:tabs>
              <w:spacing w:after="0"/>
              <w:ind w:left="0"/>
              <w:rPr>
                <w:sz w:val="19"/>
              </w:rPr>
            </w:pPr>
            <w:r>
              <w:rPr>
                <w:sz w:val="19"/>
              </w:rPr>
              <w:t>87</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BodyTextIndent"/>
              <w:tabs>
                <w:tab w:val="decimal" w:pos="1010"/>
              </w:tabs>
              <w:spacing w:after="0"/>
              <w:ind w:left="0"/>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87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Cartón, hule, madera de embalaje</w:t>
            </w:r>
          </w:p>
        </w:tc>
        <w:tc>
          <w:tcPr>
            <w:tcW w:w="1927" w:type="dxa"/>
            <w:gridSpan w:val="2"/>
          </w:tcPr>
          <w:p w:rsidR="00000000" w:rsidRDefault="00000000">
            <w:pPr>
              <w:pStyle w:val="BodyTextIndent"/>
              <w:tabs>
                <w:tab w:val="decimal" w:pos="1257"/>
              </w:tabs>
              <w:spacing w:after="0"/>
              <w:ind w:left="0"/>
              <w:rPr>
                <w:sz w:val="19"/>
              </w:rPr>
            </w:pPr>
            <w:r>
              <w:rPr>
                <w:sz w:val="19"/>
              </w:rPr>
              <w:t>1.660</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BodyTextIndent"/>
              <w:tabs>
                <w:tab w:val="decimal" w:pos="1010"/>
              </w:tabs>
              <w:spacing w:after="0"/>
              <w:ind w:left="0"/>
              <w:rPr>
                <w:sz w:val="19"/>
              </w:rPr>
            </w:pPr>
            <w:r>
              <w:rPr>
                <w:sz w:val="19"/>
              </w:rPr>
              <w:t>1.660</w:t>
            </w:r>
          </w:p>
        </w:tc>
        <w:tc>
          <w:tcPr>
            <w:tcW w:w="1150" w:type="dxa"/>
          </w:tcPr>
          <w:p w:rsidR="00000000" w:rsidRDefault="00000000">
            <w:pPr>
              <w:pStyle w:val="BodyTextIndent"/>
              <w:tabs>
                <w:tab w:val="decimal" w:pos="835"/>
              </w:tabs>
              <w:spacing w:after="0"/>
              <w:ind w:left="0"/>
              <w:rPr>
                <w:sz w:val="19"/>
              </w:rPr>
            </w:pPr>
            <w:r>
              <w:rPr>
                <w:sz w:val="19"/>
              </w:rPr>
              <w:t>-</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No tiene pared</w:t>
            </w:r>
          </w:p>
        </w:tc>
        <w:tc>
          <w:tcPr>
            <w:tcW w:w="1927" w:type="dxa"/>
            <w:gridSpan w:val="2"/>
          </w:tcPr>
          <w:p w:rsidR="00000000" w:rsidRDefault="00000000">
            <w:pPr>
              <w:pStyle w:val="BodyTextIndent"/>
              <w:tabs>
                <w:tab w:val="decimal" w:pos="1257"/>
              </w:tabs>
              <w:spacing w:after="0"/>
              <w:ind w:left="0"/>
              <w:rPr>
                <w:sz w:val="19"/>
              </w:rPr>
            </w:pPr>
            <w:r>
              <w:rPr>
                <w:sz w:val="19"/>
              </w:rPr>
              <w:t>441</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BodyTextIndent"/>
              <w:tabs>
                <w:tab w:val="decimal" w:pos="1010"/>
              </w:tabs>
              <w:spacing w:after="0"/>
              <w:ind w:left="0"/>
              <w:rPr>
                <w:sz w:val="19"/>
              </w:rPr>
            </w:pPr>
            <w:r>
              <w:rPr>
                <w:sz w:val="19"/>
              </w:rPr>
              <w:t>17</w:t>
            </w:r>
          </w:p>
        </w:tc>
        <w:tc>
          <w:tcPr>
            <w:tcW w:w="1150" w:type="dxa"/>
          </w:tcPr>
          <w:p w:rsidR="00000000" w:rsidRDefault="00000000">
            <w:pPr>
              <w:pStyle w:val="BodyTextIndent"/>
              <w:tabs>
                <w:tab w:val="decimal" w:pos="835"/>
              </w:tabs>
              <w:spacing w:after="0"/>
              <w:ind w:left="0"/>
              <w:rPr>
                <w:sz w:val="19"/>
              </w:rPr>
            </w:pPr>
            <w:r>
              <w:rPr>
                <w:sz w:val="19"/>
              </w:rPr>
              <w:t>424</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Otro</w:t>
            </w:r>
          </w:p>
        </w:tc>
        <w:tc>
          <w:tcPr>
            <w:tcW w:w="1927" w:type="dxa"/>
            <w:gridSpan w:val="2"/>
          </w:tcPr>
          <w:p w:rsidR="00000000" w:rsidRDefault="00000000">
            <w:pPr>
              <w:pStyle w:val="BodyTextIndent"/>
              <w:tabs>
                <w:tab w:val="decimal" w:pos="1257"/>
              </w:tabs>
              <w:spacing w:after="0"/>
              <w:ind w:left="0"/>
              <w:rPr>
                <w:sz w:val="19"/>
              </w:rPr>
            </w:pPr>
            <w:r>
              <w:rPr>
                <w:sz w:val="19"/>
              </w:rPr>
              <w:t>1.290</w:t>
            </w:r>
          </w:p>
        </w:tc>
        <w:tc>
          <w:tcPr>
            <w:tcW w:w="1135" w:type="dxa"/>
          </w:tcPr>
          <w:p w:rsidR="00000000" w:rsidRDefault="00000000">
            <w:pPr>
              <w:pStyle w:val="BodyTextIndent"/>
              <w:tabs>
                <w:tab w:val="decimal" w:pos="834"/>
              </w:tabs>
              <w:spacing w:after="0"/>
              <w:ind w:left="0"/>
              <w:rPr>
                <w:sz w:val="19"/>
              </w:rPr>
            </w:pPr>
            <w:r>
              <w:rPr>
                <w:sz w:val="19"/>
              </w:rPr>
              <w:t>1.019</w:t>
            </w:r>
          </w:p>
        </w:tc>
        <w:tc>
          <w:tcPr>
            <w:tcW w:w="1619" w:type="dxa"/>
          </w:tcPr>
          <w:p w:rsidR="00000000" w:rsidRDefault="00000000">
            <w:pPr>
              <w:pStyle w:val="BodyTextIndent"/>
              <w:tabs>
                <w:tab w:val="decimal" w:pos="1010"/>
              </w:tabs>
              <w:spacing w:after="0"/>
              <w:ind w:left="0"/>
              <w:rPr>
                <w:sz w:val="19"/>
              </w:rPr>
            </w:pPr>
            <w:r>
              <w:rPr>
                <w:sz w:val="19"/>
              </w:rPr>
              <w:t>156</w:t>
            </w:r>
          </w:p>
        </w:tc>
        <w:tc>
          <w:tcPr>
            <w:tcW w:w="1150" w:type="dxa"/>
          </w:tcPr>
          <w:p w:rsidR="00000000" w:rsidRDefault="00000000">
            <w:pPr>
              <w:pStyle w:val="BodyTextIndent"/>
              <w:tabs>
                <w:tab w:val="decimal" w:pos="835"/>
              </w:tabs>
              <w:spacing w:after="0"/>
              <w:ind w:left="0"/>
              <w:rPr>
                <w:sz w:val="19"/>
              </w:rPr>
            </w:pPr>
            <w:r>
              <w:rPr>
                <w:sz w:val="19"/>
              </w:rPr>
              <w:t>115</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B. Piso</w:t>
            </w:r>
          </w:p>
        </w:tc>
        <w:tc>
          <w:tcPr>
            <w:tcW w:w="1927" w:type="dxa"/>
            <w:gridSpan w:val="2"/>
          </w:tcPr>
          <w:p w:rsidR="00000000" w:rsidRDefault="00000000">
            <w:pPr>
              <w:pStyle w:val="BodyTextIndent"/>
              <w:tabs>
                <w:tab w:val="decimal" w:pos="1257"/>
              </w:tabs>
              <w:spacing w:after="0"/>
              <w:ind w:left="0"/>
              <w:rPr>
                <w:sz w:val="19"/>
              </w:rPr>
            </w:pPr>
          </w:p>
        </w:tc>
        <w:tc>
          <w:tcPr>
            <w:tcW w:w="1135" w:type="dxa"/>
          </w:tcPr>
          <w:p w:rsidR="00000000" w:rsidRDefault="00000000">
            <w:pPr>
              <w:pStyle w:val="BodyTextIndent"/>
              <w:tabs>
                <w:tab w:val="decimal" w:pos="834"/>
              </w:tabs>
              <w:spacing w:after="0"/>
              <w:ind w:left="0"/>
              <w:rPr>
                <w:sz w:val="19"/>
              </w:rPr>
            </w:pPr>
          </w:p>
        </w:tc>
        <w:tc>
          <w:tcPr>
            <w:tcW w:w="1619" w:type="dxa"/>
          </w:tcPr>
          <w:p w:rsidR="00000000" w:rsidRDefault="00000000">
            <w:pPr>
              <w:pStyle w:val="BodyTextIndent"/>
              <w:tabs>
                <w:tab w:val="decimal" w:pos="1010"/>
              </w:tabs>
              <w:spacing w:after="0"/>
              <w:ind w:left="0"/>
              <w:rPr>
                <w:sz w:val="19"/>
              </w:rPr>
            </w:pPr>
          </w:p>
        </w:tc>
        <w:tc>
          <w:tcPr>
            <w:tcW w:w="1150" w:type="dxa"/>
          </w:tcPr>
          <w:p w:rsidR="00000000" w:rsidRDefault="00000000">
            <w:pPr>
              <w:pStyle w:val="BodyTextIndent"/>
              <w:tabs>
                <w:tab w:val="decimal" w:pos="835"/>
              </w:tabs>
              <w:spacing w:after="0"/>
              <w:ind w:left="0"/>
              <w:rPr>
                <w:sz w:val="19"/>
              </w:rPr>
            </w:pP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Tierra</w:t>
            </w:r>
          </w:p>
        </w:tc>
        <w:tc>
          <w:tcPr>
            <w:tcW w:w="1927" w:type="dxa"/>
            <w:gridSpan w:val="2"/>
          </w:tcPr>
          <w:p w:rsidR="00000000" w:rsidRDefault="00000000">
            <w:pPr>
              <w:pStyle w:val="BodyTextIndent"/>
              <w:tabs>
                <w:tab w:val="decimal" w:pos="1257"/>
              </w:tabs>
              <w:spacing w:after="0"/>
              <w:ind w:left="0"/>
              <w:rPr>
                <w:sz w:val="19"/>
              </w:rPr>
            </w:pPr>
            <w:r>
              <w:rPr>
                <w:sz w:val="19"/>
              </w:rPr>
              <w:t>177.143</w:t>
            </w:r>
          </w:p>
        </w:tc>
        <w:tc>
          <w:tcPr>
            <w:tcW w:w="1135" w:type="dxa"/>
          </w:tcPr>
          <w:p w:rsidR="00000000" w:rsidRDefault="00000000">
            <w:pPr>
              <w:pStyle w:val="BodyTextIndent"/>
              <w:tabs>
                <w:tab w:val="decimal" w:pos="834"/>
              </w:tabs>
              <w:spacing w:after="0"/>
              <w:ind w:left="0"/>
              <w:rPr>
                <w:sz w:val="19"/>
              </w:rPr>
            </w:pPr>
            <w:r>
              <w:rPr>
                <w:sz w:val="19"/>
              </w:rPr>
              <w:t>174.221</w:t>
            </w:r>
          </w:p>
        </w:tc>
        <w:tc>
          <w:tcPr>
            <w:tcW w:w="1619" w:type="dxa"/>
          </w:tcPr>
          <w:p w:rsidR="00000000" w:rsidRDefault="00000000">
            <w:pPr>
              <w:pStyle w:val="BodyTextIndent"/>
              <w:tabs>
                <w:tab w:val="decimal" w:pos="1010"/>
              </w:tabs>
              <w:spacing w:after="0"/>
              <w:ind w:left="0"/>
              <w:rPr>
                <w:sz w:val="19"/>
              </w:rPr>
            </w:pPr>
            <w:r>
              <w:rPr>
                <w:sz w:val="19"/>
              </w:rPr>
              <w:t>1.981</w:t>
            </w:r>
          </w:p>
        </w:tc>
        <w:tc>
          <w:tcPr>
            <w:tcW w:w="1150" w:type="dxa"/>
          </w:tcPr>
          <w:p w:rsidR="00000000" w:rsidRDefault="00000000">
            <w:pPr>
              <w:pStyle w:val="BodyTextIndent"/>
              <w:tabs>
                <w:tab w:val="decimal" w:pos="835"/>
              </w:tabs>
              <w:spacing w:after="0"/>
              <w:ind w:left="0"/>
              <w:rPr>
                <w:sz w:val="19"/>
              </w:rPr>
            </w:pPr>
            <w:r>
              <w:rPr>
                <w:sz w:val="19"/>
              </w:rPr>
              <w:t>941</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Ladrillo</w:t>
            </w:r>
          </w:p>
        </w:tc>
        <w:tc>
          <w:tcPr>
            <w:tcW w:w="1927" w:type="dxa"/>
            <w:gridSpan w:val="2"/>
          </w:tcPr>
          <w:p w:rsidR="00000000" w:rsidRDefault="00000000">
            <w:pPr>
              <w:pStyle w:val="BodyTextIndent"/>
              <w:tabs>
                <w:tab w:val="decimal" w:pos="1257"/>
              </w:tabs>
              <w:spacing w:after="0"/>
              <w:ind w:left="0"/>
              <w:rPr>
                <w:sz w:val="19"/>
              </w:rPr>
            </w:pPr>
            <w:r>
              <w:rPr>
                <w:sz w:val="19"/>
              </w:rPr>
              <w:t>8.731</w:t>
            </w:r>
          </w:p>
        </w:tc>
        <w:tc>
          <w:tcPr>
            <w:tcW w:w="1135" w:type="dxa"/>
          </w:tcPr>
          <w:p w:rsidR="00000000" w:rsidRDefault="00000000">
            <w:pPr>
              <w:pStyle w:val="BodyTextIndent"/>
              <w:tabs>
                <w:tab w:val="decimal" w:pos="834"/>
              </w:tabs>
              <w:spacing w:after="0"/>
              <w:ind w:left="0"/>
              <w:rPr>
                <w:sz w:val="19"/>
              </w:rPr>
            </w:pPr>
            <w:r>
              <w:rPr>
                <w:sz w:val="19"/>
              </w:rPr>
              <w:t>8.386</w:t>
            </w:r>
          </w:p>
        </w:tc>
        <w:tc>
          <w:tcPr>
            <w:tcW w:w="1619" w:type="dxa"/>
          </w:tcPr>
          <w:p w:rsidR="00000000" w:rsidRDefault="00000000">
            <w:pPr>
              <w:pStyle w:val="BodyTextIndent"/>
              <w:tabs>
                <w:tab w:val="decimal" w:pos="1010"/>
              </w:tabs>
              <w:spacing w:after="0"/>
              <w:ind w:left="0"/>
              <w:rPr>
                <w:sz w:val="19"/>
              </w:rPr>
            </w:pPr>
            <w:r>
              <w:rPr>
                <w:sz w:val="19"/>
              </w:rPr>
              <w:t>18</w:t>
            </w:r>
          </w:p>
        </w:tc>
        <w:tc>
          <w:tcPr>
            <w:tcW w:w="1150" w:type="dxa"/>
          </w:tcPr>
          <w:p w:rsidR="00000000" w:rsidRDefault="00000000">
            <w:pPr>
              <w:pStyle w:val="BodyTextIndent"/>
              <w:tabs>
                <w:tab w:val="decimal" w:pos="835"/>
              </w:tabs>
              <w:spacing w:after="0"/>
              <w:ind w:left="0"/>
              <w:rPr>
                <w:sz w:val="19"/>
              </w:rPr>
            </w:pPr>
            <w:r>
              <w:rPr>
                <w:sz w:val="19"/>
              </w:rPr>
              <w:t>327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Baldosa común</w:t>
            </w:r>
          </w:p>
        </w:tc>
        <w:tc>
          <w:tcPr>
            <w:tcW w:w="1927" w:type="dxa"/>
            <w:gridSpan w:val="2"/>
          </w:tcPr>
          <w:p w:rsidR="00000000" w:rsidRDefault="00000000">
            <w:pPr>
              <w:pStyle w:val="BodyTextIndent"/>
              <w:tabs>
                <w:tab w:val="decimal" w:pos="1259"/>
              </w:tabs>
              <w:spacing w:after="0"/>
              <w:ind w:left="0"/>
              <w:rPr>
                <w:sz w:val="19"/>
              </w:rPr>
            </w:pPr>
            <w:r>
              <w:rPr>
                <w:sz w:val="19"/>
              </w:rPr>
              <w:t>1.177</w:t>
            </w:r>
          </w:p>
        </w:tc>
        <w:tc>
          <w:tcPr>
            <w:tcW w:w="1135" w:type="dxa"/>
          </w:tcPr>
          <w:p w:rsidR="00000000" w:rsidRDefault="00000000">
            <w:pPr>
              <w:pStyle w:val="BodyTextIndent"/>
              <w:tabs>
                <w:tab w:val="decimal" w:pos="834"/>
              </w:tabs>
              <w:spacing w:after="0"/>
              <w:ind w:left="0"/>
              <w:rPr>
                <w:sz w:val="19"/>
              </w:rPr>
            </w:pPr>
            <w:r>
              <w:rPr>
                <w:sz w:val="19"/>
              </w:rPr>
              <w:t>24</w:t>
            </w:r>
          </w:p>
        </w:tc>
        <w:tc>
          <w:tcPr>
            <w:tcW w:w="1619" w:type="dxa"/>
          </w:tcPr>
          <w:p w:rsidR="00000000" w:rsidRDefault="00000000">
            <w:pPr>
              <w:pStyle w:val="BodyTextIndent"/>
              <w:tabs>
                <w:tab w:val="decimal" w:pos="1010"/>
              </w:tabs>
              <w:spacing w:after="0"/>
              <w:ind w:left="0"/>
              <w:rPr>
                <w:sz w:val="19"/>
              </w:rPr>
            </w:pPr>
            <w:r>
              <w:rPr>
                <w:sz w:val="19"/>
              </w:rPr>
              <w:t>7</w:t>
            </w:r>
          </w:p>
        </w:tc>
        <w:tc>
          <w:tcPr>
            <w:tcW w:w="1150" w:type="dxa"/>
          </w:tcPr>
          <w:p w:rsidR="00000000" w:rsidRDefault="00000000">
            <w:pPr>
              <w:pStyle w:val="BodyTextIndent"/>
              <w:tabs>
                <w:tab w:val="decimal" w:pos="835"/>
              </w:tabs>
              <w:spacing w:after="0"/>
              <w:ind w:left="0"/>
              <w:rPr>
                <w:sz w:val="19"/>
              </w:rPr>
            </w:pPr>
            <w:r>
              <w:rPr>
                <w:sz w:val="19"/>
              </w:rPr>
              <w:t>1.146</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Cemento (lecherada)</w:t>
            </w:r>
          </w:p>
        </w:tc>
        <w:tc>
          <w:tcPr>
            <w:tcW w:w="1927" w:type="dxa"/>
            <w:gridSpan w:val="2"/>
          </w:tcPr>
          <w:p w:rsidR="00000000" w:rsidRDefault="00000000">
            <w:pPr>
              <w:pStyle w:val="BodyTextIndent"/>
              <w:tabs>
                <w:tab w:val="decimal" w:pos="1259"/>
              </w:tabs>
              <w:spacing w:after="0"/>
              <w:ind w:left="0"/>
              <w:rPr>
                <w:sz w:val="19"/>
              </w:rPr>
            </w:pPr>
            <w:r>
              <w:rPr>
                <w:sz w:val="19"/>
              </w:rPr>
              <w:t>21.407</w:t>
            </w:r>
          </w:p>
        </w:tc>
        <w:tc>
          <w:tcPr>
            <w:tcW w:w="1135" w:type="dxa"/>
          </w:tcPr>
          <w:p w:rsidR="00000000" w:rsidRDefault="00000000">
            <w:pPr>
              <w:pStyle w:val="BodyTextIndent"/>
              <w:tabs>
                <w:tab w:val="decimal" w:pos="834"/>
              </w:tabs>
              <w:spacing w:after="0"/>
              <w:ind w:left="0"/>
              <w:rPr>
                <w:sz w:val="19"/>
              </w:rPr>
            </w:pPr>
            <w:r>
              <w:rPr>
                <w:sz w:val="19"/>
              </w:rPr>
              <w:t>20.397</w:t>
            </w:r>
          </w:p>
        </w:tc>
        <w:tc>
          <w:tcPr>
            <w:tcW w:w="1619" w:type="dxa"/>
          </w:tcPr>
          <w:p w:rsidR="00000000" w:rsidRDefault="00000000">
            <w:pPr>
              <w:pStyle w:val="BodyTextIndent"/>
              <w:tabs>
                <w:tab w:val="decimal" w:pos="1010"/>
              </w:tabs>
              <w:spacing w:after="0"/>
              <w:ind w:left="0"/>
              <w:rPr>
                <w:sz w:val="19"/>
              </w:rPr>
            </w:pPr>
            <w:r>
              <w:rPr>
                <w:sz w:val="19"/>
              </w:rPr>
              <w:t>38</w:t>
            </w:r>
          </w:p>
        </w:tc>
        <w:tc>
          <w:tcPr>
            <w:tcW w:w="1150" w:type="dxa"/>
          </w:tcPr>
          <w:p w:rsidR="00000000" w:rsidRDefault="00000000">
            <w:pPr>
              <w:pStyle w:val="BodyTextIndent"/>
              <w:tabs>
                <w:tab w:val="decimal" w:pos="835"/>
              </w:tabs>
              <w:spacing w:after="0"/>
              <w:ind w:left="0"/>
              <w:rPr>
                <w:sz w:val="19"/>
              </w:rPr>
            </w:pPr>
            <w:r>
              <w:rPr>
                <w:sz w:val="19"/>
              </w:rPr>
              <w:t>972</w:t>
            </w:r>
          </w:p>
        </w:tc>
      </w:tr>
      <w:tr w:rsidR="00000000">
        <w:tblPrEx>
          <w:tblCellMar>
            <w:top w:w="0" w:type="dxa"/>
            <w:bottom w:w="0" w:type="dxa"/>
          </w:tblCellMar>
        </w:tblPrEx>
        <w:tc>
          <w:tcPr>
            <w:tcW w:w="3663" w:type="dxa"/>
            <w:vAlign w:val="center"/>
          </w:tcPr>
          <w:p w:rsidR="00000000" w:rsidRDefault="00000000">
            <w:pPr>
              <w:pStyle w:val="BodyTextIndent"/>
              <w:spacing w:after="0"/>
              <w:ind w:left="0"/>
              <w:rPr>
                <w:sz w:val="19"/>
              </w:rPr>
            </w:pPr>
            <w:r>
              <w:rPr>
                <w:sz w:val="19"/>
              </w:rPr>
              <w:t xml:space="preserve">    Mosaico, cerámica, granito y mármol</w:t>
            </w:r>
          </w:p>
        </w:tc>
        <w:tc>
          <w:tcPr>
            <w:tcW w:w="1927" w:type="dxa"/>
            <w:gridSpan w:val="2"/>
            <w:vAlign w:val="center"/>
          </w:tcPr>
          <w:p w:rsidR="00000000" w:rsidRDefault="00000000">
            <w:pPr>
              <w:pStyle w:val="BodyTextIndent"/>
              <w:tabs>
                <w:tab w:val="decimal" w:pos="1259"/>
              </w:tabs>
              <w:spacing w:after="0"/>
              <w:ind w:left="0"/>
              <w:rPr>
                <w:sz w:val="19"/>
              </w:rPr>
            </w:pPr>
            <w:r>
              <w:rPr>
                <w:sz w:val="19"/>
              </w:rPr>
              <w:t>346</w:t>
            </w:r>
          </w:p>
        </w:tc>
        <w:tc>
          <w:tcPr>
            <w:tcW w:w="1135" w:type="dxa"/>
            <w:vAlign w:val="center"/>
          </w:tcPr>
          <w:p w:rsidR="00000000" w:rsidRDefault="00000000">
            <w:pPr>
              <w:pStyle w:val="BodyTextIndent"/>
              <w:tabs>
                <w:tab w:val="decimal" w:pos="834"/>
              </w:tabs>
              <w:spacing w:after="0"/>
              <w:ind w:left="0"/>
              <w:rPr>
                <w:sz w:val="19"/>
              </w:rPr>
            </w:pPr>
            <w:r>
              <w:rPr>
                <w:sz w:val="19"/>
              </w:rPr>
              <w:t>3</w:t>
            </w:r>
          </w:p>
        </w:tc>
        <w:tc>
          <w:tcPr>
            <w:tcW w:w="1619" w:type="dxa"/>
            <w:vAlign w:val="center"/>
          </w:tcPr>
          <w:p w:rsidR="00000000" w:rsidRDefault="00000000">
            <w:pPr>
              <w:pStyle w:val="BodyTextIndent"/>
              <w:tabs>
                <w:tab w:val="decimal" w:pos="1010"/>
              </w:tabs>
              <w:spacing w:after="0"/>
              <w:ind w:left="0"/>
              <w:rPr>
                <w:sz w:val="19"/>
              </w:rPr>
            </w:pPr>
            <w:r>
              <w:rPr>
                <w:sz w:val="19"/>
              </w:rPr>
              <w:t>-</w:t>
            </w:r>
          </w:p>
        </w:tc>
        <w:tc>
          <w:tcPr>
            <w:tcW w:w="1150" w:type="dxa"/>
            <w:vAlign w:val="center"/>
          </w:tcPr>
          <w:p w:rsidR="00000000" w:rsidRDefault="00000000">
            <w:pPr>
              <w:pStyle w:val="BodyTextIndent"/>
              <w:tabs>
                <w:tab w:val="decimal" w:pos="835"/>
              </w:tabs>
              <w:spacing w:after="0"/>
              <w:ind w:left="0"/>
              <w:rPr>
                <w:sz w:val="19"/>
              </w:rPr>
            </w:pPr>
            <w:r>
              <w:rPr>
                <w:sz w:val="19"/>
              </w:rPr>
              <w:t>343</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Tablón de madera</w:t>
            </w:r>
          </w:p>
        </w:tc>
        <w:tc>
          <w:tcPr>
            <w:tcW w:w="1927" w:type="dxa"/>
            <w:gridSpan w:val="2"/>
          </w:tcPr>
          <w:p w:rsidR="00000000" w:rsidRDefault="00000000">
            <w:pPr>
              <w:pStyle w:val="BodyTextIndent"/>
              <w:tabs>
                <w:tab w:val="decimal" w:pos="1259"/>
              </w:tabs>
              <w:spacing w:after="0"/>
              <w:ind w:left="0"/>
              <w:rPr>
                <w:sz w:val="19"/>
              </w:rPr>
            </w:pPr>
            <w:r>
              <w:rPr>
                <w:sz w:val="19"/>
              </w:rPr>
              <w:t>12.466</w:t>
            </w:r>
          </w:p>
        </w:tc>
        <w:tc>
          <w:tcPr>
            <w:tcW w:w="1135" w:type="dxa"/>
          </w:tcPr>
          <w:p w:rsidR="00000000" w:rsidRDefault="00000000">
            <w:pPr>
              <w:pStyle w:val="BodyTextIndent"/>
              <w:tabs>
                <w:tab w:val="decimal" w:pos="834"/>
              </w:tabs>
              <w:spacing w:after="0"/>
              <w:ind w:left="0"/>
              <w:rPr>
                <w:sz w:val="19"/>
              </w:rPr>
            </w:pPr>
            <w:r>
              <w:rPr>
                <w:sz w:val="19"/>
              </w:rPr>
              <w:t>12.339</w:t>
            </w:r>
          </w:p>
        </w:tc>
        <w:tc>
          <w:tcPr>
            <w:tcW w:w="1619" w:type="dxa"/>
          </w:tcPr>
          <w:p w:rsidR="00000000" w:rsidRDefault="00000000">
            <w:pPr>
              <w:pStyle w:val="BodyTextIndent"/>
              <w:tabs>
                <w:tab w:val="decimal" w:pos="1010"/>
              </w:tabs>
              <w:spacing w:after="0"/>
              <w:ind w:left="0"/>
              <w:rPr>
                <w:sz w:val="19"/>
              </w:rPr>
            </w:pPr>
            <w:r>
              <w:rPr>
                <w:sz w:val="19"/>
              </w:rPr>
              <w:t>26</w:t>
            </w:r>
          </w:p>
        </w:tc>
        <w:tc>
          <w:tcPr>
            <w:tcW w:w="1150" w:type="dxa"/>
          </w:tcPr>
          <w:p w:rsidR="00000000" w:rsidRDefault="00000000">
            <w:pPr>
              <w:pStyle w:val="BodyTextIndent"/>
              <w:tabs>
                <w:tab w:val="decimal" w:pos="835"/>
              </w:tabs>
              <w:spacing w:after="0"/>
              <w:ind w:left="0"/>
              <w:rPr>
                <w:sz w:val="19"/>
              </w:rPr>
            </w:pPr>
            <w:r>
              <w:rPr>
                <w:sz w:val="19"/>
              </w:rPr>
              <w:t>101</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Parquet</w:t>
            </w:r>
          </w:p>
        </w:tc>
        <w:tc>
          <w:tcPr>
            <w:tcW w:w="1927" w:type="dxa"/>
            <w:gridSpan w:val="2"/>
          </w:tcPr>
          <w:p w:rsidR="00000000" w:rsidRDefault="00000000">
            <w:pPr>
              <w:pStyle w:val="BodyTextIndent"/>
              <w:tabs>
                <w:tab w:val="decimal" w:pos="1259"/>
              </w:tabs>
              <w:spacing w:after="0"/>
              <w:ind w:left="0"/>
              <w:rPr>
                <w:sz w:val="19"/>
              </w:rPr>
            </w:pPr>
            <w:r>
              <w:rPr>
                <w:sz w:val="19"/>
              </w:rPr>
              <w:t>-</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BodyTextIndent"/>
              <w:tabs>
                <w:tab w:val="decimal" w:pos="1010"/>
              </w:tabs>
              <w:spacing w:after="0"/>
              <w:ind w:left="0"/>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Alfombra</w:t>
            </w:r>
          </w:p>
        </w:tc>
        <w:tc>
          <w:tcPr>
            <w:tcW w:w="1927" w:type="dxa"/>
            <w:gridSpan w:val="2"/>
          </w:tcPr>
          <w:p w:rsidR="00000000" w:rsidRDefault="00000000">
            <w:pPr>
              <w:pStyle w:val="BodyTextIndent"/>
              <w:tabs>
                <w:tab w:val="decimal" w:pos="1259"/>
              </w:tabs>
              <w:spacing w:after="0"/>
              <w:ind w:left="0"/>
              <w:rPr>
                <w:sz w:val="19"/>
              </w:rPr>
            </w:pPr>
            <w:r>
              <w:rPr>
                <w:sz w:val="19"/>
              </w:rPr>
              <w:t>12</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BodyTextIndent"/>
              <w:tabs>
                <w:tab w:val="decimal" w:pos="1010"/>
              </w:tabs>
              <w:spacing w:after="0"/>
              <w:ind w:left="0"/>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12</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Otro</w:t>
            </w:r>
          </w:p>
        </w:tc>
        <w:tc>
          <w:tcPr>
            <w:tcW w:w="1927" w:type="dxa"/>
            <w:gridSpan w:val="2"/>
          </w:tcPr>
          <w:p w:rsidR="00000000" w:rsidRDefault="00000000">
            <w:pPr>
              <w:pStyle w:val="BodyTextIndent"/>
              <w:tabs>
                <w:tab w:val="decimal" w:pos="1259"/>
              </w:tabs>
              <w:spacing w:after="0"/>
              <w:ind w:left="0"/>
              <w:rPr>
                <w:sz w:val="19"/>
              </w:rPr>
            </w:pPr>
            <w:r>
              <w:rPr>
                <w:sz w:val="19"/>
              </w:rPr>
              <w:t>1.016</w:t>
            </w:r>
          </w:p>
        </w:tc>
        <w:tc>
          <w:tcPr>
            <w:tcW w:w="1135" w:type="dxa"/>
          </w:tcPr>
          <w:p w:rsidR="00000000" w:rsidRDefault="00000000">
            <w:pPr>
              <w:pStyle w:val="BodyTextIndent"/>
              <w:tabs>
                <w:tab w:val="decimal" w:pos="834"/>
              </w:tabs>
              <w:spacing w:after="0"/>
              <w:ind w:left="0"/>
              <w:rPr>
                <w:sz w:val="19"/>
              </w:rPr>
            </w:pPr>
            <w:r>
              <w:rPr>
                <w:sz w:val="19"/>
              </w:rPr>
              <w:t>881</w:t>
            </w:r>
          </w:p>
        </w:tc>
        <w:tc>
          <w:tcPr>
            <w:tcW w:w="1619" w:type="dxa"/>
          </w:tcPr>
          <w:p w:rsidR="00000000" w:rsidRDefault="00000000">
            <w:pPr>
              <w:pStyle w:val="BodyTextIndent"/>
              <w:tabs>
                <w:tab w:val="decimal" w:pos="1010"/>
              </w:tabs>
              <w:spacing w:after="0"/>
              <w:ind w:left="0"/>
              <w:rPr>
                <w:sz w:val="19"/>
              </w:rPr>
            </w:pPr>
            <w:r>
              <w:rPr>
                <w:sz w:val="19"/>
              </w:rPr>
              <w:t>21</w:t>
            </w:r>
          </w:p>
        </w:tc>
        <w:tc>
          <w:tcPr>
            <w:tcW w:w="1150" w:type="dxa"/>
          </w:tcPr>
          <w:p w:rsidR="00000000" w:rsidRDefault="00000000">
            <w:pPr>
              <w:pStyle w:val="BodyTextIndent"/>
              <w:tabs>
                <w:tab w:val="decimal" w:pos="835"/>
              </w:tabs>
              <w:spacing w:after="0"/>
              <w:ind w:left="0"/>
              <w:rPr>
                <w:sz w:val="19"/>
              </w:rPr>
            </w:pPr>
            <w:r>
              <w:rPr>
                <w:sz w:val="19"/>
              </w:rPr>
              <w:t>114</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C. Techo</w:t>
            </w:r>
          </w:p>
        </w:tc>
        <w:tc>
          <w:tcPr>
            <w:tcW w:w="1927" w:type="dxa"/>
            <w:gridSpan w:val="2"/>
          </w:tcPr>
          <w:p w:rsidR="00000000" w:rsidRDefault="00000000">
            <w:pPr>
              <w:pStyle w:val="BodyTextIndent"/>
              <w:tabs>
                <w:tab w:val="decimal" w:pos="1259"/>
              </w:tabs>
              <w:spacing w:after="0"/>
              <w:ind w:left="0"/>
              <w:rPr>
                <w:sz w:val="19"/>
              </w:rPr>
            </w:pPr>
          </w:p>
        </w:tc>
        <w:tc>
          <w:tcPr>
            <w:tcW w:w="1135" w:type="dxa"/>
          </w:tcPr>
          <w:p w:rsidR="00000000" w:rsidRDefault="00000000">
            <w:pPr>
              <w:pStyle w:val="BodyTextIndent"/>
              <w:tabs>
                <w:tab w:val="decimal" w:pos="834"/>
              </w:tabs>
              <w:spacing w:after="0"/>
              <w:ind w:left="0"/>
              <w:rPr>
                <w:sz w:val="19"/>
              </w:rPr>
            </w:pPr>
          </w:p>
        </w:tc>
        <w:tc>
          <w:tcPr>
            <w:tcW w:w="1619" w:type="dxa"/>
          </w:tcPr>
          <w:p w:rsidR="00000000" w:rsidRDefault="00000000">
            <w:pPr>
              <w:pStyle w:val="BodyTextIndent"/>
              <w:tabs>
                <w:tab w:val="decimal" w:pos="1010"/>
              </w:tabs>
              <w:spacing w:after="0"/>
              <w:ind w:left="0"/>
              <w:rPr>
                <w:sz w:val="19"/>
              </w:rPr>
            </w:pPr>
          </w:p>
        </w:tc>
        <w:tc>
          <w:tcPr>
            <w:tcW w:w="1150" w:type="dxa"/>
          </w:tcPr>
          <w:p w:rsidR="00000000" w:rsidRDefault="00000000">
            <w:pPr>
              <w:pStyle w:val="BodyTextIndent"/>
              <w:tabs>
                <w:tab w:val="decimal" w:pos="835"/>
              </w:tabs>
              <w:spacing w:after="0"/>
              <w:ind w:left="0"/>
              <w:rPr>
                <w:sz w:val="19"/>
              </w:rPr>
            </w:pP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Teja</w:t>
            </w:r>
          </w:p>
        </w:tc>
        <w:tc>
          <w:tcPr>
            <w:tcW w:w="1927" w:type="dxa"/>
            <w:gridSpan w:val="2"/>
          </w:tcPr>
          <w:p w:rsidR="00000000" w:rsidRDefault="00000000">
            <w:pPr>
              <w:pStyle w:val="BodyTextIndent"/>
              <w:tabs>
                <w:tab w:val="decimal" w:pos="1259"/>
              </w:tabs>
              <w:spacing w:after="0"/>
              <w:ind w:left="0"/>
              <w:rPr>
                <w:sz w:val="19"/>
              </w:rPr>
            </w:pPr>
            <w:r>
              <w:rPr>
                <w:sz w:val="19"/>
              </w:rPr>
              <w:t>21.715</w:t>
            </w:r>
          </w:p>
        </w:tc>
        <w:tc>
          <w:tcPr>
            <w:tcW w:w="1135" w:type="dxa"/>
          </w:tcPr>
          <w:p w:rsidR="00000000" w:rsidRDefault="00000000">
            <w:pPr>
              <w:pStyle w:val="BodyTextIndent"/>
              <w:tabs>
                <w:tab w:val="decimal" w:pos="834"/>
              </w:tabs>
              <w:spacing w:after="0"/>
              <w:ind w:left="0"/>
              <w:rPr>
                <w:sz w:val="19"/>
              </w:rPr>
            </w:pPr>
            <w:r>
              <w:rPr>
                <w:sz w:val="19"/>
              </w:rPr>
              <w:t>20.132</w:t>
            </w:r>
          </w:p>
        </w:tc>
        <w:tc>
          <w:tcPr>
            <w:tcW w:w="1619" w:type="dxa"/>
          </w:tcPr>
          <w:p w:rsidR="00000000" w:rsidRDefault="00000000">
            <w:pPr>
              <w:pStyle w:val="BodyTextIndent"/>
              <w:tabs>
                <w:tab w:val="decimal" w:pos="1010"/>
              </w:tabs>
              <w:spacing w:after="0"/>
              <w:ind w:left="0"/>
              <w:rPr>
                <w:sz w:val="19"/>
              </w:rPr>
            </w:pPr>
            <w:r>
              <w:rPr>
                <w:sz w:val="19"/>
              </w:rPr>
              <w:t>44</w:t>
            </w:r>
          </w:p>
        </w:tc>
        <w:tc>
          <w:tcPr>
            <w:tcW w:w="1150" w:type="dxa"/>
          </w:tcPr>
          <w:p w:rsidR="00000000" w:rsidRDefault="00000000">
            <w:pPr>
              <w:pStyle w:val="BodyTextIndent"/>
              <w:tabs>
                <w:tab w:val="decimal" w:pos="835"/>
              </w:tabs>
              <w:spacing w:after="0"/>
              <w:ind w:left="0"/>
              <w:rPr>
                <w:sz w:val="19"/>
              </w:rPr>
            </w:pPr>
            <w:r>
              <w:rPr>
                <w:sz w:val="19"/>
              </w:rPr>
              <w:t>1.539</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Paja</w:t>
            </w:r>
          </w:p>
        </w:tc>
        <w:tc>
          <w:tcPr>
            <w:tcW w:w="1927" w:type="dxa"/>
            <w:gridSpan w:val="2"/>
          </w:tcPr>
          <w:p w:rsidR="00000000" w:rsidRDefault="00000000">
            <w:pPr>
              <w:pStyle w:val="BodyTextIndent"/>
              <w:tabs>
                <w:tab w:val="decimal" w:pos="1259"/>
              </w:tabs>
              <w:spacing w:after="0"/>
              <w:ind w:left="0"/>
              <w:rPr>
                <w:sz w:val="19"/>
              </w:rPr>
            </w:pPr>
            <w:r>
              <w:rPr>
                <w:sz w:val="19"/>
              </w:rPr>
              <w:t>90.844</w:t>
            </w:r>
          </w:p>
        </w:tc>
        <w:tc>
          <w:tcPr>
            <w:tcW w:w="1135" w:type="dxa"/>
          </w:tcPr>
          <w:p w:rsidR="00000000" w:rsidRDefault="00000000">
            <w:pPr>
              <w:pStyle w:val="BodyTextIndent"/>
              <w:tabs>
                <w:tab w:val="decimal" w:pos="834"/>
              </w:tabs>
              <w:spacing w:after="0"/>
              <w:ind w:left="0"/>
              <w:rPr>
                <w:sz w:val="19"/>
              </w:rPr>
            </w:pPr>
            <w:r>
              <w:rPr>
                <w:sz w:val="19"/>
              </w:rPr>
              <w:t>90.338</w:t>
            </w:r>
          </w:p>
        </w:tc>
        <w:tc>
          <w:tcPr>
            <w:tcW w:w="1619" w:type="dxa"/>
          </w:tcPr>
          <w:p w:rsidR="00000000" w:rsidRDefault="00000000">
            <w:pPr>
              <w:pStyle w:val="BodyTextIndent"/>
              <w:tabs>
                <w:tab w:val="decimal" w:pos="1010"/>
              </w:tabs>
              <w:spacing w:after="0"/>
              <w:ind w:left="0"/>
              <w:rPr>
                <w:sz w:val="19"/>
              </w:rPr>
            </w:pPr>
            <w:r>
              <w:rPr>
                <w:sz w:val="19"/>
              </w:rPr>
              <w:t>298</w:t>
            </w:r>
          </w:p>
        </w:tc>
        <w:tc>
          <w:tcPr>
            <w:tcW w:w="1150" w:type="dxa"/>
          </w:tcPr>
          <w:p w:rsidR="00000000" w:rsidRDefault="00000000">
            <w:pPr>
              <w:pStyle w:val="BodyTextIndent"/>
              <w:tabs>
                <w:tab w:val="decimal" w:pos="835"/>
              </w:tabs>
              <w:spacing w:after="0"/>
              <w:ind w:left="0"/>
              <w:rPr>
                <w:sz w:val="19"/>
              </w:rPr>
            </w:pPr>
            <w:r>
              <w:rPr>
                <w:sz w:val="19"/>
              </w:rPr>
              <w:t>208</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Fibrocemento o similar (eternit)</w:t>
            </w:r>
          </w:p>
        </w:tc>
        <w:tc>
          <w:tcPr>
            <w:tcW w:w="1927" w:type="dxa"/>
            <w:gridSpan w:val="2"/>
          </w:tcPr>
          <w:p w:rsidR="00000000" w:rsidRDefault="00000000">
            <w:pPr>
              <w:pStyle w:val="BodyTextIndent"/>
              <w:tabs>
                <w:tab w:val="decimal" w:pos="1259"/>
              </w:tabs>
              <w:spacing w:after="0"/>
              <w:ind w:left="0"/>
              <w:rPr>
                <w:sz w:val="19"/>
              </w:rPr>
            </w:pPr>
            <w:r>
              <w:rPr>
                <w:sz w:val="19"/>
              </w:rPr>
              <w:t>55.347</w:t>
            </w:r>
          </w:p>
        </w:tc>
        <w:tc>
          <w:tcPr>
            <w:tcW w:w="1135" w:type="dxa"/>
          </w:tcPr>
          <w:p w:rsidR="00000000" w:rsidRDefault="00000000">
            <w:pPr>
              <w:pStyle w:val="BodyTextIndent"/>
              <w:tabs>
                <w:tab w:val="decimal" w:pos="834"/>
              </w:tabs>
              <w:spacing w:after="0"/>
              <w:ind w:left="0"/>
              <w:rPr>
                <w:sz w:val="19"/>
              </w:rPr>
            </w:pPr>
            <w:r>
              <w:rPr>
                <w:sz w:val="19"/>
              </w:rPr>
              <w:t>54.568</w:t>
            </w:r>
          </w:p>
        </w:tc>
        <w:tc>
          <w:tcPr>
            <w:tcW w:w="1619" w:type="dxa"/>
          </w:tcPr>
          <w:p w:rsidR="00000000" w:rsidRDefault="00000000">
            <w:pPr>
              <w:pStyle w:val="BodyTextIndent"/>
              <w:tabs>
                <w:tab w:val="decimal" w:pos="1010"/>
              </w:tabs>
              <w:spacing w:after="0"/>
              <w:ind w:left="0"/>
              <w:rPr>
                <w:sz w:val="19"/>
              </w:rPr>
            </w:pPr>
            <w:r>
              <w:rPr>
                <w:sz w:val="19"/>
              </w:rPr>
              <w:t>207</w:t>
            </w:r>
          </w:p>
        </w:tc>
        <w:tc>
          <w:tcPr>
            <w:tcW w:w="1150" w:type="dxa"/>
          </w:tcPr>
          <w:p w:rsidR="00000000" w:rsidRDefault="00000000">
            <w:pPr>
              <w:pStyle w:val="BodyTextIndent"/>
              <w:tabs>
                <w:tab w:val="decimal" w:pos="835"/>
              </w:tabs>
              <w:spacing w:after="0"/>
              <w:ind w:left="0"/>
              <w:rPr>
                <w:sz w:val="19"/>
              </w:rPr>
            </w:pPr>
            <w:r>
              <w:rPr>
                <w:sz w:val="19"/>
              </w:rPr>
              <w:t>572</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Chapa de zinc</w:t>
            </w:r>
          </w:p>
        </w:tc>
        <w:tc>
          <w:tcPr>
            <w:tcW w:w="1927" w:type="dxa"/>
            <w:gridSpan w:val="2"/>
          </w:tcPr>
          <w:p w:rsidR="00000000" w:rsidRDefault="00000000">
            <w:pPr>
              <w:pStyle w:val="BodyTextIndent"/>
              <w:tabs>
                <w:tab w:val="decimal" w:pos="1259"/>
              </w:tabs>
              <w:spacing w:after="0"/>
              <w:ind w:left="0"/>
              <w:rPr>
                <w:sz w:val="19"/>
              </w:rPr>
            </w:pPr>
            <w:r>
              <w:rPr>
                <w:sz w:val="19"/>
              </w:rPr>
              <w:t>44.684</w:t>
            </w:r>
          </w:p>
        </w:tc>
        <w:tc>
          <w:tcPr>
            <w:tcW w:w="1135" w:type="dxa"/>
          </w:tcPr>
          <w:p w:rsidR="00000000" w:rsidRDefault="00000000">
            <w:pPr>
              <w:pStyle w:val="BodyTextIndent"/>
              <w:tabs>
                <w:tab w:val="decimal" w:pos="834"/>
              </w:tabs>
              <w:spacing w:after="0"/>
              <w:ind w:left="0"/>
              <w:rPr>
                <w:sz w:val="19"/>
              </w:rPr>
            </w:pPr>
            <w:r>
              <w:rPr>
                <w:sz w:val="19"/>
              </w:rPr>
              <w:t>43.006</w:t>
            </w:r>
          </w:p>
        </w:tc>
        <w:tc>
          <w:tcPr>
            <w:tcW w:w="1619" w:type="dxa"/>
          </w:tcPr>
          <w:p w:rsidR="00000000" w:rsidRDefault="00000000">
            <w:pPr>
              <w:pStyle w:val="BodyTextIndent"/>
              <w:tabs>
                <w:tab w:val="decimal" w:pos="1010"/>
              </w:tabs>
              <w:spacing w:after="0"/>
              <w:ind w:left="0"/>
              <w:rPr>
                <w:sz w:val="19"/>
              </w:rPr>
            </w:pPr>
            <w:r>
              <w:rPr>
                <w:sz w:val="19"/>
              </w:rPr>
              <w:t>419</w:t>
            </w:r>
          </w:p>
        </w:tc>
        <w:tc>
          <w:tcPr>
            <w:tcW w:w="1150" w:type="dxa"/>
          </w:tcPr>
          <w:p w:rsidR="00000000" w:rsidRDefault="00000000">
            <w:pPr>
              <w:pStyle w:val="BodyTextIndent"/>
              <w:tabs>
                <w:tab w:val="decimal" w:pos="835"/>
              </w:tabs>
              <w:spacing w:after="0"/>
              <w:ind w:left="0"/>
              <w:rPr>
                <w:sz w:val="19"/>
              </w:rPr>
            </w:pPr>
            <w:r>
              <w:rPr>
                <w:sz w:val="19"/>
              </w:rPr>
              <w:t>1.259</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Tablilla de madera</w:t>
            </w:r>
          </w:p>
        </w:tc>
        <w:tc>
          <w:tcPr>
            <w:tcW w:w="1927" w:type="dxa"/>
            <w:gridSpan w:val="2"/>
          </w:tcPr>
          <w:p w:rsidR="00000000" w:rsidRDefault="00000000">
            <w:pPr>
              <w:pStyle w:val="BodyTextIndent"/>
              <w:tabs>
                <w:tab w:val="decimal" w:pos="1259"/>
              </w:tabs>
              <w:spacing w:after="0"/>
              <w:ind w:left="0"/>
              <w:rPr>
                <w:sz w:val="19"/>
              </w:rPr>
            </w:pPr>
            <w:r>
              <w:rPr>
                <w:sz w:val="19"/>
              </w:rPr>
              <w:t>6.232</w:t>
            </w:r>
          </w:p>
        </w:tc>
        <w:tc>
          <w:tcPr>
            <w:tcW w:w="1135" w:type="dxa"/>
          </w:tcPr>
          <w:p w:rsidR="00000000" w:rsidRDefault="00000000">
            <w:pPr>
              <w:pStyle w:val="BodyTextIndent"/>
              <w:tabs>
                <w:tab w:val="decimal" w:pos="834"/>
              </w:tabs>
              <w:spacing w:after="0"/>
              <w:ind w:left="0"/>
              <w:rPr>
                <w:sz w:val="19"/>
              </w:rPr>
            </w:pPr>
            <w:r>
              <w:rPr>
                <w:sz w:val="19"/>
              </w:rPr>
              <w:t>6.197</w:t>
            </w:r>
          </w:p>
        </w:tc>
        <w:tc>
          <w:tcPr>
            <w:tcW w:w="1619" w:type="dxa"/>
          </w:tcPr>
          <w:p w:rsidR="00000000" w:rsidRDefault="00000000">
            <w:pPr>
              <w:pStyle w:val="BodyTextIndent"/>
              <w:tabs>
                <w:tab w:val="decimal" w:pos="1010"/>
              </w:tabs>
              <w:spacing w:after="0"/>
              <w:ind w:left="0"/>
              <w:rPr>
                <w:sz w:val="19"/>
              </w:rPr>
            </w:pPr>
            <w:r>
              <w:rPr>
                <w:sz w:val="19"/>
              </w:rPr>
              <w:t>16</w:t>
            </w:r>
          </w:p>
        </w:tc>
        <w:tc>
          <w:tcPr>
            <w:tcW w:w="1150" w:type="dxa"/>
          </w:tcPr>
          <w:p w:rsidR="00000000" w:rsidRDefault="00000000">
            <w:pPr>
              <w:pStyle w:val="BodyTextIndent"/>
              <w:tabs>
                <w:tab w:val="decimal" w:pos="835"/>
              </w:tabs>
              <w:spacing w:after="0"/>
              <w:ind w:left="0"/>
              <w:rPr>
                <w:sz w:val="19"/>
              </w:rPr>
            </w:pPr>
            <w:r>
              <w:rPr>
                <w:sz w:val="19"/>
              </w:rPr>
              <w:t>19</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Hormigón armado, loza o bovedilla</w:t>
            </w:r>
          </w:p>
        </w:tc>
        <w:tc>
          <w:tcPr>
            <w:tcW w:w="1927" w:type="dxa"/>
            <w:gridSpan w:val="2"/>
          </w:tcPr>
          <w:p w:rsidR="00000000" w:rsidRDefault="00000000">
            <w:pPr>
              <w:pStyle w:val="BodyTextIndent"/>
              <w:tabs>
                <w:tab w:val="decimal" w:pos="1259"/>
              </w:tabs>
              <w:spacing w:after="0"/>
              <w:ind w:left="0"/>
              <w:rPr>
                <w:sz w:val="19"/>
              </w:rPr>
            </w:pPr>
            <w:r>
              <w:rPr>
                <w:sz w:val="19"/>
              </w:rPr>
              <w:t>292</w:t>
            </w:r>
          </w:p>
        </w:tc>
        <w:tc>
          <w:tcPr>
            <w:tcW w:w="1135" w:type="dxa"/>
            <w:vAlign w:val="center"/>
          </w:tcPr>
          <w:p w:rsidR="00000000" w:rsidRDefault="00000000">
            <w:pPr>
              <w:pStyle w:val="BodyTextIndent"/>
              <w:tabs>
                <w:tab w:val="decimal" w:pos="834"/>
              </w:tabs>
              <w:spacing w:after="0"/>
              <w:ind w:left="0"/>
              <w:rPr>
                <w:sz w:val="19"/>
              </w:rPr>
            </w:pPr>
            <w:r>
              <w:rPr>
                <w:sz w:val="19"/>
              </w:rPr>
              <w:t>-</w:t>
            </w:r>
          </w:p>
        </w:tc>
        <w:tc>
          <w:tcPr>
            <w:tcW w:w="1619" w:type="dxa"/>
            <w:vAlign w:val="center"/>
          </w:tcPr>
          <w:p w:rsidR="00000000" w:rsidRDefault="00000000">
            <w:pPr>
              <w:pStyle w:val="BodyTextIndent"/>
              <w:tabs>
                <w:tab w:val="decimal" w:pos="1010"/>
              </w:tabs>
              <w:spacing w:after="0"/>
              <w:ind w:left="0"/>
              <w:rPr>
                <w:sz w:val="19"/>
              </w:rPr>
            </w:pPr>
            <w:r>
              <w:rPr>
                <w:sz w:val="19"/>
              </w:rPr>
              <w:t>1</w:t>
            </w:r>
          </w:p>
        </w:tc>
        <w:tc>
          <w:tcPr>
            <w:tcW w:w="1150" w:type="dxa"/>
            <w:vAlign w:val="center"/>
          </w:tcPr>
          <w:p w:rsidR="00000000" w:rsidRDefault="00000000">
            <w:pPr>
              <w:pStyle w:val="BodyTextIndent"/>
              <w:tabs>
                <w:tab w:val="decimal" w:pos="835"/>
              </w:tabs>
              <w:spacing w:after="0"/>
              <w:ind w:left="0"/>
              <w:rPr>
                <w:sz w:val="19"/>
              </w:rPr>
            </w:pPr>
            <w:r>
              <w:rPr>
                <w:sz w:val="19"/>
              </w:rPr>
              <w:t>291</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Tronco de palma</w:t>
            </w:r>
          </w:p>
        </w:tc>
        <w:tc>
          <w:tcPr>
            <w:tcW w:w="1927" w:type="dxa"/>
            <w:gridSpan w:val="2"/>
          </w:tcPr>
          <w:p w:rsidR="00000000" w:rsidRDefault="00000000">
            <w:pPr>
              <w:pStyle w:val="BodyTextIndent"/>
              <w:tabs>
                <w:tab w:val="decimal" w:pos="1259"/>
              </w:tabs>
              <w:spacing w:after="0"/>
              <w:ind w:left="0"/>
              <w:rPr>
                <w:sz w:val="19"/>
              </w:rPr>
            </w:pPr>
            <w:r>
              <w:rPr>
                <w:sz w:val="19"/>
              </w:rPr>
              <w:t>1.973</w:t>
            </w:r>
          </w:p>
        </w:tc>
        <w:tc>
          <w:tcPr>
            <w:tcW w:w="1135" w:type="dxa"/>
          </w:tcPr>
          <w:p w:rsidR="00000000" w:rsidRDefault="00000000">
            <w:pPr>
              <w:pStyle w:val="BodyTextIndent"/>
              <w:tabs>
                <w:tab w:val="decimal" w:pos="834"/>
              </w:tabs>
              <w:spacing w:after="0"/>
              <w:ind w:left="0"/>
              <w:rPr>
                <w:sz w:val="19"/>
              </w:rPr>
            </w:pPr>
            <w:r>
              <w:rPr>
                <w:sz w:val="19"/>
              </w:rPr>
              <w:t>1.927</w:t>
            </w:r>
          </w:p>
        </w:tc>
        <w:tc>
          <w:tcPr>
            <w:tcW w:w="1619" w:type="dxa"/>
          </w:tcPr>
          <w:p w:rsidR="00000000" w:rsidRDefault="00000000">
            <w:pPr>
              <w:pStyle w:val="BodyTextIndent"/>
              <w:tabs>
                <w:tab w:val="decimal" w:pos="1010"/>
              </w:tabs>
              <w:spacing w:after="0"/>
              <w:ind w:left="0"/>
              <w:rPr>
                <w:sz w:val="19"/>
              </w:rPr>
            </w:pPr>
            <w:r>
              <w:rPr>
                <w:sz w:val="19"/>
              </w:rPr>
              <w:t>29</w:t>
            </w:r>
          </w:p>
        </w:tc>
        <w:tc>
          <w:tcPr>
            <w:tcW w:w="1150" w:type="dxa"/>
          </w:tcPr>
          <w:p w:rsidR="00000000" w:rsidRDefault="00000000">
            <w:pPr>
              <w:pStyle w:val="BodyTextIndent"/>
              <w:tabs>
                <w:tab w:val="decimal" w:pos="835"/>
              </w:tabs>
              <w:spacing w:after="0"/>
              <w:ind w:left="0"/>
              <w:rPr>
                <w:sz w:val="19"/>
              </w:rPr>
            </w:pPr>
            <w:r>
              <w:rPr>
                <w:sz w:val="19"/>
              </w:rPr>
              <w:t>17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Cartón, hule, madera de embalaje</w:t>
            </w:r>
          </w:p>
        </w:tc>
        <w:tc>
          <w:tcPr>
            <w:tcW w:w="1927" w:type="dxa"/>
            <w:gridSpan w:val="2"/>
          </w:tcPr>
          <w:p w:rsidR="00000000" w:rsidRDefault="00000000">
            <w:pPr>
              <w:pStyle w:val="BodyTextIndent"/>
              <w:tabs>
                <w:tab w:val="decimal" w:pos="1259"/>
              </w:tabs>
              <w:spacing w:after="0"/>
              <w:ind w:left="0"/>
              <w:rPr>
                <w:sz w:val="19"/>
              </w:rPr>
            </w:pPr>
            <w:r>
              <w:rPr>
                <w:sz w:val="19"/>
              </w:rPr>
              <w:t>1.030</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BodyTextIndent"/>
              <w:tabs>
                <w:tab w:val="decimal" w:pos="1010"/>
              </w:tabs>
              <w:spacing w:after="0"/>
              <w:ind w:left="0"/>
              <w:rPr>
                <w:sz w:val="19"/>
              </w:rPr>
            </w:pPr>
            <w:r>
              <w:rPr>
                <w:sz w:val="19"/>
              </w:rPr>
              <w:t>1.021</w:t>
            </w:r>
          </w:p>
        </w:tc>
        <w:tc>
          <w:tcPr>
            <w:tcW w:w="1150" w:type="dxa"/>
          </w:tcPr>
          <w:p w:rsidR="00000000" w:rsidRDefault="00000000">
            <w:pPr>
              <w:pStyle w:val="BodyTextIndent"/>
              <w:tabs>
                <w:tab w:val="decimal" w:pos="835"/>
              </w:tabs>
              <w:spacing w:after="0"/>
              <w:ind w:left="0"/>
              <w:rPr>
                <w:sz w:val="19"/>
              </w:rPr>
            </w:pPr>
            <w:r>
              <w:rPr>
                <w:sz w:val="19"/>
              </w:rPr>
              <w:t>9</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Otro</w:t>
            </w:r>
          </w:p>
        </w:tc>
        <w:tc>
          <w:tcPr>
            <w:tcW w:w="1927" w:type="dxa"/>
            <w:gridSpan w:val="2"/>
          </w:tcPr>
          <w:p w:rsidR="00000000" w:rsidRDefault="00000000">
            <w:pPr>
              <w:pStyle w:val="BodyTextIndent"/>
              <w:tabs>
                <w:tab w:val="decimal" w:pos="1259"/>
              </w:tabs>
              <w:spacing w:after="0"/>
              <w:ind w:left="0"/>
              <w:rPr>
                <w:sz w:val="19"/>
              </w:rPr>
            </w:pPr>
            <w:r>
              <w:rPr>
                <w:sz w:val="19"/>
              </w:rPr>
              <w:t>181</w:t>
            </w:r>
          </w:p>
        </w:tc>
        <w:tc>
          <w:tcPr>
            <w:tcW w:w="1135" w:type="dxa"/>
          </w:tcPr>
          <w:p w:rsidR="00000000" w:rsidRDefault="00000000">
            <w:pPr>
              <w:pStyle w:val="Hyperlink"/>
              <w:tabs>
                <w:tab w:val="decimal" w:pos="834"/>
              </w:tabs>
              <w:rPr>
                <w:sz w:val="19"/>
              </w:rPr>
            </w:pPr>
            <w:r>
              <w:rPr>
                <w:sz w:val="19"/>
              </w:rPr>
              <w:t>83</w:t>
            </w:r>
          </w:p>
        </w:tc>
        <w:tc>
          <w:tcPr>
            <w:tcW w:w="1619" w:type="dxa"/>
          </w:tcPr>
          <w:p w:rsidR="00000000" w:rsidRDefault="00000000">
            <w:pPr>
              <w:pStyle w:val="Hyperlink"/>
              <w:tabs>
                <w:tab w:val="decimal" w:pos="1010"/>
              </w:tabs>
              <w:rPr>
                <w:sz w:val="19"/>
              </w:rPr>
            </w:pPr>
            <w:r>
              <w:rPr>
                <w:sz w:val="19"/>
              </w:rPr>
              <w:t>56</w:t>
            </w:r>
          </w:p>
        </w:tc>
        <w:tc>
          <w:tcPr>
            <w:tcW w:w="1150" w:type="dxa"/>
          </w:tcPr>
          <w:p w:rsidR="00000000" w:rsidRDefault="00000000">
            <w:pPr>
              <w:pStyle w:val="Hyperlink"/>
              <w:tabs>
                <w:tab w:val="decimal" w:pos="835"/>
              </w:tabs>
              <w:rPr>
                <w:sz w:val="19"/>
              </w:rPr>
            </w:pPr>
            <w:r>
              <w:rPr>
                <w:sz w:val="19"/>
              </w:rPr>
              <w:t>42</w:t>
            </w:r>
          </w:p>
        </w:tc>
      </w:tr>
      <w:tr w:rsidR="00000000">
        <w:tblPrEx>
          <w:tblCellMar>
            <w:top w:w="0" w:type="dxa"/>
            <w:bottom w:w="0" w:type="dxa"/>
          </w:tblCellMar>
        </w:tblPrEx>
        <w:trPr>
          <w:cantSplit/>
        </w:trPr>
        <w:tc>
          <w:tcPr>
            <w:tcW w:w="3663" w:type="dxa"/>
          </w:tcPr>
          <w:p w:rsidR="00000000" w:rsidRDefault="00000000">
            <w:pPr>
              <w:pStyle w:val="BodyTextIndent"/>
              <w:spacing w:after="0"/>
              <w:ind w:left="0"/>
              <w:rPr>
                <w:b/>
                <w:bCs/>
                <w:sz w:val="19"/>
              </w:rPr>
            </w:pPr>
            <w:r>
              <w:rPr>
                <w:b/>
                <w:bCs/>
                <w:sz w:val="19"/>
              </w:rPr>
              <w:t>Área urbana</w:t>
            </w:r>
          </w:p>
        </w:tc>
        <w:tc>
          <w:tcPr>
            <w:tcW w:w="1927" w:type="dxa"/>
            <w:gridSpan w:val="2"/>
          </w:tcPr>
          <w:p w:rsidR="00000000" w:rsidRDefault="00000000">
            <w:pPr>
              <w:pStyle w:val="BodyTextIndent"/>
              <w:tabs>
                <w:tab w:val="decimal" w:pos="1259"/>
              </w:tabs>
              <w:spacing w:after="0"/>
              <w:ind w:left="0"/>
              <w:rPr>
                <w:b/>
                <w:bCs/>
                <w:sz w:val="19"/>
              </w:rPr>
            </w:pPr>
          </w:p>
        </w:tc>
        <w:tc>
          <w:tcPr>
            <w:tcW w:w="1135" w:type="dxa"/>
          </w:tcPr>
          <w:p w:rsidR="00000000" w:rsidRDefault="00000000">
            <w:pPr>
              <w:pStyle w:val="BodyTextIndent"/>
              <w:spacing w:after="0"/>
              <w:ind w:left="0"/>
              <w:rPr>
                <w:b/>
                <w:bCs/>
                <w:sz w:val="19"/>
              </w:rPr>
            </w:pPr>
          </w:p>
        </w:tc>
        <w:tc>
          <w:tcPr>
            <w:tcW w:w="1619" w:type="dxa"/>
          </w:tcPr>
          <w:p w:rsidR="00000000" w:rsidRDefault="00000000">
            <w:pPr>
              <w:pStyle w:val="BodyTextIndent"/>
              <w:spacing w:after="0"/>
              <w:ind w:left="0"/>
              <w:rPr>
                <w:b/>
                <w:bCs/>
                <w:sz w:val="19"/>
              </w:rPr>
            </w:pPr>
          </w:p>
        </w:tc>
        <w:tc>
          <w:tcPr>
            <w:tcW w:w="1150" w:type="dxa"/>
          </w:tcPr>
          <w:p w:rsidR="00000000" w:rsidRDefault="00000000">
            <w:pPr>
              <w:pStyle w:val="BodyTextIndent"/>
              <w:spacing w:after="0"/>
              <w:ind w:left="0"/>
              <w:rPr>
                <w:b/>
                <w:bCs/>
                <w:sz w:val="19"/>
              </w:rPr>
            </w:pPr>
          </w:p>
        </w:tc>
      </w:tr>
      <w:tr w:rsidR="00000000">
        <w:tblPrEx>
          <w:tblCellMar>
            <w:top w:w="0" w:type="dxa"/>
            <w:bottom w:w="0" w:type="dxa"/>
          </w:tblCellMar>
        </w:tblPrEx>
        <w:trPr>
          <w:cantSplit/>
        </w:trPr>
        <w:tc>
          <w:tcPr>
            <w:tcW w:w="3663" w:type="dxa"/>
          </w:tcPr>
          <w:p w:rsidR="00000000" w:rsidRDefault="00000000">
            <w:pPr>
              <w:pStyle w:val="BodyTextIndent"/>
              <w:spacing w:after="0"/>
              <w:ind w:left="0"/>
              <w:rPr>
                <w:sz w:val="19"/>
              </w:rPr>
            </w:pPr>
            <w:r>
              <w:rPr>
                <w:sz w:val="19"/>
              </w:rPr>
              <w:t>Total viviendas</w:t>
            </w:r>
          </w:p>
        </w:tc>
        <w:tc>
          <w:tcPr>
            <w:tcW w:w="1927" w:type="dxa"/>
            <w:gridSpan w:val="2"/>
          </w:tcPr>
          <w:p w:rsidR="00000000" w:rsidRDefault="00000000">
            <w:pPr>
              <w:pStyle w:val="BodyTextIndent"/>
              <w:tabs>
                <w:tab w:val="decimal" w:pos="1259"/>
              </w:tabs>
              <w:spacing w:after="0"/>
              <w:ind w:left="0"/>
              <w:rPr>
                <w:sz w:val="19"/>
              </w:rPr>
            </w:pPr>
            <w:r>
              <w:rPr>
                <w:sz w:val="19"/>
              </w:rPr>
              <w:t>48.194</w:t>
            </w:r>
          </w:p>
        </w:tc>
        <w:tc>
          <w:tcPr>
            <w:tcW w:w="1135" w:type="dxa"/>
          </w:tcPr>
          <w:p w:rsidR="00000000" w:rsidRDefault="00000000">
            <w:pPr>
              <w:pStyle w:val="BodyTextIndent"/>
              <w:tabs>
                <w:tab w:val="decimal" w:pos="834"/>
              </w:tabs>
              <w:spacing w:after="0"/>
              <w:ind w:left="0"/>
              <w:rPr>
                <w:sz w:val="19"/>
              </w:rPr>
            </w:pPr>
            <w:r>
              <w:rPr>
                <w:sz w:val="19"/>
              </w:rPr>
              <w:t>44.648</w:t>
            </w:r>
          </w:p>
        </w:tc>
        <w:tc>
          <w:tcPr>
            <w:tcW w:w="1619" w:type="dxa"/>
          </w:tcPr>
          <w:p w:rsidR="00000000" w:rsidRDefault="00000000">
            <w:pPr>
              <w:pStyle w:val="Hyperlink"/>
              <w:tabs>
                <w:tab w:val="decimal" w:pos="1010"/>
              </w:tabs>
              <w:rPr>
                <w:sz w:val="19"/>
              </w:rPr>
            </w:pPr>
            <w:r>
              <w:rPr>
                <w:sz w:val="19"/>
              </w:rPr>
              <w:t>681</w:t>
            </w:r>
          </w:p>
        </w:tc>
        <w:tc>
          <w:tcPr>
            <w:tcW w:w="1150" w:type="dxa"/>
          </w:tcPr>
          <w:p w:rsidR="00000000" w:rsidRDefault="00000000">
            <w:pPr>
              <w:pStyle w:val="BodyTextIndent"/>
              <w:tabs>
                <w:tab w:val="decimal" w:pos="835"/>
              </w:tabs>
              <w:spacing w:after="0"/>
              <w:ind w:left="0"/>
              <w:rPr>
                <w:sz w:val="19"/>
              </w:rPr>
            </w:pPr>
            <w:r>
              <w:rPr>
                <w:sz w:val="19"/>
              </w:rPr>
              <w:t>2.865</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A. Paredes exteriores</w:t>
            </w:r>
          </w:p>
        </w:tc>
        <w:tc>
          <w:tcPr>
            <w:tcW w:w="1927" w:type="dxa"/>
            <w:gridSpan w:val="2"/>
          </w:tcPr>
          <w:p w:rsidR="00000000" w:rsidRDefault="00000000">
            <w:pPr>
              <w:pStyle w:val="BodyTextIndent"/>
              <w:tabs>
                <w:tab w:val="decimal" w:pos="1259"/>
              </w:tabs>
              <w:spacing w:after="0"/>
              <w:ind w:left="0"/>
              <w:rPr>
                <w:sz w:val="19"/>
              </w:rPr>
            </w:pPr>
          </w:p>
        </w:tc>
        <w:tc>
          <w:tcPr>
            <w:tcW w:w="1135" w:type="dxa"/>
          </w:tcPr>
          <w:p w:rsidR="00000000" w:rsidRDefault="00000000">
            <w:pPr>
              <w:pStyle w:val="BodyTextIndent"/>
              <w:tabs>
                <w:tab w:val="decimal" w:pos="834"/>
              </w:tabs>
              <w:spacing w:after="0"/>
              <w:ind w:left="0"/>
              <w:rPr>
                <w:sz w:val="19"/>
              </w:rPr>
            </w:pPr>
          </w:p>
        </w:tc>
        <w:tc>
          <w:tcPr>
            <w:tcW w:w="1619" w:type="dxa"/>
          </w:tcPr>
          <w:p w:rsidR="00000000" w:rsidRDefault="00000000">
            <w:pPr>
              <w:pStyle w:val="Hyperlink"/>
              <w:tabs>
                <w:tab w:val="decimal" w:pos="1010"/>
              </w:tabs>
              <w:rPr>
                <w:sz w:val="19"/>
              </w:rPr>
            </w:pPr>
          </w:p>
        </w:tc>
        <w:tc>
          <w:tcPr>
            <w:tcW w:w="1150" w:type="dxa"/>
          </w:tcPr>
          <w:p w:rsidR="00000000" w:rsidRDefault="00000000">
            <w:pPr>
              <w:pStyle w:val="BodyTextIndent"/>
              <w:tabs>
                <w:tab w:val="decimal" w:pos="835"/>
              </w:tabs>
              <w:spacing w:after="0"/>
              <w:ind w:left="0"/>
              <w:rPr>
                <w:sz w:val="19"/>
              </w:rPr>
            </w:pP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Ladrillo</w:t>
            </w:r>
          </w:p>
        </w:tc>
        <w:tc>
          <w:tcPr>
            <w:tcW w:w="1927" w:type="dxa"/>
            <w:gridSpan w:val="2"/>
          </w:tcPr>
          <w:p w:rsidR="00000000" w:rsidRDefault="00000000">
            <w:pPr>
              <w:pStyle w:val="BodyTextIndent"/>
              <w:tabs>
                <w:tab w:val="decimal" w:pos="1259"/>
              </w:tabs>
              <w:spacing w:after="0"/>
              <w:ind w:left="0"/>
              <w:rPr>
                <w:sz w:val="19"/>
              </w:rPr>
            </w:pPr>
            <w:r>
              <w:rPr>
                <w:sz w:val="19"/>
              </w:rPr>
              <w:t>4.652</w:t>
            </w:r>
          </w:p>
        </w:tc>
        <w:tc>
          <w:tcPr>
            <w:tcW w:w="1135" w:type="dxa"/>
          </w:tcPr>
          <w:p w:rsidR="00000000" w:rsidRDefault="00000000">
            <w:pPr>
              <w:pStyle w:val="BodyTextIndent"/>
              <w:tabs>
                <w:tab w:val="decimal" w:pos="834"/>
              </w:tabs>
              <w:spacing w:after="0"/>
              <w:ind w:left="0"/>
              <w:rPr>
                <w:sz w:val="19"/>
              </w:rPr>
            </w:pPr>
            <w:r>
              <w:rPr>
                <w:sz w:val="19"/>
              </w:rPr>
              <w:t>2.591</w:t>
            </w:r>
          </w:p>
        </w:tc>
        <w:tc>
          <w:tcPr>
            <w:tcW w:w="1619" w:type="dxa"/>
          </w:tcPr>
          <w:p w:rsidR="00000000" w:rsidRDefault="00000000">
            <w:pPr>
              <w:pStyle w:val="Hyperlink"/>
              <w:tabs>
                <w:tab w:val="decimal" w:pos="1010"/>
              </w:tabs>
              <w:rPr>
                <w:sz w:val="19"/>
              </w:rPr>
            </w:pPr>
            <w:r>
              <w:rPr>
                <w:sz w:val="19"/>
              </w:rPr>
              <w:t>4</w:t>
            </w:r>
          </w:p>
        </w:tc>
        <w:tc>
          <w:tcPr>
            <w:tcW w:w="1150" w:type="dxa"/>
          </w:tcPr>
          <w:p w:rsidR="00000000" w:rsidRDefault="00000000">
            <w:pPr>
              <w:pStyle w:val="BodyTextIndent"/>
              <w:tabs>
                <w:tab w:val="decimal" w:pos="835"/>
              </w:tabs>
              <w:spacing w:after="0"/>
              <w:ind w:left="0"/>
              <w:rPr>
                <w:sz w:val="19"/>
              </w:rPr>
            </w:pPr>
            <w:r>
              <w:rPr>
                <w:sz w:val="19"/>
              </w:rPr>
              <w:t>2.057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Madera</w:t>
            </w:r>
          </w:p>
        </w:tc>
        <w:tc>
          <w:tcPr>
            <w:tcW w:w="1927" w:type="dxa"/>
            <w:gridSpan w:val="2"/>
          </w:tcPr>
          <w:p w:rsidR="00000000" w:rsidRDefault="00000000">
            <w:pPr>
              <w:pStyle w:val="BodyTextIndent"/>
              <w:tabs>
                <w:tab w:val="decimal" w:pos="1259"/>
              </w:tabs>
              <w:spacing w:after="0"/>
              <w:ind w:left="0"/>
              <w:rPr>
                <w:sz w:val="19"/>
              </w:rPr>
            </w:pPr>
            <w:r>
              <w:rPr>
                <w:sz w:val="19"/>
              </w:rPr>
              <w:t>39.436</w:t>
            </w:r>
          </w:p>
        </w:tc>
        <w:tc>
          <w:tcPr>
            <w:tcW w:w="1135" w:type="dxa"/>
          </w:tcPr>
          <w:p w:rsidR="00000000" w:rsidRDefault="00000000">
            <w:pPr>
              <w:pStyle w:val="BodyTextIndent"/>
              <w:tabs>
                <w:tab w:val="decimal" w:pos="834"/>
              </w:tabs>
              <w:spacing w:after="0"/>
              <w:ind w:left="0"/>
              <w:rPr>
                <w:sz w:val="19"/>
              </w:rPr>
            </w:pPr>
            <w:r>
              <w:rPr>
                <w:sz w:val="19"/>
              </w:rPr>
              <w:t>38.827</w:t>
            </w:r>
          </w:p>
        </w:tc>
        <w:tc>
          <w:tcPr>
            <w:tcW w:w="1619" w:type="dxa"/>
          </w:tcPr>
          <w:p w:rsidR="00000000" w:rsidRDefault="00000000">
            <w:pPr>
              <w:pStyle w:val="Hyperlink"/>
              <w:tabs>
                <w:tab w:val="decimal" w:pos="1010"/>
              </w:tabs>
              <w:rPr>
                <w:sz w:val="19"/>
              </w:rPr>
            </w:pPr>
            <w:r>
              <w:rPr>
                <w:sz w:val="19"/>
              </w:rPr>
              <w:t>14</w:t>
            </w:r>
          </w:p>
        </w:tc>
        <w:tc>
          <w:tcPr>
            <w:tcW w:w="1150" w:type="dxa"/>
          </w:tcPr>
          <w:p w:rsidR="00000000" w:rsidRDefault="00000000">
            <w:pPr>
              <w:pStyle w:val="BodyTextIndent"/>
              <w:tabs>
                <w:tab w:val="decimal" w:pos="835"/>
              </w:tabs>
              <w:spacing w:after="0"/>
              <w:ind w:left="0"/>
              <w:rPr>
                <w:sz w:val="19"/>
              </w:rPr>
            </w:pPr>
            <w:r>
              <w:rPr>
                <w:sz w:val="19"/>
              </w:rPr>
              <w:t>595</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Estaqueo</w:t>
            </w:r>
          </w:p>
        </w:tc>
        <w:tc>
          <w:tcPr>
            <w:tcW w:w="1927" w:type="dxa"/>
            <w:gridSpan w:val="2"/>
          </w:tcPr>
          <w:p w:rsidR="00000000" w:rsidRDefault="00000000">
            <w:pPr>
              <w:pStyle w:val="BodyTextIndent"/>
              <w:tabs>
                <w:tab w:val="decimal" w:pos="1259"/>
              </w:tabs>
              <w:spacing w:after="0"/>
              <w:ind w:left="0"/>
              <w:rPr>
                <w:sz w:val="19"/>
              </w:rPr>
            </w:pPr>
            <w:r>
              <w:rPr>
                <w:sz w:val="19"/>
              </w:rPr>
              <w:t>1.704</w:t>
            </w:r>
          </w:p>
        </w:tc>
        <w:tc>
          <w:tcPr>
            <w:tcW w:w="1135" w:type="dxa"/>
          </w:tcPr>
          <w:p w:rsidR="00000000" w:rsidRDefault="00000000">
            <w:pPr>
              <w:pStyle w:val="BodyTextIndent"/>
              <w:tabs>
                <w:tab w:val="decimal" w:pos="834"/>
              </w:tabs>
              <w:spacing w:after="0"/>
              <w:ind w:left="0"/>
              <w:rPr>
                <w:sz w:val="19"/>
              </w:rPr>
            </w:pPr>
            <w:r>
              <w:rPr>
                <w:sz w:val="19"/>
              </w:rPr>
              <w:t>1.692</w:t>
            </w:r>
          </w:p>
        </w:tc>
        <w:tc>
          <w:tcPr>
            <w:tcW w:w="1619" w:type="dxa"/>
          </w:tcPr>
          <w:p w:rsidR="00000000" w:rsidRDefault="00000000">
            <w:pPr>
              <w:pStyle w:val="Hyperlink"/>
              <w:tabs>
                <w:tab w:val="decimal" w:pos="1010"/>
              </w:tabs>
              <w:rPr>
                <w:sz w:val="19"/>
              </w:rPr>
            </w:pPr>
            <w:r>
              <w:rPr>
                <w:sz w:val="19"/>
              </w:rPr>
              <w:t>5</w:t>
            </w:r>
          </w:p>
        </w:tc>
        <w:tc>
          <w:tcPr>
            <w:tcW w:w="1150" w:type="dxa"/>
          </w:tcPr>
          <w:p w:rsidR="00000000" w:rsidRDefault="00000000">
            <w:pPr>
              <w:pStyle w:val="BodyTextIndent"/>
              <w:tabs>
                <w:tab w:val="decimal" w:pos="835"/>
              </w:tabs>
              <w:spacing w:after="0"/>
              <w:ind w:left="0"/>
              <w:rPr>
                <w:sz w:val="19"/>
              </w:rPr>
            </w:pPr>
            <w:r>
              <w:rPr>
                <w:sz w:val="19"/>
              </w:rPr>
              <w:t>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Adobe</w:t>
            </w:r>
          </w:p>
        </w:tc>
        <w:tc>
          <w:tcPr>
            <w:tcW w:w="1927" w:type="dxa"/>
            <w:gridSpan w:val="2"/>
          </w:tcPr>
          <w:p w:rsidR="00000000" w:rsidRDefault="00000000">
            <w:pPr>
              <w:pStyle w:val="BodyTextIndent"/>
              <w:tabs>
                <w:tab w:val="decimal" w:pos="1259"/>
              </w:tabs>
              <w:spacing w:after="0"/>
              <w:ind w:left="0"/>
              <w:rPr>
                <w:sz w:val="19"/>
              </w:rPr>
            </w:pPr>
            <w:r>
              <w:rPr>
                <w:sz w:val="19"/>
              </w:rPr>
              <w:t>622</w:t>
            </w:r>
          </w:p>
        </w:tc>
        <w:tc>
          <w:tcPr>
            <w:tcW w:w="1135" w:type="dxa"/>
          </w:tcPr>
          <w:p w:rsidR="00000000" w:rsidRDefault="00000000">
            <w:pPr>
              <w:pStyle w:val="BodyTextIndent"/>
              <w:tabs>
                <w:tab w:val="decimal" w:pos="834"/>
              </w:tabs>
              <w:spacing w:after="0"/>
              <w:ind w:left="0"/>
              <w:rPr>
                <w:sz w:val="19"/>
              </w:rPr>
            </w:pPr>
            <w:r>
              <w:rPr>
                <w:sz w:val="19"/>
              </w:rPr>
              <w:t>619</w:t>
            </w:r>
          </w:p>
        </w:tc>
        <w:tc>
          <w:tcPr>
            <w:tcW w:w="1619" w:type="dxa"/>
          </w:tcPr>
          <w:p w:rsidR="00000000" w:rsidRDefault="00000000">
            <w:pPr>
              <w:pStyle w:val="Hyperlink"/>
              <w:tabs>
                <w:tab w:val="decimal" w:pos="1010"/>
              </w:tabs>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3</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Tronco de palma</w:t>
            </w:r>
          </w:p>
        </w:tc>
        <w:tc>
          <w:tcPr>
            <w:tcW w:w="1927" w:type="dxa"/>
            <w:gridSpan w:val="2"/>
          </w:tcPr>
          <w:p w:rsidR="00000000" w:rsidRDefault="00000000">
            <w:pPr>
              <w:pStyle w:val="BodyTextIndent"/>
              <w:tabs>
                <w:tab w:val="decimal" w:pos="1259"/>
              </w:tabs>
              <w:spacing w:after="0"/>
              <w:ind w:left="0"/>
              <w:rPr>
                <w:sz w:val="19"/>
              </w:rPr>
            </w:pPr>
            <w:r>
              <w:rPr>
                <w:sz w:val="19"/>
              </w:rPr>
              <w:t>698</w:t>
            </w:r>
          </w:p>
        </w:tc>
        <w:tc>
          <w:tcPr>
            <w:tcW w:w="1135" w:type="dxa"/>
          </w:tcPr>
          <w:p w:rsidR="00000000" w:rsidRDefault="00000000">
            <w:pPr>
              <w:pStyle w:val="BodyTextIndent"/>
              <w:tabs>
                <w:tab w:val="decimal" w:pos="834"/>
              </w:tabs>
              <w:spacing w:after="0"/>
              <w:ind w:left="0"/>
              <w:rPr>
                <w:sz w:val="19"/>
              </w:rPr>
            </w:pPr>
            <w:r>
              <w:rPr>
                <w:sz w:val="19"/>
              </w:rPr>
              <w:t>689</w:t>
            </w:r>
          </w:p>
        </w:tc>
        <w:tc>
          <w:tcPr>
            <w:tcW w:w="1619" w:type="dxa"/>
          </w:tcPr>
          <w:p w:rsidR="00000000" w:rsidRDefault="00000000">
            <w:pPr>
              <w:pStyle w:val="Hyperlink"/>
              <w:tabs>
                <w:tab w:val="decimal" w:pos="1010"/>
              </w:tabs>
              <w:rPr>
                <w:sz w:val="19"/>
              </w:rPr>
            </w:pPr>
            <w:r>
              <w:rPr>
                <w:sz w:val="19"/>
              </w:rPr>
              <w:t>5</w:t>
            </w:r>
          </w:p>
        </w:tc>
        <w:tc>
          <w:tcPr>
            <w:tcW w:w="1150" w:type="dxa"/>
          </w:tcPr>
          <w:p w:rsidR="00000000" w:rsidRDefault="00000000">
            <w:pPr>
              <w:pStyle w:val="BodyTextIndent"/>
              <w:tabs>
                <w:tab w:val="decimal" w:pos="835"/>
              </w:tabs>
              <w:spacing w:after="0"/>
              <w:ind w:left="0"/>
              <w:rPr>
                <w:sz w:val="19"/>
              </w:rPr>
            </w:pPr>
            <w:r>
              <w:rPr>
                <w:sz w:val="19"/>
              </w:rPr>
              <w:t>4</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Bloque de cemento</w:t>
            </w:r>
          </w:p>
        </w:tc>
        <w:tc>
          <w:tcPr>
            <w:tcW w:w="1927" w:type="dxa"/>
            <w:gridSpan w:val="2"/>
          </w:tcPr>
          <w:p w:rsidR="00000000" w:rsidRDefault="00000000">
            <w:pPr>
              <w:pStyle w:val="BodyTextIndent"/>
              <w:tabs>
                <w:tab w:val="decimal" w:pos="1259"/>
              </w:tabs>
              <w:spacing w:after="0"/>
              <w:ind w:left="0"/>
              <w:rPr>
                <w:sz w:val="19"/>
              </w:rPr>
            </w:pPr>
            <w:r>
              <w:rPr>
                <w:sz w:val="19"/>
              </w:rPr>
              <w:t>78</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78</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Cartón, hule, madera de embalaje</w:t>
            </w:r>
          </w:p>
        </w:tc>
        <w:tc>
          <w:tcPr>
            <w:tcW w:w="1927" w:type="dxa"/>
            <w:gridSpan w:val="2"/>
          </w:tcPr>
          <w:p w:rsidR="00000000" w:rsidRDefault="00000000">
            <w:pPr>
              <w:pStyle w:val="BodyTextIndent"/>
              <w:tabs>
                <w:tab w:val="decimal" w:pos="1259"/>
              </w:tabs>
              <w:spacing w:after="0"/>
              <w:ind w:left="0"/>
              <w:rPr>
                <w:sz w:val="19"/>
              </w:rPr>
            </w:pPr>
            <w:r>
              <w:rPr>
                <w:sz w:val="19"/>
              </w:rPr>
              <w:t>646</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646</w:t>
            </w:r>
          </w:p>
        </w:tc>
        <w:tc>
          <w:tcPr>
            <w:tcW w:w="1150" w:type="dxa"/>
          </w:tcPr>
          <w:p w:rsidR="00000000" w:rsidRDefault="00000000">
            <w:pPr>
              <w:pStyle w:val="BodyTextIndent"/>
              <w:tabs>
                <w:tab w:val="decimal" w:pos="835"/>
              </w:tabs>
              <w:spacing w:after="0"/>
              <w:ind w:left="0"/>
              <w:rPr>
                <w:sz w:val="19"/>
              </w:rPr>
            </w:pPr>
            <w:r>
              <w:rPr>
                <w:sz w:val="19"/>
              </w:rPr>
              <w:t>-</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No tiene pared</w:t>
            </w:r>
          </w:p>
        </w:tc>
        <w:tc>
          <w:tcPr>
            <w:tcW w:w="1927" w:type="dxa"/>
            <w:gridSpan w:val="2"/>
          </w:tcPr>
          <w:p w:rsidR="00000000" w:rsidRDefault="00000000">
            <w:pPr>
              <w:pStyle w:val="BodyTextIndent"/>
              <w:tabs>
                <w:tab w:val="decimal" w:pos="1259"/>
              </w:tabs>
              <w:spacing w:after="0"/>
              <w:ind w:left="0"/>
              <w:rPr>
                <w:sz w:val="19"/>
              </w:rPr>
            </w:pPr>
            <w:r>
              <w:rPr>
                <w:sz w:val="19"/>
              </w:rPr>
              <w:t>33</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3</w:t>
            </w:r>
          </w:p>
        </w:tc>
        <w:tc>
          <w:tcPr>
            <w:tcW w:w="1150" w:type="dxa"/>
          </w:tcPr>
          <w:p w:rsidR="00000000" w:rsidRDefault="00000000">
            <w:pPr>
              <w:pStyle w:val="BodyTextIndent"/>
              <w:tabs>
                <w:tab w:val="decimal" w:pos="835"/>
              </w:tabs>
              <w:spacing w:after="0"/>
              <w:ind w:left="0"/>
              <w:rPr>
                <w:sz w:val="19"/>
              </w:rPr>
            </w:pPr>
            <w:r>
              <w:rPr>
                <w:sz w:val="19"/>
              </w:rPr>
              <w:t>30</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Otro</w:t>
            </w:r>
          </w:p>
        </w:tc>
        <w:tc>
          <w:tcPr>
            <w:tcW w:w="1927" w:type="dxa"/>
            <w:gridSpan w:val="2"/>
          </w:tcPr>
          <w:p w:rsidR="00000000" w:rsidRDefault="00000000">
            <w:pPr>
              <w:pStyle w:val="BodyTextIndent"/>
              <w:tabs>
                <w:tab w:val="decimal" w:pos="1259"/>
              </w:tabs>
              <w:spacing w:after="0"/>
              <w:ind w:left="0"/>
              <w:rPr>
                <w:sz w:val="19"/>
              </w:rPr>
            </w:pPr>
            <w:r>
              <w:rPr>
                <w:sz w:val="19"/>
              </w:rPr>
              <w:t>325</w:t>
            </w:r>
          </w:p>
        </w:tc>
        <w:tc>
          <w:tcPr>
            <w:tcW w:w="1135" w:type="dxa"/>
          </w:tcPr>
          <w:p w:rsidR="00000000" w:rsidRDefault="00000000">
            <w:pPr>
              <w:pStyle w:val="BodyTextIndent"/>
              <w:tabs>
                <w:tab w:val="decimal" w:pos="834"/>
              </w:tabs>
              <w:spacing w:after="0"/>
              <w:ind w:left="0"/>
              <w:rPr>
                <w:sz w:val="19"/>
              </w:rPr>
            </w:pPr>
            <w:r>
              <w:rPr>
                <w:sz w:val="19"/>
              </w:rPr>
              <w:t>230</w:t>
            </w:r>
          </w:p>
        </w:tc>
        <w:tc>
          <w:tcPr>
            <w:tcW w:w="1619" w:type="dxa"/>
          </w:tcPr>
          <w:p w:rsidR="00000000" w:rsidRDefault="00000000">
            <w:pPr>
              <w:pStyle w:val="Hyperlink"/>
              <w:tabs>
                <w:tab w:val="decimal" w:pos="1010"/>
              </w:tabs>
              <w:rPr>
                <w:sz w:val="19"/>
              </w:rPr>
            </w:pPr>
            <w:r>
              <w:rPr>
                <w:sz w:val="19"/>
              </w:rPr>
              <w:t>4</w:t>
            </w:r>
          </w:p>
        </w:tc>
        <w:tc>
          <w:tcPr>
            <w:tcW w:w="1150" w:type="dxa"/>
          </w:tcPr>
          <w:p w:rsidR="00000000" w:rsidRDefault="00000000">
            <w:pPr>
              <w:pStyle w:val="BodyTextIndent"/>
              <w:tabs>
                <w:tab w:val="decimal" w:pos="835"/>
              </w:tabs>
              <w:spacing w:after="0"/>
              <w:ind w:left="0"/>
              <w:rPr>
                <w:sz w:val="19"/>
              </w:rPr>
            </w:pPr>
            <w:r>
              <w:rPr>
                <w:sz w:val="19"/>
              </w:rPr>
              <w:t>91</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B. Piso</w:t>
            </w:r>
          </w:p>
        </w:tc>
        <w:tc>
          <w:tcPr>
            <w:tcW w:w="1927" w:type="dxa"/>
            <w:gridSpan w:val="2"/>
          </w:tcPr>
          <w:p w:rsidR="00000000" w:rsidRDefault="00000000">
            <w:pPr>
              <w:pStyle w:val="BodyTextIndent"/>
              <w:tabs>
                <w:tab w:val="decimal" w:pos="1259"/>
              </w:tabs>
              <w:spacing w:after="0"/>
              <w:ind w:left="0"/>
              <w:rPr>
                <w:sz w:val="19"/>
              </w:rPr>
            </w:pPr>
          </w:p>
        </w:tc>
        <w:tc>
          <w:tcPr>
            <w:tcW w:w="1135" w:type="dxa"/>
          </w:tcPr>
          <w:p w:rsidR="00000000" w:rsidRDefault="00000000">
            <w:pPr>
              <w:pStyle w:val="BodyTextIndent"/>
              <w:tabs>
                <w:tab w:val="decimal" w:pos="834"/>
              </w:tabs>
              <w:spacing w:after="0"/>
              <w:ind w:left="0"/>
              <w:rPr>
                <w:sz w:val="19"/>
              </w:rPr>
            </w:pPr>
          </w:p>
        </w:tc>
        <w:tc>
          <w:tcPr>
            <w:tcW w:w="1619" w:type="dxa"/>
          </w:tcPr>
          <w:p w:rsidR="00000000" w:rsidRDefault="00000000">
            <w:pPr>
              <w:pStyle w:val="Hyperlink"/>
              <w:tabs>
                <w:tab w:val="decimal" w:pos="1010"/>
              </w:tabs>
              <w:rPr>
                <w:sz w:val="19"/>
              </w:rPr>
            </w:pPr>
          </w:p>
        </w:tc>
        <w:tc>
          <w:tcPr>
            <w:tcW w:w="1150" w:type="dxa"/>
          </w:tcPr>
          <w:p w:rsidR="00000000" w:rsidRDefault="00000000">
            <w:pPr>
              <w:pStyle w:val="BodyTextIndent"/>
              <w:tabs>
                <w:tab w:val="decimal" w:pos="835"/>
              </w:tabs>
              <w:spacing w:after="0"/>
              <w:ind w:left="0"/>
              <w:rPr>
                <w:sz w:val="19"/>
              </w:rPr>
            </w:pP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Tierra</w:t>
            </w:r>
          </w:p>
        </w:tc>
        <w:tc>
          <w:tcPr>
            <w:tcW w:w="1927" w:type="dxa"/>
            <w:gridSpan w:val="2"/>
          </w:tcPr>
          <w:p w:rsidR="00000000" w:rsidRDefault="00000000">
            <w:pPr>
              <w:pStyle w:val="BodyTextIndent"/>
              <w:tabs>
                <w:tab w:val="decimal" w:pos="1259"/>
              </w:tabs>
              <w:spacing w:after="0"/>
              <w:ind w:left="0"/>
              <w:rPr>
                <w:sz w:val="19"/>
              </w:rPr>
            </w:pPr>
            <w:r>
              <w:rPr>
                <w:sz w:val="19"/>
              </w:rPr>
              <w:t>28.659</w:t>
            </w:r>
          </w:p>
        </w:tc>
        <w:tc>
          <w:tcPr>
            <w:tcW w:w="1135" w:type="dxa"/>
          </w:tcPr>
          <w:p w:rsidR="00000000" w:rsidRDefault="00000000">
            <w:pPr>
              <w:pStyle w:val="BodyTextIndent"/>
              <w:tabs>
                <w:tab w:val="decimal" w:pos="834"/>
              </w:tabs>
              <w:spacing w:after="0"/>
              <w:ind w:left="0"/>
              <w:rPr>
                <w:sz w:val="19"/>
              </w:rPr>
            </w:pPr>
            <w:r>
              <w:rPr>
                <w:sz w:val="19"/>
              </w:rPr>
              <w:t>27.670</w:t>
            </w:r>
          </w:p>
        </w:tc>
        <w:tc>
          <w:tcPr>
            <w:tcW w:w="1619" w:type="dxa"/>
          </w:tcPr>
          <w:p w:rsidR="00000000" w:rsidRDefault="00000000">
            <w:pPr>
              <w:pStyle w:val="Hyperlink"/>
              <w:tabs>
                <w:tab w:val="decimal" w:pos="1010"/>
              </w:tabs>
              <w:rPr>
                <w:sz w:val="19"/>
              </w:rPr>
            </w:pPr>
            <w:r>
              <w:rPr>
                <w:sz w:val="19"/>
              </w:rPr>
              <w:t>627</w:t>
            </w:r>
          </w:p>
        </w:tc>
        <w:tc>
          <w:tcPr>
            <w:tcW w:w="1150" w:type="dxa"/>
          </w:tcPr>
          <w:p w:rsidR="00000000" w:rsidRDefault="00000000">
            <w:pPr>
              <w:pStyle w:val="BodyTextIndent"/>
              <w:tabs>
                <w:tab w:val="decimal" w:pos="835"/>
              </w:tabs>
              <w:spacing w:after="0"/>
              <w:ind w:left="0"/>
              <w:rPr>
                <w:sz w:val="19"/>
              </w:rPr>
            </w:pPr>
            <w:r>
              <w:rPr>
                <w:sz w:val="19"/>
              </w:rPr>
              <w:t>362</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Ladrillo    </w:t>
            </w:r>
          </w:p>
        </w:tc>
        <w:tc>
          <w:tcPr>
            <w:tcW w:w="1927" w:type="dxa"/>
            <w:gridSpan w:val="2"/>
          </w:tcPr>
          <w:p w:rsidR="00000000" w:rsidRDefault="00000000">
            <w:pPr>
              <w:pStyle w:val="BodyTextIndent"/>
              <w:tabs>
                <w:tab w:val="decimal" w:pos="1259"/>
              </w:tabs>
              <w:spacing w:after="0"/>
              <w:ind w:left="0"/>
              <w:rPr>
                <w:sz w:val="19"/>
              </w:rPr>
            </w:pPr>
            <w:r>
              <w:rPr>
                <w:sz w:val="19"/>
              </w:rPr>
              <w:t>2.937</w:t>
            </w:r>
          </w:p>
        </w:tc>
        <w:tc>
          <w:tcPr>
            <w:tcW w:w="1135" w:type="dxa"/>
          </w:tcPr>
          <w:p w:rsidR="00000000" w:rsidRDefault="00000000">
            <w:pPr>
              <w:pStyle w:val="BodyTextIndent"/>
              <w:spacing w:after="0"/>
              <w:ind w:left="0"/>
              <w:rPr>
                <w:sz w:val="19"/>
              </w:rPr>
            </w:pPr>
            <w:r>
              <w:rPr>
                <w:sz w:val="19"/>
              </w:rPr>
              <w:t>2.718</w:t>
            </w:r>
          </w:p>
        </w:tc>
        <w:tc>
          <w:tcPr>
            <w:tcW w:w="1619" w:type="dxa"/>
          </w:tcPr>
          <w:p w:rsidR="00000000" w:rsidRDefault="00000000">
            <w:pPr>
              <w:pStyle w:val="Hyperlink"/>
              <w:tabs>
                <w:tab w:val="decimal" w:pos="1010"/>
              </w:tabs>
              <w:rPr>
                <w:sz w:val="19"/>
              </w:rPr>
            </w:pPr>
            <w:r>
              <w:rPr>
                <w:sz w:val="19"/>
              </w:rPr>
              <w:t>7</w:t>
            </w:r>
          </w:p>
        </w:tc>
        <w:tc>
          <w:tcPr>
            <w:tcW w:w="1150" w:type="dxa"/>
          </w:tcPr>
          <w:p w:rsidR="00000000" w:rsidRDefault="00000000">
            <w:pPr>
              <w:pStyle w:val="BodyTextIndent"/>
              <w:tabs>
                <w:tab w:val="decimal" w:pos="835"/>
              </w:tabs>
              <w:spacing w:after="0"/>
              <w:ind w:left="0"/>
              <w:rPr>
                <w:sz w:val="19"/>
              </w:rPr>
            </w:pPr>
            <w:r>
              <w:rPr>
                <w:sz w:val="19"/>
              </w:rPr>
              <w:t>212</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Baldosa común</w:t>
            </w:r>
          </w:p>
        </w:tc>
        <w:tc>
          <w:tcPr>
            <w:tcW w:w="1927" w:type="dxa"/>
            <w:gridSpan w:val="2"/>
          </w:tcPr>
          <w:p w:rsidR="00000000" w:rsidRDefault="00000000">
            <w:pPr>
              <w:pStyle w:val="BodyTextIndent"/>
              <w:tabs>
                <w:tab w:val="decimal" w:pos="1259"/>
              </w:tabs>
              <w:spacing w:after="0"/>
              <w:ind w:left="0"/>
              <w:rPr>
                <w:sz w:val="19"/>
              </w:rPr>
            </w:pPr>
            <w:r>
              <w:rPr>
                <w:sz w:val="19"/>
              </w:rPr>
              <w:t>1.055</w:t>
            </w:r>
          </w:p>
        </w:tc>
        <w:tc>
          <w:tcPr>
            <w:tcW w:w="1135" w:type="dxa"/>
          </w:tcPr>
          <w:p w:rsidR="00000000" w:rsidRDefault="00000000">
            <w:pPr>
              <w:pStyle w:val="BodyTextIndent"/>
              <w:tabs>
                <w:tab w:val="decimal" w:pos="834"/>
              </w:tabs>
              <w:spacing w:after="0"/>
              <w:ind w:left="0"/>
              <w:rPr>
                <w:sz w:val="19"/>
              </w:rPr>
            </w:pPr>
            <w:r>
              <w:rPr>
                <w:sz w:val="19"/>
              </w:rPr>
              <w:t>19</w:t>
            </w:r>
          </w:p>
        </w:tc>
        <w:tc>
          <w:tcPr>
            <w:tcW w:w="1619" w:type="dxa"/>
          </w:tcPr>
          <w:p w:rsidR="00000000" w:rsidRDefault="00000000">
            <w:pPr>
              <w:pStyle w:val="Hyperlink"/>
              <w:tabs>
                <w:tab w:val="decimal" w:pos="1010"/>
              </w:tabs>
              <w:rPr>
                <w:sz w:val="19"/>
              </w:rPr>
            </w:pPr>
            <w:r>
              <w:rPr>
                <w:sz w:val="19"/>
              </w:rPr>
              <w:t>7</w:t>
            </w:r>
          </w:p>
        </w:tc>
        <w:tc>
          <w:tcPr>
            <w:tcW w:w="1150" w:type="dxa"/>
          </w:tcPr>
          <w:p w:rsidR="00000000" w:rsidRDefault="00000000">
            <w:pPr>
              <w:pStyle w:val="BodyTextIndent"/>
              <w:tabs>
                <w:tab w:val="decimal" w:pos="835"/>
              </w:tabs>
              <w:spacing w:after="0"/>
              <w:ind w:left="0"/>
              <w:rPr>
                <w:sz w:val="19"/>
              </w:rPr>
            </w:pPr>
            <w:r>
              <w:rPr>
                <w:sz w:val="19"/>
              </w:rPr>
              <w:t>1.029</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Cemento (lecherada)</w:t>
            </w:r>
          </w:p>
        </w:tc>
        <w:tc>
          <w:tcPr>
            <w:tcW w:w="1927" w:type="dxa"/>
            <w:gridSpan w:val="2"/>
          </w:tcPr>
          <w:p w:rsidR="00000000" w:rsidRDefault="00000000">
            <w:pPr>
              <w:pStyle w:val="BodyTextIndent"/>
              <w:tabs>
                <w:tab w:val="decimal" w:pos="1259"/>
              </w:tabs>
              <w:spacing w:after="0"/>
              <w:ind w:left="0"/>
              <w:rPr>
                <w:sz w:val="19"/>
              </w:rPr>
            </w:pPr>
            <w:r>
              <w:rPr>
                <w:sz w:val="19"/>
              </w:rPr>
              <w:t>11.498</w:t>
            </w:r>
          </w:p>
        </w:tc>
        <w:tc>
          <w:tcPr>
            <w:tcW w:w="1135" w:type="dxa"/>
          </w:tcPr>
          <w:p w:rsidR="00000000" w:rsidRDefault="00000000">
            <w:pPr>
              <w:pStyle w:val="BodyTextIndent"/>
              <w:tabs>
                <w:tab w:val="decimal" w:pos="834"/>
              </w:tabs>
              <w:spacing w:after="0"/>
              <w:ind w:left="0"/>
              <w:rPr>
                <w:sz w:val="19"/>
              </w:rPr>
            </w:pPr>
            <w:r>
              <w:rPr>
                <w:sz w:val="19"/>
              </w:rPr>
              <w:t>10.687</w:t>
            </w:r>
          </w:p>
        </w:tc>
        <w:tc>
          <w:tcPr>
            <w:tcW w:w="1619" w:type="dxa"/>
          </w:tcPr>
          <w:p w:rsidR="00000000" w:rsidRDefault="00000000">
            <w:pPr>
              <w:pStyle w:val="Hyperlink"/>
              <w:tabs>
                <w:tab w:val="decimal" w:pos="1010"/>
              </w:tabs>
              <w:rPr>
                <w:sz w:val="19"/>
              </w:rPr>
            </w:pPr>
            <w:r>
              <w:rPr>
                <w:sz w:val="19"/>
              </w:rPr>
              <w:t>26</w:t>
            </w:r>
          </w:p>
        </w:tc>
        <w:tc>
          <w:tcPr>
            <w:tcW w:w="1150" w:type="dxa"/>
          </w:tcPr>
          <w:p w:rsidR="00000000" w:rsidRDefault="00000000">
            <w:pPr>
              <w:pStyle w:val="BodyTextIndent"/>
              <w:tabs>
                <w:tab w:val="decimal" w:pos="835"/>
              </w:tabs>
              <w:spacing w:after="0"/>
              <w:ind w:left="0"/>
              <w:rPr>
                <w:sz w:val="19"/>
              </w:rPr>
            </w:pPr>
            <w:r>
              <w:rPr>
                <w:sz w:val="19"/>
              </w:rPr>
              <w:t>785</w:t>
            </w:r>
          </w:p>
        </w:tc>
      </w:tr>
      <w:tr w:rsidR="00000000">
        <w:tblPrEx>
          <w:tblCellMar>
            <w:top w:w="0" w:type="dxa"/>
            <w:bottom w:w="0" w:type="dxa"/>
          </w:tblCellMar>
        </w:tblPrEx>
        <w:tc>
          <w:tcPr>
            <w:tcW w:w="3663" w:type="dxa"/>
            <w:vAlign w:val="center"/>
          </w:tcPr>
          <w:p w:rsidR="00000000" w:rsidRDefault="00000000">
            <w:pPr>
              <w:pStyle w:val="BodyTextIndent"/>
              <w:spacing w:after="0"/>
              <w:ind w:left="0"/>
              <w:rPr>
                <w:sz w:val="19"/>
              </w:rPr>
            </w:pPr>
            <w:r>
              <w:rPr>
                <w:sz w:val="19"/>
              </w:rPr>
              <w:t xml:space="preserve">    Mosaico, cerámica, granito y mármol</w:t>
            </w:r>
          </w:p>
        </w:tc>
        <w:tc>
          <w:tcPr>
            <w:tcW w:w="1927" w:type="dxa"/>
            <w:gridSpan w:val="2"/>
            <w:vAlign w:val="center"/>
          </w:tcPr>
          <w:p w:rsidR="00000000" w:rsidRDefault="00000000">
            <w:pPr>
              <w:pStyle w:val="BodyTextIndent"/>
              <w:tabs>
                <w:tab w:val="decimal" w:pos="1259"/>
              </w:tabs>
              <w:spacing w:after="0"/>
              <w:ind w:left="0"/>
              <w:rPr>
                <w:sz w:val="19"/>
              </w:rPr>
            </w:pPr>
            <w:r>
              <w:rPr>
                <w:sz w:val="19"/>
              </w:rPr>
              <w:t>322</w:t>
            </w:r>
          </w:p>
        </w:tc>
        <w:tc>
          <w:tcPr>
            <w:tcW w:w="1135" w:type="dxa"/>
            <w:vAlign w:val="center"/>
          </w:tcPr>
          <w:p w:rsidR="00000000" w:rsidRDefault="00000000">
            <w:pPr>
              <w:pStyle w:val="BodyTextIndent"/>
              <w:tabs>
                <w:tab w:val="decimal" w:pos="834"/>
              </w:tabs>
              <w:spacing w:after="0"/>
              <w:ind w:left="0"/>
              <w:rPr>
                <w:sz w:val="19"/>
              </w:rPr>
            </w:pPr>
            <w:r>
              <w:rPr>
                <w:sz w:val="19"/>
              </w:rPr>
              <w:t>3</w:t>
            </w:r>
          </w:p>
        </w:tc>
        <w:tc>
          <w:tcPr>
            <w:tcW w:w="1619" w:type="dxa"/>
            <w:vAlign w:val="center"/>
          </w:tcPr>
          <w:p w:rsidR="00000000" w:rsidRDefault="00000000">
            <w:pPr>
              <w:pStyle w:val="Hyperlink"/>
              <w:tabs>
                <w:tab w:val="decimal" w:pos="1010"/>
              </w:tabs>
              <w:rPr>
                <w:sz w:val="19"/>
              </w:rPr>
            </w:pPr>
            <w:r>
              <w:rPr>
                <w:sz w:val="19"/>
              </w:rPr>
              <w:t>-</w:t>
            </w:r>
          </w:p>
        </w:tc>
        <w:tc>
          <w:tcPr>
            <w:tcW w:w="1150" w:type="dxa"/>
            <w:vAlign w:val="center"/>
          </w:tcPr>
          <w:p w:rsidR="00000000" w:rsidRDefault="00000000">
            <w:pPr>
              <w:pStyle w:val="BodyTextIndent"/>
              <w:tabs>
                <w:tab w:val="decimal" w:pos="835"/>
              </w:tabs>
              <w:spacing w:after="0"/>
              <w:ind w:left="0"/>
              <w:rPr>
                <w:sz w:val="19"/>
              </w:rPr>
            </w:pPr>
            <w:r>
              <w:rPr>
                <w:sz w:val="19"/>
              </w:rPr>
              <w:t>319</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Tablón de madera</w:t>
            </w:r>
          </w:p>
        </w:tc>
        <w:tc>
          <w:tcPr>
            <w:tcW w:w="1927" w:type="dxa"/>
            <w:gridSpan w:val="2"/>
          </w:tcPr>
          <w:p w:rsidR="00000000" w:rsidRDefault="00000000">
            <w:pPr>
              <w:pStyle w:val="BodyTextIndent"/>
              <w:tabs>
                <w:tab w:val="decimal" w:pos="1259"/>
              </w:tabs>
              <w:spacing w:after="0"/>
              <w:ind w:left="0"/>
              <w:rPr>
                <w:sz w:val="19"/>
              </w:rPr>
            </w:pPr>
            <w:r>
              <w:rPr>
                <w:sz w:val="19"/>
              </w:rPr>
              <w:t>3.106</w:t>
            </w:r>
          </w:p>
        </w:tc>
        <w:tc>
          <w:tcPr>
            <w:tcW w:w="1135" w:type="dxa"/>
          </w:tcPr>
          <w:p w:rsidR="00000000" w:rsidRDefault="00000000">
            <w:pPr>
              <w:pStyle w:val="BodyTextIndent"/>
              <w:tabs>
                <w:tab w:val="decimal" w:pos="834"/>
              </w:tabs>
              <w:spacing w:after="0"/>
              <w:ind w:left="0"/>
              <w:rPr>
                <w:sz w:val="19"/>
              </w:rPr>
            </w:pPr>
            <w:r>
              <w:rPr>
                <w:sz w:val="19"/>
              </w:rPr>
              <w:t>3.038</w:t>
            </w:r>
          </w:p>
        </w:tc>
        <w:tc>
          <w:tcPr>
            <w:tcW w:w="1619" w:type="dxa"/>
          </w:tcPr>
          <w:p w:rsidR="00000000" w:rsidRDefault="00000000">
            <w:pPr>
              <w:pStyle w:val="Hyperlink"/>
              <w:tabs>
                <w:tab w:val="decimal" w:pos="1010"/>
              </w:tabs>
              <w:rPr>
                <w:sz w:val="19"/>
              </w:rPr>
            </w:pPr>
            <w:r>
              <w:rPr>
                <w:sz w:val="19"/>
              </w:rPr>
              <w:t>11</w:t>
            </w:r>
          </w:p>
        </w:tc>
        <w:tc>
          <w:tcPr>
            <w:tcW w:w="1150" w:type="dxa"/>
          </w:tcPr>
          <w:p w:rsidR="00000000" w:rsidRDefault="00000000">
            <w:pPr>
              <w:pStyle w:val="BodyTextIndent"/>
              <w:tabs>
                <w:tab w:val="decimal" w:pos="835"/>
              </w:tabs>
              <w:spacing w:after="0"/>
              <w:ind w:left="0"/>
              <w:rPr>
                <w:sz w:val="19"/>
              </w:rPr>
            </w:pPr>
            <w:r>
              <w:rPr>
                <w:sz w:val="19"/>
              </w:rPr>
              <w:t>57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Parquet</w:t>
            </w:r>
          </w:p>
        </w:tc>
        <w:tc>
          <w:tcPr>
            <w:tcW w:w="1927" w:type="dxa"/>
            <w:gridSpan w:val="2"/>
          </w:tcPr>
          <w:p w:rsidR="00000000" w:rsidRDefault="00000000">
            <w:pPr>
              <w:pStyle w:val="BodyTextIndent"/>
              <w:tabs>
                <w:tab w:val="decimal" w:pos="1259"/>
              </w:tabs>
              <w:spacing w:after="0"/>
              <w:ind w:left="0"/>
              <w:rPr>
                <w:sz w:val="19"/>
              </w:rPr>
            </w:pPr>
            <w:r>
              <w:rPr>
                <w:sz w:val="19"/>
              </w:rPr>
              <w:t>-</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Alfombra</w:t>
            </w:r>
          </w:p>
        </w:tc>
        <w:tc>
          <w:tcPr>
            <w:tcW w:w="1927" w:type="dxa"/>
            <w:gridSpan w:val="2"/>
          </w:tcPr>
          <w:p w:rsidR="00000000" w:rsidRDefault="00000000">
            <w:pPr>
              <w:pStyle w:val="BodyTextIndent"/>
              <w:tabs>
                <w:tab w:val="decimal" w:pos="1259"/>
              </w:tabs>
              <w:spacing w:after="0"/>
              <w:ind w:left="0"/>
              <w:rPr>
                <w:sz w:val="19"/>
              </w:rPr>
            </w:pPr>
            <w:r>
              <w:rPr>
                <w:sz w:val="19"/>
              </w:rPr>
              <w:t>12</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12</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Otro</w:t>
            </w:r>
          </w:p>
        </w:tc>
        <w:tc>
          <w:tcPr>
            <w:tcW w:w="1927" w:type="dxa"/>
            <w:gridSpan w:val="2"/>
          </w:tcPr>
          <w:p w:rsidR="00000000" w:rsidRDefault="00000000">
            <w:pPr>
              <w:pStyle w:val="BodyTextIndent"/>
              <w:tabs>
                <w:tab w:val="decimal" w:pos="1259"/>
              </w:tabs>
              <w:spacing w:after="0"/>
              <w:ind w:left="0"/>
              <w:rPr>
                <w:sz w:val="19"/>
              </w:rPr>
            </w:pPr>
            <w:r>
              <w:rPr>
                <w:sz w:val="19"/>
              </w:rPr>
              <w:t>605</w:t>
            </w:r>
          </w:p>
        </w:tc>
        <w:tc>
          <w:tcPr>
            <w:tcW w:w="1135" w:type="dxa"/>
          </w:tcPr>
          <w:p w:rsidR="00000000" w:rsidRDefault="00000000">
            <w:pPr>
              <w:pStyle w:val="BodyTextIndent"/>
              <w:tabs>
                <w:tab w:val="decimal" w:pos="834"/>
              </w:tabs>
              <w:spacing w:after="0"/>
              <w:ind w:left="0"/>
              <w:rPr>
                <w:sz w:val="19"/>
              </w:rPr>
            </w:pPr>
            <w:r>
              <w:rPr>
                <w:sz w:val="19"/>
              </w:rPr>
              <w:t>513</w:t>
            </w:r>
          </w:p>
        </w:tc>
        <w:tc>
          <w:tcPr>
            <w:tcW w:w="1619" w:type="dxa"/>
          </w:tcPr>
          <w:p w:rsidR="00000000" w:rsidRDefault="00000000">
            <w:pPr>
              <w:pStyle w:val="Hyperlink"/>
              <w:tabs>
                <w:tab w:val="decimal" w:pos="1010"/>
              </w:tabs>
              <w:rPr>
                <w:sz w:val="19"/>
              </w:rPr>
            </w:pPr>
            <w:r>
              <w:rPr>
                <w:sz w:val="19"/>
              </w:rPr>
              <w:t>3</w:t>
            </w:r>
          </w:p>
        </w:tc>
        <w:tc>
          <w:tcPr>
            <w:tcW w:w="1150" w:type="dxa"/>
          </w:tcPr>
          <w:p w:rsidR="00000000" w:rsidRDefault="00000000">
            <w:pPr>
              <w:pStyle w:val="BodyTextIndent"/>
              <w:tabs>
                <w:tab w:val="decimal" w:pos="835"/>
              </w:tabs>
              <w:spacing w:after="0"/>
              <w:ind w:left="0"/>
              <w:rPr>
                <w:sz w:val="19"/>
              </w:rPr>
            </w:pPr>
            <w:r>
              <w:rPr>
                <w:sz w:val="19"/>
              </w:rPr>
              <w:t>89</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C. Techo</w:t>
            </w:r>
          </w:p>
        </w:tc>
        <w:tc>
          <w:tcPr>
            <w:tcW w:w="1927" w:type="dxa"/>
            <w:gridSpan w:val="2"/>
          </w:tcPr>
          <w:p w:rsidR="00000000" w:rsidRDefault="00000000">
            <w:pPr>
              <w:pStyle w:val="BodyTextIndent"/>
              <w:tabs>
                <w:tab w:val="decimal" w:pos="1259"/>
              </w:tabs>
              <w:spacing w:after="0"/>
              <w:ind w:left="0"/>
              <w:rPr>
                <w:sz w:val="19"/>
              </w:rPr>
            </w:pPr>
          </w:p>
        </w:tc>
        <w:tc>
          <w:tcPr>
            <w:tcW w:w="1135" w:type="dxa"/>
          </w:tcPr>
          <w:p w:rsidR="00000000" w:rsidRDefault="00000000">
            <w:pPr>
              <w:pStyle w:val="BodyTextIndent"/>
              <w:tabs>
                <w:tab w:val="decimal" w:pos="834"/>
              </w:tabs>
              <w:spacing w:after="0"/>
              <w:ind w:left="0"/>
              <w:rPr>
                <w:sz w:val="19"/>
              </w:rPr>
            </w:pPr>
          </w:p>
        </w:tc>
        <w:tc>
          <w:tcPr>
            <w:tcW w:w="1619" w:type="dxa"/>
          </w:tcPr>
          <w:p w:rsidR="00000000" w:rsidRDefault="00000000">
            <w:pPr>
              <w:pStyle w:val="Hyperlink"/>
              <w:tabs>
                <w:tab w:val="decimal" w:pos="1010"/>
              </w:tabs>
              <w:rPr>
                <w:sz w:val="19"/>
              </w:rPr>
            </w:pPr>
          </w:p>
        </w:tc>
        <w:tc>
          <w:tcPr>
            <w:tcW w:w="1150" w:type="dxa"/>
          </w:tcPr>
          <w:p w:rsidR="00000000" w:rsidRDefault="00000000">
            <w:pPr>
              <w:pStyle w:val="BodyTextIndent"/>
              <w:tabs>
                <w:tab w:val="decimal" w:pos="835"/>
              </w:tabs>
              <w:spacing w:after="0"/>
              <w:ind w:left="0"/>
              <w:rPr>
                <w:sz w:val="19"/>
              </w:rPr>
            </w:pP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Teja</w:t>
            </w:r>
          </w:p>
        </w:tc>
        <w:tc>
          <w:tcPr>
            <w:tcW w:w="1927" w:type="dxa"/>
            <w:gridSpan w:val="2"/>
          </w:tcPr>
          <w:p w:rsidR="00000000" w:rsidRDefault="00000000">
            <w:pPr>
              <w:pStyle w:val="BodyTextIndent"/>
              <w:tabs>
                <w:tab w:val="decimal" w:pos="1259"/>
              </w:tabs>
              <w:spacing w:after="0"/>
              <w:ind w:left="0"/>
              <w:rPr>
                <w:sz w:val="19"/>
              </w:rPr>
            </w:pPr>
            <w:r>
              <w:rPr>
                <w:sz w:val="19"/>
              </w:rPr>
              <w:t>4.898</w:t>
            </w:r>
          </w:p>
        </w:tc>
        <w:tc>
          <w:tcPr>
            <w:tcW w:w="1135" w:type="dxa"/>
          </w:tcPr>
          <w:p w:rsidR="00000000" w:rsidRDefault="00000000">
            <w:pPr>
              <w:pStyle w:val="BodyTextIndent"/>
              <w:tabs>
                <w:tab w:val="decimal" w:pos="834"/>
              </w:tabs>
              <w:spacing w:after="0"/>
              <w:ind w:left="0"/>
              <w:rPr>
                <w:sz w:val="19"/>
              </w:rPr>
            </w:pPr>
            <w:r>
              <w:rPr>
                <w:sz w:val="19"/>
              </w:rPr>
              <w:t>3.620</w:t>
            </w:r>
          </w:p>
        </w:tc>
        <w:tc>
          <w:tcPr>
            <w:tcW w:w="1619" w:type="dxa"/>
          </w:tcPr>
          <w:p w:rsidR="00000000" w:rsidRDefault="00000000">
            <w:pPr>
              <w:pStyle w:val="Hyperlink"/>
              <w:tabs>
                <w:tab w:val="decimal" w:pos="1010"/>
              </w:tabs>
              <w:rPr>
                <w:sz w:val="19"/>
              </w:rPr>
            </w:pPr>
            <w:r>
              <w:rPr>
                <w:sz w:val="19"/>
              </w:rPr>
              <w:t>11</w:t>
            </w:r>
          </w:p>
        </w:tc>
        <w:tc>
          <w:tcPr>
            <w:tcW w:w="1150" w:type="dxa"/>
          </w:tcPr>
          <w:p w:rsidR="00000000" w:rsidRDefault="00000000">
            <w:pPr>
              <w:pStyle w:val="BodyTextIndent"/>
              <w:tabs>
                <w:tab w:val="decimal" w:pos="835"/>
              </w:tabs>
              <w:spacing w:after="0"/>
              <w:ind w:left="0"/>
              <w:rPr>
                <w:sz w:val="19"/>
              </w:rPr>
            </w:pPr>
            <w:r>
              <w:rPr>
                <w:sz w:val="19"/>
              </w:rPr>
              <w:t>1.267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Paja</w:t>
            </w:r>
          </w:p>
        </w:tc>
        <w:tc>
          <w:tcPr>
            <w:tcW w:w="1927" w:type="dxa"/>
            <w:gridSpan w:val="2"/>
          </w:tcPr>
          <w:p w:rsidR="00000000" w:rsidRDefault="00000000">
            <w:pPr>
              <w:pStyle w:val="BodyTextIndent"/>
              <w:tabs>
                <w:tab w:val="decimal" w:pos="1259"/>
              </w:tabs>
              <w:spacing w:after="0"/>
              <w:ind w:left="0"/>
              <w:rPr>
                <w:sz w:val="19"/>
              </w:rPr>
            </w:pPr>
            <w:r>
              <w:rPr>
                <w:sz w:val="19"/>
              </w:rPr>
              <w:t>5.574</w:t>
            </w:r>
          </w:p>
        </w:tc>
        <w:tc>
          <w:tcPr>
            <w:tcW w:w="1135" w:type="dxa"/>
          </w:tcPr>
          <w:p w:rsidR="00000000" w:rsidRDefault="00000000">
            <w:pPr>
              <w:pStyle w:val="BodyTextIndent"/>
              <w:tabs>
                <w:tab w:val="decimal" w:pos="834"/>
              </w:tabs>
              <w:spacing w:after="0"/>
              <w:ind w:left="0"/>
              <w:rPr>
                <w:sz w:val="19"/>
              </w:rPr>
            </w:pPr>
            <w:r>
              <w:rPr>
                <w:sz w:val="19"/>
              </w:rPr>
              <w:t>5.545</w:t>
            </w:r>
          </w:p>
        </w:tc>
        <w:tc>
          <w:tcPr>
            <w:tcW w:w="1619" w:type="dxa"/>
          </w:tcPr>
          <w:p w:rsidR="00000000" w:rsidRDefault="00000000">
            <w:pPr>
              <w:pStyle w:val="Hyperlink"/>
              <w:tabs>
                <w:tab w:val="decimal" w:pos="1010"/>
              </w:tabs>
              <w:rPr>
                <w:sz w:val="19"/>
              </w:rPr>
            </w:pPr>
            <w:r>
              <w:rPr>
                <w:sz w:val="19"/>
              </w:rPr>
              <w:t>17</w:t>
            </w:r>
          </w:p>
        </w:tc>
        <w:tc>
          <w:tcPr>
            <w:tcW w:w="1150" w:type="dxa"/>
          </w:tcPr>
          <w:p w:rsidR="00000000" w:rsidRDefault="00000000">
            <w:pPr>
              <w:pStyle w:val="BodyTextIndent"/>
              <w:tabs>
                <w:tab w:val="decimal" w:pos="835"/>
              </w:tabs>
              <w:spacing w:after="0"/>
              <w:ind w:left="0"/>
              <w:rPr>
                <w:sz w:val="19"/>
              </w:rPr>
            </w:pPr>
            <w:r>
              <w:rPr>
                <w:sz w:val="19"/>
              </w:rPr>
              <w:t>12</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Fibrocemento o similar (eternit)</w:t>
            </w:r>
          </w:p>
        </w:tc>
        <w:tc>
          <w:tcPr>
            <w:tcW w:w="1927" w:type="dxa"/>
            <w:gridSpan w:val="2"/>
          </w:tcPr>
          <w:p w:rsidR="00000000" w:rsidRDefault="00000000">
            <w:pPr>
              <w:pStyle w:val="BodyTextIndent"/>
              <w:tabs>
                <w:tab w:val="decimal" w:pos="1259"/>
              </w:tabs>
              <w:spacing w:after="0"/>
              <w:ind w:left="0"/>
              <w:rPr>
                <w:sz w:val="19"/>
              </w:rPr>
            </w:pPr>
            <w:r>
              <w:rPr>
                <w:sz w:val="19"/>
              </w:rPr>
              <w:t>19.139</w:t>
            </w:r>
          </w:p>
        </w:tc>
        <w:tc>
          <w:tcPr>
            <w:tcW w:w="1135" w:type="dxa"/>
          </w:tcPr>
          <w:p w:rsidR="00000000" w:rsidRDefault="00000000">
            <w:pPr>
              <w:pStyle w:val="BodyTextIndent"/>
              <w:tabs>
                <w:tab w:val="decimal" w:pos="834"/>
              </w:tabs>
              <w:spacing w:after="0"/>
              <w:ind w:left="0"/>
              <w:rPr>
                <w:sz w:val="19"/>
              </w:rPr>
            </w:pPr>
            <w:r>
              <w:rPr>
                <w:sz w:val="19"/>
              </w:rPr>
              <w:t>18.568</w:t>
            </w:r>
          </w:p>
        </w:tc>
        <w:tc>
          <w:tcPr>
            <w:tcW w:w="1619" w:type="dxa"/>
          </w:tcPr>
          <w:p w:rsidR="00000000" w:rsidRDefault="00000000">
            <w:pPr>
              <w:pStyle w:val="Hyperlink"/>
              <w:tabs>
                <w:tab w:val="decimal" w:pos="1010"/>
              </w:tabs>
              <w:rPr>
                <w:sz w:val="19"/>
              </w:rPr>
            </w:pPr>
            <w:r>
              <w:rPr>
                <w:sz w:val="19"/>
              </w:rPr>
              <w:t>144</w:t>
            </w:r>
          </w:p>
        </w:tc>
        <w:tc>
          <w:tcPr>
            <w:tcW w:w="1150" w:type="dxa"/>
          </w:tcPr>
          <w:p w:rsidR="00000000" w:rsidRDefault="00000000">
            <w:pPr>
              <w:pStyle w:val="BodyTextIndent"/>
              <w:tabs>
                <w:tab w:val="decimal" w:pos="835"/>
              </w:tabs>
              <w:spacing w:after="0"/>
              <w:ind w:left="0"/>
              <w:rPr>
                <w:sz w:val="19"/>
              </w:rPr>
            </w:pPr>
            <w:r>
              <w:rPr>
                <w:sz w:val="19"/>
              </w:rPr>
              <w:t>427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Chapa de zinc</w:t>
            </w:r>
          </w:p>
        </w:tc>
        <w:tc>
          <w:tcPr>
            <w:tcW w:w="1927" w:type="dxa"/>
            <w:gridSpan w:val="2"/>
          </w:tcPr>
          <w:p w:rsidR="00000000" w:rsidRDefault="00000000">
            <w:pPr>
              <w:pStyle w:val="BodyTextIndent"/>
              <w:tabs>
                <w:tab w:val="decimal" w:pos="1259"/>
              </w:tabs>
              <w:spacing w:after="0"/>
              <w:ind w:left="0"/>
              <w:rPr>
                <w:sz w:val="19"/>
              </w:rPr>
            </w:pPr>
            <w:r>
              <w:rPr>
                <w:sz w:val="19"/>
              </w:rPr>
              <w:t>17.517</w:t>
            </w:r>
          </w:p>
        </w:tc>
        <w:tc>
          <w:tcPr>
            <w:tcW w:w="1135" w:type="dxa"/>
          </w:tcPr>
          <w:p w:rsidR="00000000" w:rsidRDefault="00000000">
            <w:pPr>
              <w:pStyle w:val="BodyTextIndent"/>
              <w:tabs>
                <w:tab w:val="decimal" w:pos="834"/>
              </w:tabs>
              <w:spacing w:after="0"/>
              <w:ind w:left="0"/>
              <w:rPr>
                <w:sz w:val="19"/>
              </w:rPr>
            </w:pPr>
            <w:r>
              <w:rPr>
                <w:sz w:val="19"/>
              </w:rPr>
              <w:t>16.493</w:t>
            </w:r>
          </w:p>
        </w:tc>
        <w:tc>
          <w:tcPr>
            <w:tcW w:w="1619" w:type="dxa"/>
          </w:tcPr>
          <w:p w:rsidR="00000000" w:rsidRDefault="00000000">
            <w:pPr>
              <w:pStyle w:val="Hyperlink"/>
              <w:tabs>
                <w:tab w:val="decimal" w:pos="1010"/>
              </w:tabs>
              <w:rPr>
                <w:sz w:val="19"/>
              </w:rPr>
            </w:pPr>
            <w:r>
              <w:rPr>
                <w:sz w:val="19"/>
              </w:rPr>
              <w:t>200</w:t>
            </w:r>
          </w:p>
        </w:tc>
        <w:tc>
          <w:tcPr>
            <w:tcW w:w="1150" w:type="dxa"/>
          </w:tcPr>
          <w:p w:rsidR="00000000" w:rsidRDefault="00000000">
            <w:pPr>
              <w:pStyle w:val="BodyTextIndent"/>
              <w:tabs>
                <w:tab w:val="decimal" w:pos="835"/>
              </w:tabs>
              <w:spacing w:after="0"/>
              <w:ind w:left="0"/>
              <w:rPr>
                <w:sz w:val="19"/>
              </w:rPr>
            </w:pPr>
            <w:r>
              <w:rPr>
                <w:sz w:val="19"/>
              </w:rPr>
              <w:t>824</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Tablilla de madera</w:t>
            </w:r>
          </w:p>
        </w:tc>
        <w:tc>
          <w:tcPr>
            <w:tcW w:w="1927" w:type="dxa"/>
            <w:gridSpan w:val="2"/>
          </w:tcPr>
          <w:p w:rsidR="00000000" w:rsidRDefault="00000000">
            <w:pPr>
              <w:pStyle w:val="BodyTextIndent"/>
              <w:tabs>
                <w:tab w:val="decimal" w:pos="1259"/>
              </w:tabs>
              <w:spacing w:after="0"/>
              <w:ind w:left="0"/>
              <w:rPr>
                <w:sz w:val="19"/>
              </w:rPr>
            </w:pPr>
            <w:r>
              <w:rPr>
                <w:sz w:val="19"/>
              </w:rPr>
              <w:t>250</w:t>
            </w:r>
          </w:p>
        </w:tc>
        <w:tc>
          <w:tcPr>
            <w:tcW w:w="1135" w:type="dxa"/>
          </w:tcPr>
          <w:p w:rsidR="00000000" w:rsidRDefault="00000000">
            <w:pPr>
              <w:pStyle w:val="BodyTextIndent"/>
              <w:tabs>
                <w:tab w:val="decimal" w:pos="834"/>
              </w:tabs>
              <w:spacing w:after="0"/>
              <w:ind w:left="0"/>
              <w:rPr>
                <w:sz w:val="19"/>
              </w:rPr>
            </w:pPr>
            <w:r>
              <w:rPr>
                <w:sz w:val="19"/>
              </w:rPr>
              <w:t>235</w:t>
            </w:r>
          </w:p>
        </w:tc>
        <w:tc>
          <w:tcPr>
            <w:tcW w:w="1619" w:type="dxa"/>
          </w:tcPr>
          <w:p w:rsidR="00000000" w:rsidRDefault="00000000">
            <w:pPr>
              <w:pStyle w:val="Hyperlink"/>
              <w:tabs>
                <w:tab w:val="decimal" w:pos="1010"/>
              </w:tabs>
              <w:rPr>
                <w:sz w:val="19"/>
              </w:rPr>
            </w:pPr>
            <w:r>
              <w:rPr>
                <w:sz w:val="19"/>
              </w:rPr>
              <w:t>2</w:t>
            </w:r>
          </w:p>
        </w:tc>
        <w:tc>
          <w:tcPr>
            <w:tcW w:w="1150" w:type="dxa"/>
          </w:tcPr>
          <w:p w:rsidR="00000000" w:rsidRDefault="00000000">
            <w:pPr>
              <w:pStyle w:val="BodyTextIndent"/>
              <w:tabs>
                <w:tab w:val="decimal" w:pos="835"/>
              </w:tabs>
              <w:spacing w:after="0"/>
              <w:ind w:left="0"/>
              <w:rPr>
                <w:sz w:val="19"/>
              </w:rPr>
            </w:pPr>
            <w:r>
              <w:rPr>
                <w:sz w:val="19"/>
              </w:rPr>
              <w:t>13</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Hormigón armado, loza o bovedilla</w:t>
            </w:r>
          </w:p>
        </w:tc>
        <w:tc>
          <w:tcPr>
            <w:tcW w:w="1927" w:type="dxa"/>
            <w:gridSpan w:val="2"/>
          </w:tcPr>
          <w:p w:rsidR="00000000" w:rsidRDefault="00000000">
            <w:pPr>
              <w:pStyle w:val="BodyTextIndent"/>
              <w:tabs>
                <w:tab w:val="decimal" w:pos="1259"/>
              </w:tabs>
              <w:spacing w:after="0"/>
              <w:ind w:left="0"/>
              <w:rPr>
                <w:sz w:val="19"/>
              </w:rPr>
            </w:pPr>
            <w:r>
              <w:rPr>
                <w:sz w:val="19"/>
              </w:rPr>
              <w:t>278</w:t>
            </w:r>
          </w:p>
        </w:tc>
        <w:tc>
          <w:tcPr>
            <w:tcW w:w="1135" w:type="dxa"/>
            <w:vAlign w:val="center"/>
          </w:tcPr>
          <w:p w:rsidR="00000000" w:rsidRDefault="00000000">
            <w:pPr>
              <w:pStyle w:val="BodyTextIndent"/>
              <w:tabs>
                <w:tab w:val="decimal" w:pos="834"/>
              </w:tabs>
              <w:spacing w:after="0"/>
              <w:ind w:left="0"/>
              <w:rPr>
                <w:sz w:val="19"/>
              </w:rPr>
            </w:pPr>
            <w:r>
              <w:rPr>
                <w:sz w:val="19"/>
              </w:rPr>
              <w:t>-</w:t>
            </w:r>
          </w:p>
        </w:tc>
        <w:tc>
          <w:tcPr>
            <w:tcW w:w="1619" w:type="dxa"/>
            <w:vAlign w:val="center"/>
          </w:tcPr>
          <w:p w:rsidR="00000000" w:rsidRDefault="00000000">
            <w:pPr>
              <w:pStyle w:val="Hyperlink"/>
              <w:tabs>
                <w:tab w:val="decimal" w:pos="1010"/>
              </w:tabs>
              <w:rPr>
                <w:sz w:val="19"/>
              </w:rPr>
            </w:pPr>
            <w:r>
              <w:rPr>
                <w:sz w:val="19"/>
              </w:rPr>
              <w:t>1</w:t>
            </w:r>
          </w:p>
        </w:tc>
        <w:tc>
          <w:tcPr>
            <w:tcW w:w="1150" w:type="dxa"/>
            <w:vAlign w:val="center"/>
          </w:tcPr>
          <w:p w:rsidR="00000000" w:rsidRDefault="00000000">
            <w:pPr>
              <w:pStyle w:val="BodyTextIndent"/>
              <w:tabs>
                <w:tab w:val="decimal" w:pos="835"/>
              </w:tabs>
              <w:spacing w:after="0"/>
              <w:ind w:left="0"/>
              <w:rPr>
                <w:sz w:val="19"/>
              </w:rPr>
            </w:pPr>
            <w:r>
              <w:rPr>
                <w:sz w:val="19"/>
              </w:rPr>
              <w:t>277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Tronco de palma</w:t>
            </w:r>
          </w:p>
        </w:tc>
        <w:tc>
          <w:tcPr>
            <w:tcW w:w="1927" w:type="dxa"/>
            <w:gridSpan w:val="2"/>
          </w:tcPr>
          <w:p w:rsidR="00000000" w:rsidRDefault="00000000">
            <w:pPr>
              <w:pStyle w:val="BodyTextIndent"/>
              <w:tabs>
                <w:tab w:val="decimal" w:pos="1259"/>
              </w:tabs>
              <w:spacing w:after="0"/>
              <w:ind w:left="0"/>
              <w:rPr>
                <w:sz w:val="19"/>
              </w:rPr>
            </w:pPr>
            <w:r>
              <w:rPr>
                <w:sz w:val="19"/>
              </w:rPr>
              <w:t>154</w:t>
            </w:r>
          </w:p>
        </w:tc>
        <w:tc>
          <w:tcPr>
            <w:tcW w:w="1135" w:type="dxa"/>
          </w:tcPr>
          <w:p w:rsidR="00000000" w:rsidRDefault="00000000">
            <w:pPr>
              <w:pStyle w:val="BodyTextIndent"/>
              <w:tabs>
                <w:tab w:val="decimal" w:pos="834"/>
              </w:tabs>
              <w:spacing w:after="0"/>
              <w:ind w:left="0"/>
              <w:rPr>
                <w:sz w:val="19"/>
              </w:rPr>
            </w:pPr>
            <w:r>
              <w:rPr>
                <w:sz w:val="19"/>
              </w:rPr>
              <w:t>143</w:t>
            </w:r>
          </w:p>
        </w:tc>
        <w:tc>
          <w:tcPr>
            <w:tcW w:w="1619" w:type="dxa"/>
          </w:tcPr>
          <w:p w:rsidR="00000000" w:rsidRDefault="00000000">
            <w:pPr>
              <w:pStyle w:val="Hyperlink"/>
              <w:tabs>
                <w:tab w:val="decimal" w:pos="1010"/>
              </w:tabs>
              <w:rPr>
                <w:sz w:val="19"/>
              </w:rPr>
            </w:pPr>
            <w:r>
              <w:rPr>
                <w:sz w:val="19"/>
              </w:rPr>
              <w:t>4</w:t>
            </w:r>
          </w:p>
        </w:tc>
        <w:tc>
          <w:tcPr>
            <w:tcW w:w="1150" w:type="dxa"/>
          </w:tcPr>
          <w:p w:rsidR="00000000" w:rsidRDefault="00000000">
            <w:pPr>
              <w:pStyle w:val="BodyTextIndent"/>
              <w:tabs>
                <w:tab w:val="decimal" w:pos="835"/>
              </w:tabs>
              <w:spacing w:after="0"/>
              <w:ind w:left="0"/>
              <w:rPr>
                <w:sz w:val="19"/>
              </w:rPr>
            </w:pPr>
            <w:r>
              <w:rPr>
                <w:sz w:val="19"/>
              </w:rPr>
              <w:t>7</w:t>
            </w:r>
          </w:p>
        </w:tc>
      </w:tr>
      <w:tr w:rsidR="00000000">
        <w:tblPrEx>
          <w:tblCellMar>
            <w:top w:w="0" w:type="dxa"/>
            <w:bottom w:w="0" w:type="dxa"/>
          </w:tblCellMar>
        </w:tblPrEx>
        <w:tc>
          <w:tcPr>
            <w:tcW w:w="3663" w:type="dxa"/>
          </w:tcPr>
          <w:p w:rsidR="00000000" w:rsidRDefault="00000000">
            <w:pPr>
              <w:pStyle w:val="BodyTextIndent"/>
              <w:spacing w:after="0"/>
              <w:ind w:left="0"/>
              <w:rPr>
                <w:sz w:val="19"/>
              </w:rPr>
            </w:pPr>
            <w:r>
              <w:rPr>
                <w:sz w:val="19"/>
              </w:rPr>
              <w:t xml:space="preserve">     Cartón, hule, madera de embalaje</w:t>
            </w:r>
          </w:p>
        </w:tc>
        <w:tc>
          <w:tcPr>
            <w:tcW w:w="1927" w:type="dxa"/>
            <w:gridSpan w:val="2"/>
          </w:tcPr>
          <w:p w:rsidR="00000000" w:rsidRDefault="00000000">
            <w:pPr>
              <w:pStyle w:val="BodyTextIndent"/>
              <w:tabs>
                <w:tab w:val="decimal" w:pos="1259"/>
              </w:tabs>
              <w:spacing w:after="0"/>
              <w:ind w:left="0"/>
              <w:rPr>
                <w:sz w:val="19"/>
              </w:rPr>
            </w:pPr>
            <w:r>
              <w:rPr>
                <w:sz w:val="19"/>
              </w:rPr>
              <w:t>297</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297</w:t>
            </w:r>
          </w:p>
        </w:tc>
        <w:tc>
          <w:tcPr>
            <w:tcW w:w="1150" w:type="dxa"/>
          </w:tcPr>
          <w:p w:rsidR="00000000" w:rsidRDefault="00000000">
            <w:pPr>
              <w:pStyle w:val="BodyTextIndent"/>
              <w:tabs>
                <w:tab w:val="decimal" w:pos="835"/>
              </w:tabs>
              <w:spacing w:after="0"/>
              <w:ind w:left="0"/>
              <w:rPr>
                <w:sz w:val="19"/>
              </w:rPr>
            </w:pPr>
            <w:r>
              <w:rPr>
                <w:sz w:val="19"/>
              </w:rPr>
              <w:t>-</w:t>
            </w:r>
          </w:p>
        </w:tc>
      </w:tr>
      <w:tr w:rsidR="00000000">
        <w:tblPrEx>
          <w:tblCellMar>
            <w:top w:w="0" w:type="dxa"/>
            <w:bottom w:w="0" w:type="dxa"/>
          </w:tblCellMar>
        </w:tblPrEx>
        <w:tc>
          <w:tcPr>
            <w:tcW w:w="3663" w:type="dxa"/>
          </w:tcPr>
          <w:p w:rsidR="00000000" w:rsidRDefault="00000000">
            <w:pPr>
              <w:pStyle w:val="BodyTextIndent"/>
              <w:spacing w:after="0"/>
              <w:ind w:left="0"/>
              <w:rPr>
                <w:sz w:val="19"/>
                <w:lang w:val="es-MX"/>
              </w:rPr>
            </w:pPr>
            <w:r>
              <w:rPr>
                <w:sz w:val="19"/>
                <w:lang w:val="es-MX"/>
              </w:rPr>
              <w:t xml:space="preserve">     Otro</w:t>
            </w:r>
          </w:p>
        </w:tc>
        <w:tc>
          <w:tcPr>
            <w:tcW w:w="1927" w:type="dxa"/>
            <w:gridSpan w:val="2"/>
          </w:tcPr>
          <w:p w:rsidR="00000000" w:rsidRDefault="00000000">
            <w:pPr>
              <w:pStyle w:val="BodyTextIndent"/>
              <w:tabs>
                <w:tab w:val="decimal" w:pos="1259"/>
              </w:tabs>
              <w:spacing w:after="0"/>
              <w:ind w:left="0"/>
              <w:rPr>
                <w:sz w:val="19"/>
              </w:rPr>
            </w:pPr>
            <w:r>
              <w:rPr>
                <w:sz w:val="19"/>
              </w:rPr>
              <w:t>87</w:t>
            </w:r>
          </w:p>
        </w:tc>
        <w:tc>
          <w:tcPr>
            <w:tcW w:w="1135" w:type="dxa"/>
          </w:tcPr>
          <w:p w:rsidR="00000000" w:rsidRDefault="00000000">
            <w:pPr>
              <w:pStyle w:val="BodyTextIndent"/>
              <w:tabs>
                <w:tab w:val="decimal" w:pos="834"/>
              </w:tabs>
              <w:spacing w:after="0"/>
              <w:ind w:left="0"/>
              <w:rPr>
                <w:sz w:val="19"/>
              </w:rPr>
            </w:pPr>
            <w:r>
              <w:rPr>
                <w:sz w:val="19"/>
              </w:rPr>
              <w:t>44</w:t>
            </w:r>
          </w:p>
        </w:tc>
        <w:tc>
          <w:tcPr>
            <w:tcW w:w="1619" w:type="dxa"/>
          </w:tcPr>
          <w:p w:rsidR="00000000" w:rsidRDefault="00000000">
            <w:pPr>
              <w:pStyle w:val="Hyperlink"/>
              <w:tabs>
                <w:tab w:val="decimal" w:pos="1010"/>
              </w:tabs>
              <w:rPr>
                <w:sz w:val="19"/>
              </w:rPr>
            </w:pPr>
            <w:r>
              <w:rPr>
                <w:sz w:val="19"/>
              </w:rPr>
              <w:t>5</w:t>
            </w:r>
          </w:p>
        </w:tc>
        <w:tc>
          <w:tcPr>
            <w:tcW w:w="1150" w:type="dxa"/>
          </w:tcPr>
          <w:p w:rsidR="00000000" w:rsidRDefault="00000000">
            <w:pPr>
              <w:pStyle w:val="BodyTextIndent"/>
              <w:tabs>
                <w:tab w:val="decimal" w:pos="835"/>
              </w:tabs>
              <w:spacing w:after="0"/>
              <w:ind w:left="0"/>
              <w:rPr>
                <w:sz w:val="19"/>
              </w:rPr>
            </w:pPr>
            <w:r>
              <w:rPr>
                <w:sz w:val="19"/>
              </w:rPr>
              <w:t>38</w:t>
            </w:r>
          </w:p>
        </w:tc>
      </w:tr>
      <w:tr w:rsidR="00000000">
        <w:tblPrEx>
          <w:tblCellMar>
            <w:top w:w="0" w:type="dxa"/>
            <w:bottom w:w="0" w:type="dxa"/>
          </w:tblCellMar>
        </w:tblPrEx>
        <w:trPr>
          <w:cantSplit/>
        </w:trPr>
        <w:tc>
          <w:tcPr>
            <w:tcW w:w="3670" w:type="dxa"/>
            <w:gridSpan w:val="2"/>
          </w:tcPr>
          <w:p w:rsidR="00000000" w:rsidRDefault="00000000">
            <w:pPr>
              <w:pStyle w:val="BodyTextIndent"/>
              <w:spacing w:after="0"/>
              <w:ind w:left="0"/>
              <w:rPr>
                <w:b/>
                <w:bCs/>
                <w:sz w:val="19"/>
              </w:rPr>
            </w:pPr>
            <w:r>
              <w:rPr>
                <w:b/>
                <w:bCs/>
                <w:sz w:val="19"/>
              </w:rPr>
              <w:t>Área rural</w:t>
            </w:r>
          </w:p>
        </w:tc>
        <w:tc>
          <w:tcPr>
            <w:tcW w:w="1920" w:type="dxa"/>
          </w:tcPr>
          <w:p w:rsidR="00000000" w:rsidRDefault="00000000">
            <w:pPr>
              <w:pStyle w:val="BodyTextIndent"/>
              <w:spacing w:after="0"/>
              <w:ind w:left="0"/>
              <w:rPr>
                <w:b/>
                <w:bCs/>
                <w:sz w:val="19"/>
              </w:rPr>
            </w:pPr>
          </w:p>
        </w:tc>
        <w:tc>
          <w:tcPr>
            <w:tcW w:w="1135" w:type="dxa"/>
          </w:tcPr>
          <w:p w:rsidR="00000000" w:rsidRDefault="00000000">
            <w:pPr>
              <w:pStyle w:val="BodyTextIndent"/>
              <w:spacing w:after="0"/>
              <w:ind w:left="0"/>
              <w:rPr>
                <w:b/>
                <w:bCs/>
                <w:sz w:val="19"/>
              </w:rPr>
            </w:pPr>
          </w:p>
        </w:tc>
        <w:tc>
          <w:tcPr>
            <w:tcW w:w="1619" w:type="dxa"/>
          </w:tcPr>
          <w:p w:rsidR="00000000" w:rsidRDefault="00000000">
            <w:pPr>
              <w:pStyle w:val="BodyTextIndent"/>
              <w:spacing w:after="0"/>
              <w:ind w:left="0"/>
              <w:rPr>
                <w:b/>
                <w:bCs/>
                <w:sz w:val="19"/>
              </w:rPr>
            </w:pPr>
          </w:p>
        </w:tc>
        <w:tc>
          <w:tcPr>
            <w:tcW w:w="1150" w:type="dxa"/>
          </w:tcPr>
          <w:p w:rsidR="00000000" w:rsidRDefault="00000000">
            <w:pPr>
              <w:pStyle w:val="BodyTextIndent"/>
              <w:spacing w:after="0"/>
              <w:ind w:left="0"/>
              <w:rPr>
                <w:b/>
                <w:bCs/>
                <w:sz w:val="19"/>
              </w:rPr>
            </w:pPr>
          </w:p>
        </w:tc>
      </w:tr>
      <w:tr w:rsidR="00000000">
        <w:tblPrEx>
          <w:tblCellMar>
            <w:top w:w="0" w:type="dxa"/>
            <w:bottom w:w="0" w:type="dxa"/>
          </w:tblCellMar>
        </w:tblPrEx>
        <w:trPr>
          <w:cantSplit/>
        </w:trPr>
        <w:tc>
          <w:tcPr>
            <w:tcW w:w="3670" w:type="dxa"/>
            <w:gridSpan w:val="2"/>
          </w:tcPr>
          <w:p w:rsidR="00000000" w:rsidRDefault="00000000">
            <w:pPr>
              <w:pStyle w:val="BodyTextIndent"/>
              <w:spacing w:after="0"/>
              <w:ind w:left="0"/>
              <w:rPr>
                <w:sz w:val="19"/>
              </w:rPr>
            </w:pPr>
            <w:r>
              <w:rPr>
                <w:sz w:val="19"/>
              </w:rPr>
              <w:t>Total viviendas</w:t>
            </w:r>
          </w:p>
        </w:tc>
        <w:tc>
          <w:tcPr>
            <w:tcW w:w="1920" w:type="dxa"/>
          </w:tcPr>
          <w:p w:rsidR="00000000" w:rsidRDefault="00000000">
            <w:pPr>
              <w:pStyle w:val="BodyTextIndent"/>
              <w:tabs>
                <w:tab w:val="decimal" w:pos="1259"/>
              </w:tabs>
              <w:spacing w:after="0"/>
              <w:ind w:left="0"/>
              <w:rPr>
                <w:sz w:val="19"/>
              </w:rPr>
            </w:pPr>
            <w:r>
              <w:rPr>
                <w:sz w:val="19"/>
              </w:rPr>
              <w:t>174.104</w:t>
            </w:r>
          </w:p>
        </w:tc>
        <w:tc>
          <w:tcPr>
            <w:tcW w:w="1135" w:type="dxa"/>
          </w:tcPr>
          <w:p w:rsidR="00000000" w:rsidRDefault="00000000">
            <w:pPr>
              <w:pStyle w:val="BodyTextIndent"/>
              <w:tabs>
                <w:tab w:val="decimal" w:pos="834"/>
              </w:tabs>
              <w:spacing w:after="0"/>
              <w:ind w:left="0"/>
              <w:rPr>
                <w:sz w:val="19"/>
              </w:rPr>
            </w:pPr>
            <w:r>
              <w:rPr>
                <w:sz w:val="19"/>
              </w:rPr>
              <w:t>171.603</w:t>
            </w:r>
          </w:p>
        </w:tc>
        <w:tc>
          <w:tcPr>
            <w:tcW w:w="1619" w:type="dxa"/>
          </w:tcPr>
          <w:p w:rsidR="00000000" w:rsidRDefault="00000000">
            <w:pPr>
              <w:pStyle w:val="Hyperlink"/>
              <w:tabs>
                <w:tab w:val="decimal" w:pos="1010"/>
              </w:tabs>
              <w:rPr>
                <w:sz w:val="19"/>
              </w:rPr>
            </w:pPr>
            <w:r>
              <w:rPr>
                <w:sz w:val="19"/>
              </w:rPr>
              <w:t>1.410</w:t>
            </w:r>
          </w:p>
        </w:tc>
        <w:tc>
          <w:tcPr>
            <w:tcW w:w="1150" w:type="dxa"/>
          </w:tcPr>
          <w:p w:rsidR="00000000" w:rsidRDefault="00000000">
            <w:pPr>
              <w:pStyle w:val="BodyTextIndent"/>
              <w:tabs>
                <w:tab w:val="decimal" w:pos="835"/>
              </w:tabs>
              <w:spacing w:after="0"/>
              <w:ind w:left="0"/>
              <w:rPr>
                <w:sz w:val="19"/>
              </w:rPr>
            </w:pPr>
            <w:r>
              <w:rPr>
                <w:sz w:val="19"/>
              </w:rPr>
              <w:t>1.091</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Ladrillo</w:t>
            </w:r>
          </w:p>
        </w:tc>
        <w:tc>
          <w:tcPr>
            <w:tcW w:w="1920" w:type="dxa"/>
          </w:tcPr>
          <w:p w:rsidR="00000000" w:rsidRDefault="00000000">
            <w:pPr>
              <w:pStyle w:val="BodyTextIndent"/>
              <w:tabs>
                <w:tab w:val="decimal" w:pos="1259"/>
              </w:tabs>
              <w:spacing w:after="0"/>
              <w:ind w:left="0"/>
              <w:rPr>
                <w:sz w:val="19"/>
              </w:rPr>
            </w:pPr>
            <w:r>
              <w:rPr>
                <w:sz w:val="19"/>
              </w:rPr>
              <w:t>6.081</w:t>
            </w:r>
          </w:p>
        </w:tc>
        <w:tc>
          <w:tcPr>
            <w:tcW w:w="1135" w:type="dxa"/>
          </w:tcPr>
          <w:p w:rsidR="00000000" w:rsidRDefault="00000000">
            <w:pPr>
              <w:pStyle w:val="BodyTextIndent"/>
              <w:tabs>
                <w:tab w:val="decimal" w:pos="834"/>
              </w:tabs>
              <w:spacing w:after="0"/>
              <w:ind w:left="0"/>
              <w:rPr>
                <w:sz w:val="19"/>
              </w:rPr>
            </w:pPr>
            <w:r>
              <w:rPr>
                <w:sz w:val="19"/>
              </w:rPr>
              <w:t>5.750</w:t>
            </w:r>
          </w:p>
        </w:tc>
        <w:tc>
          <w:tcPr>
            <w:tcW w:w="1619" w:type="dxa"/>
          </w:tcPr>
          <w:p w:rsidR="00000000" w:rsidRDefault="00000000">
            <w:pPr>
              <w:pStyle w:val="Hyperlink"/>
              <w:tabs>
                <w:tab w:val="decimal" w:pos="1010"/>
              </w:tabs>
              <w:rPr>
                <w:sz w:val="19"/>
              </w:rPr>
            </w:pPr>
            <w:r>
              <w:rPr>
                <w:sz w:val="19"/>
              </w:rPr>
              <w:t>14</w:t>
            </w:r>
          </w:p>
        </w:tc>
        <w:tc>
          <w:tcPr>
            <w:tcW w:w="1150" w:type="dxa"/>
          </w:tcPr>
          <w:p w:rsidR="00000000" w:rsidRDefault="00000000">
            <w:pPr>
              <w:pStyle w:val="BodyTextIndent"/>
              <w:tabs>
                <w:tab w:val="decimal" w:pos="835"/>
              </w:tabs>
              <w:spacing w:after="0"/>
              <w:ind w:left="0"/>
              <w:rPr>
                <w:sz w:val="19"/>
              </w:rPr>
            </w:pPr>
            <w:r>
              <w:rPr>
                <w:sz w:val="19"/>
              </w:rPr>
              <w:t>317</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Madera</w:t>
            </w:r>
          </w:p>
        </w:tc>
        <w:tc>
          <w:tcPr>
            <w:tcW w:w="1920" w:type="dxa"/>
          </w:tcPr>
          <w:p w:rsidR="00000000" w:rsidRDefault="00000000">
            <w:pPr>
              <w:pStyle w:val="BodyTextIndent"/>
              <w:tabs>
                <w:tab w:val="decimal" w:pos="1259"/>
              </w:tabs>
              <w:spacing w:after="0"/>
              <w:ind w:left="0"/>
              <w:rPr>
                <w:sz w:val="19"/>
              </w:rPr>
            </w:pPr>
            <w:r>
              <w:rPr>
                <w:sz w:val="19"/>
              </w:rPr>
              <w:t>130.571</w:t>
            </w:r>
          </w:p>
        </w:tc>
        <w:tc>
          <w:tcPr>
            <w:tcW w:w="1135" w:type="dxa"/>
          </w:tcPr>
          <w:p w:rsidR="00000000" w:rsidRDefault="00000000">
            <w:pPr>
              <w:pStyle w:val="BodyTextIndent"/>
              <w:tabs>
                <w:tab w:val="decimal" w:pos="834"/>
              </w:tabs>
              <w:spacing w:after="0"/>
              <w:ind w:left="0"/>
              <w:rPr>
                <w:sz w:val="19"/>
              </w:rPr>
            </w:pPr>
            <w:r>
              <w:rPr>
                <w:sz w:val="19"/>
              </w:rPr>
              <w:t>130.134</w:t>
            </w:r>
          </w:p>
        </w:tc>
        <w:tc>
          <w:tcPr>
            <w:tcW w:w="1619" w:type="dxa"/>
          </w:tcPr>
          <w:p w:rsidR="00000000" w:rsidRDefault="00000000">
            <w:pPr>
              <w:pStyle w:val="Hyperlink"/>
              <w:tabs>
                <w:tab w:val="decimal" w:pos="1010"/>
              </w:tabs>
              <w:rPr>
                <w:sz w:val="19"/>
              </w:rPr>
            </w:pPr>
            <w:r>
              <w:rPr>
                <w:sz w:val="19"/>
              </w:rPr>
              <w:t>130</w:t>
            </w:r>
          </w:p>
        </w:tc>
        <w:tc>
          <w:tcPr>
            <w:tcW w:w="1150" w:type="dxa"/>
          </w:tcPr>
          <w:p w:rsidR="00000000" w:rsidRDefault="00000000">
            <w:pPr>
              <w:pStyle w:val="BodyTextIndent"/>
              <w:tabs>
                <w:tab w:val="decimal" w:pos="835"/>
              </w:tabs>
              <w:spacing w:after="0"/>
              <w:ind w:left="0"/>
              <w:rPr>
                <w:sz w:val="19"/>
              </w:rPr>
            </w:pPr>
            <w:r>
              <w:rPr>
                <w:sz w:val="19"/>
              </w:rPr>
              <w:t>307</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Estaqueo</w:t>
            </w:r>
          </w:p>
        </w:tc>
        <w:tc>
          <w:tcPr>
            <w:tcW w:w="1920" w:type="dxa"/>
          </w:tcPr>
          <w:p w:rsidR="00000000" w:rsidRDefault="00000000">
            <w:pPr>
              <w:pStyle w:val="BodyTextIndent"/>
              <w:tabs>
                <w:tab w:val="decimal" w:pos="1259"/>
              </w:tabs>
              <w:spacing w:after="0"/>
              <w:ind w:left="0"/>
              <w:rPr>
                <w:sz w:val="19"/>
              </w:rPr>
            </w:pPr>
            <w:r>
              <w:rPr>
                <w:sz w:val="19"/>
              </w:rPr>
              <w:t>22.321</w:t>
            </w:r>
          </w:p>
        </w:tc>
        <w:tc>
          <w:tcPr>
            <w:tcW w:w="1135" w:type="dxa"/>
          </w:tcPr>
          <w:p w:rsidR="00000000" w:rsidRDefault="00000000">
            <w:pPr>
              <w:pStyle w:val="BodyTextIndent"/>
              <w:tabs>
                <w:tab w:val="decimal" w:pos="834"/>
              </w:tabs>
              <w:spacing w:after="0"/>
              <w:ind w:left="0"/>
              <w:rPr>
                <w:sz w:val="19"/>
              </w:rPr>
            </w:pPr>
            <w:r>
              <w:rPr>
                <w:sz w:val="19"/>
              </w:rPr>
              <w:t>22.234</w:t>
            </w:r>
          </w:p>
        </w:tc>
        <w:tc>
          <w:tcPr>
            <w:tcW w:w="1619" w:type="dxa"/>
          </w:tcPr>
          <w:p w:rsidR="00000000" w:rsidRDefault="00000000">
            <w:pPr>
              <w:pStyle w:val="Hyperlink"/>
              <w:tabs>
                <w:tab w:val="decimal" w:pos="1010"/>
              </w:tabs>
              <w:rPr>
                <w:sz w:val="19"/>
              </w:rPr>
            </w:pPr>
            <w:r>
              <w:rPr>
                <w:sz w:val="19"/>
              </w:rPr>
              <w:t>55</w:t>
            </w:r>
          </w:p>
        </w:tc>
        <w:tc>
          <w:tcPr>
            <w:tcW w:w="1150" w:type="dxa"/>
          </w:tcPr>
          <w:p w:rsidR="00000000" w:rsidRDefault="00000000">
            <w:pPr>
              <w:pStyle w:val="BodyTextIndent"/>
              <w:tabs>
                <w:tab w:val="decimal" w:pos="835"/>
              </w:tabs>
              <w:spacing w:after="0"/>
              <w:ind w:left="0"/>
              <w:rPr>
                <w:sz w:val="19"/>
              </w:rPr>
            </w:pPr>
            <w:r>
              <w:rPr>
                <w:sz w:val="19"/>
              </w:rPr>
              <w:t>32</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Adobe</w:t>
            </w:r>
          </w:p>
        </w:tc>
        <w:tc>
          <w:tcPr>
            <w:tcW w:w="1920" w:type="dxa"/>
          </w:tcPr>
          <w:p w:rsidR="00000000" w:rsidRDefault="00000000">
            <w:pPr>
              <w:pStyle w:val="BodyTextIndent"/>
              <w:tabs>
                <w:tab w:val="decimal" w:pos="1259"/>
              </w:tabs>
              <w:spacing w:after="0"/>
              <w:ind w:left="0"/>
              <w:rPr>
                <w:sz w:val="19"/>
              </w:rPr>
            </w:pPr>
            <w:r>
              <w:rPr>
                <w:sz w:val="19"/>
              </w:rPr>
              <w:t>7.243</w:t>
            </w:r>
          </w:p>
        </w:tc>
        <w:tc>
          <w:tcPr>
            <w:tcW w:w="1135" w:type="dxa"/>
          </w:tcPr>
          <w:p w:rsidR="00000000" w:rsidRDefault="00000000">
            <w:pPr>
              <w:pStyle w:val="BodyTextIndent"/>
              <w:tabs>
                <w:tab w:val="decimal" w:pos="834"/>
              </w:tabs>
              <w:spacing w:after="0"/>
              <w:ind w:left="0"/>
              <w:rPr>
                <w:sz w:val="19"/>
              </w:rPr>
            </w:pPr>
            <w:r>
              <w:rPr>
                <w:sz w:val="19"/>
              </w:rPr>
              <w:t>7.239</w:t>
            </w:r>
          </w:p>
        </w:tc>
        <w:tc>
          <w:tcPr>
            <w:tcW w:w="1619" w:type="dxa"/>
          </w:tcPr>
          <w:p w:rsidR="00000000" w:rsidRDefault="00000000">
            <w:pPr>
              <w:pStyle w:val="Hyperlink"/>
              <w:tabs>
                <w:tab w:val="decimal" w:pos="1010"/>
              </w:tabs>
              <w:rPr>
                <w:sz w:val="19"/>
              </w:rPr>
            </w:pPr>
            <w:r>
              <w:rPr>
                <w:sz w:val="19"/>
              </w:rPr>
              <w:t>3</w:t>
            </w:r>
          </w:p>
        </w:tc>
        <w:tc>
          <w:tcPr>
            <w:tcW w:w="1150" w:type="dxa"/>
          </w:tcPr>
          <w:p w:rsidR="00000000" w:rsidRDefault="00000000">
            <w:pPr>
              <w:pStyle w:val="BodyTextIndent"/>
              <w:tabs>
                <w:tab w:val="decimal" w:pos="835"/>
              </w:tabs>
              <w:spacing w:after="0"/>
              <w:ind w:left="0"/>
              <w:rPr>
                <w:sz w:val="19"/>
              </w:rPr>
            </w:pPr>
            <w:r>
              <w:rPr>
                <w:sz w:val="19"/>
              </w:rPr>
              <w:t>1</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Tronco de palma</w:t>
            </w:r>
          </w:p>
        </w:tc>
        <w:tc>
          <w:tcPr>
            <w:tcW w:w="1920" w:type="dxa"/>
          </w:tcPr>
          <w:p w:rsidR="00000000" w:rsidRDefault="00000000">
            <w:pPr>
              <w:pStyle w:val="BodyTextIndent"/>
              <w:tabs>
                <w:tab w:val="decimal" w:pos="1259"/>
              </w:tabs>
              <w:spacing w:after="0"/>
              <w:ind w:left="0"/>
              <w:rPr>
                <w:sz w:val="19"/>
              </w:rPr>
            </w:pPr>
            <w:r>
              <w:rPr>
                <w:sz w:val="19"/>
              </w:rPr>
              <w:t>5.492</w:t>
            </w:r>
          </w:p>
        </w:tc>
        <w:tc>
          <w:tcPr>
            <w:tcW w:w="1135" w:type="dxa"/>
          </w:tcPr>
          <w:p w:rsidR="00000000" w:rsidRDefault="00000000">
            <w:pPr>
              <w:pStyle w:val="BodyTextIndent"/>
              <w:tabs>
                <w:tab w:val="decimal" w:pos="834"/>
              </w:tabs>
              <w:spacing w:after="0"/>
              <w:ind w:left="0"/>
              <w:rPr>
                <w:sz w:val="19"/>
              </w:rPr>
            </w:pPr>
            <w:r>
              <w:rPr>
                <w:sz w:val="19"/>
              </w:rPr>
              <w:t>5.457</w:t>
            </w:r>
          </w:p>
        </w:tc>
        <w:tc>
          <w:tcPr>
            <w:tcW w:w="1619" w:type="dxa"/>
          </w:tcPr>
          <w:p w:rsidR="00000000" w:rsidRDefault="00000000">
            <w:pPr>
              <w:pStyle w:val="Hyperlink"/>
              <w:tabs>
                <w:tab w:val="decimal" w:pos="1010"/>
              </w:tabs>
              <w:rPr>
                <w:sz w:val="19"/>
              </w:rPr>
            </w:pPr>
            <w:r>
              <w:rPr>
                <w:sz w:val="19"/>
              </w:rPr>
              <w:t>28</w:t>
            </w:r>
          </w:p>
        </w:tc>
        <w:tc>
          <w:tcPr>
            <w:tcW w:w="1150" w:type="dxa"/>
          </w:tcPr>
          <w:p w:rsidR="00000000" w:rsidRDefault="00000000">
            <w:pPr>
              <w:pStyle w:val="BodyTextIndent"/>
              <w:tabs>
                <w:tab w:val="decimal" w:pos="835"/>
              </w:tabs>
              <w:spacing w:after="0"/>
              <w:ind w:left="0"/>
              <w:rPr>
                <w:sz w:val="19"/>
              </w:rPr>
            </w:pPr>
            <w:r>
              <w:rPr>
                <w:sz w:val="19"/>
              </w:rPr>
              <w:t>7</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Bloque de cemento</w:t>
            </w:r>
          </w:p>
        </w:tc>
        <w:tc>
          <w:tcPr>
            <w:tcW w:w="1920" w:type="dxa"/>
          </w:tcPr>
          <w:p w:rsidR="00000000" w:rsidRDefault="00000000">
            <w:pPr>
              <w:pStyle w:val="BodyTextIndent"/>
              <w:tabs>
                <w:tab w:val="decimal" w:pos="1259"/>
              </w:tabs>
              <w:spacing w:after="0"/>
              <w:ind w:left="0"/>
              <w:rPr>
                <w:sz w:val="19"/>
              </w:rPr>
            </w:pPr>
            <w:r>
              <w:rPr>
                <w:sz w:val="19"/>
              </w:rPr>
              <w:t>9</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9</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Cartón, hule, madera de embalaje</w:t>
            </w:r>
          </w:p>
        </w:tc>
        <w:tc>
          <w:tcPr>
            <w:tcW w:w="1920" w:type="dxa"/>
          </w:tcPr>
          <w:p w:rsidR="00000000" w:rsidRDefault="00000000">
            <w:pPr>
              <w:pStyle w:val="BodyTextIndent"/>
              <w:tabs>
                <w:tab w:val="decimal" w:pos="1259"/>
              </w:tabs>
              <w:spacing w:after="0"/>
              <w:ind w:left="0"/>
              <w:rPr>
                <w:sz w:val="19"/>
              </w:rPr>
            </w:pPr>
            <w:r>
              <w:rPr>
                <w:sz w:val="19"/>
              </w:rPr>
              <w:t>1.014</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1.014</w:t>
            </w:r>
          </w:p>
        </w:tc>
        <w:tc>
          <w:tcPr>
            <w:tcW w:w="1150" w:type="dxa"/>
          </w:tcPr>
          <w:p w:rsidR="00000000" w:rsidRDefault="00000000">
            <w:pPr>
              <w:pStyle w:val="BodyTextIndent"/>
              <w:tabs>
                <w:tab w:val="decimal" w:pos="835"/>
              </w:tabs>
              <w:spacing w:after="0"/>
              <w:ind w:left="0"/>
              <w:rPr>
                <w:sz w:val="19"/>
              </w:rPr>
            </w:pPr>
            <w:r>
              <w:rPr>
                <w:sz w:val="19"/>
              </w:rPr>
              <w:t>-</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No tiene pared</w:t>
            </w:r>
          </w:p>
        </w:tc>
        <w:tc>
          <w:tcPr>
            <w:tcW w:w="1920" w:type="dxa"/>
          </w:tcPr>
          <w:p w:rsidR="00000000" w:rsidRDefault="00000000">
            <w:pPr>
              <w:pStyle w:val="BodyTextIndent"/>
              <w:tabs>
                <w:tab w:val="decimal" w:pos="1259"/>
              </w:tabs>
              <w:spacing w:after="0"/>
              <w:ind w:left="0"/>
              <w:rPr>
                <w:sz w:val="19"/>
              </w:rPr>
            </w:pPr>
            <w:r>
              <w:rPr>
                <w:sz w:val="19"/>
              </w:rPr>
              <w:t>408</w:t>
            </w:r>
          </w:p>
        </w:tc>
        <w:tc>
          <w:tcPr>
            <w:tcW w:w="1135" w:type="dxa"/>
          </w:tcPr>
          <w:p w:rsidR="00000000" w:rsidRDefault="00000000">
            <w:pPr>
              <w:pStyle w:val="BodyTextIndent"/>
              <w:tabs>
                <w:tab w:val="decimal" w:pos="1010"/>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14</w:t>
            </w:r>
          </w:p>
        </w:tc>
        <w:tc>
          <w:tcPr>
            <w:tcW w:w="1150" w:type="dxa"/>
          </w:tcPr>
          <w:p w:rsidR="00000000" w:rsidRDefault="00000000">
            <w:pPr>
              <w:pStyle w:val="BodyTextIndent"/>
              <w:tabs>
                <w:tab w:val="decimal" w:pos="835"/>
              </w:tabs>
              <w:spacing w:after="0"/>
              <w:ind w:left="0"/>
              <w:rPr>
                <w:sz w:val="19"/>
              </w:rPr>
            </w:pPr>
            <w:r>
              <w:rPr>
                <w:sz w:val="19"/>
              </w:rPr>
              <w:t>394</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Otro</w:t>
            </w:r>
          </w:p>
        </w:tc>
        <w:tc>
          <w:tcPr>
            <w:tcW w:w="1920" w:type="dxa"/>
          </w:tcPr>
          <w:p w:rsidR="00000000" w:rsidRDefault="00000000">
            <w:pPr>
              <w:pStyle w:val="BodyTextIndent"/>
              <w:tabs>
                <w:tab w:val="decimal" w:pos="1259"/>
              </w:tabs>
              <w:spacing w:after="0"/>
              <w:ind w:left="0"/>
              <w:rPr>
                <w:sz w:val="19"/>
              </w:rPr>
            </w:pPr>
            <w:r>
              <w:rPr>
                <w:sz w:val="19"/>
              </w:rPr>
              <w:t>965</w:t>
            </w:r>
          </w:p>
        </w:tc>
        <w:tc>
          <w:tcPr>
            <w:tcW w:w="1135" w:type="dxa"/>
          </w:tcPr>
          <w:p w:rsidR="00000000" w:rsidRDefault="00000000">
            <w:pPr>
              <w:pStyle w:val="BodyTextIndent"/>
              <w:tabs>
                <w:tab w:val="decimal" w:pos="834"/>
              </w:tabs>
              <w:spacing w:after="0"/>
              <w:ind w:left="0"/>
              <w:rPr>
                <w:sz w:val="19"/>
              </w:rPr>
            </w:pPr>
            <w:r>
              <w:rPr>
                <w:sz w:val="19"/>
              </w:rPr>
              <w:t>789</w:t>
            </w:r>
          </w:p>
        </w:tc>
        <w:tc>
          <w:tcPr>
            <w:tcW w:w="1619" w:type="dxa"/>
          </w:tcPr>
          <w:p w:rsidR="00000000" w:rsidRDefault="00000000">
            <w:pPr>
              <w:pStyle w:val="Hyperlink"/>
              <w:tabs>
                <w:tab w:val="decimal" w:pos="1010"/>
              </w:tabs>
              <w:rPr>
                <w:sz w:val="19"/>
              </w:rPr>
            </w:pPr>
            <w:r>
              <w:rPr>
                <w:sz w:val="19"/>
              </w:rPr>
              <w:t>152</w:t>
            </w:r>
          </w:p>
        </w:tc>
        <w:tc>
          <w:tcPr>
            <w:tcW w:w="1150" w:type="dxa"/>
          </w:tcPr>
          <w:p w:rsidR="00000000" w:rsidRDefault="00000000">
            <w:pPr>
              <w:pStyle w:val="BodyTextIndent"/>
              <w:tabs>
                <w:tab w:val="decimal" w:pos="835"/>
              </w:tabs>
              <w:spacing w:after="0"/>
              <w:ind w:left="0"/>
              <w:rPr>
                <w:sz w:val="19"/>
              </w:rPr>
            </w:pPr>
            <w:r>
              <w:rPr>
                <w:sz w:val="19"/>
              </w:rPr>
              <w:t>24</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B. Piso</w:t>
            </w:r>
          </w:p>
        </w:tc>
        <w:tc>
          <w:tcPr>
            <w:tcW w:w="1920" w:type="dxa"/>
          </w:tcPr>
          <w:p w:rsidR="00000000" w:rsidRDefault="00000000">
            <w:pPr>
              <w:pStyle w:val="BodyTextIndent"/>
              <w:tabs>
                <w:tab w:val="decimal" w:pos="1259"/>
              </w:tabs>
              <w:spacing w:after="0"/>
              <w:ind w:left="0"/>
              <w:rPr>
                <w:sz w:val="19"/>
              </w:rPr>
            </w:pPr>
          </w:p>
        </w:tc>
        <w:tc>
          <w:tcPr>
            <w:tcW w:w="1135" w:type="dxa"/>
          </w:tcPr>
          <w:p w:rsidR="00000000" w:rsidRDefault="00000000">
            <w:pPr>
              <w:pStyle w:val="BodyTextIndent"/>
              <w:tabs>
                <w:tab w:val="decimal" w:pos="834"/>
              </w:tabs>
              <w:spacing w:after="0"/>
              <w:ind w:left="0"/>
              <w:rPr>
                <w:sz w:val="19"/>
              </w:rPr>
            </w:pPr>
          </w:p>
        </w:tc>
        <w:tc>
          <w:tcPr>
            <w:tcW w:w="1619" w:type="dxa"/>
          </w:tcPr>
          <w:p w:rsidR="00000000" w:rsidRDefault="00000000">
            <w:pPr>
              <w:pStyle w:val="Hyperlink"/>
              <w:tabs>
                <w:tab w:val="decimal" w:pos="1010"/>
              </w:tabs>
              <w:rPr>
                <w:sz w:val="19"/>
              </w:rPr>
            </w:pPr>
          </w:p>
        </w:tc>
        <w:tc>
          <w:tcPr>
            <w:tcW w:w="1150" w:type="dxa"/>
          </w:tcPr>
          <w:p w:rsidR="00000000" w:rsidRDefault="00000000">
            <w:pPr>
              <w:pStyle w:val="BodyTextIndent"/>
              <w:tabs>
                <w:tab w:val="decimal" w:pos="835"/>
              </w:tabs>
              <w:spacing w:after="0"/>
              <w:ind w:left="0"/>
              <w:rPr>
                <w:sz w:val="19"/>
              </w:rPr>
            </w:pP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Tierra</w:t>
            </w:r>
          </w:p>
        </w:tc>
        <w:tc>
          <w:tcPr>
            <w:tcW w:w="1920" w:type="dxa"/>
          </w:tcPr>
          <w:p w:rsidR="00000000" w:rsidRDefault="00000000">
            <w:pPr>
              <w:pStyle w:val="BodyTextIndent"/>
              <w:tabs>
                <w:tab w:val="decimal" w:pos="1259"/>
              </w:tabs>
              <w:spacing w:after="0"/>
              <w:ind w:left="0"/>
              <w:rPr>
                <w:sz w:val="19"/>
              </w:rPr>
            </w:pPr>
            <w:r>
              <w:rPr>
                <w:sz w:val="19"/>
              </w:rPr>
              <w:t>148.484</w:t>
            </w:r>
          </w:p>
        </w:tc>
        <w:tc>
          <w:tcPr>
            <w:tcW w:w="1135" w:type="dxa"/>
          </w:tcPr>
          <w:p w:rsidR="00000000" w:rsidRDefault="00000000">
            <w:pPr>
              <w:pStyle w:val="BodyTextIndent"/>
              <w:tabs>
                <w:tab w:val="decimal" w:pos="834"/>
              </w:tabs>
              <w:spacing w:after="0"/>
              <w:ind w:left="0"/>
              <w:rPr>
                <w:sz w:val="19"/>
              </w:rPr>
            </w:pPr>
            <w:r>
              <w:rPr>
                <w:sz w:val="19"/>
              </w:rPr>
              <w:t>146.551</w:t>
            </w:r>
          </w:p>
        </w:tc>
        <w:tc>
          <w:tcPr>
            <w:tcW w:w="1619" w:type="dxa"/>
          </w:tcPr>
          <w:p w:rsidR="00000000" w:rsidRDefault="00000000">
            <w:pPr>
              <w:pStyle w:val="Hyperlink"/>
              <w:tabs>
                <w:tab w:val="decimal" w:pos="1010"/>
              </w:tabs>
              <w:rPr>
                <w:sz w:val="19"/>
              </w:rPr>
            </w:pPr>
            <w:r>
              <w:rPr>
                <w:sz w:val="19"/>
              </w:rPr>
              <w:t>1.354</w:t>
            </w:r>
          </w:p>
        </w:tc>
        <w:tc>
          <w:tcPr>
            <w:tcW w:w="1150" w:type="dxa"/>
          </w:tcPr>
          <w:p w:rsidR="00000000" w:rsidRDefault="00000000">
            <w:pPr>
              <w:pStyle w:val="BodyTextIndent"/>
              <w:tabs>
                <w:tab w:val="decimal" w:pos="835"/>
              </w:tabs>
              <w:spacing w:after="0"/>
              <w:ind w:left="0"/>
              <w:rPr>
                <w:sz w:val="19"/>
              </w:rPr>
            </w:pPr>
            <w:r>
              <w:rPr>
                <w:sz w:val="19"/>
              </w:rPr>
              <w:t>579</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Ladrillo</w:t>
            </w:r>
          </w:p>
        </w:tc>
        <w:tc>
          <w:tcPr>
            <w:tcW w:w="1920" w:type="dxa"/>
          </w:tcPr>
          <w:p w:rsidR="00000000" w:rsidRDefault="00000000">
            <w:pPr>
              <w:pStyle w:val="BodyTextIndent"/>
              <w:tabs>
                <w:tab w:val="decimal" w:pos="1259"/>
              </w:tabs>
              <w:spacing w:after="0"/>
              <w:ind w:left="0"/>
              <w:rPr>
                <w:sz w:val="19"/>
              </w:rPr>
            </w:pPr>
            <w:r>
              <w:rPr>
                <w:sz w:val="19"/>
              </w:rPr>
              <w:t>5.794</w:t>
            </w:r>
          </w:p>
        </w:tc>
        <w:tc>
          <w:tcPr>
            <w:tcW w:w="1135" w:type="dxa"/>
          </w:tcPr>
          <w:p w:rsidR="00000000" w:rsidRDefault="00000000">
            <w:pPr>
              <w:pStyle w:val="BodyTextIndent"/>
              <w:tabs>
                <w:tab w:val="decimal" w:pos="834"/>
              </w:tabs>
              <w:spacing w:after="0"/>
              <w:ind w:left="0"/>
              <w:rPr>
                <w:sz w:val="19"/>
              </w:rPr>
            </w:pPr>
            <w:r>
              <w:rPr>
                <w:sz w:val="19"/>
              </w:rPr>
              <w:t>5.668</w:t>
            </w:r>
          </w:p>
        </w:tc>
        <w:tc>
          <w:tcPr>
            <w:tcW w:w="1619" w:type="dxa"/>
          </w:tcPr>
          <w:p w:rsidR="00000000" w:rsidRDefault="00000000">
            <w:pPr>
              <w:pStyle w:val="Hyperlink"/>
              <w:tabs>
                <w:tab w:val="decimal" w:pos="1010"/>
              </w:tabs>
              <w:rPr>
                <w:sz w:val="19"/>
              </w:rPr>
            </w:pPr>
            <w:r>
              <w:rPr>
                <w:sz w:val="19"/>
              </w:rPr>
              <w:t>11</w:t>
            </w:r>
          </w:p>
        </w:tc>
        <w:tc>
          <w:tcPr>
            <w:tcW w:w="1150" w:type="dxa"/>
          </w:tcPr>
          <w:p w:rsidR="00000000" w:rsidRDefault="00000000">
            <w:pPr>
              <w:pStyle w:val="BodyTextIndent"/>
              <w:tabs>
                <w:tab w:val="decimal" w:pos="835"/>
              </w:tabs>
              <w:spacing w:after="0"/>
              <w:ind w:left="0"/>
              <w:rPr>
                <w:sz w:val="19"/>
              </w:rPr>
            </w:pPr>
            <w:r>
              <w:rPr>
                <w:sz w:val="19"/>
              </w:rPr>
              <w:t>115</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Baldosa común</w:t>
            </w:r>
          </w:p>
        </w:tc>
        <w:tc>
          <w:tcPr>
            <w:tcW w:w="1920" w:type="dxa"/>
          </w:tcPr>
          <w:p w:rsidR="00000000" w:rsidRDefault="00000000">
            <w:pPr>
              <w:pStyle w:val="BodyTextIndent"/>
              <w:tabs>
                <w:tab w:val="decimal" w:pos="1259"/>
              </w:tabs>
              <w:spacing w:after="0"/>
              <w:ind w:left="0"/>
              <w:rPr>
                <w:sz w:val="19"/>
              </w:rPr>
            </w:pPr>
            <w:r>
              <w:rPr>
                <w:sz w:val="19"/>
              </w:rPr>
              <w:t>122</w:t>
            </w:r>
          </w:p>
        </w:tc>
        <w:tc>
          <w:tcPr>
            <w:tcW w:w="1135" w:type="dxa"/>
          </w:tcPr>
          <w:p w:rsidR="00000000" w:rsidRDefault="00000000">
            <w:pPr>
              <w:pStyle w:val="BodyTextIndent"/>
              <w:tabs>
                <w:tab w:val="decimal" w:pos="834"/>
              </w:tabs>
              <w:spacing w:after="0"/>
              <w:ind w:left="0"/>
              <w:rPr>
                <w:sz w:val="19"/>
              </w:rPr>
            </w:pPr>
            <w:r>
              <w:rPr>
                <w:sz w:val="19"/>
              </w:rPr>
              <w:t>5</w:t>
            </w:r>
          </w:p>
        </w:tc>
        <w:tc>
          <w:tcPr>
            <w:tcW w:w="1619" w:type="dxa"/>
          </w:tcPr>
          <w:p w:rsidR="00000000" w:rsidRDefault="00000000">
            <w:pPr>
              <w:pStyle w:val="Hyperlink"/>
              <w:tabs>
                <w:tab w:val="decimal" w:pos="1010"/>
              </w:tabs>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117</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Cemento (lecherada)</w:t>
            </w:r>
          </w:p>
        </w:tc>
        <w:tc>
          <w:tcPr>
            <w:tcW w:w="1920" w:type="dxa"/>
          </w:tcPr>
          <w:p w:rsidR="00000000" w:rsidRDefault="00000000">
            <w:pPr>
              <w:pStyle w:val="BodyTextIndent"/>
              <w:tabs>
                <w:tab w:val="decimal" w:pos="1259"/>
              </w:tabs>
              <w:spacing w:after="0"/>
              <w:ind w:left="0"/>
              <w:rPr>
                <w:sz w:val="19"/>
              </w:rPr>
            </w:pPr>
            <w:r>
              <w:rPr>
                <w:sz w:val="19"/>
              </w:rPr>
              <w:t>9.909</w:t>
            </w:r>
          </w:p>
        </w:tc>
        <w:tc>
          <w:tcPr>
            <w:tcW w:w="1135" w:type="dxa"/>
          </w:tcPr>
          <w:p w:rsidR="00000000" w:rsidRDefault="00000000">
            <w:pPr>
              <w:pStyle w:val="BodyTextIndent"/>
              <w:tabs>
                <w:tab w:val="decimal" w:pos="834"/>
              </w:tabs>
              <w:spacing w:after="0"/>
              <w:ind w:left="0"/>
              <w:rPr>
                <w:sz w:val="19"/>
              </w:rPr>
            </w:pPr>
            <w:r>
              <w:rPr>
                <w:sz w:val="19"/>
              </w:rPr>
              <w:t>9.710</w:t>
            </w:r>
          </w:p>
        </w:tc>
        <w:tc>
          <w:tcPr>
            <w:tcW w:w="1619" w:type="dxa"/>
          </w:tcPr>
          <w:p w:rsidR="00000000" w:rsidRDefault="00000000">
            <w:pPr>
              <w:pStyle w:val="Hyperlink"/>
              <w:tabs>
                <w:tab w:val="decimal" w:pos="1010"/>
              </w:tabs>
              <w:rPr>
                <w:sz w:val="19"/>
              </w:rPr>
            </w:pPr>
            <w:r>
              <w:rPr>
                <w:sz w:val="19"/>
              </w:rPr>
              <w:t>12</w:t>
            </w:r>
          </w:p>
        </w:tc>
        <w:tc>
          <w:tcPr>
            <w:tcW w:w="1150" w:type="dxa"/>
          </w:tcPr>
          <w:p w:rsidR="00000000" w:rsidRDefault="00000000">
            <w:pPr>
              <w:pStyle w:val="BodyTextIndent"/>
              <w:tabs>
                <w:tab w:val="decimal" w:pos="835"/>
              </w:tabs>
              <w:spacing w:after="0"/>
              <w:ind w:left="0"/>
              <w:rPr>
                <w:sz w:val="19"/>
              </w:rPr>
            </w:pPr>
            <w:r>
              <w:rPr>
                <w:sz w:val="19"/>
              </w:rPr>
              <w:t>187</w:t>
            </w:r>
          </w:p>
        </w:tc>
      </w:tr>
      <w:tr w:rsidR="00000000">
        <w:tblPrEx>
          <w:tblCellMar>
            <w:top w:w="0" w:type="dxa"/>
            <w:bottom w:w="0" w:type="dxa"/>
          </w:tblCellMar>
        </w:tblPrEx>
        <w:tc>
          <w:tcPr>
            <w:tcW w:w="3670" w:type="dxa"/>
            <w:gridSpan w:val="2"/>
            <w:vAlign w:val="center"/>
          </w:tcPr>
          <w:p w:rsidR="00000000" w:rsidRDefault="00000000">
            <w:pPr>
              <w:pStyle w:val="BodyTextIndent"/>
              <w:spacing w:after="0"/>
              <w:ind w:left="0"/>
              <w:rPr>
                <w:sz w:val="19"/>
              </w:rPr>
            </w:pPr>
            <w:r>
              <w:rPr>
                <w:sz w:val="19"/>
              </w:rPr>
              <w:t xml:space="preserve">    Mosaico, cerámica, granito y mármol</w:t>
            </w:r>
          </w:p>
        </w:tc>
        <w:tc>
          <w:tcPr>
            <w:tcW w:w="1920" w:type="dxa"/>
            <w:vAlign w:val="center"/>
          </w:tcPr>
          <w:p w:rsidR="00000000" w:rsidRDefault="00000000">
            <w:pPr>
              <w:pStyle w:val="BodyTextIndent"/>
              <w:tabs>
                <w:tab w:val="decimal" w:pos="1259"/>
              </w:tabs>
              <w:spacing w:after="0"/>
              <w:ind w:left="0"/>
              <w:rPr>
                <w:sz w:val="19"/>
              </w:rPr>
            </w:pPr>
            <w:r>
              <w:rPr>
                <w:sz w:val="19"/>
              </w:rPr>
              <w:t>24</w:t>
            </w:r>
          </w:p>
        </w:tc>
        <w:tc>
          <w:tcPr>
            <w:tcW w:w="1135" w:type="dxa"/>
            <w:vAlign w:val="center"/>
          </w:tcPr>
          <w:p w:rsidR="00000000" w:rsidRDefault="00000000">
            <w:pPr>
              <w:pStyle w:val="BodyTextIndent"/>
              <w:tabs>
                <w:tab w:val="decimal" w:pos="834"/>
              </w:tabs>
              <w:spacing w:after="0"/>
              <w:ind w:left="0"/>
              <w:rPr>
                <w:sz w:val="19"/>
              </w:rPr>
            </w:pPr>
            <w:r>
              <w:rPr>
                <w:sz w:val="19"/>
              </w:rPr>
              <w:t>-</w:t>
            </w:r>
          </w:p>
        </w:tc>
        <w:tc>
          <w:tcPr>
            <w:tcW w:w="1619" w:type="dxa"/>
            <w:vAlign w:val="center"/>
          </w:tcPr>
          <w:p w:rsidR="00000000" w:rsidRDefault="00000000">
            <w:pPr>
              <w:pStyle w:val="Hyperlink"/>
              <w:tabs>
                <w:tab w:val="decimal" w:pos="1010"/>
              </w:tabs>
              <w:rPr>
                <w:sz w:val="19"/>
              </w:rPr>
            </w:pPr>
            <w:r>
              <w:rPr>
                <w:sz w:val="19"/>
              </w:rPr>
              <w:t>-</w:t>
            </w:r>
          </w:p>
        </w:tc>
        <w:tc>
          <w:tcPr>
            <w:tcW w:w="1150" w:type="dxa"/>
            <w:vAlign w:val="center"/>
          </w:tcPr>
          <w:p w:rsidR="00000000" w:rsidRDefault="00000000">
            <w:pPr>
              <w:pStyle w:val="BodyTextIndent"/>
              <w:tabs>
                <w:tab w:val="decimal" w:pos="835"/>
              </w:tabs>
              <w:spacing w:after="0"/>
              <w:ind w:left="0"/>
              <w:rPr>
                <w:sz w:val="19"/>
              </w:rPr>
            </w:pPr>
            <w:r>
              <w:rPr>
                <w:sz w:val="19"/>
              </w:rPr>
              <w:t>24</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Tablón de madera</w:t>
            </w:r>
          </w:p>
        </w:tc>
        <w:tc>
          <w:tcPr>
            <w:tcW w:w="1920" w:type="dxa"/>
          </w:tcPr>
          <w:p w:rsidR="00000000" w:rsidRDefault="00000000">
            <w:pPr>
              <w:pStyle w:val="BodyTextIndent"/>
              <w:tabs>
                <w:tab w:val="decimal" w:pos="1259"/>
              </w:tabs>
              <w:spacing w:after="0"/>
              <w:ind w:left="0"/>
              <w:rPr>
                <w:sz w:val="19"/>
              </w:rPr>
            </w:pPr>
            <w:r>
              <w:rPr>
                <w:sz w:val="19"/>
              </w:rPr>
              <w:t>9.360</w:t>
            </w:r>
          </w:p>
        </w:tc>
        <w:tc>
          <w:tcPr>
            <w:tcW w:w="1135" w:type="dxa"/>
          </w:tcPr>
          <w:p w:rsidR="00000000" w:rsidRDefault="00000000">
            <w:pPr>
              <w:pStyle w:val="BodyTextIndent"/>
              <w:tabs>
                <w:tab w:val="decimal" w:pos="834"/>
              </w:tabs>
              <w:spacing w:after="0"/>
              <w:ind w:left="0"/>
              <w:rPr>
                <w:sz w:val="19"/>
              </w:rPr>
            </w:pPr>
            <w:r>
              <w:rPr>
                <w:sz w:val="19"/>
              </w:rPr>
              <w:t>9.301</w:t>
            </w:r>
          </w:p>
        </w:tc>
        <w:tc>
          <w:tcPr>
            <w:tcW w:w="1619" w:type="dxa"/>
          </w:tcPr>
          <w:p w:rsidR="00000000" w:rsidRDefault="00000000">
            <w:pPr>
              <w:pStyle w:val="Hyperlink"/>
              <w:tabs>
                <w:tab w:val="decimal" w:pos="1010"/>
              </w:tabs>
              <w:rPr>
                <w:sz w:val="19"/>
              </w:rPr>
            </w:pPr>
            <w:r>
              <w:rPr>
                <w:sz w:val="19"/>
              </w:rPr>
              <w:t>15</w:t>
            </w:r>
          </w:p>
        </w:tc>
        <w:tc>
          <w:tcPr>
            <w:tcW w:w="1150" w:type="dxa"/>
          </w:tcPr>
          <w:p w:rsidR="00000000" w:rsidRDefault="00000000">
            <w:pPr>
              <w:pStyle w:val="BodyTextIndent"/>
              <w:tabs>
                <w:tab w:val="decimal" w:pos="835"/>
              </w:tabs>
              <w:spacing w:after="0"/>
              <w:ind w:left="0"/>
              <w:rPr>
                <w:sz w:val="19"/>
              </w:rPr>
            </w:pPr>
            <w:r>
              <w:rPr>
                <w:sz w:val="19"/>
              </w:rPr>
              <w:t>44</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Parquet</w:t>
            </w:r>
          </w:p>
        </w:tc>
        <w:tc>
          <w:tcPr>
            <w:tcW w:w="1920" w:type="dxa"/>
          </w:tcPr>
          <w:p w:rsidR="00000000" w:rsidRDefault="00000000">
            <w:pPr>
              <w:pStyle w:val="BodyTextIndent"/>
              <w:tabs>
                <w:tab w:val="decimal" w:pos="1259"/>
              </w:tabs>
              <w:spacing w:after="0"/>
              <w:ind w:left="0"/>
              <w:rPr>
                <w:sz w:val="19"/>
              </w:rPr>
            </w:pPr>
            <w:r>
              <w:rPr>
                <w:sz w:val="19"/>
              </w:rPr>
              <w:t>-</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w:t>
            </w:r>
          </w:p>
        </w:tc>
        <w:tc>
          <w:tcPr>
            <w:tcW w:w="1150" w:type="dxa"/>
          </w:tcPr>
          <w:p w:rsidR="00000000" w:rsidRDefault="00000000">
            <w:pPr>
              <w:pStyle w:val="BodyTextIndent"/>
              <w:tabs>
                <w:tab w:val="decimal" w:pos="835"/>
              </w:tabs>
              <w:spacing w:after="0"/>
              <w:ind w:left="0"/>
              <w:rPr>
                <w:sz w:val="19"/>
              </w:rPr>
            </w:pPr>
            <w:r>
              <w:rPr>
                <w:sz w:val="19"/>
              </w:rPr>
              <w:t>-</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Alfombra</w:t>
            </w:r>
          </w:p>
        </w:tc>
        <w:tc>
          <w:tcPr>
            <w:tcW w:w="1920" w:type="dxa"/>
          </w:tcPr>
          <w:p w:rsidR="00000000" w:rsidRDefault="00000000">
            <w:pPr>
              <w:pStyle w:val="BodyTextIndent"/>
              <w:tabs>
                <w:tab w:val="decimal" w:pos="1259"/>
              </w:tabs>
              <w:spacing w:after="0"/>
              <w:ind w:left="0"/>
              <w:rPr>
                <w:sz w:val="19"/>
              </w:rPr>
            </w:pPr>
            <w:r>
              <w:rPr>
                <w:sz w:val="19"/>
              </w:rPr>
              <w:t>-</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w:t>
            </w:r>
          </w:p>
        </w:tc>
        <w:tc>
          <w:tcPr>
            <w:tcW w:w="1150" w:type="dxa"/>
          </w:tcPr>
          <w:p w:rsidR="00000000" w:rsidRDefault="00000000">
            <w:pPr>
              <w:pStyle w:val="BodyTextIndent"/>
              <w:tabs>
                <w:tab w:val="decimal" w:pos="1010"/>
              </w:tabs>
              <w:spacing w:after="0"/>
              <w:ind w:left="0"/>
              <w:rPr>
                <w:sz w:val="19"/>
              </w:rPr>
            </w:pPr>
            <w:r>
              <w:rPr>
                <w:sz w:val="19"/>
              </w:rPr>
              <w:t>-</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Otro</w:t>
            </w:r>
          </w:p>
        </w:tc>
        <w:tc>
          <w:tcPr>
            <w:tcW w:w="1920" w:type="dxa"/>
          </w:tcPr>
          <w:p w:rsidR="00000000" w:rsidRDefault="00000000">
            <w:pPr>
              <w:pStyle w:val="BodyTextIndent"/>
              <w:tabs>
                <w:tab w:val="decimal" w:pos="1259"/>
              </w:tabs>
              <w:spacing w:after="0"/>
              <w:ind w:left="0"/>
              <w:rPr>
                <w:sz w:val="19"/>
              </w:rPr>
            </w:pPr>
            <w:r>
              <w:rPr>
                <w:sz w:val="19"/>
              </w:rPr>
              <w:t>411</w:t>
            </w:r>
          </w:p>
        </w:tc>
        <w:tc>
          <w:tcPr>
            <w:tcW w:w="1135" w:type="dxa"/>
          </w:tcPr>
          <w:p w:rsidR="00000000" w:rsidRDefault="00000000">
            <w:pPr>
              <w:pStyle w:val="BodyTextIndent"/>
              <w:tabs>
                <w:tab w:val="decimal" w:pos="834"/>
              </w:tabs>
              <w:spacing w:after="0"/>
              <w:ind w:left="0"/>
              <w:rPr>
                <w:sz w:val="19"/>
              </w:rPr>
            </w:pPr>
            <w:r>
              <w:rPr>
                <w:sz w:val="19"/>
              </w:rPr>
              <w:t>368</w:t>
            </w:r>
          </w:p>
        </w:tc>
        <w:tc>
          <w:tcPr>
            <w:tcW w:w="1619" w:type="dxa"/>
          </w:tcPr>
          <w:p w:rsidR="00000000" w:rsidRDefault="00000000">
            <w:pPr>
              <w:pStyle w:val="Hyperlink"/>
              <w:tabs>
                <w:tab w:val="decimal" w:pos="1010"/>
              </w:tabs>
              <w:rPr>
                <w:sz w:val="19"/>
              </w:rPr>
            </w:pPr>
            <w:r>
              <w:rPr>
                <w:sz w:val="19"/>
              </w:rPr>
              <w:t>18</w:t>
            </w:r>
          </w:p>
        </w:tc>
        <w:tc>
          <w:tcPr>
            <w:tcW w:w="1150" w:type="dxa"/>
          </w:tcPr>
          <w:p w:rsidR="00000000" w:rsidRDefault="00000000">
            <w:pPr>
              <w:pStyle w:val="BodyTextIndent"/>
              <w:tabs>
                <w:tab w:val="decimal" w:pos="835"/>
              </w:tabs>
              <w:spacing w:after="0"/>
              <w:ind w:left="0"/>
              <w:rPr>
                <w:sz w:val="19"/>
              </w:rPr>
            </w:pPr>
            <w:r>
              <w:rPr>
                <w:sz w:val="19"/>
              </w:rPr>
              <w:t>25</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C. Techo</w:t>
            </w:r>
          </w:p>
        </w:tc>
        <w:tc>
          <w:tcPr>
            <w:tcW w:w="1920" w:type="dxa"/>
          </w:tcPr>
          <w:p w:rsidR="00000000" w:rsidRDefault="00000000">
            <w:pPr>
              <w:pStyle w:val="BodyTextIndent"/>
              <w:tabs>
                <w:tab w:val="decimal" w:pos="1259"/>
              </w:tabs>
              <w:spacing w:after="0"/>
              <w:ind w:left="0"/>
              <w:rPr>
                <w:sz w:val="19"/>
              </w:rPr>
            </w:pPr>
          </w:p>
        </w:tc>
        <w:tc>
          <w:tcPr>
            <w:tcW w:w="1135" w:type="dxa"/>
          </w:tcPr>
          <w:p w:rsidR="00000000" w:rsidRDefault="00000000">
            <w:pPr>
              <w:pStyle w:val="BodyTextIndent"/>
              <w:tabs>
                <w:tab w:val="decimal" w:pos="834"/>
              </w:tabs>
              <w:spacing w:after="0"/>
              <w:ind w:left="0"/>
              <w:rPr>
                <w:sz w:val="19"/>
              </w:rPr>
            </w:pPr>
          </w:p>
        </w:tc>
        <w:tc>
          <w:tcPr>
            <w:tcW w:w="1619" w:type="dxa"/>
          </w:tcPr>
          <w:p w:rsidR="00000000" w:rsidRDefault="00000000">
            <w:pPr>
              <w:pStyle w:val="Hyperlink"/>
              <w:tabs>
                <w:tab w:val="decimal" w:pos="1010"/>
              </w:tabs>
              <w:rPr>
                <w:sz w:val="19"/>
              </w:rPr>
            </w:pPr>
          </w:p>
        </w:tc>
        <w:tc>
          <w:tcPr>
            <w:tcW w:w="1150" w:type="dxa"/>
          </w:tcPr>
          <w:p w:rsidR="00000000" w:rsidRDefault="00000000">
            <w:pPr>
              <w:pStyle w:val="BodyTextIndent"/>
              <w:tabs>
                <w:tab w:val="decimal" w:pos="835"/>
              </w:tabs>
              <w:spacing w:after="0"/>
              <w:ind w:left="0"/>
              <w:rPr>
                <w:sz w:val="19"/>
              </w:rPr>
            </w:pP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Teja</w:t>
            </w:r>
          </w:p>
        </w:tc>
        <w:tc>
          <w:tcPr>
            <w:tcW w:w="1920" w:type="dxa"/>
          </w:tcPr>
          <w:p w:rsidR="00000000" w:rsidRDefault="00000000">
            <w:pPr>
              <w:pStyle w:val="BodyTextIndent"/>
              <w:tabs>
                <w:tab w:val="decimal" w:pos="1259"/>
              </w:tabs>
              <w:spacing w:after="0"/>
              <w:ind w:left="0"/>
              <w:rPr>
                <w:sz w:val="19"/>
              </w:rPr>
            </w:pPr>
            <w:r>
              <w:rPr>
                <w:sz w:val="19"/>
              </w:rPr>
              <w:t>16.817</w:t>
            </w:r>
          </w:p>
        </w:tc>
        <w:tc>
          <w:tcPr>
            <w:tcW w:w="1135" w:type="dxa"/>
          </w:tcPr>
          <w:p w:rsidR="00000000" w:rsidRDefault="00000000">
            <w:pPr>
              <w:pStyle w:val="BodyTextIndent"/>
              <w:tabs>
                <w:tab w:val="decimal" w:pos="834"/>
              </w:tabs>
              <w:spacing w:after="0"/>
              <w:ind w:left="0"/>
              <w:rPr>
                <w:sz w:val="19"/>
              </w:rPr>
            </w:pPr>
            <w:r>
              <w:rPr>
                <w:sz w:val="19"/>
              </w:rPr>
              <w:t>16.512</w:t>
            </w:r>
          </w:p>
        </w:tc>
        <w:tc>
          <w:tcPr>
            <w:tcW w:w="1619" w:type="dxa"/>
          </w:tcPr>
          <w:p w:rsidR="00000000" w:rsidRDefault="00000000">
            <w:pPr>
              <w:pStyle w:val="Hyperlink"/>
              <w:tabs>
                <w:tab w:val="decimal" w:pos="1010"/>
              </w:tabs>
              <w:rPr>
                <w:sz w:val="19"/>
              </w:rPr>
            </w:pPr>
            <w:r>
              <w:rPr>
                <w:sz w:val="19"/>
              </w:rPr>
              <w:t>33</w:t>
            </w:r>
          </w:p>
        </w:tc>
        <w:tc>
          <w:tcPr>
            <w:tcW w:w="1150" w:type="dxa"/>
          </w:tcPr>
          <w:p w:rsidR="00000000" w:rsidRDefault="00000000">
            <w:pPr>
              <w:pStyle w:val="BodyTextIndent"/>
              <w:tabs>
                <w:tab w:val="decimal" w:pos="835"/>
              </w:tabs>
              <w:spacing w:after="0"/>
              <w:ind w:left="0"/>
              <w:rPr>
                <w:sz w:val="19"/>
              </w:rPr>
            </w:pPr>
            <w:r>
              <w:rPr>
                <w:sz w:val="19"/>
              </w:rPr>
              <w:t>272</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Paja</w:t>
            </w:r>
          </w:p>
        </w:tc>
        <w:tc>
          <w:tcPr>
            <w:tcW w:w="1920" w:type="dxa"/>
          </w:tcPr>
          <w:p w:rsidR="00000000" w:rsidRDefault="00000000">
            <w:pPr>
              <w:pStyle w:val="BodyTextIndent"/>
              <w:tabs>
                <w:tab w:val="decimal" w:pos="1259"/>
              </w:tabs>
              <w:spacing w:after="0"/>
              <w:ind w:left="0"/>
              <w:rPr>
                <w:sz w:val="19"/>
              </w:rPr>
            </w:pPr>
            <w:r>
              <w:rPr>
                <w:sz w:val="19"/>
              </w:rPr>
              <w:t>85.270</w:t>
            </w:r>
          </w:p>
        </w:tc>
        <w:tc>
          <w:tcPr>
            <w:tcW w:w="1135" w:type="dxa"/>
          </w:tcPr>
          <w:p w:rsidR="00000000" w:rsidRDefault="00000000">
            <w:pPr>
              <w:pStyle w:val="BodyTextIndent"/>
              <w:tabs>
                <w:tab w:val="decimal" w:pos="834"/>
              </w:tabs>
              <w:spacing w:after="0"/>
              <w:ind w:left="0"/>
              <w:rPr>
                <w:sz w:val="19"/>
              </w:rPr>
            </w:pPr>
            <w:r>
              <w:rPr>
                <w:sz w:val="19"/>
              </w:rPr>
              <w:t>84.793</w:t>
            </w:r>
          </w:p>
        </w:tc>
        <w:tc>
          <w:tcPr>
            <w:tcW w:w="1619" w:type="dxa"/>
          </w:tcPr>
          <w:p w:rsidR="00000000" w:rsidRDefault="00000000">
            <w:pPr>
              <w:pStyle w:val="Hyperlink"/>
              <w:tabs>
                <w:tab w:val="decimal" w:pos="1010"/>
              </w:tabs>
              <w:rPr>
                <w:sz w:val="19"/>
              </w:rPr>
            </w:pPr>
            <w:r>
              <w:rPr>
                <w:sz w:val="19"/>
              </w:rPr>
              <w:t>281</w:t>
            </w:r>
          </w:p>
        </w:tc>
        <w:tc>
          <w:tcPr>
            <w:tcW w:w="1150" w:type="dxa"/>
          </w:tcPr>
          <w:p w:rsidR="00000000" w:rsidRDefault="00000000">
            <w:pPr>
              <w:pStyle w:val="BodyTextIndent"/>
              <w:tabs>
                <w:tab w:val="decimal" w:pos="835"/>
              </w:tabs>
              <w:spacing w:after="0"/>
              <w:ind w:left="0"/>
              <w:rPr>
                <w:sz w:val="19"/>
              </w:rPr>
            </w:pPr>
            <w:r>
              <w:rPr>
                <w:sz w:val="19"/>
              </w:rPr>
              <w:t>196</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Fibrocemento o similar </w:t>
            </w:r>
          </w:p>
        </w:tc>
        <w:tc>
          <w:tcPr>
            <w:tcW w:w="1920" w:type="dxa"/>
          </w:tcPr>
          <w:p w:rsidR="00000000" w:rsidRDefault="00000000">
            <w:pPr>
              <w:pStyle w:val="BodyTextIndent"/>
              <w:tabs>
                <w:tab w:val="decimal" w:pos="1259"/>
              </w:tabs>
              <w:spacing w:after="0"/>
              <w:ind w:left="0"/>
              <w:rPr>
                <w:sz w:val="19"/>
              </w:rPr>
            </w:pPr>
            <w:r>
              <w:rPr>
                <w:sz w:val="19"/>
              </w:rPr>
              <w:t>36.208</w:t>
            </w:r>
          </w:p>
        </w:tc>
        <w:tc>
          <w:tcPr>
            <w:tcW w:w="1135" w:type="dxa"/>
          </w:tcPr>
          <w:p w:rsidR="00000000" w:rsidRDefault="00000000">
            <w:pPr>
              <w:pStyle w:val="BodyTextIndent"/>
              <w:tabs>
                <w:tab w:val="decimal" w:pos="834"/>
              </w:tabs>
              <w:spacing w:after="0"/>
              <w:ind w:left="0"/>
              <w:rPr>
                <w:sz w:val="19"/>
              </w:rPr>
            </w:pPr>
            <w:r>
              <w:rPr>
                <w:sz w:val="19"/>
              </w:rPr>
              <w:t>36.000</w:t>
            </w:r>
          </w:p>
        </w:tc>
        <w:tc>
          <w:tcPr>
            <w:tcW w:w="1619" w:type="dxa"/>
          </w:tcPr>
          <w:p w:rsidR="00000000" w:rsidRDefault="00000000">
            <w:pPr>
              <w:pStyle w:val="Hyperlink"/>
              <w:tabs>
                <w:tab w:val="decimal" w:pos="1010"/>
              </w:tabs>
              <w:rPr>
                <w:sz w:val="19"/>
              </w:rPr>
            </w:pPr>
            <w:r>
              <w:rPr>
                <w:sz w:val="19"/>
              </w:rPr>
              <w:t>63</w:t>
            </w:r>
          </w:p>
        </w:tc>
        <w:tc>
          <w:tcPr>
            <w:tcW w:w="1150" w:type="dxa"/>
          </w:tcPr>
          <w:p w:rsidR="00000000" w:rsidRDefault="00000000">
            <w:pPr>
              <w:pStyle w:val="BodyTextIndent"/>
              <w:tabs>
                <w:tab w:val="decimal" w:pos="835"/>
              </w:tabs>
              <w:spacing w:after="0"/>
              <w:ind w:left="0"/>
              <w:rPr>
                <w:sz w:val="19"/>
              </w:rPr>
            </w:pPr>
            <w:r>
              <w:rPr>
                <w:sz w:val="19"/>
              </w:rPr>
              <w:t>145</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Chapa de zinc</w:t>
            </w:r>
          </w:p>
        </w:tc>
        <w:tc>
          <w:tcPr>
            <w:tcW w:w="1920" w:type="dxa"/>
          </w:tcPr>
          <w:p w:rsidR="00000000" w:rsidRDefault="00000000">
            <w:pPr>
              <w:pStyle w:val="BodyTextIndent"/>
              <w:tabs>
                <w:tab w:val="decimal" w:pos="1259"/>
              </w:tabs>
              <w:spacing w:after="0"/>
              <w:ind w:left="0"/>
              <w:rPr>
                <w:sz w:val="19"/>
              </w:rPr>
            </w:pPr>
            <w:r>
              <w:rPr>
                <w:sz w:val="19"/>
              </w:rPr>
              <w:t>27.167</w:t>
            </w:r>
          </w:p>
        </w:tc>
        <w:tc>
          <w:tcPr>
            <w:tcW w:w="1135" w:type="dxa"/>
          </w:tcPr>
          <w:p w:rsidR="00000000" w:rsidRDefault="00000000">
            <w:pPr>
              <w:pStyle w:val="BodyTextIndent"/>
              <w:tabs>
                <w:tab w:val="decimal" w:pos="834"/>
              </w:tabs>
              <w:spacing w:after="0"/>
              <w:ind w:left="0"/>
              <w:rPr>
                <w:sz w:val="19"/>
              </w:rPr>
            </w:pPr>
            <w:r>
              <w:rPr>
                <w:sz w:val="19"/>
              </w:rPr>
              <w:t>26.513</w:t>
            </w:r>
          </w:p>
        </w:tc>
        <w:tc>
          <w:tcPr>
            <w:tcW w:w="1619" w:type="dxa"/>
          </w:tcPr>
          <w:p w:rsidR="00000000" w:rsidRDefault="00000000">
            <w:pPr>
              <w:pStyle w:val="Hyperlink"/>
              <w:tabs>
                <w:tab w:val="decimal" w:pos="1010"/>
              </w:tabs>
              <w:rPr>
                <w:sz w:val="19"/>
              </w:rPr>
            </w:pPr>
            <w:r>
              <w:rPr>
                <w:sz w:val="19"/>
              </w:rPr>
              <w:t>219</w:t>
            </w:r>
          </w:p>
        </w:tc>
        <w:tc>
          <w:tcPr>
            <w:tcW w:w="1150" w:type="dxa"/>
          </w:tcPr>
          <w:p w:rsidR="00000000" w:rsidRDefault="00000000">
            <w:pPr>
              <w:pStyle w:val="BodyTextIndent"/>
              <w:tabs>
                <w:tab w:val="decimal" w:pos="835"/>
              </w:tabs>
              <w:spacing w:after="0"/>
              <w:ind w:left="0"/>
              <w:rPr>
                <w:sz w:val="19"/>
              </w:rPr>
            </w:pPr>
            <w:r>
              <w:rPr>
                <w:sz w:val="19"/>
              </w:rPr>
              <w:t>435</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Tablilla de madera</w:t>
            </w:r>
          </w:p>
        </w:tc>
        <w:tc>
          <w:tcPr>
            <w:tcW w:w="1920" w:type="dxa"/>
          </w:tcPr>
          <w:p w:rsidR="00000000" w:rsidRDefault="00000000">
            <w:pPr>
              <w:pStyle w:val="BodyTextIndent"/>
              <w:tabs>
                <w:tab w:val="decimal" w:pos="1259"/>
              </w:tabs>
              <w:spacing w:after="0"/>
              <w:ind w:left="0"/>
              <w:rPr>
                <w:sz w:val="19"/>
              </w:rPr>
            </w:pPr>
            <w:r>
              <w:rPr>
                <w:sz w:val="19"/>
              </w:rPr>
              <w:t>5.982</w:t>
            </w:r>
          </w:p>
        </w:tc>
        <w:tc>
          <w:tcPr>
            <w:tcW w:w="1135" w:type="dxa"/>
          </w:tcPr>
          <w:p w:rsidR="00000000" w:rsidRDefault="00000000">
            <w:pPr>
              <w:pStyle w:val="BodyTextIndent"/>
              <w:tabs>
                <w:tab w:val="decimal" w:pos="834"/>
              </w:tabs>
              <w:spacing w:after="0"/>
              <w:ind w:left="0"/>
              <w:rPr>
                <w:sz w:val="19"/>
              </w:rPr>
            </w:pPr>
            <w:r>
              <w:rPr>
                <w:sz w:val="19"/>
              </w:rPr>
              <w:t>5.962</w:t>
            </w:r>
          </w:p>
        </w:tc>
        <w:tc>
          <w:tcPr>
            <w:tcW w:w="1619" w:type="dxa"/>
          </w:tcPr>
          <w:p w:rsidR="00000000" w:rsidRDefault="00000000">
            <w:pPr>
              <w:pStyle w:val="Hyperlink"/>
              <w:tabs>
                <w:tab w:val="decimal" w:pos="1010"/>
              </w:tabs>
              <w:rPr>
                <w:sz w:val="19"/>
              </w:rPr>
            </w:pPr>
            <w:r>
              <w:rPr>
                <w:sz w:val="19"/>
              </w:rPr>
              <w:t>14</w:t>
            </w:r>
          </w:p>
        </w:tc>
        <w:tc>
          <w:tcPr>
            <w:tcW w:w="1150" w:type="dxa"/>
          </w:tcPr>
          <w:p w:rsidR="00000000" w:rsidRDefault="00000000">
            <w:pPr>
              <w:pStyle w:val="BodyTextIndent"/>
              <w:tabs>
                <w:tab w:val="decimal" w:pos="835"/>
              </w:tabs>
              <w:spacing w:after="0"/>
              <w:ind w:left="0"/>
              <w:rPr>
                <w:sz w:val="19"/>
              </w:rPr>
            </w:pPr>
            <w:r>
              <w:rPr>
                <w:sz w:val="19"/>
              </w:rPr>
              <w:t>6</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Hormigón armado, loza o bovedilla</w:t>
            </w:r>
          </w:p>
        </w:tc>
        <w:tc>
          <w:tcPr>
            <w:tcW w:w="1920" w:type="dxa"/>
            <w:vAlign w:val="center"/>
          </w:tcPr>
          <w:p w:rsidR="00000000" w:rsidRDefault="00000000">
            <w:pPr>
              <w:pStyle w:val="BodyTextIndent"/>
              <w:tabs>
                <w:tab w:val="decimal" w:pos="1259"/>
              </w:tabs>
              <w:spacing w:after="0"/>
              <w:ind w:left="0"/>
              <w:rPr>
                <w:sz w:val="19"/>
              </w:rPr>
            </w:pPr>
            <w:r>
              <w:rPr>
                <w:sz w:val="19"/>
              </w:rPr>
              <w:t>14</w:t>
            </w:r>
          </w:p>
        </w:tc>
        <w:tc>
          <w:tcPr>
            <w:tcW w:w="1135" w:type="dxa"/>
            <w:vAlign w:val="center"/>
          </w:tcPr>
          <w:p w:rsidR="00000000" w:rsidRDefault="00000000">
            <w:pPr>
              <w:pStyle w:val="BodyTextIndent"/>
              <w:tabs>
                <w:tab w:val="decimal" w:pos="834"/>
              </w:tabs>
              <w:spacing w:after="0"/>
              <w:ind w:left="0"/>
              <w:rPr>
                <w:sz w:val="19"/>
              </w:rPr>
            </w:pPr>
            <w:r>
              <w:rPr>
                <w:sz w:val="19"/>
              </w:rPr>
              <w:t>-</w:t>
            </w:r>
          </w:p>
        </w:tc>
        <w:tc>
          <w:tcPr>
            <w:tcW w:w="1619" w:type="dxa"/>
            <w:vAlign w:val="center"/>
          </w:tcPr>
          <w:p w:rsidR="00000000" w:rsidRDefault="00000000">
            <w:pPr>
              <w:pStyle w:val="Hyperlink"/>
              <w:tabs>
                <w:tab w:val="decimal" w:pos="1010"/>
              </w:tabs>
              <w:rPr>
                <w:sz w:val="19"/>
              </w:rPr>
            </w:pPr>
            <w:r>
              <w:rPr>
                <w:sz w:val="19"/>
              </w:rPr>
              <w:t>-</w:t>
            </w:r>
          </w:p>
        </w:tc>
        <w:tc>
          <w:tcPr>
            <w:tcW w:w="1150" w:type="dxa"/>
            <w:vAlign w:val="center"/>
          </w:tcPr>
          <w:p w:rsidR="00000000" w:rsidRDefault="00000000">
            <w:pPr>
              <w:pStyle w:val="BodyTextIndent"/>
              <w:tabs>
                <w:tab w:val="decimal" w:pos="835"/>
              </w:tabs>
              <w:spacing w:after="0"/>
              <w:ind w:left="0"/>
              <w:rPr>
                <w:sz w:val="19"/>
              </w:rPr>
            </w:pPr>
            <w:r>
              <w:rPr>
                <w:sz w:val="19"/>
              </w:rPr>
              <w:t>14</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Tronco de palma</w:t>
            </w:r>
          </w:p>
        </w:tc>
        <w:tc>
          <w:tcPr>
            <w:tcW w:w="1920" w:type="dxa"/>
          </w:tcPr>
          <w:p w:rsidR="00000000" w:rsidRDefault="00000000">
            <w:pPr>
              <w:pStyle w:val="BodyTextIndent"/>
              <w:tabs>
                <w:tab w:val="decimal" w:pos="1259"/>
              </w:tabs>
              <w:spacing w:after="0"/>
              <w:ind w:left="0"/>
              <w:rPr>
                <w:sz w:val="19"/>
              </w:rPr>
            </w:pPr>
            <w:r>
              <w:rPr>
                <w:sz w:val="19"/>
              </w:rPr>
              <w:t>1.819</w:t>
            </w:r>
          </w:p>
        </w:tc>
        <w:tc>
          <w:tcPr>
            <w:tcW w:w="1135" w:type="dxa"/>
          </w:tcPr>
          <w:p w:rsidR="00000000" w:rsidRDefault="00000000">
            <w:pPr>
              <w:pStyle w:val="BodyTextIndent"/>
              <w:tabs>
                <w:tab w:val="decimal" w:pos="834"/>
              </w:tabs>
              <w:spacing w:after="0"/>
              <w:ind w:left="0"/>
              <w:rPr>
                <w:sz w:val="19"/>
              </w:rPr>
            </w:pPr>
            <w:r>
              <w:rPr>
                <w:sz w:val="19"/>
              </w:rPr>
              <w:t>1.784</w:t>
            </w:r>
          </w:p>
        </w:tc>
        <w:tc>
          <w:tcPr>
            <w:tcW w:w="1619" w:type="dxa"/>
          </w:tcPr>
          <w:p w:rsidR="00000000" w:rsidRDefault="00000000">
            <w:pPr>
              <w:pStyle w:val="Hyperlink"/>
              <w:tabs>
                <w:tab w:val="decimal" w:pos="1010"/>
              </w:tabs>
              <w:rPr>
                <w:sz w:val="19"/>
              </w:rPr>
            </w:pPr>
            <w:r>
              <w:rPr>
                <w:sz w:val="19"/>
              </w:rPr>
              <w:t>25</w:t>
            </w:r>
          </w:p>
        </w:tc>
        <w:tc>
          <w:tcPr>
            <w:tcW w:w="1150" w:type="dxa"/>
          </w:tcPr>
          <w:p w:rsidR="00000000" w:rsidRDefault="00000000">
            <w:pPr>
              <w:pStyle w:val="BodyTextIndent"/>
              <w:tabs>
                <w:tab w:val="decimal" w:pos="835"/>
              </w:tabs>
              <w:spacing w:after="0"/>
              <w:ind w:left="0"/>
              <w:rPr>
                <w:sz w:val="19"/>
              </w:rPr>
            </w:pPr>
            <w:r>
              <w:rPr>
                <w:sz w:val="19"/>
              </w:rPr>
              <w:t>10</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Cartón, hule, madera de embalaje</w:t>
            </w:r>
          </w:p>
        </w:tc>
        <w:tc>
          <w:tcPr>
            <w:tcW w:w="1920" w:type="dxa"/>
          </w:tcPr>
          <w:p w:rsidR="00000000" w:rsidRDefault="00000000">
            <w:pPr>
              <w:pStyle w:val="BodyTextIndent"/>
              <w:tabs>
                <w:tab w:val="decimal" w:pos="1259"/>
              </w:tabs>
              <w:spacing w:after="0"/>
              <w:ind w:left="0"/>
              <w:rPr>
                <w:sz w:val="19"/>
              </w:rPr>
            </w:pPr>
            <w:r>
              <w:rPr>
                <w:sz w:val="19"/>
              </w:rPr>
              <w:t>733</w:t>
            </w:r>
          </w:p>
        </w:tc>
        <w:tc>
          <w:tcPr>
            <w:tcW w:w="1135" w:type="dxa"/>
          </w:tcPr>
          <w:p w:rsidR="00000000" w:rsidRDefault="00000000">
            <w:pPr>
              <w:pStyle w:val="BodyTextIndent"/>
              <w:tabs>
                <w:tab w:val="decimal" w:pos="834"/>
              </w:tabs>
              <w:spacing w:after="0"/>
              <w:ind w:left="0"/>
              <w:rPr>
                <w:sz w:val="19"/>
              </w:rPr>
            </w:pPr>
            <w:r>
              <w:rPr>
                <w:sz w:val="19"/>
              </w:rPr>
              <w:t>-</w:t>
            </w:r>
          </w:p>
        </w:tc>
        <w:tc>
          <w:tcPr>
            <w:tcW w:w="1619" w:type="dxa"/>
          </w:tcPr>
          <w:p w:rsidR="00000000" w:rsidRDefault="00000000">
            <w:pPr>
              <w:pStyle w:val="Hyperlink"/>
              <w:tabs>
                <w:tab w:val="decimal" w:pos="1010"/>
              </w:tabs>
              <w:rPr>
                <w:sz w:val="19"/>
              </w:rPr>
            </w:pPr>
            <w:r>
              <w:rPr>
                <w:sz w:val="19"/>
              </w:rPr>
              <w:t>724</w:t>
            </w:r>
          </w:p>
        </w:tc>
        <w:tc>
          <w:tcPr>
            <w:tcW w:w="1150" w:type="dxa"/>
          </w:tcPr>
          <w:p w:rsidR="00000000" w:rsidRDefault="00000000">
            <w:pPr>
              <w:pStyle w:val="BodyTextIndent"/>
              <w:tabs>
                <w:tab w:val="decimal" w:pos="835"/>
              </w:tabs>
              <w:spacing w:after="0"/>
              <w:ind w:left="0"/>
              <w:rPr>
                <w:sz w:val="19"/>
              </w:rPr>
            </w:pPr>
            <w:r>
              <w:rPr>
                <w:sz w:val="19"/>
              </w:rPr>
              <w:t>9</w:t>
            </w:r>
          </w:p>
        </w:tc>
      </w:tr>
      <w:tr w:rsidR="00000000">
        <w:tblPrEx>
          <w:tblCellMar>
            <w:top w:w="0" w:type="dxa"/>
            <w:bottom w:w="0" w:type="dxa"/>
          </w:tblCellMar>
        </w:tblPrEx>
        <w:tc>
          <w:tcPr>
            <w:tcW w:w="3670" w:type="dxa"/>
            <w:gridSpan w:val="2"/>
          </w:tcPr>
          <w:p w:rsidR="00000000" w:rsidRDefault="00000000">
            <w:pPr>
              <w:pStyle w:val="BodyTextIndent"/>
              <w:spacing w:after="0"/>
              <w:ind w:left="0"/>
              <w:rPr>
                <w:sz w:val="19"/>
              </w:rPr>
            </w:pPr>
            <w:r>
              <w:rPr>
                <w:sz w:val="19"/>
              </w:rPr>
              <w:t xml:space="preserve">     Otro</w:t>
            </w:r>
          </w:p>
        </w:tc>
        <w:tc>
          <w:tcPr>
            <w:tcW w:w="1920" w:type="dxa"/>
          </w:tcPr>
          <w:p w:rsidR="00000000" w:rsidRDefault="00000000">
            <w:pPr>
              <w:pStyle w:val="BodyTextIndent"/>
              <w:tabs>
                <w:tab w:val="decimal" w:pos="1259"/>
              </w:tabs>
              <w:spacing w:after="0"/>
              <w:ind w:left="0"/>
              <w:rPr>
                <w:sz w:val="19"/>
              </w:rPr>
            </w:pPr>
            <w:r>
              <w:rPr>
                <w:sz w:val="19"/>
              </w:rPr>
              <w:t>94</w:t>
            </w:r>
          </w:p>
        </w:tc>
        <w:tc>
          <w:tcPr>
            <w:tcW w:w="1135" w:type="dxa"/>
          </w:tcPr>
          <w:p w:rsidR="00000000" w:rsidRDefault="00000000">
            <w:pPr>
              <w:pStyle w:val="BodyTextIndent"/>
              <w:tabs>
                <w:tab w:val="decimal" w:pos="834"/>
              </w:tabs>
              <w:spacing w:after="0"/>
              <w:ind w:left="0"/>
              <w:rPr>
                <w:sz w:val="19"/>
              </w:rPr>
            </w:pPr>
            <w:r>
              <w:rPr>
                <w:sz w:val="19"/>
              </w:rPr>
              <w:t>39</w:t>
            </w:r>
          </w:p>
        </w:tc>
        <w:tc>
          <w:tcPr>
            <w:tcW w:w="1619" w:type="dxa"/>
          </w:tcPr>
          <w:p w:rsidR="00000000" w:rsidRDefault="00000000">
            <w:pPr>
              <w:pStyle w:val="Hyperlink"/>
              <w:tabs>
                <w:tab w:val="decimal" w:pos="1010"/>
              </w:tabs>
              <w:rPr>
                <w:sz w:val="19"/>
              </w:rPr>
            </w:pPr>
            <w:r>
              <w:rPr>
                <w:sz w:val="19"/>
              </w:rPr>
              <w:t>51</w:t>
            </w:r>
          </w:p>
        </w:tc>
        <w:tc>
          <w:tcPr>
            <w:tcW w:w="1150" w:type="dxa"/>
          </w:tcPr>
          <w:p w:rsidR="00000000" w:rsidRDefault="00000000">
            <w:pPr>
              <w:pStyle w:val="BodyTextIndent"/>
              <w:tabs>
                <w:tab w:val="decimal" w:pos="835"/>
              </w:tabs>
              <w:spacing w:after="0"/>
              <w:ind w:left="0"/>
              <w:rPr>
                <w:sz w:val="19"/>
              </w:rPr>
            </w:pPr>
            <w:r>
              <w:rPr>
                <w:sz w:val="19"/>
              </w:rPr>
              <w:t>4</w:t>
            </w:r>
          </w:p>
        </w:tc>
      </w:tr>
    </w:tbl>
    <w:p w:rsidR="00000000" w:rsidRDefault="00000000">
      <w:pPr>
        <w:autoSpaceDE w:val="0"/>
        <w:autoSpaceDN w:val="0"/>
        <w:adjustRightInd w:val="0"/>
        <w:spacing w:before="190" w:after="360"/>
        <w:rPr>
          <w:bCs/>
          <w:sz w:val="19"/>
        </w:rPr>
      </w:pPr>
      <w:r>
        <w:rPr>
          <w:bCs/>
          <w:i/>
          <w:iCs/>
          <w:sz w:val="19"/>
        </w:rPr>
        <w:t>Fuente</w:t>
      </w:r>
      <w:r>
        <w:rPr>
          <w:bCs/>
          <w:sz w:val="19"/>
        </w:rPr>
        <w:t>:  Paraguay resultados finales.  Censo Nacional de Población y Viviendas, 2002.</w:t>
      </w:r>
    </w:p>
    <w:p w:rsidR="00000000" w:rsidRDefault="00000000">
      <w:pPr>
        <w:autoSpaceDE w:val="0"/>
        <w:autoSpaceDN w:val="0"/>
        <w:adjustRightInd w:val="0"/>
        <w:spacing w:after="240"/>
      </w:pPr>
      <w:r>
        <w:rPr>
          <w:bCs/>
        </w:rPr>
        <w:t>398</w:t>
      </w:r>
      <w:r>
        <w:t>.</w:t>
      </w:r>
      <w:r>
        <w:tab/>
        <w:t xml:space="preserve">La importancia del esfuerzo para acceder a la vivienda, se ratifica al analizar la situación de acceso al financiamiento, ilustrada por los resultados del Censo de Población y Vivienda, 2002, que muestra que apenas el 3,3% del total de las viviendas ocupadas están pagando cuotas de financiamiento; esa proporción sube al 6,8% en el área metropolitana de Asunción.  </w:t>
      </w:r>
    </w:p>
    <w:p w:rsidR="00000000" w:rsidRDefault="00000000">
      <w:pPr>
        <w:autoSpaceDE w:val="0"/>
        <w:autoSpaceDN w:val="0"/>
        <w:adjustRightInd w:val="0"/>
        <w:spacing w:after="240"/>
      </w:pPr>
      <w:r>
        <w:t>399.</w:t>
      </w:r>
      <w:r>
        <w:tab/>
        <w:t>Se puede concluir, por un lado, que existe una alta demanda de viviendas impulsada por las elevadas tasas de crecimiento poblacional y de formación de nuevos hogares.  Asimismo, que esa demanda se centra y se acentuará en el futuro en las ciudades, impulsada por el alto índice de urbanización.  La oferta formal apenas alcanza a atender a un poco más de un tercio de la demanda de viviendas nuevas y existe una importante oferta informal de viviendas caracterizada por problemas de calidad y acceso a los servicios básicos.  La informalidad se acentúa entre otros factores, por la falta de acceso al financiamiento.  Por último, la falta de oferta formal accesible a la población, acentúa la condición deficitaria de las viviendas desde el punto de vista cualitativo.</w:t>
      </w:r>
    </w:p>
    <w:p w:rsidR="00000000" w:rsidRDefault="00000000">
      <w:pPr>
        <w:keepNext/>
        <w:autoSpaceDE w:val="0"/>
        <w:autoSpaceDN w:val="0"/>
        <w:adjustRightInd w:val="0"/>
        <w:spacing w:after="240"/>
        <w:ind w:left="1134" w:hanging="567"/>
        <w:rPr>
          <w:b/>
          <w:lang w:val="es-MX"/>
        </w:rPr>
      </w:pPr>
      <w:r>
        <w:rPr>
          <w:b/>
          <w:lang w:val="es-MX"/>
        </w:rPr>
        <w:t>1.1.</w:t>
      </w:r>
      <w:r>
        <w:rPr>
          <w:b/>
          <w:lang w:val="es-MX"/>
        </w:rPr>
        <w:tab/>
        <w:t>Evolución del presupuesto nacional de gastos de la Nación para el área de vivienda</w:t>
      </w:r>
    </w:p>
    <w:tbl>
      <w:tblPr>
        <w:tblW w:w="0" w:type="auto"/>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
        <w:gridCol w:w="2634"/>
        <w:gridCol w:w="1570"/>
        <w:gridCol w:w="2314"/>
      </w:tblGrid>
      <w:tr w:rsidR="00000000">
        <w:tblPrEx>
          <w:tblCellMar>
            <w:top w:w="0" w:type="dxa"/>
            <w:bottom w:w="0" w:type="dxa"/>
          </w:tblCellMar>
        </w:tblPrEx>
        <w:tc>
          <w:tcPr>
            <w:tcW w:w="980" w:type="dxa"/>
            <w:vAlign w:val="center"/>
          </w:tcPr>
          <w:p w:rsidR="00000000" w:rsidRDefault="00000000">
            <w:pPr>
              <w:keepNext/>
              <w:autoSpaceDE w:val="0"/>
              <w:autoSpaceDN w:val="0"/>
              <w:adjustRightInd w:val="0"/>
              <w:jc w:val="center"/>
              <w:rPr>
                <w:b/>
                <w:bCs/>
                <w:lang w:val="es-MX"/>
              </w:rPr>
            </w:pPr>
            <w:r>
              <w:rPr>
                <w:b/>
                <w:bCs/>
                <w:lang w:val="es-MX"/>
              </w:rPr>
              <w:t>Años</w:t>
            </w:r>
          </w:p>
        </w:tc>
        <w:tc>
          <w:tcPr>
            <w:tcW w:w="2264" w:type="dxa"/>
            <w:vAlign w:val="center"/>
          </w:tcPr>
          <w:p w:rsidR="00000000" w:rsidRDefault="00000000">
            <w:pPr>
              <w:keepNext/>
              <w:autoSpaceDE w:val="0"/>
              <w:autoSpaceDN w:val="0"/>
              <w:adjustRightInd w:val="0"/>
              <w:jc w:val="center"/>
              <w:rPr>
                <w:b/>
                <w:bCs/>
                <w:vertAlign w:val="superscript"/>
                <w:lang w:val="es-MX"/>
              </w:rPr>
            </w:pPr>
            <w:r>
              <w:rPr>
                <w:b/>
                <w:bCs/>
                <w:lang w:val="es-MX"/>
              </w:rPr>
              <w:t>Presupuesto nacional</w:t>
            </w:r>
            <w:r>
              <w:rPr>
                <w:b/>
                <w:bCs/>
                <w:vertAlign w:val="superscript"/>
                <w:lang w:val="es-MX"/>
              </w:rPr>
              <w:t>1</w:t>
            </w:r>
          </w:p>
        </w:tc>
        <w:tc>
          <w:tcPr>
            <w:tcW w:w="1440" w:type="dxa"/>
            <w:vAlign w:val="center"/>
          </w:tcPr>
          <w:p w:rsidR="00000000" w:rsidRDefault="00000000">
            <w:pPr>
              <w:keepNext/>
              <w:autoSpaceDE w:val="0"/>
              <w:autoSpaceDN w:val="0"/>
              <w:adjustRightInd w:val="0"/>
              <w:jc w:val="center"/>
              <w:rPr>
                <w:b/>
                <w:bCs/>
                <w:vertAlign w:val="superscript"/>
                <w:lang w:val="es-MX"/>
              </w:rPr>
            </w:pPr>
            <w:r>
              <w:rPr>
                <w:b/>
                <w:bCs/>
                <w:lang w:val="es-MX"/>
              </w:rPr>
              <w:t>Vivienda</w:t>
            </w:r>
            <w:r>
              <w:rPr>
                <w:b/>
                <w:bCs/>
                <w:vertAlign w:val="superscript"/>
                <w:lang w:val="es-MX"/>
              </w:rPr>
              <w:t>2</w:t>
            </w:r>
          </w:p>
        </w:tc>
        <w:tc>
          <w:tcPr>
            <w:tcW w:w="2180" w:type="dxa"/>
            <w:vAlign w:val="center"/>
          </w:tcPr>
          <w:p w:rsidR="00000000" w:rsidRDefault="00000000">
            <w:pPr>
              <w:keepNext/>
              <w:autoSpaceDE w:val="0"/>
              <w:autoSpaceDN w:val="0"/>
              <w:adjustRightInd w:val="0"/>
              <w:jc w:val="center"/>
              <w:rPr>
                <w:b/>
                <w:bCs/>
                <w:lang w:val="es-MX"/>
              </w:rPr>
            </w:pPr>
            <w:r>
              <w:rPr>
                <w:b/>
                <w:bCs/>
                <w:lang w:val="es-MX"/>
              </w:rPr>
              <w:t>Porcentaje vivienda/presupuesto</w:t>
            </w: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n-GB"/>
              </w:rPr>
            </w:pPr>
            <w:r>
              <w:rPr>
                <w:lang w:val="en-GB"/>
              </w:rPr>
              <w:t>1994</w:t>
            </w:r>
          </w:p>
        </w:tc>
        <w:tc>
          <w:tcPr>
            <w:tcW w:w="2264" w:type="dxa"/>
          </w:tcPr>
          <w:p w:rsidR="00000000" w:rsidRDefault="00000000">
            <w:pPr>
              <w:tabs>
                <w:tab w:val="decimal" w:pos="1654"/>
              </w:tabs>
              <w:autoSpaceDE w:val="0"/>
              <w:autoSpaceDN w:val="0"/>
              <w:adjustRightInd w:val="0"/>
              <w:rPr>
                <w:lang w:val="en-GB"/>
              </w:rPr>
            </w:pPr>
            <w:r>
              <w:rPr>
                <w:lang w:val="en-GB"/>
              </w:rPr>
              <w:t>2.253.329</w:t>
            </w:r>
          </w:p>
        </w:tc>
        <w:tc>
          <w:tcPr>
            <w:tcW w:w="1440" w:type="dxa"/>
          </w:tcPr>
          <w:p w:rsidR="00000000" w:rsidRDefault="00000000">
            <w:pPr>
              <w:autoSpaceDE w:val="0"/>
              <w:autoSpaceDN w:val="0"/>
              <w:adjustRightInd w:val="0"/>
              <w:jc w:val="center"/>
              <w:rPr>
                <w:lang w:val="en-GB"/>
              </w:rPr>
            </w:pPr>
            <w:r>
              <w:rPr>
                <w:lang w:val="en-GB"/>
              </w:rPr>
              <w:t>s/d</w:t>
            </w:r>
          </w:p>
        </w:tc>
        <w:tc>
          <w:tcPr>
            <w:tcW w:w="2180" w:type="dxa"/>
          </w:tcPr>
          <w:p w:rsidR="00000000" w:rsidRDefault="00000000">
            <w:pPr>
              <w:autoSpaceDE w:val="0"/>
              <w:autoSpaceDN w:val="0"/>
              <w:adjustRightInd w:val="0"/>
              <w:rPr>
                <w:lang w:val="en-GB"/>
              </w:rPr>
            </w:pP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n-GB"/>
              </w:rPr>
            </w:pPr>
            <w:r>
              <w:rPr>
                <w:lang w:val="en-GB"/>
              </w:rPr>
              <w:t>1995</w:t>
            </w:r>
          </w:p>
        </w:tc>
        <w:tc>
          <w:tcPr>
            <w:tcW w:w="2264" w:type="dxa"/>
          </w:tcPr>
          <w:p w:rsidR="00000000" w:rsidRDefault="00000000">
            <w:pPr>
              <w:tabs>
                <w:tab w:val="decimal" w:pos="1654"/>
              </w:tabs>
              <w:autoSpaceDE w:val="0"/>
              <w:autoSpaceDN w:val="0"/>
              <w:adjustRightInd w:val="0"/>
              <w:rPr>
                <w:lang w:val="en-GB"/>
              </w:rPr>
            </w:pPr>
            <w:r>
              <w:rPr>
                <w:lang w:val="en-GB"/>
              </w:rPr>
              <w:t>3.042.601</w:t>
            </w:r>
          </w:p>
        </w:tc>
        <w:tc>
          <w:tcPr>
            <w:tcW w:w="1440" w:type="dxa"/>
          </w:tcPr>
          <w:p w:rsidR="00000000" w:rsidRDefault="00000000">
            <w:pPr>
              <w:autoSpaceDE w:val="0"/>
              <w:autoSpaceDN w:val="0"/>
              <w:adjustRightInd w:val="0"/>
              <w:jc w:val="center"/>
              <w:rPr>
                <w:lang w:val="en-GB"/>
              </w:rPr>
            </w:pPr>
            <w:r>
              <w:rPr>
                <w:lang w:val="en-GB"/>
              </w:rPr>
              <w:t>s/d</w:t>
            </w:r>
          </w:p>
        </w:tc>
        <w:tc>
          <w:tcPr>
            <w:tcW w:w="2180" w:type="dxa"/>
          </w:tcPr>
          <w:p w:rsidR="00000000" w:rsidRDefault="00000000">
            <w:pPr>
              <w:autoSpaceDE w:val="0"/>
              <w:autoSpaceDN w:val="0"/>
              <w:adjustRightInd w:val="0"/>
              <w:rPr>
                <w:lang w:val="en-GB"/>
              </w:rPr>
            </w:pP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n-GB"/>
              </w:rPr>
            </w:pPr>
            <w:r>
              <w:rPr>
                <w:lang w:val="en-GB"/>
              </w:rPr>
              <w:t>1996</w:t>
            </w:r>
          </w:p>
        </w:tc>
        <w:tc>
          <w:tcPr>
            <w:tcW w:w="2264" w:type="dxa"/>
          </w:tcPr>
          <w:p w:rsidR="00000000" w:rsidRDefault="00000000">
            <w:pPr>
              <w:tabs>
                <w:tab w:val="decimal" w:pos="1654"/>
              </w:tabs>
              <w:autoSpaceDE w:val="0"/>
              <w:autoSpaceDN w:val="0"/>
              <w:adjustRightInd w:val="0"/>
              <w:rPr>
                <w:lang w:val="en-GB"/>
              </w:rPr>
            </w:pPr>
            <w:r>
              <w:rPr>
                <w:lang w:val="en-GB"/>
              </w:rPr>
              <w:t>3.416.260</w:t>
            </w:r>
          </w:p>
        </w:tc>
        <w:tc>
          <w:tcPr>
            <w:tcW w:w="1440" w:type="dxa"/>
          </w:tcPr>
          <w:p w:rsidR="00000000" w:rsidRDefault="00000000">
            <w:pPr>
              <w:autoSpaceDE w:val="0"/>
              <w:autoSpaceDN w:val="0"/>
              <w:adjustRightInd w:val="0"/>
              <w:jc w:val="center"/>
              <w:rPr>
                <w:lang w:val="en-GB"/>
              </w:rPr>
            </w:pPr>
            <w:r>
              <w:rPr>
                <w:lang w:val="en-GB"/>
              </w:rPr>
              <w:t>s/d</w:t>
            </w:r>
          </w:p>
        </w:tc>
        <w:tc>
          <w:tcPr>
            <w:tcW w:w="2180" w:type="dxa"/>
          </w:tcPr>
          <w:p w:rsidR="00000000" w:rsidRDefault="00000000">
            <w:pPr>
              <w:autoSpaceDE w:val="0"/>
              <w:autoSpaceDN w:val="0"/>
              <w:adjustRightInd w:val="0"/>
              <w:rPr>
                <w:lang w:val="en-GB"/>
              </w:rPr>
            </w:pP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n-GB"/>
              </w:rPr>
            </w:pPr>
            <w:r>
              <w:rPr>
                <w:lang w:val="en-GB"/>
              </w:rPr>
              <w:t>1997</w:t>
            </w:r>
          </w:p>
        </w:tc>
        <w:tc>
          <w:tcPr>
            <w:tcW w:w="2264" w:type="dxa"/>
          </w:tcPr>
          <w:p w:rsidR="00000000" w:rsidRDefault="00000000">
            <w:pPr>
              <w:tabs>
                <w:tab w:val="decimal" w:pos="1654"/>
              </w:tabs>
              <w:autoSpaceDE w:val="0"/>
              <w:autoSpaceDN w:val="0"/>
              <w:adjustRightInd w:val="0"/>
              <w:rPr>
                <w:lang w:val="en-GB"/>
              </w:rPr>
            </w:pPr>
            <w:r>
              <w:rPr>
                <w:lang w:val="en-GB"/>
              </w:rPr>
              <w:t>9.896.024</w:t>
            </w:r>
          </w:p>
        </w:tc>
        <w:tc>
          <w:tcPr>
            <w:tcW w:w="1440" w:type="dxa"/>
          </w:tcPr>
          <w:p w:rsidR="00000000" w:rsidRDefault="00000000">
            <w:pPr>
              <w:autoSpaceDE w:val="0"/>
              <w:autoSpaceDN w:val="0"/>
              <w:adjustRightInd w:val="0"/>
              <w:jc w:val="center"/>
              <w:rPr>
                <w:lang w:val="en-GB"/>
              </w:rPr>
            </w:pPr>
            <w:r>
              <w:rPr>
                <w:lang w:val="en-GB"/>
              </w:rPr>
              <w:t>s/d</w:t>
            </w:r>
          </w:p>
        </w:tc>
        <w:tc>
          <w:tcPr>
            <w:tcW w:w="2180" w:type="dxa"/>
          </w:tcPr>
          <w:p w:rsidR="00000000" w:rsidRDefault="00000000">
            <w:pPr>
              <w:autoSpaceDE w:val="0"/>
              <w:autoSpaceDN w:val="0"/>
              <w:adjustRightInd w:val="0"/>
              <w:rPr>
                <w:lang w:val="en-GB"/>
              </w:rPr>
            </w:pP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1998</w:t>
            </w:r>
          </w:p>
        </w:tc>
        <w:tc>
          <w:tcPr>
            <w:tcW w:w="2264" w:type="dxa"/>
          </w:tcPr>
          <w:p w:rsidR="00000000" w:rsidRDefault="00000000">
            <w:pPr>
              <w:tabs>
                <w:tab w:val="decimal" w:pos="1654"/>
              </w:tabs>
              <w:autoSpaceDE w:val="0"/>
              <w:autoSpaceDN w:val="0"/>
              <w:adjustRightInd w:val="0"/>
              <w:rPr>
                <w:lang w:val="es-MX"/>
              </w:rPr>
            </w:pPr>
            <w:r>
              <w:rPr>
                <w:lang w:val="es-MX"/>
              </w:rPr>
              <w:t>11.077.222</w:t>
            </w:r>
          </w:p>
        </w:tc>
        <w:tc>
          <w:tcPr>
            <w:tcW w:w="1440" w:type="dxa"/>
          </w:tcPr>
          <w:p w:rsidR="00000000" w:rsidRDefault="00000000">
            <w:pPr>
              <w:autoSpaceDE w:val="0"/>
              <w:autoSpaceDN w:val="0"/>
              <w:adjustRightInd w:val="0"/>
              <w:jc w:val="center"/>
              <w:rPr>
                <w:lang w:val="es-MX"/>
              </w:rPr>
            </w:pPr>
            <w:r>
              <w:rPr>
                <w:lang w:val="es-MX"/>
              </w:rPr>
              <w:t>s/d</w:t>
            </w:r>
          </w:p>
        </w:tc>
        <w:tc>
          <w:tcPr>
            <w:tcW w:w="2180" w:type="dxa"/>
          </w:tcPr>
          <w:p w:rsidR="00000000" w:rsidRDefault="00000000">
            <w:pPr>
              <w:autoSpaceDE w:val="0"/>
              <w:autoSpaceDN w:val="0"/>
              <w:adjustRightInd w:val="0"/>
              <w:rPr>
                <w:lang w:val="es-MX"/>
              </w:rPr>
            </w:pP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1999</w:t>
            </w:r>
          </w:p>
        </w:tc>
        <w:tc>
          <w:tcPr>
            <w:tcW w:w="2264" w:type="dxa"/>
          </w:tcPr>
          <w:p w:rsidR="00000000" w:rsidRDefault="00000000">
            <w:pPr>
              <w:tabs>
                <w:tab w:val="decimal" w:pos="1654"/>
              </w:tabs>
              <w:autoSpaceDE w:val="0"/>
              <w:autoSpaceDN w:val="0"/>
              <w:adjustRightInd w:val="0"/>
              <w:rPr>
                <w:lang w:val="es-MX"/>
              </w:rPr>
            </w:pPr>
            <w:r>
              <w:rPr>
                <w:lang w:val="es-MX"/>
              </w:rPr>
              <w:t>12.255.602</w:t>
            </w:r>
          </w:p>
        </w:tc>
        <w:tc>
          <w:tcPr>
            <w:tcW w:w="1440" w:type="dxa"/>
          </w:tcPr>
          <w:p w:rsidR="00000000" w:rsidRDefault="00000000">
            <w:pPr>
              <w:tabs>
                <w:tab w:val="decimal" w:pos="1010"/>
              </w:tabs>
              <w:autoSpaceDE w:val="0"/>
              <w:autoSpaceDN w:val="0"/>
              <w:adjustRightInd w:val="0"/>
              <w:rPr>
                <w:lang w:val="es-MX"/>
              </w:rPr>
            </w:pPr>
            <w:r>
              <w:rPr>
                <w:lang w:val="es-MX"/>
              </w:rPr>
              <w:t>83.324</w:t>
            </w:r>
          </w:p>
        </w:tc>
        <w:tc>
          <w:tcPr>
            <w:tcW w:w="2180" w:type="dxa"/>
          </w:tcPr>
          <w:p w:rsidR="00000000" w:rsidRDefault="00000000">
            <w:pPr>
              <w:tabs>
                <w:tab w:val="decimal" w:pos="1010"/>
              </w:tabs>
              <w:autoSpaceDE w:val="0"/>
              <w:autoSpaceDN w:val="0"/>
              <w:adjustRightInd w:val="0"/>
              <w:rPr>
                <w:lang w:val="es-MX"/>
              </w:rPr>
            </w:pPr>
            <w:r>
              <w:rPr>
                <w:lang w:val="es-MX"/>
              </w:rPr>
              <w:t>0,68</w:t>
            </w: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2000</w:t>
            </w:r>
          </w:p>
        </w:tc>
        <w:tc>
          <w:tcPr>
            <w:tcW w:w="2264" w:type="dxa"/>
          </w:tcPr>
          <w:p w:rsidR="00000000" w:rsidRDefault="00000000">
            <w:pPr>
              <w:tabs>
                <w:tab w:val="decimal" w:pos="1654"/>
              </w:tabs>
              <w:autoSpaceDE w:val="0"/>
              <w:autoSpaceDN w:val="0"/>
              <w:adjustRightInd w:val="0"/>
              <w:rPr>
                <w:lang w:val="es-MX"/>
              </w:rPr>
            </w:pPr>
            <w:r>
              <w:rPr>
                <w:lang w:val="es-MX"/>
              </w:rPr>
              <w:t>13.128.124</w:t>
            </w:r>
          </w:p>
        </w:tc>
        <w:tc>
          <w:tcPr>
            <w:tcW w:w="1440" w:type="dxa"/>
          </w:tcPr>
          <w:p w:rsidR="00000000" w:rsidRDefault="00000000">
            <w:pPr>
              <w:tabs>
                <w:tab w:val="decimal" w:pos="1010"/>
              </w:tabs>
              <w:autoSpaceDE w:val="0"/>
              <w:autoSpaceDN w:val="0"/>
              <w:adjustRightInd w:val="0"/>
              <w:rPr>
                <w:lang w:val="es-MX"/>
              </w:rPr>
            </w:pPr>
            <w:r>
              <w:rPr>
                <w:lang w:val="es-MX"/>
              </w:rPr>
              <w:t>61.304</w:t>
            </w:r>
          </w:p>
        </w:tc>
        <w:tc>
          <w:tcPr>
            <w:tcW w:w="2180" w:type="dxa"/>
          </w:tcPr>
          <w:p w:rsidR="00000000" w:rsidRDefault="00000000">
            <w:pPr>
              <w:tabs>
                <w:tab w:val="decimal" w:pos="1010"/>
              </w:tabs>
              <w:autoSpaceDE w:val="0"/>
              <w:autoSpaceDN w:val="0"/>
              <w:adjustRightInd w:val="0"/>
              <w:rPr>
                <w:lang w:val="es-MX"/>
              </w:rPr>
            </w:pPr>
            <w:r>
              <w:rPr>
                <w:lang w:val="es-MX"/>
              </w:rPr>
              <w:t>0,47</w:t>
            </w: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2001</w:t>
            </w:r>
          </w:p>
        </w:tc>
        <w:tc>
          <w:tcPr>
            <w:tcW w:w="2264" w:type="dxa"/>
          </w:tcPr>
          <w:p w:rsidR="00000000" w:rsidRDefault="00000000">
            <w:pPr>
              <w:tabs>
                <w:tab w:val="decimal" w:pos="1654"/>
              </w:tabs>
              <w:autoSpaceDE w:val="0"/>
              <w:autoSpaceDN w:val="0"/>
              <w:adjustRightInd w:val="0"/>
              <w:rPr>
                <w:lang w:val="es-MX"/>
              </w:rPr>
            </w:pPr>
            <w:r>
              <w:rPr>
                <w:lang w:val="es-MX"/>
              </w:rPr>
              <w:t>15.357.915</w:t>
            </w:r>
          </w:p>
        </w:tc>
        <w:tc>
          <w:tcPr>
            <w:tcW w:w="1440" w:type="dxa"/>
          </w:tcPr>
          <w:p w:rsidR="00000000" w:rsidRDefault="00000000">
            <w:pPr>
              <w:tabs>
                <w:tab w:val="decimal" w:pos="1010"/>
              </w:tabs>
              <w:autoSpaceDE w:val="0"/>
              <w:autoSpaceDN w:val="0"/>
              <w:adjustRightInd w:val="0"/>
              <w:rPr>
                <w:lang w:val="es-MX"/>
              </w:rPr>
            </w:pPr>
            <w:r>
              <w:rPr>
                <w:lang w:val="es-MX"/>
              </w:rPr>
              <w:t>19.282</w:t>
            </w:r>
          </w:p>
        </w:tc>
        <w:tc>
          <w:tcPr>
            <w:tcW w:w="2180" w:type="dxa"/>
          </w:tcPr>
          <w:p w:rsidR="00000000" w:rsidRDefault="00000000">
            <w:pPr>
              <w:tabs>
                <w:tab w:val="decimal" w:pos="1010"/>
              </w:tabs>
              <w:autoSpaceDE w:val="0"/>
              <w:autoSpaceDN w:val="0"/>
              <w:adjustRightInd w:val="0"/>
              <w:rPr>
                <w:lang w:val="es-MX"/>
              </w:rPr>
            </w:pPr>
            <w:r>
              <w:rPr>
                <w:lang w:val="es-MX"/>
              </w:rPr>
              <w:t>0,13</w:t>
            </w: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2002</w:t>
            </w:r>
          </w:p>
        </w:tc>
        <w:tc>
          <w:tcPr>
            <w:tcW w:w="2264" w:type="dxa"/>
          </w:tcPr>
          <w:p w:rsidR="00000000" w:rsidRDefault="00000000">
            <w:pPr>
              <w:tabs>
                <w:tab w:val="decimal" w:pos="1654"/>
              </w:tabs>
              <w:autoSpaceDE w:val="0"/>
              <w:autoSpaceDN w:val="0"/>
              <w:adjustRightInd w:val="0"/>
              <w:rPr>
                <w:lang w:val="es-MX"/>
              </w:rPr>
            </w:pPr>
            <w:r>
              <w:rPr>
                <w:lang w:val="es-MX"/>
              </w:rPr>
              <w:t>15.306.971</w:t>
            </w:r>
          </w:p>
        </w:tc>
        <w:tc>
          <w:tcPr>
            <w:tcW w:w="1440" w:type="dxa"/>
          </w:tcPr>
          <w:p w:rsidR="00000000" w:rsidRDefault="00000000">
            <w:pPr>
              <w:tabs>
                <w:tab w:val="decimal" w:pos="1010"/>
              </w:tabs>
              <w:autoSpaceDE w:val="0"/>
              <w:autoSpaceDN w:val="0"/>
              <w:adjustRightInd w:val="0"/>
              <w:rPr>
                <w:lang w:val="es-MX"/>
              </w:rPr>
            </w:pPr>
            <w:r>
              <w:rPr>
                <w:lang w:val="es-MX"/>
              </w:rPr>
              <w:t>12.318</w:t>
            </w:r>
          </w:p>
        </w:tc>
        <w:tc>
          <w:tcPr>
            <w:tcW w:w="2180" w:type="dxa"/>
          </w:tcPr>
          <w:p w:rsidR="00000000" w:rsidRDefault="00000000">
            <w:pPr>
              <w:tabs>
                <w:tab w:val="decimal" w:pos="1010"/>
              </w:tabs>
              <w:autoSpaceDE w:val="0"/>
              <w:autoSpaceDN w:val="0"/>
              <w:adjustRightInd w:val="0"/>
              <w:rPr>
                <w:lang w:val="es-MX"/>
              </w:rPr>
            </w:pPr>
            <w:r>
              <w:rPr>
                <w:lang w:val="es-MX"/>
              </w:rPr>
              <w:t>0,08</w:t>
            </w: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2003</w:t>
            </w:r>
          </w:p>
        </w:tc>
        <w:tc>
          <w:tcPr>
            <w:tcW w:w="2264" w:type="dxa"/>
          </w:tcPr>
          <w:p w:rsidR="00000000" w:rsidRDefault="00000000">
            <w:pPr>
              <w:tabs>
                <w:tab w:val="decimal" w:pos="1654"/>
              </w:tabs>
              <w:autoSpaceDE w:val="0"/>
              <w:autoSpaceDN w:val="0"/>
              <w:adjustRightInd w:val="0"/>
              <w:rPr>
                <w:lang w:val="es-MX"/>
              </w:rPr>
            </w:pPr>
            <w:r>
              <w:rPr>
                <w:lang w:val="es-MX"/>
              </w:rPr>
              <w:t>18.246.180</w:t>
            </w:r>
          </w:p>
        </w:tc>
        <w:tc>
          <w:tcPr>
            <w:tcW w:w="1440" w:type="dxa"/>
          </w:tcPr>
          <w:p w:rsidR="00000000" w:rsidRDefault="00000000">
            <w:pPr>
              <w:tabs>
                <w:tab w:val="decimal" w:pos="1010"/>
              </w:tabs>
              <w:autoSpaceDE w:val="0"/>
              <w:autoSpaceDN w:val="0"/>
              <w:adjustRightInd w:val="0"/>
              <w:rPr>
                <w:lang w:val="es-MX"/>
              </w:rPr>
            </w:pPr>
            <w:r>
              <w:rPr>
                <w:lang w:val="es-MX"/>
              </w:rPr>
              <w:t>15.983</w:t>
            </w:r>
          </w:p>
        </w:tc>
        <w:tc>
          <w:tcPr>
            <w:tcW w:w="2180" w:type="dxa"/>
          </w:tcPr>
          <w:p w:rsidR="00000000" w:rsidRDefault="00000000">
            <w:pPr>
              <w:tabs>
                <w:tab w:val="decimal" w:pos="1010"/>
              </w:tabs>
              <w:autoSpaceDE w:val="0"/>
              <w:autoSpaceDN w:val="0"/>
              <w:adjustRightInd w:val="0"/>
              <w:rPr>
                <w:lang w:val="es-MX"/>
              </w:rPr>
            </w:pPr>
            <w:r>
              <w:rPr>
                <w:lang w:val="es-MX"/>
              </w:rPr>
              <w:t>0,09</w:t>
            </w: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2004</w:t>
            </w:r>
          </w:p>
        </w:tc>
        <w:tc>
          <w:tcPr>
            <w:tcW w:w="2264" w:type="dxa"/>
          </w:tcPr>
          <w:p w:rsidR="00000000" w:rsidRDefault="00000000">
            <w:pPr>
              <w:tabs>
                <w:tab w:val="decimal" w:pos="1654"/>
              </w:tabs>
              <w:autoSpaceDE w:val="0"/>
              <w:autoSpaceDN w:val="0"/>
              <w:adjustRightInd w:val="0"/>
              <w:rPr>
                <w:lang w:val="es-MX"/>
              </w:rPr>
            </w:pPr>
            <w:r>
              <w:rPr>
                <w:lang w:val="es-MX"/>
              </w:rPr>
              <w:t>18.915.114</w:t>
            </w:r>
          </w:p>
        </w:tc>
        <w:tc>
          <w:tcPr>
            <w:tcW w:w="1440" w:type="dxa"/>
          </w:tcPr>
          <w:p w:rsidR="00000000" w:rsidRDefault="00000000">
            <w:pPr>
              <w:tabs>
                <w:tab w:val="decimal" w:pos="1010"/>
              </w:tabs>
              <w:autoSpaceDE w:val="0"/>
              <w:autoSpaceDN w:val="0"/>
              <w:adjustRightInd w:val="0"/>
              <w:rPr>
                <w:lang w:val="es-MX"/>
              </w:rPr>
            </w:pPr>
            <w:r>
              <w:rPr>
                <w:lang w:val="es-MX"/>
              </w:rPr>
              <w:t>57.348</w:t>
            </w:r>
          </w:p>
        </w:tc>
        <w:tc>
          <w:tcPr>
            <w:tcW w:w="2180" w:type="dxa"/>
          </w:tcPr>
          <w:p w:rsidR="00000000" w:rsidRDefault="00000000">
            <w:pPr>
              <w:tabs>
                <w:tab w:val="decimal" w:pos="1010"/>
              </w:tabs>
              <w:autoSpaceDE w:val="0"/>
              <w:autoSpaceDN w:val="0"/>
              <w:adjustRightInd w:val="0"/>
              <w:rPr>
                <w:lang w:val="es-MX"/>
              </w:rPr>
            </w:pPr>
            <w:r>
              <w:rPr>
                <w:lang w:val="es-MX"/>
              </w:rPr>
              <w:t>0,30</w:t>
            </w: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2005</w:t>
            </w:r>
          </w:p>
        </w:tc>
        <w:tc>
          <w:tcPr>
            <w:tcW w:w="2264" w:type="dxa"/>
          </w:tcPr>
          <w:p w:rsidR="00000000" w:rsidRDefault="00000000">
            <w:pPr>
              <w:tabs>
                <w:tab w:val="decimal" w:pos="1654"/>
              </w:tabs>
              <w:autoSpaceDE w:val="0"/>
              <w:autoSpaceDN w:val="0"/>
              <w:adjustRightInd w:val="0"/>
              <w:rPr>
                <w:lang w:val="es-MX"/>
              </w:rPr>
            </w:pPr>
            <w:r>
              <w:rPr>
                <w:lang w:val="es-MX"/>
              </w:rPr>
              <w:t>21.809.827</w:t>
            </w:r>
          </w:p>
        </w:tc>
        <w:tc>
          <w:tcPr>
            <w:tcW w:w="1440" w:type="dxa"/>
          </w:tcPr>
          <w:p w:rsidR="00000000" w:rsidRDefault="00000000">
            <w:pPr>
              <w:tabs>
                <w:tab w:val="decimal" w:pos="1010"/>
              </w:tabs>
              <w:autoSpaceDE w:val="0"/>
              <w:autoSpaceDN w:val="0"/>
              <w:adjustRightInd w:val="0"/>
              <w:rPr>
                <w:lang w:val="es-MX"/>
              </w:rPr>
            </w:pPr>
            <w:r>
              <w:rPr>
                <w:lang w:val="es-MX"/>
              </w:rPr>
              <w:t>62.655</w:t>
            </w:r>
          </w:p>
        </w:tc>
        <w:tc>
          <w:tcPr>
            <w:tcW w:w="2180" w:type="dxa"/>
          </w:tcPr>
          <w:p w:rsidR="00000000" w:rsidRDefault="00000000">
            <w:pPr>
              <w:tabs>
                <w:tab w:val="decimal" w:pos="1010"/>
              </w:tabs>
              <w:autoSpaceDE w:val="0"/>
              <w:autoSpaceDN w:val="0"/>
              <w:adjustRightInd w:val="0"/>
              <w:rPr>
                <w:lang w:val="es-MX"/>
              </w:rPr>
            </w:pPr>
            <w:r>
              <w:rPr>
                <w:lang w:val="es-MX"/>
              </w:rPr>
              <w:t>0,29</w:t>
            </w:r>
          </w:p>
        </w:tc>
      </w:tr>
      <w:tr w:rsidR="00000000">
        <w:tblPrEx>
          <w:tblCellMar>
            <w:top w:w="0" w:type="dxa"/>
            <w:bottom w:w="0" w:type="dxa"/>
          </w:tblCellMar>
        </w:tblPrEx>
        <w:tc>
          <w:tcPr>
            <w:tcW w:w="980" w:type="dxa"/>
          </w:tcPr>
          <w:p w:rsidR="00000000" w:rsidRDefault="00000000">
            <w:pPr>
              <w:autoSpaceDE w:val="0"/>
              <w:autoSpaceDN w:val="0"/>
              <w:adjustRightInd w:val="0"/>
              <w:jc w:val="center"/>
              <w:rPr>
                <w:lang w:val="es-MX"/>
              </w:rPr>
            </w:pPr>
            <w:r>
              <w:rPr>
                <w:lang w:val="es-MX"/>
              </w:rPr>
              <w:t>2006</w:t>
            </w:r>
          </w:p>
        </w:tc>
        <w:tc>
          <w:tcPr>
            <w:tcW w:w="2264" w:type="dxa"/>
          </w:tcPr>
          <w:p w:rsidR="00000000" w:rsidRDefault="00000000">
            <w:pPr>
              <w:tabs>
                <w:tab w:val="decimal" w:pos="1654"/>
              </w:tabs>
              <w:autoSpaceDE w:val="0"/>
              <w:autoSpaceDN w:val="0"/>
              <w:adjustRightInd w:val="0"/>
              <w:rPr>
                <w:lang w:val="es-MX"/>
              </w:rPr>
            </w:pPr>
            <w:r>
              <w:rPr>
                <w:lang w:val="es-MX"/>
              </w:rPr>
              <w:t>21.255.118</w:t>
            </w:r>
          </w:p>
        </w:tc>
        <w:tc>
          <w:tcPr>
            <w:tcW w:w="1440" w:type="dxa"/>
          </w:tcPr>
          <w:p w:rsidR="00000000" w:rsidRDefault="00000000">
            <w:pPr>
              <w:tabs>
                <w:tab w:val="decimal" w:pos="1010"/>
              </w:tabs>
              <w:autoSpaceDE w:val="0"/>
              <w:autoSpaceDN w:val="0"/>
              <w:adjustRightInd w:val="0"/>
              <w:rPr>
                <w:lang w:val="es-MX"/>
              </w:rPr>
            </w:pPr>
            <w:r>
              <w:rPr>
                <w:lang w:val="es-MX"/>
              </w:rPr>
              <w:t>93.798</w:t>
            </w:r>
          </w:p>
        </w:tc>
        <w:tc>
          <w:tcPr>
            <w:tcW w:w="2180" w:type="dxa"/>
          </w:tcPr>
          <w:p w:rsidR="00000000" w:rsidRDefault="00000000">
            <w:pPr>
              <w:tabs>
                <w:tab w:val="decimal" w:pos="1010"/>
              </w:tabs>
              <w:autoSpaceDE w:val="0"/>
              <w:autoSpaceDN w:val="0"/>
              <w:adjustRightInd w:val="0"/>
              <w:rPr>
                <w:lang w:val="es-MX"/>
              </w:rPr>
            </w:pPr>
            <w:r>
              <w:rPr>
                <w:lang w:val="es-MX"/>
              </w:rPr>
              <w:t>0,44</w:t>
            </w:r>
          </w:p>
        </w:tc>
      </w:tr>
    </w:tbl>
    <w:p w:rsidR="00000000" w:rsidRDefault="00000000">
      <w:pPr>
        <w:autoSpaceDE w:val="0"/>
        <w:autoSpaceDN w:val="0"/>
        <w:adjustRightInd w:val="0"/>
        <w:spacing w:before="240" w:after="240"/>
        <w:ind w:left="924" w:right="1599"/>
        <w:rPr>
          <w:lang w:val="es-MX"/>
        </w:rPr>
      </w:pPr>
      <w:r>
        <w:rPr>
          <w:i/>
          <w:iCs/>
          <w:lang w:val="es-MX"/>
        </w:rPr>
        <w:t>Fuente</w:t>
      </w:r>
      <w:r>
        <w:rPr>
          <w:lang w:val="es-MX"/>
        </w:rPr>
        <w:t>:  Sistema de contabilidad (SICO).  En millones de guaraníes.</w:t>
      </w:r>
    </w:p>
    <w:p w:rsidR="00000000" w:rsidRDefault="00000000">
      <w:pPr>
        <w:autoSpaceDE w:val="0"/>
        <w:autoSpaceDN w:val="0"/>
        <w:adjustRightInd w:val="0"/>
        <w:spacing w:after="240"/>
        <w:ind w:left="924" w:right="1599"/>
        <w:rPr>
          <w:lang w:val="es-MX"/>
        </w:rPr>
      </w:pPr>
      <w:r>
        <w:rPr>
          <w:b/>
          <w:bCs/>
          <w:vertAlign w:val="superscript"/>
          <w:lang w:val="es-MX"/>
        </w:rPr>
        <w:t>1</w:t>
      </w:r>
      <w:r>
        <w:rPr>
          <w:lang w:val="es-MX"/>
        </w:rPr>
        <w:t xml:space="preserve"> Presupuesto ajustado correspondiente a la Administración central hasta el año 1996.  A partir de 1997 corresponde al Presupuesto AC más las entidades descentralizadas.</w:t>
      </w:r>
    </w:p>
    <w:p w:rsidR="00000000" w:rsidRDefault="00000000">
      <w:pPr>
        <w:autoSpaceDE w:val="0"/>
        <w:autoSpaceDN w:val="0"/>
        <w:adjustRightInd w:val="0"/>
        <w:spacing w:after="480"/>
        <w:ind w:left="924" w:right="1599"/>
        <w:rPr>
          <w:lang w:val="es-MX"/>
        </w:rPr>
      </w:pPr>
      <w:r>
        <w:rPr>
          <w:b/>
          <w:bCs/>
          <w:vertAlign w:val="superscript"/>
          <w:lang w:val="es-MX"/>
        </w:rPr>
        <w:t>2</w:t>
      </w:r>
      <w:r>
        <w:rPr>
          <w:vertAlign w:val="superscript"/>
          <w:lang w:val="es-MX"/>
        </w:rPr>
        <w:t xml:space="preserve"> </w:t>
      </w:r>
      <w:r>
        <w:rPr>
          <w:lang w:val="es-MX"/>
        </w:rPr>
        <w:t>Corresponde al presupuesto del CONAVI.  A partir de 2004 incluye el Programa Construcción de Viviendas Populares de la SAS.</w:t>
      </w:r>
    </w:p>
    <w:p w:rsidR="00000000" w:rsidRDefault="00000000">
      <w:pPr>
        <w:keepNext/>
        <w:keepLines/>
        <w:autoSpaceDE w:val="0"/>
        <w:autoSpaceDN w:val="0"/>
        <w:adjustRightInd w:val="0"/>
        <w:spacing w:after="240"/>
        <w:ind w:left="567"/>
        <w:rPr>
          <w:b/>
          <w:bCs/>
        </w:rPr>
      </w:pPr>
      <w:r>
        <w:rPr>
          <w:b/>
          <w:bCs/>
          <w:lang w:val="es-MX"/>
        </w:rPr>
        <w:t>1.2.</w:t>
      </w:r>
      <w:r>
        <w:rPr>
          <w:b/>
          <w:bCs/>
          <w:lang w:val="es-MX"/>
        </w:rPr>
        <w:tab/>
        <w:t>Déficit habitacional y familias sin techo</w:t>
      </w:r>
      <w:r>
        <w:rPr>
          <w:rStyle w:val="FootnoteReference"/>
          <w:iCs/>
        </w:rPr>
        <w:footnoteReference w:id="28"/>
      </w:r>
    </w:p>
    <w:p w:rsidR="00000000" w:rsidRDefault="00000000">
      <w:pPr>
        <w:keepNext/>
        <w:keepLines/>
        <w:autoSpaceDE w:val="0"/>
        <w:autoSpaceDN w:val="0"/>
        <w:adjustRightInd w:val="0"/>
        <w:spacing w:after="240"/>
        <w:rPr>
          <w:bCs/>
        </w:rPr>
      </w:pPr>
      <w:r>
        <w:rPr>
          <w:lang w:val="es-MX"/>
        </w:rPr>
        <w:t>400.</w:t>
      </w:r>
      <w:r>
        <w:rPr>
          <w:lang w:val="es-MX"/>
        </w:rPr>
        <w:tab/>
      </w:r>
      <w:r>
        <w:rPr>
          <w:bCs/>
        </w:rPr>
        <w:t xml:space="preserve">La proyección realizada arrojó como resultado, que para el año 2004 el déficit </w:t>
      </w:r>
      <w:r>
        <w:t>habitacional</w:t>
      </w:r>
      <w:r>
        <w:rPr>
          <w:bCs/>
        </w:rPr>
        <w:t xml:space="preserve"> ascendería a aproximadamente 470.000 viviendas, de las cuales el 65% corresponderían a viviendas que presentan problemas de calidad física (piso, pared y techo) y de hacinamiento, mientras que el 35% restante, que correspondería a aproximadamente a 163.000 viviendas, representaría la demanda insatisfecha de nuevas viviendas. </w:t>
      </w:r>
    </w:p>
    <w:p w:rsidR="00000000" w:rsidRDefault="00000000">
      <w:pPr>
        <w:autoSpaceDE w:val="0"/>
        <w:autoSpaceDN w:val="0"/>
        <w:adjustRightInd w:val="0"/>
        <w:spacing w:after="240"/>
        <w:jc w:val="center"/>
        <w:rPr>
          <w:b/>
          <w:bCs/>
          <w:lang w:val="es-MX"/>
        </w:rPr>
      </w:pPr>
      <w:r>
        <w:rPr>
          <w:b/>
          <w:bCs/>
          <w:lang w:val="es-MX"/>
        </w:rPr>
        <w:t>Personas viviendo en asentamientos ilegales (áreas rurales)</w:t>
      </w:r>
    </w:p>
    <w:p w:rsidR="00000000" w:rsidRDefault="00000000">
      <w:pPr>
        <w:autoSpaceDE w:val="0"/>
        <w:autoSpaceDN w:val="0"/>
        <w:adjustRightInd w:val="0"/>
        <w:spacing w:after="240"/>
        <w:jc w:val="center"/>
        <w:rPr>
          <w:b/>
          <w:bCs/>
          <w:lang w:val="es-MX"/>
        </w:rPr>
      </w:pPr>
      <w:r>
        <w:rPr>
          <w:b/>
          <w:bCs/>
          <w:lang w:val="es-MX"/>
        </w:rPr>
        <w:t>Ocupaciones precarias de tierras del dominio privado</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37"/>
        <w:gridCol w:w="3603"/>
      </w:tblGrid>
      <w:tr w:rsidR="00000000">
        <w:tblPrEx>
          <w:tblCellMar>
            <w:top w:w="0" w:type="dxa"/>
            <w:bottom w:w="0" w:type="dxa"/>
          </w:tblCellMar>
        </w:tblPrEx>
        <w:tc>
          <w:tcPr>
            <w:tcW w:w="3237" w:type="dxa"/>
            <w:vAlign w:val="center"/>
          </w:tcPr>
          <w:p w:rsidR="00000000" w:rsidRDefault="00000000">
            <w:pPr>
              <w:autoSpaceDE w:val="0"/>
              <w:autoSpaceDN w:val="0"/>
              <w:adjustRightInd w:val="0"/>
              <w:jc w:val="center"/>
              <w:rPr>
                <w:b/>
                <w:bCs/>
                <w:lang w:val="es-MX"/>
              </w:rPr>
            </w:pPr>
            <w:r>
              <w:rPr>
                <w:b/>
                <w:bCs/>
                <w:lang w:val="es-MX"/>
              </w:rPr>
              <w:t>Familias (cantidad)</w:t>
            </w:r>
          </w:p>
        </w:tc>
        <w:tc>
          <w:tcPr>
            <w:tcW w:w="3603" w:type="dxa"/>
            <w:vAlign w:val="center"/>
          </w:tcPr>
          <w:p w:rsidR="00000000" w:rsidRDefault="00000000">
            <w:pPr>
              <w:autoSpaceDE w:val="0"/>
              <w:autoSpaceDN w:val="0"/>
              <w:adjustRightInd w:val="0"/>
              <w:jc w:val="center"/>
              <w:rPr>
                <w:b/>
                <w:bCs/>
                <w:lang w:val="es-MX"/>
              </w:rPr>
            </w:pPr>
            <w:r>
              <w:rPr>
                <w:b/>
                <w:bCs/>
                <w:lang w:val="es-MX"/>
              </w:rPr>
              <w:t>Superficies (hectáreas)</w:t>
            </w:r>
          </w:p>
        </w:tc>
      </w:tr>
      <w:tr w:rsidR="00000000">
        <w:tblPrEx>
          <w:tblCellMar>
            <w:top w:w="0" w:type="dxa"/>
            <w:bottom w:w="0" w:type="dxa"/>
          </w:tblCellMar>
        </w:tblPrEx>
        <w:tc>
          <w:tcPr>
            <w:tcW w:w="3237" w:type="dxa"/>
          </w:tcPr>
          <w:p w:rsidR="00000000" w:rsidRDefault="00000000">
            <w:pPr>
              <w:autoSpaceDE w:val="0"/>
              <w:autoSpaceDN w:val="0"/>
              <w:adjustRightInd w:val="0"/>
              <w:jc w:val="center"/>
              <w:rPr>
                <w:lang w:val="es-MX"/>
              </w:rPr>
            </w:pPr>
            <w:r>
              <w:rPr>
                <w:lang w:val="es-MX"/>
              </w:rPr>
              <w:t>3.580</w:t>
            </w:r>
          </w:p>
        </w:tc>
        <w:tc>
          <w:tcPr>
            <w:tcW w:w="3603" w:type="dxa"/>
          </w:tcPr>
          <w:p w:rsidR="00000000" w:rsidRDefault="00000000">
            <w:pPr>
              <w:autoSpaceDE w:val="0"/>
              <w:autoSpaceDN w:val="0"/>
              <w:adjustRightInd w:val="0"/>
              <w:jc w:val="center"/>
              <w:rPr>
                <w:lang w:val="es-MX"/>
              </w:rPr>
            </w:pPr>
            <w:r>
              <w:rPr>
                <w:lang w:val="es-MX"/>
              </w:rPr>
              <w:t>39.920</w:t>
            </w:r>
          </w:p>
        </w:tc>
      </w:tr>
    </w:tbl>
    <w:p w:rsidR="00000000" w:rsidRDefault="00000000">
      <w:pPr>
        <w:spacing w:before="240" w:after="480"/>
        <w:ind w:left="1429"/>
      </w:pPr>
      <w:r>
        <w:rPr>
          <w:i/>
          <w:iCs/>
        </w:rPr>
        <w:t>Fuente</w:t>
      </w:r>
      <w:r>
        <w:t>:  Accesoria jurídica - INDERT.</w:t>
      </w:r>
    </w:p>
    <w:p w:rsidR="00000000" w:rsidRDefault="00000000">
      <w:pPr>
        <w:autoSpaceDE w:val="0"/>
        <w:autoSpaceDN w:val="0"/>
        <w:adjustRightInd w:val="0"/>
        <w:spacing w:after="240"/>
        <w:ind w:left="567"/>
        <w:rPr>
          <w:b/>
          <w:bCs/>
        </w:rPr>
      </w:pPr>
      <w:r>
        <w:rPr>
          <w:b/>
          <w:bCs/>
        </w:rPr>
        <w:t>1.3.</w:t>
      </w:r>
      <w:r>
        <w:rPr>
          <w:b/>
          <w:bCs/>
        </w:rPr>
        <w:tab/>
        <w:t xml:space="preserve">Uso </w:t>
      </w:r>
      <w:r>
        <w:rPr>
          <w:b/>
          <w:sz w:val="22"/>
          <w:lang w:val="es-MX"/>
        </w:rPr>
        <w:t>racional</w:t>
      </w:r>
      <w:r>
        <w:rPr>
          <w:b/>
          <w:bCs/>
        </w:rPr>
        <w:t xml:space="preserve"> de la tierra</w:t>
      </w:r>
    </w:p>
    <w:p w:rsidR="00000000" w:rsidRDefault="00000000">
      <w:pPr>
        <w:autoSpaceDE w:val="0"/>
        <w:autoSpaceDN w:val="0"/>
        <w:adjustRightInd w:val="0"/>
        <w:spacing w:after="240"/>
        <w:rPr>
          <w:bCs/>
        </w:rPr>
      </w:pPr>
      <w:r>
        <w:rPr>
          <w:bCs/>
        </w:rPr>
        <w:t>401.</w:t>
      </w:r>
      <w:r>
        <w:rPr>
          <w:bCs/>
        </w:rPr>
        <w:tab/>
        <w:t xml:space="preserve">La Ley Nº 1863/02, artículo 9 "Considera latifundio improductivo y, consecuentemente, sujeto a expropiación, el inmueble agrario que conforme a las prescripciones de esta ley no </w:t>
      </w:r>
      <w:r>
        <w:t>se</w:t>
      </w:r>
      <w:r>
        <w:rPr>
          <w:bCs/>
        </w:rPr>
        <w:t xml:space="preserve"> encuentre racionalmente utilizado, independientemente de que dicho inmueble conforme una sola finca o un grupo de ellas que pertenezcan a una misma persona física o jurídica".  </w:t>
      </w:r>
    </w:p>
    <w:p w:rsidR="00000000" w:rsidRDefault="00000000">
      <w:pPr>
        <w:autoSpaceDE w:val="0"/>
        <w:autoSpaceDN w:val="0"/>
        <w:adjustRightInd w:val="0"/>
        <w:spacing w:after="240"/>
        <w:rPr>
          <w:bCs/>
        </w:rPr>
      </w:pPr>
      <w:r>
        <w:rPr>
          <w:bCs/>
        </w:rPr>
        <w:t>402.</w:t>
      </w:r>
      <w:r>
        <w:rPr>
          <w:bCs/>
        </w:rPr>
        <w:tab/>
        <w:t>El artículo 54 de la citada ley dispone sobre:  la "Utilización deficiente de tierras".  Las adjudicaciones de tierras del Organismo de Aplicación quedaran rescindidas de pleno derecho, si el beneficiario abandonase su utilización.  En tal supuesto, el lote respectivo revertirá al patrimonio de la Institución (INDERT), salvo que el beneficiario ya hubiese cumplido con las obligaciones establecidas en la presente ley.  En tal supuesto no habrá lugar a rescisión y si el adjudicatario pagase en tiempo la totalidad del precio, tendrá derecho a que se le otorgue el título respectivo.  En el caso de que procediera la rescisión, la Institución establecerá, previo peritaje con intervención del afectado, la forma de indemnización por las mejoras premúnete que hubiese introducido en el inmueble.</w:t>
      </w:r>
    </w:p>
    <w:p w:rsidR="00000000" w:rsidRDefault="00000000">
      <w:pPr>
        <w:autoSpaceDE w:val="0"/>
        <w:autoSpaceDN w:val="0"/>
        <w:adjustRightInd w:val="0"/>
        <w:spacing w:after="240"/>
        <w:rPr>
          <w:b/>
          <w:bCs/>
        </w:rPr>
      </w:pPr>
      <w:r>
        <w:rPr>
          <w:b/>
          <w:bCs/>
        </w:rPr>
        <w:t>2.</w:t>
      </w:r>
      <w:r>
        <w:rPr>
          <w:b/>
          <w:bCs/>
        </w:rPr>
        <w:tab/>
        <w:t>Situación general del suministro de servicios básicos</w:t>
      </w:r>
    </w:p>
    <w:p w:rsidR="00000000" w:rsidRDefault="00000000">
      <w:pPr>
        <w:autoSpaceDE w:val="0"/>
        <w:autoSpaceDN w:val="0"/>
        <w:adjustRightInd w:val="0"/>
        <w:spacing w:after="240"/>
        <w:rPr>
          <w:bCs/>
        </w:rPr>
      </w:pPr>
      <w:r>
        <w:rPr>
          <w:bCs/>
        </w:rPr>
        <w:t>403.</w:t>
      </w:r>
      <w:r>
        <w:rPr>
          <w:bCs/>
        </w:rPr>
        <w:tab/>
        <w:t>Los servicios con mayor expansión, en los últimos 30 años, en cuanto a cobertura, han sido el acceso a la energía eléctrica y la tenencia de agua corriente.  En ambos casos, la proporción se ha quintuplicado, aunque la cantidad de viviendas con energía eléctrica se encuentra muy por encima de aquellas con agua corriente.  La energía eléctrica llegaba a 59,0% de las viviendas en 1992 y alcanza hoy a 89,1%.  Una particularidad de este servicio es el sustantivo incremento de cobertura en las áreas rurales, que de 23,2% en 1992 pasó a 77,8% en el 2002 (cuadro 1).  Las viviendas con agua corriente conformaban 31,5% en 1992 y alcanzan actualmente 52,7%.  Si bien se ha producido un significativo incremento, poco menos de la mitad de las viviendas del país no cuentan con este servicio, siendo las áreas rurales las más afectadas por la falta de agua corriente, con una cobertura de tan sólo 22,5% en el 2002.</w:t>
      </w:r>
    </w:p>
    <w:p w:rsidR="00000000" w:rsidRDefault="00000000">
      <w:pPr>
        <w:autoSpaceDE w:val="0"/>
        <w:autoSpaceDN w:val="0"/>
        <w:adjustRightInd w:val="0"/>
        <w:spacing w:after="240"/>
        <w:rPr>
          <w:bCs/>
        </w:rPr>
      </w:pPr>
      <w:r>
        <w:rPr>
          <w:bCs/>
        </w:rPr>
        <w:t>404.</w:t>
      </w:r>
      <w:r>
        <w:rPr>
          <w:bCs/>
        </w:rPr>
        <w:tab/>
        <w:t>De todo el conjunto de servicios analizados, las viviendas con baño conectado a red pública son las de más lenta expansión de 7,7% en 1992 a 9,4%, en el 2002, especialmente comparadas con las viviendas con baño conectado a pozo ciego 27,0% en 1992 y 53,6% en 2002.  Se aprecian diferencias sustanciales en cuanto al acceso a este servicio según área de residencia urbana o rural, siendo casi exclusivamente las viviendas urbanas las que acceden a un saneamiento con mayor nivel de salubridad.  En efecto, la cobertura de viviendas con baño conectado a red pública continúa siendo principalmente urbana y es hoy de 16,1%.</w:t>
      </w:r>
    </w:p>
    <w:p w:rsidR="00000000" w:rsidRDefault="00000000">
      <w:pPr>
        <w:autoSpaceDE w:val="0"/>
        <w:autoSpaceDN w:val="0"/>
        <w:adjustRightInd w:val="0"/>
        <w:spacing w:after="240"/>
        <w:rPr>
          <w:bCs/>
        </w:rPr>
      </w:pPr>
      <w:r>
        <w:rPr>
          <w:bCs/>
        </w:rPr>
        <w:t>405.</w:t>
      </w:r>
      <w:r>
        <w:rPr>
          <w:bCs/>
        </w:rPr>
        <w:tab/>
        <w:t>El servicio de recolección de basura aumentó de 21,2% en 1992 a 33,6% en 2002, siendo este un servicio predominantemente urbano.</w:t>
      </w:r>
    </w:p>
    <w:p w:rsidR="00000000" w:rsidRDefault="00000000">
      <w:pPr>
        <w:autoSpaceDE w:val="0"/>
        <w:autoSpaceDN w:val="0"/>
        <w:adjustRightInd w:val="0"/>
        <w:spacing w:after="240"/>
        <w:rPr>
          <w:bCs/>
        </w:rPr>
        <w:sectPr w:rsidR="00000000">
          <w:headerReference w:type="even" r:id="rId64"/>
          <w:headerReference w:type="default" r:id="rId65"/>
          <w:pgSz w:w="11906" w:h="16838" w:code="9"/>
          <w:pgMar w:top="1701" w:right="851" w:bottom="1985" w:left="1701" w:header="851" w:footer="567" w:gutter="0"/>
          <w:cols w:space="708"/>
          <w:docGrid w:linePitch="360"/>
        </w:sectPr>
      </w:pPr>
    </w:p>
    <w:p w:rsidR="00000000" w:rsidRDefault="00000000">
      <w:pPr>
        <w:autoSpaceDE w:val="0"/>
        <w:autoSpaceDN w:val="0"/>
        <w:adjustRightInd w:val="0"/>
        <w:spacing w:after="200"/>
        <w:jc w:val="center"/>
        <w:rPr>
          <w:b/>
          <w:sz w:val="20"/>
        </w:rPr>
      </w:pPr>
      <w:r>
        <w:rPr>
          <w:b/>
          <w:sz w:val="20"/>
        </w:rPr>
        <w:t>Evolución de la disposición de basura, 1995-2004</w:t>
      </w:r>
    </w:p>
    <w:p w:rsidR="00000000" w:rsidRDefault="00000000">
      <w:pPr>
        <w:autoSpaceDE w:val="0"/>
        <w:autoSpaceDN w:val="0"/>
        <w:adjustRightInd w:val="0"/>
        <w:spacing w:after="200"/>
        <w:jc w:val="center"/>
        <w:rPr>
          <w:b/>
          <w:sz w:val="20"/>
        </w:rPr>
      </w:pPr>
      <w:r>
        <w:rPr>
          <w:b/>
          <w:sz w:val="20"/>
        </w:rPr>
        <w:t>Total país:  hogares por área de residencia según disposición de la basura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8"/>
        <w:gridCol w:w="1106"/>
        <w:gridCol w:w="924"/>
        <w:gridCol w:w="952"/>
        <w:gridCol w:w="1092"/>
        <w:gridCol w:w="965"/>
        <w:gridCol w:w="910"/>
        <w:gridCol w:w="1078"/>
        <w:gridCol w:w="994"/>
        <w:gridCol w:w="924"/>
        <w:gridCol w:w="1119"/>
        <w:gridCol w:w="968"/>
        <w:gridCol w:w="906"/>
      </w:tblGrid>
      <w:tr w:rsidR="00000000">
        <w:tblPrEx>
          <w:tblCellMar>
            <w:top w:w="0" w:type="dxa"/>
            <w:bottom w:w="0" w:type="dxa"/>
          </w:tblCellMar>
        </w:tblPrEx>
        <w:trPr>
          <w:cantSplit/>
        </w:trPr>
        <w:tc>
          <w:tcPr>
            <w:tcW w:w="1638" w:type="dxa"/>
            <w:vMerge w:val="restart"/>
            <w:vAlign w:val="center"/>
          </w:tcPr>
          <w:p w:rsidR="00000000" w:rsidRDefault="00000000">
            <w:pPr>
              <w:autoSpaceDE w:val="0"/>
              <w:autoSpaceDN w:val="0"/>
              <w:adjustRightInd w:val="0"/>
              <w:jc w:val="center"/>
              <w:rPr>
                <w:b/>
                <w:sz w:val="20"/>
              </w:rPr>
            </w:pPr>
            <w:r>
              <w:rPr>
                <w:b/>
                <w:sz w:val="20"/>
              </w:rPr>
              <w:t>Disposición de la basura</w:t>
            </w:r>
          </w:p>
        </w:tc>
        <w:tc>
          <w:tcPr>
            <w:tcW w:w="2982" w:type="dxa"/>
            <w:gridSpan w:val="3"/>
            <w:vAlign w:val="center"/>
          </w:tcPr>
          <w:p w:rsidR="00000000" w:rsidRDefault="00000000">
            <w:pPr>
              <w:autoSpaceDE w:val="0"/>
              <w:autoSpaceDN w:val="0"/>
              <w:adjustRightInd w:val="0"/>
              <w:jc w:val="center"/>
              <w:rPr>
                <w:b/>
                <w:sz w:val="20"/>
              </w:rPr>
            </w:pPr>
            <w:r>
              <w:rPr>
                <w:b/>
                <w:sz w:val="20"/>
              </w:rPr>
              <w:t>1995</w:t>
            </w:r>
            <w:r>
              <w:rPr>
                <w:b/>
                <w:sz w:val="20"/>
                <w:vertAlign w:val="superscript"/>
              </w:rPr>
              <w:t>*</w:t>
            </w:r>
          </w:p>
        </w:tc>
        <w:tc>
          <w:tcPr>
            <w:tcW w:w="2967" w:type="dxa"/>
            <w:gridSpan w:val="3"/>
            <w:vAlign w:val="center"/>
          </w:tcPr>
          <w:p w:rsidR="00000000" w:rsidRDefault="00000000">
            <w:pPr>
              <w:autoSpaceDE w:val="0"/>
              <w:autoSpaceDN w:val="0"/>
              <w:adjustRightInd w:val="0"/>
              <w:jc w:val="center"/>
              <w:rPr>
                <w:b/>
                <w:sz w:val="20"/>
              </w:rPr>
            </w:pPr>
            <w:r>
              <w:rPr>
                <w:b/>
                <w:sz w:val="20"/>
              </w:rPr>
              <w:t>1999</w:t>
            </w:r>
            <w:r>
              <w:rPr>
                <w:b/>
                <w:sz w:val="20"/>
                <w:vertAlign w:val="superscript"/>
              </w:rPr>
              <w:t>*</w:t>
            </w:r>
          </w:p>
        </w:tc>
        <w:tc>
          <w:tcPr>
            <w:tcW w:w="2996" w:type="dxa"/>
            <w:gridSpan w:val="3"/>
            <w:vAlign w:val="center"/>
          </w:tcPr>
          <w:p w:rsidR="00000000" w:rsidRDefault="00000000">
            <w:pPr>
              <w:autoSpaceDE w:val="0"/>
              <w:autoSpaceDN w:val="0"/>
              <w:adjustRightInd w:val="0"/>
              <w:jc w:val="center"/>
              <w:rPr>
                <w:b/>
                <w:sz w:val="20"/>
              </w:rPr>
            </w:pPr>
            <w:r>
              <w:rPr>
                <w:b/>
                <w:sz w:val="20"/>
              </w:rPr>
              <w:t>2004</w:t>
            </w:r>
          </w:p>
        </w:tc>
        <w:tc>
          <w:tcPr>
            <w:tcW w:w="2993" w:type="dxa"/>
            <w:gridSpan w:val="3"/>
            <w:vAlign w:val="center"/>
          </w:tcPr>
          <w:p w:rsidR="00000000" w:rsidRDefault="00000000">
            <w:pPr>
              <w:autoSpaceDE w:val="0"/>
              <w:autoSpaceDN w:val="0"/>
              <w:adjustRightInd w:val="0"/>
              <w:jc w:val="center"/>
              <w:rPr>
                <w:b/>
                <w:sz w:val="20"/>
              </w:rPr>
            </w:pPr>
            <w:r>
              <w:rPr>
                <w:b/>
                <w:sz w:val="20"/>
              </w:rPr>
              <w:t>2005</w:t>
            </w:r>
          </w:p>
        </w:tc>
      </w:tr>
      <w:tr w:rsidR="00000000">
        <w:tblPrEx>
          <w:tblCellMar>
            <w:top w:w="0" w:type="dxa"/>
            <w:bottom w:w="0" w:type="dxa"/>
          </w:tblCellMar>
        </w:tblPrEx>
        <w:trPr>
          <w:cantSplit/>
        </w:trPr>
        <w:tc>
          <w:tcPr>
            <w:tcW w:w="1638" w:type="dxa"/>
            <w:vMerge/>
            <w:vAlign w:val="center"/>
          </w:tcPr>
          <w:p w:rsidR="00000000" w:rsidRDefault="00000000">
            <w:pPr>
              <w:autoSpaceDE w:val="0"/>
              <w:autoSpaceDN w:val="0"/>
              <w:adjustRightInd w:val="0"/>
              <w:jc w:val="center"/>
              <w:rPr>
                <w:b/>
                <w:sz w:val="20"/>
              </w:rPr>
            </w:pPr>
          </w:p>
        </w:tc>
        <w:tc>
          <w:tcPr>
            <w:tcW w:w="1106" w:type="dxa"/>
            <w:vMerge w:val="restart"/>
            <w:vAlign w:val="center"/>
          </w:tcPr>
          <w:p w:rsidR="00000000" w:rsidRDefault="00000000">
            <w:pPr>
              <w:autoSpaceDE w:val="0"/>
              <w:autoSpaceDN w:val="0"/>
              <w:adjustRightInd w:val="0"/>
              <w:jc w:val="center"/>
              <w:rPr>
                <w:b/>
                <w:sz w:val="20"/>
              </w:rPr>
            </w:pPr>
            <w:r>
              <w:rPr>
                <w:b/>
                <w:sz w:val="20"/>
              </w:rPr>
              <w:t>Total</w:t>
            </w:r>
          </w:p>
        </w:tc>
        <w:tc>
          <w:tcPr>
            <w:tcW w:w="1876" w:type="dxa"/>
            <w:gridSpan w:val="2"/>
            <w:vAlign w:val="center"/>
          </w:tcPr>
          <w:p w:rsidR="00000000" w:rsidRDefault="00000000">
            <w:pPr>
              <w:autoSpaceDE w:val="0"/>
              <w:autoSpaceDN w:val="0"/>
              <w:adjustRightInd w:val="0"/>
              <w:jc w:val="center"/>
              <w:rPr>
                <w:b/>
                <w:sz w:val="20"/>
              </w:rPr>
            </w:pPr>
            <w:r>
              <w:rPr>
                <w:b/>
                <w:sz w:val="20"/>
              </w:rPr>
              <w:t>Área de residencia</w:t>
            </w:r>
          </w:p>
        </w:tc>
        <w:tc>
          <w:tcPr>
            <w:tcW w:w="1092" w:type="dxa"/>
            <w:vMerge w:val="restart"/>
            <w:vAlign w:val="center"/>
          </w:tcPr>
          <w:p w:rsidR="00000000" w:rsidRDefault="00000000">
            <w:pPr>
              <w:autoSpaceDE w:val="0"/>
              <w:autoSpaceDN w:val="0"/>
              <w:adjustRightInd w:val="0"/>
              <w:jc w:val="center"/>
              <w:rPr>
                <w:b/>
                <w:sz w:val="20"/>
              </w:rPr>
            </w:pPr>
            <w:r>
              <w:rPr>
                <w:b/>
                <w:sz w:val="20"/>
              </w:rPr>
              <w:t>Total</w:t>
            </w:r>
          </w:p>
        </w:tc>
        <w:tc>
          <w:tcPr>
            <w:tcW w:w="1875" w:type="dxa"/>
            <w:gridSpan w:val="2"/>
            <w:vAlign w:val="center"/>
          </w:tcPr>
          <w:p w:rsidR="00000000" w:rsidRDefault="00000000">
            <w:pPr>
              <w:autoSpaceDE w:val="0"/>
              <w:autoSpaceDN w:val="0"/>
              <w:adjustRightInd w:val="0"/>
              <w:jc w:val="center"/>
              <w:rPr>
                <w:b/>
                <w:sz w:val="20"/>
              </w:rPr>
            </w:pPr>
            <w:r>
              <w:rPr>
                <w:b/>
                <w:sz w:val="20"/>
              </w:rPr>
              <w:t>Área de residencia</w:t>
            </w:r>
          </w:p>
        </w:tc>
        <w:tc>
          <w:tcPr>
            <w:tcW w:w="1078" w:type="dxa"/>
            <w:vMerge w:val="restart"/>
            <w:vAlign w:val="center"/>
          </w:tcPr>
          <w:p w:rsidR="00000000" w:rsidRDefault="00000000">
            <w:pPr>
              <w:autoSpaceDE w:val="0"/>
              <w:autoSpaceDN w:val="0"/>
              <w:adjustRightInd w:val="0"/>
              <w:jc w:val="center"/>
              <w:rPr>
                <w:b/>
                <w:sz w:val="20"/>
                <w:lang w:val="es-MX"/>
              </w:rPr>
            </w:pPr>
            <w:r>
              <w:rPr>
                <w:b/>
                <w:sz w:val="20"/>
                <w:lang w:val="es-MX"/>
              </w:rPr>
              <w:t>Total</w:t>
            </w:r>
          </w:p>
        </w:tc>
        <w:tc>
          <w:tcPr>
            <w:tcW w:w="1918" w:type="dxa"/>
            <w:gridSpan w:val="2"/>
            <w:vAlign w:val="center"/>
          </w:tcPr>
          <w:p w:rsidR="00000000" w:rsidRDefault="00000000">
            <w:pPr>
              <w:autoSpaceDE w:val="0"/>
              <w:autoSpaceDN w:val="0"/>
              <w:adjustRightInd w:val="0"/>
              <w:jc w:val="center"/>
              <w:rPr>
                <w:b/>
                <w:sz w:val="20"/>
                <w:lang w:val="es-MX"/>
              </w:rPr>
            </w:pPr>
            <w:r>
              <w:rPr>
                <w:b/>
                <w:sz w:val="20"/>
              </w:rPr>
              <w:t>Área de residencia</w:t>
            </w:r>
          </w:p>
        </w:tc>
        <w:tc>
          <w:tcPr>
            <w:tcW w:w="1119" w:type="dxa"/>
            <w:vMerge w:val="restart"/>
            <w:vAlign w:val="center"/>
          </w:tcPr>
          <w:p w:rsidR="00000000" w:rsidRDefault="00000000">
            <w:pPr>
              <w:autoSpaceDE w:val="0"/>
              <w:autoSpaceDN w:val="0"/>
              <w:adjustRightInd w:val="0"/>
              <w:jc w:val="center"/>
              <w:rPr>
                <w:b/>
                <w:sz w:val="20"/>
                <w:lang w:val="es-MX"/>
              </w:rPr>
            </w:pPr>
            <w:r>
              <w:rPr>
                <w:b/>
                <w:sz w:val="20"/>
                <w:lang w:val="es-MX"/>
              </w:rPr>
              <w:t>Total</w:t>
            </w:r>
          </w:p>
        </w:tc>
        <w:tc>
          <w:tcPr>
            <w:tcW w:w="1874" w:type="dxa"/>
            <w:gridSpan w:val="2"/>
            <w:vAlign w:val="center"/>
          </w:tcPr>
          <w:p w:rsidR="00000000" w:rsidRDefault="00000000">
            <w:pPr>
              <w:autoSpaceDE w:val="0"/>
              <w:autoSpaceDN w:val="0"/>
              <w:adjustRightInd w:val="0"/>
              <w:jc w:val="center"/>
              <w:rPr>
                <w:b/>
                <w:sz w:val="20"/>
                <w:lang w:val="es-MX"/>
              </w:rPr>
            </w:pPr>
            <w:r>
              <w:rPr>
                <w:b/>
                <w:sz w:val="20"/>
              </w:rPr>
              <w:t>Área de residencia</w:t>
            </w:r>
          </w:p>
        </w:tc>
      </w:tr>
      <w:tr w:rsidR="00000000">
        <w:tblPrEx>
          <w:tblCellMar>
            <w:top w:w="0" w:type="dxa"/>
            <w:bottom w:w="0" w:type="dxa"/>
          </w:tblCellMar>
        </w:tblPrEx>
        <w:trPr>
          <w:cantSplit/>
        </w:trPr>
        <w:tc>
          <w:tcPr>
            <w:tcW w:w="1638" w:type="dxa"/>
            <w:vMerge/>
            <w:vAlign w:val="center"/>
          </w:tcPr>
          <w:p w:rsidR="00000000" w:rsidRDefault="00000000">
            <w:pPr>
              <w:autoSpaceDE w:val="0"/>
              <w:autoSpaceDN w:val="0"/>
              <w:adjustRightInd w:val="0"/>
              <w:jc w:val="center"/>
              <w:rPr>
                <w:b/>
                <w:sz w:val="20"/>
                <w:lang w:val="es-MX"/>
              </w:rPr>
            </w:pPr>
          </w:p>
        </w:tc>
        <w:tc>
          <w:tcPr>
            <w:tcW w:w="1106" w:type="dxa"/>
            <w:vMerge/>
            <w:vAlign w:val="center"/>
          </w:tcPr>
          <w:p w:rsidR="00000000" w:rsidRDefault="00000000">
            <w:pPr>
              <w:autoSpaceDE w:val="0"/>
              <w:autoSpaceDN w:val="0"/>
              <w:adjustRightInd w:val="0"/>
              <w:jc w:val="center"/>
              <w:rPr>
                <w:b/>
                <w:sz w:val="20"/>
                <w:lang w:val="es-MX"/>
              </w:rPr>
            </w:pPr>
          </w:p>
        </w:tc>
        <w:tc>
          <w:tcPr>
            <w:tcW w:w="924" w:type="dxa"/>
            <w:vAlign w:val="center"/>
          </w:tcPr>
          <w:p w:rsidR="00000000" w:rsidRDefault="00000000">
            <w:pPr>
              <w:autoSpaceDE w:val="0"/>
              <w:autoSpaceDN w:val="0"/>
              <w:adjustRightInd w:val="0"/>
              <w:jc w:val="center"/>
              <w:rPr>
                <w:b/>
                <w:sz w:val="20"/>
                <w:lang w:val="en-GB"/>
              </w:rPr>
            </w:pPr>
            <w:r>
              <w:rPr>
                <w:b/>
                <w:sz w:val="20"/>
                <w:lang w:val="en-GB"/>
              </w:rPr>
              <w:t>Urbana</w:t>
            </w:r>
          </w:p>
        </w:tc>
        <w:tc>
          <w:tcPr>
            <w:tcW w:w="952" w:type="dxa"/>
            <w:vAlign w:val="center"/>
          </w:tcPr>
          <w:p w:rsidR="00000000" w:rsidRDefault="00000000">
            <w:pPr>
              <w:autoSpaceDE w:val="0"/>
              <w:autoSpaceDN w:val="0"/>
              <w:adjustRightInd w:val="0"/>
              <w:jc w:val="center"/>
              <w:rPr>
                <w:b/>
                <w:sz w:val="20"/>
                <w:lang w:val="en-GB"/>
              </w:rPr>
            </w:pPr>
            <w:r>
              <w:rPr>
                <w:b/>
                <w:sz w:val="20"/>
                <w:lang w:val="en-GB"/>
              </w:rPr>
              <w:t>Rural</w:t>
            </w:r>
          </w:p>
        </w:tc>
        <w:tc>
          <w:tcPr>
            <w:tcW w:w="1092" w:type="dxa"/>
            <w:vMerge/>
            <w:vAlign w:val="center"/>
          </w:tcPr>
          <w:p w:rsidR="00000000" w:rsidRDefault="00000000">
            <w:pPr>
              <w:autoSpaceDE w:val="0"/>
              <w:autoSpaceDN w:val="0"/>
              <w:adjustRightInd w:val="0"/>
              <w:jc w:val="center"/>
              <w:rPr>
                <w:b/>
                <w:sz w:val="20"/>
                <w:lang w:val="en-GB"/>
              </w:rPr>
            </w:pPr>
          </w:p>
        </w:tc>
        <w:tc>
          <w:tcPr>
            <w:tcW w:w="965" w:type="dxa"/>
            <w:vAlign w:val="center"/>
          </w:tcPr>
          <w:p w:rsidR="00000000" w:rsidRDefault="00000000">
            <w:pPr>
              <w:autoSpaceDE w:val="0"/>
              <w:autoSpaceDN w:val="0"/>
              <w:adjustRightInd w:val="0"/>
              <w:jc w:val="center"/>
              <w:rPr>
                <w:b/>
                <w:sz w:val="20"/>
                <w:lang w:val="en-GB"/>
              </w:rPr>
            </w:pPr>
            <w:r>
              <w:rPr>
                <w:b/>
                <w:sz w:val="20"/>
                <w:lang w:val="en-GB"/>
              </w:rPr>
              <w:t>Urbana</w:t>
            </w:r>
          </w:p>
        </w:tc>
        <w:tc>
          <w:tcPr>
            <w:tcW w:w="910" w:type="dxa"/>
            <w:vAlign w:val="center"/>
          </w:tcPr>
          <w:p w:rsidR="00000000" w:rsidRDefault="00000000">
            <w:pPr>
              <w:autoSpaceDE w:val="0"/>
              <w:autoSpaceDN w:val="0"/>
              <w:adjustRightInd w:val="0"/>
              <w:jc w:val="center"/>
              <w:rPr>
                <w:b/>
                <w:sz w:val="20"/>
                <w:lang w:val="en-GB"/>
              </w:rPr>
            </w:pPr>
            <w:r>
              <w:rPr>
                <w:b/>
                <w:sz w:val="20"/>
                <w:lang w:val="en-GB"/>
              </w:rPr>
              <w:t>Rural</w:t>
            </w:r>
          </w:p>
        </w:tc>
        <w:tc>
          <w:tcPr>
            <w:tcW w:w="1078" w:type="dxa"/>
            <w:vMerge/>
            <w:vAlign w:val="center"/>
          </w:tcPr>
          <w:p w:rsidR="00000000" w:rsidRDefault="00000000">
            <w:pPr>
              <w:autoSpaceDE w:val="0"/>
              <w:autoSpaceDN w:val="0"/>
              <w:adjustRightInd w:val="0"/>
              <w:jc w:val="center"/>
              <w:rPr>
                <w:b/>
                <w:sz w:val="20"/>
                <w:lang w:val="en-GB"/>
              </w:rPr>
            </w:pPr>
          </w:p>
        </w:tc>
        <w:tc>
          <w:tcPr>
            <w:tcW w:w="994" w:type="dxa"/>
            <w:vAlign w:val="center"/>
          </w:tcPr>
          <w:p w:rsidR="00000000" w:rsidRDefault="00000000">
            <w:pPr>
              <w:autoSpaceDE w:val="0"/>
              <w:autoSpaceDN w:val="0"/>
              <w:adjustRightInd w:val="0"/>
              <w:jc w:val="center"/>
              <w:rPr>
                <w:b/>
                <w:sz w:val="20"/>
                <w:lang w:val="en-GB"/>
              </w:rPr>
            </w:pPr>
            <w:r>
              <w:rPr>
                <w:b/>
                <w:sz w:val="20"/>
                <w:lang w:val="en-GB"/>
              </w:rPr>
              <w:t>Urbana</w:t>
            </w:r>
          </w:p>
        </w:tc>
        <w:tc>
          <w:tcPr>
            <w:tcW w:w="924" w:type="dxa"/>
            <w:vAlign w:val="center"/>
          </w:tcPr>
          <w:p w:rsidR="00000000" w:rsidRDefault="00000000">
            <w:pPr>
              <w:autoSpaceDE w:val="0"/>
              <w:autoSpaceDN w:val="0"/>
              <w:adjustRightInd w:val="0"/>
              <w:jc w:val="center"/>
              <w:rPr>
                <w:b/>
                <w:sz w:val="20"/>
                <w:lang w:val="en-GB"/>
              </w:rPr>
            </w:pPr>
            <w:r>
              <w:rPr>
                <w:b/>
                <w:sz w:val="20"/>
                <w:lang w:val="en-GB"/>
              </w:rPr>
              <w:t>Rural</w:t>
            </w:r>
          </w:p>
        </w:tc>
        <w:tc>
          <w:tcPr>
            <w:tcW w:w="1119" w:type="dxa"/>
            <w:vMerge/>
            <w:vAlign w:val="center"/>
          </w:tcPr>
          <w:p w:rsidR="00000000" w:rsidRDefault="00000000">
            <w:pPr>
              <w:autoSpaceDE w:val="0"/>
              <w:autoSpaceDN w:val="0"/>
              <w:adjustRightInd w:val="0"/>
              <w:jc w:val="center"/>
              <w:rPr>
                <w:b/>
                <w:sz w:val="20"/>
                <w:lang w:val="en-GB"/>
              </w:rPr>
            </w:pPr>
          </w:p>
        </w:tc>
        <w:tc>
          <w:tcPr>
            <w:tcW w:w="968" w:type="dxa"/>
            <w:vAlign w:val="center"/>
          </w:tcPr>
          <w:p w:rsidR="00000000" w:rsidRDefault="00000000">
            <w:pPr>
              <w:autoSpaceDE w:val="0"/>
              <w:autoSpaceDN w:val="0"/>
              <w:adjustRightInd w:val="0"/>
              <w:jc w:val="center"/>
              <w:rPr>
                <w:b/>
                <w:sz w:val="20"/>
                <w:lang w:val="es-MX"/>
              </w:rPr>
            </w:pPr>
            <w:r>
              <w:rPr>
                <w:b/>
                <w:sz w:val="20"/>
                <w:lang w:val="es-MX"/>
              </w:rPr>
              <w:t>Urbana</w:t>
            </w:r>
          </w:p>
        </w:tc>
        <w:tc>
          <w:tcPr>
            <w:tcW w:w="906" w:type="dxa"/>
            <w:vAlign w:val="center"/>
          </w:tcPr>
          <w:p w:rsidR="00000000" w:rsidRDefault="00000000">
            <w:pPr>
              <w:autoSpaceDE w:val="0"/>
              <w:autoSpaceDN w:val="0"/>
              <w:adjustRightInd w:val="0"/>
              <w:jc w:val="center"/>
              <w:rPr>
                <w:b/>
                <w:sz w:val="20"/>
                <w:lang w:val="es-MX"/>
              </w:rPr>
            </w:pPr>
            <w:r>
              <w:rPr>
                <w:b/>
                <w:sz w:val="20"/>
                <w:lang w:val="es-MX"/>
              </w:rPr>
              <w:t>Rural</w:t>
            </w:r>
          </w:p>
        </w:tc>
      </w:tr>
      <w:tr w:rsidR="00000000">
        <w:tblPrEx>
          <w:tblCellMar>
            <w:top w:w="0" w:type="dxa"/>
            <w:bottom w:w="0" w:type="dxa"/>
          </w:tblCellMar>
        </w:tblPrEx>
        <w:tc>
          <w:tcPr>
            <w:tcW w:w="1638" w:type="dxa"/>
            <w:vAlign w:val="bottom"/>
          </w:tcPr>
          <w:p w:rsidR="00000000" w:rsidRDefault="00000000">
            <w:pPr>
              <w:rPr>
                <w:sz w:val="20"/>
                <w:szCs w:val="20"/>
              </w:rPr>
            </w:pPr>
            <w:r>
              <w:rPr>
                <w:sz w:val="20"/>
                <w:szCs w:val="20"/>
              </w:rPr>
              <w:t>Quema</w:t>
            </w:r>
          </w:p>
        </w:tc>
        <w:tc>
          <w:tcPr>
            <w:tcW w:w="1106" w:type="dxa"/>
            <w:vAlign w:val="bottom"/>
          </w:tcPr>
          <w:p w:rsidR="00000000" w:rsidRDefault="00000000">
            <w:pPr>
              <w:tabs>
                <w:tab w:val="decimal" w:pos="774"/>
              </w:tabs>
              <w:rPr>
                <w:sz w:val="20"/>
                <w:szCs w:val="20"/>
              </w:rPr>
            </w:pPr>
            <w:r>
              <w:rPr>
                <w:sz w:val="20"/>
                <w:szCs w:val="20"/>
              </w:rPr>
              <w:t>54,5</w:t>
            </w:r>
          </w:p>
        </w:tc>
        <w:tc>
          <w:tcPr>
            <w:tcW w:w="924" w:type="dxa"/>
            <w:vAlign w:val="bottom"/>
          </w:tcPr>
          <w:p w:rsidR="00000000" w:rsidRDefault="00000000">
            <w:pPr>
              <w:tabs>
                <w:tab w:val="decimal" w:pos="676"/>
              </w:tabs>
              <w:rPr>
                <w:sz w:val="20"/>
                <w:szCs w:val="20"/>
              </w:rPr>
            </w:pPr>
            <w:r>
              <w:rPr>
                <w:sz w:val="20"/>
                <w:szCs w:val="20"/>
              </w:rPr>
              <w:t>38,8</w:t>
            </w:r>
          </w:p>
        </w:tc>
        <w:tc>
          <w:tcPr>
            <w:tcW w:w="952" w:type="dxa"/>
            <w:vAlign w:val="bottom"/>
          </w:tcPr>
          <w:p w:rsidR="00000000" w:rsidRDefault="00000000">
            <w:pPr>
              <w:tabs>
                <w:tab w:val="decimal" w:pos="658"/>
              </w:tabs>
              <w:rPr>
                <w:sz w:val="20"/>
                <w:szCs w:val="20"/>
              </w:rPr>
            </w:pPr>
            <w:r>
              <w:rPr>
                <w:sz w:val="20"/>
                <w:szCs w:val="20"/>
              </w:rPr>
              <w:t>73,1</w:t>
            </w:r>
          </w:p>
        </w:tc>
        <w:tc>
          <w:tcPr>
            <w:tcW w:w="1092" w:type="dxa"/>
            <w:vAlign w:val="bottom"/>
          </w:tcPr>
          <w:p w:rsidR="00000000" w:rsidRDefault="00000000">
            <w:pPr>
              <w:tabs>
                <w:tab w:val="decimal" w:pos="808"/>
              </w:tabs>
              <w:rPr>
                <w:sz w:val="20"/>
                <w:szCs w:val="20"/>
              </w:rPr>
            </w:pPr>
            <w:r>
              <w:rPr>
                <w:sz w:val="20"/>
                <w:szCs w:val="20"/>
              </w:rPr>
              <w:t>53,6</w:t>
            </w:r>
          </w:p>
        </w:tc>
        <w:tc>
          <w:tcPr>
            <w:tcW w:w="965" w:type="dxa"/>
            <w:vAlign w:val="bottom"/>
          </w:tcPr>
          <w:p w:rsidR="00000000" w:rsidRDefault="00000000">
            <w:pPr>
              <w:tabs>
                <w:tab w:val="decimal" w:pos="700"/>
              </w:tabs>
              <w:rPr>
                <w:sz w:val="20"/>
                <w:szCs w:val="20"/>
              </w:rPr>
            </w:pPr>
            <w:r>
              <w:rPr>
                <w:sz w:val="20"/>
                <w:szCs w:val="20"/>
              </w:rPr>
              <w:t>35,5</w:t>
            </w:r>
          </w:p>
        </w:tc>
        <w:tc>
          <w:tcPr>
            <w:tcW w:w="910" w:type="dxa"/>
            <w:vAlign w:val="bottom"/>
          </w:tcPr>
          <w:p w:rsidR="00000000" w:rsidRDefault="00000000">
            <w:pPr>
              <w:tabs>
                <w:tab w:val="decimal" w:pos="616"/>
              </w:tabs>
              <w:rPr>
                <w:sz w:val="20"/>
                <w:szCs w:val="20"/>
              </w:rPr>
            </w:pPr>
            <w:r>
              <w:rPr>
                <w:sz w:val="20"/>
                <w:szCs w:val="20"/>
              </w:rPr>
              <w:t>77,6</w:t>
            </w:r>
          </w:p>
        </w:tc>
        <w:tc>
          <w:tcPr>
            <w:tcW w:w="1078" w:type="dxa"/>
            <w:vAlign w:val="bottom"/>
          </w:tcPr>
          <w:p w:rsidR="00000000" w:rsidRDefault="00000000">
            <w:pPr>
              <w:tabs>
                <w:tab w:val="decimal" w:pos="770"/>
              </w:tabs>
              <w:rPr>
                <w:sz w:val="20"/>
                <w:szCs w:val="20"/>
              </w:rPr>
            </w:pPr>
            <w:r>
              <w:rPr>
                <w:sz w:val="20"/>
                <w:szCs w:val="20"/>
              </w:rPr>
              <w:t>51,5</w:t>
            </w:r>
          </w:p>
        </w:tc>
        <w:tc>
          <w:tcPr>
            <w:tcW w:w="994" w:type="dxa"/>
            <w:vAlign w:val="bottom"/>
          </w:tcPr>
          <w:p w:rsidR="00000000" w:rsidRDefault="00000000">
            <w:pPr>
              <w:tabs>
                <w:tab w:val="decimal" w:pos="695"/>
              </w:tabs>
              <w:rPr>
                <w:sz w:val="20"/>
                <w:szCs w:val="20"/>
              </w:rPr>
            </w:pPr>
            <w:r>
              <w:rPr>
                <w:sz w:val="20"/>
                <w:szCs w:val="20"/>
              </w:rPr>
              <w:t>33,0</w:t>
            </w:r>
          </w:p>
        </w:tc>
        <w:tc>
          <w:tcPr>
            <w:tcW w:w="924" w:type="dxa"/>
            <w:vAlign w:val="bottom"/>
          </w:tcPr>
          <w:p w:rsidR="00000000" w:rsidRDefault="00000000">
            <w:pPr>
              <w:tabs>
                <w:tab w:val="decimal" w:pos="658"/>
              </w:tabs>
              <w:rPr>
                <w:sz w:val="20"/>
                <w:szCs w:val="20"/>
              </w:rPr>
            </w:pPr>
            <w:r>
              <w:rPr>
                <w:sz w:val="20"/>
                <w:szCs w:val="20"/>
              </w:rPr>
              <w:t>78,5</w:t>
            </w:r>
          </w:p>
        </w:tc>
        <w:tc>
          <w:tcPr>
            <w:tcW w:w="1119" w:type="dxa"/>
            <w:vAlign w:val="bottom"/>
          </w:tcPr>
          <w:p w:rsidR="00000000" w:rsidRDefault="00000000">
            <w:pPr>
              <w:tabs>
                <w:tab w:val="decimal" w:pos="811"/>
              </w:tabs>
              <w:rPr>
                <w:sz w:val="20"/>
                <w:szCs w:val="20"/>
              </w:rPr>
            </w:pPr>
            <w:r>
              <w:rPr>
                <w:sz w:val="20"/>
                <w:szCs w:val="20"/>
              </w:rPr>
              <w:t>51,5</w:t>
            </w:r>
          </w:p>
        </w:tc>
        <w:tc>
          <w:tcPr>
            <w:tcW w:w="968" w:type="dxa"/>
            <w:vAlign w:val="bottom"/>
          </w:tcPr>
          <w:p w:rsidR="00000000" w:rsidRDefault="00000000">
            <w:pPr>
              <w:tabs>
                <w:tab w:val="decimal" w:pos="714"/>
              </w:tabs>
              <w:rPr>
                <w:sz w:val="20"/>
                <w:szCs w:val="20"/>
              </w:rPr>
            </w:pPr>
            <w:r>
              <w:rPr>
                <w:sz w:val="20"/>
                <w:szCs w:val="20"/>
              </w:rPr>
              <w:t>34,3</w:t>
            </w:r>
          </w:p>
        </w:tc>
        <w:tc>
          <w:tcPr>
            <w:tcW w:w="906" w:type="dxa"/>
            <w:vAlign w:val="bottom"/>
          </w:tcPr>
          <w:p w:rsidR="00000000" w:rsidRDefault="00000000">
            <w:pPr>
              <w:tabs>
                <w:tab w:val="decimal" w:pos="650"/>
              </w:tabs>
              <w:rPr>
                <w:sz w:val="20"/>
                <w:szCs w:val="20"/>
              </w:rPr>
            </w:pPr>
            <w:r>
              <w:rPr>
                <w:sz w:val="20"/>
                <w:szCs w:val="20"/>
              </w:rPr>
              <w:t>77,9</w:t>
            </w:r>
          </w:p>
        </w:tc>
      </w:tr>
      <w:tr w:rsidR="00000000">
        <w:tblPrEx>
          <w:tblCellMar>
            <w:top w:w="0" w:type="dxa"/>
            <w:bottom w:w="0" w:type="dxa"/>
          </w:tblCellMar>
        </w:tblPrEx>
        <w:tc>
          <w:tcPr>
            <w:tcW w:w="1638" w:type="dxa"/>
            <w:vAlign w:val="bottom"/>
          </w:tcPr>
          <w:p w:rsidR="00000000" w:rsidRDefault="00000000">
            <w:pPr>
              <w:rPr>
                <w:sz w:val="20"/>
                <w:szCs w:val="20"/>
              </w:rPr>
            </w:pPr>
            <w:r>
              <w:rPr>
                <w:sz w:val="20"/>
                <w:szCs w:val="20"/>
              </w:rPr>
              <w:t>Recolección pública o privada</w:t>
            </w:r>
          </w:p>
        </w:tc>
        <w:tc>
          <w:tcPr>
            <w:tcW w:w="1106" w:type="dxa"/>
            <w:vAlign w:val="bottom"/>
          </w:tcPr>
          <w:p w:rsidR="00000000" w:rsidRDefault="00000000">
            <w:pPr>
              <w:tabs>
                <w:tab w:val="decimal" w:pos="774"/>
              </w:tabs>
              <w:rPr>
                <w:sz w:val="20"/>
                <w:szCs w:val="20"/>
              </w:rPr>
            </w:pPr>
            <w:r>
              <w:rPr>
                <w:sz w:val="20"/>
                <w:szCs w:val="20"/>
              </w:rPr>
              <w:t>-</w:t>
            </w:r>
          </w:p>
        </w:tc>
        <w:tc>
          <w:tcPr>
            <w:tcW w:w="924" w:type="dxa"/>
            <w:vAlign w:val="bottom"/>
          </w:tcPr>
          <w:p w:rsidR="00000000" w:rsidRDefault="00000000">
            <w:pPr>
              <w:tabs>
                <w:tab w:val="decimal" w:pos="676"/>
              </w:tabs>
              <w:rPr>
                <w:sz w:val="20"/>
                <w:szCs w:val="20"/>
              </w:rPr>
            </w:pPr>
            <w:r>
              <w:rPr>
                <w:sz w:val="20"/>
                <w:szCs w:val="20"/>
              </w:rPr>
              <w:t>-</w:t>
            </w:r>
          </w:p>
        </w:tc>
        <w:tc>
          <w:tcPr>
            <w:tcW w:w="952" w:type="dxa"/>
            <w:vAlign w:val="bottom"/>
          </w:tcPr>
          <w:p w:rsidR="00000000" w:rsidRDefault="00000000">
            <w:pPr>
              <w:tabs>
                <w:tab w:val="decimal" w:pos="658"/>
              </w:tabs>
              <w:rPr>
                <w:sz w:val="20"/>
                <w:szCs w:val="20"/>
              </w:rPr>
            </w:pPr>
            <w:r>
              <w:rPr>
                <w:sz w:val="20"/>
                <w:szCs w:val="20"/>
              </w:rPr>
              <w:t>-</w:t>
            </w:r>
          </w:p>
        </w:tc>
        <w:tc>
          <w:tcPr>
            <w:tcW w:w="1092" w:type="dxa"/>
            <w:vAlign w:val="bottom"/>
          </w:tcPr>
          <w:p w:rsidR="00000000" w:rsidRDefault="00000000">
            <w:pPr>
              <w:tabs>
                <w:tab w:val="decimal" w:pos="808"/>
              </w:tabs>
              <w:rPr>
                <w:sz w:val="20"/>
                <w:szCs w:val="20"/>
              </w:rPr>
            </w:pPr>
            <w:r>
              <w:rPr>
                <w:sz w:val="20"/>
                <w:szCs w:val="20"/>
              </w:rPr>
              <w:t>32,1</w:t>
            </w:r>
          </w:p>
        </w:tc>
        <w:tc>
          <w:tcPr>
            <w:tcW w:w="965" w:type="dxa"/>
            <w:vAlign w:val="bottom"/>
          </w:tcPr>
          <w:p w:rsidR="00000000" w:rsidRDefault="00000000">
            <w:pPr>
              <w:tabs>
                <w:tab w:val="decimal" w:pos="700"/>
              </w:tabs>
              <w:rPr>
                <w:sz w:val="20"/>
                <w:szCs w:val="20"/>
              </w:rPr>
            </w:pPr>
            <w:r>
              <w:rPr>
                <w:sz w:val="20"/>
                <w:szCs w:val="20"/>
              </w:rPr>
              <w:t>54,0</w:t>
            </w:r>
          </w:p>
        </w:tc>
        <w:tc>
          <w:tcPr>
            <w:tcW w:w="910" w:type="dxa"/>
            <w:vAlign w:val="bottom"/>
          </w:tcPr>
          <w:p w:rsidR="00000000" w:rsidRDefault="00000000">
            <w:pPr>
              <w:tabs>
                <w:tab w:val="decimal" w:pos="616"/>
              </w:tabs>
              <w:rPr>
                <w:sz w:val="20"/>
                <w:szCs w:val="20"/>
              </w:rPr>
            </w:pPr>
            <w:r>
              <w:rPr>
                <w:sz w:val="20"/>
                <w:szCs w:val="20"/>
              </w:rPr>
              <w:t>3,2</w:t>
            </w:r>
          </w:p>
        </w:tc>
        <w:tc>
          <w:tcPr>
            <w:tcW w:w="1078" w:type="dxa"/>
            <w:vAlign w:val="bottom"/>
          </w:tcPr>
          <w:p w:rsidR="00000000" w:rsidRDefault="00000000">
            <w:pPr>
              <w:tabs>
                <w:tab w:val="decimal" w:pos="770"/>
              </w:tabs>
              <w:rPr>
                <w:sz w:val="20"/>
                <w:szCs w:val="20"/>
              </w:rPr>
            </w:pPr>
            <w:r>
              <w:rPr>
                <w:sz w:val="20"/>
                <w:szCs w:val="20"/>
              </w:rPr>
              <w:t>35,2</w:t>
            </w:r>
          </w:p>
        </w:tc>
        <w:tc>
          <w:tcPr>
            <w:tcW w:w="994" w:type="dxa"/>
            <w:vAlign w:val="bottom"/>
          </w:tcPr>
          <w:p w:rsidR="00000000" w:rsidRDefault="00000000">
            <w:pPr>
              <w:tabs>
                <w:tab w:val="decimal" w:pos="695"/>
              </w:tabs>
              <w:rPr>
                <w:sz w:val="20"/>
                <w:szCs w:val="20"/>
              </w:rPr>
            </w:pPr>
            <w:r>
              <w:rPr>
                <w:sz w:val="20"/>
                <w:szCs w:val="20"/>
              </w:rPr>
              <w:t>57,6</w:t>
            </w:r>
          </w:p>
        </w:tc>
        <w:tc>
          <w:tcPr>
            <w:tcW w:w="924" w:type="dxa"/>
            <w:vAlign w:val="bottom"/>
          </w:tcPr>
          <w:p w:rsidR="00000000" w:rsidRDefault="00000000">
            <w:pPr>
              <w:tabs>
                <w:tab w:val="decimal" w:pos="658"/>
              </w:tabs>
              <w:rPr>
                <w:sz w:val="20"/>
                <w:szCs w:val="20"/>
              </w:rPr>
            </w:pPr>
            <w:r>
              <w:rPr>
                <w:sz w:val="20"/>
                <w:szCs w:val="20"/>
              </w:rPr>
              <w:t>2,3</w:t>
            </w:r>
          </w:p>
        </w:tc>
        <w:tc>
          <w:tcPr>
            <w:tcW w:w="1119" w:type="dxa"/>
            <w:vAlign w:val="bottom"/>
          </w:tcPr>
          <w:p w:rsidR="00000000" w:rsidRDefault="00000000">
            <w:pPr>
              <w:tabs>
                <w:tab w:val="decimal" w:pos="811"/>
              </w:tabs>
              <w:rPr>
                <w:sz w:val="20"/>
                <w:szCs w:val="20"/>
              </w:rPr>
            </w:pPr>
            <w:r>
              <w:rPr>
                <w:sz w:val="20"/>
                <w:szCs w:val="20"/>
              </w:rPr>
              <w:t>36,6</w:t>
            </w:r>
          </w:p>
        </w:tc>
        <w:tc>
          <w:tcPr>
            <w:tcW w:w="968" w:type="dxa"/>
            <w:vAlign w:val="bottom"/>
          </w:tcPr>
          <w:p w:rsidR="00000000" w:rsidRDefault="00000000">
            <w:pPr>
              <w:tabs>
                <w:tab w:val="decimal" w:pos="714"/>
              </w:tabs>
              <w:rPr>
                <w:sz w:val="20"/>
                <w:szCs w:val="20"/>
              </w:rPr>
            </w:pPr>
            <w:r>
              <w:rPr>
                <w:sz w:val="20"/>
                <w:szCs w:val="20"/>
              </w:rPr>
              <w:t>58,1</w:t>
            </w:r>
          </w:p>
        </w:tc>
        <w:tc>
          <w:tcPr>
            <w:tcW w:w="906" w:type="dxa"/>
            <w:vAlign w:val="bottom"/>
          </w:tcPr>
          <w:p w:rsidR="00000000" w:rsidRDefault="00000000">
            <w:pPr>
              <w:tabs>
                <w:tab w:val="decimal" w:pos="650"/>
              </w:tabs>
              <w:rPr>
                <w:sz w:val="20"/>
                <w:szCs w:val="20"/>
              </w:rPr>
            </w:pPr>
            <w:r>
              <w:rPr>
                <w:sz w:val="20"/>
                <w:szCs w:val="20"/>
              </w:rPr>
              <w:t>3,5</w:t>
            </w:r>
          </w:p>
        </w:tc>
      </w:tr>
      <w:tr w:rsidR="00000000">
        <w:tblPrEx>
          <w:tblCellMar>
            <w:top w:w="0" w:type="dxa"/>
            <w:bottom w:w="0" w:type="dxa"/>
          </w:tblCellMar>
        </w:tblPrEx>
        <w:tc>
          <w:tcPr>
            <w:tcW w:w="1638" w:type="dxa"/>
            <w:vAlign w:val="bottom"/>
          </w:tcPr>
          <w:p w:rsidR="00000000" w:rsidRDefault="00000000">
            <w:pPr>
              <w:rPr>
                <w:sz w:val="20"/>
                <w:szCs w:val="20"/>
              </w:rPr>
            </w:pPr>
            <w:r>
              <w:rPr>
                <w:sz w:val="20"/>
                <w:szCs w:val="20"/>
              </w:rPr>
              <w:t>Recolección pública</w:t>
            </w:r>
          </w:p>
        </w:tc>
        <w:tc>
          <w:tcPr>
            <w:tcW w:w="1106" w:type="dxa"/>
            <w:vAlign w:val="bottom"/>
          </w:tcPr>
          <w:p w:rsidR="00000000" w:rsidRDefault="00000000">
            <w:pPr>
              <w:tabs>
                <w:tab w:val="decimal" w:pos="774"/>
              </w:tabs>
              <w:rPr>
                <w:sz w:val="20"/>
                <w:szCs w:val="20"/>
              </w:rPr>
            </w:pPr>
            <w:r>
              <w:rPr>
                <w:sz w:val="20"/>
                <w:szCs w:val="20"/>
              </w:rPr>
              <w:t>24,8</w:t>
            </w:r>
          </w:p>
        </w:tc>
        <w:tc>
          <w:tcPr>
            <w:tcW w:w="924" w:type="dxa"/>
            <w:vAlign w:val="bottom"/>
          </w:tcPr>
          <w:p w:rsidR="00000000" w:rsidRDefault="00000000">
            <w:pPr>
              <w:tabs>
                <w:tab w:val="decimal" w:pos="676"/>
              </w:tabs>
              <w:rPr>
                <w:sz w:val="20"/>
                <w:szCs w:val="20"/>
              </w:rPr>
            </w:pPr>
            <w:r>
              <w:rPr>
                <w:sz w:val="20"/>
                <w:szCs w:val="20"/>
              </w:rPr>
              <w:t>45,7</w:t>
            </w:r>
          </w:p>
        </w:tc>
        <w:tc>
          <w:tcPr>
            <w:tcW w:w="952" w:type="dxa"/>
            <w:vAlign w:val="bottom"/>
          </w:tcPr>
          <w:p w:rsidR="00000000" w:rsidRDefault="00000000">
            <w:pPr>
              <w:tabs>
                <w:tab w:val="decimal" w:pos="658"/>
              </w:tabs>
              <w:rPr>
                <w:sz w:val="20"/>
                <w:szCs w:val="20"/>
              </w:rPr>
            </w:pPr>
            <w:r>
              <w:rPr>
                <w:sz w:val="20"/>
                <w:szCs w:val="20"/>
              </w:rPr>
              <w:t>0,1</w:t>
            </w:r>
          </w:p>
        </w:tc>
        <w:tc>
          <w:tcPr>
            <w:tcW w:w="1092" w:type="dxa"/>
            <w:vAlign w:val="bottom"/>
          </w:tcPr>
          <w:p w:rsidR="00000000" w:rsidRDefault="00000000">
            <w:pPr>
              <w:tabs>
                <w:tab w:val="decimal" w:pos="808"/>
              </w:tabs>
              <w:rPr>
                <w:sz w:val="20"/>
                <w:szCs w:val="20"/>
              </w:rPr>
            </w:pPr>
            <w:r>
              <w:rPr>
                <w:sz w:val="20"/>
                <w:szCs w:val="20"/>
              </w:rPr>
              <w:t>-</w:t>
            </w:r>
          </w:p>
        </w:tc>
        <w:tc>
          <w:tcPr>
            <w:tcW w:w="965" w:type="dxa"/>
            <w:vAlign w:val="bottom"/>
          </w:tcPr>
          <w:p w:rsidR="00000000" w:rsidRDefault="00000000">
            <w:pPr>
              <w:tabs>
                <w:tab w:val="decimal" w:pos="700"/>
              </w:tabs>
              <w:rPr>
                <w:sz w:val="20"/>
                <w:szCs w:val="20"/>
              </w:rPr>
            </w:pPr>
            <w:r>
              <w:rPr>
                <w:sz w:val="20"/>
                <w:szCs w:val="20"/>
              </w:rPr>
              <w:t>-</w:t>
            </w:r>
          </w:p>
        </w:tc>
        <w:tc>
          <w:tcPr>
            <w:tcW w:w="910" w:type="dxa"/>
            <w:vAlign w:val="bottom"/>
          </w:tcPr>
          <w:p w:rsidR="00000000" w:rsidRDefault="00000000">
            <w:pPr>
              <w:tabs>
                <w:tab w:val="decimal" w:pos="616"/>
              </w:tabs>
              <w:rPr>
                <w:sz w:val="20"/>
                <w:szCs w:val="20"/>
              </w:rPr>
            </w:pPr>
            <w:r>
              <w:rPr>
                <w:sz w:val="20"/>
                <w:szCs w:val="20"/>
              </w:rPr>
              <w:t>-</w:t>
            </w:r>
          </w:p>
        </w:tc>
        <w:tc>
          <w:tcPr>
            <w:tcW w:w="1078" w:type="dxa"/>
            <w:vAlign w:val="bottom"/>
          </w:tcPr>
          <w:p w:rsidR="00000000" w:rsidRDefault="00000000">
            <w:pPr>
              <w:tabs>
                <w:tab w:val="decimal" w:pos="770"/>
              </w:tabs>
              <w:rPr>
                <w:sz w:val="20"/>
                <w:szCs w:val="20"/>
              </w:rPr>
            </w:pPr>
            <w:r>
              <w:rPr>
                <w:sz w:val="20"/>
                <w:szCs w:val="20"/>
              </w:rPr>
              <w:t>-</w:t>
            </w:r>
          </w:p>
        </w:tc>
        <w:tc>
          <w:tcPr>
            <w:tcW w:w="994" w:type="dxa"/>
            <w:vAlign w:val="bottom"/>
          </w:tcPr>
          <w:p w:rsidR="00000000" w:rsidRDefault="00000000">
            <w:pPr>
              <w:tabs>
                <w:tab w:val="decimal" w:pos="695"/>
              </w:tabs>
              <w:rPr>
                <w:sz w:val="20"/>
                <w:szCs w:val="20"/>
              </w:rPr>
            </w:pPr>
            <w:r>
              <w:rPr>
                <w:sz w:val="20"/>
                <w:szCs w:val="20"/>
              </w:rPr>
              <w:t>-</w:t>
            </w:r>
          </w:p>
        </w:tc>
        <w:tc>
          <w:tcPr>
            <w:tcW w:w="924" w:type="dxa"/>
            <w:vAlign w:val="bottom"/>
          </w:tcPr>
          <w:p w:rsidR="00000000" w:rsidRDefault="00000000">
            <w:pPr>
              <w:tabs>
                <w:tab w:val="decimal" w:pos="658"/>
              </w:tabs>
              <w:rPr>
                <w:sz w:val="20"/>
                <w:szCs w:val="20"/>
              </w:rPr>
            </w:pPr>
            <w:r>
              <w:rPr>
                <w:sz w:val="20"/>
                <w:szCs w:val="20"/>
              </w:rPr>
              <w:t>-</w:t>
            </w:r>
          </w:p>
        </w:tc>
        <w:tc>
          <w:tcPr>
            <w:tcW w:w="1119" w:type="dxa"/>
            <w:vAlign w:val="bottom"/>
          </w:tcPr>
          <w:p w:rsidR="00000000" w:rsidRDefault="00000000">
            <w:pPr>
              <w:tabs>
                <w:tab w:val="decimal" w:pos="811"/>
              </w:tabs>
              <w:rPr>
                <w:sz w:val="20"/>
                <w:szCs w:val="20"/>
              </w:rPr>
            </w:pPr>
            <w:r>
              <w:rPr>
                <w:sz w:val="20"/>
                <w:szCs w:val="20"/>
              </w:rPr>
              <w:t>-</w:t>
            </w:r>
          </w:p>
        </w:tc>
        <w:tc>
          <w:tcPr>
            <w:tcW w:w="968" w:type="dxa"/>
            <w:vAlign w:val="bottom"/>
          </w:tcPr>
          <w:p w:rsidR="00000000" w:rsidRDefault="00000000">
            <w:pPr>
              <w:tabs>
                <w:tab w:val="decimal" w:pos="714"/>
              </w:tabs>
              <w:rPr>
                <w:sz w:val="20"/>
                <w:szCs w:val="20"/>
              </w:rPr>
            </w:pPr>
            <w:r>
              <w:rPr>
                <w:sz w:val="20"/>
                <w:szCs w:val="20"/>
              </w:rPr>
              <w:t>-</w:t>
            </w:r>
          </w:p>
        </w:tc>
        <w:tc>
          <w:tcPr>
            <w:tcW w:w="906" w:type="dxa"/>
            <w:vAlign w:val="bottom"/>
          </w:tcPr>
          <w:p w:rsidR="00000000" w:rsidRDefault="00000000">
            <w:pPr>
              <w:tabs>
                <w:tab w:val="decimal" w:pos="650"/>
              </w:tabs>
              <w:rPr>
                <w:sz w:val="20"/>
                <w:szCs w:val="20"/>
              </w:rPr>
            </w:pPr>
            <w:r>
              <w:rPr>
                <w:sz w:val="20"/>
                <w:szCs w:val="20"/>
              </w:rPr>
              <w:t>-</w:t>
            </w:r>
          </w:p>
        </w:tc>
      </w:tr>
      <w:tr w:rsidR="00000000">
        <w:tblPrEx>
          <w:tblCellMar>
            <w:top w:w="0" w:type="dxa"/>
            <w:bottom w:w="0" w:type="dxa"/>
          </w:tblCellMar>
        </w:tblPrEx>
        <w:tc>
          <w:tcPr>
            <w:tcW w:w="1638" w:type="dxa"/>
            <w:vAlign w:val="bottom"/>
          </w:tcPr>
          <w:p w:rsidR="00000000" w:rsidRDefault="00000000">
            <w:pPr>
              <w:rPr>
                <w:sz w:val="20"/>
                <w:szCs w:val="20"/>
              </w:rPr>
            </w:pPr>
            <w:r>
              <w:rPr>
                <w:sz w:val="20"/>
                <w:szCs w:val="20"/>
              </w:rPr>
              <w:t>Arroja en un hoyo</w:t>
            </w:r>
          </w:p>
        </w:tc>
        <w:tc>
          <w:tcPr>
            <w:tcW w:w="1106" w:type="dxa"/>
            <w:vAlign w:val="bottom"/>
          </w:tcPr>
          <w:p w:rsidR="00000000" w:rsidRDefault="00000000">
            <w:pPr>
              <w:tabs>
                <w:tab w:val="decimal" w:pos="774"/>
              </w:tabs>
              <w:rPr>
                <w:sz w:val="20"/>
                <w:szCs w:val="20"/>
              </w:rPr>
            </w:pPr>
            <w:r>
              <w:rPr>
                <w:sz w:val="20"/>
                <w:szCs w:val="20"/>
              </w:rPr>
              <w:t>11,8</w:t>
            </w:r>
          </w:p>
        </w:tc>
        <w:tc>
          <w:tcPr>
            <w:tcW w:w="924" w:type="dxa"/>
            <w:vAlign w:val="bottom"/>
          </w:tcPr>
          <w:p w:rsidR="00000000" w:rsidRDefault="00000000">
            <w:pPr>
              <w:tabs>
                <w:tab w:val="decimal" w:pos="676"/>
              </w:tabs>
              <w:rPr>
                <w:sz w:val="20"/>
                <w:szCs w:val="20"/>
              </w:rPr>
            </w:pPr>
            <w:r>
              <w:rPr>
                <w:sz w:val="20"/>
                <w:szCs w:val="20"/>
              </w:rPr>
              <w:t>8,8</w:t>
            </w:r>
          </w:p>
        </w:tc>
        <w:tc>
          <w:tcPr>
            <w:tcW w:w="952" w:type="dxa"/>
            <w:vAlign w:val="bottom"/>
          </w:tcPr>
          <w:p w:rsidR="00000000" w:rsidRDefault="00000000">
            <w:pPr>
              <w:tabs>
                <w:tab w:val="decimal" w:pos="658"/>
              </w:tabs>
              <w:rPr>
                <w:sz w:val="20"/>
                <w:szCs w:val="20"/>
              </w:rPr>
            </w:pPr>
            <w:r>
              <w:rPr>
                <w:sz w:val="20"/>
                <w:szCs w:val="20"/>
              </w:rPr>
              <w:t>15,3</w:t>
            </w:r>
          </w:p>
        </w:tc>
        <w:tc>
          <w:tcPr>
            <w:tcW w:w="1092" w:type="dxa"/>
            <w:vAlign w:val="bottom"/>
          </w:tcPr>
          <w:p w:rsidR="00000000" w:rsidRDefault="00000000">
            <w:pPr>
              <w:tabs>
                <w:tab w:val="decimal" w:pos="808"/>
              </w:tabs>
              <w:rPr>
                <w:sz w:val="20"/>
                <w:szCs w:val="20"/>
              </w:rPr>
            </w:pPr>
            <w:r>
              <w:rPr>
                <w:sz w:val="20"/>
                <w:szCs w:val="20"/>
              </w:rPr>
              <w:t>9,8</w:t>
            </w:r>
          </w:p>
        </w:tc>
        <w:tc>
          <w:tcPr>
            <w:tcW w:w="965" w:type="dxa"/>
            <w:vAlign w:val="bottom"/>
          </w:tcPr>
          <w:p w:rsidR="00000000" w:rsidRDefault="00000000">
            <w:pPr>
              <w:tabs>
                <w:tab w:val="decimal" w:pos="700"/>
              </w:tabs>
              <w:rPr>
                <w:sz w:val="20"/>
                <w:szCs w:val="20"/>
              </w:rPr>
            </w:pPr>
            <w:r>
              <w:rPr>
                <w:sz w:val="20"/>
                <w:szCs w:val="20"/>
              </w:rPr>
              <w:t>7,2</w:t>
            </w:r>
          </w:p>
        </w:tc>
        <w:tc>
          <w:tcPr>
            <w:tcW w:w="910" w:type="dxa"/>
            <w:vAlign w:val="bottom"/>
          </w:tcPr>
          <w:p w:rsidR="00000000" w:rsidRDefault="00000000">
            <w:pPr>
              <w:tabs>
                <w:tab w:val="decimal" w:pos="616"/>
              </w:tabs>
              <w:rPr>
                <w:sz w:val="20"/>
                <w:szCs w:val="20"/>
              </w:rPr>
            </w:pPr>
            <w:r>
              <w:rPr>
                <w:sz w:val="20"/>
                <w:szCs w:val="20"/>
              </w:rPr>
              <w:t>13,3</w:t>
            </w:r>
          </w:p>
        </w:tc>
        <w:tc>
          <w:tcPr>
            <w:tcW w:w="1078" w:type="dxa"/>
            <w:vAlign w:val="bottom"/>
          </w:tcPr>
          <w:p w:rsidR="00000000" w:rsidRDefault="00000000">
            <w:pPr>
              <w:tabs>
                <w:tab w:val="decimal" w:pos="770"/>
              </w:tabs>
              <w:rPr>
                <w:sz w:val="20"/>
                <w:szCs w:val="20"/>
              </w:rPr>
            </w:pPr>
            <w:r>
              <w:rPr>
                <w:sz w:val="20"/>
                <w:szCs w:val="20"/>
              </w:rPr>
              <w:t>8,2</w:t>
            </w:r>
          </w:p>
        </w:tc>
        <w:tc>
          <w:tcPr>
            <w:tcW w:w="994" w:type="dxa"/>
            <w:vAlign w:val="bottom"/>
          </w:tcPr>
          <w:p w:rsidR="00000000" w:rsidRDefault="00000000">
            <w:pPr>
              <w:tabs>
                <w:tab w:val="decimal" w:pos="695"/>
              </w:tabs>
              <w:rPr>
                <w:sz w:val="20"/>
                <w:szCs w:val="20"/>
              </w:rPr>
            </w:pPr>
            <w:r>
              <w:rPr>
                <w:sz w:val="20"/>
                <w:szCs w:val="20"/>
              </w:rPr>
              <w:t>5,8</w:t>
            </w:r>
          </w:p>
        </w:tc>
        <w:tc>
          <w:tcPr>
            <w:tcW w:w="924" w:type="dxa"/>
            <w:vAlign w:val="bottom"/>
          </w:tcPr>
          <w:p w:rsidR="00000000" w:rsidRDefault="00000000">
            <w:pPr>
              <w:tabs>
                <w:tab w:val="decimal" w:pos="658"/>
              </w:tabs>
              <w:rPr>
                <w:sz w:val="20"/>
                <w:szCs w:val="20"/>
              </w:rPr>
            </w:pPr>
            <w:r>
              <w:rPr>
                <w:sz w:val="20"/>
                <w:szCs w:val="20"/>
              </w:rPr>
              <w:t>11,6</w:t>
            </w:r>
          </w:p>
        </w:tc>
        <w:tc>
          <w:tcPr>
            <w:tcW w:w="1119" w:type="dxa"/>
            <w:vAlign w:val="bottom"/>
          </w:tcPr>
          <w:p w:rsidR="00000000" w:rsidRDefault="00000000">
            <w:pPr>
              <w:tabs>
                <w:tab w:val="decimal" w:pos="811"/>
              </w:tabs>
              <w:rPr>
                <w:sz w:val="20"/>
                <w:szCs w:val="20"/>
              </w:rPr>
            </w:pPr>
            <w:r>
              <w:rPr>
                <w:sz w:val="20"/>
                <w:szCs w:val="20"/>
              </w:rPr>
              <w:t>7,3</w:t>
            </w:r>
          </w:p>
        </w:tc>
        <w:tc>
          <w:tcPr>
            <w:tcW w:w="968" w:type="dxa"/>
            <w:vAlign w:val="bottom"/>
          </w:tcPr>
          <w:p w:rsidR="00000000" w:rsidRDefault="00000000">
            <w:pPr>
              <w:tabs>
                <w:tab w:val="decimal" w:pos="714"/>
              </w:tabs>
              <w:rPr>
                <w:sz w:val="20"/>
                <w:szCs w:val="20"/>
              </w:rPr>
            </w:pPr>
            <w:r>
              <w:rPr>
                <w:sz w:val="20"/>
                <w:szCs w:val="20"/>
              </w:rPr>
              <w:t>4,0</w:t>
            </w:r>
          </w:p>
        </w:tc>
        <w:tc>
          <w:tcPr>
            <w:tcW w:w="906" w:type="dxa"/>
            <w:vAlign w:val="bottom"/>
          </w:tcPr>
          <w:p w:rsidR="00000000" w:rsidRDefault="00000000">
            <w:pPr>
              <w:tabs>
                <w:tab w:val="decimal" w:pos="650"/>
              </w:tabs>
              <w:rPr>
                <w:sz w:val="20"/>
                <w:szCs w:val="20"/>
              </w:rPr>
            </w:pPr>
            <w:r>
              <w:rPr>
                <w:sz w:val="20"/>
                <w:szCs w:val="20"/>
              </w:rPr>
              <w:t>12,3</w:t>
            </w:r>
          </w:p>
        </w:tc>
      </w:tr>
      <w:tr w:rsidR="00000000">
        <w:tblPrEx>
          <w:tblCellMar>
            <w:top w:w="0" w:type="dxa"/>
            <w:bottom w:w="0" w:type="dxa"/>
          </w:tblCellMar>
        </w:tblPrEx>
        <w:tc>
          <w:tcPr>
            <w:tcW w:w="1638" w:type="dxa"/>
            <w:vAlign w:val="bottom"/>
          </w:tcPr>
          <w:p w:rsidR="00000000" w:rsidRDefault="00000000">
            <w:pPr>
              <w:rPr>
                <w:sz w:val="20"/>
                <w:szCs w:val="20"/>
              </w:rPr>
            </w:pPr>
            <w:r>
              <w:rPr>
                <w:sz w:val="20"/>
                <w:szCs w:val="20"/>
              </w:rPr>
              <w:t>Tira en el patio</w:t>
            </w:r>
          </w:p>
        </w:tc>
        <w:tc>
          <w:tcPr>
            <w:tcW w:w="1106" w:type="dxa"/>
            <w:vAlign w:val="bottom"/>
          </w:tcPr>
          <w:p w:rsidR="00000000" w:rsidRDefault="00000000">
            <w:pPr>
              <w:tabs>
                <w:tab w:val="decimal" w:pos="774"/>
              </w:tabs>
              <w:rPr>
                <w:sz w:val="20"/>
                <w:szCs w:val="20"/>
              </w:rPr>
            </w:pPr>
            <w:r>
              <w:rPr>
                <w:sz w:val="20"/>
                <w:szCs w:val="20"/>
              </w:rPr>
              <w:t>6,0</w:t>
            </w:r>
          </w:p>
        </w:tc>
        <w:tc>
          <w:tcPr>
            <w:tcW w:w="924" w:type="dxa"/>
            <w:vAlign w:val="bottom"/>
          </w:tcPr>
          <w:p w:rsidR="00000000" w:rsidRDefault="00000000">
            <w:pPr>
              <w:tabs>
                <w:tab w:val="decimal" w:pos="676"/>
              </w:tabs>
              <w:rPr>
                <w:sz w:val="20"/>
                <w:szCs w:val="20"/>
              </w:rPr>
            </w:pPr>
            <w:r>
              <w:rPr>
                <w:sz w:val="20"/>
                <w:szCs w:val="20"/>
              </w:rPr>
              <w:t>2,9</w:t>
            </w:r>
          </w:p>
        </w:tc>
        <w:tc>
          <w:tcPr>
            <w:tcW w:w="952" w:type="dxa"/>
            <w:vAlign w:val="bottom"/>
          </w:tcPr>
          <w:p w:rsidR="00000000" w:rsidRDefault="00000000">
            <w:pPr>
              <w:tabs>
                <w:tab w:val="decimal" w:pos="658"/>
              </w:tabs>
              <w:rPr>
                <w:sz w:val="20"/>
                <w:szCs w:val="20"/>
              </w:rPr>
            </w:pPr>
            <w:r>
              <w:rPr>
                <w:sz w:val="20"/>
                <w:szCs w:val="20"/>
              </w:rPr>
              <w:t>9,7</w:t>
            </w:r>
          </w:p>
        </w:tc>
        <w:tc>
          <w:tcPr>
            <w:tcW w:w="1092" w:type="dxa"/>
            <w:vAlign w:val="bottom"/>
          </w:tcPr>
          <w:p w:rsidR="00000000" w:rsidRDefault="00000000">
            <w:pPr>
              <w:tabs>
                <w:tab w:val="decimal" w:pos="808"/>
              </w:tabs>
              <w:rPr>
                <w:sz w:val="20"/>
                <w:szCs w:val="20"/>
              </w:rPr>
            </w:pPr>
            <w:r>
              <w:rPr>
                <w:sz w:val="20"/>
                <w:szCs w:val="20"/>
              </w:rPr>
              <w:t>2,8</w:t>
            </w:r>
          </w:p>
        </w:tc>
        <w:tc>
          <w:tcPr>
            <w:tcW w:w="965" w:type="dxa"/>
            <w:vAlign w:val="bottom"/>
          </w:tcPr>
          <w:p w:rsidR="00000000" w:rsidRDefault="00000000">
            <w:pPr>
              <w:tabs>
                <w:tab w:val="decimal" w:pos="700"/>
              </w:tabs>
              <w:rPr>
                <w:sz w:val="20"/>
                <w:szCs w:val="20"/>
              </w:rPr>
            </w:pPr>
            <w:r>
              <w:rPr>
                <w:sz w:val="20"/>
                <w:szCs w:val="20"/>
              </w:rPr>
              <w:t>0,9</w:t>
            </w:r>
          </w:p>
        </w:tc>
        <w:tc>
          <w:tcPr>
            <w:tcW w:w="910" w:type="dxa"/>
            <w:vAlign w:val="bottom"/>
          </w:tcPr>
          <w:p w:rsidR="00000000" w:rsidRDefault="00000000">
            <w:pPr>
              <w:tabs>
                <w:tab w:val="decimal" w:pos="616"/>
              </w:tabs>
              <w:rPr>
                <w:sz w:val="20"/>
                <w:szCs w:val="20"/>
              </w:rPr>
            </w:pPr>
            <w:r>
              <w:rPr>
                <w:sz w:val="20"/>
                <w:szCs w:val="20"/>
              </w:rPr>
              <w:t>5,4</w:t>
            </w:r>
          </w:p>
        </w:tc>
        <w:tc>
          <w:tcPr>
            <w:tcW w:w="1078" w:type="dxa"/>
            <w:vAlign w:val="bottom"/>
          </w:tcPr>
          <w:p w:rsidR="00000000" w:rsidRDefault="00000000">
            <w:pPr>
              <w:tabs>
                <w:tab w:val="decimal" w:pos="770"/>
              </w:tabs>
              <w:rPr>
                <w:sz w:val="20"/>
                <w:szCs w:val="20"/>
              </w:rPr>
            </w:pPr>
            <w:r>
              <w:rPr>
                <w:sz w:val="20"/>
                <w:szCs w:val="20"/>
              </w:rPr>
              <w:t>2,7</w:t>
            </w:r>
          </w:p>
        </w:tc>
        <w:tc>
          <w:tcPr>
            <w:tcW w:w="994" w:type="dxa"/>
            <w:vAlign w:val="bottom"/>
          </w:tcPr>
          <w:p w:rsidR="00000000" w:rsidRDefault="00000000">
            <w:pPr>
              <w:tabs>
                <w:tab w:val="decimal" w:pos="695"/>
              </w:tabs>
              <w:rPr>
                <w:sz w:val="20"/>
                <w:szCs w:val="20"/>
              </w:rPr>
            </w:pPr>
            <w:r>
              <w:rPr>
                <w:sz w:val="20"/>
                <w:szCs w:val="20"/>
              </w:rPr>
              <w:t>2,2</w:t>
            </w:r>
          </w:p>
        </w:tc>
        <w:tc>
          <w:tcPr>
            <w:tcW w:w="924" w:type="dxa"/>
            <w:vAlign w:val="bottom"/>
          </w:tcPr>
          <w:p w:rsidR="00000000" w:rsidRDefault="00000000">
            <w:pPr>
              <w:tabs>
                <w:tab w:val="decimal" w:pos="658"/>
              </w:tabs>
              <w:rPr>
                <w:sz w:val="20"/>
                <w:szCs w:val="20"/>
              </w:rPr>
            </w:pPr>
            <w:r>
              <w:rPr>
                <w:sz w:val="20"/>
                <w:szCs w:val="20"/>
              </w:rPr>
              <w:t>3,4</w:t>
            </w:r>
          </w:p>
        </w:tc>
        <w:tc>
          <w:tcPr>
            <w:tcW w:w="1119" w:type="dxa"/>
            <w:vAlign w:val="bottom"/>
          </w:tcPr>
          <w:p w:rsidR="00000000" w:rsidRDefault="00000000">
            <w:pPr>
              <w:tabs>
                <w:tab w:val="decimal" w:pos="811"/>
              </w:tabs>
              <w:rPr>
                <w:sz w:val="20"/>
                <w:szCs w:val="20"/>
              </w:rPr>
            </w:pPr>
            <w:r>
              <w:rPr>
                <w:sz w:val="20"/>
                <w:szCs w:val="20"/>
              </w:rPr>
              <w:t>3,4</w:t>
            </w:r>
          </w:p>
        </w:tc>
        <w:tc>
          <w:tcPr>
            <w:tcW w:w="968" w:type="dxa"/>
            <w:vAlign w:val="bottom"/>
          </w:tcPr>
          <w:p w:rsidR="00000000" w:rsidRDefault="00000000">
            <w:pPr>
              <w:tabs>
                <w:tab w:val="decimal" w:pos="714"/>
              </w:tabs>
              <w:rPr>
                <w:sz w:val="20"/>
                <w:szCs w:val="20"/>
              </w:rPr>
            </w:pPr>
            <w:r>
              <w:rPr>
                <w:sz w:val="20"/>
                <w:szCs w:val="20"/>
              </w:rPr>
              <w:t>3,0</w:t>
            </w:r>
          </w:p>
        </w:tc>
        <w:tc>
          <w:tcPr>
            <w:tcW w:w="906" w:type="dxa"/>
            <w:vAlign w:val="bottom"/>
          </w:tcPr>
          <w:p w:rsidR="00000000" w:rsidRDefault="00000000">
            <w:pPr>
              <w:tabs>
                <w:tab w:val="decimal" w:pos="650"/>
              </w:tabs>
              <w:rPr>
                <w:sz w:val="20"/>
                <w:szCs w:val="20"/>
              </w:rPr>
            </w:pPr>
            <w:r>
              <w:rPr>
                <w:sz w:val="20"/>
                <w:szCs w:val="20"/>
              </w:rPr>
              <w:t>3,9</w:t>
            </w:r>
          </w:p>
        </w:tc>
      </w:tr>
      <w:tr w:rsidR="00000000">
        <w:tblPrEx>
          <w:tblCellMar>
            <w:top w:w="0" w:type="dxa"/>
            <w:bottom w:w="0" w:type="dxa"/>
          </w:tblCellMar>
        </w:tblPrEx>
        <w:tc>
          <w:tcPr>
            <w:tcW w:w="1638" w:type="dxa"/>
            <w:vAlign w:val="bottom"/>
          </w:tcPr>
          <w:p w:rsidR="00000000" w:rsidRDefault="00000000">
            <w:pPr>
              <w:rPr>
                <w:sz w:val="20"/>
                <w:szCs w:val="20"/>
              </w:rPr>
            </w:pPr>
            <w:r>
              <w:rPr>
                <w:sz w:val="20"/>
                <w:szCs w:val="20"/>
              </w:rPr>
              <w:t>Tira en la chacra</w:t>
            </w:r>
          </w:p>
        </w:tc>
        <w:tc>
          <w:tcPr>
            <w:tcW w:w="1106" w:type="dxa"/>
            <w:vAlign w:val="bottom"/>
          </w:tcPr>
          <w:p w:rsidR="00000000" w:rsidRDefault="00000000">
            <w:pPr>
              <w:tabs>
                <w:tab w:val="decimal" w:pos="774"/>
              </w:tabs>
              <w:rPr>
                <w:sz w:val="20"/>
                <w:szCs w:val="20"/>
              </w:rPr>
            </w:pPr>
            <w:r>
              <w:rPr>
                <w:sz w:val="20"/>
                <w:szCs w:val="20"/>
              </w:rPr>
              <w:t>-</w:t>
            </w:r>
          </w:p>
        </w:tc>
        <w:tc>
          <w:tcPr>
            <w:tcW w:w="924" w:type="dxa"/>
            <w:vAlign w:val="bottom"/>
          </w:tcPr>
          <w:p w:rsidR="00000000" w:rsidRDefault="00000000">
            <w:pPr>
              <w:tabs>
                <w:tab w:val="decimal" w:pos="676"/>
              </w:tabs>
              <w:rPr>
                <w:sz w:val="20"/>
                <w:szCs w:val="20"/>
              </w:rPr>
            </w:pPr>
            <w:r>
              <w:rPr>
                <w:sz w:val="20"/>
                <w:szCs w:val="20"/>
              </w:rPr>
              <w:t>-</w:t>
            </w:r>
          </w:p>
        </w:tc>
        <w:tc>
          <w:tcPr>
            <w:tcW w:w="952" w:type="dxa"/>
            <w:vAlign w:val="bottom"/>
          </w:tcPr>
          <w:p w:rsidR="00000000" w:rsidRDefault="00000000">
            <w:pPr>
              <w:tabs>
                <w:tab w:val="decimal" w:pos="658"/>
              </w:tabs>
              <w:rPr>
                <w:sz w:val="20"/>
                <w:szCs w:val="20"/>
              </w:rPr>
            </w:pPr>
            <w:r>
              <w:rPr>
                <w:sz w:val="20"/>
                <w:szCs w:val="20"/>
              </w:rPr>
              <w:t>-</w:t>
            </w:r>
          </w:p>
        </w:tc>
        <w:tc>
          <w:tcPr>
            <w:tcW w:w="1092" w:type="dxa"/>
            <w:vAlign w:val="bottom"/>
          </w:tcPr>
          <w:p w:rsidR="00000000" w:rsidRDefault="00000000">
            <w:pPr>
              <w:tabs>
                <w:tab w:val="decimal" w:pos="808"/>
              </w:tabs>
              <w:rPr>
                <w:sz w:val="20"/>
                <w:szCs w:val="20"/>
              </w:rPr>
            </w:pPr>
            <w:r>
              <w:rPr>
                <w:sz w:val="20"/>
                <w:szCs w:val="20"/>
              </w:rPr>
              <w:t>-</w:t>
            </w:r>
          </w:p>
        </w:tc>
        <w:tc>
          <w:tcPr>
            <w:tcW w:w="965" w:type="dxa"/>
            <w:vAlign w:val="bottom"/>
          </w:tcPr>
          <w:p w:rsidR="00000000" w:rsidRDefault="00000000">
            <w:pPr>
              <w:tabs>
                <w:tab w:val="decimal" w:pos="700"/>
              </w:tabs>
              <w:rPr>
                <w:sz w:val="20"/>
                <w:szCs w:val="20"/>
              </w:rPr>
            </w:pPr>
            <w:r>
              <w:rPr>
                <w:sz w:val="20"/>
                <w:szCs w:val="20"/>
              </w:rPr>
              <w:t>-</w:t>
            </w:r>
          </w:p>
        </w:tc>
        <w:tc>
          <w:tcPr>
            <w:tcW w:w="910" w:type="dxa"/>
            <w:vAlign w:val="bottom"/>
          </w:tcPr>
          <w:p w:rsidR="00000000" w:rsidRDefault="00000000">
            <w:pPr>
              <w:tabs>
                <w:tab w:val="decimal" w:pos="616"/>
              </w:tabs>
              <w:rPr>
                <w:sz w:val="20"/>
                <w:szCs w:val="20"/>
              </w:rPr>
            </w:pPr>
            <w:r>
              <w:rPr>
                <w:sz w:val="20"/>
                <w:szCs w:val="20"/>
              </w:rPr>
              <w:t>-</w:t>
            </w:r>
          </w:p>
        </w:tc>
        <w:tc>
          <w:tcPr>
            <w:tcW w:w="1078" w:type="dxa"/>
            <w:vAlign w:val="bottom"/>
          </w:tcPr>
          <w:p w:rsidR="00000000" w:rsidRDefault="00000000">
            <w:pPr>
              <w:tabs>
                <w:tab w:val="decimal" w:pos="770"/>
              </w:tabs>
              <w:rPr>
                <w:sz w:val="20"/>
                <w:szCs w:val="20"/>
              </w:rPr>
            </w:pPr>
            <w:r>
              <w:rPr>
                <w:sz w:val="20"/>
                <w:szCs w:val="20"/>
              </w:rPr>
              <w:t>1,6</w:t>
            </w:r>
          </w:p>
        </w:tc>
        <w:tc>
          <w:tcPr>
            <w:tcW w:w="994" w:type="dxa"/>
            <w:vAlign w:val="bottom"/>
          </w:tcPr>
          <w:p w:rsidR="00000000" w:rsidRDefault="00000000">
            <w:pPr>
              <w:tabs>
                <w:tab w:val="decimal" w:pos="695"/>
              </w:tabs>
              <w:rPr>
                <w:sz w:val="20"/>
                <w:szCs w:val="20"/>
              </w:rPr>
            </w:pPr>
            <w:r>
              <w:rPr>
                <w:sz w:val="20"/>
                <w:szCs w:val="20"/>
              </w:rPr>
              <w:t>0,3</w:t>
            </w:r>
          </w:p>
        </w:tc>
        <w:tc>
          <w:tcPr>
            <w:tcW w:w="924" w:type="dxa"/>
            <w:vAlign w:val="bottom"/>
          </w:tcPr>
          <w:p w:rsidR="00000000" w:rsidRDefault="00000000">
            <w:pPr>
              <w:tabs>
                <w:tab w:val="decimal" w:pos="658"/>
              </w:tabs>
              <w:rPr>
                <w:sz w:val="20"/>
                <w:szCs w:val="20"/>
              </w:rPr>
            </w:pPr>
            <w:r>
              <w:rPr>
                <w:sz w:val="20"/>
                <w:szCs w:val="20"/>
              </w:rPr>
              <w:t>3,6</w:t>
            </w:r>
          </w:p>
        </w:tc>
        <w:tc>
          <w:tcPr>
            <w:tcW w:w="1119" w:type="dxa"/>
            <w:vAlign w:val="bottom"/>
          </w:tcPr>
          <w:p w:rsidR="00000000" w:rsidRDefault="00000000">
            <w:pPr>
              <w:tabs>
                <w:tab w:val="decimal" w:pos="811"/>
              </w:tabs>
              <w:rPr>
                <w:sz w:val="20"/>
                <w:szCs w:val="20"/>
              </w:rPr>
            </w:pPr>
            <w:r>
              <w:rPr>
                <w:sz w:val="20"/>
                <w:szCs w:val="20"/>
              </w:rPr>
              <w:t>1,0</w:t>
            </w:r>
          </w:p>
        </w:tc>
        <w:tc>
          <w:tcPr>
            <w:tcW w:w="968" w:type="dxa"/>
            <w:vAlign w:val="bottom"/>
          </w:tcPr>
          <w:p w:rsidR="00000000" w:rsidRDefault="00000000">
            <w:pPr>
              <w:tabs>
                <w:tab w:val="decimal" w:pos="714"/>
              </w:tabs>
              <w:rPr>
                <w:sz w:val="20"/>
                <w:szCs w:val="20"/>
              </w:rPr>
            </w:pPr>
            <w:r>
              <w:rPr>
                <w:sz w:val="20"/>
                <w:szCs w:val="20"/>
              </w:rPr>
              <w:t>0,1</w:t>
            </w:r>
          </w:p>
        </w:tc>
        <w:tc>
          <w:tcPr>
            <w:tcW w:w="906" w:type="dxa"/>
            <w:vAlign w:val="bottom"/>
          </w:tcPr>
          <w:p w:rsidR="00000000" w:rsidRDefault="00000000">
            <w:pPr>
              <w:tabs>
                <w:tab w:val="decimal" w:pos="650"/>
              </w:tabs>
              <w:rPr>
                <w:sz w:val="20"/>
                <w:szCs w:val="20"/>
              </w:rPr>
            </w:pPr>
            <w:r>
              <w:rPr>
                <w:sz w:val="20"/>
                <w:szCs w:val="20"/>
              </w:rPr>
              <w:t>2,3</w:t>
            </w:r>
          </w:p>
        </w:tc>
      </w:tr>
      <w:tr w:rsidR="00000000">
        <w:tblPrEx>
          <w:tblCellMar>
            <w:top w:w="0" w:type="dxa"/>
            <w:bottom w:w="0" w:type="dxa"/>
          </w:tblCellMar>
        </w:tblPrEx>
        <w:tc>
          <w:tcPr>
            <w:tcW w:w="1638" w:type="dxa"/>
            <w:vAlign w:val="bottom"/>
          </w:tcPr>
          <w:p w:rsidR="00000000" w:rsidRDefault="00000000">
            <w:pPr>
              <w:rPr>
                <w:sz w:val="20"/>
                <w:szCs w:val="20"/>
              </w:rPr>
            </w:pPr>
            <w:r>
              <w:rPr>
                <w:sz w:val="20"/>
                <w:szCs w:val="20"/>
              </w:rPr>
              <w:t>Otro</w:t>
            </w:r>
            <w:r>
              <w:rPr>
                <w:b/>
                <w:bCs/>
                <w:sz w:val="20"/>
                <w:szCs w:val="20"/>
                <w:vertAlign w:val="superscript"/>
              </w:rPr>
              <w:t>**</w:t>
            </w:r>
          </w:p>
        </w:tc>
        <w:tc>
          <w:tcPr>
            <w:tcW w:w="1106" w:type="dxa"/>
            <w:vAlign w:val="bottom"/>
          </w:tcPr>
          <w:p w:rsidR="00000000" w:rsidRDefault="00000000">
            <w:pPr>
              <w:tabs>
                <w:tab w:val="decimal" w:pos="774"/>
              </w:tabs>
              <w:rPr>
                <w:sz w:val="20"/>
                <w:szCs w:val="20"/>
              </w:rPr>
            </w:pPr>
            <w:r>
              <w:rPr>
                <w:sz w:val="20"/>
                <w:szCs w:val="20"/>
              </w:rPr>
              <w:t>2,9</w:t>
            </w:r>
          </w:p>
        </w:tc>
        <w:tc>
          <w:tcPr>
            <w:tcW w:w="924" w:type="dxa"/>
            <w:vAlign w:val="bottom"/>
          </w:tcPr>
          <w:p w:rsidR="00000000" w:rsidRDefault="00000000">
            <w:pPr>
              <w:tabs>
                <w:tab w:val="decimal" w:pos="676"/>
              </w:tabs>
              <w:rPr>
                <w:sz w:val="20"/>
                <w:szCs w:val="20"/>
              </w:rPr>
            </w:pPr>
            <w:r>
              <w:rPr>
                <w:sz w:val="20"/>
                <w:szCs w:val="20"/>
              </w:rPr>
              <w:t>3,9</w:t>
            </w:r>
          </w:p>
        </w:tc>
        <w:tc>
          <w:tcPr>
            <w:tcW w:w="952" w:type="dxa"/>
            <w:vAlign w:val="bottom"/>
          </w:tcPr>
          <w:p w:rsidR="00000000" w:rsidRDefault="00000000">
            <w:pPr>
              <w:tabs>
                <w:tab w:val="decimal" w:pos="658"/>
              </w:tabs>
              <w:rPr>
                <w:sz w:val="20"/>
                <w:szCs w:val="20"/>
              </w:rPr>
            </w:pPr>
            <w:r>
              <w:rPr>
                <w:sz w:val="20"/>
                <w:szCs w:val="20"/>
              </w:rPr>
              <w:t>1,8</w:t>
            </w:r>
          </w:p>
        </w:tc>
        <w:tc>
          <w:tcPr>
            <w:tcW w:w="1092" w:type="dxa"/>
            <w:vAlign w:val="bottom"/>
          </w:tcPr>
          <w:p w:rsidR="00000000" w:rsidRDefault="00000000">
            <w:pPr>
              <w:tabs>
                <w:tab w:val="decimal" w:pos="808"/>
              </w:tabs>
              <w:rPr>
                <w:sz w:val="20"/>
                <w:szCs w:val="20"/>
              </w:rPr>
            </w:pPr>
            <w:r>
              <w:rPr>
                <w:sz w:val="20"/>
                <w:szCs w:val="20"/>
              </w:rPr>
              <w:t>1,7</w:t>
            </w:r>
          </w:p>
        </w:tc>
        <w:tc>
          <w:tcPr>
            <w:tcW w:w="965" w:type="dxa"/>
            <w:vAlign w:val="bottom"/>
          </w:tcPr>
          <w:p w:rsidR="00000000" w:rsidRDefault="00000000">
            <w:pPr>
              <w:tabs>
                <w:tab w:val="decimal" w:pos="700"/>
              </w:tabs>
              <w:rPr>
                <w:sz w:val="20"/>
                <w:szCs w:val="20"/>
              </w:rPr>
            </w:pPr>
            <w:r>
              <w:rPr>
                <w:sz w:val="20"/>
                <w:szCs w:val="20"/>
              </w:rPr>
              <w:t>2,5</w:t>
            </w:r>
          </w:p>
        </w:tc>
        <w:tc>
          <w:tcPr>
            <w:tcW w:w="910" w:type="dxa"/>
            <w:vAlign w:val="bottom"/>
          </w:tcPr>
          <w:p w:rsidR="00000000" w:rsidRDefault="00000000">
            <w:pPr>
              <w:tabs>
                <w:tab w:val="decimal" w:pos="616"/>
              </w:tabs>
              <w:rPr>
                <w:sz w:val="20"/>
                <w:szCs w:val="20"/>
              </w:rPr>
            </w:pPr>
            <w:r>
              <w:rPr>
                <w:sz w:val="20"/>
                <w:szCs w:val="20"/>
              </w:rPr>
              <w:t>0,6</w:t>
            </w:r>
          </w:p>
        </w:tc>
        <w:tc>
          <w:tcPr>
            <w:tcW w:w="1078" w:type="dxa"/>
            <w:vAlign w:val="bottom"/>
          </w:tcPr>
          <w:p w:rsidR="00000000" w:rsidRDefault="00000000">
            <w:pPr>
              <w:tabs>
                <w:tab w:val="decimal" w:pos="770"/>
              </w:tabs>
              <w:rPr>
                <w:sz w:val="20"/>
                <w:szCs w:val="20"/>
              </w:rPr>
            </w:pPr>
            <w:r>
              <w:rPr>
                <w:sz w:val="20"/>
                <w:szCs w:val="20"/>
              </w:rPr>
              <w:t>0,8</w:t>
            </w:r>
          </w:p>
        </w:tc>
        <w:tc>
          <w:tcPr>
            <w:tcW w:w="994" w:type="dxa"/>
            <w:vAlign w:val="bottom"/>
          </w:tcPr>
          <w:p w:rsidR="00000000" w:rsidRDefault="00000000">
            <w:pPr>
              <w:tabs>
                <w:tab w:val="decimal" w:pos="695"/>
              </w:tabs>
              <w:rPr>
                <w:sz w:val="20"/>
                <w:szCs w:val="20"/>
              </w:rPr>
            </w:pPr>
            <w:r>
              <w:rPr>
                <w:sz w:val="20"/>
                <w:szCs w:val="20"/>
              </w:rPr>
              <w:t>1,0</w:t>
            </w:r>
          </w:p>
        </w:tc>
        <w:tc>
          <w:tcPr>
            <w:tcW w:w="924" w:type="dxa"/>
            <w:vAlign w:val="bottom"/>
          </w:tcPr>
          <w:p w:rsidR="00000000" w:rsidRDefault="00000000">
            <w:pPr>
              <w:tabs>
                <w:tab w:val="decimal" w:pos="658"/>
              </w:tabs>
              <w:rPr>
                <w:sz w:val="20"/>
                <w:szCs w:val="20"/>
              </w:rPr>
            </w:pPr>
            <w:r>
              <w:rPr>
                <w:sz w:val="20"/>
                <w:szCs w:val="20"/>
              </w:rPr>
              <w:t>0,5</w:t>
            </w:r>
          </w:p>
        </w:tc>
        <w:tc>
          <w:tcPr>
            <w:tcW w:w="1119" w:type="dxa"/>
            <w:vAlign w:val="bottom"/>
          </w:tcPr>
          <w:p w:rsidR="00000000" w:rsidRDefault="00000000">
            <w:pPr>
              <w:tabs>
                <w:tab w:val="decimal" w:pos="811"/>
              </w:tabs>
              <w:rPr>
                <w:sz w:val="20"/>
                <w:szCs w:val="20"/>
              </w:rPr>
            </w:pPr>
            <w:r>
              <w:rPr>
                <w:sz w:val="20"/>
                <w:szCs w:val="20"/>
              </w:rPr>
              <w:t>0,4</w:t>
            </w:r>
          </w:p>
        </w:tc>
        <w:tc>
          <w:tcPr>
            <w:tcW w:w="968" w:type="dxa"/>
            <w:vAlign w:val="bottom"/>
          </w:tcPr>
          <w:p w:rsidR="00000000" w:rsidRDefault="00000000">
            <w:pPr>
              <w:tabs>
                <w:tab w:val="decimal" w:pos="714"/>
              </w:tabs>
              <w:rPr>
                <w:sz w:val="20"/>
                <w:szCs w:val="20"/>
              </w:rPr>
            </w:pPr>
            <w:r>
              <w:rPr>
                <w:sz w:val="20"/>
                <w:szCs w:val="20"/>
              </w:rPr>
              <w:t>0,5</w:t>
            </w:r>
          </w:p>
        </w:tc>
        <w:tc>
          <w:tcPr>
            <w:tcW w:w="906" w:type="dxa"/>
            <w:vAlign w:val="bottom"/>
          </w:tcPr>
          <w:p w:rsidR="00000000" w:rsidRDefault="00000000">
            <w:pPr>
              <w:tabs>
                <w:tab w:val="decimal" w:pos="650"/>
              </w:tabs>
              <w:rPr>
                <w:sz w:val="20"/>
                <w:szCs w:val="20"/>
              </w:rPr>
            </w:pPr>
            <w:r>
              <w:rPr>
                <w:sz w:val="20"/>
                <w:szCs w:val="20"/>
              </w:rPr>
              <w:t>0,1</w:t>
            </w:r>
          </w:p>
        </w:tc>
      </w:tr>
      <w:tr w:rsidR="00000000">
        <w:tblPrEx>
          <w:tblCellMar>
            <w:top w:w="0" w:type="dxa"/>
            <w:bottom w:w="0" w:type="dxa"/>
          </w:tblCellMar>
        </w:tblPrEx>
        <w:tc>
          <w:tcPr>
            <w:tcW w:w="1638" w:type="dxa"/>
            <w:vAlign w:val="bottom"/>
          </w:tcPr>
          <w:p w:rsidR="00000000" w:rsidRDefault="00000000">
            <w:pPr>
              <w:rPr>
                <w:b/>
                <w:bCs/>
                <w:sz w:val="20"/>
                <w:szCs w:val="20"/>
              </w:rPr>
            </w:pPr>
            <w:r>
              <w:rPr>
                <w:b/>
                <w:bCs/>
                <w:sz w:val="20"/>
                <w:szCs w:val="20"/>
              </w:rPr>
              <w:tab/>
              <w:t>Total</w:t>
            </w:r>
          </w:p>
        </w:tc>
        <w:tc>
          <w:tcPr>
            <w:tcW w:w="1106" w:type="dxa"/>
            <w:vAlign w:val="bottom"/>
          </w:tcPr>
          <w:p w:rsidR="00000000" w:rsidRDefault="00000000">
            <w:pPr>
              <w:tabs>
                <w:tab w:val="decimal" w:pos="774"/>
              </w:tabs>
              <w:rPr>
                <w:b/>
                <w:bCs/>
                <w:sz w:val="20"/>
                <w:szCs w:val="20"/>
              </w:rPr>
            </w:pPr>
            <w:r>
              <w:rPr>
                <w:b/>
                <w:bCs/>
                <w:sz w:val="20"/>
                <w:szCs w:val="20"/>
              </w:rPr>
              <w:t>1.000.404</w:t>
            </w:r>
          </w:p>
        </w:tc>
        <w:tc>
          <w:tcPr>
            <w:tcW w:w="924" w:type="dxa"/>
            <w:vAlign w:val="bottom"/>
          </w:tcPr>
          <w:p w:rsidR="00000000" w:rsidRDefault="00000000">
            <w:pPr>
              <w:tabs>
                <w:tab w:val="decimal" w:pos="676"/>
              </w:tabs>
              <w:rPr>
                <w:b/>
                <w:bCs/>
                <w:sz w:val="20"/>
                <w:szCs w:val="20"/>
              </w:rPr>
            </w:pPr>
            <w:r>
              <w:rPr>
                <w:b/>
                <w:bCs/>
                <w:sz w:val="20"/>
                <w:szCs w:val="20"/>
              </w:rPr>
              <w:t>541.050</w:t>
            </w:r>
          </w:p>
        </w:tc>
        <w:tc>
          <w:tcPr>
            <w:tcW w:w="952" w:type="dxa"/>
            <w:vAlign w:val="bottom"/>
          </w:tcPr>
          <w:p w:rsidR="00000000" w:rsidRDefault="00000000">
            <w:pPr>
              <w:tabs>
                <w:tab w:val="decimal" w:pos="658"/>
              </w:tabs>
              <w:rPr>
                <w:b/>
                <w:bCs/>
                <w:sz w:val="20"/>
                <w:szCs w:val="20"/>
              </w:rPr>
            </w:pPr>
            <w:r>
              <w:rPr>
                <w:b/>
                <w:bCs/>
                <w:sz w:val="20"/>
                <w:szCs w:val="20"/>
              </w:rPr>
              <w:t>459.354</w:t>
            </w:r>
          </w:p>
        </w:tc>
        <w:tc>
          <w:tcPr>
            <w:tcW w:w="1092" w:type="dxa"/>
            <w:vAlign w:val="bottom"/>
          </w:tcPr>
          <w:p w:rsidR="00000000" w:rsidRDefault="00000000">
            <w:pPr>
              <w:tabs>
                <w:tab w:val="decimal" w:pos="808"/>
              </w:tabs>
              <w:rPr>
                <w:b/>
                <w:bCs/>
                <w:sz w:val="20"/>
                <w:szCs w:val="20"/>
              </w:rPr>
            </w:pPr>
            <w:r>
              <w:rPr>
                <w:b/>
                <w:bCs/>
                <w:sz w:val="20"/>
                <w:szCs w:val="20"/>
              </w:rPr>
              <w:t>1.107.486</w:t>
            </w:r>
          </w:p>
        </w:tc>
        <w:tc>
          <w:tcPr>
            <w:tcW w:w="965" w:type="dxa"/>
            <w:vAlign w:val="bottom"/>
          </w:tcPr>
          <w:p w:rsidR="00000000" w:rsidRDefault="00000000">
            <w:pPr>
              <w:tabs>
                <w:tab w:val="decimal" w:pos="700"/>
              </w:tabs>
              <w:rPr>
                <w:b/>
                <w:bCs/>
                <w:sz w:val="20"/>
                <w:szCs w:val="20"/>
              </w:rPr>
            </w:pPr>
            <w:r>
              <w:rPr>
                <w:b/>
                <w:bCs/>
                <w:sz w:val="20"/>
                <w:szCs w:val="20"/>
              </w:rPr>
              <w:t>630.864</w:t>
            </w:r>
          </w:p>
        </w:tc>
        <w:tc>
          <w:tcPr>
            <w:tcW w:w="910" w:type="dxa"/>
            <w:vAlign w:val="bottom"/>
          </w:tcPr>
          <w:p w:rsidR="00000000" w:rsidRDefault="00000000">
            <w:pPr>
              <w:tabs>
                <w:tab w:val="decimal" w:pos="616"/>
              </w:tabs>
              <w:rPr>
                <w:b/>
                <w:bCs/>
                <w:sz w:val="20"/>
                <w:szCs w:val="20"/>
              </w:rPr>
            </w:pPr>
            <w:r>
              <w:rPr>
                <w:b/>
                <w:bCs/>
                <w:sz w:val="20"/>
                <w:szCs w:val="20"/>
              </w:rPr>
              <w:t>476.622</w:t>
            </w:r>
          </w:p>
        </w:tc>
        <w:tc>
          <w:tcPr>
            <w:tcW w:w="1078" w:type="dxa"/>
            <w:vAlign w:val="bottom"/>
          </w:tcPr>
          <w:p w:rsidR="00000000" w:rsidRDefault="00000000">
            <w:pPr>
              <w:tabs>
                <w:tab w:val="decimal" w:pos="770"/>
              </w:tabs>
              <w:rPr>
                <w:b/>
                <w:bCs/>
                <w:sz w:val="20"/>
                <w:szCs w:val="20"/>
              </w:rPr>
            </w:pPr>
            <w:r>
              <w:rPr>
                <w:b/>
                <w:bCs/>
                <w:sz w:val="20"/>
                <w:szCs w:val="20"/>
              </w:rPr>
              <w:t>1.288.717</w:t>
            </w:r>
          </w:p>
        </w:tc>
        <w:tc>
          <w:tcPr>
            <w:tcW w:w="994" w:type="dxa"/>
            <w:vAlign w:val="bottom"/>
          </w:tcPr>
          <w:p w:rsidR="00000000" w:rsidRDefault="00000000">
            <w:pPr>
              <w:tabs>
                <w:tab w:val="decimal" w:pos="695"/>
              </w:tabs>
              <w:rPr>
                <w:b/>
                <w:bCs/>
                <w:sz w:val="20"/>
                <w:szCs w:val="20"/>
              </w:rPr>
            </w:pPr>
            <w:r>
              <w:rPr>
                <w:b/>
                <w:bCs/>
                <w:sz w:val="20"/>
                <w:szCs w:val="20"/>
              </w:rPr>
              <w:t>765.308</w:t>
            </w:r>
          </w:p>
        </w:tc>
        <w:tc>
          <w:tcPr>
            <w:tcW w:w="924" w:type="dxa"/>
            <w:vAlign w:val="bottom"/>
          </w:tcPr>
          <w:p w:rsidR="00000000" w:rsidRDefault="00000000">
            <w:pPr>
              <w:tabs>
                <w:tab w:val="decimal" w:pos="658"/>
              </w:tabs>
              <w:rPr>
                <w:b/>
                <w:bCs/>
                <w:sz w:val="20"/>
                <w:szCs w:val="20"/>
              </w:rPr>
            </w:pPr>
            <w:r>
              <w:rPr>
                <w:b/>
                <w:bCs/>
                <w:sz w:val="20"/>
                <w:szCs w:val="20"/>
              </w:rPr>
              <w:t>523.409</w:t>
            </w:r>
          </w:p>
        </w:tc>
        <w:tc>
          <w:tcPr>
            <w:tcW w:w="1119" w:type="dxa"/>
            <w:vAlign w:val="bottom"/>
          </w:tcPr>
          <w:p w:rsidR="00000000" w:rsidRDefault="00000000">
            <w:pPr>
              <w:tabs>
                <w:tab w:val="decimal" w:pos="811"/>
              </w:tabs>
              <w:rPr>
                <w:b/>
                <w:bCs/>
                <w:sz w:val="20"/>
                <w:szCs w:val="20"/>
              </w:rPr>
            </w:pPr>
            <w:r>
              <w:rPr>
                <w:b/>
                <w:bCs/>
                <w:sz w:val="20"/>
                <w:szCs w:val="20"/>
              </w:rPr>
              <w:t>1.343.713</w:t>
            </w:r>
          </w:p>
        </w:tc>
        <w:tc>
          <w:tcPr>
            <w:tcW w:w="968" w:type="dxa"/>
            <w:vAlign w:val="bottom"/>
          </w:tcPr>
          <w:p w:rsidR="00000000" w:rsidRDefault="00000000">
            <w:pPr>
              <w:tabs>
                <w:tab w:val="decimal" w:pos="714"/>
              </w:tabs>
              <w:rPr>
                <w:b/>
                <w:bCs/>
                <w:sz w:val="20"/>
                <w:szCs w:val="20"/>
              </w:rPr>
            </w:pPr>
            <w:r>
              <w:rPr>
                <w:b/>
                <w:bCs/>
                <w:sz w:val="20"/>
                <w:szCs w:val="20"/>
              </w:rPr>
              <w:t>813.606</w:t>
            </w:r>
          </w:p>
        </w:tc>
        <w:tc>
          <w:tcPr>
            <w:tcW w:w="906" w:type="dxa"/>
            <w:vAlign w:val="bottom"/>
          </w:tcPr>
          <w:p w:rsidR="00000000" w:rsidRDefault="00000000">
            <w:pPr>
              <w:tabs>
                <w:tab w:val="decimal" w:pos="650"/>
              </w:tabs>
              <w:rPr>
                <w:b/>
                <w:bCs/>
                <w:sz w:val="20"/>
                <w:szCs w:val="20"/>
              </w:rPr>
            </w:pPr>
            <w:r>
              <w:rPr>
                <w:b/>
                <w:bCs/>
                <w:sz w:val="20"/>
                <w:szCs w:val="20"/>
              </w:rPr>
              <w:t>530.107</w:t>
            </w:r>
          </w:p>
        </w:tc>
      </w:tr>
    </w:tbl>
    <w:p w:rsidR="00000000" w:rsidRDefault="00000000">
      <w:pPr>
        <w:autoSpaceDE w:val="0"/>
        <w:autoSpaceDN w:val="0"/>
        <w:adjustRightInd w:val="0"/>
        <w:spacing w:before="200" w:after="200"/>
        <w:rPr>
          <w:bCs/>
          <w:sz w:val="20"/>
          <w:lang w:val="es-MX"/>
        </w:rPr>
      </w:pPr>
      <w:r>
        <w:rPr>
          <w:i/>
          <w:iCs/>
          <w:sz w:val="20"/>
          <w:szCs w:val="16"/>
        </w:rPr>
        <w:t>Fuente</w:t>
      </w:r>
      <w:r>
        <w:rPr>
          <w:sz w:val="20"/>
          <w:szCs w:val="16"/>
        </w:rPr>
        <w:t>:  STP/DGEEC.  Encuesta Permanente de Hogares 1995, 1999, 2004, 2005.</w:t>
      </w:r>
    </w:p>
    <w:p w:rsidR="00000000" w:rsidRDefault="00000000">
      <w:pPr>
        <w:autoSpaceDE w:val="0"/>
        <w:autoSpaceDN w:val="0"/>
        <w:adjustRightInd w:val="0"/>
        <w:spacing w:before="200" w:after="200"/>
        <w:rPr>
          <w:b/>
          <w:sz w:val="20"/>
          <w:lang w:val="es-MX"/>
        </w:rPr>
      </w:pPr>
      <w:r>
        <w:rPr>
          <w:b/>
          <w:sz w:val="20"/>
          <w:vertAlign w:val="superscript"/>
          <w:lang w:val="es-MX"/>
        </w:rPr>
        <w:t>*</w:t>
      </w:r>
      <w:r>
        <w:rPr>
          <w:b/>
          <w:sz w:val="20"/>
          <w:lang w:val="es-MX"/>
        </w:rPr>
        <w:t xml:space="preserve"> </w:t>
      </w:r>
      <w:r>
        <w:rPr>
          <w:sz w:val="20"/>
          <w:szCs w:val="16"/>
        </w:rPr>
        <w:t>En la EPH 1995-1999, los datos están ajustados a los resultados del Censo 2002.</w:t>
      </w:r>
    </w:p>
    <w:p w:rsidR="00000000" w:rsidRDefault="00000000">
      <w:pPr>
        <w:autoSpaceDE w:val="0"/>
        <w:autoSpaceDN w:val="0"/>
        <w:adjustRightInd w:val="0"/>
        <w:spacing w:before="200" w:after="200"/>
        <w:rPr>
          <w:sz w:val="20"/>
          <w:szCs w:val="16"/>
        </w:rPr>
      </w:pPr>
      <w:r>
        <w:rPr>
          <w:b/>
          <w:bCs/>
          <w:sz w:val="20"/>
          <w:szCs w:val="16"/>
          <w:vertAlign w:val="superscript"/>
        </w:rPr>
        <w:t>**</w:t>
      </w:r>
      <w:r>
        <w:rPr>
          <w:sz w:val="20"/>
          <w:szCs w:val="16"/>
        </w:rPr>
        <w:t xml:space="preserve"> Años 1995-1999:  tira en arroyo, vertedero, chacra; año 2004:  tira en arroyo, vertedero.</w:t>
      </w:r>
    </w:p>
    <w:p w:rsidR="00000000" w:rsidRDefault="00000000">
      <w:pPr>
        <w:autoSpaceDE w:val="0"/>
        <w:autoSpaceDN w:val="0"/>
        <w:adjustRightInd w:val="0"/>
        <w:spacing w:after="240"/>
        <w:rPr>
          <w:sz w:val="20"/>
          <w:szCs w:val="16"/>
        </w:rPr>
      </w:pPr>
    </w:p>
    <w:p w:rsidR="00000000" w:rsidRDefault="00000000">
      <w:pPr>
        <w:autoSpaceDE w:val="0"/>
        <w:autoSpaceDN w:val="0"/>
        <w:adjustRightInd w:val="0"/>
        <w:spacing w:after="240"/>
        <w:rPr>
          <w:sz w:val="20"/>
          <w:szCs w:val="16"/>
        </w:rPr>
      </w:pPr>
    </w:p>
    <w:p w:rsidR="00000000" w:rsidRDefault="00000000">
      <w:pPr>
        <w:autoSpaceDE w:val="0"/>
        <w:autoSpaceDN w:val="0"/>
        <w:adjustRightInd w:val="0"/>
        <w:spacing w:after="240"/>
        <w:rPr>
          <w:bCs/>
        </w:rPr>
        <w:sectPr w:rsidR="00000000">
          <w:headerReference w:type="default" r:id="rId66"/>
          <w:pgSz w:w="16838" w:h="11906" w:orient="landscape" w:code="9"/>
          <w:pgMar w:top="1701" w:right="1701" w:bottom="1701" w:left="1701" w:header="851" w:footer="567" w:gutter="0"/>
          <w:cols w:space="708"/>
          <w:docGrid w:linePitch="360"/>
        </w:sectPr>
      </w:pPr>
    </w:p>
    <w:p w:rsidR="00000000" w:rsidRDefault="00000000">
      <w:pPr>
        <w:autoSpaceDE w:val="0"/>
        <w:autoSpaceDN w:val="0"/>
        <w:adjustRightInd w:val="0"/>
        <w:spacing w:after="240"/>
        <w:ind w:left="567"/>
        <w:rPr>
          <w:b/>
        </w:rPr>
      </w:pPr>
      <w:r>
        <w:rPr>
          <w:b/>
        </w:rPr>
        <w:t>2.1.</w:t>
      </w:r>
      <w:r>
        <w:rPr>
          <w:b/>
        </w:rPr>
        <w:tab/>
        <w:t>Población con acceso a agua potable</w:t>
      </w:r>
    </w:p>
    <w:p w:rsidR="00000000" w:rsidRDefault="00000000">
      <w:pPr>
        <w:autoSpaceDE w:val="0"/>
        <w:autoSpaceDN w:val="0"/>
        <w:adjustRightInd w:val="0"/>
        <w:spacing w:after="240"/>
        <w:rPr>
          <w:bCs/>
        </w:rPr>
      </w:pPr>
      <w:r>
        <w:rPr>
          <w:bCs/>
        </w:rPr>
        <w:t>406.</w:t>
      </w:r>
      <w:r>
        <w:rPr>
          <w:bCs/>
        </w:rPr>
        <w:tab/>
        <w:t>Al aumento de la cobertura, la mejoría de la calidad del agua ha sido modesta, representando el agua contaminada un riesgo importante a la salud de la población.  El país tiene establecidas metas de cobertura desagregadas para cada una de las localidades a ser servidas en el Programa de Agua Potable y Saneamiento:  Plan Director Segunda Etapa para el Área Metropolitana de Asunción y ocho ciudades del interior.  Para la primera parte de esta segunda etapa (año 2010) del Plan Director, la meta en agua potable es lograr el 83%.  Para las ciudades del interior es el 87,5%.  Para la segunda etapa de las ciudades del interior (año 2016) es 95%.</w:t>
      </w:r>
    </w:p>
    <w:p w:rsidR="00000000" w:rsidRDefault="00000000">
      <w:pPr>
        <w:autoSpaceDE w:val="0"/>
        <w:autoSpaceDN w:val="0"/>
        <w:adjustRightInd w:val="0"/>
        <w:spacing w:after="240"/>
        <w:rPr>
          <w:bCs/>
        </w:rPr>
      </w:pPr>
      <w:r>
        <w:rPr>
          <w:bCs/>
        </w:rPr>
        <w:t>407.</w:t>
      </w:r>
      <w:r>
        <w:rPr>
          <w:bCs/>
        </w:rPr>
        <w:tab/>
        <w:t xml:space="preserve">En cuanto al sector rural, las metas que el Servicio Nacional de Saneamiento Ambiental (SENASA) ha fijado, es la de cubrir el 60% de la población rural.  SENASA tiene como prioridad el suministro de agua potable sobre el servicio de saneamiento con arrastre hidráulico.  No obstante, todo proyecto de agua es siempre acompañado por el componente saneamiento mediante soluciones prediales individuales (letrinas sanitarias).  Asimismo, el Servicio Nacional provee de agua potable al 62% de la población total del país, lo que significa que desde 2002 acceden al servicio 3.400.000 habitantes aproximadamente </w:t>
      </w:r>
    </w:p>
    <w:p w:rsidR="00000000" w:rsidRDefault="00000000">
      <w:pPr>
        <w:autoSpaceDE w:val="0"/>
        <w:autoSpaceDN w:val="0"/>
        <w:adjustRightInd w:val="0"/>
        <w:spacing w:after="240"/>
        <w:rPr>
          <w:bCs/>
        </w:rPr>
      </w:pPr>
      <w:r>
        <w:rPr>
          <w:bCs/>
        </w:rPr>
        <w:t>408.</w:t>
      </w:r>
      <w:r>
        <w:rPr>
          <w:bCs/>
        </w:rPr>
        <w:tab/>
        <w:t>Las conexiones tienen dos tipos de sistemas, una que corresponde a población centrada, demanda que es atendida con el sistema público.  Del total de la población cubierta por el Sistema Nacional, el 85% de los usuarios están conectados por este medio, lo que hace un total de 2.890.000 habitantes aproximadamente.  La población dispersa que es atendida con solución individual asciende al 15%, lo que significa 510.000 habitantes.  A nivel global, de la población nacional, sin embargo, el 41% de la población centrada -es decir, aproximadamente 1.145.000 habitantes están sin servicio; el 16%, que hacen 540.000 habitantes, están con servicio de Aguateras Privadas, y el 43%, que son 1.205.000 habitantes, están con servicio de SENASA</w:t>
      </w:r>
      <w:r>
        <w:rPr>
          <w:b/>
          <w:vertAlign w:val="superscript"/>
        </w:rPr>
        <w:footnoteReference w:id="29"/>
      </w:r>
      <w:r>
        <w:rPr>
          <w:bCs/>
        </w:rPr>
        <w:t>.</w:t>
      </w:r>
    </w:p>
    <w:p w:rsidR="00000000" w:rsidRDefault="00000000">
      <w:pPr>
        <w:autoSpaceDE w:val="0"/>
        <w:autoSpaceDN w:val="0"/>
        <w:adjustRightInd w:val="0"/>
        <w:spacing w:after="240"/>
        <w:jc w:val="center"/>
        <w:rPr>
          <w:b/>
          <w:sz w:val="22"/>
        </w:rPr>
      </w:pPr>
      <w:r>
        <w:rPr>
          <w:bCs/>
        </w:rPr>
        <w:br w:type="page"/>
      </w:r>
      <w:r>
        <w:rPr>
          <w:b/>
          <w:bCs/>
          <w:iCs/>
          <w:sz w:val="22"/>
          <w:lang w:val="es-ES_tradnl"/>
        </w:rPr>
        <w:t>Situación de cobertura de agua potable en el Paraguay</w:t>
      </w:r>
      <w:r>
        <w:rPr>
          <w:rStyle w:val="FootnoteReference"/>
          <w:iCs/>
          <w:sz w:val="22"/>
          <w:lang w:val="es-ES_tradnl"/>
        </w:rPr>
        <w:footnoteReference w:id="30"/>
      </w:r>
    </w:p>
    <w:p w:rsidR="00000000" w:rsidRDefault="00000000">
      <w:pPr>
        <w:spacing w:after="240"/>
        <w:rPr>
          <w:rFonts w:ascii="Arial" w:hAnsi="Arial" w:cs="Arial"/>
          <w:b/>
          <w:bCs/>
          <w:sz w:val="20"/>
          <w:szCs w:val="20"/>
          <w:lang w:val="es-ES_tradnl"/>
        </w:rPr>
      </w:pPr>
      <w:r>
        <w:rPr>
          <w:rFonts w:ascii="Arial" w:hAnsi="Arial" w:cs="Arial"/>
          <w:b/>
          <w:bCs/>
          <w:sz w:val="20"/>
          <w:szCs w:val="20"/>
          <w:lang w:val="es-ES_tradnl"/>
        </w:rPr>
        <w:pict>
          <v:shape id="_x0000_s1102" type="#_x0000_t75" style="position:absolute;margin-left:94.55pt;margin-top:0;width:283.45pt;height:236.35pt;z-index:20;mso-wrap-edited:f" wrapcoords="14591 1420 14591 3042 11921 3854 1478 4563 1478 4918 2146 5476 2432 5476 2909 6287 2766 7099 2003 9532 1860 10344 1860 12777 1955 13589 2336 14400 2861 15211 3767 16023 5102 16834 2575 17239 1144 17493 1097 17848 1240 17949 1478 17949 1812 17949 4196 17949 11253 17746 13971 16986 14066 16834 15306 16073 17070 16023 19502 15566 19407 15211 20122 14806 19883 14400 16832 14400 17166 13589 17356 12777 17309 10344 17118 9532 16736 8721 16307 8163 16164 7910 15211 7099 13875 6287 17023 6287 21505 5831 21457 1420 14591 1420">
            <v:imagedata r:id="rId67" o:title=""/>
            <w10:anchorlock/>
          </v:shape>
        </w:pict>
      </w:r>
    </w:p>
    <w:p w:rsidR="00000000" w:rsidRDefault="00000000">
      <w:pPr>
        <w:spacing w:after="240"/>
        <w:rPr>
          <w:rFonts w:ascii="Arial" w:hAnsi="Arial" w:cs="Arial"/>
          <w:b/>
          <w:bCs/>
          <w:sz w:val="20"/>
          <w:szCs w:val="20"/>
          <w:lang w:val="es-ES_tradnl"/>
        </w:rPr>
      </w:pPr>
    </w:p>
    <w:p w:rsidR="00000000" w:rsidRDefault="00000000">
      <w:pPr>
        <w:spacing w:after="240"/>
        <w:rPr>
          <w:rFonts w:ascii="Arial" w:hAnsi="Arial" w:cs="Arial"/>
          <w:b/>
          <w:bCs/>
          <w:sz w:val="20"/>
          <w:szCs w:val="20"/>
          <w:lang w:val="es-ES_tradnl"/>
        </w:rPr>
      </w:pPr>
    </w:p>
    <w:p w:rsidR="00000000" w:rsidRDefault="00000000">
      <w:pPr>
        <w:spacing w:after="240"/>
        <w:rPr>
          <w:rFonts w:ascii="Arial" w:hAnsi="Arial" w:cs="Arial"/>
          <w:b/>
          <w:bCs/>
          <w:sz w:val="20"/>
          <w:szCs w:val="20"/>
          <w:lang w:val="es-ES_tradnl"/>
        </w:rPr>
      </w:pPr>
    </w:p>
    <w:p w:rsidR="00000000" w:rsidRDefault="00000000">
      <w:pPr>
        <w:spacing w:after="240"/>
        <w:rPr>
          <w:rFonts w:ascii="Arial" w:hAnsi="Arial" w:cs="Arial"/>
          <w:b/>
          <w:bCs/>
          <w:sz w:val="20"/>
          <w:szCs w:val="20"/>
          <w:lang w:val="es-ES_tradnl"/>
        </w:rPr>
      </w:pPr>
    </w:p>
    <w:p w:rsidR="00000000" w:rsidRDefault="00000000">
      <w:pPr>
        <w:spacing w:after="240"/>
        <w:rPr>
          <w:rFonts w:ascii="Arial" w:hAnsi="Arial" w:cs="Arial"/>
          <w:b/>
          <w:bCs/>
          <w:sz w:val="20"/>
          <w:szCs w:val="20"/>
          <w:lang w:val="es-ES_tradnl"/>
        </w:rPr>
      </w:pPr>
    </w:p>
    <w:p w:rsidR="00000000" w:rsidRDefault="00000000">
      <w:pPr>
        <w:spacing w:after="240"/>
        <w:rPr>
          <w:rFonts w:ascii="Arial" w:hAnsi="Arial" w:cs="Arial"/>
          <w:b/>
          <w:bCs/>
          <w:sz w:val="20"/>
          <w:szCs w:val="20"/>
          <w:lang w:val="es-ES_tradnl"/>
        </w:rPr>
      </w:pPr>
    </w:p>
    <w:p w:rsidR="00000000" w:rsidRDefault="00000000">
      <w:pPr>
        <w:spacing w:after="240"/>
        <w:rPr>
          <w:rFonts w:ascii="Arial" w:hAnsi="Arial" w:cs="Arial"/>
          <w:b/>
          <w:bCs/>
          <w:sz w:val="20"/>
          <w:szCs w:val="20"/>
          <w:lang w:val="es-ES_tradnl"/>
        </w:rPr>
      </w:pPr>
    </w:p>
    <w:p w:rsidR="00000000" w:rsidRDefault="00000000">
      <w:pPr>
        <w:spacing w:after="240"/>
        <w:rPr>
          <w:rFonts w:ascii="Arial" w:hAnsi="Arial" w:cs="Arial"/>
          <w:b/>
          <w:bCs/>
          <w:sz w:val="20"/>
          <w:szCs w:val="20"/>
          <w:lang w:val="es-ES_tradnl"/>
        </w:rPr>
      </w:pPr>
    </w:p>
    <w:p w:rsidR="00000000" w:rsidRDefault="00000000">
      <w:pPr>
        <w:spacing w:after="240"/>
        <w:rPr>
          <w:rFonts w:ascii="Arial" w:hAnsi="Arial" w:cs="Arial"/>
          <w:b/>
          <w:bCs/>
          <w:sz w:val="20"/>
          <w:szCs w:val="20"/>
          <w:lang w:val="es-ES_tradnl"/>
        </w:rPr>
      </w:pPr>
    </w:p>
    <w:p w:rsidR="00000000" w:rsidRDefault="00000000">
      <w:pPr>
        <w:spacing w:after="240"/>
        <w:rPr>
          <w:b/>
          <w:bCs/>
          <w:lang w:val="es-ES_tradnl"/>
        </w:rPr>
      </w:pPr>
      <w:r>
        <w:rPr>
          <w:b/>
          <w:bCs/>
          <w:lang w:val="es-ES_tradnl"/>
        </w:rPr>
        <w:tab/>
        <w:t>2.2.</w:t>
      </w:r>
      <w:r>
        <w:rPr>
          <w:b/>
          <w:bCs/>
          <w:lang w:val="es-ES_tradnl"/>
        </w:rPr>
        <w:tab/>
        <w:t>Población con acceso a sistema de tratamiento de desperdicios</w:t>
      </w:r>
    </w:p>
    <w:p w:rsidR="00000000" w:rsidRDefault="00000000">
      <w:pPr>
        <w:autoSpaceDE w:val="0"/>
        <w:autoSpaceDN w:val="0"/>
        <w:adjustRightInd w:val="0"/>
        <w:spacing w:after="240"/>
        <w:rPr>
          <w:bCs/>
          <w:lang w:val="es-ES_tradnl"/>
        </w:rPr>
      </w:pPr>
      <w:r>
        <w:rPr>
          <w:bCs/>
          <w:lang w:val="es-ES_tradnl"/>
        </w:rPr>
        <w:t>409.</w:t>
      </w:r>
      <w:r>
        <w:rPr>
          <w:bCs/>
          <w:lang w:val="es-ES_tradnl"/>
        </w:rPr>
        <w:tab/>
        <w:t xml:space="preserve">La generación de residuos sólidos en el país es de 0,870 kilogramos por habitante y por día para los residuos </w:t>
      </w:r>
      <w:r>
        <w:t>sólidos</w:t>
      </w:r>
      <w:r>
        <w:rPr>
          <w:bCs/>
          <w:lang w:val="es-ES_tradnl"/>
        </w:rPr>
        <w:t xml:space="preserve"> domésticos y de 1,038 kilogramos por habitante y por día para los residuos sólidos urbanos.  De los residuos urbanos, son recolectados solamente el 53% del total.  Los niveles de disposición final todavía muestran cifras alarmantes, vertedero a cielo abierto en un 80 frente a un 20% controlado, con una tendencia a mejorar estos indicadores.</w:t>
      </w:r>
    </w:p>
    <w:p w:rsidR="00000000" w:rsidRDefault="00000000">
      <w:pPr>
        <w:autoSpaceDE w:val="0"/>
        <w:autoSpaceDN w:val="0"/>
        <w:adjustRightInd w:val="0"/>
        <w:spacing w:after="240"/>
        <w:rPr>
          <w:bCs/>
          <w:lang w:val="es-ES_tradnl"/>
        </w:rPr>
      </w:pPr>
      <w:r>
        <w:rPr>
          <w:bCs/>
          <w:lang w:val="es-ES_tradnl"/>
        </w:rPr>
        <w:t>410.</w:t>
      </w:r>
      <w:r>
        <w:rPr>
          <w:bCs/>
          <w:lang w:val="es-ES_tradnl"/>
        </w:rPr>
        <w:tab/>
        <w:t>El tratamiento y disposición final de los residuos, sigue siendo materia pendiente de urgente intervención de los gobiernos en todos sus niveles (nacional, departamental y municipal), aunque se observan progresos en el campo.  En esta línea, el análisis sectorial de residuos sólidos en Paraguay e iniciativas específicas orientadas a una solución necesaria, como la llevada adelante por la gobernación del departamento Central (en 2000-2002) y la elaboración del Plan Maestro de Residuos Sólidos Comunales para la región oriental del Paraguay (2003), son algunos de los esfuerzos más recientes tendientes a concertar acciones en esta materia.  De igual manera, se está llevando a cabo en algunos municipios, acciones para el mejoramiento del manejo y la disposición final de los residuos.  Existen igualmente esfuerzos en marcha para la mejoría de la gestión de los servicios, proyectos de rellenos sanitarios en elaboración y rellenos controlados que están en el inicio de operación.</w:t>
      </w:r>
    </w:p>
    <w:p w:rsidR="00000000" w:rsidRDefault="00000000">
      <w:pPr>
        <w:keepNext/>
        <w:keepLines/>
        <w:spacing w:after="240"/>
        <w:jc w:val="center"/>
        <w:rPr>
          <w:b/>
          <w:bCs/>
          <w:lang w:val="es-ES_tradnl"/>
        </w:rPr>
      </w:pPr>
      <w:r>
        <w:rPr>
          <w:b/>
          <w:bCs/>
          <w:lang w:val="es-ES_tradnl"/>
        </w:rPr>
        <w:t>Cantidades de generación y de recolección de residuos sólidos</w:t>
      </w:r>
      <w:r>
        <w:rPr>
          <w:b/>
          <w:bCs/>
          <w:lang w:val="es-ES_tradnl"/>
        </w:rPr>
        <w:br/>
        <w:t>por departamento</w:t>
      </w:r>
    </w:p>
    <w:p w:rsidR="00000000" w:rsidRDefault="00000000">
      <w:pPr>
        <w:keepNext/>
        <w:keepLines/>
        <w:spacing w:after="240"/>
        <w:jc w:val="center"/>
        <w:rPr>
          <w:rFonts w:ascii="Arial" w:hAnsi="Arial" w:cs="Arial"/>
          <w:b/>
          <w:bCs/>
          <w:sz w:val="20"/>
          <w:szCs w:val="20"/>
        </w:rPr>
      </w:pPr>
      <w:r>
        <w:object w:dxaOrig="8821" w:dyaOrig="5414">
          <v:shape id="_x0000_i1034" type="#_x0000_t75" style="width:441pt;height:270.75pt" o:ole="" fillcolor="#0c9">
            <v:imagedata r:id="rId68" o:title=""/>
          </v:shape>
          <o:OLEObject Type="Embed" ProgID="Word.Document.8" ShapeID="_x0000_i1034" DrawAspect="Content" ObjectID="_1394904857" r:id="rId69">
            <o:FieldCodes>\s</o:FieldCodes>
          </o:OLEObject>
        </w:object>
      </w:r>
    </w:p>
    <w:p w:rsidR="00000000" w:rsidRDefault="00000000">
      <w:pPr>
        <w:autoSpaceDE w:val="0"/>
        <w:autoSpaceDN w:val="0"/>
        <w:adjustRightInd w:val="0"/>
        <w:spacing w:before="360" w:after="240"/>
        <w:rPr>
          <w:bCs/>
          <w:lang w:val="es-ES_tradnl"/>
        </w:rPr>
      </w:pPr>
      <w:r>
        <w:rPr>
          <w:bCs/>
          <w:lang w:val="es-ES_tradnl"/>
        </w:rPr>
        <w:t>411.</w:t>
      </w:r>
      <w:r>
        <w:rPr>
          <w:bCs/>
          <w:lang w:val="es-ES_tradnl"/>
        </w:rPr>
        <w:tab/>
        <w:t>A nivel de país el volumen de residuos generados por los hospitales públicos es de aproximadamente diez (10) toneladas al día.  Aproximadamente el 41,5% de éstos corresponde a residuos peligrosos, y 58,5% a los residuos comunes.  En la ciudad de Asunción donde se concentra el mayor número de hospitales públicos, el volumen total de residuos generado es de aproximadamente 2,7 toneladas diarias</w:t>
      </w:r>
      <w:r>
        <w:rPr>
          <w:b/>
          <w:vertAlign w:val="superscript"/>
          <w:lang w:val="es-ES_tradnl"/>
        </w:rPr>
        <w:footnoteReference w:id="31"/>
      </w:r>
      <w:r>
        <w:rPr>
          <w:bCs/>
          <w:lang w:val="es-ES_tradnl"/>
        </w:rPr>
        <w:t>.</w:t>
      </w:r>
    </w:p>
    <w:p w:rsidR="00000000" w:rsidRDefault="00000000">
      <w:pPr>
        <w:autoSpaceDE w:val="0"/>
        <w:autoSpaceDN w:val="0"/>
        <w:adjustRightInd w:val="0"/>
        <w:spacing w:after="240"/>
        <w:rPr>
          <w:bCs/>
          <w:lang w:val="es-ES_tradnl"/>
        </w:rPr>
      </w:pPr>
      <w:r>
        <w:rPr>
          <w:bCs/>
          <w:lang w:val="es-ES_tradnl"/>
        </w:rPr>
        <w:t>412.</w:t>
      </w:r>
      <w:r>
        <w:rPr>
          <w:bCs/>
          <w:lang w:val="es-ES_tradnl"/>
        </w:rPr>
        <w:tab/>
        <w:t>Las características del Paraguay, así como sus condiciones socioeconómicas se reflejan en la cantidad y composición de los residuos producidos, observándose que a medida que disminuye el tamaño de la población y predominan las actividades propias de áreas rurales, aumenta la fracción orgánica en los mismos.  La tasa promedio de generación de residuos sólidos urbanos es alrededor de 1,0 kilogramos por persona y por día, variando entre 0,5 y 1,8 kilogramos por persona y por día.  Se estima que actualmente se está generando alrededor de 3.700 toneladas al día en las poblaciones urbanas.</w:t>
      </w:r>
    </w:p>
    <w:p w:rsidR="00000000" w:rsidRDefault="00000000">
      <w:pPr>
        <w:autoSpaceDE w:val="0"/>
        <w:autoSpaceDN w:val="0"/>
        <w:adjustRightInd w:val="0"/>
        <w:spacing w:after="240"/>
        <w:rPr>
          <w:bCs/>
          <w:lang w:val="es-ES_tradnl"/>
        </w:rPr>
      </w:pPr>
      <w:r>
        <w:rPr>
          <w:bCs/>
          <w:lang w:val="es-ES_tradnl"/>
        </w:rPr>
        <w:t>413.</w:t>
      </w:r>
      <w:r>
        <w:rPr>
          <w:bCs/>
          <w:lang w:val="es-ES_tradnl"/>
        </w:rPr>
        <w:tab/>
        <w:t>En lo que refiere a la recolección diferenciada de residuos patológicos, esta se realiza casi solamente en Asunción, con un promedio de 55 toneladas al mes.  El tratamiento de los residuos hospitalarios se realiza una vez más, casi exclusivamente en Asunción, a través de incineradores de doble cámara, con operación deficiente.</w:t>
      </w:r>
    </w:p>
    <w:p w:rsidR="00000000" w:rsidRDefault="00000000">
      <w:pPr>
        <w:autoSpaceDE w:val="0"/>
        <w:autoSpaceDN w:val="0"/>
        <w:adjustRightInd w:val="0"/>
        <w:spacing w:after="240"/>
        <w:rPr>
          <w:bCs/>
          <w:lang w:val="es-ES_tradnl"/>
        </w:rPr>
      </w:pPr>
      <w:r>
        <w:rPr>
          <w:bCs/>
          <w:lang w:val="es-ES_tradnl"/>
        </w:rPr>
        <w:t>414.</w:t>
      </w:r>
      <w:r>
        <w:rPr>
          <w:bCs/>
          <w:lang w:val="es-ES_tradnl"/>
        </w:rPr>
        <w:tab/>
        <w:t>Además, existen algunas fortalezas y progresos en el área.  El Gobierno ha establecido como prioridad resolver la problemática de los residuos sólidos de los Establecimientos de Atención de Salud (EAS), a través del Ministerio de Salud Pública y Bienestar Social mediante tres ejes:  i) aprobación del reglamento de residuos sólidos mediante la Resolución Nº 750/02;  ii) promoción del manejo extranosocomial de los residuos sólidos de los EAS en la ciudad de Asunción, a través de un esquema que permite participar al sector privado para la recolección, transporte y operación de una central de tratamiento;  iii) promoción de la realización del diagnóstico de la gestión y manejo de los residuos sólidos de los EAS, con vistas a la implementación de acciones para mejoría del manejo de estos residuos</w:t>
      </w:r>
    </w:p>
    <w:p w:rsidR="00000000" w:rsidRDefault="00000000">
      <w:pPr>
        <w:autoSpaceDE w:val="0"/>
        <w:autoSpaceDN w:val="0"/>
        <w:adjustRightInd w:val="0"/>
        <w:spacing w:after="240"/>
        <w:rPr>
          <w:bCs/>
          <w:lang w:val="es-ES_tradnl"/>
        </w:rPr>
      </w:pPr>
      <w:r>
        <w:rPr>
          <w:bCs/>
          <w:lang w:val="es-ES_tradnl"/>
        </w:rPr>
        <w:t>415.</w:t>
      </w:r>
      <w:r>
        <w:rPr>
          <w:bCs/>
          <w:lang w:val="es-ES_tradnl"/>
        </w:rPr>
        <w:tab/>
        <w:t>Existe aún voluntad política del gobierno local de la ciudad de Asunción para resolver la problemática de los residuos sólidos de los EAS:  la actual gestión de la intendencia del municipio de Asunción está en un proceso de licitación pública, para la concesión del servicio de recolección, transporte, tratamiento y disposición final de los residuos sólidos de los EAS, evidenciando la prioridad en la agenda de gestión de la municipalidad.</w:t>
      </w:r>
    </w:p>
    <w:p w:rsidR="00000000" w:rsidRDefault="00000000">
      <w:pPr>
        <w:autoSpaceDE w:val="0"/>
        <w:autoSpaceDN w:val="0"/>
        <w:adjustRightInd w:val="0"/>
        <w:spacing w:after="240"/>
        <w:rPr>
          <w:bCs/>
          <w:lang w:val="es-ES_tradnl"/>
        </w:rPr>
      </w:pPr>
      <w:r>
        <w:rPr>
          <w:bCs/>
          <w:lang w:val="es-ES_tradnl"/>
        </w:rPr>
        <w:t>416.</w:t>
      </w:r>
      <w:r>
        <w:rPr>
          <w:bCs/>
          <w:lang w:val="es-ES_tradnl"/>
        </w:rPr>
        <w:tab/>
        <w:t>Un problema de relieve lo constituye la baja cobertura de alcantarillado sanitario.  En 1992, sólo un 7,9% de los hogares a nivel nacional contaba con acceso a un sistema de red de cloaca pública; en 1997/98 ese porcentaje aumentó apenas al 8,2%.  De acuerdo a los últimos datos oficiales (EIH 2000/001) sólo el 10% de los hogares cuenta con alcantarillado y cerca del 90% no accede a conexión domiciliaria, pero posee acceso al sistema por medios privados o compartidos.  Entre 1992 y 2001 el acceso a alcantarillado subió del 7 al 10% en la cobertura.  Los hogares del sector rural se encuentran en condiciones relativas más adversas que los hogares urbanos.  Las graves carencias en materia de saneamiento, especialmente alcantarillado, genera problemas sanitarios, como también la contaminación de los acuíferos.</w:t>
      </w:r>
    </w:p>
    <w:p w:rsidR="00000000" w:rsidRDefault="00000000">
      <w:pPr>
        <w:autoSpaceDE w:val="0"/>
        <w:autoSpaceDN w:val="0"/>
        <w:adjustRightInd w:val="0"/>
        <w:spacing w:after="200"/>
      </w:pPr>
      <w:r>
        <w:t>417.</w:t>
      </w:r>
      <w:r>
        <w:tab/>
        <w:t>En la figura 2 se presenta un gráfico de la evolución de la cobertura de alcantarillado en Paraguay de 1992 a 2001.</w:t>
      </w:r>
    </w:p>
    <w:p w:rsidR="00000000" w:rsidRDefault="00000000">
      <w:pPr>
        <w:autoSpaceDE w:val="0"/>
        <w:autoSpaceDN w:val="0"/>
        <w:adjustRightInd w:val="0"/>
        <w:spacing w:after="240"/>
        <w:jc w:val="center"/>
        <w:rPr>
          <w:b/>
          <w:bCs/>
        </w:rPr>
      </w:pPr>
      <w:r>
        <w:rPr>
          <w:b/>
          <w:bCs/>
        </w:rPr>
        <w:t>Figura 2</w:t>
      </w:r>
    </w:p>
    <w:p w:rsidR="00000000" w:rsidRDefault="00000000">
      <w:pPr>
        <w:spacing w:after="240"/>
        <w:jc w:val="center"/>
        <w:rPr>
          <w:b/>
          <w:bCs/>
          <w:szCs w:val="13"/>
        </w:rPr>
      </w:pPr>
      <w:r>
        <w:rPr>
          <w:b/>
          <w:bCs/>
          <w:szCs w:val="20"/>
        </w:rPr>
        <w:t xml:space="preserve">Evolución de la cobertura de alcantarillado </w:t>
      </w:r>
      <w:r>
        <w:rPr>
          <w:b/>
          <w:bCs/>
          <w:szCs w:val="20"/>
        </w:rPr>
        <w:br/>
        <w:t>en el Paraguay de 1992 a 2001</w:t>
      </w:r>
    </w:p>
    <w:bookmarkStart w:id="26" w:name="_MON_1236499814"/>
    <w:bookmarkEnd w:id="26"/>
    <w:p w:rsidR="00000000" w:rsidRDefault="00000000">
      <w:pPr>
        <w:spacing w:after="240"/>
        <w:ind w:left="907"/>
        <w:jc w:val="center"/>
      </w:pPr>
      <w:r>
        <w:object w:dxaOrig="6603" w:dyaOrig="3592">
          <v:shape id="_x0000_i1035" type="#_x0000_t75" style="width:312pt;height:179.25pt" o:ole="">
            <v:imagedata r:id="rId70" o:title=""/>
          </v:shape>
          <o:OLEObject Type="Embed" ProgID="Word.Picture.8" ShapeID="_x0000_i1035" DrawAspect="Content" ObjectID="_1394904858" r:id="rId71"/>
        </w:object>
      </w:r>
    </w:p>
    <w:p w:rsidR="00000000" w:rsidRDefault="00000000">
      <w:pPr>
        <w:autoSpaceDE w:val="0"/>
        <w:autoSpaceDN w:val="0"/>
        <w:adjustRightInd w:val="0"/>
        <w:spacing w:after="240"/>
        <w:ind w:left="2280"/>
        <w:rPr>
          <w:i/>
          <w:iCs/>
          <w:szCs w:val="20"/>
        </w:rPr>
        <w:sectPr w:rsidR="00000000">
          <w:headerReference w:type="even" r:id="rId72"/>
          <w:headerReference w:type="default" r:id="rId73"/>
          <w:pgSz w:w="11906" w:h="16838" w:code="9"/>
          <w:pgMar w:top="1701" w:right="851" w:bottom="1985" w:left="1701" w:header="851" w:footer="567" w:gutter="0"/>
          <w:cols w:space="708"/>
          <w:docGrid w:linePitch="360"/>
        </w:sectPr>
      </w:pPr>
      <w:r>
        <w:rPr>
          <w:i/>
          <w:iCs/>
          <w:szCs w:val="16"/>
        </w:rPr>
        <w:t xml:space="preserve">Fuente: </w:t>
      </w:r>
      <w:r>
        <w:rPr>
          <w:i/>
          <w:iCs/>
          <w:szCs w:val="20"/>
        </w:rPr>
        <w:t xml:space="preserve"> Metas de Desarrollo del Milenio - Informe</w:t>
      </w:r>
      <w:r>
        <w:rPr>
          <w:i/>
          <w:iCs/>
          <w:szCs w:val="20"/>
        </w:rPr>
        <w:br/>
        <w:t>Preliminar - PNUD 2003.</w:t>
      </w:r>
    </w:p>
    <w:p w:rsidR="00000000" w:rsidRDefault="00000000">
      <w:pPr>
        <w:autoSpaceDE w:val="0"/>
        <w:autoSpaceDN w:val="0"/>
        <w:adjustRightInd w:val="0"/>
        <w:spacing w:after="200"/>
        <w:jc w:val="center"/>
        <w:rPr>
          <w:b/>
          <w:sz w:val="20"/>
          <w:lang w:val="es-ES_tradnl"/>
        </w:rPr>
      </w:pPr>
      <w:r>
        <w:rPr>
          <w:b/>
          <w:sz w:val="20"/>
          <w:lang w:val="es-ES_tradnl"/>
        </w:rPr>
        <w:t xml:space="preserve">La meta de cobertura de este servicio, para la primera y segunda etapa, cuyo horizonte son los años 2006 y 2016 respectivamente, </w:t>
      </w:r>
      <w:r>
        <w:rPr>
          <w:b/>
          <w:sz w:val="20"/>
          <w:lang w:val="es-ES_tradnl"/>
        </w:rPr>
        <w:br/>
        <w:t>es del 80% de la población abastecida de agua potable dentro del Programa ESSAP (ex CORPOSANA)-BID</w:t>
      </w:r>
    </w:p>
    <w:p w:rsidR="00000000" w:rsidRDefault="00000000">
      <w:pPr>
        <w:autoSpaceDE w:val="0"/>
        <w:autoSpaceDN w:val="0"/>
        <w:adjustRightInd w:val="0"/>
        <w:spacing w:after="200"/>
        <w:ind w:left="567"/>
        <w:jc w:val="center"/>
        <w:rPr>
          <w:bCs/>
          <w:sz w:val="20"/>
          <w:lang w:val="es-ES_tradnl"/>
        </w:rPr>
      </w:pPr>
      <w:r>
        <w:rPr>
          <w:bCs/>
          <w:sz w:val="20"/>
          <w:lang w:val="es-ES_tradnl"/>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1"/>
        <w:gridCol w:w="940"/>
        <w:gridCol w:w="1090"/>
        <w:gridCol w:w="1070"/>
        <w:gridCol w:w="1518"/>
        <w:gridCol w:w="1148"/>
        <w:gridCol w:w="1124"/>
        <w:gridCol w:w="1413"/>
        <w:gridCol w:w="1153"/>
        <w:gridCol w:w="1129"/>
        <w:gridCol w:w="1590"/>
        <w:gridCol w:w="1207"/>
        <w:gridCol w:w="1124"/>
      </w:tblGrid>
      <w:tr w:rsidR="00000000">
        <w:trPr>
          <w:cantSplit/>
          <w:trHeight w:val="20"/>
          <w:jc w:val="center"/>
        </w:trPr>
        <w:tc>
          <w:tcPr>
            <w:tcW w:w="659" w:type="pct"/>
            <w:vMerge w:val="restart"/>
            <w:vAlign w:val="center"/>
          </w:tcPr>
          <w:p w:rsidR="00000000" w:rsidRDefault="00000000">
            <w:pPr>
              <w:jc w:val="center"/>
              <w:rPr>
                <w:b/>
                <w:bCs/>
                <w:sz w:val="20"/>
                <w:szCs w:val="20"/>
              </w:rPr>
            </w:pPr>
            <w:r>
              <w:rPr>
                <w:b/>
                <w:bCs/>
                <w:sz w:val="20"/>
                <w:szCs w:val="20"/>
              </w:rPr>
              <w:t>Fuente de agua</w:t>
            </w:r>
          </w:p>
        </w:tc>
        <w:tc>
          <w:tcPr>
            <w:tcW w:w="1070" w:type="pct"/>
            <w:gridSpan w:val="3"/>
            <w:vAlign w:val="center"/>
          </w:tcPr>
          <w:p w:rsidR="00000000" w:rsidRDefault="00000000">
            <w:pPr>
              <w:jc w:val="center"/>
              <w:rPr>
                <w:b/>
                <w:bCs/>
                <w:sz w:val="20"/>
                <w:szCs w:val="20"/>
              </w:rPr>
            </w:pPr>
            <w:r>
              <w:rPr>
                <w:b/>
                <w:bCs/>
                <w:sz w:val="20"/>
                <w:szCs w:val="20"/>
              </w:rPr>
              <w:t>1995</w:t>
            </w:r>
            <w:r>
              <w:rPr>
                <w:b/>
                <w:bCs/>
                <w:sz w:val="20"/>
                <w:szCs w:val="20"/>
                <w:vertAlign w:val="superscript"/>
              </w:rPr>
              <w:t>*</w:t>
            </w:r>
          </w:p>
        </w:tc>
        <w:tc>
          <w:tcPr>
            <w:tcW w:w="1128" w:type="pct"/>
            <w:gridSpan w:val="3"/>
            <w:vAlign w:val="center"/>
          </w:tcPr>
          <w:p w:rsidR="00000000" w:rsidRDefault="00000000">
            <w:pPr>
              <w:jc w:val="center"/>
              <w:rPr>
                <w:b/>
                <w:bCs/>
                <w:sz w:val="20"/>
                <w:szCs w:val="20"/>
              </w:rPr>
            </w:pPr>
            <w:r>
              <w:rPr>
                <w:b/>
                <w:bCs/>
                <w:sz w:val="20"/>
                <w:szCs w:val="20"/>
              </w:rPr>
              <w:t>1999</w:t>
            </w:r>
            <w:r>
              <w:rPr>
                <w:b/>
                <w:bCs/>
                <w:sz w:val="20"/>
                <w:szCs w:val="20"/>
                <w:vertAlign w:val="superscript"/>
              </w:rPr>
              <w:t>*</w:t>
            </w:r>
          </w:p>
        </w:tc>
        <w:tc>
          <w:tcPr>
            <w:tcW w:w="1072" w:type="pct"/>
            <w:gridSpan w:val="3"/>
            <w:vAlign w:val="center"/>
          </w:tcPr>
          <w:p w:rsidR="00000000" w:rsidRDefault="00000000">
            <w:pPr>
              <w:jc w:val="center"/>
              <w:rPr>
                <w:b/>
                <w:bCs/>
                <w:sz w:val="20"/>
                <w:szCs w:val="20"/>
              </w:rPr>
            </w:pPr>
            <w:r>
              <w:rPr>
                <w:b/>
                <w:bCs/>
                <w:sz w:val="20"/>
                <w:szCs w:val="20"/>
              </w:rPr>
              <w:t>2004</w:t>
            </w:r>
          </w:p>
        </w:tc>
        <w:tc>
          <w:tcPr>
            <w:tcW w:w="1072" w:type="pct"/>
            <w:gridSpan w:val="3"/>
            <w:vAlign w:val="center"/>
          </w:tcPr>
          <w:p w:rsidR="00000000" w:rsidRDefault="00000000">
            <w:pPr>
              <w:jc w:val="center"/>
              <w:rPr>
                <w:b/>
                <w:bCs/>
                <w:sz w:val="20"/>
                <w:szCs w:val="20"/>
              </w:rPr>
            </w:pPr>
            <w:r>
              <w:rPr>
                <w:b/>
                <w:bCs/>
                <w:sz w:val="20"/>
                <w:szCs w:val="20"/>
              </w:rPr>
              <w:t>2005</w:t>
            </w:r>
          </w:p>
        </w:tc>
      </w:tr>
      <w:tr w:rsidR="00000000">
        <w:trPr>
          <w:cantSplit/>
          <w:trHeight w:val="20"/>
          <w:jc w:val="center"/>
        </w:trPr>
        <w:tc>
          <w:tcPr>
            <w:tcW w:w="659" w:type="pct"/>
            <w:vMerge/>
            <w:vAlign w:val="center"/>
          </w:tcPr>
          <w:p w:rsidR="00000000" w:rsidRDefault="00000000">
            <w:pPr>
              <w:jc w:val="center"/>
              <w:rPr>
                <w:b/>
                <w:bCs/>
                <w:sz w:val="20"/>
                <w:szCs w:val="20"/>
              </w:rPr>
            </w:pPr>
          </w:p>
        </w:tc>
        <w:tc>
          <w:tcPr>
            <w:tcW w:w="356" w:type="pct"/>
            <w:vMerge w:val="restart"/>
            <w:vAlign w:val="center"/>
          </w:tcPr>
          <w:p w:rsidR="00000000" w:rsidRDefault="00000000">
            <w:pPr>
              <w:jc w:val="center"/>
              <w:rPr>
                <w:b/>
                <w:bCs/>
                <w:sz w:val="20"/>
                <w:szCs w:val="20"/>
              </w:rPr>
            </w:pPr>
            <w:r>
              <w:rPr>
                <w:b/>
                <w:bCs/>
                <w:sz w:val="20"/>
                <w:szCs w:val="20"/>
              </w:rPr>
              <w:t>Total</w:t>
            </w:r>
          </w:p>
        </w:tc>
        <w:tc>
          <w:tcPr>
            <w:tcW w:w="714" w:type="pct"/>
            <w:gridSpan w:val="2"/>
            <w:vAlign w:val="center"/>
          </w:tcPr>
          <w:p w:rsidR="00000000" w:rsidRDefault="00000000">
            <w:pPr>
              <w:jc w:val="center"/>
              <w:rPr>
                <w:b/>
                <w:bCs/>
                <w:sz w:val="20"/>
                <w:szCs w:val="20"/>
              </w:rPr>
            </w:pPr>
            <w:r>
              <w:rPr>
                <w:b/>
                <w:bCs/>
                <w:sz w:val="20"/>
                <w:szCs w:val="20"/>
              </w:rPr>
              <w:t>Área de residencia</w:t>
            </w:r>
          </w:p>
        </w:tc>
        <w:tc>
          <w:tcPr>
            <w:tcW w:w="359" w:type="pct"/>
            <w:vMerge w:val="restart"/>
            <w:vAlign w:val="center"/>
          </w:tcPr>
          <w:p w:rsidR="00000000" w:rsidRDefault="00000000">
            <w:pPr>
              <w:jc w:val="center"/>
              <w:rPr>
                <w:b/>
                <w:bCs/>
                <w:sz w:val="20"/>
                <w:szCs w:val="20"/>
              </w:rPr>
            </w:pPr>
            <w:r>
              <w:rPr>
                <w:b/>
                <w:bCs/>
                <w:sz w:val="20"/>
                <w:szCs w:val="20"/>
              </w:rPr>
              <w:t>Total</w:t>
            </w:r>
          </w:p>
        </w:tc>
        <w:tc>
          <w:tcPr>
            <w:tcW w:w="769" w:type="pct"/>
            <w:gridSpan w:val="2"/>
            <w:vAlign w:val="center"/>
          </w:tcPr>
          <w:p w:rsidR="00000000" w:rsidRDefault="00000000">
            <w:pPr>
              <w:jc w:val="center"/>
              <w:rPr>
                <w:b/>
                <w:bCs/>
                <w:sz w:val="20"/>
                <w:szCs w:val="20"/>
              </w:rPr>
            </w:pPr>
            <w:r>
              <w:rPr>
                <w:b/>
                <w:bCs/>
                <w:sz w:val="20"/>
                <w:szCs w:val="20"/>
              </w:rPr>
              <w:t>Área de residencia</w:t>
            </w:r>
          </w:p>
        </w:tc>
        <w:tc>
          <w:tcPr>
            <w:tcW w:w="361" w:type="pct"/>
            <w:vMerge w:val="restart"/>
            <w:vAlign w:val="center"/>
          </w:tcPr>
          <w:p w:rsidR="00000000" w:rsidRDefault="00000000">
            <w:pPr>
              <w:jc w:val="center"/>
              <w:rPr>
                <w:b/>
                <w:bCs/>
                <w:sz w:val="20"/>
                <w:szCs w:val="20"/>
              </w:rPr>
            </w:pPr>
            <w:r>
              <w:rPr>
                <w:b/>
                <w:bCs/>
                <w:sz w:val="20"/>
                <w:szCs w:val="20"/>
              </w:rPr>
              <w:t>Total</w:t>
            </w:r>
          </w:p>
        </w:tc>
        <w:tc>
          <w:tcPr>
            <w:tcW w:w="711" w:type="pct"/>
            <w:gridSpan w:val="2"/>
            <w:vAlign w:val="center"/>
          </w:tcPr>
          <w:p w:rsidR="00000000" w:rsidRDefault="00000000">
            <w:pPr>
              <w:jc w:val="center"/>
              <w:rPr>
                <w:b/>
                <w:bCs/>
                <w:sz w:val="20"/>
                <w:szCs w:val="20"/>
              </w:rPr>
            </w:pPr>
            <w:r>
              <w:rPr>
                <w:b/>
                <w:bCs/>
                <w:sz w:val="20"/>
                <w:szCs w:val="20"/>
              </w:rPr>
              <w:t>Área de residencia</w:t>
            </w:r>
          </w:p>
        </w:tc>
        <w:tc>
          <w:tcPr>
            <w:tcW w:w="362" w:type="pct"/>
            <w:vMerge w:val="restart"/>
            <w:vAlign w:val="center"/>
          </w:tcPr>
          <w:p w:rsidR="00000000" w:rsidRDefault="00000000">
            <w:pPr>
              <w:jc w:val="center"/>
              <w:rPr>
                <w:b/>
                <w:bCs/>
                <w:sz w:val="20"/>
                <w:szCs w:val="20"/>
              </w:rPr>
            </w:pPr>
            <w:r>
              <w:rPr>
                <w:b/>
                <w:bCs/>
                <w:sz w:val="20"/>
                <w:szCs w:val="20"/>
              </w:rPr>
              <w:t>Total</w:t>
            </w:r>
          </w:p>
        </w:tc>
        <w:tc>
          <w:tcPr>
            <w:tcW w:w="709" w:type="pct"/>
            <w:gridSpan w:val="2"/>
            <w:vAlign w:val="center"/>
          </w:tcPr>
          <w:p w:rsidR="00000000" w:rsidRDefault="00000000">
            <w:pPr>
              <w:jc w:val="center"/>
              <w:rPr>
                <w:b/>
                <w:bCs/>
                <w:sz w:val="20"/>
                <w:szCs w:val="20"/>
              </w:rPr>
            </w:pPr>
            <w:r>
              <w:rPr>
                <w:b/>
                <w:bCs/>
                <w:sz w:val="20"/>
                <w:szCs w:val="20"/>
              </w:rPr>
              <w:t>Área de residencia</w:t>
            </w:r>
          </w:p>
        </w:tc>
      </w:tr>
      <w:tr w:rsidR="00000000">
        <w:trPr>
          <w:cantSplit/>
          <w:trHeight w:val="20"/>
          <w:jc w:val="center"/>
        </w:trPr>
        <w:tc>
          <w:tcPr>
            <w:tcW w:w="659" w:type="pct"/>
            <w:vMerge/>
            <w:vAlign w:val="center"/>
          </w:tcPr>
          <w:p w:rsidR="00000000" w:rsidRDefault="00000000">
            <w:pPr>
              <w:jc w:val="center"/>
              <w:rPr>
                <w:b/>
                <w:bCs/>
                <w:sz w:val="20"/>
                <w:szCs w:val="20"/>
              </w:rPr>
            </w:pPr>
          </w:p>
        </w:tc>
        <w:tc>
          <w:tcPr>
            <w:tcW w:w="356" w:type="pct"/>
            <w:vMerge/>
            <w:vAlign w:val="center"/>
          </w:tcPr>
          <w:p w:rsidR="00000000" w:rsidRDefault="00000000">
            <w:pPr>
              <w:jc w:val="center"/>
              <w:rPr>
                <w:b/>
                <w:bCs/>
                <w:sz w:val="20"/>
                <w:szCs w:val="20"/>
              </w:rPr>
            </w:pPr>
          </w:p>
        </w:tc>
        <w:tc>
          <w:tcPr>
            <w:tcW w:w="357" w:type="pct"/>
            <w:vAlign w:val="center"/>
          </w:tcPr>
          <w:p w:rsidR="00000000" w:rsidRDefault="00000000">
            <w:pPr>
              <w:jc w:val="center"/>
              <w:rPr>
                <w:b/>
                <w:bCs/>
                <w:sz w:val="20"/>
                <w:szCs w:val="20"/>
                <w:lang w:val="en-GB"/>
              </w:rPr>
            </w:pPr>
            <w:r>
              <w:rPr>
                <w:b/>
                <w:bCs/>
                <w:sz w:val="20"/>
                <w:szCs w:val="20"/>
                <w:lang w:val="en-GB"/>
              </w:rPr>
              <w:t>Urbana</w:t>
            </w:r>
          </w:p>
        </w:tc>
        <w:tc>
          <w:tcPr>
            <w:tcW w:w="358" w:type="pct"/>
            <w:vAlign w:val="center"/>
          </w:tcPr>
          <w:p w:rsidR="00000000" w:rsidRDefault="00000000">
            <w:pPr>
              <w:jc w:val="center"/>
              <w:rPr>
                <w:b/>
                <w:bCs/>
                <w:sz w:val="20"/>
                <w:szCs w:val="20"/>
                <w:lang w:val="en-GB"/>
              </w:rPr>
            </w:pPr>
            <w:r>
              <w:rPr>
                <w:b/>
                <w:bCs/>
                <w:sz w:val="20"/>
                <w:szCs w:val="20"/>
                <w:lang w:val="en-GB"/>
              </w:rPr>
              <w:t>Rural</w:t>
            </w:r>
          </w:p>
        </w:tc>
        <w:tc>
          <w:tcPr>
            <w:tcW w:w="359" w:type="pct"/>
            <w:vMerge/>
            <w:vAlign w:val="center"/>
          </w:tcPr>
          <w:p w:rsidR="00000000" w:rsidRDefault="00000000">
            <w:pPr>
              <w:jc w:val="center"/>
              <w:rPr>
                <w:b/>
                <w:bCs/>
                <w:sz w:val="20"/>
                <w:szCs w:val="20"/>
                <w:lang w:val="en-GB"/>
              </w:rPr>
            </w:pPr>
          </w:p>
        </w:tc>
        <w:tc>
          <w:tcPr>
            <w:tcW w:w="353" w:type="pct"/>
            <w:vAlign w:val="center"/>
          </w:tcPr>
          <w:p w:rsidR="00000000" w:rsidRDefault="00000000">
            <w:pPr>
              <w:jc w:val="center"/>
              <w:rPr>
                <w:b/>
                <w:bCs/>
                <w:sz w:val="20"/>
                <w:szCs w:val="20"/>
                <w:lang w:val="en-GB"/>
              </w:rPr>
            </w:pPr>
            <w:r>
              <w:rPr>
                <w:b/>
                <w:bCs/>
                <w:sz w:val="20"/>
                <w:szCs w:val="20"/>
                <w:lang w:val="en-GB"/>
              </w:rPr>
              <w:t>Urbana</w:t>
            </w:r>
          </w:p>
        </w:tc>
        <w:tc>
          <w:tcPr>
            <w:tcW w:w="416" w:type="pct"/>
            <w:vAlign w:val="center"/>
          </w:tcPr>
          <w:p w:rsidR="00000000" w:rsidRDefault="00000000">
            <w:pPr>
              <w:jc w:val="center"/>
              <w:rPr>
                <w:b/>
                <w:bCs/>
                <w:sz w:val="20"/>
                <w:szCs w:val="20"/>
                <w:lang w:val="en-GB"/>
              </w:rPr>
            </w:pPr>
            <w:r>
              <w:rPr>
                <w:b/>
                <w:bCs/>
                <w:sz w:val="20"/>
                <w:szCs w:val="20"/>
                <w:lang w:val="en-GB"/>
              </w:rPr>
              <w:t>Rural</w:t>
            </w:r>
          </w:p>
        </w:tc>
        <w:tc>
          <w:tcPr>
            <w:tcW w:w="361" w:type="pct"/>
            <w:vMerge/>
            <w:vAlign w:val="center"/>
          </w:tcPr>
          <w:p w:rsidR="00000000" w:rsidRDefault="00000000">
            <w:pPr>
              <w:jc w:val="center"/>
              <w:rPr>
                <w:b/>
                <w:bCs/>
                <w:sz w:val="20"/>
                <w:szCs w:val="20"/>
                <w:lang w:val="en-GB"/>
              </w:rPr>
            </w:pPr>
          </w:p>
        </w:tc>
        <w:tc>
          <w:tcPr>
            <w:tcW w:w="358" w:type="pct"/>
            <w:vAlign w:val="center"/>
          </w:tcPr>
          <w:p w:rsidR="00000000" w:rsidRDefault="00000000">
            <w:pPr>
              <w:jc w:val="center"/>
              <w:rPr>
                <w:b/>
                <w:bCs/>
                <w:sz w:val="20"/>
                <w:szCs w:val="20"/>
                <w:lang w:val="en-GB"/>
              </w:rPr>
            </w:pPr>
            <w:r>
              <w:rPr>
                <w:b/>
                <w:bCs/>
                <w:sz w:val="20"/>
                <w:szCs w:val="20"/>
                <w:lang w:val="en-GB"/>
              </w:rPr>
              <w:t>Urbana</w:t>
            </w:r>
          </w:p>
        </w:tc>
        <w:tc>
          <w:tcPr>
            <w:tcW w:w="353" w:type="pct"/>
            <w:vAlign w:val="center"/>
          </w:tcPr>
          <w:p w:rsidR="00000000" w:rsidRDefault="00000000">
            <w:pPr>
              <w:jc w:val="center"/>
              <w:rPr>
                <w:b/>
                <w:bCs/>
                <w:sz w:val="20"/>
                <w:szCs w:val="20"/>
                <w:lang w:val="en-GB"/>
              </w:rPr>
            </w:pPr>
            <w:r>
              <w:rPr>
                <w:b/>
                <w:bCs/>
                <w:sz w:val="20"/>
                <w:szCs w:val="20"/>
                <w:lang w:val="en-GB"/>
              </w:rPr>
              <w:t>Rural</w:t>
            </w:r>
          </w:p>
        </w:tc>
        <w:tc>
          <w:tcPr>
            <w:tcW w:w="362" w:type="pct"/>
            <w:vMerge/>
            <w:vAlign w:val="center"/>
          </w:tcPr>
          <w:p w:rsidR="00000000" w:rsidRDefault="00000000">
            <w:pPr>
              <w:jc w:val="center"/>
              <w:rPr>
                <w:b/>
                <w:bCs/>
                <w:sz w:val="20"/>
                <w:szCs w:val="20"/>
                <w:lang w:val="en-GB"/>
              </w:rPr>
            </w:pPr>
          </w:p>
        </w:tc>
        <w:tc>
          <w:tcPr>
            <w:tcW w:w="359" w:type="pct"/>
            <w:vAlign w:val="center"/>
          </w:tcPr>
          <w:p w:rsidR="00000000" w:rsidRDefault="00000000">
            <w:pPr>
              <w:jc w:val="center"/>
              <w:rPr>
                <w:b/>
                <w:bCs/>
                <w:sz w:val="20"/>
                <w:szCs w:val="20"/>
                <w:lang w:val="es-ES_tradnl"/>
              </w:rPr>
            </w:pPr>
            <w:r>
              <w:rPr>
                <w:b/>
                <w:bCs/>
                <w:sz w:val="20"/>
                <w:szCs w:val="20"/>
                <w:lang w:val="es-ES_tradnl"/>
              </w:rPr>
              <w:t>Urbana</w:t>
            </w:r>
          </w:p>
        </w:tc>
        <w:tc>
          <w:tcPr>
            <w:tcW w:w="350" w:type="pct"/>
            <w:vAlign w:val="center"/>
          </w:tcPr>
          <w:p w:rsidR="00000000" w:rsidRDefault="00000000">
            <w:pPr>
              <w:jc w:val="center"/>
              <w:rPr>
                <w:b/>
                <w:bCs/>
                <w:sz w:val="20"/>
                <w:szCs w:val="20"/>
                <w:lang w:val="es-ES_tradnl"/>
              </w:rPr>
            </w:pPr>
            <w:r>
              <w:rPr>
                <w:b/>
                <w:bCs/>
                <w:sz w:val="20"/>
                <w:szCs w:val="20"/>
                <w:lang w:val="es-ES_tradnl"/>
              </w:rPr>
              <w:t>Rural</w:t>
            </w:r>
          </w:p>
        </w:tc>
      </w:tr>
      <w:tr w:rsidR="00000000">
        <w:trPr>
          <w:trHeight w:val="20"/>
          <w:jc w:val="center"/>
        </w:trPr>
        <w:tc>
          <w:tcPr>
            <w:tcW w:w="659" w:type="pct"/>
            <w:noWrap/>
            <w:vAlign w:val="bottom"/>
          </w:tcPr>
          <w:p w:rsidR="00000000" w:rsidRDefault="00000000">
            <w:pPr>
              <w:rPr>
                <w:sz w:val="20"/>
                <w:szCs w:val="20"/>
              </w:rPr>
            </w:pPr>
            <w:r>
              <w:rPr>
                <w:sz w:val="20"/>
                <w:szCs w:val="20"/>
              </w:rPr>
              <w:t>Corposana o Senasa</w:t>
            </w:r>
          </w:p>
        </w:tc>
        <w:tc>
          <w:tcPr>
            <w:tcW w:w="356" w:type="pct"/>
            <w:noWrap/>
            <w:vAlign w:val="bottom"/>
          </w:tcPr>
          <w:p w:rsidR="00000000" w:rsidRDefault="00000000">
            <w:pPr>
              <w:jc w:val="right"/>
              <w:rPr>
                <w:sz w:val="20"/>
                <w:szCs w:val="20"/>
              </w:rPr>
            </w:pPr>
            <w:r>
              <w:rPr>
                <w:sz w:val="20"/>
                <w:szCs w:val="20"/>
              </w:rPr>
              <w:t>34,6</w:t>
            </w:r>
          </w:p>
        </w:tc>
        <w:tc>
          <w:tcPr>
            <w:tcW w:w="357" w:type="pct"/>
            <w:noWrap/>
            <w:vAlign w:val="bottom"/>
          </w:tcPr>
          <w:p w:rsidR="00000000" w:rsidRDefault="00000000">
            <w:pPr>
              <w:jc w:val="right"/>
              <w:rPr>
                <w:sz w:val="20"/>
                <w:szCs w:val="20"/>
              </w:rPr>
            </w:pPr>
            <w:r>
              <w:rPr>
                <w:sz w:val="20"/>
                <w:szCs w:val="20"/>
              </w:rPr>
              <w:t>59,8</w:t>
            </w:r>
          </w:p>
        </w:tc>
        <w:tc>
          <w:tcPr>
            <w:tcW w:w="358" w:type="pct"/>
            <w:noWrap/>
            <w:vAlign w:val="bottom"/>
          </w:tcPr>
          <w:p w:rsidR="00000000" w:rsidRDefault="00000000">
            <w:pPr>
              <w:jc w:val="right"/>
              <w:rPr>
                <w:sz w:val="20"/>
                <w:szCs w:val="20"/>
              </w:rPr>
            </w:pPr>
            <w:r>
              <w:rPr>
                <w:sz w:val="20"/>
                <w:szCs w:val="20"/>
              </w:rPr>
              <w:t>4,8</w:t>
            </w:r>
          </w:p>
        </w:tc>
        <w:tc>
          <w:tcPr>
            <w:tcW w:w="357" w:type="pct"/>
            <w:noWrap/>
            <w:vAlign w:val="bottom"/>
          </w:tcPr>
          <w:p w:rsidR="00000000" w:rsidRDefault="00000000">
            <w:pPr>
              <w:jc w:val="right"/>
              <w:rPr>
                <w:sz w:val="20"/>
                <w:szCs w:val="20"/>
              </w:rPr>
            </w:pPr>
            <w:r>
              <w:rPr>
                <w:sz w:val="20"/>
                <w:szCs w:val="20"/>
              </w:rPr>
              <w:t>37,1</w:t>
            </w:r>
          </w:p>
        </w:tc>
        <w:tc>
          <w:tcPr>
            <w:tcW w:w="355" w:type="pct"/>
            <w:noWrap/>
            <w:vAlign w:val="bottom"/>
          </w:tcPr>
          <w:p w:rsidR="00000000" w:rsidRDefault="00000000">
            <w:pPr>
              <w:jc w:val="right"/>
              <w:rPr>
                <w:sz w:val="20"/>
                <w:szCs w:val="20"/>
              </w:rPr>
            </w:pPr>
            <w:r>
              <w:rPr>
                <w:sz w:val="20"/>
                <w:szCs w:val="20"/>
              </w:rPr>
              <w:t>57,8</w:t>
            </w:r>
          </w:p>
        </w:tc>
        <w:tc>
          <w:tcPr>
            <w:tcW w:w="416" w:type="pct"/>
            <w:noWrap/>
            <w:vAlign w:val="bottom"/>
          </w:tcPr>
          <w:p w:rsidR="00000000" w:rsidRDefault="00000000">
            <w:pPr>
              <w:jc w:val="right"/>
              <w:rPr>
                <w:sz w:val="20"/>
                <w:szCs w:val="20"/>
              </w:rPr>
            </w:pPr>
            <w:r>
              <w:rPr>
                <w:sz w:val="20"/>
                <w:szCs w:val="20"/>
              </w:rPr>
              <w:t>9,8</w:t>
            </w:r>
          </w:p>
        </w:tc>
        <w:tc>
          <w:tcPr>
            <w:tcW w:w="361" w:type="pct"/>
            <w:noWrap/>
            <w:vAlign w:val="bottom"/>
          </w:tcPr>
          <w:p w:rsidR="00000000" w:rsidRDefault="00000000">
            <w:pPr>
              <w:jc w:val="right"/>
              <w:rPr>
                <w:sz w:val="20"/>
                <w:szCs w:val="20"/>
              </w:rPr>
            </w:pPr>
            <w:r>
              <w:rPr>
                <w:sz w:val="20"/>
                <w:szCs w:val="20"/>
              </w:rPr>
              <w:t>46,0</w:t>
            </w:r>
          </w:p>
        </w:tc>
        <w:tc>
          <w:tcPr>
            <w:tcW w:w="358" w:type="pct"/>
            <w:noWrap/>
            <w:vAlign w:val="bottom"/>
          </w:tcPr>
          <w:p w:rsidR="00000000" w:rsidRDefault="00000000">
            <w:pPr>
              <w:jc w:val="right"/>
              <w:rPr>
                <w:sz w:val="20"/>
                <w:szCs w:val="20"/>
              </w:rPr>
            </w:pPr>
            <w:r>
              <w:rPr>
                <w:sz w:val="20"/>
                <w:szCs w:val="20"/>
              </w:rPr>
              <w:t>60,4</w:t>
            </w:r>
          </w:p>
        </w:tc>
        <w:tc>
          <w:tcPr>
            <w:tcW w:w="353" w:type="pct"/>
            <w:noWrap/>
            <w:vAlign w:val="bottom"/>
          </w:tcPr>
          <w:p w:rsidR="00000000" w:rsidRDefault="00000000">
            <w:pPr>
              <w:jc w:val="right"/>
              <w:rPr>
                <w:sz w:val="20"/>
                <w:szCs w:val="20"/>
              </w:rPr>
            </w:pPr>
            <w:r>
              <w:rPr>
                <w:sz w:val="20"/>
                <w:szCs w:val="20"/>
              </w:rPr>
              <w:t>24,9</w:t>
            </w:r>
          </w:p>
        </w:tc>
        <w:tc>
          <w:tcPr>
            <w:tcW w:w="362" w:type="pct"/>
            <w:noWrap/>
            <w:vAlign w:val="bottom"/>
          </w:tcPr>
          <w:p w:rsidR="00000000" w:rsidRDefault="00000000">
            <w:pPr>
              <w:jc w:val="right"/>
              <w:rPr>
                <w:sz w:val="20"/>
                <w:szCs w:val="20"/>
              </w:rPr>
            </w:pPr>
            <w:r>
              <w:rPr>
                <w:sz w:val="20"/>
                <w:szCs w:val="20"/>
              </w:rPr>
              <w:t xml:space="preserve">46,3 </w:t>
            </w:r>
          </w:p>
        </w:tc>
        <w:tc>
          <w:tcPr>
            <w:tcW w:w="359" w:type="pct"/>
            <w:noWrap/>
            <w:vAlign w:val="bottom"/>
          </w:tcPr>
          <w:p w:rsidR="00000000" w:rsidRDefault="00000000">
            <w:pPr>
              <w:jc w:val="right"/>
              <w:rPr>
                <w:sz w:val="20"/>
                <w:szCs w:val="20"/>
              </w:rPr>
            </w:pPr>
            <w:r>
              <w:rPr>
                <w:sz w:val="20"/>
                <w:szCs w:val="20"/>
              </w:rPr>
              <w:t>60,0</w:t>
            </w:r>
          </w:p>
        </w:tc>
        <w:tc>
          <w:tcPr>
            <w:tcW w:w="350" w:type="pct"/>
            <w:noWrap/>
            <w:vAlign w:val="bottom"/>
          </w:tcPr>
          <w:p w:rsidR="00000000" w:rsidRDefault="00000000">
            <w:pPr>
              <w:jc w:val="right"/>
              <w:rPr>
                <w:sz w:val="20"/>
                <w:szCs w:val="20"/>
              </w:rPr>
            </w:pPr>
            <w:r>
              <w:rPr>
                <w:sz w:val="20"/>
                <w:szCs w:val="20"/>
              </w:rPr>
              <w:t xml:space="preserve">25,3 </w:t>
            </w:r>
          </w:p>
        </w:tc>
      </w:tr>
      <w:tr w:rsidR="00000000">
        <w:trPr>
          <w:trHeight w:val="20"/>
          <w:jc w:val="center"/>
        </w:trPr>
        <w:tc>
          <w:tcPr>
            <w:tcW w:w="659" w:type="pct"/>
            <w:noWrap/>
            <w:vAlign w:val="bottom"/>
          </w:tcPr>
          <w:p w:rsidR="00000000" w:rsidRDefault="00000000">
            <w:pPr>
              <w:rPr>
                <w:sz w:val="20"/>
                <w:szCs w:val="20"/>
              </w:rPr>
            </w:pPr>
            <w:r>
              <w:rPr>
                <w:sz w:val="20"/>
                <w:szCs w:val="20"/>
              </w:rPr>
              <w:t>Red privada</w:t>
            </w:r>
          </w:p>
        </w:tc>
        <w:tc>
          <w:tcPr>
            <w:tcW w:w="356" w:type="pct"/>
            <w:noWrap/>
            <w:vAlign w:val="bottom"/>
          </w:tcPr>
          <w:p w:rsidR="00000000" w:rsidRDefault="00000000">
            <w:pPr>
              <w:jc w:val="right"/>
              <w:rPr>
                <w:sz w:val="20"/>
                <w:szCs w:val="20"/>
              </w:rPr>
            </w:pPr>
            <w:r>
              <w:rPr>
                <w:sz w:val="20"/>
                <w:szCs w:val="20"/>
              </w:rPr>
              <w:t>7,0</w:t>
            </w:r>
          </w:p>
        </w:tc>
        <w:tc>
          <w:tcPr>
            <w:tcW w:w="357" w:type="pct"/>
            <w:noWrap/>
            <w:vAlign w:val="bottom"/>
          </w:tcPr>
          <w:p w:rsidR="00000000" w:rsidRDefault="00000000">
            <w:pPr>
              <w:jc w:val="right"/>
              <w:rPr>
                <w:sz w:val="20"/>
                <w:szCs w:val="20"/>
              </w:rPr>
            </w:pPr>
            <w:r>
              <w:rPr>
                <w:sz w:val="20"/>
                <w:szCs w:val="20"/>
              </w:rPr>
              <w:t>9,0</w:t>
            </w:r>
          </w:p>
        </w:tc>
        <w:tc>
          <w:tcPr>
            <w:tcW w:w="358" w:type="pct"/>
            <w:noWrap/>
            <w:vAlign w:val="bottom"/>
          </w:tcPr>
          <w:p w:rsidR="00000000" w:rsidRDefault="00000000">
            <w:pPr>
              <w:jc w:val="right"/>
              <w:rPr>
                <w:sz w:val="20"/>
                <w:szCs w:val="20"/>
              </w:rPr>
            </w:pPr>
            <w:r>
              <w:rPr>
                <w:sz w:val="20"/>
                <w:szCs w:val="20"/>
              </w:rPr>
              <w:t>4,6</w:t>
            </w:r>
          </w:p>
        </w:tc>
        <w:tc>
          <w:tcPr>
            <w:tcW w:w="357" w:type="pct"/>
            <w:noWrap/>
            <w:vAlign w:val="bottom"/>
          </w:tcPr>
          <w:p w:rsidR="00000000" w:rsidRDefault="00000000">
            <w:pPr>
              <w:jc w:val="right"/>
              <w:rPr>
                <w:sz w:val="20"/>
                <w:szCs w:val="20"/>
              </w:rPr>
            </w:pPr>
            <w:r>
              <w:rPr>
                <w:sz w:val="20"/>
                <w:szCs w:val="20"/>
              </w:rPr>
              <w:t>10,3</w:t>
            </w:r>
          </w:p>
        </w:tc>
        <w:tc>
          <w:tcPr>
            <w:tcW w:w="355" w:type="pct"/>
            <w:noWrap/>
            <w:vAlign w:val="bottom"/>
          </w:tcPr>
          <w:p w:rsidR="00000000" w:rsidRDefault="00000000">
            <w:pPr>
              <w:jc w:val="right"/>
              <w:rPr>
                <w:sz w:val="20"/>
                <w:szCs w:val="20"/>
              </w:rPr>
            </w:pPr>
            <w:r>
              <w:rPr>
                <w:sz w:val="20"/>
                <w:szCs w:val="20"/>
              </w:rPr>
              <w:t>13,8</w:t>
            </w:r>
          </w:p>
        </w:tc>
        <w:tc>
          <w:tcPr>
            <w:tcW w:w="416" w:type="pct"/>
            <w:noWrap/>
            <w:vAlign w:val="bottom"/>
          </w:tcPr>
          <w:p w:rsidR="00000000" w:rsidRDefault="00000000">
            <w:pPr>
              <w:jc w:val="right"/>
              <w:rPr>
                <w:sz w:val="20"/>
                <w:szCs w:val="20"/>
              </w:rPr>
            </w:pPr>
            <w:r>
              <w:rPr>
                <w:sz w:val="20"/>
                <w:szCs w:val="20"/>
              </w:rPr>
              <w:t>5,6</w:t>
            </w:r>
          </w:p>
        </w:tc>
        <w:tc>
          <w:tcPr>
            <w:tcW w:w="361" w:type="pct"/>
            <w:noWrap/>
            <w:vAlign w:val="bottom"/>
          </w:tcPr>
          <w:p w:rsidR="00000000" w:rsidRDefault="00000000">
            <w:pPr>
              <w:jc w:val="right"/>
              <w:rPr>
                <w:sz w:val="20"/>
                <w:szCs w:val="20"/>
              </w:rPr>
            </w:pPr>
            <w:r>
              <w:rPr>
                <w:sz w:val="20"/>
                <w:szCs w:val="20"/>
              </w:rPr>
              <w:t>13,8</w:t>
            </w:r>
          </w:p>
        </w:tc>
        <w:tc>
          <w:tcPr>
            <w:tcW w:w="358" w:type="pct"/>
            <w:noWrap/>
            <w:vAlign w:val="bottom"/>
          </w:tcPr>
          <w:p w:rsidR="00000000" w:rsidRDefault="00000000">
            <w:pPr>
              <w:jc w:val="right"/>
              <w:rPr>
                <w:sz w:val="20"/>
                <w:szCs w:val="20"/>
              </w:rPr>
            </w:pPr>
            <w:r>
              <w:rPr>
                <w:sz w:val="20"/>
                <w:szCs w:val="20"/>
              </w:rPr>
              <w:t>17,9</w:t>
            </w:r>
          </w:p>
        </w:tc>
        <w:tc>
          <w:tcPr>
            <w:tcW w:w="353" w:type="pct"/>
            <w:noWrap/>
            <w:vAlign w:val="bottom"/>
          </w:tcPr>
          <w:p w:rsidR="00000000" w:rsidRDefault="00000000">
            <w:pPr>
              <w:jc w:val="right"/>
              <w:rPr>
                <w:sz w:val="20"/>
                <w:szCs w:val="20"/>
              </w:rPr>
            </w:pPr>
            <w:r>
              <w:rPr>
                <w:sz w:val="20"/>
                <w:szCs w:val="20"/>
              </w:rPr>
              <w:t>7,8</w:t>
            </w:r>
          </w:p>
        </w:tc>
        <w:tc>
          <w:tcPr>
            <w:tcW w:w="362" w:type="pct"/>
            <w:noWrap/>
            <w:vAlign w:val="bottom"/>
          </w:tcPr>
          <w:p w:rsidR="00000000" w:rsidRDefault="00000000">
            <w:pPr>
              <w:jc w:val="right"/>
              <w:rPr>
                <w:sz w:val="20"/>
                <w:szCs w:val="20"/>
              </w:rPr>
            </w:pPr>
            <w:r>
              <w:rPr>
                <w:sz w:val="20"/>
                <w:szCs w:val="20"/>
              </w:rPr>
              <w:t xml:space="preserve">16,9 </w:t>
            </w:r>
          </w:p>
        </w:tc>
        <w:tc>
          <w:tcPr>
            <w:tcW w:w="359" w:type="pct"/>
            <w:noWrap/>
            <w:vAlign w:val="bottom"/>
          </w:tcPr>
          <w:p w:rsidR="00000000" w:rsidRDefault="00000000">
            <w:pPr>
              <w:jc w:val="right"/>
              <w:rPr>
                <w:sz w:val="20"/>
                <w:szCs w:val="20"/>
              </w:rPr>
            </w:pPr>
            <w:r>
              <w:rPr>
                <w:sz w:val="20"/>
                <w:szCs w:val="20"/>
              </w:rPr>
              <w:t>21,3</w:t>
            </w:r>
          </w:p>
        </w:tc>
        <w:tc>
          <w:tcPr>
            <w:tcW w:w="350" w:type="pct"/>
            <w:noWrap/>
            <w:vAlign w:val="bottom"/>
          </w:tcPr>
          <w:p w:rsidR="00000000" w:rsidRDefault="00000000">
            <w:pPr>
              <w:jc w:val="right"/>
              <w:rPr>
                <w:sz w:val="20"/>
                <w:szCs w:val="20"/>
              </w:rPr>
            </w:pPr>
            <w:r>
              <w:rPr>
                <w:sz w:val="20"/>
                <w:szCs w:val="20"/>
              </w:rPr>
              <w:t xml:space="preserve">10,2 </w:t>
            </w:r>
          </w:p>
        </w:tc>
      </w:tr>
      <w:tr w:rsidR="00000000">
        <w:trPr>
          <w:trHeight w:val="20"/>
          <w:jc w:val="center"/>
        </w:trPr>
        <w:tc>
          <w:tcPr>
            <w:tcW w:w="659" w:type="pct"/>
            <w:noWrap/>
            <w:vAlign w:val="bottom"/>
          </w:tcPr>
          <w:p w:rsidR="00000000" w:rsidRDefault="00000000">
            <w:pPr>
              <w:rPr>
                <w:sz w:val="20"/>
                <w:szCs w:val="20"/>
              </w:rPr>
            </w:pPr>
            <w:r>
              <w:rPr>
                <w:sz w:val="20"/>
                <w:szCs w:val="20"/>
              </w:rPr>
              <w:t>Arroyo-tajamar-río</w:t>
            </w:r>
          </w:p>
        </w:tc>
        <w:tc>
          <w:tcPr>
            <w:tcW w:w="356" w:type="pct"/>
            <w:noWrap/>
            <w:vAlign w:val="bottom"/>
          </w:tcPr>
          <w:p w:rsidR="00000000" w:rsidRDefault="00000000">
            <w:pPr>
              <w:jc w:val="right"/>
              <w:rPr>
                <w:sz w:val="20"/>
                <w:szCs w:val="20"/>
              </w:rPr>
            </w:pPr>
            <w:r>
              <w:rPr>
                <w:sz w:val="20"/>
                <w:szCs w:val="20"/>
              </w:rPr>
              <w:t>1,1</w:t>
            </w:r>
          </w:p>
        </w:tc>
        <w:tc>
          <w:tcPr>
            <w:tcW w:w="357" w:type="pct"/>
            <w:noWrap/>
            <w:vAlign w:val="bottom"/>
          </w:tcPr>
          <w:p w:rsidR="00000000" w:rsidRDefault="00000000">
            <w:pPr>
              <w:jc w:val="right"/>
              <w:rPr>
                <w:sz w:val="20"/>
                <w:szCs w:val="20"/>
              </w:rPr>
            </w:pPr>
            <w:r>
              <w:rPr>
                <w:sz w:val="20"/>
                <w:szCs w:val="20"/>
              </w:rPr>
              <w:t>0,2</w:t>
            </w:r>
          </w:p>
        </w:tc>
        <w:tc>
          <w:tcPr>
            <w:tcW w:w="358" w:type="pct"/>
            <w:noWrap/>
            <w:vAlign w:val="bottom"/>
          </w:tcPr>
          <w:p w:rsidR="00000000" w:rsidRDefault="00000000">
            <w:pPr>
              <w:jc w:val="right"/>
              <w:rPr>
                <w:sz w:val="20"/>
                <w:szCs w:val="20"/>
              </w:rPr>
            </w:pPr>
            <w:r>
              <w:rPr>
                <w:sz w:val="20"/>
                <w:szCs w:val="20"/>
              </w:rPr>
              <w:t>2,1</w:t>
            </w:r>
          </w:p>
        </w:tc>
        <w:tc>
          <w:tcPr>
            <w:tcW w:w="357" w:type="pct"/>
            <w:noWrap/>
            <w:vAlign w:val="bottom"/>
          </w:tcPr>
          <w:p w:rsidR="00000000" w:rsidRDefault="00000000">
            <w:pPr>
              <w:jc w:val="right"/>
              <w:rPr>
                <w:sz w:val="20"/>
                <w:szCs w:val="20"/>
              </w:rPr>
            </w:pPr>
            <w:r>
              <w:rPr>
                <w:sz w:val="20"/>
                <w:szCs w:val="20"/>
              </w:rPr>
              <w:t>0,6</w:t>
            </w:r>
          </w:p>
        </w:tc>
        <w:tc>
          <w:tcPr>
            <w:tcW w:w="355" w:type="pct"/>
            <w:noWrap/>
            <w:vAlign w:val="bottom"/>
          </w:tcPr>
          <w:p w:rsidR="00000000" w:rsidRDefault="00000000">
            <w:pPr>
              <w:jc w:val="right"/>
              <w:rPr>
                <w:sz w:val="20"/>
                <w:szCs w:val="20"/>
              </w:rPr>
            </w:pPr>
            <w:r>
              <w:rPr>
                <w:sz w:val="20"/>
                <w:szCs w:val="20"/>
              </w:rPr>
              <w:t>-</w:t>
            </w:r>
          </w:p>
        </w:tc>
        <w:tc>
          <w:tcPr>
            <w:tcW w:w="416" w:type="pct"/>
            <w:noWrap/>
            <w:vAlign w:val="bottom"/>
          </w:tcPr>
          <w:p w:rsidR="00000000" w:rsidRDefault="00000000">
            <w:pPr>
              <w:jc w:val="right"/>
              <w:rPr>
                <w:sz w:val="20"/>
                <w:szCs w:val="20"/>
              </w:rPr>
            </w:pPr>
            <w:r>
              <w:rPr>
                <w:sz w:val="20"/>
                <w:szCs w:val="20"/>
              </w:rPr>
              <w:t>1,4</w:t>
            </w:r>
          </w:p>
        </w:tc>
        <w:tc>
          <w:tcPr>
            <w:tcW w:w="361" w:type="pct"/>
            <w:noWrap/>
            <w:vAlign w:val="bottom"/>
          </w:tcPr>
          <w:p w:rsidR="00000000" w:rsidRDefault="00000000">
            <w:pPr>
              <w:jc w:val="right"/>
              <w:rPr>
                <w:sz w:val="20"/>
                <w:szCs w:val="20"/>
              </w:rPr>
            </w:pPr>
            <w:r>
              <w:rPr>
                <w:sz w:val="20"/>
                <w:szCs w:val="20"/>
              </w:rPr>
              <w:t>2,2</w:t>
            </w:r>
          </w:p>
        </w:tc>
        <w:tc>
          <w:tcPr>
            <w:tcW w:w="358" w:type="pct"/>
            <w:noWrap/>
            <w:vAlign w:val="bottom"/>
          </w:tcPr>
          <w:p w:rsidR="00000000" w:rsidRDefault="00000000">
            <w:pPr>
              <w:jc w:val="right"/>
              <w:rPr>
                <w:sz w:val="20"/>
                <w:szCs w:val="20"/>
              </w:rPr>
            </w:pPr>
            <w:r>
              <w:rPr>
                <w:sz w:val="20"/>
                <w:szCs w:val="20"/>
              </w:rPr>
              <w:t>0,1</w:t>
            </w:r>
          </w:p>
        </w:tc>
        <w:tc>
          <w:tcPr>
            <w:tcW w:w="353" w:type="pct"/>
            <w:noWrap/>
            <w:vAlign w:val="bottom"/>
          </w:tcPr>
          <w:p w:rsidR="00000000" w:rsidRDefault="00000000">
            <w:pPr>
              <w:jc w:val="right"/>
              <w:rPr>
                <w:sz w:val="20"/>
                <w:szCs w:val="20"/>
              </w:rPr>
            </w:pPr>
            <w:r>
              <w:rPr>
                <w:sz w:val="20"/>
                <w:szCs w:val="20"/>
              </w:rPr>
              <w:t>5,2</w:t>
            </w:r>
          </w:p>
        </w:tc>
        <w:tc>
          <w:tcPr>
            <w:tcW w:w="362" w:type="pct"/>
            <w:noWrap/>
            <w:vAlign w:val="bottom"/>
          </w:tcPr>
          <w:p w:rsidR="00000000" w:rsidRDefault="00000000">
            <w:pPr>
              <w:jc w:val="right"/>
              <w:rPr>
                <w:sz w:val="20"/>
                <w:szCs w:val="20"/>
              </w:rPr>
            </w:pPr>
            <w:r>
              <w:rPr>
                <w:sz w:val="20"/>
                <w:szCs w:val="20"/>
              </w:rPr>
              <w:t xml:space="preserve">1,7 </w:t>
            </w:r>
          </w:p>
        </w:tc>
        <w:tc>
          <w:tcPr>
            <w:tcW w:w="359" w:type="pct"/>
            <w:noWrap/>
            <w:vAlign w:val="bottom"/>
          </w:tcPr>
          <w:p w:rsidR="00000000" w:rsidRDefault="00000000">
            <w:pPr>
              <w:jc w:val="right"/>
              <w:rPr>
                <w:sz w:val="20"/>
                <w:szCs w:val="20"/>
              </w:rPr>
            </w:pPr>
            <w:r>
              <w:rPr>
                <w:sz w:val="20"/>
                <w:szCs w:val="20"/>
              </w:rPr>
              <w:t>0,2</w:t>
            </w:r>
          </w:p>
        </w:tc>
        <w:tc>
          <w:tcPr>
            <w:tcW w:w="350" w:type="pct"/>
            <w:noWrap/>
            <w:vAlign w:val="bottom"/>
          </w:tcPr>
          <w:p w:rsidR="00000000" w:rsidRDefault="00000000">
            <w:pPr>
              <w:jc w:val="right"/>
              <w:rPr>
                <w:sz w:val="20"/>
                <w:szCs w:val="20"/>
              </w:rPr>
            </w:pPr>
            <w:r>
              <w:rPr>
                <w:sz w:val="20"/>
                <w:szCs w:val="20"/>
              </w:rPr>
              <w:t xml:space="preserve">4,0 </w:t>
            </w:r>
          </w:p>
        </w:tc>
      </w:tr>
      <w:tr w:rsidR="00000000">
        <w:trPr>
          <w:trHeight w:val="20"/>
          <w:jc w:val="center"/>
        </w:trPr>
        <w:tc>
          <w:tcPr>
            <w:tcW w:w="659" w:type="pct"/>
            <w:noWrap/>
            <w:vAlign w:val="bottom"/>
          </w:tcPr>
          <w:p w:rsidR="00000000" w:rsidRDefault="00000000">
            <w:pPr>
              <w:rPr>
                <w:sz w:val="20"/>
                <w:szCs w:val="20"/>
              </w:rPr>
            </w:pPr>
            <w:r>
              <w:rPr>
                <w:sz w:val="20"/>
                <w:szCs w:val="20"/>
              </w:rPr>
              <w:t>Ycuá o manantial</w:t>
            </w:r>
          </w:p>
        </w:tc>
        <w:tc>
          <w:tcPr>
            <w:tcW w:w="356" w:type="pct"/>
            <w:noWrap/>
            <w:vAlign w:val="bottom"/>
          </w:tcPr>
          <w:p w:rsidR="00000000" w:rsidRDefault="00000000">
            <w:pPr>
              <w:jc w:val="right"/>
              <w:rPr>
                <w:sz w:val="20"/>
                <w:szCs w:val="20"/>
              </w:rPr>
            </w:pPr>
            <w:r>
              <w:rPr>
                <w:sz w:val="20"/>
                <w:szCs w:val="20"/>
              </w:rPr>
              <w:t>3,1</w:t>
            </w:r>
          </w:p>
        </w:tc>
        <w:tc>
          <w:tcPr>
            <w:tcW w:w="357" w:type="pct"/>
            <w:noWrap/>
            <w:vAlign w:val="bottom"/>
          </w:tcPr>
          <w:p w:rsidR="00000000" w:rsidRDefault="00000000">
            <w:pPr>
              <w:jc w:val="right"/>
              <w:rPr>
                <w:sz w:val="20"/>
                <w:szCs w:val="20"/>
              </w:rPr>
            </w:pPr>
            <w:r>
              <w:rPr>
                <w:sz w:val="20"/>
                <w:szCs w:val="20"/>
              </w:rPr>
              <w:t>0,0</w:t>
            </w:r>
          </w:p>
        </w:tc>
        <w:tc>
          <w:tcPr>
            <w:tcW w:w="358" w:type="pct"/>
            <w:noWrap/>
            <w:vAlign w:val="bottom"/>
          </w:tcPr>
          <w:p w:rsidR="00000000" w:rsidRDefault="00000000">
            <w:pPr>
              <w:jc w:val="right"/>
              <w:rPr>
                <w:sz w:val="20"/>
                <w:szCs w:val="20"/>
              </w:rPr>
            </w:pPr>
            <w:r>
              <w:rPr>
                <w:sz w:val="20"/>
                <w:szCs w:val="20"/>
              </w:rPr>
              <w:t>6,8</w:t>
            </w:r>
          </w:p>
        </w:tc>
        <w:tc>
          <w:tcPr>
            <w:tcW w:w="357" w:type="pct"/>
            <w:noWrap/>
            <w:vAlign w:val="bottom"/>
          </w:tcPr>
          <w:p w:rsidR="00000000" w:rsidRDefault="00000000">
            <w:pPr>
              <w:jc w:val="right"/>
              <w:rPr>
                <w:sz w:val="20"/>
                <w:szCs w:val="20"/>
              </w:rPr>
            </w:pPr>
            <w:r>
              <w:rPr>
                <w:sz w:val="20"/>
                <w:szCs w:val="20"/>
              </w:rPr>
              <w:t>3,1</w:t>
            </w:r>
          </w:p>
        </w:tc>
        <w:tc>
          <w:tcPr>
            <w:tcW w:w="355" w:type="pct"/>
            <w:noWrap/>
            <w:vAlign w:val="bottom"/>
          </w:tcPr>
          <w:p w:rsidR="00000000" w:rsidRDefault="00000000">
            <w:pPr>
              <w:jc w:val="right"/>
              <w:rPr>
                <w:sz w:val="20"/>
                <w:szCs w:val="20"/>
              </w:rPr>
            </w:pPr>
            <w:r>
              <w:rPr>
                <w:sz w:val="20"/>
                <w:szCs w:val="20"/>
              </w:rPr>
              <w:t>0,1</w:t>
            </w:r>
          </w:p>
        </w:tc>
        <w:tc>
          <w:tcPr>
            <w:tcW w:w="416" w:type="pct"/>
            <w:noWrap/>
            <w:vAlign w:val="bottom"/>
          </w:tcPr>
          <w:p w:rsidR="00000000" w:rsidRDefault="00000000">
            <w:pPr>
              <w:jc w:val="right"/>
              <w:rPr>
                <w:sz w:val="20"/>
                <w:szCs w:val="20"/>
              </w:rPr>
            </w:pPr>
            <w:r>
              <w:rPr>
                <w:sz w:val="20"/>
                <w:szCs w:val="20"/>
              </w:rPr>
              <w:t>7,0</w:t>
            </w:r>
          </w:p>
        </w:tc>
        <w:tc>
          <w:tcPr>
            <w:tcW w:w="361" w:type="pct"/>
            <w:noWrap/>
            <w:vAlign w:val="bottom"/>
          </w:tcPr>
          <w:p w:rsidR="00000000" w:rsidRDefault="00000000">
            <w:pPr>
              <w:jc w:val="right"/>
              <w:rPr>
                <w:sz w:val="20"/>
                <w:szCs w:val="20"/>
              </w:rPr>
            </w:pPr>
            <w:r>
              <w:rPr>
                <w:sz w:val="20"/>
                <w:szCs w:val="20"/>
              </w:rPr>
              <w:t>-</w:t>
            </w:r>
          </w:p>
        </w:tc>
        <w:tc>
          <w:tcPr>
            <w:tcW w:w="358" w:type="pct"/>
            <w:noWrap/>
            <w:vAlign w:val="bottom"/>
          </w:tcPr>
          <w:p w:rsidR="00000000" w:rsidRDefault="00000000">
            <w:pPr>
              <w:jc w:val="right"/>
              <w:rPr>
                <w:sz w:val="20"/>
                <w:szCs w:val="20"/>
              </w:rPr>
            </w:pPr>
            <w:r>
              <w:rPr>
                <w:sz w:val="20"/>
                <w:szCs w:val="20"/>
              </w:rPr>
              <w:t>-</w:t>
            </w:r>
          </w:p>
        </w:tc>
        <w:tc>
          <w:tcPr>
            <w:tcW w:w="353" w:type="pct"/>
            <w:noWrap/>
            <w:vAlign w:val="bottom"/>
          </w:tcPr>
          <w:p w:rsidR="00000000" w:rsidRDefault="00000000">
            <w:pPr>
              <w:jc w:val="right"/>
              <w:rPr>
                <w:sz w:val="20"/>
                <w:szCs w:val="20"/>
              </w:rPr>
            </w:pPr>
            <w:r>
              <w:rPr>
                <w:sz w:val="20"/>
                <w:szCs w:val="20"/>
              </w:rPr>
              <w:t>-</w:t>
            </w:r>
          </w:p>
        </w:tc>
        <w:tc>
          <w:tcPr>
            <w:tcW w:w="362" w:type="pct"/>
            <w:noWrap/>
            <w:vAlign w:val="bottom"/>
          </w:tcPr>
          <w:p w:rsidR="00000000" w:rsidRDefault="00000000">
            <w:pPr>
              <w:jc w:val="right"/>
              <w:rPr>
                <w:sz w:val="20"/>
                <w:szCs w:val="20"/>
              </w:rPr>
            </w:pPr>
            <w:r>
              <w:rPr>
                <w:sz w:val="20"/>
                <w:szCs w:val="20"/>
              </w:rPr>
              <w:t>-</w:t>
            </w:r>
          </w:p>
        </w:tc>
        <w:tc>
          <w:tcPr>
            <w:tcW w:w="359" w:type="pct"/>
            <w:noWrap/>
            <w:vAlign w:val="bottom"/>
          </w:tcPr>
          <w:p w:rsidR="00000000" w:rsidRDefault="00000000">
            <w:pPr>
              <w:jc w:val="right"/>
              <w:rPr>
                <w:sz w:val="20"/>
                <w:szCs w:val="20"/>
              </w:rPr>
            </w:pPr>
            <w:r>
              <w:rPr>
                <w:sz w:val="20"/>
                <w:szCs w:val="20"/>
              </w:rPr>
              <w:t>-</w:t>
            </w:r>
          </w:p>
        </w:tc>
        <w:tc>
          <w:tcPr>
            <w:tcW w:w="350" w:type="pct"/>
            <w:noWrap/>
            <w:vAlign w:val="bottom"/>
          </w:tcPr>
          <w:p w:rsidR="00000000" w:rsidRDefault="00000000">
            <w:pPr>
              <w:jc w:val="right"/>
              <w:rPr>
                <w:sz w:val="20"/>
                <w:szCs w:val="20"/>
              </w:rPr>
            </w:pPr>
            <w:r>
              <w:rPr>
                <w:sz w:val="20"/>
                <w:szCs w:val="20"/>
              </w:rPr>
              <w:t>-</w:t>
            </w:r>
          </w:p>
        </w:tc>
      </w:tr>
      <w:tr w:rsidR="00000000">
        <w:trPr>
          <w:trHeight w:val="20"/>
          <w:jc w:val="center"/>
        </w:trPr>
        <w:tc>
          <w:tcPr>
            <w:tcW w:w="659" w:type="pct"/>
            <w:noWrap/>
            <w:vAlign w:val="bottom"/>
          </w:tcPr>
          <w:p w:rsidR="00000000" w:rsidRDefault="00000000">
            <w:pPr>
              <w:rPr>
                <w:sz w:val="20"/>
                <w:szCs w:val="20"/>
              </w:rPr>
            </w:pPr>
            <w:r>
              <w:rPr>
                <w:sz w:val="20"/>
                <w:szCs w:val="20"/>
              </w:rPr>
              <w:t>Pozo artesiano</w:t>
            </w:r>
          </w:p>
        </w:tc>
        <w:tc>
          <w:tcPr>
            <w:tcW w:w="356" w:type="pct"/>
            <w:noWrap/>
            <w:vAlign w:val="bottom"/>
          </w:tcPr>
          <w:p w:rsidR="00000000" w:rsidRDefault="00000000">
            <w:pPr>
              <w:jc w:val="right"/>
              <w:rPr>
                <w:sz w:val="20"/>
                <w:szCs w:val="20"/>
              </w:rPr>
            </w:pPr>
            <w:r>
              <w:rPr>
                <w:sz w:val="20"/>
                <w:szCs w:val="20"/>
              </w:rPr>
              <w:t>-</w:t>
            </w:r>
          </w:p>
        </w:tc>
        <w:tc>
          <w:tcPr>
            <w:tcW w:w="357" w:type="pct"/>
            <w:noWrap/>
            <w:vAlign w:val="bottom"/>
          </w:tcPr>
          <w:p w:rsidR="00000000" w:rsidRDefault="00000000">
            <w:pPr>
              <w:jc w:val="right"/>
              <w:rPr>
                <w:sz w:val="20"/>
                <w:szCs w:val="20"/>
              </w:rPr>
            </w:pPr>
            <w:r>
              <w:rPr>
                <w:sz w:val="20"/>
                <w:szCs w:val="20"/>
              </w:rPr>
              <w:t>-</w:t>
            </w:r>
          </w:p>
        </w:tc>
        <w:tc>
          <w:tcPr>
            <w:tcW w:w="358" w:type="pct"/>
            <w:noWrap/>
            <w:vAlign w:val="bottom"/>
          </w:tcPr>
          <w:p w:rsidR="00000000" w:rsidRDefault="00000000">
            <w:pPr>
              <w:jc w:val="right"/>
              <w:rPr>
                <w:sz w:val="20"/>
                <w:szCs w:val="20"/>
              </w:rPr>
            </w:pPr>
            <w:r>
              <w:rPr>
                <w:sz w:val="20"/>
                <w:szCs w:val="20"/>
              </w:rPr>
              <w:t>-</w:t>
            </w:r>
          </w:p>
        </w:tc>
        <w:tc>
          <w:tcPr>
            <w:tcW w:w="357" w:type="pct"/>
            <w:noWrap/>
            <w:vAlign w:val="bottom"/>
          </w:tcPr>
          <w:p w:rsidR="00000000" w:rsidRDefault="00000000">
            <w:pPr>
              <w:jc w:val="right"/>
              <w:rPr>
                <w:sz w:val="20"/>
                <w:szCs w:val="20"/>
              </w:rPr>
            </w:pPr>
            <w:r>
              <w:rPr>
                <w:sz w:val="20"/>
                <w:szCs w:val="20"/>
              </w:rPr>
              <w:t>-</w:t>
            </w:r>
          </w:p>
        </w:tc>
        <w:tc>
          <w:tcPr>
            <w:tcW w:w="355" w:type="pct"/>
            <w:noWrap/>
            <w:vAlign w:val="bottom"/>
          </w:tcPr>
          <w:p w:rsidR="00000000" w:rsidRDefault="00000000">
            <w:pPr>
              <w:jc w:val="right"/>
              <w:rPr>
                <w:sz w:val="20"/>
                <w:szCs w:val="20"/>
              </w:rPr>
            </w:pPr>
            <w:r>
              <w:rPr>
                <w:sz w:val="20"/>
                <w:szCs w:val="20"/>
              </w:rPr>
              <w:t>-</w:t>
            </w:r>
          </w:p>
        </w:tc>
        <w:tc>
          <w:tcPr>
            <w:tcW w:w="416" w:type="pct"/>
            <w:noWrap/>
            <w:vAlign w:val="bottom"/>
          </w:tcPr>
          <w:p w:rsidR="00000000" w:rsidRDefault="00000000">
            <w:pPr>
              <w:jc w:val="right"/>
              <w:rPr>
                <w:sz w:val="20"/>
                <w:szCs w:val="20"/>
              </w:rPr>
            </w:pPr>
            <w:r>
              <w:rPr>
                <w:sz w:val="20"/>
                <w:szCs w:val="20"/>
              </w:rPr>
              <w:t>-</w:t>
            </w:r>
          </w:p>
        </w:tc>
        <w:tc>
          <w:tcPr>
            <w:tcW w:w="361" w:type="pct"/>
            <w:noWrap/>
            <w:vAlign w:val="bottom"/>
          </w:tcPr>
          <w:p w:rsidR="00000000" w:rsidRDefault="00000000">
            <w:pPr>
              <w:jc w:val="right"/>
              <w:rPr>
                <w:sz w:val="20"/>
                <w:szCs w:val="20"/>
              </w:rPr>
            </w:pPr>
            <w:r>
              <w:rPr>
                <w:sz w:val="20"/>
                <w:szCs w:val="20"/>
              </w:rPr>
              <w:t>2,6</w:t>
            </w:r>
          </w:p>
        </w:tc>
        <w:tc>
          <w:tcPr>
            <w:tcW w:w="358" w:type="pct"/>
            <w:noWrap/>
            <w:vAlign w:val="bottom"/>
          </w:tcPr>
          <w:p w:rsidR="00000000" w:rsidRDefault="00000000">
            <w:pPr>
              <w:jc w:val="right"/>
              <w:rPr>
                <w:sz w:val="20"/>
                <w:szCs w:val="20"/>
              </w:rPr>
            </w:pPr>
            <w:r>
              <w:rPr>
                <w:sz w:val="20"/>
                <w:szCs w:val="20"/>
              </w:rPr>
              <w:t>2,7</w:t>
            </w:r>
          </w:p>
        </w:tc>
        <w:tc>
          <w:tcPr>
            <w:tcW w:w="353" w:type="pct"/>
            <w:noWrap/>
            <w:vAlign w:val="bottom"/>
          </w:tcPr>
          <w:p w:rsidR="00000000" w:rsidRDefault="00000000">
            <w:pPr>
              <w:jc w:val="right"/>
              <w:rPr>
                <w:sz w:val="20"/>
                <w:szCs w:val="20"/>
              </w:rPr>
            </w:pPr>
            <w:r>
              <w:rPr>
                <w:sz w:val="20"/>
                <w:szCs w:val="20"/>
              </w:rPr>
              <w:t>2,6</w:t>
            </w:r>
          </w:p>
        </w:tc>
        <w:tc>
          <w:tcPr>
            <w:tcW w:w="362" w:type="pct"/>
            <w:noWrap/>
            <w:vAlign w:val="bottom"/>
          </w:tcPr>
          <w:p w:rsidR="00000000" w:rsidRDefault="00000000">
            <w:pPr>
              <w:jc w:val="right"/>
              <w:rPr>
                <w:sz w:val="20"/>
                <w:szCs w:val="20"/>
              </w:rPr>
            </w:pPr>
            <w:r>
              <w:rPr>
                <w:sz w:val="20"/>
                <w:szCs w:val="20"/>
              </w:rPr>
              <w:t xml:space="preserve">2,4 </w:t>
            </w:r>
          </w:p>
        </w:tc>
        <w:tc>
          <w:tcPr>
            <w:tcW w:w="359" w:type="pct"/>
            <w:noWrap/>
            <w:vAlign w:val="bottom"/>
          </w:tcPr>
          <w:p w:rsidR="00000000" w:rsidRDefault="00000000">
            <w:pPr>
              <w:jc w:val="right"/>
              <w:rPr>
                <w:sz w:val="20"/>
                <w:szCs w:val="20"/>
              </w:rPr>
            </w:pPr>
            <w:r>
              <w:rPr>
                <w:sz w:val="20"/>
                <w:szCs w:val="20"/>
              </w:rPr>
              <w:t>2,0</w:t>
            </w:r>
          </w:p>
        </w:tc>
        <w:tc>
          <w:tcPr>
            <w:tcW w:w="350" w:type="pct"/>
            <w:noWrap/>
            <w:vAlign w:val="bottom"/>
          </w:tcPr>
          <w:p w:rsidR="00000000" w:rsidRDefault="00000000">
            <w:pPr>
              <w:jc w:val="right"/>
              <w:rPr>
                <w:sz w:val="20"/>
                <w:szCs w:val="20"/>
              </w:rPr>
            </w:pPr>
            <w:r>
              <w:rPr>
                <w:sz w:val="20"/>
                <w:szCs w:val="20"/>
              </w:rPr>
              <w:t xml:space="preserve">3,2 </w:t>
            </w:r>
          </w:p>
        </w:tc>
      </w:tr>
      <w:tr w:rsidR="00000000">
        <w:trPr>
          <w:trHeight w:val="20"/>
          <w:jc w:val="center"/>
        </w:trPr>
        <w:tc>
          <w:tcPr>
            <w:tcW w:w="659" w:type="pct"/>
            <w:noWrap/>
            <w:vAlign w:val="bottom"/>
          </w:tcPr>
          <w:p w:rsidR="00000000" w:rsidRDefault="00000000">
            <w:pPr>
              <w:rPr>
                <w:sz w:val="20"/>
                <w:szCs w:val="20"/>
              </w:rPr>
            </w:pPr>
            <w:r>
              <w:rPr>
                <w:sz w:val="20"/>
                <w:szCs w:val="20"/>
              </w:rPr>
              <w:t>Pozo con bomba</w:t>
            </w:r>
          </w:p>
        </w:tc>
        <w:tc>
          <w:tcPr>
            <w:tcW w:w="356" w:type="pct"/>
            <w:noWrap/>
            <w:vAlign w:val="bottom"/>
          </w:tcPr>
          <w:p w:rsidR="00000000" w:rsidRDefault="00000000">
            <w:pPr>
              <w:jc w:val="right"/>
              <w:rPr>
                <w:sz w:val="20"/>
                <w:szCs w:val="20"/>
              </w:rPr>
            </w:pPr>
            <w:r>
              <w:rPr>
                <w:sz w:val="20"/>
                <w:szCs w:val="20"/>
              </w:rPr>
              <w:t>13,0</w:t>
            </w:r>
          </w:p>
        </w:tc>
        <w:tc>
          <w:tcPr>
            <w:tcW w:w="357" w:type="pct"/>
            <w:noWrap/>
            <w:vAlign w:val="bottom"/>
          </w:tcPr>
          <w:p w:rsidR="00000000" w:rsidRDefault="00000000">
            <w:pPr>
              <w:jc w:val="right"/>
              <w:rPr>
                <w:sz w:val="20"/>
                <w:szCs w:val="20"/>
              </w:rPr>
            </w:pPr>
            <w:r>
              <w:rPr>
                <w:sz w:val="20"/>
                <w:szCs w:val="20"/>
              </w:rPr>
              <w:t>12,8</w:t>
            </w:r>
          </w:p>
        </w:tc>
        <w:tc>
          <w:tcPr>
            <w:tcW w:w="358" w:type="pct"/>
            <w:noWrap/>
            <w:vAlign w:val="bottom"/>
          </w:tcPr>
          <w:p w:rsidR="00000000" w:rsidRDefault="00000000">
            <w:pPr>
              <w:jc w:val="right"/>
              <w:rPr>
                <w:sz w:val="20"/>
                <w:szCs w:val="20"/>
              </w:rPr>
            </w:pPr>
            <w:r>
              <w:rPr>
                <w:sz w:val="20"/>
                <w:szCs w:val="20"/>
              </w:rPr>
              <w:t>13,3</w:t>
            </w:r>
          </w:p>
        </w:tc>
        <w:tc>
          <w:tcPr>
            <w:tcW w:w="357" w:type="pct"/>
            <w:noWrap/>
            <w:vAlign w:val="bottom"/>
          </w:tcPr>
          <w:p w:rsidR="00000000" w:rsidRDefault="00000000">
            <w:pPr>
              <w:jc w:val="right"/>
              <w:rPr>
                <w:sz w:val="20"/>
                <w:szCs w:val="20"/>
              </w:rPr>
            </w:pPr>
            <w:r>
              <w:rPr>
                <w:sz w:val="20"/>
                <w:szCs w:val="20"/>
              </w:rPr>
              <w:t>16,6</w:t>
            </w:r>
          </w:p>
        </w:tc>
        <w:tc>
          <w:tcPr>
            <w:tcW w:w="355" w:type="pct"/>
            <w:noWrap/>
            <w:vAlign w:val="bottom"/>
          </w:tcPr>
          <w:p w:rsidR="00000000" w:rsidRDefault="00000000">
            <w:pPr>
              <w:jc w:val="right"/>
              <w:rPr>
                <w:sz w:val="20"/>
                <w:szCs w:val="20"/>
              </w:rPr>
            </w:pPr>
            <w:r>
              <w:rPr>
                <w:sz w:val="20"/>
                <w:szCs w:val="20"/>
              </w:rPr>
              <w:t>16,0</w:t>
            </w:r>
          </w:p>
        </w:tc>
        <w:tc>
          <w:tcPr>
            <w:tcW w:w="416" w:type="pct"/>
            <w:noWrap/>
            <w:vAlign w:val="bottom"/>
          </w:tcPr>
          <w:p w:rsidR="00000000" w:rsidRDefault="00000000">
            <w:pPr>
              <w:jc w:val="right"/>
              <w:rPr>
                <w:sz w:val="20"/>
                <w:szCs w:val="20"/>
              </w:rPr>
            </w:pPr>
            <w:r>
              <w:rPr>
                <w:sz w:val="20"/>
                <w:szCs w:val="20"/>
              </w:rPr>
              <w:t>17,4</w:t>
            </w:r>
          </w:p>
        </w:tc>
        <w:tc>
          <w:tcPr>
            <w:tcW w:w="361" w:type="pct"/>
            <w:noWrap/>
            <w:vAlign w:val="bottom"/>
          </w:tcPr>
          <w:p w:rsidR="00000000" w:rsidRDefault="00000000">
            <w:pPr>
              <w:jc w:val="right"/>
              <w:rPr>
                <w:sz w:val="20"/>
                <w:szCs w:val="20"/>
              </w:rPr>
            </w:pPr>
            <w:r>
              <w:rPr>
                <w:sz w:val="20"/>
                <w:szCs w:val="20"/>
              </w:rPr>
              <w:t>12,4</w:t>
            </w:r>
          </w:p>
        </w:tc>
        <w:tc>
          <w:tcPr>
            <w:tcW w:w="358" w:type="pct"/>
            <w:noWrap/>
            <w:vAlign w:val="bottom"/>
          </w:tcPr>
          <w:p w:rsidR="00000000" w:rsidRDefault="00000000">
            <w:pPr>
              <w:jc w:val="right"/>
              <w:rPr>
                <w:sz w:val="20"/>
                <w:szCs w:val="20"/>
              </w:rPr>
            </w:pPr>
            <w:r>
              <w:rPr>
                <w:sz w:val="20"/>
                <w:szCs w:val="20"/>
              </w:rPr>
              <w:t>10,4</w:t>
            </w:r>
          </w:p>
        </w:tc>
        <w:tc>
          <w:tcPr>
            <w:tcW w:w="353" w:type="pct"/>
            <w:noWrap/>
            <w:vAlign w:val="bottom"/>
          </w:tcPr>
          <w:p w:rsidR="00000000" w:rsidRDefault="00000000">
            <w:pPr>
              <w:jc w:val="right"/>
              <w:rPr>
                <w:sz w:val="20"/>
                <w:szCs w:val="20"/>
              </w:rPr>
            </w:pPr>
            <w:r>
              <w:rPr>
                <w:sz w:val="20"/>
                <w:szCs w:val="20"/>
              </w:rPr>
              <w:t>15,4</w:t>
            </w:r>
          </w:p>
        </w:tc>
        <w:tc>
          <w:tcPr>
            <w:tcW w:w="362" w:type="pct"/>
            <w:noWrap/>
            <w:vAlign w:val="bottom"/>
          </w:tcPr>
          <w:p w:rsidR="00000000" w:rsidRDefault="00000000">
            <w:pPr>
              <w:jc w:val="right"/>
              <w:rPr>
                <w:sz w:val="20"/>
                <w:szCs w:val="20"/>
              </w:rPr>
            </w:pPr>
            <w:r>
              <w:rPr>
                <w:sz w:val="20"/>
                <w:szCs w:val="20"/>
              </w:rPr>
              <w:t xml:space="preserve">12,1 </w:t>
            </w:r>
          </w:p>
        </w:tc>
        <w:tc>
          <w:tcPr>
            <w:tcW w:w="359" w:type="pct"/>
            <w:noWrap/>
            <w:vAlign w:val="bottom"/>
          </w:tcPr>
          <w:p w:rsidR="00000000" w:rsidRDefault="00000000">
            <w:pPr>
              <w:jc w:val="right"/>
              <w:rPr>
                <w:sz w:val="20"/>
                <w:szCs w:val="20"/>
              </w:rPr>
            </w:pPr>
            <w:r>
              <w:rPr>
                <w:sz w:val="20"/>
                <w:szCs w:val="20"/>
              </w:rPr>
              <w:t>7,7</w:t>
            </w:r>
          </w:p>
        </w:tc>
        <w:tc>
          <w:tcPr>
            <w:tcW w:w="350" w:type="pct"/>
            <w:noWrap/>
            <w:vAlign w:val="bottom"/>
          </w:tcPr>
          <w:p w:rsidR="00000000" w:rsidRDefault="00000000">
            <w:pPr>
              <w:jc w:val="right"/>
              <w:rPr>
                <w:sz w:val="20"/>
                <w:szCs w:val="20"/>
              </w:rPr>
            </w:pPr>
            <w:r>
              <w:rPr>
                <w:sz w:val="20"/>
                <w:szCs w:val="20"/>
              </w:rPr>
              <w:t xml:space="preserve">18,8 </w:t>
            </w:r>
          </w:p>
        </w:tc>
      </w:tr>
      <w:tr w:rsidR="00000000">
        <w:trPr>
          <w:trHeight w:val="20"/>
          <w:jc w:val="center"/>
        </w:trPr>
        <w:tc>
          <w:tcPr>
            <w:tcW w:w="659" w:type="pct"/>
            <w:noWrap/>
            <w:vAlign w:val="bottom"/>
          </w:tcPr>
          <w:p w:rsidR="00000000" w:rsidRDefault="00000000">
            <w:pPr>
              <w:rPr>
                <w:sz w:val="20"/>
                <w:szCs w:val="20"/>
              </w:rPr>
            </w:pPr>
            <w:r>
              <w:rPr>
                <w:sz w:val="20"/>
                <w:szCs w:val="20"/>
              </w:rPr>
              <w:t>Pozo sin bomba</w:t>
            </w:r>
          </w:p>
        </w:tc>
        <w:tc>
          <w:tcPr>
            <w:tcW w:w="356" w:type="pct"/>
            <w:noWrap/>
            <w:vAlign w:val="bottom"/>
          </w:tcPr>
          <w:p w:rsidR="00000000" w:rsidRDefault="00000000">
            <w:pPr>
              <w:jc w:val="right"/>
              <w:rPr>
                <w:sz w:val="20"/>
                <w:szCs w:val="20"/>
              </w:rPr>
            </w:pPr>
            <w:r>
              <w:rPr>
                <w:sz w:val="20"/>
                <w:szCs w:val="20"/>
              </w:rPr>
              <w:t>39,9</w:t>
            </w:r>
          </w:p>
        </w:tc>
        <w:tc>
          <w:tcPr>
            <w:tcW w:w="357" w:type="pct"/>
            <w:noWrap/>
            <w:vAlign w:val="bottom"/>
          </w:tcPr>
          <w:p w:rsidR="00000000" w:rsidRDefault="00000000">
            <w:pPr>
              <w:jc w:val="right"/>
              <w:rPr>
                <w:sz w:val="20"/>
                <w:szCs w:val="20"/>
              </w:rPr>
            </w:pPr>
            <w:r>
              <w:rPr>
                <w:sz w:val="20"/>
                <w:szCs w:val="20"/>
              </w:rPr>
              <w:t>17,2</w:t>
            </w:r>
          </w:p>
        </w:tc>
        <w:tc>
          <w:tcPr>
            <w:tcW w:w="358" w:type="pct"/>
            <w:noWrap/>
            <w:vAlign w:val="bottom"/>
          </w:tcPr>
          <w:p w:rsidR="00000000" w:rsidRDefault="00000000">
            <w:pPr>
              <w:jc w:val="right"/>
              <w:rPr>
                <w:sz w:val="20"/>
                <w:szCs w:val="20"/>
              </w:rPr>
            </w:pPr>
            <w:r>
              <w:rPr>
                <w:sz w:val="20"/>
                <w:szCs w:val="20"/>
              </w:rPr>
              <w:t>66,6</w:t>
            </w:r>
          </w:p>
        </w:tc>
        <w:tc>
          <w:tcPr>
            <w:tcW w:w="357" w:type="pct"/>
            <w:noWrap/>
            <w:vAlign w:val="bottom"/>
          </w:tcPr>
          <w:p w:rsidR="00000000" w:rsidRDefault="00000000">
            <w:pPr>
              <w:jc w:val="right"/>
              <w:rPr>
                <w:sz w:val="20"/>
                <w:szCs w:val="20"/>
              </w:rPr>
            </w:pPr>
            <w:r>
              <w:rPr>
                <w:sz w:val="20"/>
                <w:szCs w:val="20"/>
              </w:rPr>
              <w:t>31,6</w:t>
            </w:r>
          </w:p>
        </w:tc>
        <w:tc>
          <w:tcPr>
            <w:tcW w:w="355" w:type="pct"/>
            <w:noWrap/>
            <w:vAlign w:val="bottom"/>
          </w:tcPr>
          <w:p w:rsidR="00000000" w:rsidRDefault="00000000">
            <w:pPr>
              <w:jc w:val="right"/>
              <w:rPr>
                <w:sz w:val="20"/>
                <w:szCs w:val="20"/>
              </w:rPr>
            </w:pPr>
            <w:r>
              <w:rPr>
                <w:sz w:val="20"/>
                <w:szCs w:val="20"/>
              </w:rPr>
              <w:t>12,0</w:t>
            </w:r>
          </w:p>
        </w:tc>
        <w:tc>
          <w:tcPr>
            <w:tcW w:w="416" w:type="pct"/>
            <w:noWrap/>
            <w:vAlign w:val="bottom"/>
          </w:tcPr>
          <w:p w:rsidR="00000000" w:rsidRDefault="00000000">
            <w:pPr>
              <w:jc w:val="right"/>
              <w:rPr>
                <w:sz w:val="20"/>
                <w:szCs w:val="20"/>
              </w:rPr>
            </w:pPr>
            <w:r>
              <w:rPr>
                <w:sz w:val="20"/>
                <w:szCs w:val="20"/>
              </w:rPr>
              <w:t>57,7</w:t>
            </w:r>
          </w:p>
        </w:tc>
        <w:tc>
          <w:tcPr>
            <w:tcW w:w="361" w:type="pct"/>
            <w:noWrap/>
            <w:vAlign w:val="bottom"/>
          </w:tcPr>
          <w:p w:rsidR="00000000" w:rsidRDefault="00000000">
            <w:pPr>
              <w:jc w:val="right"/>
              <w:rPr>
                <w:sz w:val="20"/>
                <w:szCs w:val="20"/>
              </w:rPr>
            </w:pPr>
            <w:r>
              <w:rPr>
                <w:sz w:val="20"/>
                <w:szCs w:val="20"/>
              </w:rPr>
              <w:t>22,4</w:t>
            </w:r>
          </w:p>
        </w:tc>
        <w:tc>
          <w:tcPr>
            <w:tcW w:w="358" w:type="pct"/>
            <w:noWrap/>
            <w:vAlign w:val="bottom"/>
          </w:tcPr>
          <w:p w:rsidR="00000000" w:rsidRDefault="00000000">
            <w:pPr>
              <w:jc w:val="right"/>
              <w:rPr>
                <w:sz w:val="20"/>
                <w:szCs w:val="20"/>
              </w:rPr>
            </w:pPr>
            <w:r>
              <w:rPr>
                <w:sz w:val="20"/>
                <w:szCs w:val="20"/>
              </w:rPr>
              <w:t>8,4</w:t>
            </w:r>
          </w:p>
        </w:tc>
        <w:tc>
          <w:tcPr>
            <w:tcW w:w="353" w:type="pct"/>
            <w:noWrap/>
            <w:vAlign w:val="bottom"/>
          </w:tcPr>
          <w:p w:rsidR="00000000" w:rsidRDefault="00000000">
            <w:pPr>
              <w:jc w:val="right"/>
              <w:rPr>
                <w:sz w:val="20"/>
                <w:szCs w:val="20"/>
              </w:rPr>
            </w:pPr>
            <w:r>
              <w:rPr>
                <w:sz w:val="20"/>
                <w:szCs w:val="20"/>
              </w:rPr>
              <w:t>42,8</w:t>
            </w:r>
          </w:p>
        </w:tc>
        <w:tc>
          <w:tcPr>
            <w:tcW w:w="362" w:type="pct"/>
            <w:noWrap/>
            <w:vAlign w:val="bottom"/>
          </w:tcPr>
          <w:p w:rsidR="00000000" w:rsidRDefault="00000000">
            <w:pPr>
              <w:jc w:val="right"/>
              <w:rPr>
                <w:sz w:val="20"/>
                <w:szCs w:val="20"/>
              </w:rPr>
            </w:pPr>
            <w:r>
              <w:rPr>
                <w:sz w:val="20"/>
                <w:szCs w:val="20"/>
              </w:rPr>
              <w:t xml:space="preserve">20,3 </w:t>
            </w:r>
          </w:p>
        </w:tc>
        <w:tc>
          <w:tcPr>
            <w:tcW w:w="359" w:type="pct"/>
            <w:noWrap/>
            <w:vAlign w:val="bottom"/>
          </w:tcPr>
          <w:p w:rsidR="00000000" w:rsidRDefault="00000000">
            <w:pPr>
              <w:jc w:val="right"/>
              <w:rPr>
                <w:sz w:val="20"/>
                <w:szCs w:val="20"/>
              </w:rPr>
            </w:pPr>
            <w:r>
              <w:rPr>
                <w:sz w:val="20"/>
                <w:szCs w:val="20"/>
              </w:rPr>
              <w:t>8,8</w:t>
            </w:r>
          </w:p>
        </w:tc>
        <w:tc>
          <w:tcPr>
            <w:tcW w:w="350" w:type="pct"/>
            <w:noWrap/>
            <w:vAlign w:val="bottom"/>
          </w:tcPr>
          <w:p w:rsidR="00000000" w:rsidRDefault="00000000">
            <w:pPr>
              <w:jc w:val="right"/>
              <w:rPr>
                <w:sz w:val="20"/>
                <w:szCs w:val="20"/>
              </w:rPr>
            </w:pPr>
            <w:r>
              <w:rPr>
                <w:sz w:val="20"/>
                <w:szCs w:val="20"/>
              </w:rPr>
              <w:t xml:space="preserve">37,8 </w:t>
            </w:r>
          </w:p>
        </w:tc>
      </w:tr>
      <w:tr w:rsidR="00000000">
        <w:trPr>
          <w:trHeight w:val="20"/>
          <w:jc w:val="center"/>
        </w:trPr>
        <w:tc>
          <w:tcPr>
            <w:tcW w:w="659" w:type="pct"/>
            <w:noWrap/>
            <w:vAlign w:val="bottom"/>
          </w:tcPr>
          <w:p w:rsidR="00000000" w:rsidRDefault="00000000">
            <w:pPr>
              <w:rPr>
                <w:sz w:val="20"/>
                <w:szCs w:val="20"/>
              </w:rPr>
            </w:pPr>
            <w:r>
              <w:rPr>
                <w:sz w:val="20"/>
                <w:szCs w:val="20"/>
              </w:rPr>
              <w:t>Aguatero</w:t>
            </w:r>
          </w:p>
        </w:tc>
        <w:tc>
          <w:tcPr>
            <w:tcW w:w="356" w:type="pct"/>
            <w:noWrap/>
            <w:vAlign w:val="bottom"/>
          </w:tcPr>
          <w:p w:rsidR="00000000" w:rsidRDefault="00000000">
            <w:pPr>
              <w:jc w:val="right"/>
              <w:rPr>
                <w:sz w:val="20"/>
                <w:szCs w:val="20"/>
              </w:rPr>
            </w:pPr>
            <w:r>
              <w:rPr>
                <w:sz w:val="20"/>
                <w:szCs w:val="20"/>
              </w:rPr>
              <w:t>0,2</w:t>
            </w:r>
          </w:p>
        </w:tc>
        <w:tc>
          <w:tcPr>
            <w:tcW w:w="357" w:type="pct"/>
            <w:noWrap/>
            <w:vAlign w:val="bottom"/>
          </w:tcPr>
          <w:p w:rsidR="00000000" w:rsidRDefault="00000000">
            <w:pPr>
              <w:jc w:val="right"/>
              <w:rPr>
                <w:sz w:val="20"/>
                <w:szCs w:val="20"/>
              </w:rPr>
            </w:pPr>
            <w:r>
              <w:rPr>
                <w:sz w:val="20"/>
                <w:szCs w:val="20"/>
              </w:rPr>
              <w:t>0,1</w:t>
            </w:r>
          </w:p>
        </w:tc>
        <w:tc>
          <w:tcPr>
            <w:tcW w:w="358" w:type="pct"/>
            <w:noWrap/>
            <w:vAlign w:val="bottom"/>
          </w:tcPr>
          <w:p w:rsidR="00000000" w:rsidRDefault="00000000">
            <w:pPr>
              <w:jc w:val="right"/>
              <w:rPr>
                <w:sz w:val="20"/>
                <w:szCs w:val="20"/>
              </w:rPr>
            </w:pPr>
            <w:r>
              <w:rPr>
                <w:sz w:val="20"/>
                <w:szCs w:val="20"/>
              </w:rPr>
              <w:t>0,2</w:t>
            </w:r>
          </w:p>
        </w:tc>
        <w:tc>
          <w:tcPr>
            <w:tcW w:w="357" w:type="pct"/>
            <w:noWrap/>
            <w:vAlign w:val="bottom"/>
          </w:tcPr>
          <w:p w:rsidR="00000000" w:rsidRDefault="00000000">
            <w:pPr>
              <w:jc w:val="right"/>
              <w:rPr>
                <w:sz w:val="20"/>
                <w:szCs w:val="20"/>
              </w:rPr>
            </w:pPr>
            <w:r>
              <w:rPr>
                <w:sz w:val="20"/>
                <w:szCs w:val="20"/>
              </w:rPr>
              <w:t>0,2</w:t>
            </w:r>
          </w:p>
        </w:tc>
        <w:tc>
          <w:tcPr>
            <w:tcW w:w="355" w:type="pct"/>
            <w:noWrap/>
            <w:vAlign w:val="bottom"/>
          </w:tcPr>
          <w:p w:rsidR="00000000" w:rsidRDefault="00000000">
            <w:pPr>
              <w:jc w:val="right"/>
              <w:rPr>
                <w:sz w:val="20"/>
                <w:szCs w:val="20"/>
              </w:rPr>
            </w:pPr>
            <w:r>
              <w:rPr>
                <w:sz w:val="20"/>
                <w:szCs w:val="20"/>
              </w:rPr>
              <w:t>0,3</w:t>
            </w:r>
          </w:p>
        </w:tc>
        <w:tc>
          <w:tcPr>
            <w:tcW w:w="416" w:type="pct"/>
            <w:noWrap/>
            <w:vAlign w:val="bottom"/>
          </w:tcPr>
          <w:p w:rsidR="00000000" w:rsidRDefault="00000000">
            <w:pPr>
              <w:jc w:val="right"/>
              <w:rPr>
                <w:sz w:val="20"/>
                <w:szCs w:val="20"/>
              </w:rPr>
            </w:pPr>
            <w:r>
              <w:rPr>
                <w:sz w:val="20"/>
                <w:szCs w:val="20"/>
              </w:rPr>
              <w:t>-</w:t>
            </w:r>
          </w:p>
        </w:tc>
        <w:tc>
          <w:tcPr>
            <w:tcW w:w="361" w:type="pct"/>
            <w:noWrap/>
            <w:vAlign w:val="bottom"/>
          </w:tcPr>
          <w:p w:rsidR="00000000" w:rsidRDefault="00000000">
            <w:pPr>
              <w:jc w:val="right"/>
              <w:rPr>
                <w:sz w:val="20"/>
                <w:szCs w:val="20"/>
              </w:rPr>
            </w:pPr>
            <w:r>
              <w:rPr>
                <w:sz w:val="20"/>
                <w:szCs w:val="20"/>
              </w:rPr>
              <w:t>-</w:t>
            </w:r>
          </w:p>
        </w:tc>
        <w:tc>
          <w:tcPr>
            <w:tcW w:w="358" w:type="pct"/>
            <w:noWrap/>
            <w:vAlign w:val="bottom"/>
          </w:tcPr>
          <w:p w:rsidR="00000000" w:rsidRDefault="00000000">
            <w:pPr>
              <w:jc w:val="right"/>
              <w:rPr>
                <w:sz w:val="20"/>
                <w:szCs w:val="20"/>
              </w:rPr>
            </w:pPr>
            <w:r>
              <w:rPr>
                <w:sz w:val="20"/>
                <w:szCs w:val="20"/>
              </w:rPr>
              <w:t>-</w:t>
            </w:r>
          </w:p>
        </w:tc>
        <w:tc>
          <w:tcPr>
            <w:tcW w:w="353" w:type="pct"/>
            <w:noWrap/>
            <w:vAlign w:val="bottom"/>
          </w:tcPr>
          <w:p w:rsidR="00000000" w:rsidRDefault="00000000">
            <w:pPr>
              <w:jc w:val="right"/>
              <w:rPr>
                <w:sz w:val="20"/>
                <w:szCs w:val="20"/>
              </w:rPr>
            </w:pPr>
            <w:r>
              <w:rPr>
                <w:sz w:val="20"/>
                <w:szCs w:val="20"/>
              </w:rPr>
              <w:t>-</w:t>
            </w:r>
          </w:p>
        </w:tc>
        <w:tc>
          <w:tcPr>
            <w:tcW w:w="362" w:type="pct"/>
            <w:noWrap/>
            <w:vAlign w:val="bottom"/>
          </w:tcPr>
          <w:p w:rsidR="00000000" w:rsidRDefault="00000000">
            <w:pPr>
              <w:jc w:val="right"/>
              <w:rPr>
                <w:sz w:val="20"/>
                <w:szCs w:val="20"/>
              </w:rPr>
            </w:pPr>
            <w:r>
              <w:rPr>
                <w:sz w:val="20"/>
                <w:szCs w:val="20"/>
              </w:rPr>
              <w:t>-</w:t>
            </w:r>
          </w:p>
        </w:tc>
        <w:tc>
          <w:tcPr>
            <w:tcW w:w="359" w:type="pct"/>
            <w:noWrap/>
            <w:vAlign w:val="bottom"/>
          </w:tcPr>
          <w:p w:rsidR="00000000" w:rsidRDefault="00000000">
            <w:pPr>
              <w:jc w:val="right"/>
              <w:rPr>
                <w:sz w:val="20"/>
                <w:szCs w:val="20"/>
              </w:rPr>
            </w:pPr>
            <w:r>
              <w:rPr>
                <w:sz w:val="20"/>
                <w:szCs w:val="20"/>
              </w:rPr>
              <w:t>-</w:t>
            </w:r>
          </w:p>
        </w:tc>
        <w:tc>
          <w:tcPr>
            <w:tcW w:w="350" w:type="pct"/>
            <w:noWrap/>
            <w:vAlign w:val="bottom"/>
          </w:tcPr>
          <w:p w:rsidR="00000000" w:rsidRDefault="00000000">
            <w:pPr>
              <w:jc w:val="right"/>
              <w:rPr>
                <w:sz w:val="20"/>
                <w:szCs w:val="20"/>
              </w:rPr>
            </w:pPr>
            <w:r>
              <w:rPr>
                <w:sz w:val="20"/>
                <w:szCs w:val="20"/>
              </w:rPr>
              <w:t>-</w:t>
            </w:r>
          </w:p>
        </w:tc>
      </w:tr>
      <w:tr w:rsidR="00000000">
        <w:trPr>
          <w:trHeight w:val="20"/>
          <w:jc w:val="center"/>
        </w:trPr>
        <w:tc>
          <w:tcPr>
            <w:tcW w:w="659" w:type="pct"/>
            <w:noWrap/>
            <w:vAlign w:val="bottom"/>
          </w:tcPr>
          <w:p w:rsidR="00000000" w:rsidRDefault="00000000">
            <w:pPr>
              <w:rPr>
                <w:sz w:val="20"/>
                <w:szCs w:val="20"/>
              </w:rPr>
            </w:pPr>
            <w:r>
              <w:rPr>
                <w:sz w:val="20"/>
                <w:szCs w:val="20"/>
              </w:rPr>
              <w:t>Aljibe</w:t>
            </w:r>
          </w:p>
        </w:tc>
        <w:tc>
          <w:tcPr>
            <w:tcW w:w="356" w:type="pct"/>
            <w:noWrap/>
            <w:vAlign w:val="bottom"/>
          </w:tcPr>
          <w:p w:rsidR="00000000" w:rsidRDefault="00000000">
            <w:pPr>
              <w:jc w:val="right"/>
              <w:rPr>
                <w:sz w:val="20"/>
                <w:szCs w:val="20"/>
              </w:rPr>
            </w:pPr>
            <w:r>
              <w:rPr>
                <w:sz w:val="20"/>
                <w:szCs w:val="20"/>
              </w:rPr>
              <w:t>-</w:t>
            </w:r>
          </w:p>
        </w:tc>
        <w:tc>
          <w:tcPr>
            <w:tcW w:w="357" w:type="pct"/>
            <w:noWrap/>
            <w:vAlign w:val="bottom"/>
          </w:tcPr>
          <w:p w:rsidR="00000000" w:rsidRDefault="00000000">
            <w:pPr>
              <w:jc w:val="right"/>
              <w:rPr>
                <w:sz w:val="20"/>
                <w:szCs w:val="20"/>
              </w:rPr>
            </w:pPr>
            <w:r>
              <w:rPr>
                <w:sz w:val="20"/>
                <w:szCs w:val="20"/>
              </w:rPr>
              <w:t>-</w:t>
            </w:r>
          </w:p>
        </w:tc>
        <w:tc>
          <w:tcPr>
            <w:tcW w:w="358" w:type="pct"/>
            <w:noWrap/>
            <w:vAlign w:val="bottom"/>
          </w:tcPr>
          <w:p w:rsidR="00000000" w:rsidRDefault="00000000">
            <w:pPr>
              <w:jc w:val="right"/>
              <w:rPr>
                <w:sz w:val="20"/>
                <w:szCs w:val="20"/>
              </w:rPr>
            </w:pPr>
            <w:r>
              <w:rPr>
                <w:sz w:val="20"/>
                <w:szCs w:val="20"/>
              </w:rPr>
              <w:t>-</w:t>
            </w:r>
          </w:p>
        </w:tc>
        <w:tc>
          <w:tcPr>
            <w:tcW w:w="357" w:type="pct"/>
            <w:noWrap/>
            <w:vAlign w:val="bottom"/>
          </w:tcPr>
          <w:p w:rsidR="00000000" w:rsidRDefault="00000000">
            <w:pPr>
              <w:jc w:val="right"/>
              <w:rPr>
                <w:sz w:val="20"/>
                <w:szCs w:val="20"/>
              </w:rPr>
            </w:pPr>
            <w:r>
              <w:rPr>
                <w:sz w:val="20"/>
                <w:szCs w:val="20"/>
              </w:rPr>
              <w:t>-</w:t>
            </w:r>
          </w:p>
        </w:tc>
        <w:tc>
          <w:tcPr>
            <w:tcW w:w="355" w:type="pct"/>
            <w:noWrap/>
            <w:vAlign w:val="bottom"/>
          </w:tcPr>
          <w:p w:rsidR="00000000" w:rsidRDefault="00000000">
            <w:pPr>
              <w:jc w:val="right"/>
              <w:rPr>
                <w:sz w:val="20"/>
                <w:szCs w:val="20"/>
              </w:rPr>
            </w:pPr>
            <w:r>
              <w:rPr>
                <w:sz w:val="20"/>
                <w:szCs w:val="20"/>
              </w:rPr>
              <w:t>-</w:t>
            </w:r>
          </w:p>
        </w:tc>
        <w:tc>
          <w:tcPr>
            <w:tcW w:w="416" w:type="pct"/>
            <w:noWrap/>
            <w:vAlign w:val="bottom"/>
          </w:tcPr>
          <w:p w:rsidR="00000000" w:rsidRDefault="00000000">
            <w:pPr>
              <w:jc w:val="right"/>
              <w:rPr>
                <w:sz w:val="20"/>
                <w:szCs w:val="20"/>
              </w:rPr>
            </w:pPr>
            <w:r>
              <w:rPr>
                <w:sz w:val="20"/>
                <w:szCs w:val="20"/>
              </w:rPr>
              <w:t>-</w:t>
            </w:r>
          </w:p>
        </w:tc>
        <w:tc>
          <w:tcPr>
            <w:tcW w:w="361" w:type="pct"/>
            <w:noWrap/>
            <w:vAlign w:val="bottom"/>
          </w:tcPr>
          <w:p w:rsidR="00000000" w:rsidRDefault="00000000">
            <w:pPr>
              <w:jc w:val="right"/>
              <w:rPr>
                <w:sz w:val="20"/>
                <w:szCs w:val="20"/>
              </w:rPr>
            </w:pPr>
            <w:r>
              <w:rPr>
                <w:sz w:val="20"/>
                <w:szCs w:val="20"/>
              </w:rPr>
              <w:t>0,5</w:t>
            </w:r>
          </w:p>
        </w:tc>
        <w:tc>
          <w:tcPr>
            <w:tcW w:w="358" w:type="pct"/>
            <w:noWrap/>
            <w:vAlign w:val="bottom"/>
          </w:tcPr>
          <w:p w:rsidR="00000000" w:rsidRDefault="00000000">
            <w:pPr>
              <w:jc w:val="right"/>
              <w:rPr>
                <w:sz w:val="20"/>
                <w:szCs w:val="20"/>
              </w:rPr>
            </w:pPr>
            <w:r>
              <w:rPr>
                <w:sz w:val="20"/>
                <w:szCs w:val="20"/>
              </w:rPr>
              <w:t>0,1</w:t>
            </w:r>
          </w:p>
        </w:tc>
        <w:tc>
          <w:tcPr>
            <w:tcW w:w="353" w:type="pct"/>
            <w:noWrap/>
            <w:vAlign w:val="bottom"/>
          </w:tcPr>
          <w:p w:rsidR="00000000" w:rsidRDefault="00000000">
            <w:pPr>
              <w:jc w:val="right"/>
              <w:rPr>
                <w:sz w:val="20"/>
                <w:szCs w:val="20"/>
              </w:rPr>
            </w:pPr>
            <w:r>
              <w:rPr>
                <w:sz w:val="20"/>
                <w:szCs w:val="20"/>
              </w:rPr>
              <w:t>1,1</w:t>
            </w:r>
          </w:p>
        </w:tc>
        <w:tc>
          <w:tcPr>
            <w:tcW w:w="362" w:type="pct"/>
            <w:noWrap/>
            <w:vAlign w:val="bottom"/>
          </w:tcPr>
          <w:p w:rsidR="00000000" w:rsidRDefault="00000000">
            <w:pPr>
              <w:jc w:val="right"/>
              <w:rPr>
                <w:sz w:val="20"/>
                <w:szCs w:val="20"/>
              </w:rPr>
            </w:pPr>
            <w:r>
              <w:rPr>
                <w:sz w:val="20"/>
                <w:szCs w:val="20"/>
              </w:rPr>
              <w:t xml:space="preserve">0,3 </w:t>
            </w:r>
          </w:p>
        </w:tc>
        <w:tc>
          <w:tcPr>
            <w:tcW w:w="359" w:type="pct"/>
            <w:noWrap/>
            <w:vAlign w:val="bottom"/>
          </w:tcPr>
          <w:p w:rsidR="00000000" w:rsidRDefault="00000000">
            <w:pPr>
              <w:jc w:val="right"/>
              <w:rPr>
                <w:sz w:val="20"/>
                <w:szCs w:val="20"/>
              </w:rPr>
            </w:pPr>
            <w:r>
              <w:rPr>
                <w:sz w:val="20"/>
                <w:szCs w:val="20"/>
              </w:rPr>
              <w:t>0,0</w:t>
            </w:r>
          </w:p>
        </w:tc>
        <w:tc>
          <w:tcPr>
            <w:tcW w:w="350" w:type="pct"/>
            <w:noWrap/>
            <w:vAlign w:val="bottom"/>
          </w:tcPr>
          <w:p w:rsidR="00000000" w:rsidRDefault="00000000">
            <w:pPr>
              <w:jc w:val="right"/>
              <w:rPr>
                <w:sz w:val="20"/>
                <w:szCs w:val="20"/>
              </w:rPr>
            </w:pPr>
            <w:r>
              <w:rPr>
                <w:sz w:val="20"/>
                <w:szCs w:val="20"/>
              </w:rPr>
              <w:t xml:space="preserve">0,7 </w:t>
            </w:r>
          </w:p>
        </w:tc>
      </w:tr>
      <w:tr w:rsidR="00000000">
        <w:trPr>
          <w:trHeight w:val="20"/>
          <w:jc w:val="center"/>
        </w:trPr>
        <w:tc>
          <w:tcPr>
            <w:tcW w:w="659" w:type="pct"/>
            <w:noWrap/>
            <w:vAlign w:val="bottom"/>
          </w:tcPr>
          <w:p w:rsidR="00000000" w:rsidRDefault="00000000">
            <w:pPr>
              <w:rPr>
                <w:sz w:val="20"/>
                <w:szCs w:val="20"/>
              </w:rPr>
            </w:pPr>
            <w:r>
              <w:rPr>
                <w:sz w:val="20"/>
                <w:szCs w:val="20"/>
              </w:rPr>
              <w:t>Otro</w:t>
            </w:r>
            <w:r>
              <w:rPr>
                <w:b/>
                <w:bCs/>
                <w:sz w:val="20"/>
                <w:szCs w:val="20"/>
                <w:vertAlign w:val="superscript"/>
              </w:rPr>
              <w:t>**</w:t>
            </w:r>
          </w:p>
        </w:tc>
        <w:tc>
          <w:tcPr>
            <w:tcW w:w="356" w:type="pct"/>
            <w:noWrap/>
            <w:vAlign w:val="bottom"/>
          </w:tcPr>
          <w:p w:rsidR="00000000" w:rsidRDefault="00000000">
            <w:pPr>
              <w:jc w:val="right"/>
              <w:rPr>
                <w:sz w:val="20"/>
                <w:szCs w:val="20"/>
              </w:rPr>
            </w:pPr>
            <w:r>
              <w:rPr>
                <w:sz w:val="20"/>
                <w:szCs w:val="20"/>
              </w:rPr>
              <w:t>1,2</w:t>
            </w:r>
          </w:p>
        </w:tc>
        <w:tc>
          <w:tcPr>
            <w:tcW w:w="357" w:type="pct"/>
            <w:noWrap/>
            <w:vAlign w:val="bottom"/>
          </w:tcPr>
          <w:p w:rsidR="00000000" w:rsidRDefault="00000000">
            <w:pPr>
              <w:jc w:val="right"/>
              <w:rPr>
                <w:sz w:val="20"/>
                <w:szCs w:val="20"/>
              </w:rPr>
            </w:pPr>
            <w:r>
              <w:rPr>
                <w:sz w:val="20"/>
                <w:szCs w:val="20"/>
              </w:rPr>
              <w:t>0,8</w:t>
            </w:r>
          </w:p>
        </w:tc>
        <w:tc>
          <w:tcPr>
            <w:tcW w:w="358" w:type="pct"/>
            <w:noWrap/>
            <w:vAlign w:val="bottom"/>
          </w:tcPr>
          <w:p w:rsidR="00000000" w:rsidRDefault="00000000">
            <w:pPr>
              <w:jc w:val="right"/>
              <w:rPr>
                <w:sz w:val="20"/>
                <w:szCs w:val="20"/>
              </w:rPr>
            </w:pPr>
            <w:r>
              <w:rPr>
                <w:sz w:val="20"/>
                <w:szCs w:val="20"/>
              </w:rPr>
              <w:t>1,6</w:t>
            </w:r>
          </w:p>
        </w:tc>
        <w:tc>
          <w:tcPr>
            <w:tcW w:w="357" w:type="pct"/>
            <w:noWrap/>
            <w:vAlign w:val="bottom"/>
          </w:tcPr>
          <w:p w:rsidR="00000000" w:rsidRDefault="00000000">
            <w:pPr>
              <w:jc w:val="right"/>
              <w:rPr>
                <w:sz w:val="20"/>
                <w:szCs w:val="20"/>
              </w:rPr>
            </w:pPr>
            <w:r>
              <w:rPr>
                <w:sz w:val="20"/>
                <w:szCs w:val="20"/>
              </w:rPr>
              <w:t>0,5</w:t>
            </w:r>
          </w:p>
        </w:tc>
        <w:tc>
          <w:tcPr>
            <w:tcW w:w="355" w:type="pct"/>
            <w:noWrap/>
            <w:vAlign w:val="bottom"/>
          </w:tcPr>
          <w:p w:rsidR="00000000" w:rsidRDefault="00000000">
            <w:pPr>
              <w:jc w:val="right"/>
              <w:rPr>
                <w:sz w:val="20"/>
                <w:szCs w:val="20"/>
              </w:rPr>
            </w:pPr>
            <w:r>
              <w:rPr>
                <w:sz w:val="20"/>
                <w:szCs w:val="20"/>
              </w:rPr>
              <w:t>0,1</w:t>
            </w:r>
          </w:p>
        </w:tc>
        <w:tc>
          <w:tcPr>
            <w:tcW w:w="416" w:type="pct"/>
            <w:noWrap/>
            <w:vAlign w:val="bottom"/>
          </w:tcPr>
          <w:p w:rsidR="00000000" w:rsidRDefault="00000000">
            <w:pPr>
              <w:jc w:val="right"/>
              <w:rPr>
                <w:sz w:val="20"/>
                <w:szCs w:val="20"/>
              </w:rPr>
            </w:pPr>
            <w:r>
              <w:rPr>
                <w:sz w:val="20"/>
                <w:szCs w:val="20"/>
              </w:rPr>
              <w:t>1,1</w:t>
            </w:r>
          </w:p>
        </w:tc>
        <w:tc>
          <w:tcPr>
            <w:tcW w:w="361" w:type="pct"/>
            <w:noWrap/>
            <w:vAlign w:val="bottom"/>
          </w:tcPr>
          <w:p w:rsidR="00000000" w:rsidRDefault="00000000">
            <w:pPr>
              <w:jc w:val="right"/>
              <w:rPr>
                <w:sz w:val="20"/>
                <w:szCs w:val="20"/>
              </w:rPr>
            </w:pPr>
            <w:r>
              <w:rPr>
                <w:sz w:val="20"/>
                <w:szCs w:val="20"/>
              </w:rPr>
              <w:t>0,1</w:t>
            </w:r>
          </w:p>
        </w:tc>
        <w:tc>
          <w:tcPr>
            <w:tcW w:w="358" w:type="pct"/>
            <w:noWrap/>
            <w:vAlign w:val="bottom"/>
          </w:tcPr>
          <w:p w:rsidR="00000000" w:rsidRDefault="00000000">
            <w:pPr>
              <w:jc w:val="right"/>
              <w:rPr>
                <w:sz w:val="20"/>
                <w:szCs w:val="20"/>
              </w:rPr>
            </w:pPr>
            <w:r>
              <w:rPr>
                <w:sz w:val="20"/>
                <w:szCs w:val="20"/>
              </w:rPr>
              <w:t>0,0</w:t>
            </w:r>
          </w:p>
        </w:tc>
        <w:tc>
          <w:tcPr>
            <w:tcW w:w="353" w:type="pct"/>
            <w:noWrap/>
            <w:vAlign w:val="bottom"/>
          </w:tcPr>
          <w:p w:rsidR="00000000" w:rsidRDefault="00000000">
            <w:pPr>
              <w:jc w:val="right"/>
              <w:rPr>
                <w:sz w:val="20"/>
                <w:szCs w:val="20"/>
              </w:rPr>
            </w:pPr>
            <w:r>
              <w:rPr>
                <w:sz w:val="20"/>
                <w:szCs w:val="20"/>
              </w:rPr>
              <w:t>0,1</w:t>
            </w:r>
          </w:p>
        </w:tc>
        <w:tc>
          <w:tcPr>
            <w:tcW w:w="362" w:type="pct"/>
            <w:noWrap/>
            <w:vAlign w:val="bottom"/>
          </w:tcPr>
          <w:p w:rsidR="00000000" w:rsidRDefault="00000000">
            <w:pPr>
              <w:jc w:val="right"/>
              <w:rPr>
                <w:sz w:val="20"/>
                <w:szCs w:val="20"/>
              </w:rPr>
            </w:pPr>
            <w:r>
              <w:rPr>
                <w:sz w:val="20"/>
                <w:szCs w:val="20"/>
              </w:rPr>
              <w:t>-</w:t>
            </w:r>
          </w:p>
        </w:tc>
        <w:tc>
          <w:tcPr>
            <w:tcW w:w="359" w:type="pct"/>
            <w:noWrap/>
            <w:vAlign w:val="bottom"/>
          </w:tcPr>
          <w:p w:rsidR="00000000" w:rsidRDefault="00000000">
            <w:pPr>
              <w:jc w:val="right"/>
              <w:rPr>
                <w:sz w:val="20"/>
                <w:szCs w:val="20"/>
              </w:rPr>
            </w:pPr>
            <w:r>
              <w:rPr>
                <w:sz w:val="20"/>
                <w:szCs w:val="20"/>
              </w:rPr>
              <w:t>-</w:t>
            </w:r>
          </w:p>
        </w:tc>
        <w:tc>
          <w:tcPr>
            <w:tcW w:w="350" w:type="pct"/>
            <w:noWrap/>
            <w:vAlign w:val="bottom"/>
          </w:tcPr>
          <w:p w:rsidR="00000000" w:rsidRDefault="00000000">
            <w:pPr>
              <w:jc w:val="right"/>
              <w:rPr>
                <w:sz w:val="20"/>
                <w:szCs w:val="20"/>
              </w:rPr>
            </w:pPr>
            <w:r>
              <w:rPr>
                <w:sz w:val="20"/>
                <w:szCs w:val="20"/>
              </w:rPr>
              <w:t>-</w:t>
            </w:r>
          </w:p>
        </w:tc>
      </w:tr>
      <w:tr w:rsidR="00000000">
        <w:trPr>
          <w:trHeight w:val="20"/>
          <w:jc w:val="center"/>
        </w:trPr>
        <w:tc>
          <w:tcPr>
            <w:tcW w:w="659" w:type="pct"/>
            <w:noWrap/>
            <w:vAlign w:val="bottom"/>
          </w:tcPr>
          <w:p w:rsidR="00000000" w:rsidRDefault="00000000">
            <w:pPr>
              <w:rPr>
                <w:b/>
                <w:bCs/>
                <w:sz w:val="20"/>
                <w:szCs w:val="20"/>
                <w:lang w:val="es-ES_tradnl"/>
              </w:rPr>
            </w:pPr>
            <w:r>
              <w:rPr>
                <w:b/>
                <w:bCs/>
                <w:sz w:val="20"/>
                <w:szCs w:val="20"/>
                <w:lang w:val="es-ES_tradnl"/>
              </w:rPr>
              <w:tab/>
              <w:t>Total</w:t>
            </w:r>
          </w:p>
        </w:tc>
        <w:tc>
          <w:tcPr>
            <w:tcW w:w="356" w:type="pct"/>
            <w:noWrap/>
            <w:vAlign w:val="bottom"/>
          </w:tcPr>
          <w:p w:rsidR="00000000" w:rsidRDefault="00000000">
            <w:pPr>
              <w:jc w:val="right"/>
              <w:rPr>
                <w:b/>
                <w:bCs/>
                <w:sz w:val="20"/>
                <w:szCs w:val="20"/>
              </w:rPr>
            </w:pPr>
            <w:r>
              <w:rPr>
                <w:b/>
                <w:bCs/>
                <w:sz w:val="20"/>
                <w:szCs w:val="20"/>
              </w:rPr>
              <w:t>1.000.404</w:t>
            </w:r>
          </w:p>
        </w:tc>
        <w:tc>
          <w:tcPr>
            <w:tcW w:w="357" w:type="pct"/>
            <w:noWrap/>
            <w:vAlign w:val="bottom"/>
          </w:tcPr>
          <w:p w:rsidR="00000000" w:rsidRDefault="00000000">
            <w:pPr>
              <w:tabs>
                <w:tab w:val="decimal" w:pos="600"/>
              </w:tabs>
              <w:jc w:val="right"/>
              <w:rPr>
                <w:b/>
                <w:bCs/>
                <w:sz w:val="20"/>
                <w:szCs w:val="20"/>
              </w:rPr>
            </w:pPr>
            <w:r>
              <w:rPr>
                <w:b/>
                <w:bCs/>
                <w:sz w:val="20"/>
                <w:szCs w:val="20"/>
              </w:rPr>
              <w:t>541.050</w:t>
            </w:r>
          </w:p>
        </w:tc>
        <w:tc>
          <w:tcPr>
            <w:tcW w:w="358" w:type="pct"/>
            <w:noWrap/>
            <w:vAlign w:val="bottom"/>
          </w:tcPr>
          <w:p w:rsidR="00000000" w:rsidRDefault="00000000">
            <w:pPr>
              <w:tabs>
                <w:tab w:val="decimal" w:pos="580"/>
              </w:tabs>
              <w:jc w:val="right"/>
              <w:rPr>
                <w:b/>
                <w:bCs/>
                <w:sz w:val="20"/>
                <w:szCs w:val="20"/>
              </w:rPr>
            </w:pPr>
            <w:r>
              <w:rPr>
                <w:b/>
                <w:bCs/>
                <w:sz w:val="20"/>
                <w:szCs w:val="20"/>
              </w:rPr>
              <w:t>459.354</w:t>
            </w:r>
          </w:p>
        </w:tc>
        <w:tc>
          <w:tcPr>
            <w:tcW w:w="357" w:type="pct"/>
            <w:noWrap/>
            <w:vAlign w:val="bottom"/>
          </w:tcPr>
          <w:p w:rsidR="00000000" w:rsidRDefault="00000000">
            <w:pPr>
              <w:tabs>
                <w:tab w:val="decimal" w:pos="677"/>
              </w:tabs>
              <w:jc w:val="right"/>
              <w:rPr>
                <w:b/>
                <w:bCs/>
                <w:sz w:val="20"/>
                <w:szCs w:val="20"/>
              </w:rPr>
            </w:pPr>
            <w:r>
              <w:rPr>
                <w:b/>
                <w:bCs/>
                <w:sz w:val="20"/>
                <w:szCs w:val="20"/>
              </w:rPr>
              <w:t>1.107.486</w:t>
            </w:r>
          </w:p>
        </w:tc>
        <w:tc>
          <w:tcPr>
            <w:tcW w:w="355" w:type="pct"/>
            <w:noWrap/>
            <w:vAlign w:val="bottom"/>
          </w:tcPr>
          <w:p w:rsidR="00000000" w:rsidRDefault="00000000">
            <w:pPr>
              <w:tabs>
                <w:tab w:val="decimal" w:pos="657"/>
              </w:tabs>
              <w:jc w:val="right"/>
              <w:rPr>
                <w:b/>
                <w:bCs/>
                <w:sz w:val="20"/>
                <w:szCs w:val="20"/>
              </w:rPr>
            </w:pPr>
            <w:r>
              <w:rPr>
                <w:b/>
                <w:bCs/>
                <w:sz w:val="20"/>
                <w:szCs w:val="20"/>
              </w:rPr>
              <w:t>630.864</w:t>
            </w:r>
          </w:p>
        </w:tc>
        <w:tc>
          <w:tcPr>
            <w:tcW w:w="416" w:type="pct"/>
            <w:noWrap/>
            <w:vAlign w:val="bottom"/>
          </w:tcPr>
          <w:p w:rsidR="00000000" w:rsidRDefault="00000000">
            <w:pPr>
              <w:tabs>
                <w:tab w:val="decimal" w:pos="634"/>
              </w:tabs>
              <w:jc w:val="right"/>
              <w:rPr>
                <w:b/>
                <w:bCs/>
                <w:sz w:val="20"/>
                <w:szCs w:val="20"/>
              </w:rPr>
            </w:pPr>
            <w:r>
              <w:rPr>
                <w:b/>
                <w:bCs/>
                <w:sz w:val="20"/>
                <w:szCs w:val="20"/>
              </w:rPr>
              <w:t>476.622</w:t>
            </w:r>
          </w:p>
        </w:tc>
        <w:tc>
          <w:tcPr>
            <w:tcW w:w="361" w:type="pct"/>
            <w:noWrap/>
            <w:vAlign w:val="bottom"/>
          </w:tcPr>
          <w:p w:rsidR="00000000" w:rsidRDefault="00000000">
            <w:pPr>
              <w:tabs>
                <w:tab w:val="decimal" w:pos="573"/>
              </w:tabs>
              <w:jc w:val="right"/>
              <w:rPr>
                <w:b/>
                <w:bCs/>
                <w:sz w:val="20"/>
                <w:szCs w:val="20"/>
              </w:rPr>
            </w:pPr>
            <w:r>
              <w:rPr>
                <w:b/>
                <w:bCs/>
                <w:sz w:val="20"/>
                <w:szCs w:val="20"/>
              </w:rPr>
              <w:t>1.288.717</w:t>
            </w:r>
          </w:p>
        </w:tc>
        <w:tc>
          <w:tcPr>
            <w:tcW w:w="358" w:type="pct"/>
            <w:noWrap/>
            <w:vAlign w:val="bottom"/>
          </w:tcPr>
          <w:p w:rsidR="00000000" w:rsidRDefault="00000000">
            <w:pPr>
              <w:tabs>
                <w:tab w:val="decimal" w:pos="662"/>
              </w:tabs>
              <w:jc w:val="right"/>
              <w:rPr>
                <w:b/>
                <w:bCs/>
                <w:sz w:val="20"/>
                <w:szCs w:val="20"/>
              </w:rPr>
            </w:pPr>
            <w:r>
              <w:rPr>
                <w:b/>
                <w:bCs/>
                <w:sz w:val="20"/>
                <w:szCs w:val="20"/>
              </w:rPr>
              <w:t>765.308</w:t>
            </w:r>
          </w:p>
        </w:tc>
        <w:tc>
          <w:tcPr>
            <w:tcW w:w="353" w:type="pct"/>
            <w:noWrap/>
            <w:vAlign w:val="bottom"/>
          </w:tcPr>
          <w:p w:rsidR="00000000" w:rsidRDefault="00000000">
            <w:pPr>
              <w:tabs>
                <w:tab w:val="decimal" w:pos="639"/>
              </w:tabs>
              <w:jc w:val="right"/>
              <w:rPr>
                <w:b/>
                <w:bCs/>
                <w:sz w:val="20"/>
                <w:szCs w:val="20"/>
              </w:rPr>
            </w:pPr>
            <w:r>
              <w:rPr>
                <w:b/>
                <w:bCs/>
                <w:sz w:val="20"/>
                <w:szCs w:val="20"/>
              </w:rPr>
              <w:t>523.409</w:t>
            </w:r>
          </w:p>
        </w:tc>
        <w:tc>
          <w:tcPr>
            <w:tcW w:w="362" w:type="pct"/>
            <w:noWrap/>
            <w:vAlign w:val="bottom"/>
          </w:tcPr>
          <w:p w:rsidR="00000000" w:rsidRDefault="00000000">
            <w:pPr>
              <w:tabs>
                <w:tab w:val="decimal" w:pos="750"/>
              </w:tabs>
              <w:jc w:val="right"/>
              <w:rPr>
                <w:b/>
                <w:bCs/>
                <w:sz w:val="20"/>
                <w:szCs w:val="20"/>
              </w:rPr>
            </w:pPr>
            <w:r>
              <w:rPr>
                <w:b/>
                <w:bCs/>
                <w:sz w:val="20"/>
                <w:szCs w:val="20"/>
              </w:rPr>
              <w:t>1.343.713</w:t>
            </w:r>
          </w:p>
        </w:tc>
        <w:tc>
          <w:tcPr>
            <w:tcW w:w="359" w:type="pct"/>
            <w:noWrap/>
            <w:vAlign w:val="bottom"/>
          </w:tcPr>
          <w:p w:rsidR="00000000" w:rsidRDefault="00000000">
            <w:pPr>
              <w:tabs>
                <w:tab w:val="decimal" w:pos="716"/>
              </w:tabs>
              <w:jc w:val="right"/>
              <w:rPr>
                <w:b/>
                <w:bCs/>
                <w:sz w:val="20"/>
                <w:szCs w:val="20"/>
              </w:rPr>
            </w:pPr>
            <w:r>
              <w:rPr>
                <w:b/>
                <w:bCs/>
                <w:sz w:val="20"/>
                <w:szCs w:val="20"/>
              </w:rPr>
              <w:t>813.606</w:t>
            </w:r>
          </w:p>
        </w:tc>
        <w:tc>
          <w:tcPr>
            <w:tcW w:w="350" w:type="pct"/>
            <w:noWrap/>
            <w:vAlign w:val="bottom"/>
          </w:tcPr>
          <w:p w:rsidR="00000000" w:rsidRDefault="00000000">
            <w:pPr>
              <w:tabs>
                <w:tab w:val="decimal" w:pos="634"/>
              </w:tabs>
              <w:jc w:val="right"/>
              <w:rPr>
                <w:b/>
                <w:bCs/>
                <w:sz w:val="20"/>
                <w:szCs w:val="20"/>
              </w:rPr>
            </w:pPr>
            <w:r>
              <w:rPr>
                <w:b/>
                <w:bCs/>
                <w:sz w:val="20"/>
                <w:szCs w:val="20"/>
              </w:rPr>
              <w:t>530.107</w:t>
            </w:r>
          </w:p>
        </w:tc>
      </w:tr>
    </w:tbl>
    <w:p w:rsidR="00000000" w:rsidRDefault="00000000">
      <w:pPr>
        <w:spacing w:before="200" w:after="200"/>
        <w:rPr>
          <w:b/>
          <w:bCs/>
          <w:sz w:val="20"/>
          <w:szCs w:val="16"/>
        </w:rPr>
      </w:pPr>
      <w:r>
        <w:rPr>
          <w:i/>
          <w:iCs/>
          <w:sz w:val="20"/>
          <w:szCs w:val="16"/>
        </w:rPr>
        <w:t>Fuente:</w:t>
      </w:r>
      <w:r>
        <w:rPr>
          <w:sz w:val="20"/>
          <w:szCs w:val="16"/>
        </w:rPr>
        <w:t xml:space="preserve">  STP/DGEEC.  Encuesta Permanente de Hogares 1995, 1999, 2004.</w:t>
      </w:r>
    </w:p>
    <w:p w:rsidR="00000000" w:rsidRDefault="00000000">
      <w:pPr>
        <w:spacing w:before="240" w:after="200"/>
        <w:rPr>
          <w:sz w:val="20"/>
          <w:szCs w:val="16"/>
        </w:rPr>
      </w:pPr>
      <w:r>
        <w:rPr>
          <w:b/>
          <w:bCs/>
          <w:sz w:val="20"/>
          <w:szCs w:val="16"/>
          <w:vertAlign w:val="superscript"/>
        </w:rPr>
        <w:t>*</w:t>
      </w:r>
      <w:r>
        <w:rPr>
          <w:sz w:val="20"/>
          <w:szCs w:val="16"/>
        </w:rPr>
        <w:t xml:space="preserve"> En la EPH 1995-1999, los datos están ajustados a los resultados del Censo 2002.</w:t>
      </w:r>
    </w:p>
    <w:p w:rsidR="00000000" w:rsidRDefault="00000000">
      <w:pPr>
        <w:tabs>
          <w:tab w:val="left" w:pos="1932"/>
        </w:tabs>
        <w:spacing w:after="200"/>
        <w:rPr>
          <w:sz w:val="20"/>
          <w:szCs w:val="16"/>
        </w:rPr>
      </w:pPr>
      <w:r>
        <w:rPr>
          <w:b/>
          <w:bCs/>
          <w:sz w:val="20"/>
          <w:szCs w:val="16"/>
          <w:vertAlign w:val="superscript"/>
        </w:rPr>
        <w:t>**</w:t>
      </w:r>
      <w:r>
        <w:rPr>
          <w:sz w:val="20"/>
          <w:szCs w:val="16"/>
        </w:rPr>
        <w:t xml:space="preserve"> Año 1995:  incluye en otro aljibe, pozo artesiano, tajamar; año 1999:  tira en arroyo, en la chacra, vertedero; año 2004:  ycuá o manantial, arroyo.</w:t>
      </w:r>
    </w:p>
    <w:p w:rsidR="00000000" w:rsidRDefault="00000000">
      <w:pPr>
        <w:autoSpaceDE w:val="0"/>
        <w:autoSpaceDN w:val="0"/>
        <w:adjustRightInd w:val="0"/>
        <w:spacing w:after="240"/>
        <w:rPr>
          <w:bCs/>
        </w:rPr>
      </w:pPr>
    </w:p>
    <w:p w:rsidR="00000000" w:rsidRDefault="00000000">
      <w:pPr>
        <w:autoSpaceDE w:val="0"/>
        <w:autoSpaceDN w:val="0"/>
        <w:adjustRightInd w:val="0"/>
        <w:spacing w:after="240"/>
        <w:rPr>
          <w:bCs/>
        </w:rPr>
      </w:pPr>
    </w:p>
    <w:p w:rsidR="00000000" w:rsidRDefault="00000000">
      <w:pPr>
        <w:autoSpaceDE w:val="0"/>
        <w:autoSpaceDN w:val="0"/>
        <w:adjustRightInd w:val="0"/>
        <w:spacing w:after="240"/>
        <w:rPr>
          <w:bCs/>
        </w:rPr>
        <w:sectPr w:rsidR="00000000">
          <w:headerReference w:type="even" r:id="rId74"/>
          <w:pgSz w:w="16838" w:h="11906" w:orient="landscape" w:code="9"/>
          <w:pgMar w:top="1701" w:right="1701" w:bottom="1701" w:left="1701" w:header="851" w:footer="567" w:gutter="0"/>
          <w:cols w:space="708"/>
          <w:docGrid w:linePitch="360"/>
        </w:sectPr>
      </w:pPr>
    </w:p>
    <w:p w:rsidR="00000000" w:rsidRDefault="00000000">
      <w:pPr>
        <w:spacing w:after="240"/>
        <w:rPr>
          <w:lang w:val="es-ES_tradnl"/>
        </w:rPr>
      </w:pPr>
      <w:r>
        <w:t>418.</w:t>
      </w:r>
      <w:r>
        <w:tab/>
        <w:t>Asimismo</w:t>
      </w:r>
      <w:r>
        <w:rPr>
          <w:lang w:val="es-ES_tradnl"/>
        </w:rPr>
        <w:t>, se puede afirmar que los niños y niñas que viven en hogares con carencia de agua potable y que son abastecidos con agua de arroyo/ycuá, pozo sin bomba, tuvieron significativamente una mayor prevalencia de desnutrición crónica y global que aquellos con hogares con agua de ESSAP, SENASA, red privada (figura 3).  De igual manera y de la misma fuente, se observa en la figura 4 que cuando el hogar no posee algún tipo de desagüe o que éste es muy precario, es significativamente mayor la prevalencia de desnutrición crónica y global comparado con aquellos hogares con WC conectado a red pública o WC conectado a pozo ciego.</w:t>
      </w:r>
    </w:p>
    <w:p w:rsidR="00000000" w:rsidRDefault="00000000">
      <w:pPr>
        <w:autoSpaceDE w:val="0"/>
        <w:autoSpaceDN w:val="0"/>
        <w:adjustRightInd w:val="0"/>
        <w:jc w:val="center"/>
        <w:rPr>
          <w:b/>
          <w:bCs/>
          <w:lang w:val="es-ES_tradnl"/>
        </w:rPr>
      </w:pPr>
      <w:r>
        <w:rPr>
          <w:b/>
          <w:bCs/>
          <w:lang w:val="es-ES_tradnl"/>
        </w:rPr>
        <w:t>Figura 3</w:t>
      </w:r>
    </w:p>
    <w:p w:rsidR="00000000" w:rsidRDefault="00000000">
      <w:pPr>
        <w:autoSpaceDE w:val="0"/>
        <w:autoSpaceDN w:val="0"/>
        <w:adjustRightInd w:val="0"/>
        <w:spacing w:beforeLines="40" w:before="96" w:afterLines="40" w:after="96"/>
        <w:jc w:val="center"/>
        <w:rPr>
          <w:b/>
          <w:bCs/>
          <w:lang w:val="es-ES_tradnl"/>
        </w:rPr>
      </w:pPr>
      <w:r>
        <w:rPr>
          <w:b/>
          <w:bCs/>
          <w:lang w:val="es-ES_tradnl"/>
        </w:rPr>
        <w:t xml:space="preserve">Prevalencia de desnutrición crónica y global </w:t>
      </w:r>
      <w:r>
        <w:rPr>
          <w:b/>
          <w:bCs/>
          <w:lang w:val="es-ES_tradnl"/>
        </w:rPr>
        <w:br/>
        <w:t>según tipo de servicio de agua en el hogar</w:t>
      </w:r>
    </w:p>
    <w:p w:rsidR="00000000" w:rsidRDefault="00000000">
      <w:pPr>
        <w:autoSpaceDE w:val="0"/>
        <w:autoSpaceDN w:val="0"/>
        <w:adjustRightInd w:val="0"/>
        <w:spacing w:beforeLines="40" w:before="96" w:afterLines="40" w:after="96"/>
        <w:rPr>
          <w:lang w:val="es-ES_tradnl"/>
        </w:rPr>
      </w:pPr>
      <w:r>
        <w:rPr>
          <w:lang w:val="es-ES_tradnl"/>
        </w:rPr>
        <w:pict>
          <v:shape id="_x0000_s1103" type="#_x0000_t75" style="position:absolute;margin-left:1in;margin-top:0;width:305.05pt;height:191.4pt;z-index:21;mso-wrap-edited:f" wrapcoords="-53 0 -53 21528 21600 21528 21600 0 -53 0">
            <v:imagedata r:id="rId75" o:title=""/>
            <w10:anchorlock/>
          </v:shape>
        </w:pict>
      </w: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beforeLines="40" w:before="96" w:afterLines="40" w:after="96"/>
        <w:jc w:val="center"/>
        <w:rPr>
          <w:b/>
          <w:szCs w:val="20"/>
        </w:rPr>
      </w:pPr>
      <w:r>
        <w:pict>
          <v:shape id="_x0000_i1036" type="#_x0000_t75" style="width:314.25pt;height:201.75pt;mso-wrap-edited:f" wrapcoords="-52 0 -52 21532 21600 21532 21600 0 -52 0" o:allowoverlap="f">
            <v:imagedata r:id="rId76" o:title=""/>
          </v:shape>
        </w:pict>
      </w:r>
      <w:r>
        <w:rPr>
          <w:rStyle w:val="FootnoteReference"/>
        </w:rPr>
        <w:footnoteReference w:id="32"/>
      </w:r>
    </w:p>
    <w:p w:rsidR="00000000" w:rsidRDefault="00000000">
      <w:pPr>
        <w:keepNext/>
        <w:spacing w:after="240"/>
        <w:rPr>
          <w:b/>
        </w:rPr>
      </w:pPr>
      <w:r>
        <w:rPr>
          <w:b/>
          <w:bCs/>
        </w:rPr>
        <w:t>3.</w:t>
      </w:r>
      <w:r>
        <w:rPr>
          <w:b/>
          <w:bCs/>
        </w:rPr>
        <w:tab/>
        <w:t>Acceso a la v</w:t>
      </w:r>
      <w:r>
        <w:rPr>
          <w:b/>
        </w:rPr>
        <w:t xml:space="preserve">ivienda - </w:t>
      </w:r>
      <w:r>
        <w:rPr>
          <w:b/>
          <w:iCs/>
        </w:rPr>
        <w:t>Consejo Nacional de la Vivienda (CONAVI)</w:t>
      </w:r>
    </w:p>
    <w:p w:rsidR="00000000" w:rsidRDefault="00000000">
      <w:pPr>
        <w:autoSpaceDE w:val="0"/>
        <w:autoSpaceDN w:val="0"/>
        <w:adjustRightInd w:val="0"/>
        <w:spacing w:after="240"/>
        <w:rPr>
          <w:iCs/>
        </w:rPr>
      </w:pPr>
      <w:r>
        <w:rPr>
          <w:iCs/>
        </w:rPr>
        <w:t>419.</w:t>
      </w:r>
      <w:r>
        <w:rPr>
          <w:iCs/>
        </w:rPr>
        <w:tab/>
        <w:t>El Consejo Nacional de la Vivienda, creado en 1990, es la entidad autárquica que tiene por objetivo "fijar la política nacional de la vivienda en el marco de las políticas macro</w:t>
      </w:r>
      <w:r>
        <w:t>económicas</w:t>
      </w:r>
      <w:r>
        <w:rPr>
          <w:iCs/>
        </w:rPr>
        <w:t xml:space="preserve"> y del Plan Nacional de Desarrollo que las expresa, tendientes a satisfacer la demanda de viviendas y soluciones habitacionales".  El CONAVI se constituye en el organismo rector del sector habitacional en el Paraguay.</w:t>
      </w:r>
    </w:p>
    <w:p w:rsidR="00000000" w:rsidRDefault="00000000">
      <w:pPr>
        <w:autoSpaceDE w:val="0"/>
        <w:autoSpaceDN w:val="0"/>
        <w:adjustRightInd w:val="0"/>
        <w:spacing w:after="240"/>
        <w:rPr>
          <w:iCs/>
        </w:rPr>
      </w:pPr>
      <w:r>
        <w:rPr>
          <w:iCs/>
        </w:rPr>
        <w:t>420.</w:t>
      </w:r>
      <w:r>
        <w:rPr>
          <w:iCs/>
        </w:rPr>
        <w:tab/>
        <w:t xml:space="preserve">Entre 1995 a 2000 desarrolló un sistema de subsidio habitacional directo, con recursos del Banco Interamericano de Desarrollo (BID) y del Tesoro Nacional.  El sistema se basó en los componentes de subsidio, ahorro y crédito.  Se establecieron cinco niveles de subsidio en unidades de salario mínimo, en función al nivel socioeconómico de los beneficiarios y al valor máximo de la vivienda.  Los créditos complementarios eran concedidos por instituciones intermediarias de financiamiento, entre ellas las Sociedades de Ahorro y Préstamo para la Vivienda (SAPV), algunas financieras y cooperativas, a tasas de mercado y con reajustes en base a un sistema de doble indización.  Para fomentar la concesión de estos créditos, el Banco Nacional de la Vivienda estableció un fondo de redescuento de hipotecas, descontando a las instituciones intermediarias las hipotecas de los créditos. </w:t>
      </w:r>
    </w:p>
    <w:p w:rsidR="00000000" w:rsidRDefault="00000000">
      <w:pPr>
        <w:autoSpaceDE w:val="0"/>
        <w:autoSpaceDN w:val="0"/>
        <w:adjustRightInd w:val="0"/>
        <w:spacing w:after="240"/>
        <w:rPr>
          <w:iCs/>
        </w:rPr>
      </w:pPr>
      <w:r>
        <w:rPr>
          <w:iCs/>
        </w:rPr>
        <w:t>421.</w:t>
      </w:r>
      <w:r>
        <w:rPr>
          <w:iCs/>
        </w:rPr>
        <w:tab/>
        <w:t>Las empresas constructoras e inmobiliarias eran las encargadas de construir y ofrecer en el mercado las viviendas a los beneficiarios del subsidio.  Con este sistema se llegó a construir unas 10.000 viviendas.  El sistema fracasó por diversos motivos, entre ellos, la crisis del sistema financiero en Paraguay, que llevó a la quiebra a varios bancos y sociedades de ahorro y préstamo para la vivienda.  Por ley, las carteras de las instituciones intermediarias pasaron al CONAVI, y se refinanciaron las deudas en base a tasas y cuotas fijas.  En el lapso de 2000 a 2003 el presupuesto asignado al CONAVI no permitió realizar proyectos significativos y prácticamente desapareció la financiación de viviendas a largo plazo en Paraguay.  Actualmente, con la nueva administración de Gobierno y del CONAVI, a partir de 2003, la Institución estableció dos programas principales de acceso a la vivienda social:</w:t>
      </w:r>
    </w:p>
    <w:p w:rsidR="00000000" w:rsidRDefault="00000000">
      <w:pPr>
        <w:spacing w:after="240"/>
        <w:rPr>
          <w:b/>
          <w:iCs/>
        </w:rPr>
      </w:pPr>
      <w:r>
        <w:rPr>
          <w:b/>
          <w:iCs/>
        </w:rPr>
        <w:tab/>
        <w:t>3.1.</w:t>
      </w:r>
      <w:r>
        <w:rPr>
          <w:b/>
          <w:iCs/>
        </w:rPr>
        <w:tab/>
        <w:t>Programa de mejoramiento de la comunidad</w:t>
      </w:r>
    </w:p>
    <w:p w:rsidR="00000000" w:rsidRDefault="00000000">
      <w:pPr>
        <w:autoSpaceDE w:val="0"/>
        <w:autoSpaceDN w:val="0"/>
        <w:adjustRightInd w:val="0"/>
        <w:spacing w:after="240"/>
        <w:rPr>
          <w:iCs/>
        </w:rPr>
      </w:pPr>
      <w:r>
        <w:rPr>
          <w:iCs/>
        </w:rPr>
        <w:t>422.</w:t>
      </w:r>
      <w:r>
        <w:rPr>
          <w:iCs/>
        </w:rPr>
        <w:tab/>
        <w:t xml:space="preserve">Con recursos de </w:t>
      </w:r>
      <w:r>
        <w:t>donación</w:t>
      </w:r>
      <w:r>
        <w:rPr>
          <w:iCs/>
        </w:rPr>
        <w:t xml:space="preserve"> de la República de China (Taiwán).  Está dirigido a familias en situación de pobreza y extrema pobreza, con subsidio casi total.  Se construyen las viviendas y mejoras en los mismos sitios habitados por la población beneficiaria.  En dos años se han construido unas 1.500 viviendas.  No generan cartera.</w:t>
      </w:r>
    </w:p>
    <w:p w:rsidR="00000000" w:rsidRDefault="00000000">
      <w:pPr>
        <w:autoSpaceDE w:val="0"/>
        <w:autoSpaceDN w:val="0"/>
        <w:adjustRightInd w:val="0"/>
        <w:spacing w:after="240"/>
        <w:rPr>
          <w:iCs/>
        </w:rPr>
      </w:pPr>
      <w:r>
        <w:rPr>
          <w:iCs/>
        </w:rPr>
        <w:t>423.</w:t>
      </w:r>
      <w:r>
        <w:rPr>
          <w:iCs/>
        </w:rPr>
        <w:tab/>
        <w:t xml:space="preserve">Un programa </w:t>
      </w:r>
      <w:r>
        <w:t>semejante</w:t>
      </w:r>
      <w:r>
        <w:rPr>
          <w:iCs/>
        </w:rPr>
        <w:t xml:space="preserve"> implementa la Secretaría de Acción Social (SAS) con la misma fuente de recursos y similar cantidad de viviendas por año</w:t>
      </w:r>
    </w:p>
    <w:p w:rsidR="00000000" w:rsidRDefault="00000000">
      <w:pPr>
        <w:spacing w:after="240"/>
        <w:rPr>
          <w:b/>
          <w:iCs/>
        </w:rPr>
      </w:pPr>
      <w:r>
        <w:rPr>
          <w:b/>
          <w:iCs/>
        </w:rPr>
        <w:tab/>
        <w:t>3.2.</w:t>
      </w:r>
      <w:r>
        <w:rPr>
          <w:b/>
          <w:iCs/>
        </w:rPr>
        <w:tab/>
        <w:t>Programa de crédito hipotecario</w:t>
      </w:r>
    </w:p>
    <w:p w:rsidR="00000000" w:rsidRDefault="00000000">
      <w:pPr>
        <w:autoSpaceDE w:val="0"/>
        <w:autoSpaceDN w:val="0"/>
        <w:adjustRightInd w:val="0"/>
        <w:spacing w:after="240"/>
        <w:rPr>
          <w:iCs/>
        </w:rPr>
      </w:pPr>
      <w:r>
        <w:rPr>
          <w:iCs/>
        </w:rPr>
        <w:t>424.</w:t>
      </w:r>
      <w:r>
        <w:rPr>
          <w:iCs/>
        </w:rPr>
        <w:tab/>
        <w:t xml:space="preserve">Con recursos </w:t>
      </w:r>
      <w:r>
        <w:t>propios</w:t>
      </w:r>
      <w:r>
        <w:rPr>
          <w:iCs/>
        </w:rPr>
        <w:t xml:space="preserve"> del CONAVI, está dirigido a familias de clase media.  Los créditos son concedidos por instituciones financieras intermediarias en especial cooperativas, a tasas del 17% anual sobre saldos, sin reajustes, con cuotas fijas y a 15 años de plazo.  Estos créditos son redescontados en el CONAVI con garantía hipotecaria, al mismo plazo y a una tasa del 11% anual sobre saldos.  Se cuenta actualmente con recursos limitados para este programa.  Se realizaron sin embargo un total de 300 viviendas.</w:t>
      </w:r>
    </w:p>
    <w:p w:rsidR="00000000" w:rsidRDefault="00000000">
      <w:pPr>
        <w:autoSpaceDE w:val="0"/>
        <w:autoSpaceDN w:val="0"/>
        <w:adjustRightInd w:val="0"/>
        <w:spacing w:after="240"/>
        <w:rPr>
          <w:iCs/>
        </w:rPr>
      </w:pPr>
      <w:r>
        <w:rPr>
          <w:iCs/>
        </w:rPr>
        <w:t>425.</w:t>
      </w:r>
      <w:r>
        <w:rPr>
          <w:iCs/>
        </w:rPr>
        <w:tab/>
        <w:t xml:space="preserve">Igualmente se está implementando también un proyecto piloto con cooperativas de vivienda por ayuda mutua, para población en situación de pobreza.  Se concedió un crédito </w:t>
      </w:r>
      <w:r>
        <w:t>hipotecario</w:t>
      </w:r>
      <w:r>
        <w:rPr>
          <w:iCs/>
        </w:rPr>
        <w:t xml:space="preserve"> al consorcio de cooperativas, con sistema de reajuste en función a la unidad de salario mínimo (USM) pero sin intereses.  El proyecto tiene una cobertura de 300 viviendas, habiéndose concluido hasta la fecha 135.</w:t>
      </w:r>
    </w:p>
    <w:p w:rsidR="00000000" w:rsidRDefault="00000000">
      <w:pPr>
        <w:autoSpaceDE w:val="0"/>
        <w:autoSpaceDN w:val="0"/>
        <w:adjustRightInd w:val="0"/>
        <w:spacing w:after="240"/>
        <w:rPr>
          <w:iCs/>
        </w:rPr>
      </w:pPr>
      <w:r>
        <w:rPr>
          <w:iCs/>
        </w:rPr>
        <w:t>426.</w:t>
      </w:r>
      <w:r>
        <w:rPr>
          <w:iCs/>
        </w:rPr>
        <w:tab/>
        <w:t xml:space="preserve">Asimismo, está prevista la implementación de un nuevo programa para trabajadores de nivel socioeconómico medio-bajo.  El mismo se basa nuevamente en componentes de subsidio directo, ahorro y crédito.  Dicho programa operaría preferentemente a través de </w:t>
      </w:r>
      <w:r>
        <w:t>cooperativas</w:t>
      </w:r>
      <w:r>
        <w:rPr>
          <w:iCs/>
        </w:rPr>
        <w:t>.  Otra iniciativa en este ámbito, incluye la recientemente creación por ley de la Agencia Financiera para el Desarrollo (AFD).  La misma opera como banca de segundo piso, promoviendo la concesión de créditos a través de instituciones financieras intermediarias de primer piso, para:</w:t>
      </w:r>
    </w:p>
    <w:p w:rsidR="00000000" w:rsidRDefault="00000000">
      <w:pPr>
        <w:spacing w:after="240"/>
        <w:ind w:left="924" w:hanging="357"/>
        <w:rPr>
          <w:iCs/>
        </w:rPr>
      </w:pPr>
      <w:r>
        <w:rPr>
          <w:iCs/>
        </w:rPr>
        <w:t>-</w:t>
      </w:r>
      <w:r>
        <w:rPr>
          <w:iCs/>
        </w:rPr>
        <w:tab/>
        <w:t>Desarrollo rural;</w:t>
      </w:r>
    </w:p>
    <w:p w:rsidR="00000000" w:rsidRDefault="00000000">
      <w:pPr>
        <w:spacing w:after="240"/>
        <w:ind w:left="924" w:hanging="357"/>
        <w:rPr>
          <w:iCs/>
        </w:rPr>
      </w:pPr>
      <w:r>
        <w:rPr>
          <w:iCs/>
        </w:rPr>
        <w:t>-</w:t>
      </w:r>
      <w:r>
        <w:rPr>
          <w:iCs/>
        </w:rPr>
        <w:tab/>
        <w:t>Créditos para pequeñas y medianas empresas (PYMES);</w:t>
      </w:r>
    </w:p>
    <w:p w:rsidR="00000000" w:rsidRDefault="00000000">
      <w:pPr>
        <w:spacing w:after="240"/>
        <w:ind w:left="924" w:hanging="357"/>
        <w:rPr>
          <w:iCs/>
        </w:rPr>
      </w:pPr>
      <w:r>
        <w:rPr>
          <w:iCs/>
        </w:rPr>
        <w:t>-</w:t>
      </w:r>
      <w:r>
        <w:rPr>
          <w:iCs/>
        </w:rPr>
        <w:tab/>
        <w:t>Creación y desarrollo empresarial;</w:t>
      </w:r>
    </w:p>
    <w:p w:rsidR="00000000" w:rsidRDefault="00000000">
      <w:pPr>
        <w:spacing w:after="240"/>
        <w:ind w:left="924" w:hanging="357"/>
        <w:rPr>
          <w:iCs/>
        </w:rPr>
      </w:pPr>
      <w:r>
        <w:rPr>
          <w:iCs/>
        </w:rPr>
        <w:t>-</w:t>
      </w:r>
      <w:r>
        <w:rPr>
          <w:iCs/>
        </w:rPr>
        <w:tab/>
        <w:t>Exportaciones de bienes y servicios e importaciones de bienes de capital para PYMES;</w:t>
      </w:r>
    </w:p>
    <w:p w:rsidR="00000000" w:rsidRDefault="00000000">
      <w:pPr>
        <w:spacing w:after="240"/>
        <w:ind w:left="924" w:hanging="357"/>
        <w:rPr>
          <w:iCs/>
        </w:rPr>
      </w:pPr>
      <w:r>
        <w:rPr>
          <w:iCs/>
        </w:rPr>
        <w:t>-</w:t>
      </w:r>
      <w:r>
        <w:rPr>
          <w:iCs/>
        </w:rPr>
        <w:tab/>
        <w:t>Proyectos para el desarrollo del turismo;</w:t>
      </w:r>
    </w:p>
    <w:p w:rsidR="00000000" w:rsidRDefault="00000000">
      <w:pPr>
        <w:spacing w:after="240"/>
        <w:ind w:left="924" w:hanging="357"/>
        <w:rPr>
          <w:iCs/>
        </w:rPr>
      </w:pPr>
      <w:r>
        <w:rPr>
          <w:iCs/>
        </w:rPr>
        <w:t>-</w:t>
      </w:r>
      <w:r>
        <w:rPr>
          <w:iCs/>
        </w:rPr>
        <w:tab/>
        <w:t>Proyectos de inversión en infraestructura básica;</w:t>
      </w:r>
    </w:p>
    <w:p w:rsidR="00000000" w:rsidRDefault="00000000">
      <w:pPr>
        <w:spacing w:after="240"/>
        <w:ind w:left="924" w:hanging="357"/>
        <w:rPr>
          <w:iCs/>
        </w:rPr>
      </w:pPr>
      <w:r>
        <w:rPr>
          <w:iCs/>
        </w:rPr>
        <w:t>-</w:t>
      </w:r>
      <w:r>
        <w:rPr>
          <w:iCs/>
        </w:rPr>
        <w:tab/>
        <w:t>Desarrollo de programas habitacionales y urbanísticos.</w:t>
      </w:r>
    </w:p>
    <w:p w:rsidR="00000000" w:rsidRDefault="00000000">
      <w:pPr>
        <w:autoSpaceDE w:val="0"/>
        <w:autoSpaceDN w:val="0"/>
        <w:adjustRightInd w:val="0"/>
        <w:spacing w:after="240"/>
        <w:rPr>
          <w:iCs/>
        </w:rPr>
      </w:pPr>
      <w:r>
        <w:rPr>
          <w:iCs/>
        </w:rPr>
        <w:t>427.</w:t>
      </w:r>
      <w:r>
        <w:rPr>
          <w:iCs/>
        </w:rPr>
        <w:tab/>
        <w:t>Con la instalación de la Agencia Financiera para el Desarrollo se han extinguido las demás bancas públicas de segundo piso, entre ellas el Banco Nacional de la Vivienda, no quedando en la actualidad bancos especializados en vivienda.  Por otra parte, si bien está contemplada la financiación de proyectos habitacionales y urbanísticos, se coordinan los esfuerzos de la Agencia y del sector habitacional, con programas diseñados conjuntamente (por ejemplo con subsidios directos del Estado), de manera que los créditos para la vivienda sean realmente accesibles a la población sin vivienda.</w:t>
      </w:r>
    </w:p>
    <w:p w:rsidR="00000000" w:rsidRDefault="00000000">
      <w:pPr>
        <w:autoSpaceDE w:val="0"/>
        <w:autoSpaceDN w:val="0"/>
        <w:adjustRightInd w:val="0"/>
        <w:spacing w:after="240"/>
        <w:rPr>
          <w:iCs/>
        </w:rPr>
      </w:pPr>
      <w:r>
        <w:rPr>
          <w:iCs/>
        </w:rPr>
        <w:t>428.</w:t>
      </w:r>
      <w:r>
        <w:rPr>
          <w:iCs/>
        </w:rPr>
        <w:tab/>
        <w:t xml:space="preserve">También se está analizando la posibilidad de inversión en hipotecas de viviendas por parte del Instituto de Previsión Social (IPS), entidad autónoma y autárquica, que administra la seguridad médica y los fondos de jubilaciones de todos los asalariados del sector privado </w:t>
      </w:r>
      <w:r>
        <w:t>en</w:t>
      </w:r>
      <w:r>
        <w:rPr>
          <w:iCs/>
        </w:rPr>
        <w:t xml:space="preserve"> el Paraguay.  Así también, se promulgaron leyes referentes a securitización y calificación de riesgo, que servirán para impulsar un mercado secundario de hipotecas; las mismas no cuentan aún con la reglamentación necesaria.  De igual manera, se está impulsando la idea de la creación de una secretaría o ministerio de la vivienda, de manera a elevar el rango del sector.</w:t>
      </w:r>
    </w:p>
    <w:p w:rsidR="00000000" w:rsidRDefault="00000000">
      <w:pPr>
        <w:spacing w:after="240"/>
        <w:rPr>
          <w:b/>
          <w:iCs/>
        </w:rPr>
      </w:pPr>
      <w:r>
        <w:rPr>
          <w:b/>
          <w:iCs/>
        </w:rPr>
        <w:tab/>
        <w:t>3.3.</w:t>
      </w:r>
      <w:r>
        <w:rPr>
          <w:b/>
          <w:iCs/>
        </w:rPr>
        <w:tab/>
        <w:t>Desafíos del sector habitacional</w:t>
      </w:r>
    </w:p>
    <w:p w:rsidR="00000000" w:rsidRDefault="00000000">
      <w:pPr>
        <w:autoSpaceDE w:val="0"/>
        <w:autoSpaceDN w:val="0"/>
        <w:adjustRightInd w:val="0"/>
        <w:spacing w:after="240"/>
        <w:rPr>
          <w:iCs/>
        </w:rPr>
      </w:pPr>
      <w:r>
        <w:rPr>
          <w:iCs/>
        </w:rPr>
        <w:t>429.</w:t>
      </w:r>
      <w:r>
        <w:rPr>
          <w:iCs/>
        </w:rPr>
        <w:tab/>
        <w:t xml:space="preserve">En la actualidad no existe financiamiento del sector privado a largo plazo para la vivienda en Paraguay.  La experiencia en materia de vivienda social es relativamente corta y las políticas y recursos han fluctuado con cada gobierno.  En este sentido, todavía es </w:t>
      </w:r>
      <w:r>
        <w:t>necesaria</w:t>
      </w:r>
      <w:r>
        <w:rPr>
          <w:iCs/>
        </w:rPr>
        <w:t xml:space="preserve"> una mayor coordinación de los esfuerzos de todos los sectores involucrados, para así lograr políticas y programas que perduren más allá de los periodos de gobierno.</w:t>
      </w:r>
    </w:p>
    <w:p w:rsidR="00000000" w:rsidRDefault="00000000">
      <w:pPr>
        <w:autoSpaceDE w:val="0"/>
        <w:autoSpaceDN w:val="0"/>
        <w:adjustRightInd w:val="0"/>
        <w:spacing w:after="240"/>
        <w:rPr>
          <w:iCs/>
        </w:rPr>
      </w:pPr>
      <w:r>
        <w:rPr>
          <w:iCs/>
        </w:rPr>
        <w:t>430.</w:t>
      </w:r>
      <w:r>
        <w:rPr>
          <w:iCs/>
        </w:rPr>
        <w:tab/>
        <w:t>Con relación al número de personas que están inscritas en el Consejo Nacional de la Vivienda (CONAVI), en espera de una vivienda, son alrededor de 1.000 las que introducen por año sus solicitudes al CONAVI, en forma individual.  Por otro lado existen alrededor de 11.500 familias que pertenecen a grupos organizados de todo el país que tienen presentadas sus solicitudes al CONAVI.  En cuanto al tiempo de espera para la asistencia a los solicitantes de vivienda depende exclusivamente de la disponibilidad presupuestaria de la Institución.</w:t>
      </w:r>
    </w:p>
    <w:p w:rsidR="00000000" w:rsidRDefault="00000000">
      <w:pPr>
        <w:autoSpaceDE w:val="0"/>
        <w:autoSpaceDN w:val="0"/>
        <w:adjustRightInd w:val="0"/>
        <w:spacing w:after="240"/>
      </w:pPr>
      <w:r>
        <w:t>431.</w:t>
      </w:r>
      <w:r>
        <w:tab/>
        <w:t>Por otra parte, en lo que respecta a la producción del CONAVI, el número de soluciones habitacionales entregadas desde su creación en 1990 a la fecha, asciende a alrededor de 35.000 unidades.  En cuanto a la propiedad de la vivienda y situación de inquilinato se presentan seguidamente los cuadros y gráficos que ilustran la situación.  Es de importancia destacar que no sólo las familias en situación de pobreza y extrema pobreza carecen de vivienda propia, sino también un alto porcentaje de la clase media baja se encuentra en la misma situación, la principal causa se puede atribuir a la falta de financiamiento adecuado a largo plazo que permita el acceso a la vivienda propia.</w:t>
      </w:r>
    </w:p>
    <w:p w:rsidR="00000000" w:rsidRDefault="00000000">
      <w:pPr>
        <w:autoSpaceDE w:val="0"/>
        <w:autoSpaceDN w:val="0"/>
        <w:adjustRightInd w:val="0"/>
        <w:spacing w:after="240"/>
      </w:pPr>
      <w:r>
        <w:t>432.</w:t>
      </w:r>
      <w:r>
        <w:tab/>
        <w:t xml:space="preserve">A continuación, algunos datos estadísticos sobre la situación de la vivienda el Paraguay. </w:t>
      </w:r>
    </w:p>
    <w:p w:rsidR="00000000" w:rsidRDefault="00000000">
      <w:pPr>
        <w:keepNext/>
        <w:keepLines/>
        <w:autoSpaceDE w:val="0"/>
        <w:autoSpaceDN w:val="0"/>
        <w:adjustRightInd w:val="0"/>
        <w:spacing w:after="240"/>
        <w:jc w:val="center"/>
        <w:rPr>
          <w:b/>
          <w:bCs/>
        </w:rPr>
      </w:pPr>
      <w:r>
        <w:rPr>
          <w:b/>
          <w:bCs/>
        </w:rPr>
        <w:t>Tenencia de la vivienda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790"/>
        <w:gridCol w:w="1200"/>
        <w:gridCol w:w="1080"/>
        <w:gridCol w:w="1080"/>
        <w:gridCol w:w="1152"/>
        <w:gridCol w:w="1192"/>
      </w:tblGrid>
      <w:tr w:rsidR="00000000">
        <w:tblPrEx>
          <w:tblCellMar>
            <w:top w:w="0" w:type="dxa"/>
            <w:bottom w:w="0" w:type="dxa"/>
          </w:tblCellMar>
        </w:tblPrEx>
        <w:trPr>
          <w:cantSplit/>
        </w:trPr>
        <w:tc>
          <w:tcPr>
            <w:tcW w:w="9494" w:type="dxa"/>
            <w:gridSpan w:val="6"/>
          </w:tcPr>
          <w:p w:rsidR="00000000" w:rsidRDefault="00000000">
            <w:pPr>
              <w:keepNext/>
              <w:keepLines/>
              <w:autoSpaceDE w:val="0"/>
              <w:autoSpaceDN w:val="0"/>
              <w:adjustRightInd w:val="0"/>
              <w:jc w:val="center"/>
              <w:rPr>
                <w:sz w:val="20"/>
              </w:rPr>
            </w:pPr>
            <w:r>
              <w:rPr>
                <w:b/>
                <w:bCs/>
                <w:sz w:val="20"/>
                <w:szCs w:val="22"/>
              </w:rPr>
              <w:t>Situación general</w:t>
            </w:r>
          </w:p>
        </w:tc>
      </w:tr>
      <w:tr w:rsidR="00000000">
        <w:tblPrEx>
          <w:tblCellMar>
            <w:top w:w="0" w:type="dxa"/>
            <w:bottom w:w="0" w:type="dxa"/>
          </w:tblCellMar>
        </w:tblPrEx>
        <w:trPr>
          <w:cantSplit/>
        </w:trPr>
        <w:tc>
          <w:tcPr>
            <w:tcW w:w="3790" w:type="dxa"/>
            <w:vMerge w:val="restart"/>
            <w:vAlign w:val="center"/>
          </w:tcPr>
          <w:p w:rsidR="00000000" w:rsidRDefault="00000000">
            <w:pPr>
              <w:autoSpaceDE w:val="0"/>
              <w:autoSpaceDN w:val="0"/>
              <w:adjustRightInd w:val="0"/>
              <w:jc w:val="center"/>
              <w:rPr>
                <w:b/>
                <w:bCs/>
                <w:sz w:val="20"/>
              </w:rPr>
            </w:pPr>
            <w:r>
              <w:rPr>
                <w:b/>
                <w:bCs/>
                <w:sz w:val="20"/>
              </w:rPr>
              <w:t>Trato de ingreso familiar</w:t>
            </w:r>
          </w:p>
        </w:tc>
        <w:tc>
          <w:tcPr>
            <w:tcW w:w="1200" w:type="dxa"/>
            <w:vMerge w:val="restart"/>
            <w:vAlign w:val="center"/>
          </w:tcPr>
          <w:p w:rsidR="00000000" w:rsidRDefault="00000000">
            <w:pPr>
              <w:autoSpaceDE w:val="0"/>
              <w:autoSpaceDN w:val="0"/>
              <w:adjustRightInd w:val="0"/>
              <w:jc w:val="center"/>
              <w:rPr>
                <w:b/>
                <w:bCs/>
                <w:sz w:val="20"/>
              </w:rPr>
            </w:pPr>
            <w:r>
              <w:rPr>
                <w:b/>
                <w:bCs/>
                <w:sz w:val="20"/>
              </w:rPr>
              <w:t>Total hogares</w:t>
            </w:r>
          </w:p>
        </w:tc>
        <w:tc>
          <w:tcPr>
            <w:tcW w:w="2160" w:type="dxa"/>
            <w:gridSpan w:val="2"/>
            <w:vAlign w:val="center"/>
          </w:tcPr>
          <w:p w:rsidR="00000000" w:rsidRDefault="00000000">
            <w:pPr>
              <w:autoSpaceDE w:val="0"/>
              <w:autoSpaceDN w:val="0"/>
              <w:adjustRightInd w:val="0"/>
              <w:jc w:val="center"/>
              <w:rPr>
                <w:b/>
                <w:bCs/>
                <w:sz w:val="20"/>
              </w:rPr>
            </w:pPr>
            <w:r>
              <w:rPr>
                <w:b/>
                <w:bCs/>
                <w:sz w:val="20"/>
              </w:rPr>
              <w:t>Tenencia vivienda</w:t>
            </w:r>
          </w:p>
        </w:tc>
        <w:tc>
          <w:tcPr>
            <w:tcW w:w="1152" w:type="dxa"/>
            <w:vMerge w:val="restart"/>
            <w:vAlign w:val="center"/>
          </w:tcPr>
          <w:p w:rsidR="00000000" w:rsidRDefault="00000000">
            <w:pPr>
              <w:autoSpaceDE w:val="0"/>
              <w:autoSpaceDN w:val="0"/>
              <w:adjustRightInd w:val="0"/>
              <w:jc w:val="center"/>
              <w:rPr>
                <w:b/>
                <w:bCs/>
                <w:sz w:val="20"/>
                <w:vertAlign w:val="superscript"/>
              </w:rPr>
            </w:pPr>
            <w:r>
              <w:rPr>
                <w:b/>
                <w:bCs/>
                <w:sz w:val="20"/>
              </w:rPr>
              <w:t>Porcentaje</w:t>
            </w:r>
            <w:r>
              <w:rPr>
                <w:b/>
                <w:bCs/>
                <w:sz w:val="20"/>
                <w:vertAlign w:val="superscript"/>
              </w:rPr>
              <w:t>*</w:t>
            </w:r>
          </w:p>
        </w:tc>
        <w:tc>
          <w:tcPr>
            <w:tcW w:w="1192" w:type="dxa"/>
            <w:vMerge w:val="restart"/>
            <w:vAlign w:val="center"/>
          </w:tcPr>
          <w:p w:rsidR="00000000" w:rsidRDefault="00000000">
            <w:pPr>
              <w:autoSpaceDE w:val="0"/>
              <w:autoSpaceDN w:val="0"/>
              <w:adjustRightInd w:val="0"/>
              <w:jc w:val="center"/>
              <w:rPr>
                <w:b/>
                <w:bCs/>
                <w:sz w:val="20"/>
                <w:vertAlign w:val="superscript"/>
              </w:rPr>
            </w:pPr>
            <w:r>
              <w:rPr>
                <w:b/>
                <w:bCs/>
                <w:sz w:val="20"/>
              </w:rPr>
              <w:t>Porcentaje</w:t>
            </w:r>
            <w:r>
              <w:rPr>
                <w:b/>
                <w:bCs/>
                <w:sz w:val="20"/>
                <w:vertAlign w:val="superscript"/>
              </w:rPr>
              <w:t>**</w:t>
            </w:r>
          </w:p>
        </w:tc>
      </w:tr>
      <w:tr w:rsidR="00000000">
        <w:tblPrEx>
          <w:tblCellMar>
            <w:top w:w="0" w:type="dxa"/>
            <w:bottom w:w="0" w:type="dxa"/>
          </w:tblCellMar>
        </w:tblPrEx>
        <w:trPr>
          <w:cantSplit/>
        </w:trPr>
        <w:tc>
          <w:tcPr>
            <w:tcW w:w="3790" w:type="dxa"/>
            <w:vMerge/>
          </w:tcPr>
          <w:p w:rsidR="00000000" w:rsidRDefault="00000000">
            <w:pPr>
              <w:autoSpaceDE w:val="0"/>
              <w:autoSpaceDN w:val="0"/>
              <w:adjustRightInd w:val="0"/>
              <w:rPr>
                <w:sz w:val="20"/>
              </w:rPr>
            </w:pPr>
          </w:p>
        </w:tc>
        <w:tc>
          <w:tcPr>
            <w:tcW w:w="1200" w:type="dxa"/>
            <w:vMerge/>
          </w:tcPr>
          <w:p w:rsidR="00000000" w:rsidRDefault="00000000">
            <w:pPr>
              <w:autoSpaceDE w:val="0"/>
              <w:autoSpaceDN w:val="0"/>
              <w:adjustRightInd w:val="0"/>
              <w:rPr>
                <w:sz w:val="20"/>
              </w:rPr>
            </w:pPr>
          </w:p>
        </w:tc>
        <w:tc>
          <w:tcPr>
            <w:tcW w:w="1080" w:type="dxa"/>
            <w:vAlign w:val="center"/>
          </w:tcPr>
          <w:p w:rsidR="00000000" w:rsidRDefault="00000000">
            <w:pPr>
              <w:autoSpaceDE w:val="0"/>
              <w:autoSpaceDN w:val="0"/>
              <w:adjustRightInd w:val="0"/>
              <w:jc w:val="center"/>
              <w:rPr>
                <w:b/>
                <w:bCs/>
                <w:sz w:val="20"/>
              </w:rPr>
            </w:pPr>
            <w:r>
              <w:rPr>
                <w:b/>
                <w:bCs/>
                <w:sz w:val="20"/>
              </w:rPr>
              <w:t>Propia</w:t>
            </w:r>
          </w:p>
        </w:tc>
        <w:tc>
          <w:tcPr>
            <w:tcW w:w="1080" w:type="dxa"/>
            <w:vAlign w:val="center"/>
          </w:tcPr>
          <w:p w:rsidR="00000000" w:rsidRDefault="00000000">
            <w:pPr>
              <w:autoSpaceDE w:val="0"/>
              <w:autoSpaceDN w:val="0"/>
              <w:adjustRightInd w:val="0"/>
              <w:jc w:val="center"/>
              <w:rPr>
                <w:b/>
                <w:bCs/>
                <w:sz w:val="20"/>
              </w:rPr>
            </w:pPr>
            <w:r>
              <w:rPr>
                <w:b/>
                <w:bCs/>
                <w:sz w:val="20"/>
              </w:rPr>
              <w:t>No propia</w:t>
            </w:r>
          </w:p>
        </w:tc>
        <w:tc>
          <w:tcPr>
            <w:tcW w:w="1152" w:type="dxa"/>
            <w:vMerge/>
          </w:tcPr>
          <w:p w:rsidR="00000000" w:rsidRDefault="00000000">
            <w:pPr>
              <w:autoSpaceDE w:val="0"/>
              <w:autoSpaceDN w:val="0"/>
              <w:adjustRightInd w:val="0"/>
              <w:rPr>
                <w:sz w:val="20"/>
              </w:rPr>
            </w:pPr>
          </w:p>
        </w:tc>
        <w:tc>
          <w:tcPr>
            <w:tcW w:w="1192" w:type="dxa"/>
            <w:vMerge/>
          </w:tcPr>
          <w:p w:rsidR="00000000" w:rsidRDefault="00000000">
            <w:pPr>
              <w:autoSpaceDE w:val="0"/>
              <w:autoSpaceDN w:val="0"/>
              <w:adjustRightInd w:val="0"/>
              <w:rPr>
                <w:sz w:val="20"/>
              </w:rPr>
            </w:pPr>
          </w:p>
        </w:tc>
      </w:tr>
      <w:tr w:rsidR="00000000">
        <w:tblPrEx>
          <w:tblCellMar>
            <w:top w:w="0" w:type="dxa"/>
            <w:bottom w:w="0" w:type="dxa"/>
          </w:tblCellMar>
        </w:tblPrEx>
        <w:tc>
          <w:tcPr>
            <w:tcW w:w="3790" w:type="dxa"/>
            <w:vAlign w:val="center"/>
          </w:tcPr>
          <w:p w:rsidR="00000000" w:rsidRDefault="00000000">
            <w:pPr>
              <w:rPr>
                <w:rFonts w:eastAsia="Arial Unicode MS"/>
                <w:sz w:val="20"/>
                <w:szCs w:val="18"/>
              </w:rPr>
            </w:pPr>
            <w:r>
              <w:rPr>
                <w:sz w:val="20"/>
                <w:szCs w:val="18"/>
              </w:rPr>
              <w:t>Situación de pobreza (hasta 1 USM)</w:t>
            </w:r>
          </w:p>
        </w:tc>
        <w:tc>
          <w:tcPr>
            <w:tcW w:w="1200" w:type="dxa"/>
            <w:vAlign w:val="bottom"/>
          </w:tcPr>
          <w:p w:rsidR="00000000" w:rsidRDefault="00000000">
            <w:pPr>
              <w:tabs>
                <w:tab w:val="decimal" w:pos="1010"/>
              </w:tabs>
              <w:rPr>
                <w:rFonts w:eastAsia="Arial Unicode MS"/>
                <w:sz w:val="20"/>
                <w:szCs w:val="18"/>
              </w:rPr>
            </w:pPr>
            <w:r>
              <w:rPr>
                <w:sz w:val="20"/>
                <w:szCs w:val="18"/>
              </w:rPr>
              <w:t>494.999</w:t>
            </w:r>
          </w:p>
        </w:tc>
        <w:tc>
          <w:tcPr>
            <w:tcW w:w="1080" w:type="dxa"/>
            <w:vAlign w:val="bottom"/>
          </w:tcPr>
          <w:p w:rsidR="00000000" w:rsidRDefault="00000000">
            <w:pPr>
              <w:tabs>
                <w:tab w:val="decimal" w:pos="830"/>
              </w:tabs>
              <w:rPr>
                <w:rFonts w:eastAsia="Arial Unicode MS"/>
                <w:sz w:val="20"/>
                <w:szCs w:val="18"/>
              </w:rPr>
            </w:pPr>
            <w:r>
              <w:rPr>
                <w:sz w:val="20"/>
                <w:szCs w:val="18"/>
              </w:rPr>
              <w:t>369.456</w:t>
            </w:r>
          </w:p>
        </w:tc>
        <w:tc>
          <w:tcPr>
            <w:tcW w:w="1080" w:type="dxa"/>
            <w:vAlign w:val="bottom"/>
          </w:tcPr>
          <w:p w:rsidR="00000000" w:rsidRDefault="00000000">
            <w:pPr>
              <w:tabs>
                <w:tab w:val="decimal" w:pos="830"/>
              </w:tabs>
              <w:rPr>
                <w:rFonts w:eastAsia="Arial Unicode MS"/>
                <w:sz w:val="20"/>
                <w:szCs w:val="18"/>
              </w:rPr>
            </w:pPr>
            <w:r>
              <w:rPr>
                <w:sz w:val="20"/>
                <w:szCs w:val="18"/>
              </w:rPr>
              <w:t>125.543</w:t>
            </w:r>
          </w:p>
        </w:tc>
        <w:tc>
          <w:tcPr>
            <w:tcW w:w="1152" w:type="dxa"/>
            <w:vAlign w:val="bottom"/>
          </w:tcPr>
          <w:p w:rsidR="00000000" w:rsidRDefault="00000000">
            <w:pPr>
              <w:tabs>
                <w:tab w:val="decimal" w:pos="650"/>
              </w:tabs>
              <w:rPr>
                <w:rFonts w:eastAsia="Arial Unicode MS"/>
                <w:sz w:val="20"/>
                <w:szCs w:val="18"/>
              </w:rPr>
            </w:pPr>
            <w:r>
              <w:rPr>
                <w:sz w:val="20"/>
                <w:szCs w:val="18"/>
              </w:rPr>
              <w:t>25</w:t>
            </w:r>
          </w:p>
        </w:tc>
        <w:tc>
          <w:tcPr>
            <w:tcW w:w="1192" w:type="dxa"/>
            <w:vAlign w:val="bottom"/>
          </w:tcPr>
          <w:p w:rsidR="00000000" w:rsidRDefault="00000000">
            <w:pPr>
              <w:tabs>
                <w:tab w:val="decimal" w:pos="698"/>
              </w:tabs>
              <w:rPr>
                <w:rFonts w:eastAsia="Arial Unicode MS"/>
                <w:sz w:val="20"/>
                <w:szCs w:val="18"/>
              </w:rPr>
            </w:pPr>
            <w:r>
              <w:rPr>
                <w:sz w:val="20"/>
                <w:szCs w:val="18"/>
              </w:rPr>
              <w:t>41</w:t>
            </w:r>
          </w:p>
        </w:tc>
      </w:tr>
      <w:tr w:rsidR="00000000">
        <w:tblPrEx>
          <w:tblCellMar>
            <w:top w:w="0" w:type="dxa"/>
            <w:bottom w:w="0" w:type="dxa"/>
          </w:tblCellMar>
        </w:tblPrEx>
        <w:tc>
          <w:tcPr>
            <w:tcW w:w="3790" w:type="dxa"/>
            <w:vAlign w:val="center"/>
          </w:tcPr>
          <w:p w:rsidR="00000000" w:rsidRDefault="00000000">
            <w:pPr>
              <w:rPr>
                <w:rFonts w:eastAsia="Arial Unicode MS"/>
                <w:sz w:val="20"/>
                <w:szCs w:val="18"/>
              </w:rPr>
            </w:pPr>
            <w:r>
              <w:rPr>
                <w:sz w:val="20"/>
                <w:szCs w:val="18"/>
              </w:rPr>
              <w:t>Clase media baja (más de 1 USM a 5 USM)</w:t>
            </w:r>
          </w:p>
        </w:tc>
        <w:tc>
          <w:tcPr>
            <w:tcW w:w="1200" w:type="dxa"/>
            <w:vAlign w:val="bottom"/>
          </w:tcPr>
          <w:p w:rsidR="00000000" w:rsidRDefault="00000000">
            <w:pPr>
              <w:tabs>
                <w:tab w:val="decimal" w:pos="1010"/>
              </w:tabs>
              <w:rPr>
                <w:rFonts w:eastAsia="Arial Unicode MS"/>
                <w:sz w:val="20"/>
                <w:szCs w:val="18"/>
              </w:rPr>
            </w:pPr>
            <w:r>
              <w:rPr>
                <w:sz w:val="20"/>
                <w:szCs w:val="18"/>
              </w:rPr>
              <w:t>659.119</w:t>
            </w:r>
          </w:p>
        </w:tc>
        <w:tc>
          <w:tcPr>
            <w:tcW w:w="1080" w:type="dxa"/>
            <w:vAlign w:val="bottom"/>
          </w:tcPr>
          <w:p w:rsidR="00000000" w:rsidRDefault="00000000">
            <w:pPr>
              <w:tabs>
                <w:tab w:val="decimal" w:pos="830"/>
              </w:tabs>
              <w:rPr>
                <w:rFonts w:eastAsia="Arial Unicode MS"/>
                <w:sz w:val="20"/>
                <w:szCs w:val="18"/>
              </w:rPr>
            </w:pPr>
            <w:r>
              <w:rPr>
                <w:sz w:val="20"/>
                <w:szCs w:val="18"/>
              </w:rPr>
              <w:t>498.121</w:t>
            </w:r>
          </w:p>
        </w:tc>
        <w:tc>
          <w:tcPr>
            <w:tcW w:w="1080" w:type="dxa"/>
            <w:vAlign w:val="bottom"/>
          </w:tcPr>
          <w:p w:rsidR="00000000" w:rsidRDefault="00000000">
            <w:pPr>
              <w:tabs>
                <w:tab w:val="decimal" w:pos="830"/>
              </w:tabs>
              <w:rPr>
                <w:rFonts w:eastAsia="Arial Unicode MS"/>
                <w:sz w:val="20"/>
                <w:szCs w:val="18"/>
              </w:rPr>
            </w:pPr>
            <w:r>
              <w:rPr>
                <w:sz w:val="20"/>
                <w:szCs w:val="18"/>
              </w:rPr>
              <w:t>160.998</w:t>
            </w:r>
          </w:p>
        </w:tc>
        <w:tc>
          <w:tcPr>
            <w:tcW w:w="1152" w:type="dxa"/>
            <w:vAlign w:val="bottom"/>
          </w:tcPr>
          <w:p w:rsidR="00000000" w:rsidRDefault="00000000">
            <w:pPr>
              <w:tabs>
                <w:tab w:val="decimal" w:pos="650"/>
              </w:tabs>
              <w:rPr>
                <w:rFonts w:eastAsia="Arial Unicode MS"/>
                <w:sz w:val="20"/>
                <w:szCs w:val="18"/>
              </w:rPr>
            </w:pPr>
            <w:r>
              <w:rPr>
                <w:sz w:val="20"/>
                <w:szCs w:val="18"/>
              </w:rPr>
              <w:t>24</w:t>
            </w:r>
          </w:p>
        </w:tc>
        <w:tc>
          <w:tcPr>
            <w:tcW w:w="1192" w:type="dxa"/>
            <w:vAlign w:val="bottom"/>
          </w:tcPr>
          <w:p w:rsidR="00000000" w:rsidRDefault="00000000">
            <w:pPr>
              <w:tabs>
                <w:tab w:val="decimal" w:pos="698"/>
              </w:tabs>
              <w:rPr>
                <w:rFonts w:eastAsia="Arial Unicode MS"/>
                <w:sz w:val="20"/>
                <w:szCs w:val="18"/>
              </w:rPr>
            </w:pPr>
            <w:r>
              <w:rPr>
                <w:sz w:val="20"/>
                <w:szCs w:val="18"/>
              </w:rPr>
              <w:t>53</w:t>
            </w:r>
          </w:p>
        </w:tc>
      </w:tr>
      <w:tr w:rsidR="00000000">
        <w:tblPrEx>
          <w:tblCellMar>
            <w:top w:w="0" w:type="dxa"/>
            <w:bottom w:w="0" w:type="dxa"/>
          </w:tblCellMar>
        </w:tblPrEx>
        <w:tc>
          <w:tcPr>
            <w:tcW w:w="3790" w:type="dxa"/>
            <w:vAlign w:val="bottom"/>
          </w:tcPr>
          <w:p w:rsidR="00000000" w:rsidRDefault="00000000">
            <w:pPr>
              <w:rPr>
                <w:rFonts w:eastAsia="Arial Unicode MS"/>
                <w:sz w:val="20"/>
                <w:szCs w:val="18"/>
              </w:rPr>
            </w:pPr>
            <w:r>
              <w:rPr>
                <w:sz w:val="20"/>
                <w:szCs w:val="18"/>
              </w:rPr>
              <w:t>Clase media alta (más de 5 USM a 10 USM)</w:t>
            </w:r>
          </w:p>
        </w:tc>
        <w:tc>
          <w:tcPr>
            <w:tcW w:w="1200" w:type="dxa"/>
            <w:vAlign w:val="bottom"/>
          </w:tcPr>
          <w:p w:rsidR="00000000" w:rsidRDefault="00000000">
            <w:pPr>
              <w:tabs>
                <w:tab w:val="decimal" w:pos="1010"/>
              </w:tabs>
              <w:rPr>
                <w:rFonts w:eastAsia="Arial Unicode MS"/>
                <w:sz w:val="20"/>
                <w:szCs w:val="18"/>
              </w:rPr>
            </w:pPr>
            <w:r>
              <w:rPr>
                <w:sz w:val="20"/>
                <w:szCs w:val="18"/>
              </w:rPr>
              <w:t>66.283</w:t>
            </w:r>
          </w:p>
        </w:tc>
        <w:tc>
          <w:tcPr>
            <w:tcW w:w="1080" w:type="dxa"/>
            <w:vAlign w:val="bottom"/>
          </w:tcPr>
          <w:p w:rsidR="00000000" w:rsidRDefault="00000000">
            <w:pPr>
              <w:tabs>
                <w:tab w:val="decimal" w:pos="830"/>
              </w:tabs>
              <w:rPr>
                <w:rFonts w:eastAsia="Arial Unicode MS"/>
                <w:sz w:val="20"/>
                <w:szCs w:val="18"/>
              </w:rPr>
            </w:pPr>
            <w:r>
              <w:rPr>
                <w:sz w:val="20"/>
                <w:szCs w:val="18"/>
              </w:rPr>
              <w:t>54.448</w:t>
            </w:r>
          </w:p>
        </w:tc>
        <w:tc>
          <w:tcPr>
            <w:tcW w:w="1080" w:type="dxa"/>
            <w:vAlign w:val="bottom"/>
          </w:tcPr>
          <w:p w:rsidR="00000000" w:rsidRDefault="00000000">
            <w:pPr>
              <w:tabs>
                <w:tab w:val="decimal" w:pos="830"/>
              </w:tabs>
              <w:rPr>
                <w:rFonts w:eastAsia="Arial Unicode MS"/>
                <w:sz w:val="20"/>
                <w:szCs w:val="18"/>
              </w:rPr>
            </w:pPr>
            <w:r>
              <w:rPr>
                <w:sz w:val="20"/>
                <w:szCs w:val="18"/>
              </w:rPr>
              <w:t>11.835</w:t>
            </w:r>
          </w:p>
        </w:tc>
        <w:tc>
          <w:tcPr>
            <w:tcW w:w="1152" w:type="dxa"/>
            <w:vAlign w:val="bottom"/>
          </w:tcPr>
          <w:p w:rsidR="00000000" w:rsidRDefault="00000000">
            <w:pPr>
              <w:tabs>
                <w:tab w:val="decimal" w:pos="650"/>
              </w:tabs>
              <w:rPr>
                <w:rFonts w:eastAsia="Arial Unicode MS"/>
                <w:sz w:val="20"/>
                <w:szCs w:val="18"/>
              </w:rPr>
            </w:pPr>
            <w:r>
              <w:rPr>
                <w:sz w:val="20"/>
                <w:szCs w:val="18"/>
              </w:rPr>
              <w:t>18</w:t>
            </w:r>
          </w:p>
        </w:tc>
        <w:tc>
          <w:tcPr>
            <w:tcW w:w="1192" w:type="dxa"/>
            <w:vAlign w:val="bottom"/>
          </w:tcPr>
          <w:p w:rsidR="00000000" w:rsidRDefault="00000000">
            <w:pPr>
              <w:tabs>
                <w:tab w:val="decimal" w:pos="698"/>
              </w:tabs>
              <w:rPr>
                <w:rFonts w:eastAsia="Arial Unicode MS"/>
                <w:sz w:val="20"/>
                <w:szCs w:val="18"/>
              </w:rPr>
            </w:pPr>
            <w:r>
              <w:rPr>
                <w:sz w:val="20"/>
                <w:szCs w:val="18"/>
              </w:rPr>
              <w:t>4</w:t>
            </w:r>
          </w:p>
        </w:tc>
      </w:tr>
      <w:tr w:rsidR="00000000">
        <w:tblPrEx>
          <w:tblCellMar>
            <w:top w:w="0" w:type="dxa"/>
            <w:bottom w:w="0" w:type="dxa"/>
          </w:tblCellMar>
        </w:tblPrEx>
        <w:tc>
          <w:tcPr>
            <w:tcW w:w="3790" w:type="dxa"/>
            <w:vAlign w:val="center"/>
          </w:tcPr>
          <w:p w:rsidR="00000000" w:rsidRDefault="00000000">
            <w:pPr>
              <w:rPr>
                <w:rFonts w:eastAsia="Arial Unicode MS"/>
                <w:sz w:val="20"/>
                <w:szCs w:val="18"/>
              </w:rPr>
            </w:pPr>
            <w:r>
              <w:rPr>
                <w:sz w:val="20"/>
                <w:szCs w:val="18"/>
              </w:rPr>
              <w:t>Clase alta (más de 10 USM)</w:t>
            </w:r>
          </w:p>
        </w:tc>
        <w:tc>
          <w:tcPr>
            <w:tcW w:w="1200" w:type="dxa"/>
            <w:vAlign w:val="bottom"/>
          </w:tcPr>
          <w:p w:rsidR="00000000" w:rsidRDefault="00000000">
            <w:pPr>
              <w:tabs>
                <w:tab w:val="decimal" w:pos="1010"/>
              </w:tabs>
              <w:rPr>
                <w:rFonts w:eastAsia="Arial Unicode MS"/>
                <w:sz w:val="20"/>
                <w:szCs w:val="18"/>
              </w:rPr>
            </w:pPr>
            <w:r>
              <w:rPr>
                <w:sz w:val="20"/>
                <w:szCs w:val="18"/>
              </w:rPr>
              <w:t>27.251</w:t>
            </w:r>
          </w:p>
        </w:tc>
        <w:tc>
          <w:tcPr>
            <w:tcW w:w="1080" w:type="dxa"/>
            <w:vAlign w:val="bottom"/>
          </w:tcPr>
          <w:p w:rsidR="00000000" w:rsidRDefault="00000000">
            <w:pPr>
              <w:tabs>
                <w:tab w:val="decimal" w:pos="830"/>
              </w:tabs>
              <w:rPr>
                <w:rFonts w:eastAsia="Arial Unicode MS"/>
                <w:sz w:val="20"/>
                <w:szCs w:val="18"/>
              </w:rPr>
            </w:pPr>
            <w:r>
              <w:rPr>
                <w:sz w:val="20"/>
                <w:szCs w:val="18"/>
              </w:rPr>
              <w:t>21.804</w:t>
            </w:r>
          </w:p>
        </w:tc>
        <w:tc>
          <w:tcPr>
            <w:tcW w:w="1080" w:type="dxa"/>
            <w:vAlign w:val="bottom"/>
          </w:tcPr>
          <w:p w:rsidR="00000000" w:rsidRDefault="00000000">
            <w:pPr>
              <w:tabs>
                <w:tab w:val="decimal" w:pos="830"/>
              </w:tabs>
              <w:rPr>
                <w:rFonts w:eastAsia="Arial Unicode MS"/>
                <w:sz w:val="20"/>
                <w:szCs w:val="18"/>
              </w:rPr>
            </w:pPr>
            <w:r>
              <w:rPr>
                <w:sz w:val="20"/>
                <w:szCs w:val="18"/>
              </w:rPr>
              <w:t>5.447</w:t>
            </w:r>
          </w:p>
        </w:tc>
        <w:tc>
          <w:tcPr>
            <w:tcW w:w="1152" w:type="dxa"/>
            <w:vAlign w:val="bottom"/>
          </w:tcPr>
          <w:p w:rsidR="00000000" w:rsidRDefault="00000000">
            <w:pPr>
              <w:tabs>
                <w:tab w:val="decimal" w:pos="650"/>
              </w:tabs>
              <w:rPr>
                <w:rFonts w:eastAsia="Arial Unicode MS"/>
                <w:sz w:val="20"/>
                <w:szCs w:val="18"/>
              </w:rPr>
            </w:pPr>
            <w:r>
              <w:rPr>
                <w:sz w:val="20"/>
                <w:szCs w:val="18"/>
              </w:rPr>
              <w:t>20</w:t>
            </w:r>
          </w:p>
        </w:tc>
        <w:tc>
          <w:tcPr>
            <w:tcW w:w="1192" w:type="dxa"/>
            <w:vAlign w:val="bottom"/>
          </w:tcPr>
          <w:p w:rsidR="00000000" w:rsidRDefault="00000000">
            <w:pPr>
              <w:tabs>
                <w:tab w:val="decimal" w:pos="698"/>
              </w:tabs>
              <w:rPr>
                <w:rFonts w:eastAsia="Arial Unicode MS"/>
                <w:sz w:val="20"/>
                <w:szCs w:val="18"/>
              </w:rPr>
            </w:pPr>
            <w:r>
              <w:rPr>
                <w:sz w:val="20"/>
                <w:szCs w:val="18"/>
              </w:rPr>
              <w:t>2</w:t>
            </w:r>
          </w:p>
        </w:tc>
      </w:tr>
      <w:tr w:rsidR="00000000">
        <w:tblPrEx>
          <w:tblCellMar>
            <w:top w:w="0" w:type="dxa"/>
            <w:bottom w:w="0" w:type="dxa"/>
          </w:tblCellMar>
        </w:tblPrEx>
        <w:tc>
          <w:tcPr>
            <w:tcW w:w="3790" w:type="dxa"/>
            <w:vAlign w:val="bottom"/>
          </w:tcPr>
          <w:p w:rsidR="00000000" w:rsidRDefault="00000000">
            <w:pPr>
              <w:tabs>
                <w:tab w:val="left" w:pos="600"/>
              </w:tabs>
              <w:rPr>
                <w:rFonts w:eastAsia="Arial Unicode MS"/>
                <w:b/>
                <w:bCs/>
                <w:sz w:val="20"/>
                <w:szCs w:val="18"/>
              </w:rPr>
            </w:pPr>
            <w:r>
              <w:rPr>
                <w:b/>
                <w:bCs/>
                <w:sz w:val="20"/>
                <w:szCs w:val="18"/>
              </w:rPr>
              <w:tab/>
              <w:t>Total</w:t>
            </w:r>
          </w:p>
        </w:tc>
        <w:tc>
          <w:tcPr>
            <w:tcW w:w="1200" w:type="dxa"/>
            <w:vAlign w:val="bottom"/>
          </w:tcPr>
          <w:p w:rsidR="00000000" w:rsidRDefault="00000000">
            <w:pPr>
              <w:tabs>
                <w:tab w:val="decimal" w:pos="1010"/>
              </w:tabs>
              <w:rPr>
                <w:rFonts w:eastAsia="Arial Unicode MS"/>
                <w:b/>
                <w:bCs/>
                <w:sz w:val="20"/>
                <w:szCs w:val="18"/>
              </w:rPr>
            </w:pPr>
            <w:r>
              <w:rPr>
                <w:b/>
                <w:bCs/>
                <w:sz w:val="20"/>
                <w:szCs w:val="18"/>
              </w:rPr>
              <w:t>1.247.652</w:t>
            </w:r>
          </w:p>
        </w:tc>
        <w:tc>
          <w:tcPr>
            <w:tcW w:w="1080" w:type="dxa"/>
            <w:vAlign w:val="bottom"/>
          </w:tcPr>
          <w:p w:rsidR="00000000" w:rsidRDefault="00000000">
            <w:pPr>
              <w:tabs>
                <w:tab w:val="decimal" w:pos="830"/>
              </w:tabs>
              <w:rPr>
                <w:rFonts w:eastAsia="Arial Unicode MS"/>
                <w:b/>
                <w:bCs/>
                <w:sz w:val="20"/>
                <w:szCs w:val="18"/>
              </w:rPr>
            </w:pPr>
            <w:r>
              <w:rPr>
                <w:b/>
                <w:bCs/>
                <w:sz w:val="20"/>
                <w:szCs w:val="18"/>
              </w:rPr>
              <w:t>943.829</w:t>
            </w:r>
          </w:p>
        </w:tc>
        <w:tc>
          <w:tcPr>
            <w:tcW w:w="1080" w:type="dxa"/>
            <w:vAlign w:val="bottom"/>
          </w:tcPr>
          <w:p w:rsidR="00000000" w:rsidRDefault="00000000">
            <w:pPr>
              <w:tabs>
                <w:tab w:val="decimal" w:pos="830"/>
              </w:tabs>
              <w:rPr>
                <w:rFonts w:eastAsia="Arial Unicode MS"/>
                <w:b/>
                <w:bCs/>
                <w:sz w:val="20"/>
                <w:szCs w:val="18"/>
              </w:rPr>
            </w:pPr>
            <w:r>
              <w:rPr>
                <w:b/>
                <w:bCs/>
                <w:sz w:val="20"/>
                <w:szCs w:val="18"/>
              </w:rPr>
              <w:t>303.823</w:t>
            </w:r>
          </w:p>
        </w:tc>
        <w:tc>
          <w:tcPr>
            <w:tcW w:w="1152" w:type="dxa"/>
            <w:vAlign w:val="bottom"/>
          </w:tcPr>
          <w:p w:rsidR="00000000" w:rsidRDefault="00000000">
            <w:pPr>
              <w:tabs>
                <w:tab w:val="decimal" w:pos="650"/>
              </w:tabs>
              <w:rPr>
                <w:rFonts w:eastAsia="Arial Unicode MS"/>
                <w:b/>
                <w:bCs/>
                <w:sz w:val="20"/>
                <w:szCs w:val="18"/>
              </w:rPr>
            </w:pPr>
            <w:r>
              <w:rPr>
                <w:b/>
                <w:bCs/>
                <w:sz w:val="20"/>
                <w:szCs w:val="18"/>
              </w:rPr>
              <w:t>24</w:t>
            </w:r>
          </w:p>
        </w:tc>
        <w:tc>
          <w:tcPr>
            <w:tcW w:w="1192" w:type="dxa"/>
            <w:vAlign w:val="bottom"/>
          </w:tcPr>
          <w:p w:rsidR="00000000" w:rsidRDefault="00000000">
            <w:pPr>
              <w:tabs>
                <w:tab w:val="decimal" w:pos="698"/>
              </w:tabs>
              <w:rPr>
                <w:rFonts w:eastAsia="Arial Unicode MS"/>
                <w:b/>
                <w:bCs/>
                <w:sz w:val="20"/>
                <w:szCs w:val="18"/>
              </w:rPr>
            </w:pPr>
            <w:r>
              <w:rPr>
                <w:b/>
                <w:bCs/>
                <w:sz w:val="20"/>
                <w:szCs w:val="18"/>
              </w:rPr>
              <w:t>100</w:t>
            </w:r>
          </w:p>
        </w:tc>
      </w:tr>
    </w:tbl>
    <w:p w:rsidR="00000000" w:rsidRDefault="00000000">
      <w:pPr>
        <w:autoSpaceDE w:val="0"/>
        <w:autoSpaceDN w:val="0"/>
        <w:adjustRightInd w:val="0"/>
        <w:spacing w:before="200" w:after="200"/>
        <w:rPr>
          <w:sz w:val="20"/>
        </w:rPr>
      </w:pPr>
      <w:r>
        <w:rPr>
          <w:i/>
          <w:iCs/>
          <w:sz w:val="20"/>
          <w:szCs w:val="14"/>
        </w:rPr>
        <w:t>Fuente:</w:t>
      </w:r>
      <w:r>
        <w:rPr>
          <w:sz w:val="20"/>
          <w:szCs w:val="14"/>
        </w:rPr>
        <w:t xml:space="preserve">  EPH 2003 - DGEEC.</w:t>
      </w:r>
    </w:p>
    <w:p w:rsidR="00000000" w:rsidRDefault="00000000">
      <w:pPr>
        <w:autoSpaceDE w:val="0"/>
        <w:autoSpaceDN w:val="0"/>
        <w:adjustRightInd w:val="0"/>
        <w:spacing w:after="200"/>
        <w:rPr>
          <w:sz w:val="20"/>
        </w:rPr>
      </w:pPr>
      <w:r>
        <w:rPr>
          <w:sz w:val="20"/>
          <w:szCs w:val="14"/>
        </w:rPr>
        <w:t>USM = Salario Mínimo= 950.000 Gs. (2003).</w:t>
      </w:r>
    </w:p>
    <w:p w:rsidR="00000000" w:rsidRDefault="00000000">
      <w:pPr>
        <w:autoSpaceDE w:val="0"/>
        <w:autoSpaceDN w:val="0"/>
        <w:adjustRightInd w:val="0"/>
        <w:spacing w:after="200"/>
        <w:rPr>
          <w:sz w:val="20"/>
        </w:rPr>
      </w:pPr>
      <w:r>
        <w:rPr>
          <w:sz w:val="20"/>
          <w:szCs w:val="14"/>
        </w:rPr>
        <w:t>No incluye hogares sin ingreso.</w:t>
      </w:r>
    </w:p>
    <w:p w:rsidR="00000000" w:rsidRDefault="00000000">
      <w:pPr>
        <w:autoSpaceDE w:val="0"/>
        <w:autoSpaceDN w:val="0"/>
        <w:adjustRightInd w:val="0"/>
        <w:spacing w:after="200"/>
        <w:rPr>
          <w:sz w:val="20"/>
        </w:rPr>
      </w:pPr>
      <w:r>
        <w:rPr>
          <w:b/>
          <w:bCs/>
          <w:sz w:val="20"/>
          <w:szCs w:val="14"/>
          <w:vertAlign w:val="superscript"/>
        </w:rPr>
        <w:t>*</w:t>
      </w:r>
      <w:r>
        <w:rPr>
          <w:sz w:val="20"/>
          <w:szCs w:val="14"/>
        </w:rPr>
        <w:t xml:space="preserve"> Porcentaje de hogares sin vivienda propia respecto al total de hogares.</w:t>
      </w:r>
    </w:p>
    <w:p w:rsidR="00000000" w:rsidRDefault="00000000">
      <w:pPr>
        <w:autoSpaceDE w:val="0"/>
        <w:autoSpaceDN w:val="0"/>
        <w:adjustRightInd w:val="0"/>
        <w:spacing w:after="400"/>
      </w:pPr>
      <w:r>
        <w:rPr>
          <w:b/>
          <w:bCs/>
          <w:sz w:val="20"/>
          <w:szCs w:val="14"/>
          <w:vertAlign w:val="superscript"/>
        </w:rPr>
        <w:t>**</w:t>
      </w:r>
      <w:r>
        <w:rPr>
          <w:sz w:val="20"/>
          <w:szCs w:val="14"/>
        </w:rPr>
        <w:t xml:space="preserve"> Porcentaje de hogares sin vivienda propia por tramos de ingreso familiar.</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keepNext/>
              <w:tabs>
                <w:tab w:val="left" w:pos="850"/>
              </w:tabs>
              <w:autoSpaceDE w:val="0"/>
              <w:autoSpaceDN w:val="0"/>
              <w:adjustRightInd w:val="0"/>
              <w:ind w:left="283" w:right="283"/>
            </w:pPr>
          </w:p>
        </w:tc>
      </w:tr>
      <w:tr w:rsidR="00000000">
        <w:tblPrEx>
          <w:tblCellMar>
            <w:top w:w="0" w:type="dxa"/>
            <w:bottom w:w="0" w:type="dxa"/>
          </w:tblCellMar>
        </w:tblPrEx>
        <w:tc>
          <w:tcPr>
            <w:tcW w:w="9354" w:type="dxa"/>
            <w:tcBorders>
              <w:bottom w:val="nil"/>
            </w:tcBorders>
          </w:tcPr>
          <w:p w:rsidR="00000000" w:rsidRDefault="00000000">
            <w:pPr>
              <w:keepNext/>
              <w:tabs>
                <w:tab w:val="left" w:pos="850"/>
              </w:tabs>
              <w:autoSpaceDE w:val="0"/>
              <w:autoSpaceDN w:val="0"/>
              <w:adjustRightInd w:val="0"/>
              <w:spacing w:after="240"/>
              <w:ind w:left="283" w:right="283"/>
            </w:pPr>
            <w:r>
              <w:tab/>
              <w:t>El 24% de los hogares en Paraguay no tienen vivienda propia (303.823 hogares); de éstos el 53% (160.998 hogares) pertenecen a la clase media baja, con ingresos familiares comprendidos entre 1 y 5 unidades de salario mínimo.</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keepNext/>
              <w:tabs>
                <w:tab w:val="left" w:pos="850"/>
              </w:tabs>
              <w:autoSpaceDE w:val="0"/>
              <w:autoSpaceDN w:val="0"/>
              <w:adjustRightInd w:val="0"/>
              <w:ind w:left="283" w:right="283"/>
            </w:pPr>
          </w:p>
        </w:tc>
      </w:tr>
    </w:tbl>
    <w:p w:rsidR="00000000" w:rsidRDefault="00000000">
      <w:pPr>
        <w:keepNext/>
        <w:autoSpaceDE w:val="0"/>
        <w:autoSpaceDN w:val="0"/>
        <w:adjustRightInd w:val="0"/>
        <w:spacing w:after="240"/>
      </w:pPr>
    </w:p>
    <w:bookmarkStart w:id="27" w:name="_MON_1235999221"/>
    <w:bookmarkStart w:id="28" w:name="_MON_1235999250"/>
    <w:bookmarkStart w:id="29" w:name="_MON_1235999266"/>
    <w:bookmarkStart w:id="30" w:name="_MON_1236058039"/>
    <w:bookmarkEnd w:id="27"/>
    <w:bookmarkEnd w:id="28"/>
    <w:bookmarkEnd w:id="29"/>
    <w:bookmarkEnd w:id="30"/>
    <w:p w:rsidR="00000000" w:rsidRDefault="00000000">
      <w:pPr>
        <w:autoSpaceDE w:val="0"/>
        <w:autoSpaceDN w:val="0"/>
        <w:adjustRightInd w:val="0"/>
        <w:spacing w:after="240"/>
        <w:jc w:val="center"/>
      </w:pPr>
      <w:r>
        <w:object w:dxaOrig="8626" w:dyaOrig="3541">
          <v:shape id="_x0000_i1037" type="#_x0000_t75" style="width:431.25pt;height:177pt" o:ole="" filled="t" fillcolor="window">
            <v:fill color2="black"/>
            <v:imagedata r:id="rId77" o:title=""/>
          </v:shape>
          <o:OLEObject Type="Embed" ProgID="Word.Picture.8" ShapeID="_x0000_i1037" DrawAspect="Content" ObjectID="_1394904859" r:id="rId78"/>
        </w:object>
      </w:r>
    </w:p>
    <w:p w:rsidR="00000000" w:rsidRDefault="00000000">
      <w:pPr>
        <w:autoSpaceDE w:val="0"/>
        <w:autoSpaceDN w:val="0"/>
        <w:adjustRightInd w:val="0"/>
      </w:pPr>
    </w:p>
    <w:bookmarkStart w:id="31" w:name="_MON_1235999296"/>
    <w:bookmarkEnd w:id="31"/>
    <w:p w:rsidR="00000000" w:rsidRDefault="00000000">
      <w:pPr>
        <w:autoSpaceDE w:val="0"/>
        <w:autoSpaceDN w:val="0"/>
        <w:adjustRightInd w:val="0"/>
        <w:spacing w:after="240"/>
        <w:jc w:val="center"/>
      </w:pPr>
      <w:r>
        <w:object w:dxaOrig="8626" w:dyaOrig="4261">
          <v:shape id="_x0000_i1038" type="#_x0000_t75" style="width:431.25pt;height:213pt" o:ole="" filled="t" fillcolor="window">
            <v:fill color2="black"/>
            <v:imagedata r:id="rId79" o:title=""/>
          </v:shape>
          <o:OLEObject Type="Embed" ProgID="Word.Picture.8" ShapeID="_x0000_i1038" DrawAspect="Content" ObjectID="_1394904860" r:id="rId80"/>
        </w:object>
      </w:r>
    </w:p>
    <w:p w:rsidR="00000000" w:rsidRDefault="00000000">
      <w:pPr>
        <w:tabs>
          <w:tab w:val="left" w:pos="360"/>
        </w:tabs>
        <w:autoSpaceDE w:val="0"/>
        <w:autoSpaceDN w:val="0"/>
        <w:adjustRightInd w:val="0"/>
        <w:spacing w:after="480"/>
      </w:pPr>
      <w:r>
        <w:tab/>
        <w:t>Elaboración:  Gerencia de Planificación CONAVI.</w:t>
      </w:r>
    </w:p>
    <w:p w:rsidR="00000000" w:rsidRDefault="00000000">
      <w:pPr>
        <w:keepNext/>
        <w:autoSpaceDE w:val="0"/>
        <w:autoSpaceDN w:val="0"/>
        <w:adjustRightInd w:val="0"/>
        <w:spacing w:after="240"/>
        <w:jc w:val="center"/>
        <w:rPr>
          <w:b/>
          <w:bCs/>
        </w:rPr>
      </w:pPr>
      <w:r>
        <w:rPr>
          <w:b/>
          <w:bCs/>
        </w:rPr>
        <w:t>Tenencia de la vivienda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10"/>
        <w:gridCol w:w="1080"/>
        <w:gridCol w:w="1320"/>
        <w:gridCol w:w="1440"/>
        <w:gridCol w:w="1144"/>
      </w:tblGrid>
      <w:tr w:rsidR="00000000">
        <w:tblPrEx>
          <w:tblCellMar>
            <w:top w:w="0" w:type="dxa"/>
            <w:bottom w:w="0" w:type="dxa"/>
          </w:tblCellMar>
        </w:tblPrEx>
        <w:trPr>
          <w:cantSplit/>
        </w:trPr>
        <w:tc>
          <w:tcPr>
            <w:tcW w:w="9494" w:type="dxa"/>
            <w:gridSpan w:val="5"/>
          </w:tcPr>
          <w:p w:rsidR="00000000" w:rsidRDefault="00000000">
            <w:pPr>
              <w:keepNext/>
              <w:autoSpaceDE w:val="0"/>
              <w:autoSpaceDN w:val="0"/>
              <w:adjustRightInd w:val="0"/>
              <w:jc w:val="center"/>
            </w:pPr>
            <w:r>
              <w:rPr>
                <w:b/>
                <w:bCs/>
                <w:szCs w:val="22"/>
              </w:rPr>
              <w:t>Situación de inquilinato</w:t>
            </w:r>
          </w:p>
        </w:tc>
      </w:tr>
      <w:tr w:rsidR="00000000">
        <w:tblPrEx>
          <w:tblCellMar>
            <w:top w:w="0" w:type="dxa"/>
            <w:bottom w:w="0" w:type="dxa"/>
          </w:tblCellMar>
        </w:tblPrEx>
        <w:trPr>
          <w:cantSplit/>
        </w:trPr>
        <w:tc>
          <w:tcPr>
            <w:tcW w:w="4510" w:type="dxa"/>
            <w:vMerge w:val="restart"/>
            <w:vAlign w:val="center"/>
          </w:tcPr>
          <w:p w:rsidR="00000000" w:rsidRDefault="00000000">
            <w:pPr>
              <w:keepNext/>
              <w:autoSpaceDE w:val="0"/>
              <w:autoSpaceDN w:val="0"/>
              <w:adjustRightInd w:val="0"/>
              <w:jc w:val="center"/>
              <w:rPr>
                <w:b/>
                <w:bCs/>
              </w:rPr>
            </w:pPr>
            <w:r>
              <w:rPr>
                <w:b/>
                <w:bCs/>
              </w:rPr>
              <w:t>Trato de ingreso familiar</w:t>
            </w:r>
          </w:p>
        </w:tc>
        <w:tc>
          <w:tcPr>
            <w:tcW w:w="4984" w:type="dxa"/>
            <w:gridSpan w:val="4"/>
            <w:vAlign w:val="center"/>
          </w:tcPr>
          <w:p w:rsidR="00000000" w:rsidRDefault="00000000">
            <w:pPr>
              <w:keepNext/>
              <w:autoSpaceDE w:val="0"/>
              <w:autoSpaceDN w:val="0"/>
              <w:adjustRightInd w:val="0"/>
              <w:jc w:val="center"/>
              <w:rPr>
                <w:b/>
                <w:bCs/>
              </w:rPr>
            </w:pPr>
            <w:r>
              <w:rPr>
                <w:b/>
                <w:bCs/>
              </w:rPr>
              <w:t>Hogares sin vivienda</w:t>
            </w:r>
          </w:p>
        </w:tc>
      </w:tr>
      <w:tr w:rsidR="00000000">
        <w:tblPrEx>
          <w:tblCellMar>
            <w:top w:w="0" w:type="dxa"/>
            <w:bottom w:w="0" w:type="dxa"/>
          </w:tblCellMar>
        </w:tblPrEx>
        <w:trPr>
          <w:cantSplit/>
        </w:trPr>
        <w:tc>
          <w:tcPr>
            <w:tcW w:w="4510" w:type="dxa"/>
            <w:vMerge/>
          </w:tcPr>
          <w:p w:rsidR="00000000" w:rsidRDefault="00000000">
            <w:pPr>
              <w:keepNext/>
              <w:autoSpaceDE w:val="0"/>
              <w:autoSpaceDN w:val="0"/>
              <w:adjustRightInd w:val="0"/>
            </w:pPr>
          </w:p>
        </w:tc>
        <w:tc>
          <w:tcPr>
            <w:tcW w:w="1080" w:type="dxa"/>
            <w:vAlign w:val="center"/>
          </w:tcPr>
          <w:p w:rsidR="00000000" w:rsidRDefault="00000000">
            <w:pPr>
              <w:keepNext/>
              <w:autoSpaceDE w:val="0"/>
              <w:autoSpaceDN w:val="0"/>
              <w:adjustRightInd w:val="0"/>
              <w:jc w:val="center"/>
              <w:rPr>
                <w:b/>
                <w:bCs/>
              </w:rPr>
            </w:pPr>
            <w:r>
              <w:rPr>
                <w:b/>
                <w:bCs/>
              </w:rPr>
              <w:t>Total</w:t>
            </w:r>
          </w:p>
        </w:tc>
        <w:tc>
          <w:tcPr>
            <w:tcW w:w="1320" w:type="dxa"/>
            <w:vAlign w:val="center"/>
          </w:tcPr>
          <w:p w:rsidR="00000000" w:rsidRDefault="00000000">
            <w:pPr>
              <w:keepNext/>
              <w:autoSpaceDE w:val="0"/>
              <w:autoSpaceDN w:val="0"/>
              <w:adjustRightInd w:val="0"/>
              <w:jc w:val="center"/>
              <w:rPr>
                <w:b/>
                <w:bCs/>
              </w:rPr>
            </w:pPr>
            <w:r>
              <w:rPr>
                <w:b/>
                <w:bCs/>
              </w:rPr>
              <w:t>Inquilinato</w:t>
            </w:r>
          </w:p>
        </w:tc>
        <w:tc>
          <w:tcPr>
            <w:tcW w:w="1440" w:type="dxa"/>
            <w:vAlign w:val="center"/>
          </w:tcPr>
          <w:p w:rsidR="00000000" w:rsidRDefault="00000000">
            <w:pPr>
              <w:keepNext/>
              <w:autoSpaceDE w:val="0"/>
              <w:autoSpaceDN w:val="0"/>
              <w:adjustRightInd w:val="0"/>
              <w:jc w:val="center"/>
              <w:rPr>
                <w:b/>
                <w:bCs/>
                <w:vertAlign w:val="superscript"/>
              </w:rPr>
            </w:pPr>
            <w:r>
              <w:rPr>
                <w:b/>
                <w:bCs/>
              </w:rPr>
              <w:t>Porcentaje</w:t>
            </w:r>
            <w:r>
              <w:rPr>
                <w:b/>
                <w:bCs/>
                <w:vertAlign w:val="superscript"/>
              </w:rPr>
              <w:t>**</w:t>
            </w:r>
          </w:p>
        </w:tc>
        <w:tc>
          <w:tcPr>
            <w:tcW w:w="1144" w:type="dxa"/>
            <w:vAlign w:val="center"/>
          </w:tcPr>
          <w:p w:rsidR="00000000" w:rsidRDefault="00000000">
            <w:pPr>
              <w:keepNext/>
              <w:autoSpaceDE w:val="0"/>
              <w:autoSpaceDN w:val="0"/>
              <w:adjustRightInd w:val="0"/>
              <w:jc w:val="center"/>
              <w:rPr>
                <w:b/>
                <w:bCs/>
              </w:rPr>
            </w:pPr>
            <w:r>
              <w:rPr>
                <w:b/>
                <w:bCs/>
              </w:rPr>
              <w:t>Otros</w:t>
            </w:r>
            <w:r>
              <w:rPr>
                <w:b/>
                <w:bCs/>
                <w:vertAlign w:val="superscript"/>
              </w:rPr>
              <w:t>*</w:t>
            </w:r>
          </w:p>
        </w:tc>
      </w:tr>
      <w:tr w:rsidR="00000000">
        <w:tblPrEx>
          <w:tblCellMar>
            <w:top w:w="0" w:type="dxa"/>
            <w:bottom w:w="0" w:type="dxa"/>
          </w:tblCellMar>
        </w:tblPrEx>
        <w:trPr>
          <w:cantSplit/>
        </w:trPr>
        <w:tc>
          <w:tcPr>
            <w:tcW w:w="4510" w:type="dxa"/>
            <w:vAlign w:val="center"/>
          </w:tcPr>
          <w:p w:rsidR="00000000" w:rsidRDefault="00000000">
            <w:pPr>
              <w:keepNext/>
              <w:rPr>
                <w:rFonts w:eastAsia="Arial Unicode MS"/>
                <w:szCs w:val="18"/>
              </w:rPr>
            </w:pPr>
            <w:r>
              <w:rPr>
                <w:szCs w:val="18"/>
              </w:rPr>
              <w:t>Situación de pobreza (hasta 1 USM)</w:t>
            </w:r>
          </w:p>
        </w:tc>
        <w:tc>
          <w:tcPr>
            <w:tcW w:w="1080" w:type="dxa"/>
            <w:vAlign w:val="center"/>
          </w:tcPr>
          <w:p w:rsidR="00000000" w:rsidRDefault="00000000">
            <w:pPr>
              <w:keepNext/>
              <w:tabs>
                <w:tab w:val="decimal" w:pos="890"/>
              </w:tabs>
              <w:rPr>
                <w:rFonts w:eastAsia="Arial Unicode MS"/>
                <w:szCs w:val="18"/>
              </w:rPr>
            </w:pPr>
            <w:r>
              <w:rPr>
                <w:szCs w:val="18"/>
              </w:rPr>
              <w:t>125.543</w:t>
            </w:r>
          </w:p>
        </w:tc>
        <w:tc>
          <w:tcPr>
            <w:tcW w:w="1320" w:type="dxa"/>
            <w:vAlign w:val="center"/>
          </w:tcPr>
          <w:p w:rsidR="00000000" w:rsidRDefault="00000000">
            <w:pPr>
              <w:keepNext/>
              <w:tabs>
                <w:tab w:val="decimal" w:pos="1010"/>
              </w:tabs>
              <w:rPr>
                <w:rFonts w:eastAsia="Arial Unicode MS"/>
                <w:szCs w:val="18"/>
              </w:rPr>
            </w:pPr>
            <w:r>
              <w:rPr>
                <w:szCs w:val="18"/>
              </w:rPr>
              <w:t>37.713</w:t>
            </w:r>
          </w:p>
        </w:tc>
        <w:tc>
          <w:tcPr>
            <w:tcW w:w="1440" w:type="dxa"/>
            <w:vAlign w:val="center"/>
          </w:tcPr>
          <w:p w:rsidR="00000000" w:rsidRDefault="00000000">
            <w:pPr>
              <w:keepNext/>
              <w:tabs>
                <w:tab w:val="decimal" w:pos="890"/>
              </w:tabs>
              <w:rPr>
                <w:rFonts w:eastAsia="Arial Unicode MS"/>
                <w:szCs w:val="18"/>
              </w:rPr>
            </w:pPr>
            <w:r>
              <w:rPr>
                <w:szCs w:val="18"/>
              </w:rPr>
              <w:t>31</w:t>
            </w:r>
          </w:p>
        </w:tc>
        <w:tc>
          <w:tcPr>
            <w:tcW w:w="1144" w:type="dxa"/>
            <w:vAlign w:val="center"/>
          </w:tcPr>
          <w:p w:rsidR="00000000" w:rsidRDefault="00000000">
            <w:pPr>
              <w:keepNext/>
              <w:tabs>
                <w:tab w:val="decimal" w:pos="890"/>
              </w:tabs>
              <w:rPr>
                <w:rFonts w:eastAsia="Arial Unicode MS"/>
                <w:szCs w:val="18"/>
              </w:rPr>
            </w:pPr>
            <w:r>
              <w:rPr>
                <w:szCs w:val="18"/>
              </w:rPr>
              <w:t>87.830</w:t>
            </w:r>
          </w:p>
        </w:tc>
      </w:tr>
      <w:tr w:rsidR="00000000">
        <w:tblPrEx>
          <w:tblCellMar>
            <w:top w:w="0" w:type="dxa"/>
            <w:bottom w:w="0" w:type="dxa"/>
          </w:tblCellMar>
        </w:tblPrEx>
        <w:trPr>
          <w:cantSplit/>
        </w:trPr>
        <w:tc>
          <w:tcPr>
            <w:tcW w:w="4510" w:type="dxa"/>
            <w:vAlign w:val="center"/>
          </w:tcPr>
          <w:p w:rsidR="00000000" w:rsidRDefault="00000000">
            <w:pPr>
              <w:keepNext/>
              <w:rPr>
                <w:rFonts w:eastAsia="Arial Unicode MS"/>
                <w:szCs w:val="18"/>
              </w:rPr>
            </w:pPr>
            <w:r>
              <w:rPr>
                <w:szCs w:val="18"/>
              </w:rPr>
              <w:t>Clase media-baja (más de 1 USM a 5 USM)</w:t>
            </w:r>
          </w:p>
        </w:tc>
        <w:tc>
          <w:tcPr>
            <w:tcW w:w="1080" w:type="dxa"/>
            <w:vAlign w:val="center"/>
          </w:tcPr>
          <w:p w:rsidR="00000000" w:rsidRDefault="00000000">
            <w:pPr>
              <w:keepNext/>
              <w:tabs>
                <w:tab w:val="decimal" w:pos="890"/>
              </w:tabs>
              <w:rPr>
                <w:rFonts w:eastAsia="Arial Unicode MS"/>
                <w:szCs w:val="18"/>
              </w:rPr>
            </w:pPr>
            <w:r>
              <w:rPr>
                <w:szCs w:val="18"/>
              </w:rPr>
              <w:t>160.998</w:t>
            </w:r>
          </w:p>
        </w:tc>
        <w:tc>
          <w:tcPr>
            <w:tcW w:w="1320" w:type="dxa"/>
            <w:vAlign w:val="center"/>
          </w:tcPr>
          <w:p w:rsidR="00000000" w:rsidRDefault="00000000">
            <w:pPr>
              <w:keepNext/>
              <w:tabs>
                <w:tab w:val="decimal" w:pos="1010"/>
              </w:tabs>
              <w:rPr>
                <w:rFonts w:eastAsia="Arial Unicode MS"/>
                <w:szCs w:val="18"/>
              </w:rPr>
            </w:pPr>
            <w:r>
              <w:rPr>
                <w:szCs w:val="18"/>
              </w:rPr>
              <w:t>71.872</w:t>
            </w:r>
          </w:p>
        </w:tc>
        <w:tc>
          <w:tcPr>
            <w:tcW w:w="1440" w:type="dxa"/>
            <w:vAlign w:val="center"/>
          </w:tcPr>
          <w:p w:rsidR="00000000" w:rsidRDefault="00000000">
            <w:pPr>
              <w:keepNext/>
              <w:tabs>
                <w:tab w:val="decimal" w:pos="890"/>
              </w:tabs>
              <w:rPr>
                <w:rFonts w:eastAsia="Arial Unicode MS"/>
                <w:szCs w:val="18"/>
              </w:rPr>
            </w:pPr>
            <w:r>
              <w:rPr>
                <w:szCs w:val="18"/>
              </w:rPr>
              <w:t>59</w:t>
            </w:r>
          </w:p>
        </w:tc>
        <w:tc>
          <w:tcPr>
            <w:tcW w:w="1144" w:type="dxa"/>
            <w:vAlign w:val="center"/>
          </w:tcPr>
          <w:p w:rsidR="00000000" w:rsidRDefault="00000000">
            <w:pPr>
              <w:keepNext/>
              <w:tabs>
                <w:tab w:val="decimal" w:pos="890"/>
              </w:tabs>
              <w:rPr>
                <w:rFonts w:eastAsia="Arial Unicode MS"/>
                <w:szCs w:val="18"/>
              </w:rPr>
            </w:pPr>
            <w:r>
              <w:rPr>
                <w:szCs w:val="18"/>
              </w:rPr>
              <w:t>89.126</w:t>
            </w:r>
          </w:p>
        </w:tc>
      </w:tr>
      <w:tr w:rsidR="00000000">
        <w:tblPrEx>
          <w:tblCellMar>
            <w:top w:w="0" w:type="dxa"/>
            <w:bottom w:w="0" w:type="dxa"/>
          </w:tblCellMar>
        </w:tblPrEx>
        <w:trPr>
          <w:cantSplit/>
        </w:trPr>
        <w:tc>
          <w:tcPr>
            <w:tcW w:w="4510" w:type="dxa"/>
            <w:vAlign w:val="bottom"/>
          </w:tcPr>
          <w:p w:rsidR="00000000" w:rsidRDefault="00000000">
            <w:pPr>
              <w:rPr>
                <w:rFonts w:eastAsia="Arial Unicode MS"/>
                <w:szCs w:val="18"/>
              </w:rPr>
            </w:pPr>
            <w:r>
              <w:rPr>
                <w:szCs w:val="18"/>
              </w:rPr>
              <w:t>Clase media-alta (más de 5 USM a 10 USM)</w:t>
            </w:r>
          </w:p>
        </w:tc>
        <w:tc>
          <w:tcPr>
            <w:tcW w:w="1080" w:type="dxa"/>
            <w:vAlign w:val="center"/>
          </w:tcPr>
          <w:p w:rsidR="00000000" w:rsidRDefault="00000000">
            <w:pPr>
              <w:tabs>
                <w:tab w:val="decimal" w:pos="890"/>
              </w:tabs>
              <w:rPr>
                <w:rFonts w:eastAsia="Arial Unicode MS"/>
                <w:szCs w:val="18"/>
              </w:rPr>
            </w:pPr>
            <w:r>
              <w:rPr>
                <w:szCs w:val="18"/>
              </w:rPr>
              <w:t>11.835</w:t>
            </w:r>
          </w:p>
        </w:tc>
        <w:tc>
          <w:tcPr>
            <w:tcW w:w="1320" w:type="dxa"/>
            <w:vAlign w:val="center"/>
          </w:tcPr>
          <w:p w:rsidR="00000000" w:rsidRDefault="00000000">
            <w:pPr>
              <w:tabs>
                <w:tab w:val="decimal" w:pos="1010"/>
              </w:tabs>
              <w:rPr>
                <w:rFonts w:eastAsia="Arial Unicode MS"/>
                <w:szCs w:val="18"/>
              </w:rPr>
            </w:pPr>
            <w:r>
              <w:rPr>
                <w:szCs w:val="18"/>
              </w:rPr>
              <w:t>7.602</w:t>
            </w:r>
          </w:p>
        </w:tc>
        <w:tc>
          <w:tcPr>
            <w:tcW w:w="1440" w:type="dxa"/>
            <w:vAlign w:val="center"/>
          </w:tcPr>
          <w:p w:rsidR="00000000" w:rsidRDefault="00000000">
            <w:pPr>
              <w:tabs>
                <w:tab w:val="decimal" w:pos="890"/>
              </w:tabs>
              <w:rPr>
                <w:rFonts w:eastAsia="Arial Unicode MS"/>
                <w:szCs w:val="18"/>
              </w:rPr>
            </w:pPr>
            <w:r>
              <w:rPr>
                <w:szCs w:val="18"/>
              </w:rPr>
              <w:t>6</w:t>
            </w:r>
          </w:p>
        </w:tc>
        <w:tc>
          <w:tcPr>
            <w:tcW w:w="1144" w:type="dxa"/>
            <w:vAlign w:val="center"/>
          </w:tcPr>
          <w:p w:rsidR="00000000" w:rsidRDefault="00000000">
            <w:pPr>
              <w:tabs>
                <w:tab w:val="decimal" w:pos="890"/>
              </w:tabs>
              <w:rPr>
                <w:rFonts w:eastAsia="Arial Unicode MS"/>
                <w:szCs w:val="18"/>
              </w:rPr>
            </w:pPr>
            <w:r>
              <w:rPr>
                <w:szCs w:val="18"/>
              </w:rPr>
              <w:t>4.233</w:t>
            </w:r>
          </w:p>
        </w:tc>
      </w:tr>
      <w:tr w:rsidR="00000000">
        <w:tblPrEx>
          <w:tblCellMar>
            <w:top w:w="0" w:type="dxa"/>
            <w:bottom w:w="0" w:type="dxa"/>
          </w:tblCellMar>
        </w:tblPrEx>
        <w:trPr>
          <w:cantSplit/>
        </w:trPr>
        <w:tc>
          <w:tcPr>
            <w:tcW w:w="4510" w:type="dxa"/>
            <w:vAlign w:val="center"/>
          </w:tcPr>
          <w:p w:rsidR="00000000" w:rsidRDefault="00000000">
            <w:pPr>
              <w:rPr>
                <w:rFonts w:eastAsia="Arial Unicode MS"/>
                <w:szCs w:val="18"/>
              </w:rPr>
            </w:pPr>
            <w:r>
              <w:rPr>
                <w:szCs w:val="18"/>
              </w:rPr>
              <w:t>Clase alta (más de 10 USM)</w:t>
            </w:r>
          </w:p>
        </w:tc>
        <w:tc>
          <w:tcPr>
            <w:tcW w:w="1080" w:type="dxa"/>
            <w:vAlign w:val="center"/>
          </w:tcPr>
          <w:p w:rsidR="00000000" w:rsidRDefault="00000000">
            <w:pPr>
              <w:tabs>
                <w:tab w:val="decimal" w:pos="890"/>
              </w:tabs>
              <w:rPr>
                <w:rFonts w:eastAsia="Arial Unicode MS"/>
                <w:szCs w:val="18"/>
              </w:rPr>
            </w:pPr>
            <w:r>
              <w:rPr>
                <w:szCs w:val="18"/>
              </w:rPr>
              <w:t>5.447</w:t>
            </w:r>
          </w:p>
        </w:tc>
        <w:tc>
          <w:tcPr>
            <w:tcW w:w="1320" w:type="dxa"/>
            <w:vAlign w:val="center"/>
          </w:tcPr>
          <w:p w:rsidR="00000000" w:rsidRDefault="00000000">
            <w:pPr>
              <w:tabs>
                <w:tab w:val="decimal" w:pos="1010"/>
              </w:tabs>
              <w:rPr>
                <w:rFonts w:eastAsia="Arial Unicode MS"/>
                <w:szCs w:val="18"/>
              </w:rPr>
            </w:pPr>
            <w:r>
              <w:rPr>
                <w:szCs w:val="18"/>
              </w:rPr>
              <w:t>4.089</w:t>
            </w:r>
          </w:p>
        </w:tc>
        <w:tc>
          <w:tcPr>
            <w:tcW w:w="1440" w:type="dxa"/>
            <w:vAlign w:val="center"/>
          </w:tcPr>
          <w:p w:rsidR="00000000" w:rsidRDefault="00000000">
            <w:pPr>
              <w:tabs>
                <w:tab w:val="decimal" w:pos="890"/>
              </w:tabs>
              <w:rPr>
                <w:rFonts w:eastAsia="Arial Unicode MS"/>
                <w:szCs w:val="18"/>
              </w:rPr>
            </w:pPr>
            <w:r>
              <w:rPr>
                <w:szCs w:val="18"/>
              </w:rPr>
              <w:t>4</w:t>
            </w:r>
          </w:p>
        </w:tc>
        <w:tc>
          <w:tcPr>
            <w:tcW w:w="1144" w:type="dxa"/>
            <w:vAlign w:val="center"/>
          </w:tcPr>
          <w:p w:rsidR="00000000" w:rsidRDefault="00000000">
            <w:pPr>
              <w:tabs>
                <w:tab w:val="decimal" w:pos="890"/>
              </w:tabs>
              <w:rPr>
                <w:rFonts w:eastAsia="Arial Unicode MS"/>
                <w:szCs w:val="18"/>
              </w:rPr>
            </w:pPr>
            <w:r>
              <w:rPr>
                <w:szCs w:val="18"/>
              </w:rPr>
              <w:t>1.358</w:t>
            </w:r>
          </w:p>
        </w:tc>
      </w:tr>
      <w:tr w:rsidR="00000000">
        <w:tblPrEx>
          <w:tblCellMar>
            <w:top w:w="0" w:type="dxa"/>
            <w:bottom w:w="0" w:type="dxa"/>
          </w:tblCellMar>
        </w:tblPrEx>
        <w:trPr>
          <w:cantSplit/>
        </w:trPr>
        <w:tc>
          <w:tcPr>
            <w:tcW w:w="4510" w:type="dxa"/>
            <w:vAlign w:val="bottom"/>
          </w:tcPr>
          <w:p w:rsidR="00000000" w:rsidRDefault="00000000">
            <w:pPr>
              <w:rPr>
                <w:rFonts w:eastAsia="Arial Unicode MS"/>
                <w:b/>
                <w:bCs/>
                <w:szCs w:val="18"/>
              </w:rPr>
            </w:pPr>
            <w:r>
              <w:rPr>
                <w:b/>
                <w:bCs/>
                <w:szCs w:val="18"/>
              </w:rPr>
              <w:tab/>
              <w:t>Total</w:t>
            </w:r>
          </w:p>
        </w:tc>
        <w:tc>
          <w:tcPr>
            <w:tcW w:w="1080" w:type="dxa"/>
            <w:vAlign w:val="bottom"/>
          </w:tcPr>
          <w:p w:rsidR="00000000" w:rsidRDefault="00000000">
            <w:pPr>
              <w:tabs>
                <w:tab w:val="decimal" w:pos="890"/>
              </w:tabs>
              <w:rPr>
                <w:rFonts w:eastAsia="Arial Unicode MS"/>
                <w:b/>
                <w:bCs/>
                <w:szCs w:val="18"/>
              </w:rPr>
            </w:pPr>
            <w:r>
              <w:rPr>
                <w:b/>
                <w:bCs/>
                <w:szCs w:val="18"/>
              </w:rPr>
              <w:t>303.823</w:t>
            </w:r>
          </w:p>
        </w:tc>
        <w:tc>
          <w:tcPr>
            <w:tcW w:w="1320" w:type="dxa"/>
            <w:vAlign w:val="bottom"/>
          </w:tcPr>
          <w:p w:rsidR="00000000" w:rsidRDefault="00000000">
            <w:pPr>
              <w:tabs>
                <w:tab w:val="decimal" w:pos="1010"/>
              </w:tabs>
              <w:rPr>
                <w:rFonts w:eastAsia="Arial Unicode MS"/>
                <w:b/>
                <w:bCs/>
                <w:szCs w:val="18"/>
              </w:rPr>
            </w:pPr>
            <w:r>
              <w:rPr>
                <w:b/>
                <w:bCs/>
                <w:szCs w:val="18"/>
              </w:rPr>
              <w:t>121.276</w:t>
            </w:r>
          </w:p>
        </w:tc>
        <w:tc>
          <w:tcPr>
            <w:tcW w:w="1440" w:type="dxa"/>
            <w:vAlign w:val="bottom"/>
          </w:tcPr>
          <w:p w:rsidR="00000000" w:rsidRDefault="00000000">
            <w:pPr>
              <w:tabs>
                <w:tab w:val="decimal" w:pos="890"/>
              </w:tabs>
              <w:rPr>
                <w:rFonts w:eastAsia="Arial Unicode MS"/>
                <w:b/>
                <w:bCs/>
                <w:szCs w:val="18"/>
              </w:rPr>
            </w:pPr>
            <w:r>
              <w:rPr>
                <w:b/>
                <w:bCs/>
                <w:szCs w:val="18"/>
              </w:rPr>
              <w:t>100</w:t>
            </w:r>
          </w:p>
        </w:tc>
        <w:tc>
          <w:tcPr>
            <w:tcW w:w="1144" w:type="dxa"/>
            <w:vAlign w:val="bottom"/>
          </w:tcPr>
          <w:p w:rsidR="00000000" w:rsidRDefault="00000000">
            <w:pPr>
              <w:tabs>
                <w:tab w:val="decimal" w:pos="890"/>
              </w:tabs>
              <w:rPr>
                <w:rFonts w:eastAsia="Arial Unicode MS"/>
                <w:b/>
                <w:bCs/>
                <w:szCs w:val="18"/>
              </w:rPr>
            </w:pPr>
            <w:r>
              <w:rPr>
                <w:b/>
                <w:bCs/>
                <w:szCs w:val="18"/>
              </w:rPr>
              <w:t>182.547</w:t>
            </w:r>
          </w:p>
        </w:tc>
      </w:tr>
    </w:tbl>
    <w:p w:rsidR="00000000" w:rsidRDefault="00000000">
      <w:pPr>
        <w:autoSpaceDE w:val="0"/>
        <w:autoSpaceDN w:val="0"/>
        <w:adjustRightInd w:val="0"/>
        <w:spacing w:before="240" w:after="240"/>
      </w:pPr>
      <w:r>
        <w:rPr>
          <w:i/>
          <w:iCs/>
          <w:szCs w:val="14"/>
        </w:rPr>
        <w:t>Fuente:</w:t>
      </w:r>
      <w:r>
        <w:rPr>
          <w:szCs w:val="14"/>
        </w:rPr>
        <w:t xml:space="preserve">  EPH 2003 - DGEEC.</w:t>
      </w:r>
    </w:p>
    <w:p w:rsidR="00000000" w:rsidRDefault="00000000">
      <w:pPr>
        <w:autoSpaceDE w:val="0"/>
        <w:autoSpaceDN w:val="0"/>
        <w:adjustRightInd w:val="0"/>
        <w:spacing w:after="240"/>
      </w:pPr>
      <w:r>
        <w:rPr>
          <w:szCs w:val="14"/>
        </w:rPr>
        <w:t>USM = Salario Mínimo = 950.000 Gs. (2003).</w:t>
      </w:r>
    </w:p>
    <w:p w:rsidR="00000000" w:rsidRDefault="00000000">
      <w:pPr>
        <w:autoSpaceDE w:val="0"/>
        <w:autoSpaceDN w:val="0"/>
        <w:adjustRightInd w:val="0"/>
        <w:spacing w:after="240"/>
      </w:pPr>
      <w:r>
        <w:rPr>
          <w:szCs w:val="14"/>
        </w:rPr>
        <w:t>No incluye hogares sin ingreso.</w:t>
      </w:r>
    </w:p>
    <w:p w:rsidR="00000000" w:rsidRDefault="00000000">
      <w:pPr>
        <w:autoSpaceDE w:val="0"/>
        <w:autoSpaceDN w:val="0"/>
        <w:adjustRightInd w:val="0"/>
        <w:spacing w:after="240"/>
      </w:pPr>
      <w:r>
        <w:rPr>
          <w:b/>
          <w:bCs/>
          <w:szCs w:val="14"/>
          <w:vertAlign w:val="superscript"/>
        </w:rPr>
        <w:t>*</w:t>
      </w:r>
      <w:r>
        <w:rPr>
          <w:szCs w:val="14"/>
        </w:rPr>
        <w:t xml:space="preserve"> Otros:  cedida, ocupada de hecho, en condominio, paga en cuotas.</w:t>
      </w:r>
    </w:p>
    <w:p w:rsidR="00000000" w:rsidRDefault="00000000">
      <w:pPr>
        <w:autoSpaceDE w:val="0"/>
        <w:autoSpaceDN w:val="0"/>
        <w:adjustRightInd w:val="0"/>
        <w:spacing w:after="480"/>
      </w:pPr>
      <w:r>
        <w:rPr>
          <w:b/>
          <w:bCs/>
          <w:szCs w:val="14"/>
          <w:vertAlign w:val="superscript"/>
        </w:rPr>
        <w:t>**</w:t>
      </w:r>
      <w:r>
        <w:rPr>
          <w:szCs w:val="14"/>
        </w:rPr>
        <w:t xml:space="preserve"> Porcentaje de hogares que viven en alquiler según tramos de ingreso familiar</w:t>
      </w:r>
      <w:r>
        <w:rPr>
          <w:rFonts w:ascii="Arial" w:hAnsi="Arial" w:cs="Arial"/>
          <w:sz w:val="14"/>
          <w:szCs w:val="14"/>
        </w:rPr>
        <w:t>.</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autoSpaceDE w:val="0"/>
              <w:autoSpaceDN w:val="0"/>
              <w:adjustRightInd w:val="0"/>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autoSpaceDE w:val="0"/>
              <w:autoSpaceDN w:val="0"/>
              <w:adjustRightInd w:val="0"/>
              <w:spacing w:after="240"/>
              <w:ind w:left="283" w:right="283"/>
            </w:pPr>
            <w:r>
              <w:tab/>
              <w:t>De los 303.823 hogares sin vivienda propia, el 40% (121.276 hogares) viven en alquiler.  De estos el 59% pertenece a la clase media baja, con ingresos familiares entre 1 USM y 5 USM.</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autoSpaceDE w:val="0"/>
              <w:autoSpaceDN w:val="0"/>
              <w:adjustRightInd w:val="0"/>
              <w:ind w:left="283" w:right="283"/>
            </w:pPr>
          </w:p>
        </w:tc>
      </w:tr>
    </w:tbl>
    <w:p w:rsidR="00000000" w:rsidRDefault="00000000">
      <w:pPr>
        <w:autoSpaceDE w:val="0"/>
        <w:autoSpaceDN w:val="0"/>
        <w:adjustRightInd w:val="0"/>
        <w:spacing w:after="240"/>
      </w:pPr>
    </w:p>
    <w:bookmarkStart w:id="32" w:name="_MON_1235999320"/>
    <w:bookmarkEnd w:id="32"/>
    <w:p w:rsidR="00000000" w:rsidRDefault="00000000">
      <w:pPr>
        <w:autoSpaceDE w:val="0"/>
        <w:autoSpaceDN w:val="0"/>
        <w:adjustRightInd w:val="0"/>
        <w:spacing w:after="480"/>
        <w:jc w:val="center"/>
      </w:pPr>
      <w:r>
        <w:object w:dxaOrig="8446" w:dyaOrig="3811">
          <v:shape id="_x0000_i1039" type="#_x0000_t75" style="width:422.25pt;height:190.5pt" o:ole="" filled="t" fillcolor="window">
            <v:fill color2="black"/>
            <v:imagedata r:id="rId81" o:title=""/>
          </v:shape>
          <o:OLEObject Type="Embed" ProgID="Word.Picture.8" ShapeID="_x0000_i1039" DrawAspect="Content" ObjectID="_1394904861" r:id="rId82"/>
        </w:object>
      </w:r>
    </w:p>
    <w:p w:rsidR="00000000" w:rsidRDefault="00000000">
      <w:pPr>
        <w:autoSpaceDE w:val="0"/>
        <w:autoSpaceDN w:val="0"/>
        <w:adjustRightInd w:val="0"/>
        <w:spacing w:after="240"/>
        <w:jc w:val="center"/>
        <w:rPr>
          <w:i/>
          <w:iCs/>
          <w:szCs w:val="20"/>
        </w:rPr>
      </w:pPr>
      <w:r>
        <w:pict>
          <v:shapetype id="_x0000_t201" coordsize="21600,21600" o:spt="201" path="m,l,21600r21600,l21600,xe">
            <v:stroke joinstyle="miter"/>
            <v:path shadowok="f" o:extrusionok="f" strokeok="f" fillok="f" o:connecttype="rect"/>
            <o:lock v:ext="edit" shapetype="t"/>
          </v:shapetype>
          <v:shape id="_x0000_i1040" type="#_x0000_t201" style="width:423pt;height:204pt" o:allowoverlap="f" fillcolor="window" stroked="f" strokecolor="windowText" strokeweight="3e-5mm" o:insetmode="auto">
            <v:fill color2="windowText"/>
            <v:imagedata r:id="rId83" o:title="clip_image004"/>
            <o:lock v:ext="edit" rotation="t"/>
          </v:shape>
        </w:pict>
      </w:r>
    </w:p>
    <w:p w:rsidR="00000000" w:rsidRDefault="00000000">
      <w:pPr>
        <w:autoSpaceDE w:val="0"/>
        <w:autoSpaceDN w:val="0"/>
        <w:adjustRightInd w:val="0"/>
        <w:spacing w:after="240"/>
        <w:rPr>
          <w:i/>
          <w:iCs/>
          <w:szCs w:val="20"/>
        </w:rPr>
      </w:pPr>
    </w:p>
    <w:p w:rsidR="00000000" w:rsidRDefault="00000000">
      <w:pPr>
        <w:autoSpaceDE w:val="0"/>
        <w:autoSpaceDN w:val="0"/>
        <w:adjustRightInd w:val="0"/>
        <w:spacing w:after="240"/>
        <w:rPr>
          <w:bCs/>
        </w:rPr>
        <w:sectPr w:rsidR="00000000">
          <w:headerReference w:type="even" r:id="rId84"/>
          <w:headerReference w:type="default" r:id="rId85"/>
          <w:pgSz w:w="11906" w:h="16838" w:code="9"/>
          <w:pgMar w:top="1701" w:right="851" w:bottom="1985" w:left="1701" w:header="851" w:footer="567" w:gutter="0"/>
          <w:cols w:space="708"/>
          <w:docGrid w:linePitch="360"/>
        </w:sectPr>
      </w:pPr>
    </w:p>
    <w:p w:rsidR="00000000" w:rsidRDefault="00000000">
      <w:pPr>
        <w:pStyle w:val="BodyText"/>
        <w:spacing w:after="200"/>
        <w:jc w:val="center"/>
        <w:rPr>
          <w:b/>
          <w:sz w:val="20"/>
          <w:lang w:eastAsia="en-US"/>
        </w:rPr>
      </w:pPr>
      <w:r>
        <w:rPr>
          <w:b/>
          <w:sz w:val="20"/>
          <w:lang w:eastAsia="en-US"/>
        </w:rPr>
        <w:t>Evolución de la tenencia de la vivienda según área de residencia, (zona urbana o rural)</w:t>
      </w:r>
    </w:p>
    <w:p w:rsidR="00000000" w:rsidRDefault="00000000">
      <w:pPr>
        <w:pStyle w:val="BodyText"/>
        <w:spacing w:after="200"/>
        <w:jc w:val="center"/>
        <w:rPr>
          <w:bCs/>
          <w:sz w:val="20"/>
          <w:lang w:eastAsia="en-US"/>
        </w:rPr>
      </w:pPr>
      <w:r>
        <w:rPr>
          <w:bCs/>
          <w:sz w:val="20"/>
          <w:lang w:eastAsia="en-US"/>
        </w:rPr>
        <w:t>(Total</w:t>
      </w:r>
      <w:r>
        <w:rPr>
          <w:bCs/>
          <w:sz w:val="20"/>
          <w:szCs w:val="20"/>
        </w:rPr>
        <w:t xml:space="preserve"> país)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7"/>
        <w:gridCol w:w="959"/>
        <w:gridCol w:w="960"/>
        <w:gridCol w:w="962"/>
        <w:gridCol w:w="960"/>
        <w:gridCol w:w="1082"/>
        <w:gridCol w:w="1079"/>
        <w:gridCol w:w="1082"/>
        <w:gridCol w:w="960"/>
        <w:gridCol w:w="960"/>
        <w:gridCol w:w="960"/>
        <w:gridCol w:w="1101"/>
      </w:tblGrid>
      <w:tr w:rsidR="00000000">
        <w:trPr>
          <w:cantSplit/>
          <w:trHeight w:val="240"/>
        </w:trPr>
        <w:tc>
          <w:tcPr>
            <w:tcW w:w="838" w:type="pct"/>
            <w:vMerge w:val="restart"/>
            <w:vAlign w:val="center"/>
          </w:tcPr>
          <w:p w:rsidR="00000000" w:rsidRDefault="00000000">
            <w:pPr>
              <w:jc w:val="center"/>
              <w:rPr>
                <w:b/>
                <w:bCs/>
                <w:sz w:val="20"/>
                <w:szCs w:val="20"/>
              </w:rPr>
            </w:pPr>
            <w:r>
              <w:rPr>
                <w:b/>
                <w:bCs/>
                <w:sz w:val="20"/>
                <w:szCs w:val="20"/>
              </w:rPr>
              <w:t>Tenencia de vivienda</w:t>
            </w:r>
          </w:p>
        </w:tc>
        <w:tc>
          <w:tcPr>
            <w:tcW w:w="1084" w:type="pct"/>
            <w:gridSpan w:val="3"/>
            <w:vAlign w:val="center"/>
          </w:tcPr>
          <w:p w:rsidR="00000000" w:rsidRDefault="00000000">
            <w:pPr>
              <w:jc w:val="center"/>
              <w:rPr>
                <w:b/>
                <w:bCs/>
                <w:sz w:val="20"/>
                <w:szCs w:val="20"/>
              </w:rPr>
            </w:pPr>
            <w:r>
              <w:rPr>
                <w:b/>
                <w:bCs/>
                <w:sz w:val="20"/>
                <w:szCs w:val="20"/>
              </w:rPr>
              <w:t>1995</w:t>
            </w:r>
            <w:r>
              <w:rPr>
                <w:b/>
                <w:bCs/>
                <w:sz w:val="20"/>
                <w:szCs w:val="20"/>
                <w:vertAlign w:val="superscript"/>
              </w:rPr>
              <w:t>*</w:t>
            </w:r>
          </w:p>
        </w:tc>
        <w:tc>
          <w:tcPr>
            <w:tcW w:w="1174" w:type="pct"/>
            <w:gridSpan w:val="3"/>
            <w:vAlign w:val="center"/>
          </w:tcPr>
          <w:p w:rsidR="00000000" w:rsidRDefault="00000000">
            <w:pPr>
              <w:jc w:val="center"/>
              <w:rPr>
                <w:b/>
                <w:bCs/>
                <w:sz w:val="20"/>
                <w:szCs w:val="20"/>
              </w:rPr>
            </w:pPr>
            <w:r>
              <w:rPr>
                <w:b/>
                <w:bCs/>
                <w:sz w:val="20"/>
                <w:szCs w:val="20"/>
              </w:rPr>
              <w:t>1999</w:t>
            </w:r>
            <w:r>
              <w:rPr>
                <w:b/>
                <w:bCs/>
                <w:sz w:val="20"/>
                <w:szCs w:val="20"/>
                <w:vertAlign w:val="superscript"/>
              </w:rPr>
              <w:t>*</w:t>
            </w:r>
          </w:p>
        </w:tc>
        <w:tc>
          <w:tcPr>
            <w:tcW w:w="1905" w:type="pct"/>
            <w:gridSpan w:val="5"/>
            <w:vAlign w:val="center"/>
          </w:tcPr>
          <w:p w:rsidR="00000000" w:rsidRDefault="00000000">
            <w:pPr>
              <w:jc w:val="center"/>
              <w:rPr>
                <w:b/>
                <w:bCs/>
                <w:sz w:val="20"/>
                <w:szCs w:val="20"/>
              </w:rPr>
            </w:pPr>
            <w:r>
              <w:rPr>
                <w:b/>
                <w:bCs/>
                <w:sz w:val="20"/>
                <w:szCs w:val="20"/>
              </w:rPr>
              <w:t>2005</w:t>
            </w:r>
          </w:p>
        </w:tc>
      </w:tr>
      <w:tr w:rsidR="00000000">
        <w:trPr>
          <w:cantSplit/>
          <w:trHeight w:val="270"/>
        </w:trPr>
        <w:tc>
          <w:tcPr>
            <w:tcW w:w="838" w:type="pct"/>
            <w:vMerge/>
            <w:vAlign w:val="center"/>
          </w:tcPr>
          <w:p w:rsidR="00000000" w:rsidRDefault="00000000">
            <w:pPr>
              <w:jc w:val="center"/>
              <w:rPr>
                <w:b/>
                <w:bCs/>
                <w:sz w:val="20"/>
                <w:szCs w:val="20"/>
              </w:rPr>
            </w:pPr>
          </w:p>
        </w:tc>
        <w:tc>
          <w:tcPr>
            <w:tcW w:w="361" w:type="pct"/>
            <w:vMerge w:val="restart"/>
            <w:vAlign w:val="center"/>
          </w:tcPr>
          <w:p w:rsidR="00000000" w:rsidRDefault="00000000">
            <w:pPr>
              <w:jc w:val="center"/>
              <w:rPr>
                <w:b/>
                <w:bCs/>
                <w:sz w:val="20"/>
                <w:szCs w:val="20"/>
              </w:rPr>
            </w:pPr>
            <w:r>
              <w:rPr>
                <w:b/>
                <w:bCs/>
                <w:sz w:val="20"/>
                <w:szCs w:val="20"/>
              </w:rPr>
              <w:t>Total</w:t>
            </w:r>
          </w:p>
        </w:tc>
        <w:tc>
          <w:tcPr>
            <w:tcW w:w="723" w:type="pct"/>
            <w:gridSpan w:val="2"/>
            <w:vAlign w:val="center"/>
          </w:tcPr>
          <w:p w:rsidR="00000000" w:rsidRDefault="00000000">
            <w:pPr>
              <w:jc w:val="center"/>
              <w:rPr>
                <w:b/>
                <w:bCs/>
                <w:sz w:val="20"/>
                <w:szCs w:val="20"/>
              </w:rPr>
            </w:pPr>
            <w:r>
              <w:rPr>
                <w:b/>
                <w:bCs/>
                <w:sz w:val="20"/>
                <w:szCs w:val="20"/>
              </w:rPr>
              <w:t>Área de residencia</w:t>
            </w:r>
          </w:p>
        </w:tc>
        <w:tc>
          <w:tcPr>
            <w:tcW w:w="361" w:type="pct"/>
            <w:vMerge w:val="restart"/>
            <w:vAlign w:val="center"/>
          </w:tcPr>
          <w:p w:rsidR="00000000" w:rsidRDefault="00000000">
            <w:pPr>
              <w:jc w:val="center"/>
              <w:rPr>
                <w:b/>
                <w:bCs/>
                <w:sz w:val="20"/>
                <w:szCs w:val="20"/>
              </w:rPr>
            </w:pPr>
            <w:r>
              <w:rPr>
                <w:b/>
                <w:bCs/>
                <w:sz w:val="20"/>
                <w:szCs w:val="20"/>
              </w:rPr>
              <w:t>Total</w:t>
            </w:r>
          </w:p>
        </w:tc>
        <w:tc>
          <w:tcPr>
            <w:tcW w:w="813" w:type="pct"/>
            <w:gridSpan w:val="2"/>
            <w:vAlign w:val="center"/>
          </w:tcPr>
          <w:p w:rsidR="00000000" w:rsidRDefault="00000000">
            <w:pPr>
              <w:jc w:val="center"/>
              <w:rPr>
                <w:b/>
                <w:bCs/>
                <w:sz w:val="20"/>
                <w:szCs w:val="20"/>
              </w:rPr>
            </w:pPr>
            <w:r>
              <w:rPr>
                <w:b/>
                <w:bCs/>
                <w:sz w:val="20"/>
                <w:szCs w:val="20"/>
              </w:rPr>
              <w:t>Área de residencia</w:t>
            </w:r>
          </w:p>
        </w:tc>
        <w:tc>
          <w:tcPr>
            <w:tcW w:w="407" w:type="pct"/>
            <w:vMerge w:val="restart"/>
            <w:vAlign w:val="center"/>
          </w:tcPr>
          <w:p w:rsidR="00000000" w:rsidRDefault="00000000">
            <w:pPr>
              <w:jc w:val="center"/>
              <w:rPr>
                <w:b/>
                <w:bCs/>
                <w:sz w:val="20"/>
                <w:szCs w:val="20"/>
              </w:rPr>
            </w:pPr>
            <w:r>
              <w:rPr>
                <w:b/>
                <w:bCs/>
                <w:sz w:val="20"/>
                <w:szCs w:val="20"/>
                <w:lang w:val="en-GB"/>
              </w:rPr>
              <w:t>Total</w:t>
            </w:r>
          </w:p>
        </w:tc>
        <w:tc>
          <w:tcPr>
            <w:tcW w:w="361" w:type="pct"/>
            <w:vAlign w:val="center"/>
          </w:tcPr>
          <w:p w:rsidR="00000000" w:rsidRDefault="00000000">
            <w:pPr>
              <w:jc w:val="center"/>
              <w:rPr>
                <w:b/>
                <w:bCs/>
                <w:sz w:val="20"/>
                <w:szCs w:val="20"/>
              </w:rPr>
            </w:pPr>
            <w:r>
              <w:rPr>
                <w:b/>
                <w:bCs/>
                <w:sz w:val="20"/>
                <w:szCs w:val="20"/>
              </w:rPr>
              <w:t>Total</w:t>
            </w:r>
          </w:p>
        </w:tc>
        <w:tc>
          <w:tcPr>
            <w:tcW w:w="361" w:type="pct"/>
            <w:vMerge w:val="restart"/>
            <w:vAlign w:val="center"/>
          </w:tcPr>
          <w:p w:rsidR="00000000" w:rsidRDefault="00000000">
            <w:pPr>
              <w:jc w:val="center"/>
              <w:rPr>
                <w:b/>
                <w:bCs/>
                <w:sz w:val="20"/>
                <w:szCs w:val="20"/>
              </w:rPr>
            </w:pPr>
          </w:p>
        </w:tc>
        <w:tc>
          <w:tcPr>
            <w:tcW w:w="775" w:type="pct"/>
            <w:gridSpan w:val="2"/>
            <w:vAlign w:val="center"/>
          </w:tcPr>
          <w:p w:rsidR="00000000" w:rsidRDefault="00000000">
            <w:pPr>
              <w:jc w:val="center"/>
              <w:rPr>
                <w:b/>
                <w:bCs/>
                <w:sz w:val="20"/>
                <w:szCs w:val="20"/>
              </w:rPr>
            </w:pPr>
            <w:r>
              <w:rPr>
                <w:b/>
                <w:bCs/>
                <w:sz w:val="20"/>
                <w:szCs w:val="20"/>
              </w:rPr>
              <w:t>Área de residencia</w:t>
            </w:r>
          </w:p>
        </w:tc>
      </w:tr>
      <w:tr w:rsidR="00000000">
        <w:trPr>
          <w:cantSplit/>
          <w:trHeight w:val="210"/>
        </w:trPr>
        <w:tc>
          <w:tcPr>
            <w:tcW w:w="838" w:type="pct"/>
            <w:vMerge/>
            <w:vAlign w:val="center"/>
          </w:tcPr>
          <w:p w:rsidR="00000000" w:rsidRDefault="00000000">
            <w:pPr>
              <w:jc w:val="center"/>
              <w:rPr>
                <w:b/>
                <w:bCs/>
                <w:sz w:val="20"/>
                <w:szCs w:val="20"/>
              </w:rPr>
            </w:pPr>
          </w:p>
        </w:tc>
        <w:tc>
          <w:tcPr>
            <w:tcW w:w="361" w:type="pct"/>
            <w:vMerge/>
            <w:vAlign w:val="center"/>
          </w:tcPr>
          <w:p w:rsidR="00000000" w:rsidRDefault="00000000">
            <w:pPr>
              <w:jc w:val="center"/>
              <w:rPr>
                <w:b/>
                <w:bCs/>
                <w:sz w:val="20"/>
                <w:szCs w:val="20"/>
              </w:rPr>
            </w:pPr>
          </w:p>
        </w:tc>
        <w:tc>
          <w:tcPr>
            <w:tcW w:w="361" w:type="pct"/>
            <w:vAlign w:val="center"/>
          </w:tcPr>
          <w:p w:rsidR="00000000" w:rsidRDefault="00000000">
            <w:pPr>
              <w:jc w:val="center"/>
              <w:rPr>
                <w:b/>
                <w:bCs/>
                <w:sz w:val="20"/>
                <w:szCs w:val="20"/>
                <w:lang w:val="en-GB"/>
              </w:rPr>
            </w:pPr>
            <w:r>
              <w:rPr>
                <w:b/>
                <w:bCs/>
                <w:sz w:val="20"/>
                <w:szCs w:val="20"/>
                <w:lang w:val="en-GB"/>
              </w:rPr>
              <w:t>Urbana</w:t>
            </w:r>
          </w:p>
        </w:tc>
        <w:tc>
          <w:tcPr>
            <w:tcW w:w="362" w:type="pct"/>
            <w:vAlign w:val="center"/>
          </w:tcPr>
          <w:p w:rsidR="00000000" w:rsidRDefault="00000000">
            <w:pPr>
              <w:jc w:val="center"/>
              <w:rPr>
                <w:b/>
                <w:bCs/>
                <w:sz w:val="20"/>
                <w:szCs w:val="20"/>
                <w:lang w:val="en-GB"/>
              </w:rPr>
            </w:pPr>
            <w:r>
              <w:rPr>
                <w:b/>
                <w:bCs/>
                <w:sz w:val="20"/>
                <w:szCs w:val="20"/>
                <w:lang w:val="en-GB"/>
              </w:rPr>
              <w:t>Rural</w:t>
            </w:r>
          </w:p>
        </w:tc>
        <w:tc>
          <w:tcPr>
            <w:tcW w:w="361" w:type="pct"/>
            <w:vMerge/>
            <w:vAlign w:val="center"/>
          </w:tcPr>
          <w:p w:rsidR="00000000" w:rsidRDefault="00000000">
            <w:pPr>
              <w:jc w:val="center"/>
              <w:rPr>
                <w:b/>
                <w:bCs/>
                <w:sz w:val="20"/>
                <w:szCs w:val="20"/>
                <w:lang w:val="en-GB"/>
              </w:rPr>
            </w:pPr>
          </w:p>
        </w:tc>
        <w:tc>
          <w:tcPr>
            <w:tcW w:w="407" w:type="pct"/>
            <w:vAlign w:val="center"/>
          </w:tcPr>
          <w:p w:rsidR="00000000" w:rsidRDefault="00000000">
            <w:pPr>
              <w:jc w:val="center"/>
              <w:rPr>
                <w:b/>
                <w:bCs/>
                <w:sz w:val="20"/>
                <w:szCs w:val="20"/>
                <w:lang w:val="en-GB"/>
              </w:rPr>
            </w:pPr>
            <w:r>
              <w:rPr>
                <w:b/>
                <w:bCs/>
                <w:sz w:val="20"/>
                <w:szCs w:val="20"/>
                <w:lang w:val="en-GB"/>
              </w:rPr>
              <w:t>Urbana</w:t>
            </w:r>
          </w:p>
        </w:tc>
        <w:tc>
          <w:tcPr>
            <w:tcW w:w="406" w:type="pct"/>
            <w:vAlign w:val="center"/>
          </w:tcPr>
          <w:p w:rsidR="00000000" w:rsidRDefault="00000000">
            <w:pPr>
              <w:jc w:val="center"/>
              <w:rPr>
                <w:b/>
                <w:bCs/>
                <w:sz w:val="20"/>
                <w:szCs w:val="20"/>
                <w:lang w:val="en-GB"/>
              </w:rPr>
            </w:pPr>
            <w:r>
              <w:rPr>
                <w:b/>
                <w:bCs/>
                <w:sz w:val="20"/>
                <w:szCs w:val="20"/>
                <w:lang w:val="en-GB"/>
              </w:rPr>
              <w:t>Rural</w:t>
            </w:r>
          </w:p>
        </w:tc>
        <w:tc>
          <w:tcPr>
            <w:tcW w:w="407" w:type="pct"/>
            <w:vMerge/>
            <w:vAlign w:val="center"/>
          </w:tcPr>
          <w:p w:rsidR="00000000" w:rsidRDefault="00000000">
            <w:pPr>
              <w:jc w:val="center"/>
              <w:rPr>
                <w:b/>
                <w:bCs/>
                <w:sz w:val="20"/>
                <w:szCs w:val="20"/>
                <w:lang w:val="en-GB"/>
              </w:rPr>
            </w:pPr>
          </w:p>
        </w:tc>
        <w:tc>
          <w:tcPr>
            <w:tcW w:w="361" w:type="pct"/>
            <w:vAlign w:val="center"/>
          </w:tcPr>
          <w:p w:rsidR="00000000" w:rsidRDefault="00000000">
            <w:pPr>
              <w:jc w:val="center"/>
              <w:rPr>
                <w:b/>
                <w:bCs/>
                <w:sz w:val="20"/>
                <w:szCs w:val="20"/>
                <w:lang w:val="en-GB"/>
              </w:rPr>
            </w:pPr>
            <w:r>
              <w:rPr>
                <w:b/>
                <w:bCs/>
                <w:sz w:val="20"/>
                <w:szCs w:val="20"/>
                <w:lang w:val="en-GB"/>
              </w:rPr>
              <w:t>Urbana</w:t>
            </w:r>
          </w:p>
        </w:tc>
        <w:tc>
          <w:tcPr>
            <w:tcW w:w="361" w:type="pct"/>
            <w:vMerge/>
            <w:vAlign w:val="center"/>
          </w:tcPr>
          <w:p w:rsidR="00000000" w:rsidRDefault="00000000">
            <w:pPr>
              <w:jc w:val="center"/>
              <w:rPr>
                <w:b/>
                <w:bCs/>
                <w:sz w:val="20"/>
                <w:szCs w:val="20"/>
                <w:lang w:val="en-GB"/>
              </w:rPr>
            </w:pPr>
          </w:p>
        </w:tc>
        <w:tc>
          <w:tcPr>
            <w:tcW w:w="361" w:type="pct"/>
            <w:vAlign w:val="center"/>
          </w:tcPr>
          <w:p w:rsidR="00000000" w:rsidRDefault="00000000">
            <w:pPr>
              <w:jc w:val="center"/>
              <w:rPr>
                <w:b/>
                <w:bCs/>
                <w:sz w:val="20"/>
                <w:szCs w:val="20"/>
                <w:lang w:val="en-GB"/>
              </w:rPr>
            </w:pPr>
            <w:r>
              <w:rPr>
                <w:b/>
                <w:bCs/>
                <w:sz w:val="20"/>
                <w:szCs w:val="20"/>
                <w:lang w:val="en-GB"/>
              </w:rPr>
              <w:t>Urbana</w:t>
            </w:r>
          </w:p>
        </w:tc>
        <w:tc>
          <w:tcPr>
            <w:tcW w:w="414" w:type="pct"/>
            <w:vAlign w:val="center"/>
          </w:tcPr>
          <w:p w:rsidR="00000000" w:rsidRDefault="00000000">
            <w:pPr>
              <w:jc w:val="center"/>
              <w:rPr>
                <w:b/>
                <w:bCs/>
                <w:sz w:val="20"/>
                <w:szCs w:val="20"/>
                <w:lang w:val="en-GB"/>
              </w:rPr>
            </w:pPr>
            <w:r>
              <w:rPr>
                <w:b/>
                <w:bCs/>
                <w:sz w:val="20"/>
                <w:szCs w:val="20"/>
                <w:lang w:val="en-GB"/>
              </w:rPr>
              <w:t>Rural</w:t>
            </w:r>
          </w:p>
        </w:tc>
      </w:tr>
      <w:tr w:rsidR="00000000">
        <w:trPr>
          <w:trHeight w:val="255"/>
        </w:trPr>
        <w:tc>
          <w:tcPr>
            <w:tcW w:w="838" w:type="pct"/>
            <w:noWrap/>
            <w:vAlign w:val="bottom"/>
          </w:tcPr>
          <w:p w:rsidR="00000000" w:rsidRDefault="00000000">
            <w:pPr>
              <w:rPr>
                <w:sz w:val="20"/>
                <w:szCs w:val="20"/>
              </w:rPr>
            </w:pPr>
            <w:r>
              <w:rPr>
                <w:sz w:val="20"/>
                <w:szCs w:val="20"/>
              </w:rPr>
              <w:t>Propia</w:t>
            </w:r>
          </w:p>
        </w:tc>
        <w:tc>
          <w:tcPr>
            <w:tcW w:w="361" w:type="pct"/>
            <w:noWrap/>
            <w:vAlign w:val="bottom"/>
          </w:tcPr>
          <w:p w:rsidR="00000000" w:rsidRDefault="00000000">
            <w:pPr>
              <w:jc w:val="right"/>
              <w:rPr>
                <w:sz w:val="20"/>
                <w:szCs w:val="20"/>
              </w:rPr>
            </w:pPr>
            <w:r>
              <w:rPr>
                <w:sz w:val="20"/>
                <w:szCs w:val="20"/>
              </w:rPr>
              <w:t>74,2</w:t>
            </w:r>
          </w:p>
        </w:tc>
        <w:tc>
          <w:tcPr>
            <w:tcW w:w="361" w:type="pct"/>
            <w:noWrap/>
            <w:vAlign w:val="bottom"/>
          </w:tcPr>
          <w:p w:rsidR="00000000" w:rsidRDefault="00000000">
            <w:pPr>
              <w:jc w:val="right"/>
              <w:rPr>
                <w:sz w:val="20"/>
                <w:szCs w:val="20"/>
              </w:rPr>
            </w:pPr>
            <w:r>
              <w:rPr>
                <w:sz w:val="20"/>
                <w:szCs w:val="20"/>
              </w:rPr>
              <w:t>67,5</w:t>
            </w:r>
          </w:p>
        </w:tc>
        <w:tc>
          <w:tcPr>
            <w:tcW w:w="362" w:type="pct"/>
            <w:noWrap/>
            <w:vAlign w:val="bottom"/>
          </w:tcPr>
          <w:p w:rsidR="00000000" w:rsidRDefault="00000000">
            <w:pPr>
              <w:jc w:val="right"/>
              <w:rPr>
                <w:sz w:val="20"/>
                <w:szCs w:val="20"/>
              </w:rPr>
            </w:pPr>
            <w:r>
              <w:rPr>
                <w:sz w:val="20"/>
                <w:szCs w:val="20"/>
              </w:rPr>
              <w:t>82,2</w:t>
            </w:r>
          </w:p>
        </w:tc>
        <w:tc>
          <w:tcPr>
            <w:tcW w:w="361" w:type="pct"/>
            <w:noWrap/>
            <w:vAlign w:val="bottom"/>
          </w:tcPr>
          <w:p w:rsidR="00000000" w:rsidRDefault="00000000">
            <w:pPr>
              <w:jc w:val="right"/>
              <w:rPr>
                <w:sz w:val="20"/>
                <w:szCs w:val="20"/>
              </w:rPr>
            </w:pPr>
            <w:r>
              <w:rPr>
                <w:sz w:val="20"/>
                <w:szCs w:val="20"/>
              </w:rPr>
              <w:t>79,6</w:t>
            </w:r>
          </w:p>
        </w:tc>
        <w:tc>
          <w:tcPr>
            <w:tcW w:w="407" w:type="pct"/>
            <w:noWrap/>
            <w:vAlign w:val="bottom"/>
          </w:tcPr>
          <w:p w:rsidR="00000000" w:rsidRDefault="00000000">
            <w:pPr>
              <w:jc w:val="right"/>
              <w:rPr>
                <w:sz w:val="20"/>
                <w:szCs w:val="20"/>
              </w:rPr>
            </w:pPr>
            <w:r>
              <w:rPr>
                <w:sz w:val="20"/>
                <w:szCs w:val="20"/>
              </w:rPr>
              <w:t>74,5</w:t>
            </w:r>
          </w:p>
        </w:tc>
        <w:tc>
          <w:tcPr>
            <w:tcW w:w="406" w:type="pct"/>
            <w:noWrap/>
            <w:vAlign w:val="bottom"/>
          </w:tcPr>
          <w:p w:rsidR="00000000" w:rsidRDefault="00000000">
            <w:pPr>
              <w:jc w:val="right"/>
              <w:rPr>
                <w:sz w:val="20"/>
                <w:szCs w:val="20"/>
              </w:rPr>
            </w:pPr>
            <w:r>
              <w:rPr>
                <w:sz w:val="20"/>
                <w:szCs w:val="20"/>
              </w:rPr>
              <w:t>86,3</w:t>
            </w:r>
          </w:p>
        </w:tc>
        <w:tc>
          <w:tcPr>
            <w:tcW w:w="407" w:type="pct"/>
            <w:noWrap/>
            <w:vAlign w:val="bottom"/>
          </w:tcPr>
          <w:p w:rsidR="00000000" w:rsidRDefault="00000000">
            <w:pPr>
              <w:jc w:val="right"/>
              <w:rPr>
                <w:sz w:val="20"/>
                <w:szCs w:val="20"/>
              </w:rPr>
            </w:pPr>
            <w:r>
              <w:rPr>
                <w:sz w:val="20"/>
                <w:szCs w:val="20"/>
              </w:rPr>
              <w:t>75,4</w:t>
            </w:r>
          </w:p>
        </w:tc>
        <w:tc>
          <w:tcPr>
            <w:tcW w:w="361" w:type="pct"/>
            <w:noWrap/>
            <w:vAlign w:val="bottom"/>
          </w:tcPr>
          <w:p w:rsidR="00000000" w:rsidRDefault="00000000">
            <w:pPr>
              <w:jc w:val="right"/>
              <w:rPr>
                <w:sz w:val="20"/>
                <w:szCs w:val="20"/>
              </w:rPr>
            </w:pPr>
            <w:r>
              <w:rPr>
                <w:sz w:val="20"/>
                <w:szCs w:val="20"/>
              </w:rPr>
              <w:t>69,6</w:t>
            </w:r>
          </w:p>
        </w:tc>
        <w:tc>
          <w:tcPr>
            <w:tcW w:w="361" w:type="pct"/>
            <w:noWrap/>
            <w:vAlign w:val="bottom"/>
          </w:tcPr>
          <w:p w:rsidR="00000000" w:rsidRDefault="00000000">
            <w:pPr>
              <w:jc w:val="right"/>
              <w:rPr>
                <w:sz w:val="20"/>
                <w:szCs w:val="20"/>
              </w:rPr>
            </w:pPr>
            <w:r>
              <w:rPr>
                <w:sz w:val="20"/>
                <w:szCs w:val="20"/>
              </w:rPr>
              <w:t>77,0</w:t>
            </w:r>
          </w:p>
        </w:tc>
        <w:tc>
          <w:tcPr>
            <w:tcW w:w="361" w:type="pct"/>
            <w:noWrap/>
            <w:vAlign w:val="bottom"/>
          </w:tcPr>
          <w:p w:rsidR="00000000" w:rsidRDefault="00000000">
            <w:pPr>
              <w:jc w:val="right"/>
              <w:rPr>
                <w:sz w:val="20"/>
                <w:szCs w:val="20"/>
              </w:rPr>
            </w:pPr>
            <w:r>
              <w:rPr>
                <w:sz w:val="20"/>
                <w:szCs w:val="20"/>
              </w:rPr>
              <w:t>73,2</w:t>
            </w:r>
          </w:p>
        </w:tc>
        <w:tc>
          <w:tcPr>
            <w:tcW w:w="414" w:type="pct"/>
            <w:noWrap/>
            <w:vAlign w:val="bottom"/>
          </w:tcPr>
          <w:p w:rsidR="00000000" w:rsidRDefault="00000000">
            <w:pPr>
              <w:jc w:val="right"/>
              <w:rPr>
                <w:sz w:val="20"/>
                <w:szCs w:val="20"/>
              </w:rPr>
            </w:pPr>
            <w:r>
              <w:rPr>
                <w:sz w:val="20"/>
                <w:szCs w:val="20"/>
              </w:rPr>
              <w:t>83,0</w:t>
            </w:r>
          </w:p>
        </w:tc>
      </w:tr>
      <w:tr w:rsidR="00000000">
        <w:trPr>
          <w:trHeight w:val="255"/>
        </w:trPr>
        <w:tc>
          <w:tcPr>
            <w:tcW w:w="838" w:type="pct"/>
            <w:noWrap/>
            <w:vAlign w:val="bottom"/>
          </w:tcPr>
          <w:p w:rsidR="00000000" w:rsidRDefault="00000000">
            <w:pPr>
              <w:rPr>
                <w:sz w:val="20"/>
                <w:szCs w:val="20"/>
              </w:rPr>
            </w:pPr>
            <w:r>
              <w:rPr>
                <w:sz w:val="20"/>
                <w:szCs w:val="20"/>
              </w:rPr>
              <w:t>Pagando en cuota</w:t>
            </w:r>
          </w:p>
        </w:tc>
        <w:tc>
          <w:tcPr>
            <w:tcW w:w="361" w:type="pct"/>
            <w:noWrap/>
            <w:vAlign w:val="bottom"/>
          </w:tcPr>
          <w:p w:rsidR="00000000" w:rsidRDefault="00000000">
            <w:pPr>
              <w:jc w:val="right"/>
              <w:rPr>
                <w:sz w:val="20"/>
                <w:szCs w:val="20"/>
              </w:rPr>
            </w:pPr>
            <w:r>
              <w:rPr>
                <w:sz w:val="20"/>
                <w:szCs w:val="20"/>
              </w:rPr>
              <w:t>2,6</w:t>
            </w:r>
          </w:p>
        </w:tc>
        <w:tc>
          <w:tcPr>
            <w:tcW w:w="361" w:type="pct"/>
            <w:noWrap/>
            <w:vAlign w:val="bottom"/>
          </w:tcPr>
          <w:p w:rsidR="00000000" w:rsidRDefault="00000000">
            <w:pPr>
              <w:jc w:val="right"/>
              <w:rPr>
                <w:sz w:val="20"/>
                <w:szCs w:val="20"/>
              </w:rPr>
            </w:pPr>
            <w:r>
              <w:rPr>
                <w:sz w:val="20"/>
                <w:szCs w:val="20"/>
              </w:rPr>
              <w:t>2,8</w:t>
            </w:r>
          </w:p>
        </w:tc>
        <w:tc>
          <w:tcPr>
            <w:tcW w:w="362" w:type="pct"/>
            <w:noWrap/>
            <w:vAlign w:val="bottom"/>
          </w:tcPr>
          <w:p w:rsidR="00000000" w:rsidRDefault="00000000">
            <w:pPr>
              <w:jc w:val="right"/>
              <w:rPr>
                <w:sz w:val="20"/>
                <w:szCs w:val="20"/>
              </w:rPr>
            </w:pPr>
            <w:r>
              <w:rPr>
                <w:sz w:val="20"/>
                <w:szCs w:val="20"/>
              </w:rPr>
              <w:t>2,3</w:t>
            </w:r>
          </w:p>
        </w:tc>
        <w:tc>
          <w:tcPr>
            <w:tcW w:w="361" w:type="pct"/>
            <w:noWrap/>
            <w:vAlign w:val="bottom"/>
          </w:tcPr>
          <w:p w:rsidR="00000000" w:rsidRDefault="00000000">
            <w:pPr>
              <w:jc w:val="right"/>
              <w:rPr>
                <w:sz w:val="20"/>
                <w:szCs w:val="20"/>
              </w:rPr>
            </w:pPr>
            <w:r>
              <w:rPr>
                <w:sz w:val="20"/>
                <w:szCs w:val="20"/>
              </w:rPr>
              <w:t>1,0</w:t>
            </w:r>
          </w:p>
        </w:tc>
        <w:tc>
          <w:tcPr>
            <w:tcW w:w="407" w:type="pct"/>
            <w:noWrap/>
            <w:vAlign w:val="bottom"/>
          </w:tcPr>
          <w:p w:rsidR="00000000" w:rsidRDefault="00000000">
            <w:pPr>
              <w:jc w:val="right"/>
              <w:rPr>
                <w:sz w:val="20"/>
                <w:szCs w:val="20"/>
              </w:rPr>
            </w:pPr>
            <w:r>
              <w:rPr>
                <w:sz w:val="20"/>
                <w:szCs w:val="20"/>
              </w:rPr>
              <w:t>0,6</w:t>
            </w:r>
          </w:p>
        </w:tc>
        <w:tc>
          <w:tcPr>
            <w:tcW w:w="406" w:type="pct"/>
            <w:noWrap/>
            <w:vAlign w:val="bottom"/>
          </w:tcPr>
          <w:p w:rsidR="00000000" w:rsidRDefault="00000000">
            <w:pPr>
              <w:jc w:val="right"/>
              <w:rPr>
                <w:sz w:val="20"/>
                <w:szCs w:val="20"/>
              </w:rPr>
            </w:pPr>
            <w:r>
              <w:rPr>
                <w:sz w:val="20"/>
                <w:szCs w:val="20"/>
              </w:rPr>
              <w:t>1,4</w:t>
            </w:r>
          </w:p>
        </w:tc>
        <w:tc>
          <w:tcPr>
            <w:tcW w:w="407" w:type="pct"/>
            <w:noWrap/>
            <w:vAlign w:val="bottom"/>
          </w:tcPr>
          <w:p w:rsidR="00000000" w:rsidRDefault="00000000">
            <w:pPr>
              <w:jc w:val="right"/>
              <w:rPr>
                <w:sz w:val="20"/>
                <w:szCs w:val="20"/>
              </w:rPr>
            </w:pPr>
            <w:r>
              <w:rPr>
                <w:sz w:val="20"/>
                <w:szCs w:val="20"/>
              </w:rPr>
              <w:t>1,0</w:t>
            </w:r>
          </w:p>
        </w:tc>
        <w:tc>
          <w:tcPr>
            <w:tcW w:w="361" w:type="pct"/>
            <w:noWrap/>
            <w:vAlign w:val="bottom"/>
          </w:tcPr>
          <w:p w:rsidR="00000000" w:rsidRDefault="00000000">
            <w:pPr>
              <w:jc w:val="right"/>
              <w:rPr>
                <w:sz w:val="20"/>
                <w:szCs w:val="20"/>
              </w:rPr>
            </w:pPr>
            <w:r>
              <w:rPr>
                <w:sz w:val="20"/>
                <w:szCs w:val="20"/>
              </w:rPr>
              <w:t>1,1</w:t>
            </w:r>
          </w:p>
        </w:tc>
        <w:tc>
          <w:tcPr>
            <w:tcW w:w="361" w:type="pct"/>
            <w:noWrap/>
            <w:vAlign w:val="bottom"/>
          </w:tcPr>
          <w:p w:rsidR="00000000" w:rsidRDefault="00000000">
            <w:pPr>
              <w:jc w:val="right"/>
              <w:rPr>
                <w:sz w:val="20"/>
                <w:szCs w:val="20"/>
              </w:rPr>
            </w:pPr>
            <w:r>
              <w:rPr>
                <w:sz w:val="20"/>
                <w:szCs w:val="20"/>
              </w:rPr>
              <w:t>0,7</w:t>
            </w:r>
          </w:p>
        </w:tc>
        <w:tc>
          <w:tcPr>
            <w:tcW w:w="361" w:type="pct"/>
            <w:noWrap/>
            <w:vAlign w:val="bottom"/>
          </w:tcPr>
          <w:p w:rsidR="00000000" w:rsidRDefault="00000000">
            <w:pPr>
              <w:jc w:val="right"/>
              <w:rPr>
                <w:sz w:val="20"/>
                <w:szCs w:val="20"/>
              </w:rPr>
            </w:pPr>
            <w:r>
              <w:rPr>
                <w:sz w:val="20"/>
                <w:szCs w:val="20"/>
              </w:rPr>
              <w:t>0,6</w:t>
            </w:r>
          </w:p>
        </w:tc>
        <w:tc>
          <w:tcPr>
            <w:tcW w:w="414" w:type="pct"/>
            <w:noWrap/>
            <w:vAlign w:val="bottom"/>
          </w:tcPr>
          <w:p w:rsidR="00000000" w:rsidRDefault="00000000">
            <w:pPr>
              <w:jc w:val="right"/>
              <w:rPr>
                <w:sz w:val="20"/>
                <w:szCs w:val="20"/>
              </w:rPr>
            </w:pPr>
            <w:r>
              <w:rPr>
                <w:sz w:val="20"/>
                <w:szCs w:val="20"/>
              </w:rPr>
              <w:t>0,8</w:t>
            </w:r>
          </w:p>
        </w:tc>
      </w:tr>
      <w:tr w:rsidR="00000000">
        <w:trPr>
          <w:trHeight w:val="255"/>
        </w:trPr>
        <w:tc>
          <w:tcPr>
            <w:tcW w:w="838" w:type="pct"/>
            <w:noWrap/>
            <w:vAlign w:val="bottom"/>
          </w:tcPr>
          <w:p w:rsidR="00000000" w:rsidRDefault="00000000">
            <w:pPr>
              <w:rPr>
                <w:sz w:val="20"/>
                <w:szCs w:val="20"/>
              </w:rPr>
            </w:pPr>
            <w:r>
              <w:rPr>
                <w:sz w:val="20"/>
                <w:szCs w:val="20"/>
              </w:rPr>
              <w:t>Propiedad en condominio</w:t>
            </w:r>
          </w:p>
        </w:tc>
        <w:tc>
          <w:tcPr>
            <w:tcW w:w="361" w:type="pct"/>
            <w:noWrap/>
            <w:vAlign w:val="bottom"/>
          </w:tcPr>
          <w:p w:rsidR="00000000" w:rsidRDefault="00000000">
            <w:pPr>
              <w:jc w:val="right"/>
              <w:rPr>
                <w:sz w:val="20"/>
                <w:szCs w:val="20"/>
              </w:rPr>
            </w:pPr>
            <w:r>
              <w:rPr>
                <w:sz w:val="20"/>
                <w:szCs w:val="20"/>
              </w:rPr>
              <w:t>0,4</w:t>
            </w:r>
          </w:p>
        </w:tc>
        <w:tc>
          <w:tcPr>
            <w:tcW w:w="361" w:type="pct"/>
            <w:noWrap/>
            <w:vAlign w:val="bottom"/>
          </w:tcPr>
          <w:p w:rsidR="00000000" w:rsidRDefault="00000000">
            <w:pPr>
              <w:jc w:val="right"/>
              <w:rPr>
                <w:sz w:val="20"/>
                <w:szCs w:val="20"/>
              </w:rPr>
            </w:pPr>
            <w:r>
              <w:rPr>
                <w:sz w:val="20"/>
                <w:szCs w:val="20"/>
              </w:rPr>
              <w:t>0,6</w:t>
            </w:r>
          </w:p>
        </w:tc>
        <w:tc>
          <w:tcPr>
            <w:tcW w:w="362" w:type="pct"/>
            <w:noWrap/>
            <w:vAlign w:val="bottom"/>
          </w:tcPr>
          <w:p w:rsidR="00000000" w:rsidRDefault="00000000">
            <w:pPr>
              <w:jc w:val="right"/>
              <w:rPr>
                <w:sz w:val="20"/>
                <w:szCs w:val="20"/>
              </w:rPr>
            </w:pPr>
            <w:r>
              <w:rPr>
                <w:sz w:val="20"/>
                <w:szCs w:val="20"/>
              </w:rPr>
              <w:t>0,2</w:t>
            </w:r>
          </w:p>
        </w:tc>
        <w:tc>
          <w:tcPr>
            <w:tcW w:w="361" w:type="pct"/>
            <w:noWrap/>
            <w:vAlign w:val="bottom"/>
          </w:tcPr>
          <w:p w:rsidR="00000000" w:rsidRDefault="00000000">
            <w:pPr>
              <w:jc w:val="right"/>
              <w:rPr>
                <w:sz w:val="20"/>
                <w:szCs w:val="20"/>
              </w:rPr>
            </w:pPr>
            <w:r>
              <w:rPr>
                <w:sz w:val="20"/>
                <w:szCs w:val="20"/>
              </w:rPr>
              <w:t>0,7</w:t>
            </w:r>
          </w:p>
        </w:tc>
        <w:tc>
          <w:tcPr>
            <w:tcW w:w="407" w:type="pct"/>
            <w:noWrap/>
            <w:vAlign w:val="bottom"/>
          </w:tcPr>
          <w:p w:rsidR="00000000" w:rsidRDefault="00000000">
            <w:pPr>
              <w:jc w:val="right"/>
              <w:rPr>
                <w:sz w:val="20"/>
                <w:szCs w:val="20"/>
              </w:rPr>
            </w:pPr>
            <w:r>
              <w:rPr>
                <w:sz w:val="20"/>
                <w:szCs w:val="20"/>
              </w:rPr>
              <w:t>1,0</w:t>
            </w:r>
          </w:p>
        </w:tc>
        <w:tc>
          <w:tcPr>
            <w:tcW w:w="406" w:type="pct"/>
            <w:noWrap/>
            <w:vAlign w:val="bottom"/>
          </w:tcPr>
          <w:p w:rsidR="00000000" w:rsidRDefault="00000000">
            <w:pPr>
              <w:jc w:val="right"/>
              <w:rPr>
                <w:sz w:val="20"/>
                <w:szCs w:val="20"/>
              </w:rPr>
            </w:pPr>
            <w:r>
              <w:rPr>
                <w:sz w:val="20"/>
                <w:szCs w:val="20"/>
              </w:rPr>
              <w:t>0,2</w:t>
            </w:r>
          </w:p>
        </w:tc>
        <w:tc>
          <w:tcPr>
            <w:tcW w:w="407" w:type="pct"/>
            <w:noWrap/>
            <w:vAlign w:val="bottom"/>
          </w:tcPr>
          <w:p w:rsidR="00000000" w:rsidRDefault="00000000">
            <w:pPr>
              <w:jc w:val="right"/>
              <w:rPr>
                <w:sz w:val="20"/>
                <w:szCs w:val="20"/>
              </w:rPr>
            </w:pPr>
            <w:r>
              <w:rPr>
                <w:sz w:val="20"/>
                <w:szCs w:val="20"/>
              </w:rPr>
              <w:t>0,4</w:t>
            </w:r>
          </w:p>
        </w:tc>
        <w:tc>
          <w:tcPr>
            <w:tcW w:w="361" w:type="pct"/>
            <w:noWrap/>
            <w:vAlign w:val="bottom"/>
          </w:tcPr>
          <w:p w:rsidR="00000000" w:rsidRDefault="00000000">
            <w:pPr>
              <w:jc w:val="right"/>
              <w:rPr>
                <w:sz w:val="20"/>
                <w:szCs w:val="20"/>
              </w:rPr>
            </w:pPr>
            <w:r>
              <w:rPr>
                <w:sz w:val="20"/>
                <w:szCs w:val="20"/>
              </w:rPr>
              <w:t>0,4</w:t>
            </w:r>
          </w:p>
        </w:tc>
        <w:tc>
          <w:tcPr>
            <w:tcW w:w="361" w:type="pct"/>
            <w:noWrap/>
            <w:vAlign w:val="bottom"/>
          </w:tcPr>
          <w:p w:rsidR="00000000" w:rsidRDefault="00000000">
            <w:pPr>
              <w:jc w:val="right"/>
              <w:rPr>
                <w:sz w:val="20"/>
                <w:szCs w:val="20"/>
              </w:rPr>
            </w:pPr>
            <w:r>
              <w:rPr>
                <w:sz w:val="20"/>
                <w:szCs w:val="20"/>
              </w:rPr>
              <w:t>0,4</w:t>
            </w:r>
          </w:p>
        </w:tc>
        <w:tc>
          <w:tcPr>
            <w:tcW w:w="361" w:type="pct"/>
            <w:noWrap/>
            <w:vAlign w:val="bottom"/>
          </w:tcPr>
          <w:p w:rsidR="00000000" w:rsidRDefault="00000000">
            <w:pPr>
              <w:jc w:val="right"/>
              <w:rPr>
                <w:sz w:val="20"/>
                <w:szCs w:val="20"/>
              </w:rPr>
            </w:pPr>
            <w:r>
              <w:rPr>
                <w:sz w:val="20"/>
                <w:szCs w:val="20"/>
              </w:rPr>
              <w:t>0,6</w:t>
            </w:r>
          </w:p>
        </w:tc>
        <w:tc>
          <w:tcPr>
            <w:tcW w:w="414" w:type="pct"/>
            <w:noWrap/>
            <w:vAlign w:val="bottom"/>
          </w:tcPr>
          <w:p w:rsidR="00000000" w:rsidRDefault="00000000">
            <w:pPr>
              <w:jc w:val="right"/>
              <w:rPr>
                <w:sz w:val="20"/>
                <w:szCs w:val="20"/>
              </w:rPr>
            </w:pPr>
            <w:r>
              <w:rPr>
                <w:sz w:val="20"/>
                <w:szCs w:val="20"/>
              </w:rPr>
              <w:t>0,2</w:t>
            </w:r>
          </w:p>
        </w:tc>
      </w:tr>
      <w:tr w:rsidR="00000000">
        <w:trPr>
          <w:trHeight w:val="255"/>
        </w:trPr>
        <w:tc>
          <w:tcPr>
            <w:tcW w:w="838" w:type="pct"/>
            <w:noWrap/>
            <w:vAlign w:val="bottom"/>
          </w:tcPr>
          <w:p w:rsidR="00000000" w:rsidRDefault="00000000">
            <w:pPr>
              <w:rPr>
                <w:sz w:val="20"/>
                <w:szCs w:val="20"/>
              </w:rPr>
            </w:pPr>
            <w:r>
              <w:rPr>
                <w:sz w:val="20"/>
                <w:szCs w:val="20"/>
              </w:rPr>
              <w:t>Inquilino o arrendatario</w:t>
            </w:r>
          </w:p>
        </w:tc>
        <w:tc>
          <w:tcPr>
            <w:tcW w:w="361" w:type="pct"/>
            <w:noWrap/>
            <w:vAlign w:val="bottom"/>
          </w:tcPr>
          <w:p w:rsidR="00000000" w:rsidRDefault="00000000">
            <w:pPr>
              <w:jc w:val="right"/>
              <w:rPr>
                <w:sz w:val="20"/>
                <w:szCs w:val="20"/>
              </w:rPr>
            </w:pPr>
            <w:r>
              <w:rPr>
                <w:sz w:val="20"/>
                <w:szCs w:val="20"/>
              </w:rPr>
              <w:t>9,7</w:t>
            </w:r>
          </w:p>
        </w:tc>
        <w:tc>
          <w:tcPr>
            <w:tcW w:w="361" w:type="pct"/>
            <w:noWrap/>
            <w:vAlign w:val="bottom"/>
          </w:tcPr>
          <w:p w:rsidR="00000000" w:rsidRDefault="00000000">
            <w:pPr>
              <w:jc w:val="right"/>
              <w:rPr>
                <w:sz w:val="20"/>
                <w:szCs w:val="20"/>
              </w:rPr>
            </w:pPr>
            <w:r>
              <w:rPr>
                <w:sz w:val="20"/>
                <w:szCs w:val="20"/>
              </w:rPr>
              <w:t>16,9</w:t>
            </w:r>
          </w:p>
        </w:tc>
        <w:tc>
          <w:tcPr>
            <w:tcW w:w="362" w:type="pct"/>
            <w:noWrap/>
            <w:vAlign w:val="bottom"/>
          </w:tcPr>
          <w:p w:rsidR="00000000" w:rsidRDefault="00000000">
            <w:pPr>
              <w:jc w:val="right"/>
              <w:rPr>
                <w:sz w:val="20"/>
                <w:szCs w:val="20"/>
              </w:rPr>
            </w:pPr>
            <w:r>
              <w:rPr>
                <w:sz w:val="20"/>
                <w:szCs w:val="20"/>
              </w:rPr>
              <w:t>1,2</w:t>
            </w:r>
          </w:p>
        </w:tc>
        <w:tc>
          <w:tcPr>
            <w:tcW w:w="361" w:type="pct"/>
            <w:noWrap/>
            <w:vAlign w:val="bottom"/>
          </w:tcPr>
          <w:p w:rsidR="00000000" w:rsidRDefault="00000000">
            <w:pPr>
              <w:jc w:val="right"/>
              <w:rPr>
                <w:sz w:val="20"/>
                <w:szCs w:val="20"/>
              </w:rPr>
            </w:pPr>
            <w:r>
              <w:rPr>
                <w:sz w:val="20"/>
                <w:szCs w:val="20"/>
              </w:rPr>
              <w:t>8,8</w:t>
            </w:r>
          </w:p>
        </w:tc>
        <w:tc>
          <w:tcPr>
            <w:tcW w:w="407" w:type="pct"/>
            <w:noWrap/>
            <w:vAlign w:val="bottom"/>
          </w:tcPr>
          <w:p w:rsidR="00000000" w:rsidRDefault="00000000">
            <w:pPr>
              <w:jc w:val="right"/>
              <w:rPr>
                <w:sz w:val="20"/>
                <w:szCs w:val="20"/>
              </w:rPr>
            </w:pPr>
            <w:r>
              <w:rPr>
                <w:sz w:val="20"/>
                <w:szCs w:val="20"/>
              </w:rPr>
              <w:t>14,2</w:t>
            </w:r>
          </w:p>
        </w:tc>
        <w:tc>
          <w:tcPr>
            <w:tcW w:w="406" w:type="pct"/>
            <w:noWrap/>
            <w:vAlign w:val="bottom"/>
          </w:tcPr>
          <w:p w:rsidR="00000000" w:rsidRDefault="00000000">
            <w:pPr>
              <w:jc w:val="right"/>
              <w:rPr>
                <w:sz w:val="20"/>
                <w:szCs w:val="20"/>
              </w:rPr>
            </w:pPr>
            <w:r>
              <w:rPr>
                <w:sz w:val="20"/>
                <w:szCs w:val="20"/>
              </w:rPr>
              <w:t>1,7</w:t>
            </w:r>
          </w:p>
        </w:tc>
        <w:tc>
          <w:tcPr>
            <w:tcW w:w="407" w:type="pct"/>
            <w:noWrap/>
            <w:vAlign w:val="bottom"/>
          </w:tcPr>
          <w:p w:rsidR="00000000" w:rsidRDefault="00000000">
            <w:pPr>
              <w:jc w:val="right"/>
              <w:rPr>
                <w:sz w:val="20"/>
                <w:szCs w:val="20"/>
              </w:rPr>
            </w:pPr>
            <w:r>
              <w:rPr>
                <w:sz w:val="20"/>
                <w:szCs w:val="20"/>
              </w:rPr>
              <w:t>9,9</w:t>
            </w:r>
          </w:p>
        </w:tc>
        <w:tc>
          <w:tcPr>
            <w:tcW w:w="361" w:type="pct"/>
            <w:noWrap/>
            <w:vAlign w:val="bottom"/>
          </w:tcPr>
          <w:p w:rsidR="00000000" w:rsidRDefault="00000000">
            <w:pPr>
              <w:jc w:val="right"/>
              <w:rPr>
                <w:sz w:val="20"/>
                <w:szCs w:val="20"/>
              </w:rPr>
            </w:pPr>
            <w:r>
              <w:rPr>
                <w:sz w:val="20"/>
                <w:szCs w:val="20"/>
              </w:rPr>
              <w:t>15,9</w:t>
            </w:r>
          </w:p>
        </w:tc>
        <w:tc>
          <w:tcPr>
            <w:tcW w:w="361" w:type="pct"/>
            <w:noWrap/>
            <w:vAlign w:val="bottom"/>
          </w:tcPr>
          <w:p w:rsidR="00000000" w:rsidRDefault="00000000">
            <w:pPr>
              <w:jc w:val="right"/>
              <w:rPr>
                <w:sz w:val="20"/>
                <w:szCs w:val="20"/>
              </w:rPr>
            </w:pPr>
            <w:r>
              <w:rPr>
                <w:sz w:val="20"/>
                <w:szCs w:val="20"/>
              </w:rPr>
              <w:t>10,1</w:t>
            </w:r>
          </w:p>
        </w:tc>
        <w:tc>
          <w:tcPr>
            <w:tcW w:w="361" w:type="pct"/>
            <w:noWrap/>
            <w:vAlign w:val="bottom"/>
          </w:tcPr>
          <w:p w:rsidR="00000000" w:rsidRDefault="00000000">
            <w:pPr>
              <w:jc w:val="right"/>
              <w:rPr>
                <w:sz w:val="20"/>
                <w:szCs w:val="20"/>
              </w:rPr>
            </w:pPr>
            <w:r>
              <w:rPr>
                <w:sz w:val="20"/>
                <w:szCs w:val="20"/>
              </w:rPr>
              <w:t>15,6</w:t>
            </w:r>
          </w:p>
        </w:tc>
        <w:tc>
          <w:tcPr>
            <w:tcW w:w="414" w:type="pct"/>
            <w:noWrap/>
            <w:vAlign w:val="bottom"/>
          </w:tcPr>
          <w:p w:rsidR="00000000" w:rsidRDefault="00000000">
            <w:pPr>
              <w:jc w:val="right"/>
              <w:rPr>
                <w:sz w:val="20"/>
                <w:szCs w:val="20"/>
              </w:rPr>
            </w:pPr>
            <w:r>
              <w:rPr>
                <w:sz w:val="20"/>
                <w:szCs w:val="20"/>
              </w:rPr>
              <w:t>1,6</w:t>
            </w:r>
          </w:p>
        </w:tc>
      </w:tr>
      <w:tr w:rsidR="00000000">
        <w:trPr>
          <w:trHeight w:val="255"/>
        </w:trPr>
        <w:tc>
          <w:tcPr>
            <w:tcW w:w="838" w:type="pct"/>
            <w:noWrap/>
            <w:vAlign w:val="bottom"/>
          </w:tcPr>
          <w:p w:rsidR="00000000" w:rsidRDefault="00000000">
            <w:pPr>
              <w:rPr>
                <w:sz w:val="20"/>
                <w:szCs w:val="20"/>
              </w:rPr>
            </w:pPr>
            <w:r>
              <w:rPr>
                <w:sz w:val="20"/>
                <w:szCs w:val="20"/>
              </w:rPr>
              <w:t>Ocupante de hecho</w:t>
            </w:r>
          </w:p>
        </w:tc>
        <w:tc>
          <w:tcPr>
            <w:tcW w:w="361" w:type="pct"/>
            <w:noWrap/>
            <w:vAlign w:val="bottom"/>
          </w:tcPr>
          <w:p w:rsidR="00000000" w:rsidRDefault="00000000">
            <w:pPr>
              <w:jc w:val="right"/>
              <w:rPr>
                <w:sz w:val="20"/>
                <w:szCs w:val="20"/>
              </w:rPr>
            </w:pPr>
            <w:r>
              <w:rPr>
                <w:sz w:val="20"/>
                <w:szCs w:val="20"/>
              </w:rPr>
              <w:t>1,4</w:t>
            </w:r>
          </w:p>
        </w:tc>
        <w:tc>
          <w:tcPr>
            <w:tcW w:w="361" w:type="pct"/>
            <w:noWrap/>
            <w:vAlign w:val="bottom"/>
          </w:tcPr>
          <w:p w:rsidR="00000000" w:rsidRDefault="00000000">
            <w:pPr>
              <w:jc w:val="right"/>
              <w:rPr>
                <w:sz w:val="20"/>
                <w:szCs w:val="20"/>
              </w:rPr>
            </w:pPr>
            <w:r>
              <w:rPr>
                <w:sz w:val="20"/>
                <w:szCs w:val="20"/>
              </w:rPr>
              <w:t>2,2</w:t>
            </w:r>
          </w:p>
        </w:tc>
        <w:tc>
          <w:tcPr>
            <w:tcW w:w="362" w:type="pct"/>
            <w:noWrap/>
            <w:vAlign w:val="bottom"/>
          </w:tcPr>
          <w:p w:rsidR="00000000" w:rsidRDefault="00000000">
            <w:pPr>
              <w:jc w:val="right"/>
              <w:rPr>
                <w:sz w:val="20"/>
                <w:szCs w:val="20"/>
              </w:rPr>
            </w:pPr>
            <w:r>
              <w:rPr>
                <w:sz w:val="20"/>
                <w:szCs w:val="20"/>
              </w:rPr>
              <w:t>0,4</w:t>
            </w:r>
          </w:p>
        </w:tc>
        <w:tc>
          <w:tcPr>
            <w:tcW w:w="361" w:type="pct"/>
            <w:noWrap/>
            <w:vAlign w:val="bottom"/>
          </w:tcPr>
          <w:p w:rsidR="00000000" w:rsidRDefault="00000000">
            <w:pPr>
              <w:jc w:val="right"/>
              <w:rPr>
                <w:sz w:val="20"/>
                <w:szCs w:val="20"/>
              </w:rPr>
            </w:pPr>
            <w:r>
              <w:rPr>
                <w:sz w:val="20"/>
                <w:szCs w:val="20"/>
              </w:rPr>
              <w:t>0,4</w:t>
            </w:r>
          </w:p>
        </w:tc>
        <w:tc>
          <w:tcPr>
            <w:tcW w:w="407" w:type="pct"/>
            <w:noWrap/>
            <w:vAlign w:val="bottom"/>
          </w:tcPr>
          <w:p w:rsidR="00000000" w:rsidRDefault="00000000">
            <w:pPr>
              <w:jc w:val="right"/>
              <w:rPr>
                <w:sz w:val="20"/>
                <w:szCs w:val="20"/>
              </w:rPr>
            </w:pPr>
            <w:r>
              <w:rPr>
                <w:sz w:val="20"/>
                <w:szCs w:val="20"/>
              </w:rPr>
              <w:t>0,4</w:t>
            </w:r>
          </w:p>
        </w:tc>
        <w:tc>
          <w:tcPr>
            <w:tcW w:w="406" w:type="pct"/>
            <w:noWrap/>
            <w:vAlign w:val="bottom"/>
          </w:tcPr>
          <w:p w:rsidR="00000000" w:rsidRDefault="00000000">
            <w:pPr>
              <w:jc w:val="right"/>
              <w:rPr>
                <w:sz w:val="20"/>
                <w:szCs w:val="20"/>
              </w:rPr>
            </w:pPr>
            <w:r>
              <w:rPr>
                <w:sz w:val="20"/>
                <w:szCs w:val="20"/>
              </w:rPr>
              <w:t>0,2</w:t>
            </w:r>
          </w:p>
        </w:tc>
        <w:tc>
          <w:tcPr>
            <w:tcW w:w="407" w:type="pct"/>
            <w:noWrap/>
            <w:vAlign w:val="bottom"/>
          </w:tcPr>
          <w:p w:rsidR="00000000" w:rsidRDefault="00000000">
            <w:pPr>
              <w:jc w:val="right"/>
              <w:rPr>
                <w:sz w:val="20"/>
                <w:szCs w:val="20"/>
              </w:rPr>
            </w:pPr>
            <w:r>
              <w:rPr>
                <w:sz w:val="20"/>
                <w:szCs w:val="20"/>
              </w:rPr>
              <w:t>0,7</w:t>
            </w:r>
          </w:p>
        </w:tc>
        <w:tc>
          <w:tcPr>
            <w:tcW w:w="361" w:type="pct"/>
            <w:noWrap/>
            <w:vAlign w:val="bottom"/>
          </w:tcPr>
          <w:p w:rsidR="00000000" w:rsidRDefault="00000000">
            <w:pPr>
              <w:jc w:val="right"/>
              <w:rPr>
                <w:sz w:val="20"/>
                <w:szCs w:val="20"/>
              </w:rPr>
            </w:pPr>
            <w:r>
              <w:rPr>
                <w:sz w:val="20"/>
                <w:szCs w:val="20"/>
              </w:rPr>
              <w:t>0,6</w:t>
            </w:r>
          </w:p>
        </w:tc>
        <w:tc>
          <w:tcPr>
            <w:tcW w:w="361" w:type="pct"/>
            <w:noWrap/>
            <w:vAlign w:val="bottom"/>
          </w:tcPr>
          <w:p w:rsidR="00000000" w:rsidRDefault="00000000">
            <w:pPr>
              <w:jc w:val="right"/>
              <w:rPr>
                <w:sz w:val="20"/>
                <w:szCs w:val="20"/>
              </w:rPr>
            </w:pPr>
            <w:r>
              <w:rPr>
                <w:sz w:val="20"/>
                <w:szCs w:val="20"/>
              </w:rPr>
              <w:t>0,3</w:t>
            </w:r>
          </w:p>
        </w:tc>
        <w:tc>
          <w:tcPr>
            <w:tcW w:w="361" w:type="pct"/>
            <w:noWrap/>
            <w:vAlign w:val="bottom"/>
          </w:tcPr>
          <w:p w:rsidR="00000000" w:rsidRDefault="00000000">
            <w:pPr>
              <w:jc w:val="right"/>
              <w:rPr>
                <w:sz w:val="20"/>
                <w:szCs w:val="20"/>
              </w:rPr>
            </w:pPr>
            <w:r>
              <w:rPr>
                <w:sz w:val="20"/>
                <w:szCs w:val="20"/>
              </w:rPr>
              <w:t>0,1</w:t>
            </w:r>
          </w:p>
        </w:tc>
        <w:tc>
          <w:tcPr>
            <w:tcW w:w="414" w:type="pct"/>
            <w:noWrap/>
            <w:vAlign w:val="bottom"/>
          </w:tcPr>
          <w:p w:rsidR="00000000" w:rsidRDefault="00000000">
            <w:pPr>
              <w:jc w:val="right"/>
              <w:rPr>
                <w:sz w:val="20"/>
                <w:szCs w:val="20"/>
              </w:rPr>
            </w:pPr>
            <w:r>
              <w:rPr>
                <w:sz w:val="20"/>
                <w:szCs w:val="20"/>
              </w:rPr>
              <w:t>0,7</w:t>
            </w:r>
          </w:p>
        </w:tc>
      </w:tr>
      <w:tr w:rsidR="00000000">
        <w:trPr>
          <w:trHeight w:val="255"/>
        </w:trPr>
        <w:tc>
          <w:tcPr>
            <w:tcW w:w="838" w:type="pct"/>
            <w:noWrap/>
            <w:vAlign w:val="bottom"/>
          </w:tcPr>
          <w:p w:rsidR="00000000" w:rsidRDefault="00000000">
            <w:pPr>
              <w:rPr>
                <w:sz w:val="20"/>
                <w:szCs w:val="20"/>
              </w:rPr>
            </w:pPr>
            <w:r>
              <w:rPr>
                <w:sz w:val="20"/>
                <w:szCs w:val="20"/>
              </w:rPr>
              <w:t>Cedida</w:t>
            </w:r>
          </w:p>
        </w:tc>
        <w:tc>
          <w:tcPr>
            <w:tcW w:w="361" w:type="pct"/>
            <w:noWrap/>
            <w:vAlign w:val="bottom"/>
          </w:tcPr>
          <w:p w:rsidR="00000000" w:rsidRDefault="00000000">
            <w:pPr>
              <w:jc w:val="right"/>
              <w:rPr>
                <w:sz w:val="20"/>
                <w:szCs w:val="20"/>
              </w:rPr>
            </w:pPr>
            <w:r>
              <w:rPr>
                <w:sz w:val="20"/>
                <w:szCs w:val="20"/>
              </w:rPr>
              <w:t>8,3</w:t>
            </w:r>
          </w:p>
        </w:tc>
        <w:tc>
          <w:tcPr>
            <w:tcW w:w="361" w:type="pct"/>
            <w:noWrap/>
            <w:vAlign w:val="bottom"/>
          </w:tcPr>
          <w:p w:rsidR="00000000" w:rsidRDefault="00000000">
            <w:pPr>
              <w:jc w:val="right"/>
              <w:rPr>
                <w:sz w:val="20"/>
                <w:szCs w:val="20"/>
              </w:rPr>
            </w:pPr>
            <w:r>
              <w:rPr>
                <w:sz w:val="20"/>
                <w:szCs w:val="20"/>
              </w:rPr>
              <w:t>7,6</w:t>
            </w:r>
          </w:p>
        </w:tc>
        <w:tc>
          <w:tcPr>
            <w:tcW w:w="362" w:type="pct"/>
            <w:noWrap/>
            <w:vAlign w:val="bottom"/>
          </w:tcPr>
          <w:p w:rsidR="00000000" w:rsidRDefault="00000000">
            <w:pPr>
              <w:jc w:val="right"/>
              <w:rPr>
                <w:sz w:val="20"/>
                <w:szCs w:val="20"/>
              </w:rPr>
            </w:pPr>
            <w:r>
              <w:rPr>
                <w:sz w:val="20"/>
                <w:szCs w:val="20"/>
              </w:rPr>
              <w:t>9,0</w:t>
            </w:r>
          </w:p>
        </w:tc>
        <w:tc>
          <w:tcPr>
            <w:tcW w:w="361" w:type="pct"/>
            <w:noWrap/>
            <w:vAlign w:val="bottom"/>
          </w:tcPr>
          <w:p w:rsidR="00000000" w:rsidRDefault="00000000">
            <w:pPr>
              <w:jc w:val="right"/>
              <w:rPr>
                <w:sz w:val="20"/>
                <w:szCs w:val="20"/>
              </w:rPr>
            </w:pPr>
            <w:r>
              <w:rPr>
                <w:sz w:val="20"/>
                <w:szCs w:val="20"/>
              </w:rPr>
              <w:t>9,6</w:t>
            </w:r>
          </w:p>
        </w:tc>
        <w:tc>
          <w:tcPr>
            <w:tcW w:w="407" w:type="pct"/>
            <w:noWrap/>
            <w:vAlign w:val="bottom"/>
          </w:tcPr>
          <w:p w:rsidR="00000000" w:rsidRDefault="00000000">
            <w:pPr>
              <w:jc w:val="right"/>
              <w:rPr>
                <w:sz w:val="20"/>
                <w:szCs w:val="20"/>
              </w:rPr>
            </w:pPr>
            <w:r>
              <w:rPr>
                <w:sz w:val="20"/>
                <w:szCs w:val="20"/>
              </w:rPr>
              <w:t>9,3</w:t>
            </w:r>
          </w:p>
        </w:tc>
        <w:tc>
          <w:tcPr>
            <w:tcW w:w="406" w:type="pct"/>
            <w:noWrap/>
            <w:vAlign w:val="bottom"/>
          </w:tcPr>
          <w:p w:rsidR="00000000" w:rsidRDefault="00000000">
            <w:pPr>
              <w:jc w:val="right"/>
              <w:rPr>
                <w:sz w:val="20"/>
                <w:szCs w:val="20"/>
              </w:rPr>
            </w:pPr>
            <w:r>
              <w:rPr>
                <w:sz w:val="20"/>
                <w:szCs w:val="20"/>
              </w:rPr>
              <w:t>10,1</w:t>
            </w:r>
          </w:p>
        </w:tc>
        <w:tc>
          <w:tcPr>
            <w:tcW w:w="407" w:type="pct"/>
            <w:noWrap/>
            <w:vAlign w:val="bottom"/>
          </w:tcPr>
          <w:p w:rsidR="00000000" w:rsidRDefault="00000000">
            <w:pPr>
              <w:jc w:val="right"/>
              <w:rPr>
                <w:sz w:val="20"/>
                <w:szCs w:val="20"/>
              </w:rPr>
            </w:pPr>
            <w:r>
              <w:rPr>
                <w:sz w:val="20"/>
                <w:szCs w:val="20"/>
              </w:rPr>
              <w:t>12,6</w:t>
            </w:r>
          </w:p>
        </w:tc>
        <w:tc>
          <w:tcPr>
            <w:tcW w:w="361" w:type="pct"/>
            <w:noWrap/>
            <w:vAlign w:val="bottom"/>
          </w:tcPr>
          <w:p w:rsidR="00000000" w:rsidRDefault="00000000">
            <w:pPr>
              <w:jc w:val="right"/>
              <w:rPr>
                <w:sz w:val="20"/>
                <w:szCs w:val="20"/>
              </w:rPr>
            </w:pPr>
            <w:r>
              <w:rPr>
                <w:sz w:val="20"/>
                <w:szCs w:val="20"/>
              </w:rPr>
              <w:t>12,3</w:t>
            </w:r>
          </w:p>
        </w:tc>
        <w:tc>
          <w:tcPr>
            <w:tcW w:w="361" w:type="pct"/>
            <w:noWrap/>
            <w:vAlign w:val="bottom"/>
          </w:tcPr>
          <w:p w:rsidR="00000000" w:rsidRDefault="00000000">
            <w:pPr>
              <w:jc w:val="right"/>
              <w:rPr>
                <w:sz w:val="20"/>
                <w:szCs w:val="20"/>
              </w:rPr>
            </w:pPr>
            <w:r>
              <w:rPr>
                <w:sz w:val="20"/>
                <w:szCs w:val="20"/>
              </w:rPr>
              <w:t>11,4</w:t>
            </w:r>
          </w:p>
        </w:tc>
        <w:tc>
          <w:tcPr>
            <w:tcW w:w="361" w:type="pct"/>
            <w:noWrap/>
            <w:vAlign w:val="bottom"/>
          </w:tcPr>
          <w:p w:rsidR="00000000" w:rsidRDefault="00000000">
            <w:pPr>
              <w:jc w:val="right"/>
              <w:rPr>
                <w:sz w:val="20"/>
                <w:szCs w:val="20"/>
              </w:rPr>
            </w:pPr>
            <w:r>
              <w:rPr>
                <w:sz w:val="20"/>
                <w:szCs w:val="20"/>
              </w:rPr>
              <w:t>9,9</w:t>
            </w:r>
          </w:p>
        </w:tc>
        <w:tc>
          <w:tcPr>
            <w:tcW w:w="414" w:type="pct"/>
            <w:noWrap/>
            <w:vAlign w:val="bottom"/>
          </w:tcPr>
          <w:p w:rsidR="00000000" w:rsidRDefault="00000000">
            <w:pPr>
              <w:jc w:val="right"/>
              <w:rPr>
                <w:sz w:val="20"/>
                <w:szCs w:val="20"/>
              </w:rPr>
            </w:pPr>
            <w:r>
              <w:rPr>
                <w:sz w:val="20"/>
                <w:szCs w:val="20"/>
              </w:rPr>
              <w:t>13,7</w:t>
            </w:r>
          </w:p>
        </w:tc>
      </w:tr>
      <w:tr w:rsidR="00000000">
        <w:trPr>
          <w:trHeight w:val="270"/>
        </w:trPr>
        <w:tc>
          <w:tcPr>
            <w:tcW w:w="838" w:type="pct"/>
            <w:noWrap/>
            <w:vAlign w:val="bottom"/>
          </w:tcPr>
          <w:p w:rsidR="00000000" w:rsidRDefault="00000000">
            <w:pPr>
              <w:rPr>
                <w:sz w:val="20"/>
                <w:szCs w:val="20"/>
              </w:rPr>
            </w:pPr>
            <w:r>
              <w:rPr>
                <w:sz w:val="20"/>
                <w:szCs w:val="20"/>
              </w:rPr>
              <w:t>Otro</w:t>
            </w:r>
          </w:p>
        </w:tc>
        <w:tc>
          <w:tcPr>
            <w:tcW w:w="361" w:type="pct"/>
            <w:noWrap/>
            <w:vAlign w:val="bottom"/>
          </w:tcPr>
          <w:p w:rsidR="00000000" w:rsidRDefault="00000000">
            <w:pPr>
              <w:jc w:val="right"/>
              <w:rPr>
                <w:sz w:val="20"/>
                <w:szCs w:val="20"/>
              </w:rPr>
            </w:pPr>
            <w:r>
              <w:rPr>
                <w:sz w:val="20"/>
                <w:szCs w:val="20"/>
              </w:rPr>
              <w:t>3,5</w:t>
            </w:r>
          </w:p>
        </w:tc>
        <w:tc>
          <w:tcPr>
            <w:tcW w:w="361" w:type="pct"/>
            <w:noWrap/>
            <w:vAlign w:val="bottom"/>
          </w:tcPr>
          <w:p w:rsidR="00000000" w:rsidRDefault="00000000">
            <w:pPr>
              <w:jc w:val="right"/>
              <w:rPr>
                <w:sz w:val="20"/>
                <w:szCs w:val="20"/>
              </w:rPr>
            </w:pPr>
            <w:r>
              <w:rPr>
                <w:sz w:val="20"/>
                <w:szCs w:val="20"/>
              </w:rPr>
              <w:t>2,5</w:t>
            </w:r>
          </w:p>
        </w:tc>
        <w:tc>
          <w:tcPr>
            <w:tcW w:w="362" w:type="pct"/>
            <w:noWrap/>
            <w:vAlign w:val="bottom"/>
          </w:tcPr>
          <w:p w:rsidR="00000000" w:rsidRDefault="00000000">
            <w:pPr>
              <w:jc w:val="right"/>
              <w:rPr>
                <w:sz w:val="20"/>
                <w:szCs w:val="20"/>
              </w:rPr>
            </w:pPr>
            <w:r>
              <w:rPr>
                <w:sz w:val="20"/>
                <w:szCs w:val="20"/>
              </w:rPr>
              <w:t>4,7</w:t>
            </w:r>
          </w:p>
        </w:tc>
        <w:tc>
          <w:tcPr>
            <w:tcW w:w="361" w:type="pct"/>
            <w:noWrap/>
            <w:vAlign w:val="bottom"/>
          </w:tcPr>
          <w:p w:rsidR="00000000" w:rsidRDefault="00000000">
            <w:pPr>
              <w:jc w:val="right"/>
              <w:rPr>
                <w:sz w:val="20"/>
                <w:szCs w:val="20"/>
              </w:rPr>
            </w:pPr>
            <w:r>
              <w:rPr>
                <w:sz w:val="20"/>
                <w:szCs w:val="20"/>
              </w:rPr>
              <w:t>-</w:t>
            </w:r>
          </w:p>
        </w:tc>
        <w:tc>
          <w:tcPr>
            <w:tcW w:w="407" w:type="pct"/>
            <w:noWrap/>
            <w:vAlign w:val="bottom"/>
          </w:tcPr>
          <w:p w:rsidR="00000000" w:rsidRDefault="00000000">
            <w:pPr>
              <w:jc w:val="right"/>
              <w:rPr>
                <w:sz w:val="20"/>
                <w:szCs w:val="20"/>
              </w:rPr>
            </w:pPr>
            <w:r>
              <w:rPr>
                <w:sz w:val="20"/>
                <w:szCs w:val="20"/>
              </w:rPr>
              <w:t>-</w:t>
            </w:r>
          </w:p>
        </w:tc>
        <w:tc>
          <w:tcPr>
            <w:tcW w:w="406" w:type="pct"/>
            <w:noWrap/>
            <w:vAlign w:val="bottom"/>
          </w:tcPr>
          <w:p w:rsidR="00000000" w:rsidRDefault="00000000">
            <w:pPr>
              <w:jc w:val="right"/>
              <w:rPr>
                <w:sz w:val="20"/>
                <w:szCs w:val="20"/>
              </w:rPr>
            </w:pPr>
            <w:r>
              <w:rPr>
                <w:sz w:val="20"/>
                <w:szCs w:val="20"/>
              </w:rPr>
              <w:t>-</w:t>
            </w:r>
          </w:p>
        </w:tc>
        <w:tc>
          <w:tcPr>
            <w:tcW w:w="407" w:type="pct"/>
            <w:noWrap/>
            <w:vAlign w:val="bottom"/>
          </w:tcPr>
          <w:p w:rsidR="00000000" w:rsidRDefault="00000000">
            <w:pPr>
              <w:jc w:val="right"/>
              <w:rPr>
                <w:sz w:val="20"/>
                <w:szCs w:val="20"/>
              </w:rPr>
            </w:pPr>
            <w:r>
              <w:rPr>
                <w:sz w:val="20"/>
                <w:szCs w:val="20"/>
              </w:rPr>
              <w:t>-</w:t>
            </w:r>
          </w:p>
        </w:tc>
        <w:tc>
          <w:tcPr>
            <w:tcW w:w="361" w:type="pct"/>
            <w:noWrap/>
            <w:vAlign w:val="bottom"/>
          </w:tcPr>
          <w:p w:rsidR="00000000" w:rsidRDefault="00000000">
            <w:pPr>
              <w:jc w:val="right"/>
              <w:rPr>
                <w:sz w:val="20"/>
                <w:szCs w:val="20"/>
              </w:rPr>
            </w:pPr>
            <w:r>
              <w:rPr>
                <w:sz w:val="20"/>
                <w:szCs w:val="20"/>
              </w:rPr>
              <w:t>-</w:t>
            </w:r>
          </w:p>
        </w:tc>
        <w:tc>
          <w:tcPr>
            <w:tcW w:w="361" w:type="pct"/>
            <w:noWrap/>
            <w:vAlign w:val="bottom"/>
          </w:tcPr>
          <w:p w:rsidR="00000000" w:rsidRDefault="00000000">
            <w:pPr>
              <w:jc w:val="right"/>
              <w:rPr>
                <w:sz w:val="20"/>
                <w:szCs w:val="20"/>
              </w:rPr>
            </w:pPr>
            <w:r>
              <w:rPr>
                <w:sz w:val="20"/>
                <w:szCs w:val="20"/>
              </w:rPr>
              <w:t>-</w:t>
            </w:r>
          </w:p>
        </w:tc>
        <w:tc>
          <w:tcPr>
            <w:tcW w:w="361" w:type="pct"/>
            <w:noWrap/>
            <w:vAlign w:val="bottom"/>
          </w:tcPr>
          <w:p w:rsidR="00000000" w:rsidRDefault="00000000">
            <w:pPr>
              <w:jc w:val="right"/>
              <w:rPr>
                <w:sz w:val="20"/>
                <w:szCs w:val="20"/>
              </w:rPr>
            </w:pPr>
            <w:r>
              <w:rPr>
                <w:sz w:val="20"/>
                <w:szCs w:val="20"/>
              </w:rPr>
              <w:t>-</w:t>
            </w:r>
          </w:p>
        </w:tc>
        <w:tc>
          <w:tcPr>
            <w:tcW w:w="414" w:type="pct"/>
            <w:noWrap/>
            <w:vAlign w:val="bottom"/>
          </w:tcPr>
          <w:p w:rsidR="00000000" w:rsidRDefault="00000000">
            <w:pPr>
              <w:jc w:val="right"/>
              <w:rPr>
                <w:sz w:val="20"/>
                <w:szCs w:val="20"/>
              </w:rPr>
            </w:pPr>
            <w:r>
              <w:rPr>
                <w:sz w:val="20"/>
                <w:szCs w:val="20"/>
              </w:rPr>
              <w:t>-</w:t>
            </w:r>
          </w:p>
        </w:tc>
      </w:tr>
      <w:tr w:rsidR="00000000">
        <w:trPr>
          <w:trHeight w:val="270"/>
        </w:trPr>
        <w:tc>
          <w:tcPr>
            <w:tcW w:w="838" w:type="pct"/>
            <w:noWrap/>
            <w:vAlign w:val="bottom"/>
          </w:tcPr>
          <w:p w:rsidR="00000000" w:rsidRDefault="00000000">
            <w:pPr>
              <w:rPr>
                <w:b/>
                <w:bCs/>
                <w:sz w:val="20"/>
                <w:szCs w:val="20"/>
              </w:rPr>
            </w:pPr>
            <w:r>
              <w:rPr>
                <w:b/>
                <w:bCs/>
                <w:sz w:val="20"/>
                <w:szCs w:val="20"/>
              </w:rPr>
              <w:tab/>
              <w:t>Total</w:t>
            </w:r>
          </w:p>
        </w:tc>
        <w:tc>
          <w:tcPr>
            <w:tcW w:w="361" w:type="pct"/>
            <w:noWrap/>
            <w:vAlign w:val="bottom"/>
          </w:tcPr>
          <w:p w:rsidR="00000000" w:rsidRDefault="00000000">
            <w:pPr>
              <w:jc w:val="right"/>
              <w:rPr>
                <w:b/>
                <w:bCs/>
                <w:sz w:val="20"/>
                <w:szCs w:val="20"/>
              </w:rPr>
            </w:pPr>
            <w:r>
              <w:rPr>
                <w:b/>
                <w:bCs/>
                <w:sz w:val="20"/>
                <w:szCs w:val="20"/>
              </w:rPr>
              <w:t>1.000.404</w:t>
            </w:r>
          </w:p>
        </w:tc>
        <w:tc>
          <w:tcPr>
            <w:tcW w:w="361" w:type="pct"/>
            <w:noWrap/>
            <w:vAlign w:val="bottom"/>
          </w:tcPr>
          <w:p w:rsidR="00000000" w:rsidRDefault="00000000">
            <w:pPr>
              <w:jc w:val="right"/>
              <w:rPr>
                <w:b/>
                <w:bCs/>
                <w:sz w:val="20"/>
                <w:szCs w:val="20"/>
              </w:rPr>
            </w:pPr>
            <w:r>
              <w:rPr>
                <w:b/>
                <w:bCs/>
                <w:sz w:val="20"/>
                <w:szCs w:val="20"/>
              </w:rPr>
              <w:t>541.050</w:t>
            </w:r>
          </w:p>
        </w:tc>
        <w:tc>
          <w:tcPr>
            <w:tcW w:w="362" w:type="pct"/>
            <w:noWrap/>
            <w:vAlign w:val="bottom"/>
          </w:tcPr>
          <w:p w:rsidR="00000000" w:rsidRDefault="00000000">
            <w:pPr>
              <w:jc w:val="right"/>
              <w:rPr>
                <w:b/>
                <w:bCs/>
                <w:sz w:val="20"/>
                <w:szCs w:val="20"/>
              </w:rPr>
            </w:pPr>
            <w:r>
              <w:rPr>
                <w:b/>
                <w:bCs/>
                <w:sz w:val="20"/>
                <w:szCs w:val="20"/>
              </w:rPr>
              <w:t>459.354</w:t>
            </w:r>
          </w:p>
        </w:tc>
        <w:tc>
          <w:tcPr>
            <w:tcW w:w="361" w:type="pct"/>
            <w:noWrap/>
            <w:vAlign w:val="bottom"/>
          </w:tcPr>
          <w:p w:rsidR="00000000" w:rsidRDefault="00000000">
            <w:pPr>
              <w:jc w:val="right"/>
              <w:rPr>
                <w:b/>
                <w:bCs/>
                <w:sz w:val="20"/>
                <w:szCs w:val="20"/>
              </w:rPr>
            </w:pPr>
            <w:r>
              <w:rPr>
                <w:b/>
                <w:bCs/>
                <w:sz w:val="20"/>
                <w:szCs w:val="20"/>
              </w:rPr>
              <w:t>1.107.486</w:t>
            </w:r>
          </w:p>
        </w:tc>
        <w:tc>
          <w:tcPr>
            <w:tcW w:w="407" w:type="pct"/>
            <w:noWrap/>
            <w:vAlign w:val="bottom"/>
          </w:tcPr>
          <w:p w:rsidR="00000000" w:rsidRDefault="00000000">
            <w:pPr>
              <w:jc w:val="right"/>
              <w:rPr>
                <w:b/>
                <w:bCs/>
                <w:sz w:val="20"/>
                <w:szCs w:val="20"/>
              </w:rPr>
            </w:pPr>
            <w:r>
              <w:rPr>
                <w:b/>
                <w:bCs/>
                <w:sz w:val="20"/>
                <w:szCs w:val="20"/>
              </w:rPr>
              <w:t>630.864</w:t>
            </w:r>
          </w:p>
        </w:tc>
        <w:tc>
          <w:tcPr>
            <w:tcW w:w="406" w:type="pct"/>
            <w:noWrap/>
            <w:vAlign w:val="bottom"/>
          </w:tcPr>
          <w:p w:rsidR="00000000" w:rsidRDefault="00000000">
            <w:pPr>
              <w:jc w:val="right"/>
              <w:rPr>
                <w:b/>
                <w:bCs/>
                <w:sz w:val="20"/>
                <w:szCs w:val="20"/>
              </w:rPr>
            </w:pPr>
            <w:r>
              <w:rPr>
                <w:b/>
                <w:bCs/>
                <w:sz w:val="20"/>
                <w:szCs w:val="20"/>
              </w:rPr>
              <w:t>476.622</w:t>
            </w:r>
          </w:p>
        </w:tc>
        <w:tc>
          <w:tcPr>
            <w:tcW w:w="407" w:type="pct"/>
            <w:noWrap/>
            <w:vAlign w:val="bottom"/>
          </w:tcPr>
          <w:p w:rsidR="00000000" w:rsidRDefault="00000000">
            <w:pPr>
              <w:jc w:val="right"/>
              <w:rPr>
                <w:b/>
                <w:bCs/>
                <w:sz w:val="20"/>
                <w:szCs w:val="20"/>
              </w:rPr>
            </w:pPr>
            <w:r>
              <w:rPr>
                <w:b/>
                <w:bCs/>
                <w:sz w:val="20"/>
                <w:szCs w:val="20"/>
              </w:rPr>
              <w:t>1.288.717</w:t>
            </w:r>
          </w:p>
        </w:tc>
        <w:tc>
          <w:tcPr>
            <w:tcW w:w="361" w:type="pct"/>
            <w:noWrap/>
            <w:vAlign w:val="bottom"/>
          </w:tcPr>
          <w:p w:rsidR="00000000" w:rsidRDefault="00000000">
            <w:pPr>
              <w:jc w:val="right"/>
              <w:rPr>
                <w:b/>
                <w:bCs/>
                <w:sz w:val="20"/>
                <w:szCs w:val="20"/>
              </w:rPr>
            </w:pPr>
            <w:r>
              <w:rPr>
                <w:b/>
                <w:bCs/>
                <w:sz w:val="20"/>
                <w:szCs w:val="20"/>
              </w:rPr>
              <w:t>765.308</w:t>
            </w:r>
          </w:p>
        </w:tc>
        <w:tc>
          <w:tcPr>
            <w:tcW w:w="361" w:type="pct"/>
            <w:noWrap/>
            <w:vAlign w:val="bottom"/>
          </w:tcPr>
          <w:p w:rsidR="00000000" w:rsidRDefault="00000000">
            <w:pPr>
              <w:jc w:val="right"/>
              <w:rPr>
                <w:b/>
                <w:bCs/>
                <w:sz w:val="20"/>
                <w:szCs w:val="20"/>
              </w:rPr>
            </w:pPr>
            <w:r>
              <w:rPr>
                <w:b/>
                <w:bCs/>
                <w:sz w:val="20"/>
                <w:szCs w:val="20"/>
              </w:rPr>
              <w:t>1.343.713</w:t>
            </w:r>
          </w:p>
        </w:tc>
        <w:tc>
          <w:tcPr>
            <w:tcW w:w="361" w:type="pct"/>
            <w:noWrap/>
            <w:vAlign w:val="bottom"/>
          </w:tcPr>
          <w:p w:rsidR="00000000" w:rsidRDefault="00000000">
            <w:pPr>
              <w:jc w:val="right"/>
              <w:rPr>
                <w:b/>
                <w:bCs/>
                <w:sz w:val="20"/>
                <w:szCs w:val="20"/>
              </w:rPr>
            </w:pPr>
            <w:r>
              <w:rPr>
                <w:b/>
                <w:bCs/>
                <w:sz w:val="20"/>
                <w:szCs w:val="20"/>
              </w:rPr>
              <w:t>813.606</w:t>
            </w:r>
          </w:p>
        </w:tc>
        <w:tc>
          <w:tcPr>
            <w:tcW w:w="414" w:type="pct"/>
            <w:noWrap/>
            <w:vAlign w:val="bottom"/>
          </w:tcPr>
          <w:p w:rsidR="00000000" w:rsidRDefault="00000000">
            <w:pPr>
              <w:jc w:val="right"/>
              <w:rPr>
                <w:b/>
                <w:bCs/>
                <w:sz w:val="20"/>
                <w:szCs w:val="20"/>
              </w:rPr>
            </w:pPr>
            <w:r>
              <w:rPr>
                <w:b/>
                <w:bCs/>
                <w:sz w:val="20"/>
                <w:szCs w:val="20"/>
              </w:rPr>
              <w:t>530.107</w:t>
            </w:r>
          </w:p>
        </w:tc>
      </w:tr>
    </w:tbl>
    <w:p w:rsidR="00000000" w:rsidRDefault="00000000">
      <w:pPr>
        <w:autoSpaceDE w:val="0"/>
        <w:autoSpaceDN w:val="0"/>
        <w:adjustRightInd w:val="0"/>
        <w:spacing w:before="200" w:after="200"/>
        <w:rPr>
          <w:i/>
          <w:iCs/>
          <w:sz w:val="20"/>
          <w:szCs w:val="20"/>
        </w:rPr>
      </w:pPr>
      <w:r>
        <w:rPr>
          <w:i/>
          <w:iCs/>
          <w:sz w:val="20"/>
          <w:szCs w:val="16"/>
        </w:rPr>
        <w:t>Fuente:</w:t>
      </w:r>
      <w:r>
        <w:rPr>
          <w:sz w:val="20"/>
          <w:szCs w:val="16"/>
        </w:rPr>
        <w:t xml:space="preserve">  STP/DGEEC. Encuesta Permanente de Hogares 1995, 1999, 2004, 2005.</w:t>
      </w:r>
    </w:p>
    <w:p w:rsidR="00000000" w:rsidRDefault="00000000">
      <w:pPr>
        <w:autoSpaceDE w:val="0"/>
        <w:autoSpaceDN w:val="0"/>
        <w:adjustRightInd w:val="0"/>
        <w:spacing w:before="200" w:after="200"/>
        <w:rPr>
          <w:sz w:val="20"/>
          <w:szCs w:val="16"/>
        </w:rPr>
      </w:pPr>
      <w:r>
        <w:rPr>
          <w:b/>
          <w:bCs/>
          <w:sz w:val="20"/>
          <w:szCs w:val="16"/>
          <w:vertAlign w:val="superscript"/>
        </w:rPr>
        <w:t>*</w:t>
      </w:r>
      <w:r>
        <w:rPr>
          <w:sz w:val="20"/>
          <w:szCs w:val="16"/>
        </w:rPr>
        <w:t xml:space="preserve"> En la EPH 1995-1999, los datos están ajustados a los resultados del Censo 2002.</w:t>
      </w:r>
    </w:p>
    <w:p w:rsidR="00000000" w:rsidRDefault="00000000">
      <w:pPr>
        <w:autoSpaceDE w:val="0"/>
        <w:autoSpaceDN w:val="0"/>
        <w:adjustRightInd w:val="0"/>
        <w:spacing w:after="240"/>
        <w:rPr>
          <w:bCs/>
        </w:rPr>
      </w:pPr>
    </w:p>
    <w:p w:rsidR="00000000" w:rsidRDefault="00000000">
      <w:pPr>
        <w:autoSpaceDE w:val="0"/>
        <w:autoSpaceDN w:val="0"/>
        <w:adjustRightInd w:val="0"/>
        <w:spacing w:after="240"/>
        <w:rPr>
          <w:bCs/>
        </w:rPr>
      </w:pPr>
    </w:p>
    <w:p w:rsidR="00000000" w:rsidRDefault="00000000">
      <w:pPr>
        <w:autoSpaceDE w:val="0"/>
        <w:autoSpaceDN w:val="0"/>
        <w:adjustRightInd w:val="0"/>
        <w:spacing w:after="240"/>
        <w:rPr>
          <w:bCs/>
        </w:rPr>
        <w:sectPr w:rsidR="00000000">
          <w:headerReference w:type="even" r:id="rId86"/>
          <w:pgSz w:w="16838" w:h="11906" w:orient="landscape" w:code="9"/>
          <w:pgMar w:top="1701" w:right="1701" w:bottom="851" w:left="1985" w:header="851" w:footer="567" w:gutter="0"/>
          <w:cols w:space="708"/>
          <w:docGrid w:linePitch="360"/>
        </w:sectPr>
      </w:pPr>
    </w:p>
    <w:p w:rsidR="00000000" w:rsidRDefault="00000000">
      <w:pPr>
        <w:pStyle w:val="BodyText"/>
        <w:jc w:val="left"/>
        <w:rPr>
          <w:b/>
          <w:iCs/>
        </w:rPr>
      </w:pPr>
      <w:r>
        <w:rPr>
          <w:b/>
          <w:lang w:eastAsia="en-US"/>
        </w:rPr>
        <w:tab/>
        <w:t>3.4.</w:t>
      </w:r>
      <w:r>
        <w:rPr>
          <w:b/>
          <w:lang w:eastAsia="en-US"/>
        </w:rPr>
        <w:tab/>
      </w:r>
      <w:r>
        <w:rPr>
          <w:b/>
          <w:iCs/>
        </w:rPr>
        <w:t>Listado de leyes que regulan la implementación del derecho a la vivienda</w:t>
      </w:r>
    </w:p>
    <w:p w:rsidR="00000000" w:rsidRDefault="00000000">
      <w:pPr>
        <w:autoSpaceDE w:val="0"/>
        <w:autoSpaceDN w:val="0"/>
        <w:adjustRightInd w:val="0"/>
        <w:spacing w:after="240"/>
      </w:pPr>
      <w:r>
        <w:rPr>
          <w:iCs/>
        </w:rPr>
        <w:t>433.</w:t>
      </w:r>
      <w:r>
        <w:rPr>
          <w:iCs/>
        </w:rPr>
        <w:tab/>
        <w:t xml:space="preserve">En primer término, el artículo 100 de la Constitución nacional (1992) establece que:  "Todos los habitantes de la República tienen derecho a una vivienda digna.  El Estado </w:t>
      </w:r>
      <w:r>
        <w:t>establecerá</w:t>
      </w:r>
      <w:r>
        <w:rPr>
          <w:iCs/>
        </w:rPr>
        <w:t xml:space="preserve"> las condiciones para hacer efectivo este derecho y promoverá planes de vivienda de interés social, especialmente las destinadas a familias de escasos recursos, mediante sistemas de financiamiento adecuados".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9"/>
        <w:gridCol w:w="5277"/>
        <w:gridCol w:w="2258"/>
      </w:tblGrid>
      <w:tr w:rsidR="00000000">
        <w:tblPrEx>
          <w:tblCellMar>
            <w:top w:w="0" w:type="dxa"/>
            <w:bottom w:w="0" w:type="dxa"/>
          </w:tblCellMar>
        </w:tblPrEx>
        <w:trPr>
          <w:tblHeader/>
          <w:jc w:val="center"/>
        </w:trPr>
        <w:tc>
          <w:tcPr>
            <w:tcW w:w="1032" w:type="pct"/>
            <w:vAlign w:val="center"/>
          </w:tcPr>
          <w:p w:rsidR="00000000" w:rsidRDefault="00000000">
            <w:pPr>
              <w:pStyle w:val="Heading2"/>
              <w:keepNext w:val="0"/>
              <w:spacing w:before="0" w:after="0"/>
              <w:jc w:val="center"/>
              <w:rPr>
                <w:rFonts w:ascii="Times New Roman" w:hAnsi="Times New Roman" w:cs="Times New Roman"/>
                <w:i w:val="0"/>
                <w:sz w:val="20"/>
                <w:szCs w:val="24"/>
              </w:rPr>
            </w:pPr>
            <w:r>
              <w:rPr>
                <w:rFonts w:ascii="Times New Roman" w:hAnsi="Times New Roman" w:cs="Times New Roman"/>
                <w:i w:val="0"/>
                <w:sz w:val="20"/>
                <w:szCs w:val="24"/>
              </w:rPr>
              <w:t>Decreto o Ley</w:t>
            </w:r>
          </w:p>
        </w:tc>
        <w:tc>
          <w:tcPr>
            <w:tcW w:w="2779" w:type="pct"/>
            <w:vAlign w:val="center"/>
          </w:tcPr>
          <w:p w:rsidR="00000000" w:rsidRDefault="00000000">
            <w:pPr>
              <w:pStyle w:val="Heading2"/>
              <w:keepNext w:val="0"/>
              <w:spacing w:before="0" w:after="0"/>
              <w:jc w:val="center"/>
              <w:rPr>
                <w:rFonts w:ascii="Times New Roman" w:hAnsi="Times New Roman" w:cs="Times New Roman"/>
                <w:i w:val="0"/>
                <w:sz w:val="20"/>
                <w:szCs w:val="24"/>
              </w:rPr>
            </w:pPr>
            <w:r>
              <w:rPr>
                <w:rFonts w:ascii="Times New Roman" w:hAnsi="Times New Roman" w:cs="Times New Roman"/>
                <w:i w:val="0"/>
                <w:sz w:val="20"/>
                <w:szCs w:val="24"/>
              </w:rPr>
              <w:t>Enunciado</w:t>
            </w:r>
          </w:p>
        </w:tc>
        <w:tc>
          <w:tcPr>
            <w:tcW w:w="1189" w:type="pct"/>
            <w:vAlign w:val="center"/>
          </w:tcPr>
          <w:p w:rsidR="00000000" w:rsidRDefault="00000000">
            <w:pPr>
              <w:jc w:val="center"/>
              <w:rPr>
                <w:b/>
                <w:bCs/>
                <w:iCs/>
                <w:sz w:val="20"/>
              </w:rPr>
            </w:pPr>
            <w:r>
              <w:rPr>
                <w:b/>
                <w:bCs/>
                <w:iCs/>
                <w:sz w:val="20"/>
              </w:rPr>
              <w:t>Fecha de promulgación</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970/64</w:t>
            </w:r>
          </w:p>
        </w:tc>
        <w:tc>
          <w:tcPr>
            <w:tcW w:w="2779" w:type="pct"/>
          </w:tcPr>
          <w:p w:rsidR="00000000" w:rsidRDefault="00000000">
            <w:pPr>
              <w:rPr>
                <w:iCs/>
                <w:sz w:val="20"/>
              </w:rPr>
            </w:pPr>
            <w:r>
              <w:rPr>
                <w:iCs/>
                <w:sz w:val="20"/>
              </w:rPr>
              <w:t>Que crea el Instituto Paraguayo de Vivienda y Urbanismo </w:t>
            </w:r>
            <w:r>
              <w:rPr>
                <w:iCs/>
                <w:sz w:val="20"/>
              </w:rPr>
              <w:noBreakHyphen/>
              <w:t> IPVU</w:t>
            </w:r>
          </w:p>
        </w:tc>
        <w:tc>
          <w:tcPr>
            <w:tcW w:w="1189" w:type="pct"/>
          </w:tcPr>
          <w:p w:rsidR="00000000" w:rsidRDefault="00000000">
            <w:pPr>
              <w:rPr>
                <w:iCs/>
                <w:sz w:val="20"/>
              </w:rPr>
            </w:pPr>
            <w:r>
              <w:rPr>
                <w:iCs/>
                <w:sz w:val="20"/>
              </w:rPr>
              <w:t>14 de agosto de 1964</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325/71</w:t>
            </w:r>
          </w:p>
        </w:tc>
        <w:tc>
          <w:tcPr>
            <w:tcW w:w="2779" w:type="pct"/>
          </w:tcPr>
          <w:p w:rsidR="00000000" w:rsidRDefault="00000000">
            <w:pPr>
              <w:rPr>
                <w:iCs/>
                <w:sz w:val="20"/>
              </w:rPr>
            </w:pPr>
            <w:r>
              <w:rPr>
                <w:iCs/>
                <w:sz w:val="20"/>
              </w:rPr>
              <w:t>Que crea el Banco Nacional de la Vivienda - BNV y el Sistema Nacional de Ahorro y Préstamo</w:t>
            </w:r>
          </w:p>
        </w:tc>
        <w:tc>
          <w:tcPr>
            <w:tcW w:w="1189" w:type="pct"/>
          </w:tcPr>
          <w:p w:rsidR="00000000" w:rsidRDefault="00000000">
            <w:pPr>
              <w:rPr>
                <w:iCs/>
                <w:sz w:val="20"/>
              </w:rPr>
            </w:pPr>
            <w:r>
              <w:rPr>
                <w:iCs/>
                <w:sz w:val="20"/>
              </w:rPr>
              <w:t>10 de diciembre de 1971</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 xml:space="preserve">Decreto-ley N° 29721/72 </w:t>
            </w:r>
          </w:p>
        </w:tc>
        <w:tc>
          <w:tcPr>
            <w:tcW w:w="2779" w:type="pct"/>
          </w:tcPr>
          <w:p w:rsidR="00000000" w:rsidRDefault="00000000">
            <w:pPr>
              <w:rPr>
                <w:iCs/>
                <w:sz w:val="20"/>
              </w:rPr>
            </w:pPr>
            <w:r>
              <w:rPr>
                <w:iCs/>
                <w:sz w:val="20"/>
              </w:rPr>
              <w:t>Por el cual se reglamenta la Ley N° 325 del 10 de diciembre de 1971, que crea el BNV</w:t>
            </w:r>
          </w:p>
        </w:tc>
        <w:tc>
          <w:tcPr>
            <w:tcW w:w="1189" w:type="pct"/>
          </w:tcPr>
          <w:p w:rsidR="00000000" w:rsidRDefault="00000000">
            <w:pPr>
              <w:rPr>
                <w:iCs/>
                <w:sz w:val="20"/>
              </w:rPr>
            </w:pPr>
            <w:r>
              <w:rPr>
                <w:iCs/>
                <w:sz w:val="20"/>
              </w:rPr>
              <w:t>15 de diciembre de 1972</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1378/88</w:t>
            </w:r>
          </w:p>
        </w:tc>
        <w:tc>
          <w:tcPr>
            <w:tcW w:w="2779" w:type="pct"/>
          </w:tcPr>
          <w:p w:rsidR="00000000" w:rsidRDefault="00000000">
            <w:pPr>
              <w:rPr>
                <w:iCs/>
                <w:sz w:val="20"/>
              </w:rPr>
            </w:pPr>
            <w:r>
              <w:rPr>
                <w:iCs/>
                <w:sz w:val="20"/>
              </w:rPr>
              <w:t>Que amplía y modifica la Ley N° 325/71, que crea el BNV</w:t>
            </w:r>
          </w:p>
        </w:tc>
        <w:tc>
          <w:tcPr>
            <w:tcW w:w="1189" w:type="pct"/>
          </w:tcPr>
          <w:p w:rsidR="00000000" w:rsidRDefault="00000000">
            <w:pPr>
              <w:rPr>
                <w:iCs/>
                <w:sz w:val="20"/>
              </w:rPr>
            </w:pPr>
            <w:r>
              <w:rPr>
                <w:iCs/>
                <w:sz w:val="20"/>
              </w:rPr>
              <w:t>20 de diciembre de 1988</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Decreto-ley N° 25/89</w:t>
            </w:r>
          </w:p>
        </w:tc>
        <w:tc>
          <w:tcPr>
            <w:tcW w:w="2779" w:type="pct"/>
          </w:tcPr>
          <w:p w:rsidR="00000000" w:rsidRDefault="00000000">
            <w:pPr>
              <w:rPr>
                <w:iCs/>
                <w:sz w:val="20"/>
              </w:rPr>
            </w:pPr>
            <w:r>
              <w:rPr>
                <w:iCs/>
                <w:sz w:val="20"/>
              </w:rPr>
              <w:t>Por el cual se autoriza al BNV a crear el Consejo Nacional de la Vivienda y se amplían y modifican artículos de la Ley N° 1378 de 22 de diciembre de 1988</w:t>
            </w:r>
          </w:p>
        </w:tc>
        <w:tc>
          <w:tcPr>
            <w:tcW w:w="1189" w:type="pct"/>
          </w:tcPr>
          <w:p w:rsidR="00000000" w:rsidRDefault="00000000">
            <w:pPr>
              <w:rPr>
                <w:iCs/>
                <w:sz w:val="20"/>
              </w:rPr>
            </w:pPr>
            <w:r>
              <w:rPr>
                <w:iCs/>
                <w:sz w:val="20"/>
              </w:rPr>
              <w:t>6 de mayo de 1989</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42/89</w:t>
            </w:r>
          </w:p>
        </w:tc>
        <w:tc>
          <w:tcPr>
            <w:tcW w:w="2779" w:type="pct"/>
          </w:tcPr>
          <w:p w:rsidR="00000000" w:rsidRDefault="00000000">
            <w:pPr>
              <w:rPr>
                <w:iCs/>
                <w:sz w:val="20"/>
              </w:rPr>
            </w:pPr>
            <w:r>
              <w:rPr>
                <w:iCs/>
                <w:sz w:val="20"/>
              </w:rPr>
              <w:t>Que aprueba, con modificaciones, el Decreto-ley N° 25 de 6 de mayo de 1989 por el cual se crea el Consejo Nacional de la Vivienda - CONAVI y se amplían y modifican artículos de la Ley N° 1378 de 22 de diciembre de 1988</w:t>
            </w:r>
          </w:p>
        </w:tc>
        <w:tc>
          <w:tcPr>
            <w:tcW w:w="1189" w:type="pct"/>
          </w:tcPr>
          <w:p w:rsidR="00000000" w:rsidRDefault="00000000">
            <w:pPr>
              <w:rPr>
                <w:iCs/>
                <w:sz w:val="20"/>
              </w:rPr>
            </w:pPr>
            <w:r>
              <w:rPr>
                <w:iCs/>
                <w:sz w:val="20"/>
              </w:rPr>
              <w:t>2 de noviembre de 1989</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118/90</w:t>
            </w:r>
          </w:p>
        </w:tc>
        <w:tc>
          <w:tcPr>
            <w:tcW w:w="2779" w:type="pct"/>
          </w:tcPr>
          <w:p w:rsidR="00000000" w:rsidRDefault="00000000">
            <w:pPr>
              <w:rPr>
                <w:iCs/>
                <w:sz w:val="20"/>
              </w:rPr>
            </w:pPr>
            <w:r>
              <w:rPr>
                <w:iCs/>
                <w:sz w:val="20"/>
              </w:rPr>
              <w:t>Que crea la entidad autárquica Consejo Nacional de la Vivienda - CONAVI y establece su Carta Orgánica</w:t>
            </w:r>
          </w:p>
        </w:tc>
        <w:tc>
          <w:tcPr>
            <w:tcW w:w="1189" w:type="pct"/>
          </w:tcPr>
          <w:p w:rsidR="00000000" w:rsidRDefault="00000000">
            <w:pPr>
              <w:rPr>
                <w:iCs/>
                <w:sz w:val="20"/>
              </w:rPr>
            </w:pPr>
            <w:r>
              <w:rPr>
                <w:iCs/>
                <w:sz w:val="20"/>
              </w:rPr>
              <w:t>14 de diciembre de 1990</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Decreto-ley N° 27/92</w:t>
            </w:r>
          </w:p>
        </w:tc>
        <w:tc>
          <w:tcPr>
            <w:tcW w:w="2779" w:type="pct"/>
          </w:tcPr>
          <w:p w:rsidR="00000000" w:rsidRDefault="00000000">
            <w:pPr>
              <w:rPr>
                <w:iCs/>
                <w:sz w:val="20"/>
              </w:rPr>
            </w:pPr>
            <w:r>
              <w:rPr>
                <w:iCs/>
                <w:sz w:val="20"/>
              </w:rPr>
              <w:t>Por el cual se dispone la extinción del IPVU y se modifican, derogan y amplían disposiciones de las Leyes Nos. 325/71 y 118/90</w:t>
            </w:r>
          </w:p>
        </w:tc>
        <w:tc>
          <w:tcPr>
            <w:tcW w:w="1189" w:type="pct"/>
          </w:tcPr>
          <w:p w:rsidR="00000000" w:rsidRDefault="00000000">
            <w:pPr>
              <w:rPr>
                <w:iCs/>
                <w:sz w:val="20"/>
              </w:rPr>
            </w:pPr>
            <w:r>
              <w:rPr>
                <w:iCs/>
                <w:sz w:val="20"/>
              </w:rPr>
              <w:t>24 de marzo de 1992</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79/92</w:t>
            </w:r>
          </w:p>
        </w:tc>
        <w:tc>
          <w:tcPr>
            <w:tcW w:w="2779" w:type="pct"/>
          </w:tcPr>
          <w:p w:rsidR="00000000" w:rsidRDefault="00000000">
            <w:pPr>
              <w:rPr>
                <w:iCs/>
                <w:sz w:val="20"/>
              </w:rPr>
            </w:pPr>
            <w:r>
              <w:rPr>
                <w:iCs/>
                <w:sz w:val="20"/>
              </w:rPr>
              <w:t>Que aprueba con modificaciones el Decreto-ley N° 27 de fecha 24 de marzo de 1992, por el cual se dispone la extinción del IPVU y se modifican, derogan y amplían disposiciones de las Leyes Nos. 325/71 y 118/90</w:t>
            </w:r>
          </w:p>
        </w:tc>
        <w:tc>
          <w:tcPr>
            <w:tcW w:w="1189" w:type="pct"/>
          </w:tcPr>
          <w:p w:rsidR="00000000" w:rsidRDefault="00000000">
            <w:pPr>
              <w:rPr>
                <w:iCs/>
                <w:sz w:val="20"/>
              </w:rPr>
            </w:pPr>
            <w:r>
              <w:rPr>
                <w:iCs/>
                <w:sz w:val="20"/>
              </w:rPr>
              <w:t>3 de septiembre de 1992</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771/95</w:t>
            </w:r>
          </w:p>
        </w:tc>
        <w:tc>
          <w:tcPr>
            <w:tcW w:w="2779" w:type="pct"/>
          </w:tcPr>
          <w:p w:rsidR="00000000" w:rsidRDefault="00000000">
            <w:pPr>
              <w:rPr>
                <w:iCs/>
                <w:sz w:val="20"/>
              </w:rPr>
            </w:pPr>
            <w:r>
              <w:rPr>
                <w:iCs/>
                <w:sz w:val="20"/>
              </w:rPr>
              <w:t>Que modifica la Ley N° 125/92 y exonera de impuestos a las viviendas económicas de interés social y a los préstamos sociales del Banco Nacional de Trabajadores</w:t>
            </w:r>
          </w:p>
        </w:tc>
        <w:tc>
          <w:tcPr>
            <w:tcW w:w="1189" w:type="pct"/>
          </w:tcPr>
          <w:p w:rsidR="00000000" w:rsidRDefault="00000000">
            <w:pPr>
              <w:rPr>
                <w:iCs/>
                <w:sz w:val="20"/>
              </w:rPr>
            </w:pPr>
            <w:r>
              <w:rPr>
                <w:iCs/>
                <w:sz w:val="20"/>
              </w:rPr>
              <w:t>16 de noviembre de 1995</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815/95</w:t>
            </w:r>
          </w:p>
        </w:tc>
        <w:tc>
          <w:tcPr>
            <w:tcW w:w="2779" w:type="pct"/>
          </w:tcPr>
          <w:p w:rsidR="00000000" w:rsidRDefault="00000000">
            <w:pPr>
              <w:rPr>
                <w:iCs/>
                <w:sz w:val="20"/>
              </w:rPr>
            </w:pPr>
            <w:r>
              <w:rPr>
                <w:iCs/>
                <w:sz w:val="20"/>
              </w:rPr>
              <w:t>Que modifica la Ley N° 118/90, así como disposiciones legales vinculadas al Sistema Nacional de Ahorro y Préstamo para la Vivienda y regula el sistema de subsidio habitacional directo para la adquisición, construcción, ampliación o mejora de viviendas económicas y viviendas de interés social</w:t>
            </w:r>
          </w:p>
        </w:tc>
        <w:tc>
          <w:tcPr>
            <w:tcW w:w="1189" w:type="pct"/>
          </w:tcPr>
          <w:p w:rsidR="00000000" w:rsidRDefault="00000000">
            <w:pPr>
              <w:rPr>
                <w:iCs/>
                <w:sz w:val="20"/>
              </w:rPr>
            </w:pPr>
            <w:r>
              <w:rPr>
                <w:iCs/>
                <w:sz w:val="20"/>
              </w:rPr>
              <w:t>14 de diciembre de 1995</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1555/00</w:t>
            </w:r>
          </w:p>
        </w:tc>
        <w:tc>
          <w:tcPr>
            <w:tcW w:w="2779" w:type="pct"/>
          </w:tcPr>
          <w:p w:rsidR="00000000" w:rsidRDefault="00000000">
            <w:pPr>
              <w:rPr>
                <w:iCs/>
                <w:sz w:val="20"/>
              </w:rPr>
            </w:pPr>
            <w:r>
              <w:rPr>
                <w:iCs/>
                <w:sz w:val="20"/>
              </w:rPr>
              <w:t>Que establece normas para determinar precio actual de unidades habitacionales y declara inaplicable el artículo 27 de la Ley N° 118/90</w:t>
            </w:r>
          </w:p>
        </w:tc>
        <w:tc>
          <w:tcPr>
            <w:tcW w:w="1189" w:type="pct"/>
          </w:tcPr>
          <w:p w:rsidR="00000000" w:rsidRDefault="00000000">
            <w:pPr>
              <w:rPr>
                <w:iCs/>
                <w:sz w:val="20"/>
              </w:rPr>
            </w:pPr>
            <w:r>
              <w:rPr>
                <w:iCs/>
                <w:sz w:val="20"/>
              </w:rPr>
              <w:t>4 de mayo de 2000</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1741/01</w:t>
            </w:r>
          </w:p>
        </w:tc>
        <w:tc>
          <w:tcPr>
            <w:tcW w:w="2779" w:type="pct"/>
          </w:tcPr>
          <w:p w:rsidR="00000000" w:rsidRDefault="00000000">
            <w:pPr>
              <w:rPr>
                <w:iCs/>
                <w:sz w:val="20"/>
              </w:rPr>
            </w:pPr>
            <w:r>
              <w:rPr>
                <w:iCs/>
                <w:sz w:val="20"/>
              </w:rPr>
              <w:t>Que reestructura la deuda contraída por los prestatarios del sistema nacional de la vivienda.</w:t>
            </w:r>
          </w:p>
        </w:tc>
        <w:tc>
          <w:tcPr>
            <w:tcW w:w="1189" w:type="pct"/>
          </w:tcPr>
          <w:p w:rsidR="00000000" w:rsidRDefault="00000000">
            <w:pPr>
              <w:rPr>
                <w:iCs/>
                <w:sz w:val="20"/>
              </w:rPr>
            </w:pPr>
            <w:r>
              <w:rPr>
                <w:iCs/>
                <w:sz w:val="20"/>
              </w:rPr>
              <w:t>10 de julio de 2001</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1920/02</w:t>
            </w:r>
          </w:p>
        </w:tc>
        <w:tc>
          <w:tcPr>
            <w:tcW w:w="2779" w:type="pct"/>
          </w:tcPr>
          <w:p w:rsidR="00000000" w:rsidRDefault="00000000">
            <w:pPr>
              <w:rPr>
                <w:iCs/>
                <w:sz w:val="20"/>
              </w:rPr>
            </w:pPr>
            <w:r>
              <w:rPr>
                <w:iCs/>
                <w:sz w:val="20"/>
              </w:rPr>
              <w:t>Que amplía la Ley N° 1555/20, que establece normas para determinar precio actual de unidades habitacionales y declara inaplicable el artículo 27 de la Ley N° 118/90.</w:t>
            </w:r>
          </w:p>
        </w:tc>
        <w:tc>
          <w:tcPr>
            <w:tcW w:w="1189" w:type="pct"/>
          </w:tcPr>
          <w:p w:rsidR="00000000" w:rsidRDefault="00000000">
            <w:pPr>
              <w:rPr>
                <w:iCs/>
                <w:sz w:val="20"/>
              </w:rPr>
            </w:pPr>
            <w:r>
              <w:rPr>
                <w:iCs/>
                <w:sz w:val="20"/>
              </w:rPr>
              <w:t>23 de mayo de 2002</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1896/02</w:t>
            </w:r>
          </w:p>
        </w:tc>
        <w:tc>
          <w:tcPr>
            <w:tcW w:w="2779" w:type="pct"/>
          </w:tcPr>
          <w:p w:rsidR="00000000" w:rsidRDefault="00000000">
            <w:pPr>
              <w:rPr>
                <w:iCs/>
                <w:sz w:val="20"/>
              </w:rPr>
            </w:pPr>
            <w:r>
              <w:rPr>
                <w:iCs/>
                <w:sz w:val="20"/>
              </w:rPr>
              <w:t>Que amplía las funciones de las sociedades de ahorro y préstamo para la vivienda y modifica y deroga artículos de la Ley N° 325/71 que crea el BNV y el Sistema Nacional de Ahorro y Préstamo y otras leyes conexas</w:t>
            </w:r>
          </w:p>
        </w:tc>
        <w:tc>
          <w:tcPr>
            <w:tcW w:w="1189" w:type="pct"/>
          </w:tcPr>
          <w:p w:rsidR="00000000" w:rsidRDefault="00000000">
            <w:pPr>
              <w:rPr>
                <w:iCs/>
                <w:sz w:val="20"/>
              </w:rPr>
            </w:pPr>
            <w:r>
              <w:rPr>
                <w:iCs/>
                <w:sz w:val="20"/>
              </w:rPr>
              <w:t>22 de mayo de 2002</w:t>
            </w:r>
          </w:p>
        </w:tc>
      </w:tr>
      <w:tr w:rsidR="00000000">
        <w:tblPrEx>
          <w:tblCellMar>
            <w:top w:w="0" w:type="dxa"/>
            <w:bottom w:w="0" w:type="dxa"/>
          </w:tblCellMar>
        </w:tblPrEx>
        <w:trPr>
          <w:jc w:val="center"/>
        </w:trPr>
        <w:tc>
          <w:tcPr>
            <w:tcW w:w="1032" w:type="pct"/>
          </w:tcPr>
          <w:p w:rsidR="00000000" w:rsidRDefault="00000000">
            <w:pPr>
              <w:keepNext/>
              <w:keepLines/>
              <w:rPr>
                <w:iCs/>
                <w:sz w:val="20"/>
              </w:rPr>
            </w:pPr>
            <w:r>
              <w:rPr>
                <w:iCs/>
                <w:sz w:val="20"/>
              </w:rPr>
              <w:t>Ley N° 2026/02</w:t>
            </w:r>
          </w:p>
        </w:tc>
        <w:tc>
          <w:tcPr>
            <w:tcW w:w="2779" w:type="pct"/>
          </w:tcPr>
          <w:p w:rsidR="00000000" w:rsidRDefault="00000000">
            <w:pPr>
              <w:keepNext/>
              <w:keepLines/>
              <w:rPr>
                <w:iCs/>
                <w:sz w:val="20"/>
              </w:rPr>
            </w:pPr>
            <w:r>
              <w:rPr>
                <w:iCs/>
                <w:sz w:val="20"/>
              </w:rPr>
              <w:t>Que establece normas complementarias de ampliación de la Ley N° 1741/01, que reestructura la deuda contraída por prestatarios del sistema nacional de la vivienda</w:t>
            </w:r>
          </w:p>
        </w:tc>
        <w:tc>
          <w:tcPr>
            <w:tcW w:w="1189" w:type="pct"/>
          </w:tcPr>
          <w:p w:rsidR="00000000" w:rsidRDefault="00000000">
            <w:pPr>
              <w:keepNext/>
              <w:keepLines/>
              <w:rPr>
                <w:iCs/>
                <w:sz w:val="20"/>
              </w:rPr>
            </w:pPr>
            <w:r>
              <w:rPr>
                <w:iCs/>
                <w:sz w:val="20"/>
              </w:rPr>
              <w:t>21 de noviembre de 2002</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2199/03</w:t>
            </w:r>
          </w:p>
        </w:tc>
        <w:tc>
          <w:tcPr>
            <w:tcW w:w="2779" w:type="pct"/>
          </w:tcPr>
          <w:p w:rsidR="00000000" w:rsidRDefault="00000000">
            <w:pPr>
              <w:rPr>
                <w:iCs/>
                <w:sz w:val="20"/>
              </w:rPr>
            </w:pPr>
            <w:r>
              <w:rPr>
                <w:iCs/>
                <w:sz w:val="20"/>
              </w:rPr>
              <w:t>Que dispone la reorganización de los órganos colegiados encargados de la dirección de empresas y entidades del Estado paraguayo</w:t>
            </w:r>
          </w:p>
        </w:tc>
        <w:tc>
          <w:tcPr>
            <w:tcW w:w="1189" w:type="pct"/>
          </w:tcPr>
          <w:p w:rsidR="00000000" w:rsidRDefault="00000000">
            <w:pPr>
              <w:rPr>
                <w:iCs/>
                <w:sz w:val="20"/>
                <w:lang w:val="es-ES_tradnl"/>
              </w:rPr>
            </w:pPr>
            <w:r>
              <w:rPr>
                <w:iCs/>
                <w:sz w:val="20"/>
                <w:lang w:val="es-ES_tradnl"/>
              </w:rPr>
              <w:t>8 de septiembre de 2003</w:t>
            </w:r>
          </w:p>
        </w:tc>
      </w:tr>
      <w:tr w:rsidR="00000000">
        <w:tblPrEx>
          <w:tblCellMar>
            <w:top w:w="0" w:type="dxa"/>
            <w:bottom w:w="0" w:type="dxa"/>
          </w:tblCellMar>
        </w:tblPrEx>
        <w:trPr>
          <w:jc w:val="center"/>
        </w:trPr>
        <w:tc>
          <w:tcPr>
            <w:tcW w:w="1032" w:type="pct"/>
          </w:tcPr>
          <w:p w:rsidR="00000000" w:rsidRDefault="00000000">
            <w:pPr>
              <w:rPr>
                <w:iCs/>
                <w:sz w:val="20"/>
                <w:lang w:val="es-ES_tradnl"/>
              </w:rPr>
            </w:pPr>
            <w:r>
              <w:rPr>
                <w:iCs/>
                <w:sz w:val="20"/>
                <w:lang w:val="es-ES_tradnl"/>
              </w:rPr>
              <w:t>Ley N° 2329/03</w:t>
            </w:r>
          </w:p>
        </w:tc>
        <w:tc>
          <w:tcPr>
            <w:tcW w:w="2779" w:type="pct"/>
          </w:tcPr>
          <w:p w:rsidR="00000000" w:rsidRDefault="00000000">
            <w:pPr>
              <w:rPr>
                <w:iCs/>
                <w:sz w:val="20"/>
              </w:rPr>
            </w:pPr>
            <w:r>
              <w:rPr>
                <w:iCs/>
                <w:sz w:val="20"/>
              </w:rPr>
              <w:t>Que establece el marco de administración de las cooperativas de vivienda y el fondo para viviendas cooperativas</w:t>
            </w:r>
          </w:p>
        </w:tc>
        <w:tc>
          <w:tcPr>
            <w:tcW w:w="1189" w:type="pct"/>
          </w:tcPr>
          <w:p w:rsidR="00000000" w:rsidRDefault="00000000">
            <w:pPr>
              <w:rPr>
                <w:iCs/>
                <w:sz w:val="20"/>
              </w:rPr>
            </w:pPr>
            <w:r>
              <w:rPr>
                <w:iCs/>
                <w:sz w:val="20"/>
              </w:rPr>
              <w:t>19 de agosto de 2003</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2253/03</w:t>
            </w:r>
          </w:p>
        </w:tc>
        <w:tc>
          <w:tcPr>
            <w:tcW w:w="2779" w:type="pct"/>
          </w:tcPr>
          <w:p w:rsidR="00000000" w:rsidRDefault="00000000">
            <w:pPr>
              <w:rPr>
                <w:iCs/>
                <w:sz w:val="20"/>
              </w:rPr>
            </w:pPr>
            <w:r>
              <w:rPr>
                <w:iCs/>
                <w:sz w:val="20"/>
              </w:rPr>
              <w:t>Que amplía el plazo previsto en el artículo 1° de la Ley N° 2084/03 para la aplicación y cumplimiento de la Ley N° 1555/00</w:t>
            </w:r>
          </w:p>
        </w:tc>
        <w:tc>
          <w:tcPr>
            <w:tcW w:w="1189" w:type="pct"/>
          </w:tcPr>
          <w:p w:rsidR="00000000" w:rsidRDefault="00000000">
            <w:pPr>
              <w:rPr>
                <w:iCs/>
                <w:sz w:val="20"/>
                <w:lang w:val="es-ES_tradnl"/>
              </w:rPr>
            </w:pPr>
            <w:r>
              <w:rPr>
                <w:iCs/>
                <w:sz w:val="20"/>
                <w:lang w:val="es-ES_tradnl"/>
              </w:rPr>
              <w:t>13 de octubre de 2003</w:t>
            </w:r>
          </w:p>
        </w:tc>
      </w:tr>
      <w:tr w:rsidR="00000000">
        <w:tblPrEx>
          <w:tblCellMar>
            <w:top w:w="0" w:type="dxa"/>
            <w:bottom w:w="0" w:type="dxa"/>
          </w:tblCellMar>
        </w:tblPrEx>
        <w:trPr>
          <w:jc w:val="center"/>
        </w:trPr>
        <w:tc>
          <w:tcPr>
            <w:tcW w:w="1032" w:type="pct"/>
          </w:tcPr>
          <w:p w:rsidR="00000000" w:rsidRDefault="00000000">
            <w:pPr>
              <w:rPr>
                <w:iCs/>
                <w:sz w:val="20"/>
                <w:lang w:val="es-ES_tradnl"/>
              </w:rPr>
            </w:pPr>
            <w:r>
              <w:rPr>
                <w:iCs/>
                <w:sz w:val="20"/>
                <w:lang w:val="es-ES_tradnl"/>
              </w:rPr>
              <w:t>Ley N° 2637/05</w:t>
            </w:r>
          </w:p>
        </w:tc>
        <w:tc>
          <w:tcPr>
            <w:tcW w:w="2779" w:type="pct"/>
          </w:tcPr>
          <w:p w:rsidR="00000000" w:rsidRDefault="00000000">
            <w:pPr>
              <w:rPr>
                <w:iCs/>
                <w:sz w:val="20"/>
              </w:rPr>
            </w:pPr>
            <w:r>
              <w:rPr>
                <w:iCs/>
                <w:sz w:val="20"/>
              </w:rPr>
              <w:t>Que autoriza al CONAVI/BNV a implementar un sistema de asistencia social y determina nuevo régimen de reestructuración de créditos hipotecarios comprendidos en las Leyes Nos. 1741/01 y 2026/02</w:t>
            </w:r>
          </w:p>
        </w:tc>
        <w:tc>
          <w:tcPr>
            <w:tcW w:w="1189" w:type="pct"/>
          </w:tcPr>
          <w:p w:rsidR="00000000" w:rsidRDefault="00000000">
            <w:pPr>
              <w:rPr>
                <w:iCs/>
                <w:sz w:val="20"/>
              </w:rPr>
            </w:pPr>
            <w:r>
              <w:rPr>
                <w:iCs/>
                <w:sz w:val="20"/>
              </w:rPr>
              <w:t>7 de julio de 2005</w:t>
            </w:r>
          </w:p>
        </w:tc>
      </w:tr>
      <w:tr w:rsidR="00000000">
        <w:tblPrEx>
          <w:tblCellMar>
            <w:top w:w="0" w:type="dxa"/>
            <w:bottom w:w="0" w:type="dxa"/>
          </w:tblCellMar>
        </w:tblPrEx>
        <w:trPr>
          <w:jc w:val="center"/>
        </w:trPr>
        <w:tc>
          <w:tcPr>
            <w:tcW w:w="1032" w:type="pct"/>
          </w:tcPr>
          <w:p w:rsidR="00000000" w:rsidRDefault="00000000">
            <w:pPr>
              <w:rPr>
                <w:iCs/>
                <w:sz w:val="20"/>
              </w:rPr>
            </w:pPr>
            <w:r>
              <w:rPr>
                <w:iCs/>
                <w:sz w:val="20"/>
              </w:rPr>
              <w:t>Ley N° 2640/05</w:t>
            </w:r>
          </w:p>
        </w:tc>
        <w:tc>
          <w:tcPr>
            <w:tcW w:w="2779" w:type="pct"/>
          </w:tcPr>
          <w:p w:rsidR="00000000" w:rsidRDefault="00000000">
            <w:pPr>
              <w:rPr>
                <w:iCs/>
                <w:spacing w:val="-2"/>
                <w:sz w:val="20"/>
              </w:rPr>
            </w:pPr>
            <w:r>
              <w:rPr>
                <w:iCs/>
                <w:spacing w:val="-2"/>
                <w:sz w:val="20"/>
              </w:rPr>
              <w:t>Que crea la Agencia Financiera de Desarrollo (en el artículo 22 del capítulo II, extingue el Banco Nacional de la Vivienda)</w:t>
            </w:r>
          </w:p>
        </w:tc>
        <w:tc>
          <w:tcPr>
            <w:tcW w:w="1189" w:type="pct"/>
          </w:tcPr>
          <w:p w:rsidR="00000000" w:rsidRDefault="00000000">
            <w:pPr>
              <w:rPr>
                <w:iCs/>
                <w:sz w:val="20"/>
              </w:rPr>
            </w:pPr>
            <w:r>
              <w:rPr>
                <w:iCs/>
                <w:sz w:val="20"/>
              </w:rPr>
              <w:t>21 de julio de 2005</w:t>
            </w:r>
          </w:p>
        </w:tc>
      </w:tr>
    </w:tbl>
    <w:p w:rsidR="00000000" w:rsidRDefault="00000000">
      <w:pPr>
        <w:autoSpaceDE w:val="0"/>
        <w:autoSpaceDN w:val="0"/>
        <w:adjustRightInd w:val="0"/>
        <w:spacing w:before="480" w:after="240"/>
      </w:pPr>
      <w:r>
        <w:t>434.</w:t>
      </w:r>
      <w:r>
        <w:tab/>
        <w:t>Ningún proyecto legislativo de reforma en el Paraguay impide el pleno derecho a la vivienda.</w:t>
      </w:r>
    </w:p>
    <w:p w:rsidR="00000000" w:rsidRDefault="00000000">
      <w:pPr>
        <w:spacing w:after="240"/>
        <w:rPr>
          <w:b/>
        </w:rPr>
      </w:pPr>
      <w:r>
        <w:rPr>
          <w:b/>
        </w:rPr>
        <w:tab/>
        <w:t>3.5.</w:t>
      </w:r>
      <w:r>
        <w:rPr>
          <w:b/>
        </w:rPr>
        <w:tab/>
        <w:t>Legislación en cuanto a la especulación sobre la vivienda y a la propiedad</w:t>
      </w:r>
    </w:p>
    <w:p w:rsidR="00000000" w:rsidRDefault="00000000">
      <w:pPr>
        <w:autoSpaceDE w:val="0"/>
        <w:autoSpaceDN w:val="0"/>
        <w:adjustRightInd w:val="0"/>
        <w:spacing w:after="240"/>
      </w:pPr>
      <w:r>
        <w:t>435.</w:t>
      </w:r>
      <w:r>
        <w:tab/>
        <w:t xml:space="preserve">El Código Civil del Paraguay, prevé el "bien de familia" que se define como:  Es el que se constituye sobre un inmueble y sobre los muebles indispensables del hogar y son inembargables.  Esta institución favorece a los cónyuges; al concubino, varón o mujer; a los hijos biológicos o adoptivos menores de edad y a los incapaces mayores de edad; los padres y otros ascendientes mayores de 60 años; a los hermanos menores o discapacitados. </w:t>
      </w:r>
    </w:p>
    <w:p w:rsidR="00000000" w:rsidRDefault="00000000">
      <w:pPr>
        <w:spacing w:after="240"/>
        <w:rPr>
          <w:b/>
        </w:rPr>
      </w:pPr>
      <w:r>
        <w:rPr>
          <w:b/>
        </w:rPr>
        <w:tab/>
        <w:t>3.6.</w:t>
      </w:r>
      <w:r>
        <w:rPr>
          <w:b/>
        </w:rPr>
        <w:tab/>
        <w:t>Regularización de viviendas ilegales</w:t>
      </w:r>
    </w:p>
    <w:p w:rsidR="00000000" w:rsidRDefault="00000000">
      <w:pPr>
        <w:autoSpaceDE w:val="0"/>
        <w:autoSpaceDN w:val="0"/>
        <w:adjustRightInd w:val="0"/>
        <w:spacing w:after="240"/>
      </w:pPr>
      <w:r>
        <w:t>436.</w:t>
      </w:r>
      <w:r>
        <w:tab/>
        <w:t>Desde 1995 existe el Programa de Regularización de Asentamientos en Municipios del Departamento Central - PRAM que se creó, por resolución del Ministerio del Interior N° 11177 del año 1995, a raíz de una solicitud de las familias sin techo, nucleadas en la Coordinación Nacional de Organizaciones Populares (CONOP).  En el año 2000, por Decreto N° 8497/00, deroga la resolución anterior y faculta al CONAVI para implementar el programa.  El objetivo del PRAM es dotar de un lote de tierra a cada familia de escasos recursos económicos, que viven en forma permanente en los asentamientos humanos organizados.  La mayoría de los jefes de familia beneficiarios de este programa son trabajadores informales sin ingresos permanentes.  El programa prevé la compra de terrenos libres por parte del Estado para su posterior venta, a precios bajos, financiados a largos plazos y con cuotas accesibles, para evitar así nuevas ocupaciones de propiedades privadas.</w:t>
      </w:r>
    </w:p>
    <w:p w:rsidR="00000000" w:rsidRDefault="00000000">
      <w:pPr>
        <w:autoSpaceDE w:val="0"/>
        <w:autoSpaceDN w:val="0"/>
        <w:adjustRightInd w:val="0"/>
        <w:spacing w:after="240"/>
      </w:pPr>
      <w:r>
        <w:rPr>
          <w:iCs/>
        </w:rPr>
        <w:t>437.</w:t>
      </w:r>
      <w:r>
        <w:rPr>
          <w:iCs/>
        </w:rPr>
        <w:tab/>
        <w:t xml:space="preserve">Así también, el 26 de noviembre de 2003, el poder ejecutivo, por Decreto N° 1038, derogó el decreto mediante el cual se </w:t>
      </w:r>
      <w:r>
        <w:t>encargaba</w:t>
      </w:r>
      <w:r>
        <w:rPr>
          <w:iCs/>
        </w:rPr>
        <w:t xml:space="preserve"> el PRAM al CONAVI y autorizó a la Secretaría de </w:t>
      </w:r>
      <w:r>
        <w:t>Acción</w:t>
      </w:r>
      <w:r>
        <w:rPr>
          <w:iCs/>
        </w:rPr>
        <w:t xml:space="preserve"> Social (SAS) a proseguir la implementación.  En el tiempo en que el PRAM era ejecutado desde el CONAVI, fueron beneficiadas alrededor de 1.500 familias.</w:t>
      </w:r>
    </w:p>
    <w:p w:rsidR="00000000" w:rsidRDefault="00000000">
      <w:pPr>
        <w:keepNext/>
        <w:keepLines/>
        <w:autoSpaceDE w:val="0"/>
        <w:autoSpaceDN w:val="0"/>
        <w:adjustRightInd w:val="0"/>
        <w:spacing w:after="240"/>
      </w:pPr>
      <w:r>
        <w:rPr>
          <w:b/>
        </w:rPr>
        <w:t>4.</w:t>
      </w:r>
      <w:r>
        <w:rPr>
          <w:b/>
        </w:rPr>
        <w:tab/>
        <w:t xml:space="preserve">Ambiente Sano </w:t>
      </w:r>
    </w:p>
    <w:p w:rsidR="00000000" w:rsidRDefault="00000000">
      <w:pPr>
        <w:keepNext/>
        <w:keepLines/>
        <w:autoSpaceDE w:val="0"/>
        <w:autoSpaceDN w:val="0"/>
        <w:adjustRightInd w:val="0"/>
        <w:spacing w:after="240"/>
      </w:pPr>
      <w:r>
        <w:t>438.</w:t>
      </w:r>
      <w:r>
        <w:tab/>
        <w:t>La Secretaría del Ambiente, institución creada por Ley Nº 1561/00, adquiere el carácter de autoridad de aplicación de varias leyes medioambientales.  Entre ellas se encuentra la Ley Nº 294/93, de evaluación de impacto ambiental, su modificación, mediante Ley Nº 345/94, y su decreto reglamentario.</w:t>
      </w:r>
    </w:p>
    <w:p w:rsidR="00000000" w:rsidRDefault="00000000">
      <w:pPr>
        <w:autoSpaceDE w:val="0"/>
        <w:autoSpaceDN w:val="0"/>
        <w:adjustRightInd w:val="0"/>
        <w:spacing w:after="240"/>
      </w:pPr>
      <w:r>
        <w:t>439.</w:t>
      </w:r>
      <w:r>
        <w:tab/>
        <w:t>Es importante destacar que el derecho a un ambiente saludable tiene carácter constitucional, según lo estipula el artículo 7 de la misma.  De igual manera, en el artículo 8 del citado cuerpo legal se sientan las directrices para la protección ambiental.  Asimismo, en el artículo 38 de la Constitución nacional, está previsto el derecho a la defensa de los intereses difusos, así:  "toda persona tiene derecho, individual o colectivamente, a reclamar a las autoridades públicas medidas para la defensa del ambiente, de la integridad del hábitat, de la salubridad pública, del acervo cultural nacional, de los intereses del consumidor y de otros que, por su naturaleza jurídica, pertenezcan a la comunidad y hagan relación con la calidad de vida y con el patrimonio colectivo".</w:t>
      </w:r>
    </w:p>
    <w:p w:rsidR="00000000" w:rsidRDefault="00000000">
      <w:pPr>
        <w:autoSpaceDE w:val="0"/>
        <w:autoSpaceDN w:val="0"/>
        <w:adjustRightInd w:val="0"/>
        <w:spacing w:after="240"/>
        <w:rPr>
          <w:lang w:val="es-ES_tradnl"/>
        </w:rPr>
      </w:pPr>
      <w:r>
        <w:t>440.</w:t>
      </w:r>
      <w:r>
        <w:tab/>
        <w:t>Conforme a la Ley Nº 294/93, s</w:t>
      </w:r>
      <w:r>
        <w:rPr>
          <w:lang w:val="es-ES_tradnl"/>
        </w:rPr>
        <w:t xml:space="preserve">e define impacto ambiental como toda modificación del medio ambiente provocada por obras o actividades humanas que tengan, como consecuencia positiva o negativa, </w:t>
      </w:r>
      <w:r>
        <w:t>directa</w:t>
      </w:r>
      <w:r>
        <w:rPr>
          <w:lang w:val="es-ES_tradnl"/>
        </w:rPr>
        <w:t xml:space="preserve"> o indirecta, afectar la vida en general, la biodiversidad, la calidad o una cantidad significativa de los recursos naturales o ambientales y su aprovechamiento, el bienestar, la salud, la seguridad personal, los hábitos y costumbres, el patrimonio cultural o los medios de vida legítimos.  El estudio científico que permita identificar, prever y estimar impactos ambientales, en toda obra o actividad proyectada o en ejecución, según los artículos 1 y 2.</w:t>
      </w:r>
    </w:p>
    <w:p w:rsidR="00000000" w:rsidRDefault="00000000">
      <w:pPr>
        <w:autoSpaceDE w:val="0"/>
        <w:autoSpaceDN w:val="0"/>
        <w:adjustRightInd w:val="0"/>
        <w:spacing w:after="240"/>
      </w:pPr>
      <w:r>
        <w:rPr>
          <w:lang w:val="es-ES_tradnl"/>
        </w:rPr>
        <w:t>441.</w:t>
      </w:r>
      <w:r>
        <w:rPr>
          <w:lang w:val="es-ES_tradnl"/>
        </w:rPr>
        <w:tab/>
        <w:t>La Ley Nº 352/</w:t>
      </w:r>
      <w:r>
        <w:t>94</w:t>
      </w:r>
      <w:r>
        <w:rPr>
          <w:lang w:val="es-ES_tradnl"/>
        </w:rPr>
        <w:t xml:space="preserve"> de áreas silvestres protegidas. </w:t>
      </w:r>
      <w:r>
        <w:t xml:space="preserve"> La presente ley tiene por objeto fijar normas generales por las cuales se regulará el manejo y la administración del sistema nacional de áreas silvestres protegidas del país, para lo cual contará con un plan estratégico.</w:t>
      </w:r>
    </w:p>
    <w:p w:rsidR="00000000" w:rsidRDefault="00000000">
      <w:pPr>
        <w:autoSpaceDE w:val="0"/>
        <w:autoSpaceDN w:val="0"/>
        <w:adjustRightInd w:val="0"/>
        <w:spacing w:after="240"/>
      </w:pPr>
      <w:r>
        <w:t>442.</w:t>
      </w:r>
      <w:r>
        <w:tab/>
        <w:t>Se declara de interés social y de utilidad pública el sistema nacional de áreas silvestres protegidas, que será regulado por la presente ley y sus reglamentos.  Todos los habitantes, las organizaciones privadas e instituciones del Estado tienen la obligación de salvaguardar las áreas silvestres protegidas.</w:t>
      </w:r>
    </w:p>
    <w:p w:rsidR="00000000" w:rsidRDefault="00000000">
      <w:pPr>
        <w:autoSpaceDE w:val="0"/>
        <w:autoSpaceDN w:val="0"/>
        <w:adjustRightInd w:val="0"/>
        <w:spacing w:after="240"/>
      </w:pPr>
      <w:r>
        <w:t>443.</w:t>
      </w:r>
      <w:r>
        <w:tab/>
        <w:t>Conforme a la Ley Nº 352/94, se define "zona de amortiguamiento" la región adyacente a todo el perímetro del área silvestre protegida.  Ésta será de tamaño variable y sus límites serán determinados por el plan de manejo del área silvestre protegida en cuestión.  Es en esta zona donde se expresa la solidaridad, el beneficio mutuo y la responsabilidad compartida necesaria, entre la administración del área silvestre protegida y las comunidades, los individuos, las organizaciones privadas y gubernamentales para el manejo y consolidación del área silvestre protegida involucrada y el desarrollo socioeconómico sustentable.  Por ser la zona de amortiguamiento de amplio espectro jurisdiccional y sectorial, la administración del área silvestre protegida se limita a promover, incentivar y participar, en la medida de sus capacidades técnicas y financieras, en el desarrollo sustentable de la zona por medio de la educación socioambiental de la misma.</w:t>
      </w:r>
    </w:p>
    <w:p w:rsidR="00000000" w:rsidRDefault="00000000">
      <w:pPr>
        <w:autoSpaceDE w:val="0"/>
        <w:autoSpaceDN w:val="0"/>
        <w:adjustRightInd w:val="0"/>
        <w:spacing w:after="240"/>
      </w:pPr>
      <w:r>
        <w:t>444.</w:t>
      </w:r>
      <w:r>
        <w:tab/>
        <w:t>La Ley Nº 2425/24 de prohibición en la región oriental de las actividades de transformación y conversión de superficies con cobertura de bosques.  Es objetivo de esta ley propiciar la protección, recuperación y el mejoramiento del bosque nativo en dicha región, para que en un marco de desarrollo sostenible el bosque cumpla con sus funciones ambientales, sociales y económicas, contribuyendo al mejoramiento de la calidad de vida de los habitantes del país.</w:t>
      </w:r>
    </w:p>
    <w:p w:rsidR="00000000" w:rsidRDefault="00000000">
      <w:pPr>
        <w:autoSpaceDE w:val="0"/>
        <w:autoSpaceDN w:val="0"/>
        <w:adjustRightInd w:val="0"/>
        <w:spacing w:after="240"/>
      </w:pPr>
      <w:r>
        <w:t>445.</w:t>
      </w:r>
      <w:r>
        <w:tab/>
        <w:t>La Secretaría del Ambiente, según el artículo 15 de la Ley Nº 1561/00, ejerce autoridad en los asuntos que conciernan a su ámbito de competencia y en coordinación con las demás autoridades competentes en algunas leyes como la Ley Nº 836/80, del Código Sanitario.</w:t>
      </w:r>
    </w:p>
    <w:p w:rsidR="00000000" w:rsidRDefault="00000000">
      <w:pPr>
        <w:autoSpaceDE w:val="0"/>
        <w:autoSpaceDN w:val="0"/>
        <w:adjustRightInd w:val="0"/>
        <w:spacing w:after="240"/>
      </w:pPr>
      <w:r>
        <w:t>446.</w:t>
      </w:r>
      <w:r>
        <w:tab/>
        <w:t>Este Código regula las funciones del Estado en lo relativo al cuidado integral de la salud del pueblo y los derechos y obligaciones de las personas en la materia.  El sector salud estará integrado por todas las instituciones, públicas y privadas, que tengan relación con la salud de la población por su acción directa o indirecta.  El Ministerio de Salud Pública y Bienestar Social es la más alta dependencia del Estado competente en materia de salud y aspectos fundamentales del bienestar social.  También, la autoridad de salud será ejercida por el Ministro de Salud Pública y Bienestar Social, con la responsabilidad y atribuciones de cumplir y hacer cumplir las disposiciones previstas en este Código y su reglamentación, según los artículos 1, 2, 3 y 4 de la Ley Nº 836/80.</w:t>
      </w:r>
    </w:p>
    <w:p w:rsidR="00000000" w:rsidRDefault="00000000">
      <w:pPr>
        <w:autoSpaceDE w:val="0"/>
        <w:autoSpaceDN w:val="0"/>
        <w:adjustRightInd w:val="0"/>
        <w:spacing w:after="240"/>
      </w:pPr>
      <w:r>
        <w:tab/>
      </w:r>
      <w:r>
        <w:rPr>
          <w:b/>
          <w:bCs/>
        </w:rPr>
        <w:t>4.1.</w:t>
      </w:r>
      <w:r>
        <w:rPr>
          <w:b/>
          <w:bCs/>
        </w:rPr>
        <w:tab/>
        <w:t>Medidas tomadas en el período 1994-2000</w:t>
      </w:r>
    </w:p>
    <w:p w:rsidR="00000000" w:rsidRDefault="00000000">
      <w:pPr>
        <w:autoSpaceDE w:val="0"/>
        <w:autoSpaceDN w:val="0"/>
        <w:adjustRightInd w:val="0"/>
        <w:spacing w:after="240"/>
      </w:pPr>
      <w:r>
        <w:t>447.</w:t>
      </w:r>
      <w:r>
        <w:tab/>
        <w:t>En este período no existía una institución gubernamental con rango ministerial encargada de la salud ambiental; esta gestión estaba dispersa en dos ministerios, el de Salud Publica y Bienestar Social -mediante el Servicio Nacional de Salud Ambiental y el Ministerio de Agricultura y Ganadería- a través de la Subsecretaría de Estado de Recursos Naturales y Medio Ambiente.  El Ministerio de Salud Pública y Bienestar Social había creado unidades ambientales y de salud ocupacional; además de crearse e introducirse comisiones de carácter ambiental vinculadas al poder legislativo y a los poderes locales.</w:t>
      </w:r>
    </w:p>
    <w:p w:rsidR="00000000" w:rsidRDefault="00000000">
      <w:pPr>
        <w:autoSpaceDE w:val="0"/>
        <w:autoSpaceDN w:val="0"/>
        <w:adjustRightInd w:val="0"/>
        <w:spacing w:after="240"/>
      </w:pPr>
      <w:r>
        <w:t>448.</w:t>
      </w:r>
      <w:r>
        <w:tab/>
        <w:t xml:space="preserve">La Dirección General de Servicio Nacional de Saneamiento Ambiental (SENASA), creada por la Ley Nº 369/72, organismo técnico que es, además, la autoridad administrativa del Código Sanitario, cumple las funciones de ejecución y supervisión de programas de saneamiento ambiental relacionados con la provisión de agua potable, disposición de residuos sólidos, control de alimentos, higiene y seguridad ocupacional, desagüe en zonas rurales y urbanas con un alcance de hasta 4.000 habitantes. </w:t>
      </w:r>
    </w:p>
    <w:p w:rsidR="00000000" w:rsidRDefault="00000000">
      <w:pPr>
        <w:autoSpaceDE w:val="0"/>
        <w:autoSpaceDN w:val="0"/>
        <w:adjustRightInd w:val="0"/>
        <w:spacing w:after="240"/>
      </w:pPr>
      <w:r>
        <w:rPr>
          <w:b/>
          <w:bCs/>
        </w:rPr>
        <w:tab/>
        <w:t>4.2.</w:t>
      </w:r>
      <w:r>
        <w:rPr>
          <w:b/>
          <w:bCs/>
        </w:rPr>
        <w:tab/>
        <w:t>Sistema Nacional del Ambiente</w:t>
      </w:r>
    </w:p>
    <w:p w:rsidR="00000000" w:rsidRDefault="00000000">
      <w:pPr>
        <w:autoSpaceDE w:val="0"/>
        <w:autoSpaceDN w:val="0"/>
        <w:adjustRightInd w:val="0"/>
        <w:spacing w:after="240"/>
      </w:pPr>
      <w:r>
        <w:t>449.</w:t>
      </w:r>
      <w:r>
        <w:tab/>
        <w:t>Se realizó un adelanto en la legislación ambiental, lo cual se ha dado con la promulgación de numerosas leyes ambientales en los últimos cinco años.  El problema más generalizado fue la falta de algunas leyes, la reglamentación de otras que ya estaban en vigencia y el cumplimiento de las mismas.  Los conflictos y dificultades de interpretación en la aplicación de las leyes que se detectaron en contados casos se debieron  fundamentalmente a que no había derogación expresa de normas anteriores y no estaba claro qué disposición debía ser aplicada en un problema específico.  Esto generó numerosas dificultades en la aplicación de la normativa ambiental ya que por lo general las nuevas leyes no derogaban  expresamente la legislación precedente.</w:t>
      </w:r>
    </w:p>
    <w:p w:rsidR="00000000" w:rsidRDefault="00000000">
      <w:pPr>
        <w:autoSpaceDE w:val="0"/>
        <w:autoSpaceDN w:val="0"/>
        <w:adjustRightInd w:val="0"/>
        <w:spacing w:after="240"/>
      </w:pPr>
      <w:r>
        <w:t>450.</w:t>
      </w:r>
      <w:r>
        <w:tab/>
        <w:t>De modo a corregir estas falencias, el 29 de mayo de 2000, fue aprobada la Ley Nº 1561/00 que crea el Sistema Nacional del Ambiente, el Consejo Nacional del Ambiente y la Secretaría del Ambiente.  Esta ley tiene por objeto crear y regular el funcionamiento de los organismos responsables de la elaboración, normalización, coordinación, ejecución y fiscalización de la política y gestión ambiental nacional.  Asimismo, el Sistema Nacional del Ambiente (SISNAM), integrado por el conjunto de órganos y entidades públicas de los gobiernos nacional, departamental y municipal, con competencia ambiental; y las entidades privadas creadas con igual objeto, a los efectos de actuar en forma conjunta, armónica y ordenada en la búsqueda de respuesta y soluciones a la problemática ambiental.  Asimismo, para evitar conflictos interinstitucionales, vacíos o superposiciones de competencia, y para responder con eficiencia y eficacia a los objetivos de la política ambiental.</w:t>
      </w:r>
    </w:p>
    <w:p w:rsidR="00000000" w:rsidRDefault="00000000">
      <w:pPr>
        <w:autoSpaceDE w:val="0"/>
        <w:autoSpaceDN w:val="0"/>
        <w:adjustRightInd w:val="0"/>
        <w:spacing w:after="240"/>
      </w:pPr>
      <w:r>
        <w:t>451.</w:t>
      </w:r>
      <w:r>
        <w:tab/>
        <w:t>El Consejo Nacional del Ambiente (CONAM), órgano colegiado, de carácter interinstitucional, actúa como instancia deliberativa, consultiva y definidora de la política ambiental nacional.  Está integrado por el Secretario Ejecutivo de la Secretaría del Ambiente, quien será su Presidente; los representantes de las unidades ambientales de los ministerios, secretarías y órganos públicos sectoriales; por las secretarías y departamentos ambientales de los gobiernos departamentales y de los municipales; y los representantes de las entidades gremiales, así también de los sectores productivos privados y de las organizaciones ambientales no gubernamentales sin fines de lucro.</w:t>
      </w:r>
    </w:p>
    <w:p w:rsidR="00000000" w:rsidRDefault="00000000">
      <w:pPr>
        <w:autoSpaceDE w:val="0"/>
        <w:autoSpaceDN w:val="0"/>
        <w:adjustRightInd w:val="0"/>
        <w:spacing w:after="240"/>
      </w:pPr>
      <w:r>
        <w:t>452.</w:t>
      </w:r>
      <w:r>
        <w:tab/>
        <w:t>La Secretaría del Ambiente (SEAM), como institución autónoma, autárquica, con personería jurídica de derecho público, patrimonio propio y duración indefinida.  Depende del Presidente de la República.  Se regirá por las disposiciones de esta ley y los decretos reglamentarios que se dicten al efecto.  Por otro lado, tiene como objetivo la formulación, coordinación, ejecución y fiscalización de la política ambiental nacional.</w:t>
      </w:r>
    </w:p>
    <w:p w:rsidR="00000000" w:rsidRDefault="00000000">
      <w:pPr>
        <w:autoSpaceDE w:val="0"/>
        <w:autoSpaceDN w:val="0"/>
        <w:adjustRightInd w:val="0"/>
        <w:spacing w:after="240"/>
      </w:pPr>
      <w:r>
        <w:t>453.</w:t>
      </w:r>
      <w:r>
        <w:tab/>
        <w:t>Por último, cabe destacar que existe una nueva Política Ambiental Nacional, aprobada por resolución Nº 04/05, el 31 de mayo de 2005, que la conforman el conjunto de objetivos, principios, criterios y orientaciones generales para la protección del ambiente de una sociedad, con el fin de garantizar la sostenibilidad ambiental del desarrollo para las generaciones actuales y futuras y establece los criterios de transversalidad que orientarán las políticas sectoriales.</w:t>
      </w:r>
    </w:p>
    <w:p w:rsidR="00000000" w:rsidRDefault="00000000">
      <w:pPr>
        <w:autoSpaceDE w:val="0"/>
        <w:autoSpaceDN w:val="0"/>
        <w:adjustRightInd w:val="0"/>
        <w:spacing w:after="240"/>
      </w:pPr>
      <w:r>
        <w:t>454.</w:t>
      </w:r>
      <w:r>
        <w:tab/>
        <w:t>Con respecto a las medidas adoptadas y las actividades específicas realizadas por la Secretaría del Ambiente y que guardan relación con la vigencia del presente artículo, véase el anexo VI "Informes Anuales de la Secretaría del Ambiente 2001-2005".</w:t>
      </w:r>
    </w:p>
    <w:p w:rsidR="00000000" w:rsidRDefault="00000000">
      <w:pPr>
        <w:autoSpaceDE w:val="0"/>
        <w:autoSpaceDN w:val="0"/>
        <w:adjustRightInd w:val="0"/>
        <w:spacing w:after="240"/>
        <w:rPr>
          <w:b/>
          <w:bCs/>
        </w:rPr>
      </w:pPr>
      <w:r>
        <w:rPr>
          <w:b/>
          <w:bCs/>
        </w:rPr>
        <w:t>Artículo 12</w:t>
      </w:r>
    </w:p>
    <w:p w:rsidR="00000000" w:rsidRDefault="00000000">
      <w:pPr>
        <w:autoSpaceDE w:val="0"/>
        <w:autoSpaceDN w:val="0"/>
        <w:adjustRightInd w:val="0"/>
        <w:spacing w:after="240"/>
        <w:jc w:val="center"/>
      </w:pPr>
      <w:r>
        <w:rPr>
          <w:b/>
          <w:bCs/>
        </w:rPr>
        <w:t>A.  Situación general de la salud</w:t>
      </w:r>
    </w:p>
    <w:p w:rsidR="00000000" w:rsidRDefault="00000000">
      <w:pPr>
        <w:autoSpaceDE w:val="0"/>
        <w:autoSpaceDN w:val="0"/>
        <w:adjustRightInd w:val="0"/>
        <w:spacing w:after="240"/>
      </w:pPr>
      <w:r>
        <w:t>455.</w:t>
      </w:r>
      <w:r>
        <w:tab/>
        <w:t>En el Paraguay las cinco primeras causas de morbilidad están relacionadas al ambiente y a las condiciones de vida de la población.  Son ellas:  IRA, diarreas, parasitosis intestinal y anemias.  Los casos de diarreas en niños menores de 1 año siguen siendo las causas más frecuentes de enfermedad seguido de las afecciones del aparato respiratorio, la desnutrición.  Entre los menores de 5 años las principales enfermedades son las originadas en el período perinatal, entre ellas las afecciones intestinales y las respiratorias agudas.  Las bajas coberturas de alcantarillado sanitario explican en gran medida la alta prevalecida de enfermedades que son prevenibles.</w:t>
      </w:r>
    </w:p>
    <w:p w:rsidR="00000000" w:rsidRDefault="00000000">
      <w:pPr>
        <w:autoSpaceDE w:val="0"/>
        <w:autoSpaceDN w:val="0"/>
        <w:adjustRightInd w:val="0"/>
        <w:spacing w:after="150"/>
        <w:jc w:val="center"/>
        <w:rPr>
          <w:b/>
          <w:bCs/>
          <w:sz w:val="15"/>
        </w:rPr>
      </w:pPr>
      <w:r>
        <w:rPr>
          <w:b/>
          <w:bCs/>
          <w:sz w:val="15"/>
        </w:rPr>
        <w:t>Principales enfermedades registradas en los servicios del M.S.P. y B.S.</w:t>
      </w:r>
    </w:p>
    <w:p w:rsidR="00000000" w:rsidRDefault="00000000">
      <w:pPr>
        <w:autoSpaceDE w:val="0"/>
        <w:autoSpaceDN w:val="0"/>
        <w:adjustRightInd w:val="0"/>
        <w:spacing w:after="150"/>
        <w:jc w:val="center"/>
        <w:rPr>
          <w:sz w:val="16"/>
        </w:rPr>
      </w:pPr>
      <w:r>
        <w:rPr>
          <w:b/>
          <w:bCs/>
          <w:sz w:val="15"/>
        </w:rPr>
        <w:t>Morbilidad de consultorio externo s/enfermedades por años 1995-2005</w:t>
      </w:r>
    </w:p>
    <w:tbl>
      <w:tblPr>
        <w:tblW w:w="5034" w:type="pct"/>
        <w:jc w:val="center"/>
        <w:tblCellMar>
          <w:left w:w="45" w:type="dxa"/>
          <w:right w:w="45" w:type="dxa"/>
        </w:tblCellMar>
        <w:tblLook w:val="0000" w:firstRow="0" w:lastRow="0" w:firstColumn="0" w:lastColumn="0" w:noHBand="0" w:noVBand="0"/>
      </w:tblPr>
      <w:tblGrid>
        <w:gridCol w:w="2298"/>
        <w:gridCol w:w="863"/>
        <w:gridCol w:w="859"/>
        <w:gridCol w:w="831"/>
        <w:gridCol w:w="859"/>
        <w:gridCol w:w="873"/>
        <w:gridCol w:w="922"/>
        <w:gridCol w:w="857"/>
        <w:gridCol w:w="883"/>
        <w:gridCol w:w="885"/>
        <w:gridCol w:w="884"/>
        <w:gridCol w:w="884"/>
      </w:tblGrid>
      <w:tr w:rsidR="00000000">
        <w:trPr>
          <w:trHeight w:val="20"/>
          <w:jc w:val="center"/>
        </w:trPr>
        <w:tc>
          <w:tcPr>
            <w:tcW w:w="1220"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szCs w:val="22"/>
              </w:rPr>
            </w:pPr>
            <w:r>
              <w:rPr>
                <w:b/>
                <w:bCs/>
                <w:color w:val="000000"/>
                <w:sz w:val="15"/>
                <w:szCs w:val="22"/>
              </w:rPr>
              <w:t>Enfermedades</w:t>
            </w:r>
          </w:p>
        </w:tc>
        <w:tc>
          <w:tcPr>
            <w:tcW w:w="338"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1995</w:t>
            </w:r>
          </w:p>
        </w:tc>
        <w:tc>
          <w:tcPr>
            <w:tcW w:w="336"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1996</w:t>
            </w:r>
          </w:p>
        </w:tc>
        <w:tc>
          <w:tcPr>
            <w:tcW w:w="326"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1997</w:t>
            </w:r>
          </w:p>
        </w:tc>
        <w:tc>
          <w:tcPr>
            <w:tcW w:w="336"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1998</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1999</w:t>
            </w:r>
          </w:p>
        </w:tc>
        <w:tc>
          <w:tcPr>
            <w:tcW w:w="368"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2000</w:t>
            </w:r>
          </w:p>
        </w:tc>
        <w:tc>
          <w:tcPr>
            <w:tcW w:w="335"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2001</w:t>
            </w:r>
          </w:p>
        </w:tc>
        <w:tc>
          <w:tcPr>
            <w:tcW w:w="348"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2002</w:t>
            </w:r>
          </w:p>
        </w:tc>
        <w:tc>
          <w:tcPr>
            <w:tcW w:w="350"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2003</w:t>
            </w:r>
          </w:p>
        </w:tc>
        <w:tc>
          <w:tcPr>
            <w:tcW w:w="349"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2004</w:t>
            </w:r>
          </w:p>
        </w:tc>
        <w:tc>
          <w:tcPr>
            <w:tcW w:w="349" w:type="pc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jc w:val="center"/>
              <w:rPr>
                <w:b/>
                <w:bCs/>
                <w:color w:val="000000"/>
                <w:sz w:val="15"/>
              </w:rPr>
            </w:pPr>
            <w:r>
              <w:rPr>
                <w:b/>
                <w:bCs/>
                <w:color w:val="000000"/>
                <w:sz w:val="15"/>
              </w:rPr>
              <w:t>2005</w:t>
            </w:r>
          </w:p>
        </w:tc>
      </w:tr>
      <w:tr w:rsidR="00000000">
        <w:trPr>
          <w:trHeight w:val="20"/>
          <w:jc w:val="center"/>
        </w:trPr>
        <w:tc>
          <w:tcPr>
            <w:tcW w:w="1220"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1.</w:t>
            </w:r>
            <w:r>
              <w:rPr>
                <w:color w:val="000000"/>
                <w:sz w:val="15"/>
                <w:szCs w:val="20"/>
              </w:rPr>
              <w:tab/>
              <w:t>Ira (No Neu, Neu, Neu grav.)</w:t>
            </w:r>
          </w:p>
        </w:tc>
        <w:tc>
          <w:tcPr>
            <w:tcW w:w="338" w:type="pct"/>
            <w:tcBorders>
              <w:top w:val="single" w:sz="4" w:space="0" w:color="auto"/>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225.311</w:t>
            </w:r>
          </w:p>
        </w:tc>
        <w:tc>
          <w:tcPr>
            <w:tcW w:w="336"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236.125</w:t>
            </w:r>
          </w:p>
        </w:tc>
        <w:tc>
          <w:tcPr>
            <w:tcW w:w="326"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238.316</w:t>
            </w:r>
          </w:p>
        </w:tc>
        <w:tc>
          <w:tcPr>
            <w:tcW w:w="336"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251.110</w:t>
            </w:r>
          </w:p>
        </w:tc>
        <w:tc>
          <w:tcPr>
            <w:tcW w:w="343"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256.241</w:t>
            </w:r>
          </w:p>
        </w:tc>
        <w:tc>
          <w:tcPr>
            <w:tcW w:w="368"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207.711</w:t>
            </w:r>
          </w:p>
        </w:tc>
        <w:tc>
          <w:tcPr>
            <w:tcW w:w="335"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243.503</w:t>
            </w:r>
          </w:p>
        </w:tc>
        <w:tc>
          <w:tcPr>
            <w:tcW w:w="348"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243.458</w:t>
            </w:r>
          </w:p>
        </w:tc>
        <w:tc>
          <w:tcPr>
            <w:tcW w:w="350"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274.579</w:t>
            </w:r>
          </w:p>
        </w:tc>
        <w:tc>
          <w:tcPr>
            <w:tcW w:w="349"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327.317</w:t>
            </w:r>
          </w:p>
        </w:tc>
        <w:tc>
          <w:tcPr>
            <w:tcW w:w="349" w:type="pct"/>
            <w:tcBorders>
              <w:top w:val="single" w:sz="4" w:space="0" w:color="auto"/>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350.859</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2.</w:t>
            </w:r>
            <w:r>
              <w:rPr>
                <w:color w:val="000000"/>
                <w:sz w:val="15"/>
                <w:szCs w:val="20"/>
              </w:rPr>
              <w:tab/>
              <w:t>Parasitosis intestinal</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64.755</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54.589</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59.583</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58.011</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67.102</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50.320</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49.485</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44.620</w:t>
            </w:r>
          </w:p>
        </w:tc>
        <w:tc>
          <w:tcPr>
            <w:tcW w:w="350" w:type="pct"/>
            <w:tcBorders>
              <w:top w:val="nil"/>
              <w:left w:val="nil"/>
              <w:bottom w:val="single" w:sz="4" w:space="0" w:color="auto"/>
              <w:right w:val="single" w:sz="4" w:space="0" w:color="auto"/>
            </w:tcBorders>
            <w:noWrap/>
            <w:vAlign w:val="bottom"/>
          </w:tcPr>
          <w:p w:rsidR="00000000" w:rsidRDefault="00000000">
            <w:pPr>
              <w:spacing w:before="20" w:after="20"/>
              <w:jc w:val="center"/>
              <w:rPr>
                <w:color w:val="000000"/>
                <w:sz w:val="15"/>
                <w:szCs w:val="16"/>
              </w:rPr>
            </w:pPr>
            <w:r>
              <w:rPr>
                <w:color w:val="000000"/>
                <w:sz w:val="15"/>
                <w:szCs w:val="16"/>
              </w:rPr>
              <w:t>*</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45.166</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57.135</w:t>
            </w:r>
          </w:p>
        </w:tc>
      </w:tr>
      <w:tr w:rsidR="00000000">
        <w:trPr>
          <w:trHeight w:val="20"/>
          <w:jc w:val="center"/>
        </w:trPr>
        <w:tc>
          <w:tcPr>
            <w:tcW w:w="1220" w:type="pct"/>
            <w:tcBorders>
              <w:top w:val="nil"/>
              <w:left w:val="single" w:sz="4" w:space="0" w:color="auto"/>
              <w:bottom w:val="single" w:sz="4" w:space="0" w:color="auto"/>
              <w:right w:val="single" w:sz="4" w:space="0" w:color="auto"/>
            </w:tcBorders>
            <w:shd w:val="clear" w:color="auto" w:fill="FFFFFF"/>
            <w:noWrap/>
            <w:vAlign w:val="bottom"/>
          </w:tcPr>
          <w:p w:rsidR="00000000" w:rsidRDefault="00000000">
            <w:pPr>
              <w:tabs>
                <w:tab w:val="left" w:pos="275"/>
              </w:tabs>
              <w:spacing w:before="20" w:after="20"/>
              <w:rPr>
                <w:color w:val="000000"/>
                <w:sz w:val="15"/>
                <w:szCs w:val="20"/>
              </w:rPr>
            </w:pPr>
            <w:r>
              <w:rPr>
                <w:color w:val="000000"/>
                <w:sz w:val="15"/>
                <w:szCs w:val="20"/>
              </w:rPr>
              <w:t>3.</w:t>
            </w:r>
            <w:r>
              <w:rPr>
                <w:color w:val="000000"/>
                <w:sz w:val="15"/>
                <w:szCs w:val="20"/>
              </w:rPr>
              <w:tab/>
              <w:t>Diarrea (con/sin deshidratación)</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42.880</w:t>
            </w:r>
          </w:p>
        </w:tc>
        <w:tc>
          <w:tcPr>
            <w:tcW w:w="336"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22"/>
              </w:tabs>
              <w:spacing w:before="20" w:after="20"/>
              <w:ind w:right="-16"/>
              <w:rPr>
                <w:color w:val="000000"/>
                <w:sz w:val="15"/>
                <w:szCs w:val="16"/>
              </w:rPr>
            </w:pPr>
            <w:r>
              <w:rPr>
                <w:color w:val="000000"/>
                <w:sz w:val="15"/>
                <w:szCs w:val="16"/>
              </w:rPr>
              <w:t>43.240</w:t>
            </w:r>
          </w:p>
        </w:tc>
        <w:tc>
          <w:tcPr>
            <w:tcW w:w="326"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20"/>
              </w:tabs>
              <w:spacing w:before="20" w:after="20"/>
              <w:ind w:right="-42"/>
              <w:rPr>
                <w:color w:val="000000"/>
                <w:sz w:val="15"/>
                <w:szCs w:val="16"/>
              </w:rPr>
            </w:pPr>
            <w:r>
              <w:rPr>
                <w:color w:val="000000"/>
                <w:sz w:val="15"/>
                <w:szCs w:val="16"/>
              </w:rPr>
              <w:t>41.798</w:t>
            </w:r>
          </w:p>
        </w:tc>
        <w:tc>
          <w:tcPr>
            <w:tcW w:w="336"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32"/>
              </w:tabs>
              <w:spacing w:before="20" w:after="20"/>
              <w:ind w:right="-26"/>
              <w:rPr>
                <w:color w:val="000000"/>
                <w:sz w:val="15"/>
                <w:szCs w:val="16"/>
              </w:rPr>
            </w:pPr>
            <w:r>
              <w:rPr>
                <w:color w:val="000000"/>
                <w:sz w:val="15"/>
                <w:szCs w:val="16"/>
              </w:rPr>
              <w:t>40.861</w:t>
            </w:r>
          </w:p>
        </w:tc>
        <w:tc>
          <w:tcPr>
            <w:tcW w:w="343"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20"/>
              </w:tabs>
              <w:spacing w:before="20" w:after="20"/>
              <w:rPr>
                <w:color w:val="000000"/>
                <w:sz w:val="15"/>
                <w:szCs w:val="16"/>
              </w:rPr>
            </w:pPr>
            <w:r>
              <w:rPr>
                <w:color w:val="000000"/>
                <w:sz w:val="15"/>
                <w:szCs w:val="16"/>
              </w:rPr>
              <w:t>41.450</w:t>
            </w:r>
          </w:p>
        </w:tc>
        <w:tc>
          <w:tcPr>
            <w:tcW w:w="368"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69"/>
              </w:tabs>
              <w:spacing w:before="20" w:after="20"/>
              <w:rPr>
                <w:color w:val="000000"/>
                <w:sz w:val="15"/>
                <w:szCs w:val="16"/>
              </w:rPr>
            </w:pPr>
            <w:r>
              <w:rPr>
                <w:color w:val="000000"/>
                <w:sz w:val="15"/>
                <w:szCs w:val="16"/>
              </w:rPr>
              <w:t>45.006</w:t>
            </w:r>
          </w:p>
        </w:tc>
        <w:tc>
          <w:tcPr>
            <w:tcW w:w="335"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04"/>
              </w:tabs>
              <w:spacing w:before="20" w:after="20"/>
              <w:rPr>
                <w:color w:val="000000"/>
                <w:sz w:val="15"/>
                <w:szCs w:val="16"/>
              </w:rPr>
            </w:pPr>
            <w:r>
              <w:rPr>
                <w:color w:val="000000"/>
                <w:sz w:val="15"/>
                <w:szCs w:val="16"/>
              </w:rPr>
              <w:t>41.504</w:t>
            </w:r>
          </w:p>
        </w:tc>
        <w:tc>
          <w:tcPr>
            <w:tcW w:w="348"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30"/>
              </w:tabs>
              <w:spacing w:before="20" w:after="20"/>
              <w:rPr>
                <w:color w:val="000000"/>
                <w:sz w:val="15"/>
                <w:szCs w:val="16"/>
              </w:rPr>
            </w:pPr>
            <w:r>
              <w:rPr>
                <w:color w:val="000000"/>
                <w:sz w:val="15"/>
                <w:szCs w:val="16"/>
              </w:rPr>
              <w:t>50.303</w:t>
            </w:r>
          </w:p>
        </w:tc>
        <w:tc>
          <w:tcPr>
            <w:tcW w:w="350"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32"/>
              </w:tabs>
              <w:spacing w:before="20" w:after="20"/>
              <w:rPr>
                <w:color w:val="000000"/>
                <w:sz w:val="15"/>
                <w:szCs w:val="16"/>
              </w:rPr>
            </w:pPr>
            <w:r>
              <w:rPr>
                <w:color w:val="000000"/>
                <w:sz w:val="15"/>
                <w:szCs w:val="16"/>
              </w:rPr>
              <w:t>54.538</w:t>
            </w:r>
          </w:p>
        </w:tc>
        <w:tc>
          <w:tcPr>
            <w:tcW w:w="349"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31"/>
              </w:tabs>
              <w:spacing w:before="20" w:after="20"/>
              <w:rPr>
                <w:color w:val="000000"/>
                <w:sz w:val="15"/>
                <w:szCs w:val="16"/>
              </w:rPr>
            </w:pPr>
            <w:r>
              <w:rPr>
                <w:color w:val="000000"/>
                <w:sz w:val="15"/>
                <w:szCs w:val="16"/>
              </w:rPr>
              <w:t>54.455</w:t>
            </w:r>
          </w:p>
        </w:tc>
        <w:tc>
          <w:tcPr>
            <w:tcW w:w="349" w:type="pct"/>
            <w:tcBorders>
              <w:top w:val="nil"/>
              <w:left w:val="nil"/>
              <w:bottom w:val="single" w:sz="4" w:space="0" w:color="auto"/>
              <w:right w:val="single" w:sz="4" w:space="0" w:color="auto"/>
            </w:tcBorders>
            <w:shd w:val="clear" w:color="auto" w:fill="FFFFFF"/>
            <w:noWrap/>
            <w:vAlign w:val="bottom"/>
          </w:tcPr>
          <w:p w:rsidR="00000000" w:rsidRDefault="00000000">
            <w:pPr>
              <w:tabs>
                <w:tab w:val="decimal" w:pos="531"/>
              </w:tabs>
              <w:spacing w:before="20" w:after="20"/>
              <w:rPr>
                <w:color w:val="000000"/>
                <w:sz w:val="15"/>
                <w:szCs w:val="16"/>
              </w:rPr>
            </w:pPr>
            <w:r>
              <w:rPr>
                <w:color w:val="000000"/>
                <w:sz w:val="15"/>
                <w:szCs w:val="16"/>
              </w:rPr>
              <w:t>64.538</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4.</w:t>
            </w:r>
            <w:r>
              <w:rPr>
                <w:color w:val="000000"/>
                <w:sz w:val="15"/>
                <w:szCs w:val="20"/>
              </w:rPr>
              <w:tab/>
              <w:t>Anemia (otros tipos)</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32.084</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30.512</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32.404</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29.148</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33.648</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28.028</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28.732</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29.214</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27.049</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25.995</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32.444</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5.</w:t>
            </w:r>
            <w:r>
              <w:rPr>
                <w:color w:val="000000"/>
                <w:sz w:val="15"/>
                <w:szCs w:val="20"/>
              </w:rPr>
              <w:tab/>
              <w:t>Accidentes todas  formas</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24.416</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25.179</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22.549</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28.981</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28.222</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26.970</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28.607</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28.588</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23.748</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13.387</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7.736</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6.</w:t>
            </w:r>
            <w:r>
              <w:rPr>
                <w:color w:val="000000"/>
                <w:sz w:val="15"/>
                <w:szCs w:val="20"/>
              </w:rPr>
              <w:tab/>
              <w:t>Hipertensión arterial</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22.004</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21.226</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23.646</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23.376</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26.255</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25.713</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29.948</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30.744</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32.001</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33.551</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34.788</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7.</w:t>
            </w:r>
            <w:r>
              <w:rPr>
                <w:color w:val="000000"/>
                <w:sz w:val="15"/>
                <w:szCs w:val="20"/>
              </w:rPr>
              <w:tab/>
              <w:t>Anemia parásito nutricional</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26.249</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24.903</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21.485</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19.732</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23.978</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17.948</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15.995</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12.862</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12.957</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10.277</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9.318</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8.</w:t>
            </w:r>
            <w:r>
              <w:rPr>
                <w:color w:val="000000"/>
                <w:sz w:val="15"/>
                <w:szCs w:val="20"/>
              </w:rPr>
              <w:tab/>
              <w:t>Infección urinaria</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10.481</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10.824</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11.831</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11.850</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12.128</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12.986</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12.720</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13.152</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12.470</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12.956</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13.783</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9.</w:t>
            </w:r>
            <w:r>
              <w:rPr>
                <w:color w:val="000000"/>
                <w:sz w:val="15"/>
                <w:szCs w:val="20"/>
              </w:rPr>
              <w:tab/>
              <w:t>Distonía neurovegetativa</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12.364</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8.727</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8.607</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8.103</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8.289</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7.870</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7.317</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7.608</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7.285</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6.104</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5.453</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10.</w:t>
            </w:r>
            <w:r>
              <w:rPr>
                <w:color w:val="000000"/>
                <w:sz w:val="15"/>
                <w:szCs w:val="20"/>
              </w:rPr>
              <w:tab/>
              <w:t>Escabiosis o sarna</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2.840</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8.542</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8.227</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9.220</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10.487</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7.274</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8.942</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10.025</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10.471</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10.980</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11.603</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11.</w:t>
            </w:r>
            <w:r>
              <w:rPr>
                <w:color w:val="000000"/>
                <w:sz w:val="15"/>
                <w:szCs w:val="20"/>
              </w:rPr>
              <w:tab/>
              <w:t>Embarazo de alto riesgo</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9.059</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7.991</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7.947</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7.722</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7.366</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9.868</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13.708</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13.255</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9.894</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10.800</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11.309</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12.</w:t>
            </w:r>
            <w:r>
              <w:rPr>
                <w:color w:val="000000"/>
                <w:sz w:val="15"/>
                <w:szCs w:val="20"/>
              </w:rPr>
              <w:tab/>
              <w:t>Piodermitis</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9.976</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6.921</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8.405</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8.582</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9.004</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6.190</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8.453</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9.589</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9.323</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9.059</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1.074</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13.</w:t>
            </w:r>
            <w:r>
              <w:rPr>
                <w:color w:val="000000"/>
                <w:sz w:val="15"/>
                <w:szCs w:val="20"/>
              </w:rPr>
              <w:tab/>
              <w:t>Mordedura de perro</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7.215</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5.679</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6.100</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8.369</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7.126</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5.210</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4.297</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5.102</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4.772</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4.810</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4.510</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14.</w:t>
            </w:r>
            <w:r>
              <w:rPr>
                <w:color w:val="000000"/>
                <w:sz w:val="15"/>
                <w:szCs w:val="20"/>
              </w:rPr>
              <w:tab/>
              <w:t>Desnutrición (1,2,3)</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6.222</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4.275</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4.676</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4.000</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4.101</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4.510</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5.244</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5.091</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5.005</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6.649</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14.036</w:t>
            </w:r>
          </w:p>
        </w:tc>
      </w:tr>
      <w:tr w:rsidR="00000000">
        <w:trPr>
          <w:trHeight w:val="20"/>
          <w:jc w:val="center"/>
        </w:trPr>
        <w:tc>
          <w:tcPr>
            <w:tcW w:w="1220" w:type="pct"/>
            <w:tcBorders>
              <w:top w:val="nil"/>
              <w:left w:val="single" w:sz="4" w:space="0" w:color="auto"/>
              <w:bottom w:val="single" w:sz="4" w:space="0" w:color="auto"/>
              <w:right w:val="single" w:sz="4" w:space="0" w:color="auto"/>
            </w:tcBorders>
            <w:noWrap/>
            <w:vAlign w:val="bottom"/>
          </w:tcPr>
          <w:p w:rsidR="00000000" w:rsidRDefault="00000000">
            <w:pPr>
              <w:tabs>
                <w:tab w:val="left" w:pos="275"/>
              </w:tabs>
              <w:spacing w:before="20" w:after="20"/>
              <w:rPr>
                <w:color w:val="000000"/>
                <w:sz w:val="15"/>
                <w:szCs w:val="20"/>
              </w:rPr>
            </w:pPr>
            <w:r>
              <w:rPr>
                <w:color w:val="000000"/>
                <w:sz w:val="15"/>
                <w:szCs w:val="20"/>
              </w:rPr>
              <w:t>15.</w:t>
            </w:r>
            <w:r>
              <w:rPr>
                <w:color w:val="000000"/>
                <w:sz w:val="15"/>
                <w:szCs w:val="20"/>
              </w:rPr>
              <w:tab/>
              <w:t>Diabetes mellitus</w:t>
            </w:r>
          </w:p>
        </w:tc>
        <w:tc>
          <w:tcPr>
            <w:tcW w:w="338" w:type="pct"/>
            <w:tcBorders>
              <w:top w:val="nil"/>
              <w:left w:val="nil"/>
              <w:bottom w:val="single" w:sz="4" w:space="0" w:color="auto"/>
              <w:right w:val="single" w:sz="4" w:space="0" w:color="auto"/>
            </w:tcBorders>
            <w:noWrap/>
            <w:vAlign w:val="bottom"/>
          </w:tcPr>
          <w:p w:rsidR="00000000" w:rsidRDefault="00000000">
            <w:pPr>
              <w:tabs>
                <w:tab w:val="decimal" w:pos="510"/>
              </w:tabs>
              <w:spacing w:before="20" w:after="20"/>
              <w:rPr>
                <w:color w:val="000000"/>
                <w:sz w:val="15"/>
                <w:szCs w:val="20"/>
              </w:rPr>
            </w:pPr>
            <w:r>
              <w:rPr>
                <w:color w:val="000000"/>
                <w:sz w:val="15"/>
                <w:szCs w:val="20"/>
              </w:rPr>
              <w:t>2.570</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22"/>
              </w:tabs>
              <w:spacing w:before="20" w:after="20"/>
              <w:ind w:right="-16"/>
              <w:rPr>
                <w:color w:val="000000"/>
                <w:sz w:val="15"/>
                <w:szCs w:val="16"/>
              </w:rPr>
            </w:pPr>
            <w:r>
              <w:rPr>
                <w:color w:val="000000"/>
                <w:sz w:val="15"/>
                <w:szCs w:val="16"/>
              </w:rPr>
              <w:t>2.250</w:t>
            </w:r>
          </w:p>
        </w:tc>
        <w:tc>
          <w:tcPr>
            <w:tcW w:w="326"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ind w:right="-42"/>
              <w:rPr>
                <w:color w:val="000000"/>
                <w:sz w:val="15"/>
                <w:szCs w:val="16"/>
              </w:rPr>
            </w:pPr>
            <w:r>
              <w:rPr>
                <w:color w:val="000000"/>
                <w:sz w:val="15"/>
                <w:szCs w:val="16"/>
              </w:rPr>
              <w:t>2.988</w:t>
            </w:r>
          </w:p>
        </w:tc>
        <w:tc>
          <w:tcPr>
            <w:tcW w:w="336"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ind w:right="-26"/>
              <w:rPr>
                <w:color w:val="000000"/>
                <w:sz w:val="15"/>
                <w:szCs w:val="16"/>
              </w:rPr>
            </w:pPr>
            <w:r>
              <w:rPr>
                <w:color w:val="000000"/>
                <w:sz w:val="15"/>
                <w:szCs w:val="16"/>
              </w:rPr>
              <w:t>3.096</w:t>
            </w:r>
          </w:p>
        </w:tc>
        <w:tc>
          <w:tcPr>
            <w:tcW w:w="343" w:type="pct"/>
            <w:tcBorders>
              <w:top w:val="nil"/>
              <w:left w:val="nil"/>
              <w:bottom w:val="single" w:sz="4" w:space="0" w:color="auto"/>
              <w:right w:val="single" w:sz="4" w:space="0" w:color="auto"/>
            </w:tcBorders>
            <w:noWrap/>
            <w:vAlign w:val="bottom"/>
          </w:tcPr>
          <w:p w:rsidR="00000000" w:rsidRDefault="00000000">
            <w:pPr>
              <w:tabs>
                <w:tab w:val="decimal" w:pos="520"/>
              </w:tabs>
              <w:spacing w:before="20" w:after="20"/>
              <w:rPr>
                <w:color w:val="000000"/>
                <w:sz w:val="15"/>
                <w:szCs w:val="16"/>
              </w:rPr>
            </w:pPr>
            <w:r>
              <w:rPr>
                <w:color w:val="000000"/>
                <w:sz w:val="15"/>
                <w:szCs w:val="16"/>
              </w:rPr>
              <w:t>3.902</w:t>
            </w:r>
          </w:p>
        </w:tc>
        <w:tc>
          <w:tcPr>
            <w:tcW w:w="368" w:type="pct"/>
            <w:tcBorders>
              <w:top w:val="nil"/>
              <w:left w:val="nil"/>
              <w:bottom w:val="single" w:sz="4" w:space="0" w:color="auto"/>
              <w:right w:val="single" w:sz="4" w:space="0" w:color="auto"/>
            </w:tcBorders>
            <w:noWrap/>
            <w:vAlign w:val="bottom"/>
          </w:tcPr>
          <w:p w:rsidR="00000000" w:rsidRDefault="00000000">
            <w:pPr>
              <w:tabs>
                <w:tab w:val="decimal" w:pos="569"/>
              </w:tabs>
              <w:spacing w:before="20" w:after="20"/>
              <w:rPr>
                <w:color w:val="000000"/>
                <w:sz w:val="15"/>
                <w:szCs w:val="16"/>
              </w:rPr>
            </w:pPr>
            <w:r>
              <w:rPr>
                <w:color w:val="000000"/>
                <w:sz w:val="15"/>
                <w:szCs w:val="16"/>
              </w:rPr>
              <w:t>3.730</w:t>
            </w:r>
          </w:p>
        </w:tc>
        <w:tc>
          <w:tcPr>
            <w:tcW w:w="335" w:type="pct"/>
            <w:tcBorders>
              <w:top w:val="nil"/>
              <w:left w:val="nil"/>
              <w:bottom w:val="single" w:sz="4" w:space="0" w:color="auto"/>
              <w:right w:val="single" w:sz="4" w:space="0" w:color="auto"/>
            </w:tcBorders>
            <w:noWrap/>
            <w:vAlign w:val="bottom"/>
          </w:tcPr>
          <w:p w:rsidR="00000000" w:rsidRDefault="00000000">
            <w:pPr>
              <w:tabs>
                <w:tab w:val="decimal" w:pos="504"/>
              </w:tabs>
              <w:spacing w:before="20" w:after="20"/>
              <w:rPr>
                <w:color w:val="000000"/>
                <w:sz w:val="15"/>
                <w:szCs w:val="16"/>
              </w:rPr>
            </w:pPr>
            <w:r>
              <w:rPr>
                <w:color w:val="000000"/>
                <w:sz w:val="15"/>
                <w:szCs w:val="16"/>
              </w:rPr>
              <w:t>4.917</w:t>
            </w:r>
          </w:p>
        </w:tc>
        <w:tc>
          <w:tcPr>
            <w:tcW w:w="348" w:type="pct"/>
            <w:tcBorders>
              <w:top w:val="nil"/>
              <w:left w:val="nil"/>
              <w:bottom w:val="single" w:sz="4" w:space="0" w:color="auto"/>
              <w:right w:val="single" w:sz="4" w:space="0" w:color="auto"/>
            </w:tcBorders>
            <w:noWrap/>
            <w:vAlign w:val="bottom"/>
          </w:tcPr>
          <w:p w:rsidR="00000000" w:rsidRDefault="00000000">
            <w:pPr>
              <w:tabs>
                <w:tab w:val="decimal" w:pos="530"/>
              </w:tabs>
              <w:spacing w:before="20" w:after="20"/>
              <w:rPr>
                <w:color w:val="000000"/>
                <w:sz w:val="15"/>
                <w:szCs w:val="16"/>
              </w:rPr>
            </w:pPr>
            <w:r>
              <w:rPr>
                <w:color w:val="000000"/>
                <w:sz w:val="15"/>
                <w:szCs w:val="16"/>
              </w:rPr>
              <w:t>5616</w:t>
            </w:r>
          </w:p>
        </w:tc>
        <w:tc>
          <w:tcPr>
            <w:tcW w:w="350" w:type="pct"/>
            <w:tcBorders>
              <w:top w:val="nil"/>
              <w:left w:val="nil"/>
              <w:bottom w:val="single" w:sz="4" w:space="0" w:color="auto"/>
              <w:right w:val="single" w:sz="4" w:space="0" w:color="auto"/>
            </w:tcBorders>
            <w:noWrap/>
            <w:vAlign w:val="bottom"/>
          </w:tcPr>
          <w:p w:rsidR="00000000" w:rsidRDefault="00000000">
            <w:pPr>
              <w:tabs>
                <w:tab w:val="decimal" w:pos="532"/>
              </w:tabs>
              <w:spacing w:before="20" w:after="20"/>
              <w:rPr>
                <w:color w:val="000000"/>
                <w:sz w:val="15"/>
                <w:szCs w:val="16"/>
              </w:rPr>
            </w:pPr>
            <w:r>
              <w:rPr>
                <w:color w:val="000000"/>
                <w:sz w:val="15"/>
                <w:szCs w:val="16"/>
              </w:rPr>
              <w:t>5829</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4.955</w:t>
            </w:r>
          </w:p>
        </w:tc>
        <w:tc>
          <w:tcPr>
            <w:tcW w:w="349" w:type="pct"/>
            <w:tcBorders>
              <w:top w:val="nil"/>
              <w:left w:val="nil"/>
              <w:bottom w:val="single" w:sz="4" w:space="0" w:color="auto"/>
              <w:right w:val="single" w:sz="4" w:space="0" w:color="auto"/>
            </w:tcBorders>
            <w:noWrap/>
            <w:vAlign w:val="bottom"/>
          </w:tcPr>
          <w:p w:rsidR="00000000" w:rsidRDefault="00000000">
            <w:pPr>
              <w:tabs>
                <w:tab w:val="decimal" w:pos="531"/>
              </w:tabs>
              <w:spacing w:before="20" w:after="20"/>
              <w:rPr>
                <w:color w:val="000000"/>
                <w:sz w:val="15"/>
                <w:szCs w:val="16"/>
              </w:rPr>
            </w:pPr>
            <w:r>
              <w:rPr>
                <w:color w:val="000000"/>
                <w:sz w:val="15"/>
                <w:szCs w:val="16"/>
              </w:rPr>
              <w:t>5.310</w:t>
            </w:r>
          </w:p>
        </w:tc>
      </w:tr>
    </w:tbl>
    <w:p w:rsidR="00000000" w:rsidRDefault="00000000">
      <w:pPr>
        <w:spacing w:before="150" w:after="150"/>
        <w:rPr>
          <w:sz w:val="15"/>
          <w:szCs w:val="20"/>
        </w:rPr>
      </w:pPr>
      <w:r>
        <w:rPr>
          <w:i/>
          <w:iCs/>
          <w:sz w:val="15"/>
          <w:szCs w:val="20"/>
        </w:rPr>
        <w:t xml:space="preserve">Fuente:  </w:t>
      </w:r>
      <w:r>
        <w:rPr>
          <w:sz w:val="15"/>
          <w:szCs w:val="20"/>
        </w:rPr>
        <w:t>Informe de morbilidad-Departamento Bioestadística M. S. P. y B. S.</w:t>
      </w:r>
    </w:p>
    <w:p w:rsidR="00000000" w:rsidRDefault="00000000">
      <w:pPr>
        <w:spacing w:after="480"/>
        <w:rPr>
          <w:i/>
          <w:iCs/>
          <w:sz w:val="16"/>
          <w:szCs w:val="20"/>
        </w:rPr>
      </w:pPr>
      <w:r>
        <w:rPr>
          <w:sz w:val="15"/>
          <w:szCs w:val="20"/>
        </w:rPr>
        <w:t>* Dato no disponible.</w:t>
      </w:r>
    </w:p>
    <w:p w:rsidR="00000000" w:rsidRDefault="00000000">
      <w:pPr>
        <w:autoSpaceDE w:val="0"/>
        <w:autoSpaceDN w:val="0"/>
        <w:adjustRightInd w:val="0"/>
        <w:spacing w:after="240"/>
      </w:pPr>
      <w:r>
        <w:t>456.</w:t>
      </w:r>
      <w:r>
        <w:tab/>
        <w:t xml:space="preserve">Estudios epidemiológicos recientes demuestran que alrededor del 20% de menores de 2 años y el 45% de los niños entre 2 y 5 años de bajo nivel socio económico, presentan algún grado de retraso psicomotor.  La tipología maltrato infantil abarca cuatro grandes grupos:  maltrato físico, maltrato emocional o psicológico, negligencia o abandono y abuso sexual.  </w:t>
      </w:r>
    </w:p>
    <w:p w:rsidR="00000000" w:rsidRDefault="00000000">
      <w:pPr>
        <w:autoSpaceDE w:val="0"/>
        <w:autoSpaceDN w:val="0"/>
        <w:adjustRightInd w:val="0"/>
        <w:spacing w:after="240"/>
      </w:pPr>
      <w:r>
        <w:t>457.</w:t>
      </w:r>
      <w:r>
        <w:tab/>
        <w:t xml:space="preserve">En el país se registraron 495 denuncias de violaciones sexuales de las cuales el 94% fueron contra mujeres.  El mayor número de casos se registró en niñas de 10 a 18 años (50% en 1997 y 63% en 1998), mientras que las menores de 10 años representaron el 15% en el año 1998.  En cuanto a varones se registraron denuncias en menores de 10 años.  Por otro lado, el 3% de población total está constituido por familias de clase alta con fuerte poder económico, el 14% está representado por pequeños empresarios y profesionales independiente con relativa autonomía económica, el 18% son asalariados que presentan un alto porcentaje de uniones de hecho y familias nucleares desorganizadas con mujeres jefas de hogar, el 65% son los sectores marginales (trabajadores, desocupados y subocupados) con graves problemas económicos y sociales. </w:t>
      </w:r>
    </w:p>
    <w:p w:rsidR="00000000" w:rsidRDefault="00000000">
      <w:pPr>
        <w:autoSpaceDE w:val="0"/>
        <w:autoSpaceDN w:val="0"/>
        <w:adjustRightInd w:val="0"/>
        <w:spacing w:after="240"/>
      </w:pPr>
      <w:r>
        <w:t>458.</w:t>
      </w:r>
      <w:r>
        <w:tab/>
        <w:t>Los trastornos psiquiátricos severos tienen prevalencia relativamente alta, 0,4% de prevalencia puntual por cada trastorno; esto permite estimar una población de 44.000 personas con algunos de estos trastornos en nuestro país.</w:t>
      </w:r>
    </w:p>
    <w:p w:rsidR="00000000" w:rsidRDefault="00000000">
      <w:pPr>
        <w:autoSpaceDE w:val="0"/>
        <w:autoSpaceDN w:val="0"/>
        <w:adjustRightInd w:val="0"/>
        <w:spacing w:after="240"/>
      </w:pPr>
      <w:r>
        <w:t>459.</w:t>
      </w:r>
      <w:r>
        <w:tab/>
        <w:t>En cuanto al consumo de drogas, se puede decir que en las drogas de más frecuente consumo aparece el alcohol con una prevalencia del 79,50% en una población de 12 a 45 años.  La segunda droga más consumida la constituye el tabaco con un 32,40% de incidencia.  En el campo de las drogas ilegales los inhalantes se presentan con 1,90% de prevalencia seguido de la marihuana con 1,40% de prevalencia.</w:t>
      </w:r>
    </w:p>
    <w:p w:rsidR="00000000" w:rsidRDefault="00000000">
      <w:pPr>
        <w:autoSpaceDE w:val="0"/>
        <w:autoSpaceDN w:val="0"/>
        <w:adjustRightInd w:val="0"/>
        <w:spacing w:after="240"/>
      </w:pPr>
      <w:r>
        <w:t>460.</w:t>
      </w:r>
      <w:r>
        <w:tab/>
        <w:t>En el problema de la violencia y sus consecuencias físicas y psicológicas en el Paraguay más del 18% de las mujeres informó haber sido u oído durante su niñez o adolescencia que sus padres se maltrataban físicamente en el hogar.</w:t>
      </w:r>
    </w:p>
    <w:p w:rsidR="00000000" w:rsidRDefault="00000000">
      <w:pPr>
        <w:autoSpaceDE w:val="0"/>
        <w:autoSpaceDN w:val="0"/>
        <w:adjustRightInd w:val="0"/>
        <w:spacing w:after="240"/>
      </w:pPr>
      <w:r>
        <w:t>461.</w:t>
      </w:r>
      <w:r>
        <w:tab/>
        <w:t>La implementación gradual del componente salud mental y prevención de adicciones es la estrategia de atención primaria, la que ha sido posible gracias a la incorporación de profesionales especializados en los planteles de los servicios de salud generales y la descentralización de la atención de la salud mental.</w:t>
      </w:r>
    </w:p>
    <w:p w:rsidR="00000000" w:rsidRDefault="00000000">
      <w:pPr>
        <w:spacing w:after="240"/>
        <w:rPr>
          <w:rFonts w:ascii="Arial" w:hAnsi="Arial" w:cs="Arial"/>
          <w:sz w:val="20"/>
          <w:szCs w:val="20"/>
        </w:rPr>
      </w:pPr>
      <w:r>
        <w:rPr>
          <w:b/>
        </w:rPr>
        <w:t>1.</w:t>
      </w:r>
      <w:r>
        <w:rPr>
          <w:b/>
        </w:rPr>
        <w:tab/>
        <w:t>Política nacional de salud</w:t>
      </w:r>
    </w:p>
    <w:p w:rsidR="00000000" w:rsidRDefault="00000000">
      <w:pPr>
        <w:autoSpaceDE w:val="0"/>
        <w:autoSpaceDN w:val="0"/>
        <w:adjustRightInd w:val="0"/>
        <w:spacing w:after="240"/>
      </w:pPr>
      <w:r>
        <w:t>462.</w:t>
      </w:r>
      <w:r>
        <w:tab/>
        <w:t>El Ministerio de Salud Pública y Bienestar Social ha definido una política orientada a aumentar la protección social con equidad, revitalizando la continuidad del Sistema Nacional de Salud, que conlleva fortalecer institucionalmente las funciones de rectoría, organización, provisión y aseguramiento con los recursos disponibles en el sector y la movilización de recursos de otros sectores y actores sociales, en la perspectiva de mejorar la calidad de vida y los años de vida útil para contribuir efectivamente con el desarrollo del país.  Esta política ha sido validada ampliamente por la sociedad civil y pretende convertirse en una política de Estado.</w:t>
      </w:r>
    </w:p>
    <w:p w:rsidR="00000000" w:rsidRDefault="00000000">
      <w:pPr>
        <w:autoSpaceDE w:val="0"/>
        <w:autoSpaceDN w:val="0"/>
        <w:adjustRightInd w:val="0"/>
        <w:spacing w:after="240"/>
      </w:pPr>
      <w:r>
        <w:t>463.</w:t>
      </w:r>
      <w:r>
        <w:tab/>
        <w:t>Con una visión estratégica, esta política pretende desarrollar oportunidades, mecanismos y espacios para potenciar capacidades institucionales y ciudadanos que pueden ir produciendo de manera incremental y sostenida una mejor salud para todos y para todos los habitantes del país, con equidad social, étnica, cultural, generacional y de género y libre de todo tipo de discriminaciones.</w:t>
      </w:r>
    </w:p>
    <w:p w:rsidR="00000000" w:rsidRDefault="00000000">
      <w:pPr>
        <w:autoSpaceDE w:val="0"/>
        <w:autoSpaceDN w:val="0"/>
        <w:adjustRightInd w:val="0"/>
        <w:spacing w:after="240"/>
      </w:pPr>
      <w:r>
        <w:t>464.</w:t>
      </w:r>
      <w:r>
        <w:tab/>
        <w:t>Sus lineamientos fundamentales se basan en la reforma de la salud; la promoción; la protección social en salud con financiamiento solidario y aseguramiento, focalizando acciones para la satisfacción de necesidades y el acceso a los servicios de personas y grupos humanos excluidos, con más pobreza y con mayor riesgo biológico y social; la salud ambiental y saneamiento básico, con estrategias combinadas de alcance individual, institucional y social; el desarrollo de los recursos humanos y de la educación permanente como ejes estratégicos del cambio en salud hacia la calidad y la eficacia con excelencia técnica y humana en todos los niveles del sistema.</w:t>
      </w:r>
    </w:p>
    <w:p w:rsidR="00000000" w:rsidRDefault="00000000">
      <w:pPr>
        <w:autoSpaceDE w:val="0"/>
        <w:autoSpaceDN w:val="0"/>
        <w:adjustRightInd w:val="0"/>
        <w:spacing w:after="240"/>
      </w:pPr>
      <w:r>
        <w:t>465.</w:t>
      </w:r>
      <w:r>
        <w:tab/>
        <w:t xml:space="preserve">El Paraguay, como país miembro de la Organización Mundial de la Salud, ha firmado numerosos tratados y acuerdos internacionales y velar el cumplimiento de los mismos constituye una de sus primeras líneas de acción.  El Paraguay asumió como estrategia básica de salud la atención primaria definida en la Conferencia de Alma Ata como la asistencia sanitaria esencial basada en métodos y tecnología practicas, científicamente fundadas, socialmente aceptada, al alcance de los individuos, la familia y la comunidad mediante su plena participación. </w:t>
      </w:r>
    </w:p>
    <w:p w:rsidR="00000000" w:rsidRDefault="00000000">
      <w:pPr>
        <w:autoSpaceDE w:val="0"/>
        <w:autoSpaceDN w:val="0"/>
        <w:adjustRightInd w:val="0"/>
        <w:spacing w:after="240"/>
      </w:pPr>
      <w:r>
        <w:t>466.</w:t>
      </w:r>
      <w:r>
        <w:tab/>
        <w:t xml:space="preserve">El Modelo de Atención, Gestión y Financiamiento es la organización, la integración, la gestión y el financiamiento de los recursos disponibles en el Sistema Nacional de Salud para la promoción, prevención, recuperación y rehabilitación de la salud de manera que se optimice la aplicación de los programas de salud pública en cada nivel de atención y de complejidad para atender los problemas prioritarios de salud de la población. </w:t>
      </w:r>
    </w:p>
    <w:p w:rsidR="00000000" w:rsidRDefault="00000000">
      <w:pPr>
        <w:autoSpaceDE w:val="0"/>
        <w:autoSpaceDN w:val="0"/>
        <w:adjustRightInd w:val="0"/>
        <w:spacing w:after="240"/>
        <w:rPr>
          <w:lang w:val="es-MX"/>
        </w:rPr>
      </w:pPr>
      <w:r>
        <w:t>467.</w:t>
      </w:r>
      <w:r>
        <w:tab/>
        <w:t>El Modelo establece que para la atención, los servicios de salud deberán articularse funcionalmente conformando redes territoriales de salud, constituidas por establecimientos de primer, segundo y tercer nivel de atención y hasta el cuarto grado de complejidad que existan en un distrito.  Son de atención integral debido a que los establecimientos que la conforman brindan servicios de promoción, prevención, recuperación y rehabilitación de acuerdo a su nivel de atención.  Por otro lado, al concebir la salud como parte fundamental del desarrollo económico y social, la atención está orientada al individuo, su familia, su comunidad y su entorno ambiental en un proceso que toma en cuenta los determinantes de la salud y los daños producidos</w:t>
      </w:r>
    </w:p>
    <w:p w:rsidR="00000000" w:rsidRDefault="00000000">
      <w:pPr>
        <w:autoSpaceDE w:val="0"/>
        <w:autoSpaceDN w:val="0"/>
        <w:adjustRightInd w:val="0"/>
        <w:spacing w:after="240"/>
        <w:rPr>
          <w:b/>
          <w:lang w:val="es-MX"/>
        </w:rPr>
      </w:pPr>
      <w:r>
        <w:rPr>
          <w:b/>
          <w:lang w:val="es-MX"/>
        </w:rPr>
        <w:t>2.</w:t>
      </w:r>
      <w:r>
        <w:rPr>
          <w:b/>
          <w:lang w:val="es-MX"/>
        </w:rPr>
        <w:tab/>
        <w:t>Evolución del presupuesto destinado a salud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5" w:type="dxa"/>
          <w:right w:w="45" w:type="dxa"/>
        </w:tblCellMar>
        <w:tblLook w:val="0000" w:firstRow="0" w:lastRow="0" w:firstColumn="0" w:lastColumn="0" w:noHBand="0" w:noVBand="0"/>
      </w:tblPr>
      <w:tblGrid>
        <w:gridCol w:w="490"/>
        <w:gridCol w:w="1477"/>
        <w:gridCol w:w="1475"/>
        <w:gridCol w:w="1385"/>
        <w:gridCol w:w="766"/>
        <w:gridCol w:w="1326"/>
        <w:gridCol w:w="1343"/>
        <w:gridCol w:w="766"/>
        <w:gridCol w:w="1326"/>
      </w:tblGrid>
      <w:tr w:rsidR="00000000">
        <w:tblPrEx>
          <w:tblCellMar>
            <w:top w:w="0" w:type="dxa"/>
            <w:bottom w:w="0" w:type="dxa"/>
          </w:tblCellMar>
        </w:tblPrEx>
        <w:trPr>
          <w:cantSplit/>
          <w:tblHeader/>
          <w:jc w:val="center"/>
        </w:trPr>
        <w:tc>
          <w:tcPr>
            <w:tcW w:w="319" w:type="pct"/>
            <w:vMerge w:val="restart"/>
            <w:vAlign w:val="center"/>
          </w:tcPr>
          <w:p w:rsidR="00000000" w:rsidRDefault="00000000">
            <w:pPr>
              <w:jc w:val="center"/>
              <w:rPr>
                <w:b/>
                <w:bCs/>
                <w:sz w:val="16"/>
                <w:lang w:val="es-MX"/>
              </w:rPr>
            </w:pPr>
            <w:r>
              <w:rPr>
                <w:b/>
                <w:bCs/>
                <w:sz w:val="16"/>
                <w:lang w:val="es-MX"/>
              </w:rPr>
              <w:t>Años</w:t>
            </w:r>
          </w:p>
        </w:tc>
        <w:tc>
          <w:tcPr>
            <w:tcW w:w="542" w:type="pct"/>
            <w:vMerge w:val="restart"/>
            <w:vAlign w:val="center"/>
          </w:tcPr>
          <w:p w:rsidR="00000000" w:rsidRDefault="00000000">
            <w:pPr>
              <w:jc w:val="center"/>
              <w:rPr>
                <w:b/>
                <w:bCs/>
                <w:sz w:val="16"/>
                <w:lang w:val="es-MX"/>
              </w:rPr>
            </w:pPr>
            <w:r>
              <w:rPr>
                <w:b/>
                <w:bCs/>
                <w:sz w:val="16"/>
                <w:lang w:val="es-MX"/>
              </w:rPr>
              <w:t>PIB total (millones de guaraníes corrientes)</w:t>
            </w:r>
          </w:p>
        </w:tc>
        <w:tc>
          <w:tcPr>
            <w:tcW w:w="552" w:type="pct"/>
            <w:vMerge w:val="restart"/>
            <w:vAlign w:val="center"/>
          </w:tcPr>
          <w:p w:rsidR="00000000" w:rsidRDefault="00000000">
            <w:pPr>
              <w:jc w:val="center"/>
              <w:rPr>
                <w:b/>
                <w:bCs/>
                <w:sz w:val="16"/>
                <w:lang w:val="es-MX"/>
              </w:rPr>
            </w:pPr>
            <w:r>
              <w:rPr>
                <w:b/>
                <w:bCs/>
                <w:sz w:val="16"/>
                <w:lang w:val="es-MX"/>
              </w:rPr>
              <w:t>Presupuesto nacional</w:t>
            </w:r>
            <w:r>
              <w:rPr>
                <w:b/>
                <w:bCs/>
                <w:sz w:val="16"/>
                <w:vertAlign w:val="superscript"/>
                <w:lang w:val="es-MX"/>
              </w:rPr>
              <w:t>1</w:t>
            </w:r>
          </w:p>
        </w:tc>
        <w:tc>
          <w:tcPr>
            <w:tcW w:w="483" w:type="pct"/>
            <w:vMerge w:val="restart"/>
            <w:vAlign w:val="center"/>
          </w:tcPr>
          <w:p w:rsidR="00000000" w:rsidRDefault="00000000">
            <w:pPr>
              <w:jc w:val="center"/>
              <w:rPr>
                <w:b/>
                <w:bCs/>
                <w:sz w:val="16"/>
                <w:lang w:val="es-MX"/>
              </w:rPr>
            </w:pPr>
            <w:r>
              <w:rPr>
                <w:b/>
                <w:bCs/>
                <w:sz w:val="16"/>
                <w:lang w:val="es-MX"/>
              </w:rPr>
              <w:t>Gasto en salud</w:t>
            </w:r>
            <w:r>
              <w:rPr>
                <w:b/>
                <w:bCs/>
                <w:sz w:val="16"/>
                <w:vertAlign w:val="superscript"/>
                <w:lang w:val="es-MX"/>
              </w:rPr>
              <w:t>2</w:t>
            </w:r>
          </w:p>
        </w:tc>
        <w:tc>
          <w:tcPr>
            <w:tcW w:w="582" w:type="pct"/>
            <w:vAlign w:val="center"/>
          </w:tcPr>
          <w:p w:rsidR="00000000" w:rsidRDefault="00000000">
            <w:pPr>
              <w:jc w:val="center"/>
              <w:rPr>
                <w:b/>
                <w:bCs/>
                <w:sz w:val="16"/>
                <w:lang w:val="es-MX"/>
              </w:rPr>
            </w:pPr>
            <w:r>
              <w:rPr>
                <w:b/>
                <w:bCs/>
                <w:sz w:val="16"/>
                <w:lang w:val="es-MX"/>
              </w:rPr>
              <w:t xml:space="preserve">Gasto salud/PIB </w:t>
            </w:r>
          </w:p>
        </w:tc>
        <w:tc>
          <w:tcPr>
            <w:tcW w:w="743" w:type="pct"/>
            <w:vAlign w:val="center"/>
          </w:tcPr>
          <w:p w:rsidR="00000000" w:rsidRDefault="00000000">
            <w:pPr>
              <w:jc w:val="center"/>
              <w:rPr>
                <w:b/>
                <w:bCs/>
                <w:sz w:val="16"/>
                <w:lang w:val="es-MX"/>
              </w:rPr>
            </w:pPr>
            <w:r>
              <w:rPr>
                <w:b/>
                <w:bCs/>
                <w:sz w:val="16"/>
                <w:lang w:val="es-MX"/>
              </w:rPr>
              <w:t>Gasto salud/presupuesto</w:t>
            </w:r>
          </w:p>
        </w:tc>
        <w:tc>
          <w:tcPr>
            <w:tcW w:w="461" w:type="pct"/>
            <w:vMerge w:val="restart"/>
            <w:vAlign w:val="center"/>
          </w:tcPr>
          <w:p w:rsidR="00000000" w:rsidRDefault="00000000">
            <w:pPr>
              <w:jc w:val="center"/>
              <w:rPr>
                <w:b/>
                <w:bCs/>
                <w:sz w:val="16"/>
                <w:lang w:val="es-MX"/>
              </w:rPr>
            </w:pPr>
            <w:r>
              <w:rPr>
                <w:b/>
                <w:bCs/>
                <w:sz w:val="16"/>
                <w:lang w:val="es-MX"/>
              </w:rPr>
              <w:t>Atención básica salud</w:t>
            </w:r>
            <w:r>
              <w:rPr>
                <w:b/>
                <w:bCs/>
                <w:sz w:val="16"/>
                <w:vertAlign w:val="superscript"/>
                <w:lang w:val="es-MX"/>
              </w:rPr>
              <w:t>3</w:t>
            </w:r>
          </w:p>
        </w:tc>
        <w:tc>
          <w:tcPr>
            <w:tcW w:w="617" w:type="pct"/>
            <w:vAlign w:val="center"/>
          </w:tcPr>
          <w:p w:rsidR="00000000" w:rsidRDefault="00000000">
            <w:pPr>
              <w:jc w:val="center"/>
              <w:rPr>
                <w:b/>
                <w:bCs/>
                <w:sz w:val="16"/>
                <w:lang w:val="es-MX"/>
              </w:rPr>
            </w:pPr>
            <w:r>
              <w:rPr>
                <w:b/>
                <w:bCs/>
                <w:sz w:val="16"/>
                <w:lang w:val="es-MX"/>
              </w:rPr>
              <w:t>Atención básica salud/PIB</w:t>
            </w:r>
          </w:p>
        </w:tc>
        <w:tc>
          <w:tcPr>
            <w:tcW w:w="702" w:type="pct"/>
            <w:vAlign w:val="center"/>
          </w:tcPr>
          <w:p w:rsidR="00000000" w:rsidRDefault="00000000">
            <w:pPr>
              <w:jc w:val="center"/>
              <w:rPr>
                <w:b/>
                <w:bCs/>
                <w:sz w:val="16"/>
                <w:lang w:val="es-MX"/>
              </w:rPr>
            </w:pPr>
            <w:r>
              <w:rPr>
                <w:b/>
                <w:bCs/>
                <w:sz w:val="16"/>
                <w:lang w:val="es-MX"/>
              </w:rPr>
              <w:t xml:space="preserve">Atención básica salud/presupuesto </w:t>
            </w:r>
          </w:p>
        </w:tc>
      </w:tr>
      <w:tr w:rsidR="00000000">
        <w:tblPrEx>
          <w:tblCellMar>
            <w:top w:w="0" w:type="dxa"/>
            <w:bottom w:w="0" w:type="dxa"/>
          </w:tblCellMar>
        </w:tblPrEx>
        <w:trPr>
          <w:cantSplit/>
          <w:tblHeader/>
          <w:jc w:val="center"/>
        </w:trPr>
        <w:tc>
          <w:tcPr>
            <w:tcW w:w="319" w:type="pct"/>
            <w:vMerge/>
            <w:vAlign w:val="center"/>
          </w:tcPr>
          <w:p w:rsidR="00000000" w:rsidRDefault="00000000">
            <w:pPr>
              <w:jc w:val="center"/>
              <w:rPr>
                <w:b/>
                <w:bCs/>
                <w:sz w:val="16"/>
                <w:lang w:val="es-MX"/>
              </w:rPr>
            </w:pPr>
          </w:p>
        </w:tc>
        <w:tc>
          <w:tcPr>
            <w:tcW w:w="542" w:type="pct"/>
            <w:vMerge/>
            <w:vAlign w:val="center"/>
          </w:tcPr>
          <w:p w:rsidR="00000000" w:rsidRDefault="00000000">
            <w:pPr>
              <w:jc w:val="center"/>
              <w:rPr>
                <w:b/>
                <w:bCs/>
                <w:sz w:val="16"/>
                <w:lang w:val="es-MX"/>
              </w:rPr>
            </w:pPr>
          </w:p>
        </w:tc>
        <w:tc>
          <w:tcPr>
            <w:tcW w:w="552" w:type="pct"/>
            <w:vMerge/>
            <w:vAlign w:val="center"/>
          </w:tcPr>
          <w:p w:rsidR="00000000" w:rsidRDefault="00000000">
            <w:pPr>
              <w:jc w:val="center"/>
              <w:rPr>
                <w:b/>
                <w:bCs/>
                <w:sz w:val="16"/>
                <w:lang w:val="es-MX"/>
              </w:rPr>
            </w:pPr>
          </w:p>
        </w:tc>
        <w:tc>
          <w:tcPr>
            <w:tcW w:w="483" w:type="pct"/>
            <w:vMerge/>
            <w:vAlign w:val="center"/>
          </w:tcPr>
          <w:p w:rsidR="00000000" w:rsidRDefault="00000000">
            <w:pPr>
              <w:jc w:val="center"/>
              <w:rPr>
                <w:b/>
                <w:bCs/>
                <w:sz w:val="16"/>
                <w:lang w:val="es-MX"/>
              </w:rPr>
            </w:pPr>
          </w:p>
        </w:tc>
        <w:tc>
          <w:tcPr>
            <w:tcW w:w="1325" w:type="pct"/>
            <w:gridSpan w:val="2"/>
            <w:vAlign w:val="center"/>
          </w:tcPr>
          <w:p w:rsidR="00000000" w:rsidRDefault="00000000">
            <w:pPr>
              <w:jc w:val="center"/>
              <w:rPr>
                <w:b/>
                <w:bCs/>
                <w:sz w:val="16"/>
                <w:lang w:val="es-MX"/>
              </w:rPr>
            </w:pPr>
            <w:r>
              <w:rPr>
                <w:b/>
                <w:bCs/>
                <w:sz w:val="16"/>
                <w:lang w:val="es-MX"/>
              </w:rPr>
              <w:t>Porcentaje</w:t>
            </w:r>
          </w:p>
        </w:tc>
        <w:tc>
          <w:tcPr>
            <w:tcW w:w="461" w:type="pct"/>
            <w:vMerge/>
            <w:vAlign w:val="center"/>
          </w:tcPr>
          <w:p w:rsidR="00000000" w:rsidRDefault="00000000">
            <w:pPr>
              <w:jc w:val="center"/>
              <w:rPr>
                <w:b/>
                <w:bCs/>
                <w:sz w:val="16"/>
                <w:lang w:val="es-MX"/>
              </w:rPr>
            </w:pPr>
          </w:p>
        </w:tc>
        <w:tc>
          <w:tcPr>
            <w:tcW w:w="1319" w:type="pct"/>
            <w:gridSpan w:val="2"/>
            <w:vAlign w:val="center"/>
          </w:tcPr>
          <w:p w:rsidR="00000000" w:rsidRDefault="00000000">
            <w:pPr>
              <w:jc w:val="center"/>
              <w:rPr>
                <w:b/>
                <w:bCs/>
                <w:sz w:val="16"/>
                <w:lang w:val="es-MX"/>
              </w:rPr>
            </w:pPr>
            <w:r>
              <w:rPr>
                <w:b/>
                <w:bCs/>
                <w:sz w:val="16"/>
                <w:lang w:val="es-MX"/>
              </w:rPr>
              <w:t>Porcentaje</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1994</w:t>
            </w:r>
          </w:p>
        </w:tc>
        <w:tc>
          <w:tcPr>
            <w:tcW w:w="542" w:type="pct"/>
          </w:tcPr>
          <w:p w:rsidR="00000000" w:rsidRDefault="00000000">
            <w:pPr>
              <w:tabs>
                <w:tab w:val="decimal" w:pos="826"/>
              </w:tabs>
              <w:rPr>
                <w:sz w:val="16"/>
                <w:lang w:val="es-MX"/>
              </w:rPr>
            </w:pPr>
            <w:r>
              <w:rPr>
                <w:sz w:val="16"/>
                <w:lang w:val="es-MX"/>
              </w:rPr>
              <w:t>13.220.624</w:t>
            </w:r>
          </w:p>
        </w:tc>
        <w:tc>
          <w:tcPr>
            <w:tcW w:w="552" w:type="pct"/>
          </w:tcPr>
          <w:p w:rsidR="00000000" w:rsidRDefault="00000000">
            <w:pPr>
              <w:tabs>
                <w:tab w:val="decimal" w:pos="825"/>
              </w:tabs>
              <w:rPr>
                <w:sz w:val="16"/>
                <w:lang w:val="es-MX"/>
              </w:rPr>
            </w:pPr>
            <w:r>
              <w:rPr>
                <w:sz w:val="16"/>
                <w:lang w:val="es-MX"/>
              </w:rPr>
              <w:t>2.253.329</w:t>
            </w:r>
          </w:p>
        </w:tc>
        <w:tc>
          <w:tcPr>
            <w:tcW w:w="483" w:type="pct"/>
          </w:tcPr>
          <w:p w:rsidR="00000000" w:rsidRDefault="00000000">
            <w:pPr>
              <w:tabs>
                <w:tab w:val="decimal" w:pos="735"/>
              </w:tabs>
              <w:rPr>
                <w:sz w:val="16"/>
                <w:lang w:val="es-MX"/>
              </w:rPr>
            </w:pPr>
            <w:r>
              <w:rPr>
                <w:sz w:val="16"/>
                <w:lang w:val="es-MX"/>
              </w:rPr>
              <w:t>160.089</w:t>
            </w:r>
          </w:p>
        </w:tc>
        <w:tc>
          <w:tcPr>
            <w:tcW w:w="582" w:type="pct"/>
          </w:tcPr>
          <w:p w:rsidR="00000000" w:rsidRDefault="00000000">
            <w:pPr>
              <w:jc w:val="center"/>
              <w:rPr>
                <w:sz w:val="16"/>
                <w:lang w:val="es-MX"/>
              </w:rPr>
            </w:pPr>
            <w:r>
              <w:rPr>
                <w:sz w:val="16"/>
                <w:lang w:val="es-MX"/>
              </w:rPr>
              <w:t>1,21</w:t>
            </w:r>
          </w:p>
        </w:tc>
        <w:tc>
          <w:tcPr>
            <w:tcW w:w="743" w:type="pct"/>
          </w:tcPr>
          <w:p w:rsidR="00000000" w:rsidRDefault="00000000">
            <w:pPr>
              <w:jc w:val="center"/>
              <w:rPr>
                <w:sz w:val="16"/>
                <w:lang w:val="es-MX"/>
              </w:rPr>
            </w:pPr>
            <w:r>
              <w:rPr>
                <w:sz w:val="16"/>
                <w:lang w:val="es-MX"/>
              </w:rPr>
              <w:t>7,10</w:t>
            </w:r>
          </w:p>
        </w:tc>
        <w:tc>
          <w:tcPr>
            <w:tcW w:w="461" w:type="pct"/>
          </w:tcPr>
          <w:p w:rsidR="00000000" w:rsidRDefault="00000000">
            <w:pPr>
              <w:tabs>
                <w:tab w:val="decimal" w:pos="693"/>
              </w:tabs>
              <w:rPr>
                <w:sz w:val="16"/>
                <w:lang w:val="es-MX"/>
              </w:rPr>
            </w:pPr>
            <w:r>
              <w:rPr>
                <w:sz w:val="16"/>
                <w:lang w:val="es-MX"/>
              </w:rPr>
              <w:t>117.812</w:t>
            </w:r>
          </w:p>
        </w:tc>
        <w:tc>
          <w:tcPr>
            <w:tcW w:w="617" w:type="pct"/>
          </w:tcPr>
          <w:p w:rsidR="00000000" w:rsidRDefault="00000000">
            <w:pPr>
              <w:jc w:val="center"/>
              <w:rPr>
                <w:sz w:val="16"/>
                <w:lang w:val="es-MX"/>
              </w:rPr>
            </w:pPr>
            <w:r>
              <w:rPr>
                <w:sz w:val="16"/>
                <w:lang w:val="es-MX"/>
              </w:rPr>
              <w:t>0,89</w:t>
            </w:r>
          </w:p>
        </w:tc>
        <w:tc>
          <w:tcPr>
            <w:tcW w:w="702" w:type="pct"/>
          </w:tcPr>
          <w:p w:rsidR="00000000" w:rsidRDefault="00000000">
            <w:pPr>
              <w:jc w:val="center"/>
              <w:rPr>
                <w:sz w:val="16"/>
                <w:lang w:val="es-MX"/>
              </w:rPr>
            </w:pPr>
            <w:r>
              <w:rPr>
                <w:sz w:val="16"/>
                <w:lang w:val="es-MX"/>
              </w:rPr>
              <w:t>5,23</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1995</w:t>
            </w:r>
          </w:p>
        </w:tc>
        <w:tc>
          <w:tcPr>
            <w:tcW w:w="542" w:type="pct"/>
          </w:tcPr>
          <w:p w:rsidR="00000000" w:rsidRDefault="00000000">
            <w:pPr>
              <w:tabs>
                <w:tab w:val="decimal" w:pos="826"/>
              </w:tabs>
              <w:rPr>
                <w:sz w:val="16"/>
                <w:lang w:val="es-MX"/>
              </w:rPr>
            </w:pPr>
            <w:r>
              <w:rPr>
                <w:sz w:val="16"/>
                <w:lang w:val="es-MX"/>
              </w:rPr>
              <w:t>15.833.186</w:t>
            </w:r>
          </w:p>
        </w:tc>
        <w:tc>
          <w:tcPr>
            <w:tcW w:w="552" w:type="pct"/>
          </w:tcPr>
          <w:p w:rsidR="00000000" w:rsidRDefault="00000000">
            <w:pPr>
              <w:tabs>
                <w:tab w:val="decimal" w:pos="825"/>
              </w:tabs>
              <w:rPr>
                <w:sz w:val="16"/>
                <w:lang w:val="es-MX"/>
              </w:rPr>
            </w:pPr>
            <w:r>
              <w:rPr>
                <w:sz w:val="16"/>
                <w:lang w:val="es-MX"/>
              </w:rPr>
              <w:t>3.042.601</w:t>
            </w:r>
          </w:p>
        </w:tc>
        <w:tc>
          <w:tcPr>
            <w:tcW w:w="483" w:type="pct"/>
          </w:tcPr>
          <w:p w:rsidR="00000000" w:rsidRDefault="00000000">
            <w:pPr>
              <w:tabs>
                <w:tab w:val="decimal" w:pos="735"/>
              </w:tabs>
              <w:rPr>
                <w:sz w:val="16"/>
                <w:lang w:val="es-MX"/>
              </w:rPr>
            </w:pPr>
            <w:r>
              <w:rPr>
                <w:sz w:val="16"/>
                <w:lang w:val="es-MX"/>
              </w:rPr>
              <w:t>190.299</w:t>
            </w:r>
          </w:p>
        </w:tc>
        <w:tc>
          <w:tcPr>
            <w:tcW w:w="582" w:type="pct"/>
          </w:tcPr>
          <w:p w:rsidR="00000000" w:rsidRDefault="00000000">
            <w:pPr>
              <w:jc w:val="center"/>
              <w:rPr>
                <w:sz w:val="16"/>
                <w:lang w:val="es-MX"/>
              </w:rPr>
            </w:pPr>
            <w:r>
              <w:rPr>
                <w:sz w:val="16"/>
                <w:lang w:val="es-MX"/>
              </w:rPr>
              <w:t>1,20</w:t>
            </w:r>
          </w:p>
        </w:tc>
        <w:tc>
          <w:tcPr>
            <w:tcW w:w="743" w:type="pct"/>
          </w:tcPr>
          <w:p w:rsidR="00000000" w:rsidRDefault="00000000">
            <w:pPr>
              <w:jc w:val="center"/>
              <w:rPr>
                <w:sz w:val="16"/>
                <w:lang w:val="es-MX"/>
              </w:rPr>
            </w:pPr>
            <w:r>
              <w:rPr>
                <w:sz w:val="16"/>
                <w:lang w:val="es-MX"/>
              </w:rPr>
              <w:t>6,25</w:t>
            </w:r>
          </w:p>
        </w:tc>
        <w:tc>
          <w:tcPr>
            <w:tcW w:w="461" w:type="pct"/>
          </w:tcPr>
          <w:p w:rsidR="00000000" w:rsidRDefault="00000000">
            <w:pPr>
              <w:tabs>
                <w:tab w:val="decimal" w:pos="693"/>
              </w:tabs>
              <w:rPr>
                <w:sz w:val="16"/>
                <w:lang w:val="es-MX"/>
              </w:rPr>
            </w:pPr>
            <w:r>
              <w:rPr>
                <w:sz w:val="16"/>
                <w:lang w:val="es-MX"/>
              </w:rPr>
              <w:t>152.744</w:t>
            </w:r>
          </w:p>
        </w:tc>
        <w:tc>
          <w:tcPr>
            <w:tcW w:w="617" w:type="pct"/>
          </w:tcPr>
          <w:p w:rsidR="00000000" w:rsidRDefault="00000000">
            <w:pPr>
              <w:jc w:val="center"/>
              <w:rPr>
                <w:sz w:val="16"/>
                <w:lang w:val="es-MX"/>
              </w:rPr>
            </w:pPr>
            <w:r>
              <w:rPr>
                <w:sz w:val="16"/>
                <w:lang w:val="es-MX"/>
              </w:rPr>
              <w:t>0,96</w:t>
            </w:r>
          </w:p>
        </w:tc>
        <w:tc>
          <w:tcPr>
            <w:tcW w:w="702" w:type="pct"/>
          </w:tcPr>
          <w:p w:rsidR="00000000" w:rsidRDefault="00000000">
            <w:pPr>
              <w:jc w:val="center"/>
              <w:rPr>
                <w:sz w:val="16"/>
                <w:lang w:val="es-MX"/>
              </w:rPr>
            </w:pPr>
            <w:r>
              <w:rPr>
                <w:sz w:val="16"/>
                <w:lang w:val="es-MX"/>
              </w:rPr>
              <w:t>5,02</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1996</w:t>
            </w:r>
          </w:p>
        </w:tc>
        <w:tc>
          <w:tcPr>
            <w:tcW w:w="542" w:type="pct"/>
          </w:tcPr>
          <w:p w:rsidR="00000000" w:rsidRDefault="00000000">
            <w:pPr>
              <w:tabs>
                <w:tab w:val="decimal" w:pos="826"/>
              </w:tabs>
              <w:rPr>
                <w:sz w:val="16"/>
                <w:lang w:val="es-MX"/>
              </w:rPr>
            </w:pPr>
            <w:r>
              <w:rPr>
                <w:sz w:val="16"/>
                <w:lang w:val="es-MX"/>
              </w:rPr>
              <w:t>18.004.374</w:t>
            </w:r>
          </w:p>
        </w:tc>
        <w:tc>
          <w:tcPr>
            <w:tcW w:w="552" w:type="pct"/>
          </w:tcPr>
          <w:p w:rsidR="00000000" w:rsidRDefault="00000000">
            <w:pPr>
              <w:tabs>
                <w:tab w:val="decimal" w:pos="825"/>
              </w:tabs>
              <w:rPr>
                <w:sz w:val="16"/>
                <w:lang w:val="es-MX"/>
              </w:rPr>
            </w:pPr>
            <w:r>
              <w:rPr>
                <w:sz w:val="16"/>
                <w:lang w:val="es-MX"/>
              </w:rPr>
              <w:t>3.416.260</w:t>
            </w:r>
          </w:p>
        </w:tc>
        <w:tc>
          <w:tcPr>
            <w:tcW w:w="483" w:type="pct"/>
          </w:tcPr>
          <w:p w:rsidR="00000000" w:rsidRDefault="00000000">
            <w:pPr>
              <w:tabs>
                <w:tab w:val="decimal" w:pos="735"/>
              </w:tabs>
              <w:rPr>
                <w:sz w:val="16"/>
                <w:lang w:val="es-MX"/>
              </w:rPr>
            </w:pPr>
            <w:r>
              <w:rPr>
                <w:sz w:val="16"/>
                <w:lang w:val="es-MX"/>
              </w:rPr>
              <w:t>241.215</w:t>
            </w:r>
          </w:p>
        </w:tc>
        <w:tc>
          <w:tcPr>
            <w:tcW w:w="582" w:type="pct"/>
          </w:tcPr>
          <w:p w:rsidR="00000000" w:rsidRDefault="00000000">
            <w:pPr>
              <w:jc w:val="center"/>
              <w:rPr>
                <w:sz w:val="16"/>
                <w:lang w:val="es-MX"/>
              </w:rPr>
            </w:pPr>
            <w:r>
              <w:rPr>
                <w:sz w:val="16"/>
                <w:lang w:val="es-MX"/>
              </w:rPr>
              <w:t>1,34</w:t>
            </w:r>
          </w:p>
        </w:tc>
        <w:tc>
          <w:tcPr>
            <w:tcW w:w="743" w:type="pct"/>
          </w:tcPr>
          <w:p w:rsidR="00000000" w:rsidRDefault="00000000">
            <w:pPr>
              <w:jc w:val="center"/>
              <w:rPr>
                <w:sz w:val="16"/>
                <w:lang w:val="es-MX"/>
              </w:rPr>
            </w:pPr>
            <w:r>
              <w:rPr>
                <w:sz w:val="16"/>
                <w:lang w:val="es-MX"/>
              </w:rPr>
              <w:t>7,06</w:t>
            </w:r>
          </w:p>
        </w:tc>
        <w:tc>
          <w:tcPr>
            <w:tcW w:w="461" w:type="pct"/>
          </w:tcPr>
          <w:p w:rsidR="00000000" w:rsidRDefault="00000000">
            <w:pPr>
              <w:tabs>
                <w:tab w:val="decimal" w:pos="693"/>
              </w:tabs>
              <w:rPr>
                <w:sz w:val="16"/>
                <w:lang w:val="es-MX"/>
              </w:rPr>
            </w:pPr>
            <w:r>
              <w:rPr>
                <w:sz w:val="16"/>
                <w:lang w:val="es-MX"/>
              </w:rPr>
              <w:t>207.548</w:t>
            </w:r>
          </w:p>
        </w:tc>
        <w:tc>
          <w:tcPr>
            <w:tcW w:w="617" w:type="pct"/>
          </w:tcPr>
          <w:p w:rsidR="00000000" w:rsidRDefault="00000000">
            <w:pPr>
              <w:jc w:val="center"/>
              <w:rPr>
                <w:sz w:val="16"/>
                <w:lang w:val="es-MX"/>
              </w:rPr>
            </w:pPr>
            <w:r>
              <w:rPr>
                <w:sz w:val="16"/>
                <w:lang w:val="es-MX"/>
              </w:rPr>
              <w:t>1,15</w:t>
            </w:r>
          </w:p>
        </w:tc>
        <w:tc>
          <w:tcPr>
            <w:tcW w:w="702" w:type="pct"/>
          </w:tcPr>
          <w:p w:rsidR="00000000" w:rsidRDefault="00000000">
            <w:pPr>
              <w:jc w:val="center"/>
              <w:rPr>
                <w:sz w:val="16"/>
                <w:lang w:val="es-MX"/>
              </w:rPr>
            </w:pPr>
            <w:r>
              <w:rPr>
                <w:sz w:val="16"/>
                <w:lang w:val="es-MX"/>
              </w:rPr>
              <w:t>6,08</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1997</w:t>
            </w:r>
          </w:p>
        </w:tc>
        <w:tc>
          <w:tcPr>
            <w:tcW w:w="542" w:type="pct"/>
          </w:tcPr>
          <w:p w:rsidR="00000000" w:rsidRDefault="00000000">
            <w:pPr>
              <w:tabs>
                <w:tab w:val="decimal" w:pos="826"/>
              </w:tabs>
              <w:rPr>
                <w:sz w:val="16"/>
                <w:lang w:val="es-MX"/>
              </w:rPr>
            </w:pPr>
            <w:r>
              <w:rPr>
                <w:sz w:val="16"/>
                <w:lang w:val="es-MX"/>
              </w:rPr>
              <w:t>19.322.537</w:t>
            </w:r>
          </w:p>
        </w:tc>
        <w:tc>
          <w:tcPr>
            <w:tcW w:w="552" w:type="pct"/>
          </w:tcPr>
          <w:p w:rsidR="00000000" w:rsidRDefault="00000000">
            <w:pPr>
              <w:tabs>
                <w:tab w:val="decimal" w:pos="825"/>
              </w:tabs>
              <w:rPr>
                <w:sz w:val="16"/>
                <w:lang w:val="es-MX"/>
              </w:rPr>
            </w:pPr>
            <w:r>
              <w:rPr>
                <w:sz w:val="16"/>
                <w:lang w:val="es-MX"/>
              </w:rPr>
              <w:t>9.896.024</w:t>
            </w:r>
          </w:p>
        </w:tc>
        <w:tc>
          <w:tcPr>
            <w:tcW w:w="483" w:type="pct"/>
          </w:tcPr>
          <w:p w:rsidR="00000000" w:rsidRDefault="00000000">
            <w:pPr>
              <w:tabs>
                <w:tab w:val="decimal" w:pos="735"/>
              </w:tabs>
              <w:rPr>
                <w:sz w:val="16"/>
                <w:lang w:val="es-MX"/>
              </w:rPr>
            </w:pPr>
            <w:r>
              <w:rPr>
                <w:sz w:val="16"/>
                <w:lang w:val="es-MX"/>
              </w:rPr>
              <w:t>382.194</w:t>
            </w:r>
          </w:p>
        </w:tc>
        <w:tc>
          <w:tcPr>
            <w:tcW w:w="582" w:type="pct"/>
          </w:tcPr>
          <w:p w:rsidR="00000000" w:rsidRDefault="00000000">
            <w:pPr>
              <w:jc w:val="center"/>
              <w:rPr>
                <w:sz w:val="16"/>
                <w:lang w:val="es-MX"/>
              </w:rPr>
            </w:pPr>
            <w:r>
              <w:rPr>
                <w:sz w:val="16"/>
                <w:lang w:val="es-MX"/>
              </w:rPr>
              <w:t>1,98</w:t>
            </w:r>
          </w:p>
        </w:tc>
        <w:tc>
          <w:tcPr>
            <w:tcW w:w="743" w:type="pct"/>
          </w:tcPr>
          <w:p w:rsidR="00000000" w:rsidRDefault="00000000">
            <w:pPr>
              <w:jc w:val="center"/>
              <w:rPr>
                <w:sz w:val="16"/>
                <w:lang w:val="es-MX"/>
              </w:rPr>
            </w:pPr>
            <w:r>
              <w:rPr>
                <w:sz w:val="16"/>
                <w:lang w:val="es-MX"/>
              </w:rPr>
              <w:t>3,86</w:t>
            </w:r>
          </w:p>
        </w:tc>
        <w:tc>
          <w:tcPr>
            <w:tcW w:w="461" w:type="pct"/>
          </w:tcPr>
          <w:p w:rsidR="00000000" w:rsidRDefault="00000000">
            <w:pPr>
              <w:tabs>
                <w:tab w:val="decimal" w:pos="693"/>
              </w:tabs>
              <w:rPr>
                <w:sz w:val="16"/>
                <w:lang w:val="es-MX"/>
              </w:rPr>
            </w:pPr>
            <w:r>
              <w:rPr>
                <w:sz w:val="16"/>
                <w:lang w:val="es-MX"/>
              </w:rPr>
              <w:t>307.110</w:t>
            </w:r>
          </w:p>
        </w:tc>
        <w:tc>
          <w:tcPr>
            <w:tcW w:w="617" w:type="pct"/>
          </w:tcPr>
          <w:p w:rsidR="00000000" w:rsidRDefault="00000000">
            <w:pPr>
              <w:jc w:val="center"/>
              <w:rPr>
                <w:sz w:val="16"/>
                <w:lang w:val="es-MX"/>
              </w:rPr>
            </w:pPr>
            <w:r>
              <w:rPr>
                <w:sz w:val="16"/>
                <w:lang w:val="es-MX"/>
              </w:rPr>
              <w:t>1,59</w:t>
            </w:r>
          </w:p>
        </w:tc>
        <w:tc>
          <w:tcPr>
            <w:tcW w:w="702" w:type="pct"/>
          </w:tcPr>
          <w:p w:rsidR="00000000" w:rsidRDefault="00000000">
            <w:pPr>
              <w:jc w:val="center"/>
              <w:rPr>
                <w:sz w:val="16"/>
                <w:lang w:val="es-MX"/>
              </w:rPr>
            </w:pPr>
            <w:r>
              <w:rPr>
                <w:sz w:val="16"/>
                <w:lang w:val="es-MX"/>
              </w:rPr>
              <w:t>3,10</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1998</w:t>
            </w:r>
          </w:p>
        </w:tc>
        <w:tc>
          <w:tcPr>
            <w:tcW w:w="542" w:type="pct"/>
          </w:tcPr>
          <w:p w:rsidR="00000000" w:rsidRDefault="00000000">
            <w:pPr>
              <w:tabs>
                <w:tab w:val="decimal" w:pos="826"/>
              </w:tabs>
              <w:rPr>
                <w:sz w:val="16"/>
                <w:lang w:val="es-MX"/>
              </w:rPr>
            </w:pPr>
            <w:r>
              <w:rPr>
                <w:sz w:val="16"/>
                <w:lang w:val="es-MX"/>
              </w:rPr>
              <w:t>21.580.611</w:t>
            </w:r>
          </w:p>
        </w:tc>
        <w:tc>
          <w:tcPr>
            <w:tcW w:w="552" w:type="pct"/>
          </w:tcPr>
          <w:p w:rsidR="00000000" w:rsidRDefault="00000000">
            <w:pPr>
              <w:tabs>
                <w:tab w:val="decimal" w:pos="825"/>
              </w:tabs>
              <w:rPr>
                <w:sz w:val="16"/>
                <w:lang w:val="es-MX"/>
              </w:rPr>
            </w:pPr>
            <w:r>
              <w:rPr>
                <w:sz w:val="16"/>
                <w:lang w:val="es-MX"/>
              </w:rPr>
              <w:t>11.077.222</w:t>
            </w:r>
          </w:p>
        </w:tc>
        <w:tc>
          <w:tcPr>
            <w:tcW w:w="483" w:type="pct"/>
          </w:tcPr>
          <w:p w:rsidR="00000000" w:rsidRDefault="00000000">
            <w:pPr>
              <w:tabs>
                <w:tab w:val="decimal" w:pos="735"/>
              </w:tabs>
              <w:rPr>
                <w:sz w:val="16"/>
                <w:lang w:val="es-MX"/>
              </w:rPr>
            </w:pPr>
            <w:r>
              <w:rPr>
                <w:sz w:val="16"/>
                <w:lang w:val="es-MX"/>
              </w:rPr>
              <w:t>439.704</w:t>
            </w:r>
          </w:p>
        </w:tc>
        <w:tc>
          <w:tcPr>
            <w:tcW w:w="582" w:type="pct"/>
          </w:tcPr>
          <w:p w:rsidR="00000000" w:rsidRDefault="00000000">
            <w:pPr>
              <w:jc w:val="center"/>
              <w:rPr>
                <w:sz w:val="16"/>
                <w:lang w:val="es-MX"/>
              </w:rPr>
            </w:pPr>
            <w:r>
              <w:rPr>
                <w:sz w:val="16"/>
                <w:lang w:val="es-MX"/>
              </w:rPr>
              <w:t>2,04</w:t>
            </w:r>
          </w:p>
        </w:tc>
        <w:tc>
          <w:tcPr>
            <w:tcW w:w="743" w:type="pct"/>
          </w:tcPr>
          <w:p w:rsidR="00000000" w:rsidRDefault="00000000">
            <w:pPr>
              <w:jc w:val="center"/>
              <w:rPr>
                <w:sz w:val="16"/>
                <w:lang w:val="es-MX"/>
              </w:rPr>
            </w:pPr>
            <w:r>
              <w:rPr>
                <w:sz w:val="16"/>
                <w:lang w:val="es-MX"/>
              </w:rPr>
              <w:t>3,97</w:t>
            </w:r>
          </w:p>
        </w:tc>
        <w:tc>
          <w:tcPr>
            <w:tcW w:w="461" w:type="pct"/>
          </w:tcPr>
          <w:p w:rsidR="00000000" w:rsidRDefault="00000000">
            <w:pPr>
              <w:tabs>
                <w:tab w:val="decimal" w:pos="693"/>
              </w:tabs>
              <w:rPr>
                <w:sz w:val="16"/>
                <w:lang w:val="es-MX"/>
              </w:rPr>
            </w:pPr>
            <w:r>
              <w:rPr>
                <w:sz w:val="16"/>
                <w:lang w:val="es-MX"/>
              </w:rPr>
              <w:t>392.650</w:t>
            </w:r>
          </w:p>
        </w:tc>
        <w:tc>
          <w:tcPr>
            <w:tcW w:w="617" w:type="pct"/>
          </w:tcPr>
          <w:p w:rsidR="00000000" w:rsidRDefault="00000000">
            <w:pPr>
              <w:jc w:val="center"/>
              <w:rPr>
                <w:sz w:val="16"/>
                <w:lang w:val="es-MX"/>
              </w:rPr>
            </w:pPr>
            <w:r>
              <w:rPr>
                <w:sz w:val="16"/>
                <w:lang w:val="es-MX"/>
              </w:rPr>
              <w:t>1,82</w:t>
            </w:r>
          </w:p>
        </w:tc>
        <w:tc>
          <w:tcPr>
            <w:tcW w:w="702" w:type="pct"/>
          </w:tcPr>
          <w:p w:rsidR="00000000" w:rsidRDefault="00000000">
            <w:pPr>
              <w:jc w:val="center"/>
              <w:rPr>
                <w:sz w:val="16"/>
                <w:lang w:val="es-MX"/>
              </w:rPr>
            </w:pPr>
            <w:r>
              <w:rPr>
                <w:sz w:val="16"/>
                <w:lang w:val="es-MX"/>
              </w:rPr>
              <w:t>3,54</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1999</w:t>
            </w:r>
          </w:p>
        </w:tc>
        <w:tc>
          <w:tcPr>
            <w:tcW w:w="542" w:type="pct"/>
          </w:tcPr>
          <w:p w:rsidR="00000000" w:rsidRDefault="00000000">
            <w:pPr>
              <w:tabs>
                <w:tab w:val="decimal" w:pos="826"/>
              </w:tabs>
              <w:rPr>
                <w:sz w:val="16"/>
                <w:lang w:val="es-MX"/>
              </w:rPr>
            </w:pPr>
            <w:r>
              <w:rPr>
                <w:sz w:val="16"/>
                <w:lang w:val="es-MX"/>
              </w:rPr>
              <w:t>22.771.596</w:t>
            </w:r>
          </w:p>
        </w:tc>
        <w:tc>
          <w:tcPr>
            <w:tcW w:w="552" w:type="pct"/>
          </w:tcPr>
          <w:p w:rsidR="00000000" w:rsidRDefault="00000000">
            <w:pPr>
              <w:tabs>
                <w:tab w:val="decimal" w:pos="825"/>
              </w:tabs>
              <w:rPr>
                <w:sz w:val="16"/>
                <w:lang w:val="es-MX"/>
              </w:rPr>
            </w:pPr>
            <w:r>
              <w:rPr>
                <w:sz w:val="16"/>
                <w:lang w:val="es-MX"/>
              </w:rPr>
              <w:t>12.255.602</w:t>
            </w:r>
          </w:p>
        </w:tc>
        <w:tc>
          <w:tcPr>
            <w:tcW w:w="483" w:type="pct"/>
          </w:tcPr>
          <w:p w:rsidR="00000000" w:rsidRDefault="00000000">
            <w:pPr>
              <w:tabs>
                <w:tab w:val="decimal" w:pos="735"/>
              </w:tabs>
              <w:rPr>
                <w:sz w:val="16"/>
                <w:lang w:val="es-MX"/>
              </w:rPr>
            </w:pPr>
            <w:r>
              <w:rPr>
                <w:sz w:val="16"/>
                <w:lang w:val="es-MX"/>
              </w:rPr>
              <w:t>577.641</w:t>
            </w:r>
          </w:p>
        </w:tc>
        <w:tc>
          <w:tcPr>
            <w:tcW w:w="582" w:type="pct"/>
          </w:tcPr>
          <w:p w:rsidR="00000000" w:rsidRDefault="00000000">
            <w:pPr>
              <w:jc w:val="center"/>
              <w:rPr>
                <w:sz w:val="16"/>
                <w:lang w:val="es-MX"/>
              </w:rPr>
            </w:pPr>
            <w:r>
              <w:rPr>
                <w:sz w:val="16"/>
                <w:lang w:val="es-MX"/>
              </w:rPr>
              <w:t>2,54</w:t>
            </w:r>
          </w:p>
        </w:tc>
        <w:tc>
          <w:tcPr>
            <w:tcW w:w="743" w:type="pct"/>
          </w:tcPr>
          <w:p w:rsidR="00000000" w:rsidRDefault="00000000">
            <w:pPr>
              <w:jc w:val="center"/>
              <w:rPr>
                <w:sz w:val="16"/>
                <w:lang w:val="es-MX"/>
              </w:rPr>
            </w:pPr>
            <w:r>
              <w:rPr>
                <w:sz w:val="16"/>
                <w:lang w:val="es-MX"/>
              </w:rPr>
              <w:t>4,71</w:t>
            </w:r>
          </w:p>
        </w:tc>
        <w:tc>
          <w:tcPr>
            <w:tcW w:w="461" w:type="pct"/>
          </w:tcPr>
          <w:p w:rsidR="00000000" w:rsidRDefault="00000000">
            <w:pPr>
              <w:tabs>
                <w:tab w:val="decimal" w:pos="693"/>
              </w:tabs>
              <w:rPr>
                <w:sz w:val="16"/>
                <w:lang w:val="es-MX"/>
              </w:rPr>
            </w:pPr>
            <w:r>
              <w:rPr>
                <w:sz w:val="16"/>
                <w:lang w:val="es-MX"/>
              </w:rPr>
              <w:t>492.152</w:t>
            </w:r>
          </w:p>
        </w:tc>
        <w:tc>
          <w:tcPr>
            <w:tcW w:w="617" w:type="pct"/>
          </w:tcPr>
          <w:p w:rsidR="00000000" w:rsidRDefault="00000000">
            <w:pPr>
              <w:jc w:val="center"/>
              <w:rPr>
                <w:sz w:val="16"/>
                <w:lang w:val="es-MX"/>
              </w:rPr>
            </w:pPr>
            <w:r>
              <w:rPr>
                <w:sz w:val="16"/>
                <w:lang w:val="es-MX"/>
              </w:rPr>
              <w:t>2,16</w:t>
            </w:r>
          </w:p>
        </w:tc>
        <w:tc>
          <w:tcPr>
            <w:tcW w:w="702" w:type="pct"/>
          </w:tcPr>
          <w:p w:rsidR="00000000" w:rsidRDefault="00000000">
            <w:pPr>
              <w:jc w:val="center"/>
              <w:rPr>
                <w:sz w:val="16"/>
                <w:lang w:val="es-MX"/>
              </w:rPr>
            </w:pPr>
            <w:r>
              <w:rPr>
                <w:sz w:val="16"/>
                <w:lang w:val="es-MX"/>
              </w:rPr>
              <w:t>4,02</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2000</w:t>
            </w:r>
          </w:p>
        </w:tc>
        <w:tc>
          <w:tcPr>
            <w:tcW w:w="542" w:type="pct"/>
          </w:tcPr>
          <w:p w:rsidR="00000000" w:rsidRDefault="00000000">
            <w:pPr>
              <w:tabs>
                <w:tab w:val="decimal" w:pos="826"/>
              </w:tabs>
              <w:rPr>
                <w:sz w:val="16"/>
                <w:lang w:val="es-MX"/>
              </w:rPr>
            </w:pPr>
            <w:r>
              <w:rPr>
                <w:sz w:val="16"/>
                <w:lang w:val="es-MX"/>
              </w:rPr>
              <w:t>24.736.536</w:t>
            </w:r>
          </w:p>
        </w:tc>
        <w:tc>
          <w:tcPr>
            <w:tcW w:w="552" w:type="pct"/>
          </w:tcPr>
          <w:p w:rsidR="00000000" w:rsidRDefault="00000000">
            <w:pPr>
              <w:tabs>
                <w:tab w:val="decimal" w:pos="825"/>
              </w:tabs>
              <w:rPr>
                <w:sz w:val="16"/>
                <w:lang w:val="es-MX"/>
              </w:rPr>
            </w:pPr>
            <w:r>
              <w:rPr>
                <w:sz w:val="16"/>
                <w:lang w:val="es-MX"/>
              </w:rPr>
              <w:t>13.128.124</w:t>
            </w:r>
          </w:p>
        </w:tc>
        <w:tc>
          <w:tcPr>
            <w:tcW w:w="483" w:type="pct"/>
          </w:tcPr>
          <w:p w:rsidR="00000000" w:rsidRDefault="00000000">
            <w:pPr>
              <w:tabs>
                <w:tab w:val="decimal" w:pos="735"/>
              </w:tabs>
              <w:rPr>
                <w:sz w:val="16"/>
                <w:lang w:val="es-MX"/>
              </w:rPr>
            </w:pPr>
            <w:r>
              <w:rPr>
                <w:sz w:val="16"/>
                <w:lang w:val="es-MX"/>
              </w:rPr>
              <w:t>620.619</w:t>
            </w:r>
          </w:p>
        </w:tc>
        <w:tc>
          <w:tcPr>
            <w:tcW w:w="582" w:type="pct"/>
          </w:tcPr>
          <w:p w:rsidR="00000000" w:rsidRDefault="00000000">
            <w:pPr>
              <w:jc w:val="center"/>
              <w:rPr>
                <w:sz w:val="16"/>
                <w:lang w:val="es-MX"/>
              </w:rPr>
            </w:pPr>
            <w:r>
              <w:rPr>
                <w:sz w:val="16"/>
                <w:lang w:val="es-MX"/>
              </w:rPr>
              <w:t>2,51</w:t>
            </w:r>
          </w:p>
        </w:tc>
        <w:tc>
          <w:tcPr>
            <w:tcW w:w="743" w:type="pct"/>
          </w:tcPr>
          <w:p w:rsidR="00000000" w:rsidRDefault="00000000">
            <w:pPr>
              <w:jc w:val="center"/>
              <w:rPr>
                <w:sz w:val="16"/>
                <w:lang w:val="es-MX"/>
              </w:rPr>
            </w:pPr>
            <w:r>
              <w:rPr>
                <w:sz w:val="16"/>
                <w:lang w:val="es-MX"/>
              </w:rPr>
              <w:t>4,73</w:t>
            </w:r>
          </w:p>
        </w:tc>
        <w:tc>
          <w:tcPr>
            <w:tcW w:w="461" w:type="pct"/>
          </w:tcPr>
          <w:p w:rsidR="00000000" w:rsidRDefault="00000000">
            <w:pPr>
              <w:tabs>
                <w:tab w:val="decimal" w:pos="693"/>
              </w:tabs>
              <w:rPr>
                <w:sz w:val="16"/>
                <w:lang w:val="es-MX"/>
              </w:rPr>
            </w:pPr>
            <w:r>
              <w:rPr>
                <w:sz w:val="16"/>
                <w:lang w:val="es-MX"/>
              </w:rPr>
              <w:t>335.896</w:t>
            </w:r>
          </w:p>
        </w:tc>
        <w:tc>
          <w:tcPr>
            <w:tcW w:w="617" w:type="pct"/>
          </w:tcPr>
          <w:p w:rsidR="00000000" w:rsidRDefault="00000000">
            <w:pPr>
              <w:jc w:val="center"/>
              <w:rPr>
                <w:sz w:val="16"/>
                <w:lang w:val="es-MX"/>
              </w:rPr>
            </w:pPr>
            <w:r>
              <w:rPr>
                <w:sz w:val="16"/>
                <w:lang w:val="es-MX"/>
              </w:rPr>
              <w:t>1,36</w:t>
            </w:r>
          </w:p>
        </w:tc>
        <w:tc>
          <w:tcPr>
            <w:tcW w:w="702" w:type="pct"/>
          </w:tcPr>
          <w:p w:rsidR="00000000" w:rsidRDefault="00000000">
            <w:pPr>
              <w:jc w:val="center"/>
              <w:rPr>
                <w:sz w:val="16"/>
                <w:lang w:val="es-MX"/>
              </w:rPr>
            </w:pPr>
            <w:r>
              <w:rPr>
                <w:sz w:val="16"/>
                <w:lang w:val="es-MX"/>
              </w:rPr>
              <w:t>2,56</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2001</w:t>
            </w:r>
          </w:p>
        </w:tc>
        <w:tc>
          <w:tcPr>
            <w:tcW w:w="542" w:type="pct"/>
          </w:tcPr>
          <w:p w:rsidR="00000000" w:rsidRDefault="00000000">
            <w:pPr>
              <w:tabs>
                <w:tab w:val="decimal" w:pos="826"/>
              </w:tabs>
              <w:rPr>
                <w:sz w:val="16"/>
                <w:lang w:val="es-MX"/>
              </w:rPr>
            </w:pPr>
            <w:r>
              <w:rPr>
                <w:sz w:val="16"/>
                <w:lang w:val="es-MX"/>
              </w:rPr>
              <w:t>26.465.663</w:t>
            </w:r>
          </w:p>
        </w:tc>
        <w:tc>
          <w:tcPr>
            <w:tcW w:w="552" w:type="pct"/>
          </w:tcPr>
          <w:p w:rsidR="00000000" w:rsidRDefault="00000000">
            <w:pPr>
              <w:tabs>
                <w:tab w:val="decimal" w:pos="825"/>
              </w:tabs>
              <w:rPr>
                <w:sz w:val="16"/>
                <w:lang w:val="es-MX"/>
              </w:rPr>
            </w:pPr>
            <w:r>
              <w:rPr>
                <w:sz w:val="16"/>
                <w:lang w:val="es-MX"/>
              </w:rPr>
              <w:t>15.357.915</w:t>
            </w:r>
          </w:p>
        </w:tc>
        <w:tc>
          <w:tcPr>
            <w:tcW w:w="483" w:type="pct"/>
          </w:tcPr>
          <w:p w:rsidR="00000000" w:rsidRDefault="00000000">
            <w:pPr>
              <w:tabs>
                <w:tab w:val="decimal" w:pos="735"/>
              </w:tabs>
              <w:rPr>
                <w:sz w:val="16"/>
                <w:lang w:val="es-MX"/>
              </w:rPr>
            </w:pPr>
            <w:r>
              <w:rPr>
                <w:sz w:val="16"/>
                <w:lang w:val="es-MX"/>
              </w:rPr>
              <w:t>636.141</w:t>
            </w:r>
          </w:p>
        </w:tc>
        <w:tc>
          <w:tcPr>
            <w:tcW w:w="582" w:type="pct"/>
          </w:tcPr>
          <w:p w:rsidR="00000000" w:rsidRDefault="00000000">
            <w:pPr>
              <w:jc w:val="center"/>
              <w:rPr>
                <w:sz w:val="16"/>
                <w:lang w:val="es-MX"/>
              </w:rPr>
            </w:pPr>
            <w:r>
              <w:rPr>
                <w:sz w:val="16"/>
                <w:lang w:val="es-MX"/>
              </w:rPr>
              <w:t>2,40</w:t>
            </w:r>
          </w:p>
        </w:tc>
        <w:tc>
          <w:tcPr>
            <w:tcW w:w="743" w:type="pct"/>
          </w:tcPr>
          <w:p w:rsidR="00000000" w:rsidRDefault="00000000">
            <w:pPr>
              <w:jc w:val="center"/>
              <w:rPr>
                <w:sz w:val="16"/>
                <w:lang w:val="es-MX"/>
              </w:rPr>
            </w:pPr>
            <w:r>
              <w:rPr>
                <w:sz w:val="16"/>
                <w:lang w:val="es-MX"/>
              </w:rPr>
              <w:t>4,14</w:t>
            </w:r>
          </w:p>
        </w:tc>
        <w:tc>
          <w:tcPr>
            <w:tcW w:w="461" w:type="pct"/>
          </w:tcPr>
          <w:p w:rsidR="00000000" w:rsidRDefault="00000000">
            <w:pPr>
              <w:tabs>
                <w:tab w:val="decimal" w:pos="693"/>
              </w:tabs>
              <w:rPr>
                <w:sz w:val="16"/>
                <w:lang w:val="es-MX"/>
              </w:rPr>
            </w:pPr>
            <w:r>
              <w:rPr>
                <w:sz w:val="16"/>
                <w:lang w:val="es-MX"/>
              </w:rPr>
              <w:t>349.103</w:t>
            </w:r>
          </w:p>
        </w:tc>
        <w:tc>
          <w:tcPr>
            <w:tcW w:w="617" w:type="pct"/>
          </w:tcPr>
          <w:p w:rsidR="00000000" w:rsidRDefault="00000000">
            <w:pPr>
              <w:jc w:val="center"/>
              <w:rPr>
                <w:sz w:val="16"/>
                <w:lang w:val="es-MX"/>
              </w:rPr>
            </w:pPr>
            <w:r>
              <w:rPr>
                <w:sz w:val="16"/>
                <w:lang w:val="es-MX"/>
              </w:rPr>
              <w:t>1,32</w:t>
            </w:r>
          </w:p>
        </w:tc>
        <w:tc>
          <w:tcPr>
            <w:tcW w:w="702" w:type="pct"/>
          </w:tcPr>
          <w:p w:rsidR="00000000" w:rsidRDefault="00000000">
            <w:pPr>
              <w:jc w:val="center"/>
              <w:rPr>
                <w:sz w:val="16"/>
                <w:lang w:val="es-MX"/>
              </w:rPr>
            </w:pPr>
            <w:r>
              <w:rPr>
                <w:sz w:val="16"/>
                <w:lang w:val="es-MX"/>
              </w:rPr>
              <w:t>2,27</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2002</w:t>
            </w:r>
          </w:p>
        </w:tc>
        <w:tc>
          <w:tcPr>
            <w:tcW w:w="542" w:type="pct"/>
          </w:tcPr>
          <w:p w:rsidR="00000000" w:rsidRDefault="00000000">
            <w:pPr>
              <w:tabs>
                <w:tab w:val="decimal" w:pos="826"/>
              </w:tabs>
              <w:rPr>
                <w:sz w:val="16"/>
                <w:lang w:val="es-MX"/>
              </w:rPr>
            </w:pPr>
            <w:r>
              <w:rPr>
                <w:sz w:val="16"/>
                <w:lang w:val="es-MX"/>
              </w:rPr>
              <w:t>29.104.530</w:t>
            </w:r>
          </w:p>
        </w:tc>
        <w:tc>
          <w:tcPr>
            <w:tcW w:w="552" w:type="pct"/>
          </w:tcPr>
          <w:p w:rsidR="00000000" w:rsidRDefault="00000000">
            <w:pPr>
              <w:tabs>
                <w:tab w:val="decimal" w:pos="825"/>
              </w:tabs>
              <w:rPr>
                <w:sz w:val="16"/>
                <w:lang w:val="es-MX"/>
              </w:rPr>
            </w:pPr>
            <w:r>
              <w:rPr>
                <w:sz w:val="16"/>
                <w:lang w:val="es-MX"/>
              </w:rPr>
              <w:t>15.306.971</w:t>
            </w:r>
          </w:p>
        </w:tc>
        <w:tc>
          <w:tcPr>
            <w:tcW w:w="483" w:type="pct"/>
          </w:tcPr>
          <w:p w:rsidR="00000000" w:rsidRDefault="00000000">
            <w:pPr>
              <w:tabs>
                <w:tab w:val="decimal" w:pos="735"/>
              </w:tabs>
              <w:rPr>
                <w:sz w:val="16"/>
                <w:lang w:val="es-MX"/>
              </w:rPr>
            </w:pPr>
            <w:r>
              <w:rPr>
                <w:sz w:val="16"/>
                <w:lang w:val="es-MX"/>
              </w:rPr>
              <w:t>1.084.155</w:t>
            </w:r>
          </w:p>
        </w:tc>
        <w:tc>
          <w:tcPr>
            <w:tcW w:w="582" w:type="pct"/>
          </w:tcPr>
          <w:p w:rsidR="00000000" w:rsidRDefault="00000000">
            <w:pPr>
              <w:jc w:val="center"/>
              <w:rPr>
                <w:sz w:val="16"/>
                <w:lang w:val="es-MX"/>
              </w:rPr>
            </w:pPr>
            <w:r>
              <w:rPr>
                <w:sz w:val="16"/>
                <w:lang w:val="es-MX"/>
              </w:rPr>
              <w:t>3,73</w:t>
            </w:r>
          </w:p>
        </w:tc>
        <w:tc>
          <w:tcPr>
            <w:tcW w:w="743" w:type="pct"/>
          </w:tcPr>
          <w:p w:rsidR="00000000" w:rsidRDefault="00000000">
            <w:pPr>
              <w:jc w:val="center"/>
              <w:rPr>
                <w:sz w:val="16"/>
                <w:lang w:val="es-MX"/>
              </w:rPr>
            </w:pPr>
            <w:r>
              <w:rPr>
                <w:sz w:val="16"/>
                <w:lang w:val="es-MX"/>
              </w:rPr>
              <w:t>7,08</w:t>
            </w:r>
          </w:p>
        </w:tc>
        <w:tc>
          <w:tcPr>
            <w:tcW w:w="461" w:type="pct"/>
          </w:tcPr>
          <w:p w:rsidR="00000000" w:rsidRDefault="00000000">
            <w:pPr>
              <w:tabs>
                <w:tab w:val="decimal" w:pos="693"/>
              </w:tabs>
              <w:rPr>
                <w:sz w:val="16"/>
                <w:lang w:val="es-MX"/>
              </w:rPr>
            </w:pPr>
            <w:r>
              <w:rPr>
                <w:sz w:val="16"/>
                <w:lang w:val="es-MX"/>
              </w:rPr>
              <w:t>329.887</w:t>
            </w:r>
          </w:p>
        </w:tc>
        <w:tc>
          <w:tcPr>
            <w:tcW w:w="617" w:type="pct"/>
          </w:tcPr>
          <w:p w:rsidR="00000000" w:rsidRDefault="00000000">
            <w:pPr>
              <w:jc w:val="center"/>
              <w:rPr>
                <w:sz w:val="16"/>
                <w:lang w:val="es-MX"/>
              </w:rPr>
            </w:pPr>
            <w:r>
              <w:rPr>
                <w:sz w:val="16"/>
                <w:lang w:val="es-MX"/>
              </w:rPr>
              <w:t>1,13</w:t>
            </w:r>
          </w:p>
        </w:tc>
        <w:tc>
          <w:tcPr>
            <w:tcW w:w="702" w:type="pct"/>
          </w:tcPr>
          <w:p w:rsidR="00000000" w:rsidRDefault="00000000">
            <w:pPr>
              <w:jc w:val="center"/>
              <w:rPr>
                <w:sz w:val="16"/>
                <w:lang w:val="es-MX"/>
              </w:rPr>
            </w:pPr>
            <w:r>
              <w:rPr>
                <w:sz w:val="16"/>
                <w:lang w:val="es-MX"/>
              </w:rPr>
              <w:t>2,16</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2003</w:t>
            </w:r>
          </w:p>
        </w:tc>
        <w:tc>
          <w:tcPr>
            <w:tcW w:w="542" w:type="pct"/>
          </w:tcPr>
          <w:p w:rsidR="00000000" w:rsidRDefault="00000000">
            <w:pPr>
              <w:tabs>
                <w:tab w:val="decimal" w:pos="826"/>
              </w:tabs>
              <w:rPr>
                <w:sz w:val="16"/>
                <w:lang w:val="es-MX"/>
              </w:rPr>
            </w:pPr>
            <w:r>
              <w:rPr>
                <w:sz w:val="16"/>
                <w:lang w:val="es-MX"/>
              </w:rPr>
              <w:t>35.713.137</w:t>
            </w:r>
          </w:p>
        </w:tc>
        <w:tc>
          <w:tcPr>
            <w:tcW w:w="552" w:type="pct"/>
          </w:tcPr>
          <w:p w:rsidR="00000000" w:rsidRDefault="00000000">
            <w:pPr>
              <w:tabs>
                <w:tab w:val="decimal" w:pos="825"/>
              </w:tabs>
              <w:rPr>
                <w:sz w:val="16"/>
                <w:lang w:val="es-MX"/>
              </w:rPr>
            </w:pPr>
            <w:r>
              <w:rPr>
                <w:sz w:val="16"/>
                <w:lang w:val="es-MX"/>
              </w:rPr>
              <w:t>18.246.180</w:t>
            </w:r>
          </w:p>
        </w:tc>
        <w:tc>
          <w:tcPr>
            <w:tcW w:w="483" w:type="pct"/>
          </w:tcPr>
          <w:p w:rsidR="00000000" w:rsidRDefault="00000000">
            <w:pPr>
              <w:tabs>
                <w:tab w:val="decimal" w:pos="735"/>
              </w:tabs>
              <w:rPr>
                <w:sz w:val="16"/>
                <w:lang w:val="es-MX"/>
              </w:rPr>
            </w:pPr>
            <w:r>
              <w:rPr>
                <w:sz w:val="16"/>
                <w:lang w:val="es-MX"/>
              </w:rPr>
              <w:t>842.417</w:t>
            </w:r>
          </w:p>
        </w:tc>
        <w:tc>
          <w:tcPr>
            <w:tcW w:w="582" w:type="pct"/>
          </w:tcPr>
          <w:p w:rsidR="00000000" w:rsidRDefault="00000000">
            <w:pPr>
              <w:jc w:val="center"/>
              <w:rPr>
                <w:sz w:val="16"/>
                <w:lang w:val="es-MX"/>
              </w:rPr>
            </w:pPr>
            <w:r>
              <w:rPr>
                <w:sz w:val="16"/>
                <w:lang w:val="es-MX"/>
              </w:rPr>
              <w:t>2,36</w:t>
            </w:r>
          </w:p>
        </w:tc>
        <w:tc>
          <w:tcPr>
            <w:tcW w:w="743" w:type="pct"/>
          </w:tcPr>
          <w:p w:rsidR="00000000" w:rsidRDefault="00000000">
            <w:pPr>
              <w:jc w:val="center"/>
              <w:rPr>
                <w:sz w:val="16"/>
                <w:lang w:val="es-MX"/>
              </w:rPr>
            </w:pPr>
            <w:r>
              <w:rPr>
                <w:sz w:val="16"/>
                <w:lang w:val="es-MX"/>
              </w:rPr>
              <w:t>4,62</w:t>
            </w:r>
          </w:p>
        </w:tc>
        <w:tc>
          <w:tcPr>
            <w:tcW w:w="461" w:type="pct"/>
          </w:tcPr>
          <w:p w:rsidR="00000000" w:rsidRDefault="00000000">
            <w:pPr>
              <w:tabs>
                <w:tab w:val="decimal" w:pos="693"/>
              </w:tabs>
              <w:rPr>
                <w:sz w:val="16"/>
                <w:lang w:val="es-MX"/>
              </w:rPr>
            </w:pPr>
            <w:r>
              <w:rPr>
                <w:sz w:val="16"/>
                <w:lang w:val="es-MX"/>
              </w:rPr>
              <w:t>724.360</w:t>
            </w:r>
          </w:p>
        </w:tc>
        <w:tc>
          <w:tcPr>
            <w:tcW w:w="617" w:type="pct"/>
          </w:tcPr>
          <w:p w:rsidR="00000000" w:rsidRDefault="00000000">
            <w:pPr>
              <w:jc w:val="center"/>
              <w:rPr>
                <w:sz w:val="16"/>
                <w:lang w:val="es-MX"/>
              </w:rPr>
            </w:pPr>
            <w:r>
              <w:rPr>
                <w:sz w:val="16"/>
                <w:lang w:val="es-MX"/>
              </w:rPr>
              <w:t>2,03</w:t>
            </w:r>
          </w:p>
        </w:tc>
        <w:tc>
          <w:tcPr>
            <w:tcW w:w="702" w:type="pct"/>
          </w:tcPr>
          <w:p w:rsidR="00000000" w:rsidRDefault="00000000">
            <w:pPr>
              <w:jc w:val="center"/>
              <w:rPr>
                <w:sz w:val="16"/>
                <w:lang w:val="es-MX"/>
              </w:rPr>
            </w:pPr>
            <w:r>
              <w:rPr>
                <w:sz w:val="16"/>
                <w:lang w:val="es-MX"/>
              </w:rPr>
              <w:t>3,97</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2004</w:t>
            </w:r>
          </w:p>
        </w:tc>
        <w:tc>
          <w:tcPr>
            <w:tcW w:w="542" w:type="pct"/>
          </w:tcPr>
          <w:p w:rsidR="00000000" w:rsidRDefault="00000000">
            <w:pPr>
              <w:tabs>
                <w:tab w:val="decimal" w:pos="826"/>
              </w:tabs>
              <w:rPr>
                <w:sz w:val="16"/>
                <w:lang w:val="es-MX"/>
              </w:rPr>
            </w:pPr>
            <w:r>
              <w:rPr>
                <w:sz w:val="16"/>
                <w:lang w:val="es-MX"/>
              </w:rPr>
              <w:t>41.400.770</w:t>
            </w:r>
          </w:p>
        </w:tc>
        <w:tc>
          <w:tcPr>
            <w:tcW w:w="552" w:type="pct"/>
          </w:tcPr>
          <w:p w:rsidR="00000000" w:rsidRDefault="00000000">
            <w:pPr>
              <w:tabs>
                <w:tab w:val="decimal" w:pos="825"/>
              </w:tabs>
              <w:rPr>
                <w:sz w:val="16"/>
                <w:lang w:val="es-MX"/>
              </w:rPr>
            </w:pPr>
            <w:r>
              <w:rPr>
                <w:sz w:val="16"/>
                <w:lang w:val="es-MX"/>
              </w:rPr>
              <w:t>18915.114</w:t>
            </w:r>
          </w:p>
        </w:tc>
        <w:tc>
          <w:tcPr>
            <w:tcW w:w="483" w:type="pct"/>
          </w:tcPr>
          <w:p w:rsidR="00000000" w:rsidRDefault="00000000">
            <w:pPr>
              <w:tabs>
                <w:tab w:val="decimal" w:pos="735"/>
              </w:tabs>
              <w:rPr>
                <w:sz w:val="16"/>
                <w:lang w:val="es-MX"/>
              </w:rPr>
            </w:pPr>
            <w:r>
              <w:rPr>
                <w:sz w:val="16"/>
                <w:lang w:val="es-MX"/>
              </w:rPr>
              <w:t>977.132</w:t>
            </w:r>
          </w:p>
        </w:tc>
        <w:tc>
          <w:tcPr>
            <w:tcW w:w="582" w:type="pct"/>
          </w:tcPr>
          <w:p w:rsidR="00000000" w:rsidRDefault="00000000">
            <w:pPr>
              <w:jc w:val="center"/>
              <w:rPr>
                <w:sz w:val="16"/>
                <w:lang w:val="es-MX"/>
              </w:rPr>
            </w:pPr>
            <w:r>
              <w:rPr>
                <w:sz w:val="16"/>
                <w:lang w:val="es-MX"/>
              </w:rPr>
              <w:t>2,36</w:t>
            </w:r>
          </w:p>
        </w:tc>
        <w:tc>
          <w:tcPr>
            <w:tcW w:w="743" w:type="pct"/>
          </w:tcPr>
          <w:p w:rsidR="00000000" w:rsidRDefault="00000000">
            <w:pPr>
              <w:jc w:val="center"/>
              <w:rPr>
                <w:sz w:val="16"/>
                <w:lang w:val="es-MX"/>
              </w:rPr>
            </w:pPr>
            <w:r>
              <w:rPr>
                <w:sz w:val="16"/>
                <w:lang w:val="es-MX"/>
              </w:rPr>
              <w:t>5,17</w:t>
            </w:r>
          </w:p>
        </w:tc>
        <w:tc>
          <w:tcPr>
            <w:tcW w:w="461" w:type="pct"/>
          </w:tcPr>
          <w:p w:rsidR="00000000" w:rsidRDefault="00000000">
            <w:pPr>
              <w:tabs>
                <w:tab w:val="decimal" w:pos="693"/>
              </w:tabs>
              <w:rPr>
                <w:sz w:val="16"/>
                <w:lang w:val="es-MX"/>
              </w:rPr>
            </w:pPr>
            <w:r>
              <w:rPr>
                <w:sz w:val="16"/>
                <w:lang w:val="es-MX"/>
              </w:rPr>
              <w:t>850.782</w:t>
            </w:r>
          </w:p>
        </w:tc>
        <w:tc>
          <w:tcPr>
            <w:tcW w:w="617" w:type="pct"/>
          </w:tcPr>
          <w:p w:rsidR="00000000" w:rsidRDefault="00000000">
            <w:pPr>
              <w:jc w:val="center"/>
              <w:rPr>
                <w:sz w:val="16"/>
                <w:lang w:val="es-MX"/>
              </w:rPr>
            </w:pPr>
            <w:r>
              <w:rPr>
                <w:sz w:val="16"/>
                <w:lang w:val="es-MX"/>
              </w:rPr>
              <w:t>2,05</w:t>
            </w:r>
          </w:p>
        </w:tc>
        <w:tc>
          <w:tcPr>
            <w:tcW w:w="702" w:type="pct"/>
          </w:tcPr>
          <w:p w:rsidR="00000000" w:rsidRDefault="00000000">
            <w:pPr>
              <w:jc w:val="center"/>
              <w:rPr>
                <w:sz w:val="16"/>
                <w:lang w:val="es-MX"/>
              </w:rPr>
            </w:pPr>
            <w:r>
              <w:rPr>
                <w:sz w:val="16"/>
                <w:lang w:val="es-MX"/>
              </w:rPr>
              <w:t>4,50</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2005</w:t>
            </w:r>
          </w:p>
        </w:tc>
        <w:tc>
          <w:tcPr>
            <w:tcW w:w="542" w:type="pct"/>
          </w:tcPr>
          <w:p w:rsidR="00000000" w:rsidRDefault="00000000">
            <w:pPr>
              <w:tabs>
                <w:tab w:val="decimal" w:pos="826"/>
              </w:tabs>
              <w:rPr>
                <w:sz w:val="16"/>
                <w:lang w:val="es-MX"/>
              </w:rPr>
            </w:pPr>
            <w:r>
              <w:rPr>
                <w:sz w:val="16"/>
                <w:lang w:val="es-MX"/>
              </w:rPr>
              <w:t>45.737.176</w:t>
            </w:r>
          </w:p>
        </w:tc>
        <w:tc>
          <w:tcPr>
            <w:tcW w:w="552" w:type="pct"/>
          </w:tcPr>
          <w:p w:rsidR="00000000" w:rsidRDefault="00000000">
            <w:pPr>
              <w:tabs>
                <w:tab w:val="decimal" w:pos="825"/>
              </w:tabs>
              <w:rPr>
                <w:sz w:val="16"/>
                <w:lang w:val="es-MX"/>
              </w:rPr>
            </w:pPr>
            <w:r>
              <w:rPr>
                <w:sz w:val="16"/>
                <w:lang w:val="es-MX"/>
              </w:rPr>
              <w:t>21.809.827</w:t>
            </w:r>
          </w:p>
        </w:tc>
        <w:tc>
          <w:tcPr>
            <w:tcW w:w="483" w:type="pct"/>
          </w:tcPr>
          <w:p w:rsidR="00000000" w:rsidRDefault="00000000">
            <w:pPr>
              <w:tabs>
                <w:tab w:val="decimal" w:pos="735"/>
              </w:tabs>
              <w:rPr>
                <w:sz w:val="16"/>
                <w:lang w:val="es-MX"/>
              </w:rPr>
            </w:pPr>
            <w:r>
              <w:rPr>
                <w:sz w:val="16"/>
                <w:lang w:val="es-MX"/>
              </w:rPr>
              <w:t>1.473.932</w:t>
            </w:r>
          </w:p>
        </w:tc>
        <w:tc>
          <w:tcPr>
            <w:tcW w:w="582" w:type="pct"/>
          </w:tcPr>
          <w:p w:rsidR="00000000" w:rsidRDefault="00000000">
            <w:pPr>
              <w:jc w:val="center"/>
              <w:rPr>
                <w:sz w:val="16"/>
                <w:lang w:val="es-MX"/>
              </w:rPr>
            </w:pPr>
            <w:r>
              <w:rPr>
                <w:sz w:val="16"/>
                <w:lang w:val="es-MX"/>
              </w:rPr>
              <w:t>3,22</w:t>
            </w:r>
          </w:p>
        </w:tc>
        <w:tc>
          <w:tcPr>
            <w:tcW w:w="743" w:type="pct"/>
          </w:tcPr>
          <w:p w:rsidR="00000000" w:rsidRDefault="00000000">
            <w:pPr>
              <w:jc w:val="center"/>
              <w:rPr>
                <w:sz w:val="16"/>
                <w:lang w:val="es-MX"/>
              </w:rPr>
            </w:pPr>
            <w:r>
              <w:rPr>
                <w:sz w:val="16"/>
                <w:lang w:val="es-MX"/>
              </w:rPr>
              <w:t>6,76</w:t>
            </w:r>
          </w:p>
        </w:tc>
        <w:tc>
          <w:tcPr>
            <w:tcW w:w="461" w:type="pct"/>
          </w:tcPr>
          <w:p w:rsidR="00000000" w:rsidRDefault="00000000">
            <w:pPr>
              <w:tabs>
                <w:tab w:val="decimal" w:pos="693"/>
              </w:tabs>
              <w:rPr>
                <w:sz w:val="16"/>
                <w:lang w:val="es-MX"/>
              </w:rPr>
            </w:pPr>
            <w:r>
              <w:rPr>
                <w:sz w:val="16"/>
                <w:lang w:val="es-MX"/>
              </w:rPr>
              <w:t>1.068.165</w:t>
            </w:r>
          </w:p>
        </w:tc>
        <w:tc>
          <w:tcPr>
            <w:tcW w:w="617" w:type="pct"/>
          </w:tcPr>
          <w:p w:rsidR="00000000" w:rsidRDefault="00000000">
            <w:pPr>
              <w:jc w:val="center"/>
              <w:rPr>
                <w:sz w:val="16"/>
                <w:lang w:val="es-MX"/>
              </w:rPr>
            </w:pPr>
            <w:r>
              <w:rPr>
                <w:sz w:val="16"/>
                <w:lang w:val="es-MX"/>
              </w:rPr>
              <w:t>2,34</w:t>
            </w:r>
          </w:p>
        </w:tc>
        <w:tc>
          <w:tcPr>
            <w:tcW w:w="702" w:type="pct"/>
          </w:tcPr>
          <w:p w:rsidR="00000000" w:rsidRDefault="00000000">
            <w:pPr>
              <w:jc w:val="center"/>
              <w:rPr>
                <w:sz w:val="16"/>
                <w:lang w:val="es-MX"/>
              </w:rPr>
            </w:pPr>
            <w:r>
              <w:rPr>
                <w:sz w:val="16"/>
                <w:lang w:val="es-MX"/>
              </w:rPr>
              <w:t>4,90</w:t>
            </w:r>
          </w:p>
        </w:tc>
      </w:tr>
      <w:tr w:rsidR="00000000">
        <w:tblPrEx>
          <w:tblCellMar>
            <w:top w:w="0" w:type="dxa"/>
            <w:bottom w:w="0" w:type="dxa"/>
          </w:tblCellMar>
        </w:tblPrEx>
        <w:trPr>
          <w:jc w:val="center"/>
        </w:trPr>
        <w:tc>
          <w:tcPr>
            <w:tcW w:w="319" w:type="pct"/>
          </w:tcPr>
          <w:p w:rsidR="00000000" w:rsidRDefault="00000000">
            <w:pPr>
              <w:rPr>
                <w:sz w:val="16"/>
                <w:lang w:val="es-MX"/>
              </w:rPr>
            </w:pPr>
            <w:r>
              <w:rPr>
                <w:sz w:val="16"/>
                <w:lang w:val="es-MX"/>
              </w:rPr>
              <w:t>2006*</w:t>
            </w:r>
          </w:p>
        </w:tc>
        <w:tc>
          <w:tcPr>
            <w:tcW w:w="542" w:type="pct"/>
          </w:tcPr>
          <w:p w:rsidR="00000000" w:rsidRDefault="00000000">
            <w:pPr>
              <w:tabs>
                <w:tab w:val="decimal" w:pos="826"/>
              </w:tabs>
              <w:rPr>
                <w:sz w:val="16"/>
                <w:lang w:val="es-MX"/>
              </w:rPr>
            </w:pPr>
            <w:r>
              <w:rPr>
                <w:sz w:val="16"/>
                <w:lang w:val="es-MX"/>
              </w:rPr>
              <w:t>50.585.316</w:t>
            </w:r>
          </w:p>
        </w:tc>
        <w:tc>
          <w:tcPr>
            <w:tcW w:w="552" w:type="pct"/>
          </w:tcPr>
          <w:p w:rsidR="00000000" w:rsidRDefault="00000000">
            <w:pPr>
              <w:tabs>
                <w:tab w:val="decimal" w:pos="825"/>
              </w:tabs>
              <w:rPr>
                <w:sz w:val="16"/>
                <w:lang w:val="es-MX"/>
              </w:rPr>
            </w:pPr>
            <w:r>
              <w:rPr>
                <w:sz w:val="16"/>
                <w:lang w:val="es-MX"/>
              </w:rPr>
              <w:t>21.255.118</w:t>
            </w:r>
          </w:p>
        </w:tc>
        <w:tc>
          <w:tcPr>
            <w:tcW w:w="483" w:type="pct"/>
          </w:tcPr>
          <w:p w:rsidR="00000000" w:rsidRDefault="00000000">
            <w:pPr>
              <w:tabs>
                <w:tab w:val="decimal" w:pos="735"/>
              </w:tabs>
              <w:rPr>
                <w:sz w:val="16"/>
                <w:lang w:val="es-MX"/>
              </w:rPr>
            </w:pPr>
            <w:r>
              <w:rPr>
                <w:sz w:val="16"/>
                <w:lang w:val="es-MX"/>
              </w:rPr>
              <w:t>1.553.273</w:t>
            </w:r>
          </w:p>
        </w:tc>
        <w:tc>
          <w:tcPr>
            <w:tcW w:w="582" w:type="pct"/>
          </w:tcPr>
          <w:p w:rsidR="00000000" w:rsidRDefault="00000000">
            <w:pPr>
              <w:jc w:val="center"/>
              <w:rPr>
                <w:sz w:val="16"/>
                <w:lang w:val="es-MX"/>
              </w:rPr>
            </w:pPr>
            <w:r>
              <w:rPr>
                <w:sz w:val="16"/>
                <w:lang w:val="es-MX"/>
              </w:rPr>
              <w:t>3,07</w:t>
            </w:r>
          </w:p>
        </w:tc>
        <w:tc>
          <w:tcPr>
            <w:tcW w:w="743" w:type="pct"/>
          </w:tcPr>
          <w:p w:rsidR="00000000" w:rsidRDefault="00000000">
            <w:pPr>
              <w:jc w:val="center"/>
              <w:rPr>
                <w:sz w:val="16"/>
                <w:lang w:val="es-MX"/>
              </w:rPr>
            </w:pPr>
            <w:r>
              <w:rPr>
                <w:sz w:val="16"/>
                <w:lang w:val="es-MX"/>
              </w:rPr>
              <w:t>7,31</w:t>
            </w:r>
          </w:p>
        </w:tc>
        <w:tc>
          <w:tcPr>
            <w:tcW w:w="461" w:type="pct"/>
          </w:tcPr>
          <w:p w:rsidR="00000000" w:rsidRDefault="00000000">
            <w:pPr>
              <w:tabs>
                <w:tab w:val="decimal" w:pos="693"/>
              </w:tabs>
              <w:rPr>
                <w:sz w:val="16"/>
                <w:lang w:val="es-MX"/>
              </w:rPr>
            </w:pPr>
            <w:r>
              <w:rPr>
                <w:sz w:val="16"/>
                <w:lang w:val="es-MX"/>
              </w:rPr>
              <w:t>1.207.965</w:t>
            </w:r>
          </w:p>
        </w:tc>
        <w:tc>
          <w:tcPr>
            <w:tcW w:w="617" w:type="pct"/>
          </w:tcPr>
          <w:p w:rsidR="00000000" w:rsidRDefault="00000000">
            <w:pPr>
              <w:jc w:val="center"/>
              <w:rPr>
                <w:sz w:val="16"/>
                <w:lang w:val="es-MX"/>
              </w:rPr>
            </w:pPr>
            <w:r>
              <w:rPr>
                <w:sz w:val="16"/>
                <w:lang w:val="es-MX"/>
              </w:rPr>
              <w:t>2,39</w:t>
            </w:r>
          </w:p>
        </w:tc>
        <w:tc>
          <w:tcPr>
            <w:tcW w:w="702" w:type="pct"/>
          </w:tcPr>
          <w:p w:rsidR="00000000" w:rsidRDefault="00000000">
            <w:pPr>
              <w:jc w:val="center"/>
              <w:rPr>
                <w:sz w:val="16"/>
                <w:lang w:val="es-MX"/>
              </w:rPr>
            </w:pPr>
            <w:r>
              <w:rPr>
                <w:sz w:val="16"/>
                <w:lang w:val="es-MX"/>
              </w:rPr>
              <w:t>5,68</w:t>
            </w:r>
          </w:p>
        </w:tc>
      </w:tr>
    </w:tbl>
    <w:p w:rsidR="00000000" w:rsidRDefault="00000000">
      <w:pPr>
        <w:spacing w:before="160" w:after="160"/>
        <w:rPr>
          <w:sz w:val="16"/>
          <w:lang w:val="es-MX"/>
        </w:rPr>
      </w:pPr>
      <w:r>
        <w:rPr>
          <w:i/>
          <w:iCs/>
          <w:sz w:val="16"/>
          <w:lang w:val="es-MX"/>
        </w:rPr>
        <w:t>Fuente:</w:t>
      </w:r>
      <w:r>
        <w:rPr>
          <w:sz w:val="16"/>
          <w:lang w:val="es-MX"/>
        </w:rPr>
        <w:t xml:space="preserve">  Sistema de Contabilidad (SICO) (en millones de guaraníes).</w:t>
      </w:r>
    </w:p>
    <w:p w:rsidR="00000000" w:rsidRDefault="00000000">
      <w:pPr>
        <w:spacing w:before="160" w:after="160"/>
        <w:rPr>
          <w:sz w:val="16"/>
          <w:lang w:val="es-MX"/>
        </w:rPr>
      </w:pPr>
      <w:r>
        <w:rPr>
          <w:b/>
          <w:bCs/>
          <w:sz w:val="16"/>
          <w:vertAlign w:val="superscript"/>
          <w:lang w:val="es-MX"/>
        </w:rPr>
        <w:t>1</w:t>
      </w:r>
      <w:r>
        <w:rPr>
          <w:sz w:val="16"/>
          <w:lang w:val="es-MX"/>
        </w:rPr>
        <w:t xml:space="preserve"> Presupuesto ajustado correspondiente a la Administración central hasta el año 1996.  A partir de 1997 corresponde al presupuesto de AC más las entidades descentralizadas.</w:t>
      </w:r>
    </w:p>
    <w:p w:rsidR="00000000" w:rsidRDefault="00000000">
      <w:pPr>
        <w:spacing w:before="160" w:after="160"/>
        <w:rPr>
          <w:sz w:val="16"/>
          <w:lang w:val="es-MX"/>
        </w:rPr>
      </w:pPr>
      <w:r>
        <w:rPr>
          <w:b/>
          <w:bCs/>
          <w:sz w:val="16"/>
          <w:vertAlign w:val="superscript"/>
          <w:lang w:val="es-MX"/>
        </w:rPr>
        <w:t>2</w:t>
      </w:r>
      <w:r>
        <w:rPr>
          <w:sz w:val="16"/>
          <w:lang w:val="es-MX"/>
        </w:rPr>
        <w:t xml:space="preserve"> Corresponde a la clasificación funcional del presupuesto.</w:t>
      </w:r>
    </w:p>
    <w:p w:rsidR="00000000" w:rsidRDefault="00000000">
      <w:pPr>
        <w:spacing w:after="480"/>
        <w:rPr>
          <w:sz w:val="18"/>
          <w:lang w:val="es-MX"/>
        </w:rPr>
      </w:pPr>
      <w:r>
        <w:rPr>
          <w:b/>
          <w:bCs/>
          <w:sz w:val="16"/>
          <w:vertAlign w:val="superscript"/>
          <w:lang w:val="es-MX"/>
        </w:rPr>
        <w:t>3</w:t>
      </w:r>
      <w:r>
        <w:rPr>
          <w:sz w:val="16"/>
          <w:lang w:val="es-MX"/>
        </w:rPr>
        <w:t xml:space="preserve"> De acuerdo con la clasificación funcional del presupuesto, corresponde al rubro "Atención médica".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3165"/>
        <w:gridCol w:w="783"/>
        <w:gridCol w:w="786"/>
        <w:gridCol w:w="786"/>
        <w:gridCol w:w="786"/>
        <w:gridCol w:w="786"/>
        <w:gridCol w:w="786"/>
        <w:gridCol w:w="786"/>
        <w:gridCol w:w="780"/>
      </w:tblGrid>
      <w:tr w:rsidR="00000000">
        <w:tblPrEx>
          <w:tblCellMar>
            <w:top w:w="0" w:type="dxa"/>
            <w:bottom w:w="0" w:type="dxa"/>
          </w:tblCellMar>
        </w:tblPrEx>
        <w:trPr>
          <w:jc w:val="center"/>
        </w:trPr>
        <w:tc>
          <w:tcPr>
            <w:tcW w:w="1676" w:type="pct"/>
            <w:vAlign w:val="center"/>
          </w:tcPr>
          <w:p w:rsidR="00000000" w:rsidRDefault="00000000">
            <w:pPr>
              <w:jc w:val="center"/>
              <w:rPr>
                <w:b/>
                <w:bCs/>
                <w:sz w:val="16"/>
                <w:lang w:val="es-MX"/>
              </w:rPr>
            </w:pPr>
            <w:r>
              <w:rPr>
                <w:b/>
                <w:bCs/>
                <w:sz w:val="16"/>
                <w:lang w:val="es-MX"/>
              </w:rPr>
              <w:t>Gasto per cápita en salud</w:t>
            </w:r>
          </w:p>
        </w:tc>
        <w:tc>
          <w:tcPr>
            <w:tcW w:w="415" w:type="pct"/>
            <w:vAlign w:val="center"/>
          </w:tcPr>
          <w:p w:rsidR="00000000" w:rsidRDefault="00000000">
            <w:pPr>
              <w:jc w:val="center"/>
              <w:rPr>
                <w:b/>
                <w:bCs/>
                <w:sz w:val="16"/>
                <w:lang w:val="es-MX"/>
              </w:rPr>
            </w:pPr>
            <w:r>
              <w:rPr>
                <w:b/>
                <w:bCs/>
                <w:sz w:val="16"/>
                <w:lang w:val="es-MX"/>
              </w:rPr>
              <w:t>1997</w:t>
            </w:r>
          </w:p>
        </w:tc>
        <w:tc>
          <w:tcPr>
            <w:tcW w:w="416" w:type="pct"/>
            <w:vAlign w:val="center"/>
          </w:tcPr>
          <w:p w:rsidR="00000000" w:rsidRDefault="00000000">
            <w:pPr>
              <w:jc w:val="center"/>
              <w:rPr>
                <w:b/>
                <w:bCs/>
                <w:sz w:val="16"/>
                <w:lang w:val="es-MX"/>
              </w:rPr>
            </w:pPr>
            <w:r>
              <w:rPr>
                <w:b/>
                <w:bCs/>
                <w:sz w:val="16"/>
                <w:lang w:val="es-MX"/>
              </w:rPr>
              <w:t>1998</w:t>
            </w:r>
          </w:p>
        </w:tc>
        <w:tc>
          <w:tcPr>
            <w:tcW w:w="416" w:type="pct"/>
            <w:vAlign w:val="center"/>
          </w:tcPr>
          <w:p w:rsidR="00000000" w:rsidRDefault="00000000">
            <w:pPr>
              <w:jc w:val="center"/>
              <w:rPr>
                <w:b/>
                <w:bCs/>
                <w:sz w:val="16"/>
                <w:lang w:val="es-MX"/>
              </w:rPr>
            </w:pPr>
            <w:r>
              <w:rPr>
                <w:b/>
                <w:bCs/>
                <w:sz w:val="16"/>
                <w:lang w:val="es-MX"/>
              </w:rPr>
              <w:t>1999</w:t>
            </w:r>
          </w:p>
        </w:tc>
        <w:tc>
          <w:tcPr>
            <w:tcW w:w="416" w:type="pct"/>
            <w:vAlign w:val="center"/>
          </w:tcPr>
          <w:p w:rsidR="00000000" w:rsidRDefault="00000000">
            <w:pPr>
              <w:jc w:val="center"/>
              <w:rPr>
                <w:b/>
                <w:bCs/>
                <w:sz w:val="16"/>
                <w:lang w:val="es-MX"/>
              </w:rPr>
            </w:pPr>
            <w:r>
              <w:rPr>
                <w:b/>
                <w:bCs/>
                <w:sz w:val="16"/>
                <w:lang w:val="es-MX"/>
              </w:rPr>
              <w:t>2000</w:t>
            </w:r>
          </w:p>
        </w:tc>
        <w:tc>
          <w:tcPr>
            <w:tcW w:w="416" w:type="pct"/>
            <w:vAlign w:val="center"/>
          </w:tcPr>
          <w:p w:rsidR="00000000" w:rsidRDefault="00000000">
            <w:pPr>
              <w:jc w:val="center"/>
              <w:rPr>
                <w:b/>
                <w:bCs/>
                <w:sz w:val="16"/>
                <w:lang w:val="es-MX"/>
              </w:rPr>
            </w:pPr>
            <w:r>
              <w:rPr>
                <w:b/>
                <w:bCs/>
                <w:sz w:val="16"/>
                <w:lang w:val="es-MX"/>
              </w:rPr>
              <w:t>2001</w:t>
            </w:r>
          </w:p>
        </w:tc>
        <w:tc>
          <w:tcPr>
            <w:tcW w:w="416" w:type="pct"/>
            <w:vAlign w:val="center"/>
          </w:tcPr>
          <w:p w:rsidR="00000000" w:rsidRDefault="00000000">
            <w:pPr>
              <w:jc w:val="center"/>
              <w:rPr>
                <w:b/>
                <w:bCs/>
                <w:sz w:val="16"/>
                <w:lang w:val="es-MX"/>
              </w:rPr>
            </w:pPr>
            <w:r>
              <w:rPr>
                <w:b/>
                <w:bCs/>
                <w:sz w:val="16"/>
                <w:lang w:val="es-MX"/>
              </w:rPr>
              <w:t>2002</w:t>
            </w:r>
          </w:p>
        </w:tc>
        <w:tc>
          <w:tcPr>
            <w:tcW w:w="416" w:type="pct"/>
            <w:vAlign w:val="center"/>
          </w:tcPr>
          <w:p w:rsidR="00000000" w:rsidRDefault="00000000">
            <w:pPr>
              <w:jc w:val="center"/>
              <w:rPr>
                <w:b/>
                <w:bCs/>
                <w:sz w:val="16"/>
                <w:lang w:val="es-MX"/>
              </w:rPr>
            </w:pPr>
            <w:r>
              <w:rPr>
                <w:b/>
                <w:bCs/>
                <w:sz w:val="16"/>
                <w:lang w:val="es-MX"/>
              </w:rPr>
              <w:t>2003</w:t>
            </w:r>
          </w:p>
        </w:tc>
        <w:tc>
          <w:tcPr>
            <w:tcW w:w="416" w:type="pct"/>
            <w:vAlign w:val="center"/>
          </w:tcPr>
          <w:p w:rsidR="00000000" w:rsidRDefault="00000000">
            <w:pPr>
              <w:jc w:val="center"/>
              <w:rPr>
                <w:b/>
                <w:bCs/>
                <w:sz w:val="16"/>
                <w:lang w:val="es-MX"/>
              </w:rPr>
            </w:pPr>
            <w:r>
              <w:rPr>
                <w:b/>
                <w:bCs/>
                <w:sz w:val="16"/>
                <w:lang w:val="es-MX"/>
              </w:rPr>
              <w:t>2004</w:t>
            </w:r>
          </w:p>
        </w:tc>
      </w:tr>
      <w:tr w:rsidR="00000000">
        <w:tblPrEx>
          <w:tblCellMar>
            <w:top w:w="0" w:type="dxa"/>
            <w:bottom w:w="0" w:type="dxa"/>
          </w:tblCellMar>
        </w:tblPrEx>
        <w:trPr>
          <w:jc w:val="center"/>
        </w:trPr>
        <w:tc>
          <w:tcPr>
            <w:tcW w:w="1676" w:type="pct"/>
          </w:tcPr>
          <w:p w:rsidR="00000000" w:rsidRDefault="00000000">
            <w:pPr>
              <w:rPr>
                <w:sz w:val="16"/>
                <w:lang w:val="es-MX"/>
              </w:rPr>
            </w:pPr>
            <w:r>
              <w:rPr>
                <w:sz w:val="16"/>
                <w:lang w:val="es-MX"/>
              </w:rPr>
              <w:t>Gasto público en salud (millones de guaraníes)</w:t>
            </w:r>
          </w:p>
        </w:tc>
        <w:tc>
          <w:tcPr>
            <w:tcW w:w="415" w:type="pct"/>
            <w:vAlign w:val="bottom"/>
          </w:tcPr>
          <w:p w:rsidR="00000000" w:rsidRDefault="00000000">
            <w:pPr>
              <w:jc w:val="right"/>
              <w:rPr>
                <w:sz w:val="16"/>
                <w:lang w:val="es-MX"/>
              </w:rPr>
            </w:pPr>
            <w:r>
              <w:rPr>
                <w:sz w:val="16"/>
                <w:lang w:val="es-MX"/>
              </w:rPr>
              <w:t>526.963</w:t>
            </w:r>
          </w:p>
        </w:tc>
        <w:tc>
          <w:tcPr>
            <w:tcW w:w="416" w:type="pct"/>
            <w:vAlign w:val="bottom"/>
          </w:tcPr>
          <w:p w:rsidR="00000000" w:rsidRDefault="00000000">
            <w:pPr>
              <w:jc w:val="right"/>
              <w:rPr>
                <w:sz w:val="16"/>
                <w:lang w:val="es-MX"/>
              </w:rPr>
            </w:pPr>
            <w:r>
              <w:rPr>
                <w:sz w:val="16"/>
                <w:lang w:val="es-MX"/>
              </w:rPr>
              <w:t>694.129</w:t>
            </w:r>
          </w:p>
        </w:tc>
        <w:tc>
          <w:tcPr>
            <w:tcW w:w="416" w:type="pct"/>
            <w:vAlign w:val="bottom"/>
          </w:tcPr>
          <w:p w:rsidR="00000000" w:rsidRDefault="00000000">
            <w:pPr>
              <w:tabs>
                <w:tab w:val="decimal" w:pos="525"/>
              </w:tabs>
              <w:jc w:val="right"/>
              <w:rPr>
                <w:sz w:val="16"/>
                <w:lang w:val="es-MX"/>
              </w:rPr>
            </w:pPr>
            <w:r>
              <w:rPr>
                <w:sz w:val="16"/>
                <w:lang w:val="es-MX"/>
              </w:rPr>
              <w:t>784.316</w:t>
            </w:r>
          </w:p>
        </w:tc>
        <w:tc>
          <w:tcPr>
            <w:tcW w:w="416" w:type="pct"/>
            <w:vAlign w:val="bottom"/>
          </w:tcPr>
          <w:p w:rsidR="00000000" w:rsidRDefault="00000000">
            <w:pPr>
              <w:tabs>
                <w:tab w:val="decimal" w:pos="462"/>
              </w:tabs>
              <w:jc w:val="right"/>
              <w:rPr>
                <w:sz w:val="16"/>
                <w:lang w:val="es-MX"/>
              </w:rPr>
            </w:pPr>
            <w:r>
              <w:rPr>
                <w:sz w:val="16"/>
                <w:lang w:val="es-MX"/>
              </w:rPr>
              <w:t>913.121</w:t>
            </w:r>
          </w:p>
        </w:tc>
        <w:tc>
          <w:tcPr>
            <w:tcW w:w="416" w:type="pct"/>
            <w:vAlign w:val="bottom"/>
          </w:tcPr>
          <w:p w:rsidR="00000000" w:rsidRDefault="00000000">
            <w:pPr>
              <w:tabs>
                <w:tab w:val="decimal" w:pos="462"/>
              </w:tabs>
              <w:jc w:val="right"/>
              <w:rPr>
                <w:sz w:val="16"/>
                <w:lang w:val="es-MX"/>
              </w:rPr>
            </w:pPr>
            <w:r>
              <w:rPr>
                <w:sz w:val="16"/>
                <w:lang w:val="es-MX"/>
              </w:rPr>
              <w:t>828.019</w:t>
            </w:r>
          </w:p>
        </w:tc>
        <w:tc>
          <w:tcPr>
            <w:tcW w:w="416" w:type="pct"/>
            <w:vAlign w:val="bottom"/>
          </w:tcPr>
          <w:p w:rsidR="00000000" w:rsidRDefault="00000000">
            <w:pPr>
              <w:tabs>
                <w:tab w:val="decimal" w:pos="606"/>
              </w:tabs>
              <w:jc w:val="right"/>
              <w:rPr>
                <w:sz w:val="16"/>
                <w:lang w:val="es-MX"/>
              </w:rPr>
            </w:pPr>
            <w:r>
              <w:rPr>
                <w:sz w:val="16"/>
                <w:lang w:val="es-MX"/>
              </w:rPr>
              <w:t>879.870</w:t>
            </w:r>
          </w:p>
        </w:tc>
        <w:tc>
          <w:tcPr>
            <w:tcW w:w="416" w:type="pct"/>
            <w:vAlign w:val="bottom"/>
          </w:tcPr>
          <w:p w:rsidR="00000000" w:rsidRDefault="00000000">
            <w:pPr>
              <w:tabs>
                <w:tab w:val="decimal" w:pos="582"/>
              </w:tabs>
              <w:jc w:val="right"/>
              <w:rPr>
                <w:sz w:val="16"/>
                <w:lang w:val="es-MX"/>
              </w:rPr>
            </w:pPr>
            <w:r>
              <w:rPr>
                <w:sz w:val="16"/>
                <w:lang w:val="es-MX"/>
              </w:rPr>
              <w:t>887.419</w:t>
            </w:r>
          </w:p>
        </w:tc>
        <w:tc>
          <w:tcPr>
            <w:tcW w:w="416" w:type="pct"/>
            <w:vAlign w:val="bottom"/>
          </w:tcPr>
          <w:p w:rsidR="00000000" w:rsidRDefault="00000000">
            <w:pPr>
              <w:tabs>
                <w:tab w:val="decimal" w:pos="586"/>
              </w:tabs>
              <w:jc w:val="right"/>
              <w:rPr>
                <w:sz w:val="16"/>
                <w:lang w:val="es-MX"/>
              </w:rPr>
            </w:pPr>
            <w:r>
              <w:rPr>
                <w:sz w:val="16"/>
                <w:lang w:val="es-MX"/>
              </w:rPr>
              <w:t>1.072.297</w:t>
            </w:r>
          </w:p>
        </w:tc>
      </w:tr>
      <w:tr w:rsidR="00000000">
        <w:tblPrEx>
          <w:tblCellMar>
            <w:top w:w="0" w:type="dxa"/>
            <w:bottom w:w="0" w:type="dxa"/>
          </w:tblCellMar>
        </w:tblPrEx>
        <w:trPr>
          <w:jc w:val="center"/>
        </w:trPr>
        <w:tc>
          <w:tcPr>
            <w:tcW w:w="1676" w:type="pct"/>
          </w:tcPr>
          <w:p w:rsidR="00000000" w:rsidRDefault="00000000">
            <w:pPr>
              <w:rPr>
                <w:sz w:val="16"/>
                <w:lang w:val="es-MX"/>
              </w:rPr>
            </w:pPr>
            <w:r>
              <w:rPr>
                <w:sz w:val="16"/>
                <w:lang w:val="es-MX"/>
              </w:rPr>
              <w:t xml:space="preserve">Gasto público en salud per cápita </w:t>
            </w:r>
          </w:p>
        </w:tc>
        <w:tc>
          <w:tcPr>
            <w:tcW w:w="415" w:type="pct"/>
            <w:vAlign w:val="bottom"/>
          </w:tcPr>
          <w:p w:rsidR="00000000" w:rsidRDefault="00000000">
            <w:pPr>
              <w:jc w:val="right"/>
              <w:rPr>
                <w:sz w:val="16"/>
                <w:lang w:val="es-MX"/>
              </w:rPr>
            </w:pPr>
            <w:r>
              <w:rPr>
                <w:sz w:val="16"/>
                <w:lang w:val="es-MX"/>
              </w:rPr>
              <w:t>99.113</w:t>
            </w:r>
          </w:p>
        </w:tc>
        <w:tc>
          <w:tcPr>
            <w:tcW w:w="416" w:type="pct"/>
            <w:vAlign w:val="bottom"/>
          </w:tcPr>
          <w:p w:rsidR="00000000" w:rsidRDefault="00000000">
            <w:pPr>
              <w:jc w:val="right"/>
              <w:rPr>
                <w:sz w:val="16"/>
                <w:lang w:val="es-MX"/>
              </w:rPr>
            </w:pPr>
            <w:r>
              <w:rPr>
                <w:sz w:val="16"/>
                <w:lang w:val="es-MX"/>
              </w:rPr>
              <w:t>127.372</w:t>
            </w:r>
          </w:p>
        </w:tc>
        <w:tc>
          <w:tcPr>
            <w:tcW w:w="416" w:type="pct"/>
            <w:vAlign w:val="bottom"/>
          </w:tcPr>
          <w:p w:rsidR="00000000" w:rsidRDefault="00000000">
            <w:pPr>
              <w:tabs>
                <w:tab w:val="decimal" w:pos="525"/>
              </w:tabs>
              <w:jc w:val="right"/>
              <w:rPr>
                <w:sz w:val="16"/>
                <w:lang w:val="es-MX"/>
              </w:rPr>
            </w:pPr>
            <w:r>
              <w:rPr>
                <w:sz w:val="16"/>
                <w:lang w:val="es-MX"/>
              </w:rPr>
              <w:t>139.203</w:t>
            </w:r>
          </w:p>
        </w:tc>
        <w:tc>
          <w:tcPr>
            <w:tcW w:w="416" w:type="pct"/>
            <w:vAlign w:val="bottom"/>
          </w:tcPr>
          <w:p w:rsidR="00000000" w:rsidRDefault="00000000">
            <w:pPr>
              <w:tabs>
                <w:tab w:val="decimal" w:pos="462"/>
              </w:tabs>
              <w:jc w:val="right"/>
              <w:rPr>
                <w:sz w:val="16"/>
                <w:lang w:val="es-MX"/>
              </w:rPr>
            </w:pPr>
            <w:r>
              <w:rPr>
                <w:sz w:val="16"/>
                <w:lang w:val="es-MX"/>
              </w:rPr>
              <w:t>157.907</w:t>
            </w:r>
          </w:p>
        </w:tc>
        <w:tc>
          <w:tcPr>
            <w:tcW w:w="416" w:type="pct"/>
            <w:vAlign w:val="bottom"/>
          </w:tcPr>
          <w:p w:rsidR="00000000" w:rsidRDefault="00000000">
            <w:pPr>
              <w:tabs>
                <w:tab w:val="decimal" w:pos="462"/>
              </w:tabs>
              <w:jc w:val="right"/>
              <w:rPr>
                <w:sz w:val="16"/>
                <w:lang w:val="es-MX"/>
              </w:rPr>
            </w:pPr>
            <w:r>
              <w:rPr>
                <w:sz w:val="16"/>
                <w:lang w:val="es-MX"/>
              </w:rPr>
              <w:t>141.430</w:t>
            </w:r>
          </w:p>
        </w:tc>
        <w:tc>
          <w:tcPr>
            <w:tcW w:w="416" w:type="pct"/>
            <w:vAlign w:val="bottom"/>
          </w:tcPr>
          <w:p w:rsidR="00000000" w:rsidRDefault="00000000">
            <w:pPr>
              <w:tabs>
                <w:tab w:val="decimal" w:pos="606"/>
              </w:tabs>
              <w:jc w:val="right"/>
              <w:rPr>
                <w:sz w:val="16"/>
                <w:lang w:val="es-MX"/>
              </w:rPr>
            </w:pPr>
            <w:r>
              <w:rPr>
                <w:sz w:val="16"/>
                <w:lang w:val="es-MX"/>
              </w:rPr>
              <w:t>146.645</w:t>
            </w:r>
          </w:p>
        </w:tc>
        <w:tc>
          <w:tcPr>
            <w:tcW w:w="416" w:type="pct"/>
            <w:vAlign w:val="bottom"/>
          </w:tcPr>
          <w:p w:rsidR="00000000" w:rsidRDefault="00000000">
            <w:pPr>
              <w:tabs>
                <w:tab w:val="decimal" w:pos="582"/>
              </w:tabs>
              <w:jc w:val="right"/>
              <w:rPr>
                <w:sz w:val="16"/>
                <w:lang w:val="es-MX"/>
              </w:rPr>
            </w:pPr>
            <w:r>
              <w:rPr>
                <w:sz w:val="16"/>
                <w:lang w:val="es-MX"/>
              </w:rPr>
              <w:t>147.903</w:t>
            </w:r>
          </w:p>
        </w:tc>
        <w:tc>
          <w:tcPr>
            <w:tcW w:w="416" w:type="pct"/>
            <w:vAlign w:val="bottom"/>
          </w:tcPr>
          <w:p w:rsidR="00000000" w:rsidRDefault="00000000">
            <w:pPr>
              <w:tabs>
                <w:tab w:val="decimal" w:pos="586"/>
              </w:tabs>
              <w:jc w:val="right"/>
              <w:rPr>
                <w:sz w:val="16"/>
                <w:lang w:val="es-MX"/>
              </w:rPr>
            </w:pPr>
            <w:r>
              <w:rPr>
                <w:sz w:val="16"/>
                <w:lang w:val="es-MX"/>
              </w:rPr>
              <w:t>178.716</w:t>
            </w:r>
          </w:p>
        </w:tc>
      </w:tr>
      <w:tr w:rsidR="00000000">
        <w:tblPrEx>
          <w:tblCellMar>
            <w:top w:w="0" w:type="dxa"/>
            <w:bottom w:w="0" w:type="dxa"/>
          </w:tblCellMar>
        </w:tblPrEx>
        <w:trPr>
          <w:jc w:val="center"/>
        </w:trPr>
        <w:tc>
          <w:tcPr>
            <w:tcW w:w="1676" w:type="pct"/>
          </w:tcPr>
          <w:p w:rsidR="00000000" w:rsidRDefault="00000000">
            <w:pPr>
              <w:rPr>
                <w:sz w:val="16"/>
                <w:lang w:val="es-MX"/>
              </w:rPr>
            </w:pPr>
            <w:r>
              <w:rPr>
                <w:sz w:val="16"/>
                <w:lang w:val="es-MX"/>
              </w:rPr>
              <w:t>Gasto público en salud per cápita (Usd)</w:t>
            </w:r>
          </w:p>
        </w:tc>
        <w:tc>
          <w:tcPr>
            <w:tcW w:w="415" w:type="pct"/>
            <w:vAlign w:val="bottom"/>
          </w:tcPr>
          <w:p w:rsidR="00000000" w:rsidRDefault="00000000">
            <w:pPr>
              <w:jc w:val="right"/>
              <w:rPr>
                <w:sz w:val="16"/>
                <w:lang w:val="es-MX"/>
              </w:rPr>
            </w:pPr>
            <w:r>
              <w:rPr>
                <w:sz w:val="16"/>
                <w:lang w:val="es-MX"/>
              </w:rPr>
              <w:t>45,22</w:t>
            </w:r>
          </w:p>
        </w:tc>
        <w:tc>
          <w:tcPr>
            <w:tcW w:w="416" w:type="pct"/>
            <w:vAlign w:val="bottom"/>
          </w:tcPr>
          <w:p w:rsidR="00000000" w:rsidRDefault="00000000">
            <w:pPr>
              <w:jc w:val="right"/>
              <w:rPr>
                <w:sz w:val="16"/>
                <w:lang w:val="es-MX"/>
              </w:rPr>
            </w:pPr>
            <w:r>
              <w:rPr>
                <w:sz w:val="16"/>
                <w:lang w:val="es-MX"/>
              </w:rPr>
              <w:t>46,23</w:t>
            </w:r>
          </w:p>
        </w:tc>
        <w:tc>
          <w:tcPr>
            <w:tcW w:w="416" w:type="pct"/>
            <w:vAlign w:val="bottom"/>
          </w:tcPr>
          <w:p w:rsidR="00000000" w:rsidRDefault="00000000">
            <w:pPr>
              <w:tabs>
                <w:tab w:val="decimal" w:pos="525"/>
              </w:tabs>
              <w:jc w:val="right"/>
              <w:rPr>
                <w:sz w:val="16"/>
                <w:lang w:val="es-MX"/>
              </w:rPr>
            </w:pPr>
            <w:r>
              <w:rPr>
                <w:sz w:val="16"/>
                <w:lang w:val="es-MX"/>
              </w:rPr>
              <w:t>44,40</w:t>
            </w:r>
          </w:p>
        </w:tc>
        <w:tc>
          <w:tcPr>
            <w:tcW w:w="416" w:type="pct"/>
            <w:vAlign w:val="bottom"/>
          </w:tcPr>
          <w:p w:rsidR="00000000" w:rsidRDefault="00000000">
            <w:pPr>
              <w:tabs>
                <w:tab w:val="decimal" w:pos="462"/>
              </w:tabs>
              <w:jc w:val="right"/>
              <w:rPr>
                <w:sz w:val="16"/>
                <w:lang w:val="es-MX"/>
              </w:rPr>
            </w:pPr>
            <w:r>
              <w:rPr>
                <w:sz w:val="16"/>
                <w:lang w:val="es-MX"/>
              </w:rPr>
              <w:t>45,09</w:t>
            </w:r>
          </w:p>
        </w:tc>
        <w:tc>
          <w:tcPr>
            <w:tcW w:w="416" w:type="pct"/>
            <w:vAlign w:val="bottom"/>
          </w:tcPr>
          <w:p w:rsidR="00000000" w:rsidRDefault="00000000">
            <w:pPr>
              <w:tabs>
                <w:tab w:val="decimal" w:pos="462"/>
              </w:tabs>
              <w:jc w:val="right"/>
              <w:rPr>
                <w:sz w:val="16"/>
                <w:lang w:val="es-MX"/>
              </w:rPr>
            </w:pPr>
            <w:r>
              <w:rPr>
                <w:sz w:val="16"/>
                <w:lang w:val="es-MX"/>
              </w:rPr>
              <w:t>34,26</w:t>
            </w:r>
          </w:p>
        </w:tc>
        <w:tc>
          <w:tcPr>
            <w:tcW w:w="416" w:type="pct"/>
            <w:vAlign w:val="bottom"/>
          </w:tcPr>
          <w:p w:rsidR="00000000" w:rsidRDefault="00000000">
            <w:pPr>
              <w:tabs>
                <w:tab w:val="decimal" w:pos="606"/>
              </w:tabs>
              <w:jc w:val="right"/>
              <w:rPr>
                <w:sz w:val="16"/>
                <w:lang w:val="es-MX"/>
              </w:rPr>
            </w:pPr>
            <w:r>
              <w:rPr>
                <w:sz w:val="16"/>
                <w:lang w:val="es-MX"/>
              </w:rPr>
              <w:t>25,4</w:t>
            </w:r>
          </w:p>
        </w:tc>
        <w:tc>
          <w:tcPr>
            <w:tcW w:w="416" w:type="pct"/>
            <w:vAlign w:val="bottom"/>
          </w:tcPr>
          <w:p w:rsidR="00000000" w:rsidRDefault="00000000">
            <w:pPr>
              <w:tabs>
                <w:tab w:val="decimal" w:pos="582"/>
              </w:tabs>
              <w:jc w:val="right"/>
              <w:rPr>
                <w:sz w:val="16"/>
                <w:lang w:val="es-MX"/>
              </w:rPr>
            </w:pPr>
            <w:r>
              <w:rPr>
                <w:sz w:val="16"/>
                <w:lang w:val="es-MX"/>
              </w:rPr>
              <w:t>23,1</w:t>
            </w:r>
          </w:p>
        </w:tc>
        <w:tc>
          <w:tcPr>
            <w:tcW w:w="416" w:type="pct"/>
            <w:vAlign w:val="bottom"/>
          </w:tcPr>
          <w:p w:rsidR="00000000" w:rsidRDefault="00000000">
            <w:pPr>
              <w:tabs>
                <w:tab w:val="decimal" w:pos="586"/>
              </w:tabs>
              <w:jc w:val="right"/>
              <w:rPr>
                <w:sz w:val="16"/>
                <w:lang w:val="es-MX"/>
              </w:rPr>
            </w:pPr>
            <w:r>
              <w:rPr>
                <w:sz w:val="16"/>
                <w:lang w:val="es-MX"/>
              </w:rPr>
              <w:t>28,6</w:t>
            </w:r>
          </w:p>
        </w:tc>
      </w:tr>
    </w:tbl>
    <w:p w:rsidR="00000000" w:rsidRDefault="00000000">
      <w:pPr>
        <w:spacing w:before="160" w:after="480"/>
        <w:rPr>
          <w:sz w:val="16"/>
          <w:lang w:val="es-MX"/>
        </w:rPr>
      </w:pPr>
      <w:r>
        <w:rPr>
          <w:i/>
          <w:iCs/>
          <w:sz w:val="16"/>
          <w:lang w:val="es-MX"/>
        </w:rPr>
        <w:t>Fuente:</w:t>
      </w:r>
      <w:r>
        <w:rPr>
          <w:sz w:val="16"/>
          <w:lang w:val="es-MX"/>
        </w:rPr>
        <w:t xml:space="preserve">  Sector público:  M. S. P. y B. S., SICO, M. H., cuentas nacionales en salud.</w:t>
      </w:r>
    </w:p>
    <w:p w:rsidR="00000000" w:rsidRDefault="00000000">
      <w:pPr>
        <w:spacing w:after="240"/>
        <w:rPr>
          <w:b/>
        </w:rPr>
      </w:pPr>
      <w:r>
        <w:rPr>
          <w:b/>
        </w:rPr>
        <w:t>3.</w:t>
      </w:r>
      <w:r>
        <w:rPr>
          <w:b/>
        </w:rPr>
        <w:tab/>
        <w:t>Tasa de mortalidad infantil</w:t>
      </w:r>
    </w:p>
    <w:p w:rsidR="00000000" w:rsidRDefault="00000000">
      <w:pPr>
        <w:autoSpaceDE w:val="0"/>
        <w:autoSpaceDN w:val="0"/>
        <w:adjustRightInd w:val="0"/>
        <w:spacing w:after="240"/>
      </w:pPr>
      <w:r>
        <w:t>468.</w:t>
      </w:r>
      <w:r>
        <w:tab/>
        <w:t>Esta sección complementa la información proveída con anterioridad en la primera parte, de información general, del presente informe.  Los datos estadísticos que se detallan a continuación reflejan datos sobre la mortalidad infantil discriminados según sexo, zona de residencia del fallecido y regiones sanitarias, en donde se observa que:  de 1.683 niños menores de 1 año fallecidos, 1.025 (61%) ocurren antes de cumplido el mes de vida, de éstos 768 (75%) fallece antes de cumplir la semana de vida.</w:t>
      </w:r>
    </w:p>
    <w:p w:rsidR="00000000" w:rsidRDefault="00000000">
      <w:pPr>
        <w:autoSpaceDE w:val="0"/>
        <w:autoSpaceDN w:val="0"/>
        <w:adjustRightInd w:val="0"/>
        <w:spacing w:after="240"/>
      </w:pPr>
      <w:r>
        <w:t>469.</w:t>
      </w:r>
      <w:r>
        <w:tab/>
        <w:t>Un total de 1.257 niños menores de 1 año (74%) que fallecen son provenientes de zonas urbanas según residencia declarados por los padres.  En cuanto a la discriminación por sexo 923 (55%) son niños y 758 (45%) son niñas.  Entre las cinco principales causas de mortalidad infantil constituyen las lesiones debidas al parto, infecciones del recién nacido, malformaciones congénitas, prematuridad y neumonía e influenza.</w:t>
      </w:r>
    </w:p>
    <w:p w:rsidR="00000000" w:rsidRDefault="00000000">
      <w:pPr>
        <w:autoSpaceDE w:val="0"/>
        <w:autoSpaceDN w:val="0"/>
        <w:adjustRightInd w:val="0"/>
        <w:spacing w:after="240"/>
      </w:pPr>
      <w:r>
        <w:t>470.</w:t>
      </w:r>
      <w:r>
        <w:tab/>
        <w:t>Por otra parte, el aborto sigue siendo la primera causa de muerte materna, seguido de toxemia y hemorragia.  Sin embargo, en la distribución por regiones sanitarias se aprecia que en los tres últimos años el mayor número de muertes maternas se produjo en los departamentos Central, San Pedro, Alto Paraná y Caaguazú.  A continuación se provee una información más detallada sobre la situación del acceso a la salud en el Paraguay.</w:t>
      </w:r>
    </w:p>
    <w:p w:rsidR="00000000" w:rsidRDefault="00000000">
      <w:pPr>
        <w:spacing w:after="240"/>
        <w:jc w:val="center"/>
        <w:rPr>
          <w:szCs w:val="16"/>
        </w:rPr>
      </w:pPr>
      <w:r>
        <w:rPr>
          <w:b/>
          <w:szCs w:val="16"/>
          <w:lang w:eastAsia="es-ES"/>
        </w:rPr>
        <w:t xml:space="preserve">Paraguay, defunciones de menores de 1 año sin asistencia médica, </w:t>
      </w:r>
      <w:r>
        <w:rPr>
          <w:b/>
          <w:szCs w:val="16"/>
          <w:lang w:eastAsia="es-ES"/>
        </w:rPr>
        <w:br/>
        <w:t>por regiones sanitarias, año 2003</w:t>
      </w:r>
    </w:p>
    <w:tbl>
      <w:tblPr>
        <w:tblW w:w="5000" w:type="pct"/>
        <w:jc w:val="center"/>
        <w:tblCellMar>
          <w:left w:w="70" w:type="dxa"/>
          <w:right w:w="70" w:type="dxa"/>
        </w:tblCellMar>
        <w:tblLook w:val="0000" w:firstRow="0" w:lastRow="0" w:firstColumn="0" w:lastColumn="0" w:noHBand="0" w:noVBand="0"/>
      </w:tblPr>
      <w:tblGrid>
        <w:gridCol w:w="2355"/>
        <w:gridCol w:w="785"/>
        <w:gridCol w:w="655"/>
        <w:gridCol w:w="786"/>
        <w:gridCol w:w="653"/>
        <w:gridCol w:w="786"/>
        <w:gridCol w:w="653"/>
        <w:gridCol w:w="786"/>
        <w:gridCol w:w="787"/>
        <w:gridCol w:w="1248"/>
      </w:tblGrid>
      <w:tr w:rsidR="00000000">
        <w:trPr>
          <w:cantSplit/>
          <w:trHeight w:val="20"/>
          <w:tblHeader/>
          <w:jc w:val="center"/>
        </w:trPr>
        <w:tc>
          <w:tcPr>
            <w:tcW w:w="1256" w:type="pct"/>
            <w:vMerge w:val="restart"/>
            <w:tcBorders>
              <w:top w:val="single" w:sz="4" w:space="0" w:color="auto"/>
              <w:left w:val="single" w:sz="4" w:space="0" w:color="auto"/>
              <w:bottom w:val="single" w:sz="4" w:space="0" w:color="000000"/>
              <w:right w:val="single" w:sz="4" w:space="0" w:color="auto"/>
            </w:tcBorders>
            <w:vAlign w:val="center"/>
          </w:tcPr>
          <w:p w:rsidR="00000000" w:rsidRDefault="00000000">
            <w:pPr>
              <w:jc w:val="center"/>
              <w:rPr>
                <w:b/>
                <w:bCs/>
                <w:szCs w:val="16"/>
              </w:rPr>
            </w:pPr>
            <w:r>
              <w:rPr>
                <w:b/>
                <w:bCs/>
                <w:szCs w:val="16"/>
              </w:rPr>
              <w:t>Regiones sanitarias</w:t>
            </w:r>
          </w:p>
        </w:tc>
        <w:tc>
          <w:tcPr>
            <w:tcW w:w="789" w:type="pct"/>
            <w:gridSpan w:val="2"/>
            <w:tcBorders>
              <w:top w:val="single" w:sz="4" w:space="0" w:color="auto"/>
              <w:left w:val="nil"/>
              <w:bottom w:val="single" w:sz="4" w:space="0" w:color="auto"/>
              <w:right w:val="single" w:sz="4" w:space="0" w:color="000000"/>
            </w:tcBorders>
            <w:noWrap/>
            <w:vAlign w:val="bottom"/>
          </w:tcPr>
          <w:p w:rsidR="00000000" w:rsidRDefault="00000000">
            <w:pPr>
              <w:jc w:val="center"/>
              <w:rPr>
                <w:b/>
                <w:bCs/>
                <w:szCs w:val="16"/>
              </w:rPr>
            </w:pPr>
            <w:r>
              <w:rPr>
                <w:b/>
                <w:bCs/>
                <w:szCs w:val="16"/>
              </w:rPr>
              <w:t>1 día</w:t>
            </w:r>
          </w:p>
        </w:tc>
        <w:tc>
          <w:tcPr>
            <w:tcW w:w="788" w:type="pct"/>
            <w:gridSpan w:val="2"/>
            <w:tcBorders>
              <w:top w:val="single" w:sz="4" w:space="0" w:color="auto"/>
              <w:left w:val="nil"/>
              <w:bottom w:val="single" w:sz="4" w:space="0" w:color="auto"/>
              <w:right w:val="nil"/>
            </w:tcBorders>
            <w:noWrap/>
            <w:vAlign w:val="bottom"/>
          </w:tcPr>
          <w:p w:rsidR="00000000" w:rsidRDefault="00000000">
            <w:pPr>
              <w:jc w:val="center"/>
              <w:rPr>
                <w:b/>
                <w:bCs/>
                <w:szCs w:val="16"/>
              </w:rPr>
            </w:pPr>
            <w:r>
              <w:rPr>
                <w:b/>
                <w:bCs/>
                <w:szCs w:val="16"/>
              </w:rPr>
              <w:t>1 a 6 días</w:t>
            </w:r>
          </w:p>
        </w:tc>
        <w:tc>
          <w:tcPr>
            <w:tcW w:w="788" w:type="pct"/>
            <w:gridSpan w:val="2"/>
            <w:tcBorders>
              <w:top w:val="single" w:sz="4" w:space="0" w:color="auto"/>
              <w:left w:val="single" w:sz="4" w:space="0" w:color="auto"/>
              <w:bottom w:val="single" w:sz="4" w:space="0" w:color="auto"/>
              <w:right w:val="nil"/>
            </w:tcBorders>
            <w:noWrap/>
            <w:vAlign w:val="bottom"/>
          </w:tcPr>
          <w:p w:rsidR="00000000" w:rsidRDefault="00000000">
            <w:pPr>
              <w:jc w:val="center"/>
              <w:rPr>
                <w:b/>
                <w:bCs/>
                <w:szCs w:val="16"/>
              </w:rPr>
            </w:pPr>
            <w:r>
              <w:rPr>
                <w:b/>
                <w:bCs/>
                <w:szCs w:val="16"/>
              </w:rPr>
              <w:t>7 a 27 días</w:t>
            </w:r>
          </w:p>
        </w:tc>
        <w:tc>
          <w:tcPr>
            <w:tcW w:w="859" w:type="pct"/>
            <w:gridSpan w:val="2"/>
            <w:tcBorders>
              <w:top w:val="single" w:sz="4" w:space="0" w:color="auto"/>
              <w:left w:val="single" w:sz="4" w:space="0" w:color="auto"/>
              <w:bottom w:val="single" w:sz="4" w:space="0" w:color="auto"/>
              <w:right w:val="single" w:sz="4" w:space="0" w:color="000000"/>
            </w:tcBorders>
            <w:noWrap/>
            <w:vAlign w:val="bottom"/>
          </w:tcPr>
          <w:p w:rsidR="00000000" w:rsidRDefault="00000000">
            <w:pPr>
              <w:jc w:val="center"/>
              <w:rPr>
                <w:b/>
                <w:bCs/>
                <w:szCs w:val="16"/>
              </w:rPr>
            </w:pPr>
            <w:r>
              <w:rPr>
                <w:b/>
                <w:bCs/>
                <w:szCs w:val="16"/>
              </w:rPr>
              <w:t>28 días y más</w:t>
            </w:r>
          </w:p>
        </w:tc>
        <w:tc>
          <w:tcPr>
            <w:tcW w:w="518" w:type="pct"/>
            <w:vMerge w:val="restart"/>
            <w:tcBorders>
              <w:top w:val="single" w:sz="4" w:space="0" w:color="auto"/>
              <w:left w:val="single" w:sz="4" w:space="0" w:color="auto"/>
              <w:bottom w:val="single" w:sz="4" w:space="0" w:color="000000"/>
              <w:right w:val="single" w:sz="4" w:space="0" w:color="auto"/>
            </w:tcBorders>
            <w:noWrap/>
            <w:vAlign w:val="center"/>
          </w:tcPr>
          <w:p w:rsidR="00000000" w:rsidRDefault="00000000">
            <w:pPr>
              <w:jc w:val="center"/>
              <w:rPr>
                <w:b/>
                <w:bCs/>
                <w:szCs w:val="16"/>
              </w:rPr>
            </w:pPr>
            <w:r>
              <w:rPr>
                <w:b/>
                <w:bCs/>
                <w:szCs w:val="16"/>
              </w:rPr>
              <w:t>Total</w:t>
            </w:r>
          </w:p>
        </w:tc>
      </w:tr>
      <w:tr w:rsidR="00000000">
        <w:trPr>
          <w:cantSplit/>
          <w:trHeight w:val="20"/>
          <w:tblHeader/>
          <w:jc w:val="center"/>
        </w:trPr>
        <w:tc>
          <w:tcPr>
            <w:tcW w:w="1256" w:type="pct"/>
            <w:vMerge/>
            <w:tcBorders>
              <w:top w:val="nil"/>
              <w:left w:val="single" w:sz="4" w:space="0" w:color="auto"/>
              <w:bottom w:val="single" w:sz="4" w:space="0" w:color="000000"/>
              <w:right w:val="single" w:sz="4" w:space="0" w:color="auto"/>
            </w:tcBorders>
            <w:vAlign w:val="center"/>
          </w:tcPr>
          <w:p w:rsidR="00000000" w:rsidRDefault="00000000">
            <w:pPr>
              <w:jc w:val="center"/>
              <w:rPr>
                <w:b/>
                <w:bCs/>
                <w:szCs w:val="16"/>
              </w:rPr>
            </w:pPr>
          </w:p>
        </w:tc>
        <w:tc>
          <w:tcPr>
            <w:tcW w:w="429" w:type="pct"/>
            <w:tcBorders>
              <w:top w:val="nil"/>
              <w:left w:val="nil"/>
              <w:bottom w:val="single" w:sz="4" w:space="0" w:color="auto"/>
              <w:right w:val="single" w:sz="4" w:space="0" w:color="auto"/>
            </w:tcBorders>
            <w:noWrap/>
            <w:vAlign w:val="bottom"/>
          </w:tcPr>
          <w:p w:rsidR="00000000" w:rsidRDefault="00000000">
            <w:pPr>
              <w:jc w:val="center"/>
              <w:rPr>
                <w:b/>
                <w:bCs/>
                <w:szCs w:val="16"/>
              </w:rPr>
            </w:pPr>
            <w:r>
              <w:rPr>
                <w:b/>
                <w:bCs/>
                <w:szCs w:val="16"/>
              </w:rPr>
              <w:t>CA</w:t>
            </w:r>
          </w:p>
        </w:tc>
        <w:tc>
          <w:tcPr>
            <w:tcW w:w="361" w:type="pct"/>
            <w:tcBorders>
              <w:top w:val="nil"/>
              <w:left w:val="nil"/>
              <w:bottom w:val="single" w:sz="4" w:space="0" w:color="auto"/>
              <w:right w:val="single" w:sz="4" w:space="0" w:color="auto"/>
            </w:tcBorders>
            <w:noWrap/>
            <w:vAlign w:val="bottom"/>
          </w:tcPr>
          <w:p w:rsidR="00000000" w:rsidRDefault="00000000">
            <w:pPr>
              <w:jc w:val="center"/>
              <w:rPr>
                <w:b/>
                <w:bCs/>
                <w:szCs w:val="16"/>
              </w:rPr>
            </w:pPr>
            <w:r>
              <w:rPr>
                <w:b/>
                <w:bCs/>
                <w:szCs w:val="16"/>
              </w:rPr>
              <w:t>SA</w:t>
            </w:r>
          </w:p>
        </w:tc>
        <w:tc>
          <w:tcPr>
            <w:tcW w:w="429" w:type="pct"/>
            <w:tcBorders>
              <w:top w:val="nil"/>
              <w:left w:val="nil"/>
              <w:bottom w:val="single" w:sz="4" w:space="0" w:color="auto"/>
              <w:right w:val="single" w:sz="4" w:space="0" w:color="auto"/>
            </w:tcBorders>
            <w:noWrap/>
            <w:vAlign w:val="bottom"/>
          </w:tcPr>
          <w:p w:rsidR="00000000" w:rsidRDefault="00000000">
            <w:pPr>
              <w:jc w:val="center"/>
              <w:rPr>
                <w:b/>
                <w:bCs/>
                <w:szCs w:val="16"/>
              </w:rPr>
            </w:pPr>
            <w:r>
              <w:rPr>
                <w:b/>
                <w:bCs/>
                <w:szCs w:val="16"/>
              </w:rPr>
              <w:t>CA</w:t>
            </w:r>
          </w:p>
        </w:tc>
        <w:tc>
          <w:tcPr>
            <w:tcW w:w="359" w:type="pct"/>
            <w:tcBorders>
              <w:top w:val="nil"/>
              <w:left w:val="nil"/>
              <w:bottom w:val="single" w:sz="4" w:space="0" w:color="auto"/>
              <w:right w:val="single" w:sz="4" w:space="0" w:color="auto"/>
            </w:tcBorders>
            <w:noWrap/>
            <w:vAlign w:val="bottom"/>
          </w:tcPr>
          <w:p w:rsidR="00000000" w:rsidRDefault="00000000">
            <w:pPr>
              <w:jc w:val="center"/>
              <w:rPr>
                <w:b/>
                <w:bCs/>
                <w:szCs w:val="16"/>
              </w:rPr>
            </w:pPr>
            <w:r>
              <w:rPr>
                <w:b/>
                <w:bCs/>
                <w:szCs w:val="16"/>
              </w:rPr>
              <w:t>SA</w:t>
            </w:r>
          </w:p>
        </w:tc>
        <w:tc>
          <w:tcPr>
            <w:tcW w:w="429" w:type="pct"/>
            <w:tcBorders>
              <w:top w:val="nil"/>
              <w:left w:val="nil"/>
              <w:bottom w:val="single" w:sz="4" w:space="0" w:color="auto"/>
              <w:right w:val="single" w:sz="4" w:space="0" w:color="auto"/>
            </w:tcBorders>
            <w:noWrap/>
            <w:vAlign w:val="bottom"/>
          </w:tcPr>
          <w:p w:rsidR="00000000" w:rsidRDefault="00000000">
            <w:pPr>
              <w:jc w:val="center"/>
              <w:rPr>
                <w:b/>
                <w:bCs/>
                <w:szCs w:val="16"/>
              </w:rPr>
            </w:pPr>
            <w:r>
              <w:rPr>
                <w:b/>
                <w:bCs/>
                <w:szCs w:val="16"/>
              </w:rPr>
              <w:t>CA</w:t>
            </w:r>
          </w:p>
        </w:tc>
        <w:tc>
          <w:tcPr>
            <w:tcW w:w="359" w:type="pct"/>
            <w:tcBorders>
              <w:top w:val="nil"/>
              <w:left w:val="nil"/>
              <w:bottom w:val="single" w:sz="4" w:space="0" w:color="auto"/>
              <w:right w:val="single" w:sz="4" w:space="0" w:color="auto"/>
            </w:tcBorders>
            <w:noWrap/>
            <w:vAlign w:val="bottom"/>
          </w:tcPr>
          <w:p w:rsidR="00000000" w:rsidRDefault="00000000">
            <w:pPr>
              <w:jc w:val="center"/>
              <w:rPr>
                <w:b/>
                <w:bCs/>
                <w:szCs w:val="16"/>
              </w:rPr>
            </w:pPr>
            <w:r>
              <w:rPr>
                <w:b/>
                <w:bCs/>
                <w:szCs w:val="16"/>
              </w:rPr>
              <w:t>SA</w:t>
            </w:r>
          </w:p>
        </w:tc>
        <w:tc>
          <w:tcPr>
            <w:tcW w:w="429" w:type="pct"/>
            <w:tcBorders>
              <w:top w:val="nil"/>
              <w:left w:val="nil"/>
              <w:bottom w:val="single" w:sz="4" w:space="0" w:color="auto"/>
              <w:right w:val="single" w:sz="4" w:space="0" w:color="auto"/>
            </w:tcBorders>
            <w:noWrap/>
            <w:vAlign w:val="bottom"/>
          </w:tcPr>
          <w:p w:rsidR="00000000" w:rsidRDefault="00000000">
            <w:pPr>
              <w:jc w:val="center"/>
              <w:rPr>
                <w:b/>
                <w:bCs/>
                <w:szCs w:val="16"/>
              </w:rPr>
            </w:pPr>
            <w:r>
              <w:rPr>
                <w:b/>
                <w:bCs/>
                <w:szCs w:val="16"/>
              </w:rPr>
              <w:t>CA</w:t>
            </w:r>
          </w:p>
        </w:tc>
        <w:tc>
          <w:tcPr>
            <w:tcW w:w="430" w:type="pct"/>
            <w:tcBorders>
              <w:top w:val="nil"/>
              <w:left w:val="nil"/>
              <w:bottom w:val="single" w:sz="4" w:space="0" w:color="auto"/>
              <w:right w:val="single" w:sz="4" w:space="0" w:color="auto"/>
            </w:tcBorders>
            <w:noWrap/>
            <w:vAlign w:val="bottom"/>
          </w:tcPr>
          <w:p w:rsidR="00000000" w:rsidRDefault="00000000">
            <w:pPr>
              <w:jc w:val="center"/>
              <w:rPr>
                <w:b/>
                <w:bCs/>
                <w:szCs w:val="16"/>
              </w:rPr>
            </w:pPr>
            <w:r>
              <w:rPr>
                <w:b/>
                <w:bCs/>
                <w:szCs w:val="16"/>
              </w:rPr>
              <w:t>SA</w:t>
            </w:r>
          </w:p>
        </w:tc>
        <w:tc>
          <w:tcPr>
            <w:tcW w:w="518" w:type="pct"/>
            <w:vMerge/>
            <w:tcBorders>
              <w:top w:val="single" w:sz="4" w:space="0" w:color="auto"/>
              <w:left w:val="single" w:sz="4" w:space="0" w:color="auto"/>
              <w:bottom w:val="single" w:sz="4" w:space="0" w:color="000000"/>
              <w:right w:val="single" w:sz="4" w:space="0" w:color="auto"/>
            </w:tcBorders>
            <w:vAlign w:val="center"/>
          </w:tcPr>
          <w:p w:rsidR="00000000" w:rsidRDefault="00000000">
            <w:pPr>
              <w:jc w:val="center"/>
              <w:rPr>
                <w:b/>
                <w:bCs/>
                <w:szCs w:val="16"/>
              </w:rPr>
            </w:pP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Concepción</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14</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2</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39</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15</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2</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28</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8</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108</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San Pedro</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13</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18</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13</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42</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4</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90</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Cordillera</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26</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18</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8</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3</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28</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8</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93</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Guaira</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15</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2</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27</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3</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17</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25</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5</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95</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Caaguazu</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21</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16</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3</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7</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25</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13</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87</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Caazapa</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8</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14</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3</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8</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7</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43</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Itapúa</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14</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3</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50</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2</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18</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40</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8</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135</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Misiones</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9</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21</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9</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14</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0</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53</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Paraguari</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15</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10</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1</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22</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6</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57</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Alto Paraná</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29</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56</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4</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39</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95</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21</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246</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Central</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87</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3</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78</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3</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69</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2</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137</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19</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398</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Neembucu</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3</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7</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2</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7</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1</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20</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Amambay</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7</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16</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6</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7</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1</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39</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Canindeyu</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11</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8</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0</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8</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2</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31</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Presidente Hayes</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8</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5</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11</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3</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29</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Alto Paraguay</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0</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1</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0</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2</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0</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3</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Boquerón</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2</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0</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8</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1</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13</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Asunción</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31</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35</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29</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1</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41</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3</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140</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Extranjero</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szCs w:val="16"/>
              </w:rPr>
            </w:pPr>
            <w:r>
              <w:rPr>
                <w:szCs w:val="16"/>
              </w:rPr>
              <w:t>1</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szCs w:val="16"/>
              </w:rPr>
            </w:pPr>
            <w:r>
              <w:rPr>
                <w:szCs w:val="16"/>
              </w:rPr>
              <w:t>2</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szCs w:val="16"/>
              </w:rPr>
            </w:pPr>
            <w:r>
              <w:rPr>
                <w:szCs w:val="16"/>
              </w:rPr>
              <w:t>0</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szCs w:val="16"/>
              </w:rPr>
            </w:pPr>
            <w:r>
              <w:rPr>
                <w:szCs w:val="16"/>
              </w:rPr>
              <w:t>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szCs w:val="16"/>
              </w:rPr>
            </w:pPr>
            <w:r>
              <w:rPr>
                <w:szCs w:val="16"/>
              </w:rPr>
              <w:t>0</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szCs w:val="16"/>
              </w:rPr>
            </w:pPr>
            <w:r>
              <w:rPr>
                <w:szCs w:val="16"/>
              </w:rPr>
              <w:t>0</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szCs w:val="16"/>
              </w:rPr>
            </w:pPr>
            <w:r>
              <w:rPr>
                <w:szCs w:val="16"/>
              </w:rPr>
              <w:t>3</w:t>
            </w:r>
          </w:p>
        </w:tc>
      </w:tr>
      <w:tr w:rsidR="00000000">
        <w:trPr>
          <w:trHeight w:val="20"/>
          <w:jc w:val="center"/>
        </w:trPr>
        <w:tc>
          <w:tcPr>
            <w:tcW w:w="1256" w:type="pct"/>
            <w:tcBorders>
              <w:top w:val="nil"/>
              <w:left w:val="single" w:sz="4" w:space="0" w:color="auto"/>
              <w:bottom w:val="single" w:sz="4" w:space="0" w:color="auto"/>
              <w:right w:val="single" w:sz="4" w:space="0" w:color="auto"/>
            </w:tcBorders>
            <w:noWrap/>
            <w:vAlign w:val="bottom"/>
          </w:tcPr>
          <w:p w:rsidR="00000000" w:rsidRDefault="00000000">
            <w:pPr>
              <w:ind w:left="182"/>
              <w:rPr>
                <w:b/>
                <w:bCs/>
                <w:color w:val="000000"/>
                <w:szCs w:val="16"/>
              </w:rPr>
            </w:pPr>
            <w:r>
              <w:rPr>
                <w:b/>
                <w:bCs/>
                <w:color w:val="000000"/>
                <w:szCs w:val="16"/>
              </w:rPr>
              <w:t>Total general</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567"/>
              </w:tabs>
              <w:rPr>
                <w:b/>
                <w:bCs/>
                <w:szCs w:val="16"/>
              </w:rPr>
            </w:pPr>
            <w:r>
              <w:rPr>
                <w:b/>
                <w:bCs/>
                <w:szCs w:val="16"/>
              </w:rPr>
              <w:t>306</w:t>
            </w:r>
          </w:p>
        </w:tc>
        <w:tc>
          <w:tcPr>
            <w:tcW w:w="361" w:type="pct"/>
            <w:tcBorders>
              <w:top w:val="nil"/>
              <w:left w:val="nil"/>
              <w:bottom w:val="single" w:sz="4" w:space="0" w:color="auto"/>
              <w:right w:val="single" w:sz="4" w:space="0" w:color="auto"/>
            </w:tcBorders>
            <w:noWrap/>
            <w:vAlign w:val="bottom"/>
          </w:tcPr>
          <w:p w:rsidR="00000000" w:rsidRDefault="00000000">
            <w:pPr>
              <w:tabs>
                <w:tab w:val="decimal" w:pos="375"/>
              </w:tabs>
              <w:rPr>
                <w:b/>
                <w:bCs/>
                <w:szCs w:val="16"/>
              </w:rPr>
            </w:pPr>
            <w:r>
              <w:rPr>
                <w:b/>
                <w:bCs/>
                <w:szCs w:val="16"/>
              </w:rPr>
              <w:t>16</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3"/>
              </w:tabs>
              <w:rPr>
                <w:b/>
                <w:bCs/>
                <w:szCs w:val="16"/>
              </w:rPr>
            </w:pPr>
            <w:r>
              <w:rPr>
                <w:b/>
                <w:bCs/>
                <w:szCs w:val="16"/>
              </w:rPr>
              <w:t>426</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70"/>
              </w:tabs>
              <w:rPr>
                <w:b/>
                <w:bCs/>
                <w:szCs w:val="16"/>
              </w:rPr>
            </w:pPr>
            <w:r>
              <w:rPr>
                <w:b/>
                <w:bCs/>
                <w:szCs w:val="16"/>
              </w:rPr>
              <w:t>20</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98"/>
              </w:tabs>
              <w:rPr>
                <w:b/>
                <w:bCs/>
                <w:szCs w:val="16"/>
              </w:rPr>
            </w:pPr>
            <w:r>
              <w:rPr>
                <w:b/>
                <w:bCs/>
                <w:szCs w:val="16"/>
              </w:rPr>
              <w:t>241</w:t>
            </w:r>
          </w:p>
        </w:tc>
        <w:tc>
          <w:tcPr>
            <w:tcW w:w="359" w:type="pct"/>
            <w:tcBorders>
              <w:top w:val="nil"/>
              <w:left w:val="nil"/>
              <w:bottom w:val="single" w:sz="4" w:space="0" w:color="auto"/>
              <w:right w:val="single" w:sz="4" w:space="0" w:color="auto"/>
            </w:tcBorders>
            <w:noWrap/>
            <w:vAlign w:val="bottom"/>
          </w:tcPr>
          <w:p w:rsidR="00000000" w:rsidRDefault="00000000">
            <w:pPr>
              <w:tabs>
                <w:tab w:val="decimal" w:pos="367"/>
              </w:tabs>
              <w:rPr>
                <w:b/>
                <w:bCs/>
                <w:szCs w:val="16"/>
              </w:rPr>
            </w:pPr>
            <w:r>
              <w:rPr>
                <w:b/>
                <w:bCs/>
                <w:szCs w:val="16"/>
              </w:rPr>
              <w:t>16</w:t>
            </w:r>
          </w:p>
        </w:tc>
        <w:tc>
          <w:tcPr>
            <w:tcW w:w="429" w:type="pct"/>
            <w:tcBorders>
              <w:top w:val="nil"/>
              <w:left w:val="nil"/>
              <w:bottom w:val="single" w:sz="4" w:space="0" w:color="auto"/>
              <w:right w:val="single" w:sz="4" w:space="0" w:color="auto"/>
            </w:tcBorders>
            <w:noWrap/>
            <w:vAlign w:val="bottom"/>
          </w:tcPr>
          <w:p w:rsidR="00000000" w:rsidRDefault="00000000">
            <w:pPr>
              <w:tabs>
                <w:tab w:val="decimal" w:pos="488"/>
              </w:tabs>
              <w:rPr>
                <w:b/>
                <w:bCs/>
                <w:szCs w:val="16"/>
              </w:rPr>
            </w:pPr>
            <w:r>
              <w:rPr>
                <w:b/>
                <w:bCs/>
                <w:szCs w:val="16"/>
              </w:rPr>
              <w:t>548</w:t>
            </w:r>
          </w:p>
        </w:tc>
        <w:tc>
          <w:tcPr>
            <w:tcW w:w="430" w:type="pct"/>
            <w:tcBorders>
              <w:top w:val="nil"/>
              <w:left w:val="nil"/>
              <w:bottom w:val="single" w:sz="4" w:space="0" w:color="auto"/>
              <w:right w:val="single" w:sz="4" w:space="0" w:color="auto"/>
            </w:tcBorders>
            <w:noWrap/>
            <w:vAlign w:val="bottom"/>
          </w:tcPr>
          <w:p w:rsidR="00000000" w:rsidRDefault="00000000">
            <w:pPr>
              <w:tabs>
                <w:tab w:val="decimal" w:pos="505"/>
              </w:tabs>
              <w:rPr>
                <w:b/>
                <w:bCs/>
                <w:szCs w:val="16"/>
              </w:rPr>
            </w:pPr>
            <w:r>
              <w:rPr>
                <w:b/>
                <w:bCs/>
                <w:szCs w:val="16"/>
              </w:rPr>
              <w:t>110</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688"/>
              </w:tabs>
              <w:rPr>
                <w:b/>
                <w:bCs/>
                <w:szCs w:val="16"/>
              </w:rPr>
            </w:pPr>
            <w:r>
              <w:rPr>
                <w:b/>
                <w:bCs/>
                <w:szCs w:val="16"/>
              </w:rPr>
              <w:t>1.683</w:t>
            </w:r>
          </w:p>
        </w:tc>
      </w:tr>
    </w:tbl>
    <w:p w:rsidR="00000000" w:rsidRDefault="00000000">
      <w:pPr>
        <w:pStyle w:val="BodyText"/>
        <w:spacing w:before="240"/>
        <w:jc w:val="left"/>
        <w:rPr>
          <w:szCs w:val="16"/>
          <w:lang w:val="es-ES"/>
        </w:rPr>
      </w:pPr>
      <w:r>
        <w:rPr>
          <w:szCs w:val="16"/>
        </w:rPr>
        <w:t>CA = Con asistencia médica.</w:t>
      </w:r>
    </w:p>
    <w:p w:rsidR="00000000" w:rsidRDefault="00000000">
      <w:pPr>
        <w:pStyle w:val="BodyText"/>
        <w:spacing w:after="480"/>
        <w:jc w:val="left"/>
        <w:rPr>
          <w:szCs w:val="16"/>
        </w:rPr>
      </w:pPr>
      <w:r>
        <w:rPr>
          <w:szCs w:val="16"/>
        </w:rPr>
        <w:t>SA = Sin asistencia médica.</w:t>
      </w:r>
    </w:p>
    <w:p w:rsidR="00000000" w:rsidRDefault="00000000">
      <w:pPr>
        <w:pStyle w:val="BodyText"/>
        <w:keepNext/>
        <w:keepLines/>
        <w:spacing w:after="220"/>
        <w:jc w:val="center"/>
        <w:rPr>
          <w:b/>
          <w:bCs/>
          <w:sz w:val="22"/>
          <w:szCs w:val="16"/>
        </w:rPr>
      </w:pPr>
      <w:r>
        <w:rPr>
          <w:b/>
          <w:bCs/>
          <w:sz w:val="22"/>
          <w:szCs w:val="16"/>
        </w:rPr>
        <w:t xml:space="preserve">Paraguay, mortalidad infantil por regiones sanitarias según zonas </w:t>
      </w:r>
      <w:r>
        <w:rPr>
          <w:b/>
          <w:bCs/>
          <w:sz w:val="22"/>
          <w:szCs w:val="16"/>
        </w:rPr>
        <w:br/>
        <w:t>de residencia año 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1175"/>
        <w:gridCol w:w="1167"/>
        <w:gridCol w:w="1014"/>
        <w:gridCol w:w="619"/>
        <w:gridCol w:w="1122"/>
        <w:gridCol w:w="509"/>
        <w:gridCol w:w="577"/>
        <w:gridCol w:w="601"/>
        <w:gridCol w:w="509"/>
        <w:gridCol w:w="577"/>
        <w:gridCol w:w="1176"/>
        <w:gridCol w:w="993"/>
        <w:gridCol w:w="619"/>
      </w:tblGrid>
      <w:tr w:rsidR="00000000">
        <w:tblPrEx>
          <w:tblCellMar>
            <w:top w:w="0" w:type="dxa"/>
            <w:bottom w:w="0" w:type="dxa"/>
          </w:tblCellMar>
        </w:tblPrEx>
        <w:trPr>
          <w:cantSplit/>
        </w:trPr>
        <w:tc>
          <w:tcPr>
            <w:tcW w:w="714" w:type="pct"/>
            <w:vMerge w:val="restart"/>
            <w:vAlign w:val="center"/>
          </w:tcPr>
          <w:p w:rsidR="00000000" w:rsidRDefault="00000000">
            <w:pPr>
              <w:keepNext/>
              <w:keepLines/>
              <w:jc w:val="center"/>
              <w:rPr>
                <w:b/>
                <w:bCs/>
                <w:sz w:val="22"/>
                <w:szCs w:val="20"/>
              </w:rPr>
            </w:pPr>
            <w:r>
              <w:rPr>
                <w:b/>
                <w:bCs/>
                <w:sz w:val="22"/>
                <w:szCs w:val="20"/>
              </w:rPr>
              <w:t>Regiones sanitarias</w:t>
            </w:r>
          </w:p>
        </w:tc>
        <w:tc>
          <w:tcPr>
            <w:tcW w:w="3164" w:type="pct"/>
            <w:gridSpan w:val="9"/>
            <w:vAlign w:val="center"/>
          </w:tcPr>
          <w:p w:rsidR="00000000" w:rsidRDefault="00000000">
            <w:pPr>
              <w:keepNext/>
              <w:keepLines/>
              <w:jc w:val="center"/>
              <w:rPr>
                <w:b/>
                <w:bCs/>
                <w:sz w:val="22"/>
                <w:szCs w:val="20"/>
              </w:rPr>
            </w:pPr>
            <w:r>
              <w:rPr>
                <w:b/>
                <w:bCs/>
                <w:sz w:val="22"/>
                <w:szCs w:val="20"/>
              </w:rPr>
              <w:t>Zonas</w:t>
            </w:r>
          </w:p>
        </w:tc>
        <w:tc>
          <w:tcPr>
            <w:tcW w:w="1122" w:type="pct"/>
            <w:gridSpan w:val="3"/>
            <w:vMerge w:val="restart"/>
            <w:vAlign w:val="center"/>
          </w:tcPr>
          <w:p w:rsidR="00000000" w:rsidRDefault="00000000">
            <w:pPr>
              <w:keepNext/>
              <w:keepLines/>
              <w:jc w:val="center"/>
              <w:rPr>
                <w:b/>
                <w:bCs/>
                <w:sz w:val="22"/>
                <w:szCs w:val="20"/>
                <w:lang w:val="en-US"/>
              </w:rPr>
            </w:pPr>
            <w:r>
              <w:rPr>
                <w:b/>
                <w:bCs/>
                <w:sz w:val="22"/>
                <w:szCs w:val="20"/>
                <w:lang w:val="en-US"/>
              </w:rPr>
              <w:t>Total</w:t>
            </w:r>
          </w:p>
        </w:tc>
      </w:tr>
      <w:tr w:rsidR="00000000">
        <w:tblPrEx>
          <w:tblCellMar>
            <w:top w:w="0" w:type="dxa"/>
            <w:bottom w:w="0" w:type="dxa"/>
          </w:tblCellMar>
        </w:tblPrEx>
        <w:trPr>
          <w:cantSplit/>
        </w:trPr>
        <w:tc>
          <w:tcPr>
            <w:tcW w:w="714" w:type="pct"/>
            <w:vMerge/>
            <w:vAlign w:val="center"/>
          </w:tcPr>
          <w:p w:rsidR="00000000" w:rsidRDefault="00000000">
            <w:pPr>
              <w:keepNext/>
              <w:keepLines/>
              <w:rPr>
                <w:sz w:val="22"/>
                <w:szCs w:val="20"/>
                <w:lang w:val="en-US"/>
              </w:rPr>
            </w:pPr>
          </w:p>
        </w:tc>
        <w:tc>
          <w:tcPr>
            <w:tcW w:w="1157" w:type="pct"/>
            <w:gridSpan w:val="3"/>
            <w:vAlign w:val="center"/>
          </w:tcPr>
          <w:p w:rsidR="00000000" w:rsidRDefault="00000000">
            <w:pPr>
              <w:keepNext/>
              <w:keepLines/>
              <w:jc w:val="center"/>
              <w:rPr>
                <w:b/>
                <w:bCs/>
                <w:sz w:val="22"/>
                <w:szCs w:val="20"/>
                <w:lang w:val="en-US"/>
              </w:rPr>
            </w:pPr>
            <w:r>
              <w:rPr>
                <w:b/>
                <w:bCs/>
                <w:sz w:val="22"/>
                <w:szCs w:val="20"/>
                <w:lang w:val="en-US"/>
              </w:rPr>
              <w:t>Urbana</w:t>
            </w:r>
          </w:p>
        </w:tc>
        <w:tc>
          <w:tcPr>
            <w:tcW w:w="1040" w:type="pct"/>
            <w:gridSpan w:val="3"/>
            <w:vAlign w:val="center"/>
          </w:tcPr>
          <w:p w:rsidR="00000000" w:rsidRDefault="00000000">
            <w:pPr>
              <w:keepNext/>
              <w:keepLines/>
              <w:jc w:val="center"/>
              <w:rPr>
                <w:b/>
                <w:bCs/>
                <w:sz w:val="22"/>
                <w:szCs w:val="20"/>
                <w:lang w:val="en-US"/>
              </w:rPr>
            </w:pPr>
            <w:r>
              <w:rPr>
                <w:b/>
                <w:bCs/>
                <w:sz w:val="22"/>
                <w:szCs w:val="20"/>
                <w:lang w:val="en-US"/>
              </w:rPr>
              <w:t>Rural</w:t>
            </w:r>
          </w:p>
        </w:tc>
        <w:tc>
          <w:tcPr>
            <w:tcW w:w="967" w:type="pct"/>
            <w:gridSpan w:val="3"/>
            <w:vAlign w:val="center"/>
          </w:tcPr>
          <w:p w:rsidR="00000000" w:rsidRDefault="00000000">
            <w:pPr>
              <w:keepNext/>
              <w:keepLines/>
              <w:jc w:val="center"/>
              <w:rPr>
                <w:b/>
                <w:bCs/>
                <w:sz w:val="22"/>
                <w:szCs w:val="20"/>
              </w:rPr>
            </w:pPr>
            <w:r>
              <w:rPr>
                <w:b/>
                <w:bCs/>
                <w:sz w:val="22"/>
                <w:szCs w:val="20"/>
              </w:rPr>
              <w:t>Ignorada</w:t>
            </w:r>
          </w:p>
        </w:tc>
        <w:tc>
          <w:tcPr>
            <w:tcW w:w="1122" w:type="pct"/>
            <w:gridSpan w:val="3"/>
            <w:vMerge/>
            <w:vAlign w:val="center"/>
          </w:tcPr>
          <w:p w:rsidR="00000000" w:rsidRDefault="00000000">
            <w:pPr>
              <w:keepNext/>
              <w:keepLines/>
              <w:rPr>
                <w:b/>
                <w:bCs/>
                <w:sz w:val="22"/>
                <w:szCs w:val="20"/>
              </w:rPr>
            </w:pPr>
          </w:p>
        </w:tc>
      </w:tr>
      <w:tr w:rsidR="00000000">
        <w:tblPrEx>
          <w:tblCellMar>
            <w:top w:w="0" w:type="dxa"/>
            <w:bottom w:w="0" w:type="dxa"/>
          </w:tblCellMar>
        </w:tblPrEx>
        <w:trPr>
          <w:cantSplit/>
        </w:trPr>
        <w:tc>
          <w:tcPr>
            <w:tcW w:w="714" w:type="pct"/>
            <w:vMerge/>
            <w:vAlign w:val="center"/>
          </w:tcPr>
          <w:p w:rsidR="00000000" w:rsidRDefault="00000000">
            <w:pPr>
              <w:keepNext/>
              <w:keepLines/>
              <w:rPr>
                <w:sz w:val="22"/>
                <w:szCs w:val="20"/>
              </w:rPr>
            </w:pPr>
          </w:p>
        </w:tc>
        <w:tc>
          <w:tcPr>
            <w:tcW w:w="448" w:type="pct"/>
            <w:vAlign w:val="center"/>
          </w:tcPr>
          <w:p w:rsidR="00000000" w:rsidRDefault="00000000">
            <w:pPr>
              <w:keepNext/>
              <w:keepLines/>
              <w:rPr>
                <w:b/>
                <w:bCs/>
                <w:sz w:val="22"/>
                <w:szCs w:val="20"/>
              </w:rPr>
            </w:pPr>
            <w:r>
              <w:rPr>
                <w:b/>
                <w:bCs/>
                <w:sz w:val="22"/>
                <w:szCs w:val="20"/>
              </w:rPr>
              <w:t>NVR</w:t>
            </w:r>
          </w:p>
        </w:tc>
        <w:tc>
          <w:tcPr>
            <w:tcW w:w="354" w:type="pct"/>
            <w:vAlign w:val="center"/>
          </w:tcPr>
          <w:p w:rsidR="00000000" w:rsidRDefault="00000000">
            <w:pPr>
              <w:keepNext/>
              <w:keepLines/>
              <w:rPr>
                <w:b/>
                <w:bCs/>
                <w:sz w:val="22"/>
                <w:szCs w:val="20"/>
              </w:rPr>
            </w:pPr>
            <w:r>
              <w:rPr>
                <w:b/>
                <w:bCs/>
                <w:sz w:val="22"/>
                <w:szCs w:val="20"/>
              </w:rPr>
              <w:t>Def.</w:t>
            </w:r>
          </w:p>
        </w:tc>
        <w:tc>
          <w:tcPr>
            <w:tcW w:w="355" w:type="pct"/>
            <w:vAlign w:val="center"/>
          </w:tcPr>
          <w:p w:rsidR="00000000" w:rsidRDefault="00000000">
            <w:pPr>
              <w:keepNext/>
              <w:keepLines/>
              <w:rPr>
                <w:b/>
                <w:bCs/>
                <w:sz w:val="22"/>
                <w:szCs w:val="20"/>
              </w:rPr>
            </w:pPr>
            <w:r>
              <w:rPr>
                <w:b/>
                <w:bCs/>
                <w:sz w:val="22"/>
                <w:szCs w:val="20"/>
              </w:rPr>
              <w:t>Tasa</w:t>
            </w:r>
          </w:p>
        </w:tc>
        <w:tc>
          <w:tcPr>
            <w:tcW w:w="417" w:type="pct"/>
            <w:vAlign w:val="center"/>
          </w:tcPr>
          <w:p w:rsidR="00000000" w:rsidRDefault="00000000">
            <w:pPr>
              <w:keepNext/>
              <w:keepLines/>
              <w:rPr>
                <w:b/>
                <w:bCs/>
                <w:sz w:val="22"/>
                <w:szCs w:val="20"/>
              </w:rPr>
            </w:pPr>
            <w:r>
              <w:rPr>
                <w:b/>
                <w:bCs/>
                <w:sz w:val="22"/>
                <w:szCs w:val="20"/>
              </w:rPr>
              <w:t>NVR</w:t>
            </w:r>
          </w:p>
        </w:tc>
        <w:tc>
          <w:tcPr>
            <w:tcW w:w="292" w:type="pct"/>
            <w:vAlign w:val="center"/>
          </w:tcPr>
          <w:p w:rsidR="00000000" w:rsidRDefault="00000000">
            <w:pPr>
              <w:keepNext/>
              <w:keepLines/>
              <w:rPr>
                <w:b/>
                <w:bCs/>
                <w:sz w:val="22"/>
                <w:szCs w:val="20"/>
              </w:rPr>
            </w:pPr>
            <w:r>
              <w:rPr>
                <w:b/>
                <w:bCs/>
                <w:sz w:val="22"/>
                <w:szCs w:val="20"/>
              </w:rPr>
              <w:t>Def.</w:t>
            </w:r>
          </w:p>
        </w:tc>
        <w:tc>
          <w:tcPr>
            <w:tcW w:w="331" w:type="pct"/>
            <w:vAlign w:val="center"/>
          </w:tcPr>
          <w:p w:rsidR="00000000" w:rsidRDefault="00000000">
            <w:pPr>
              <w:keepNext/>
              <w:keepLines/>
              <w:rPr>
                <w:b/>
                <w:bCs/>
                <w:sz w:val="22"/>
                <w:szCs w:val="20"/>
              </w:rPr>
            </w:pPr>
            <w:r>
              <w:rPr>
                <w:b/>
                <w:bCs/>
                <w:sz w:val="22"/>
                <w:szCs w:val="20"/>
              </w:rPr>
              <w:t>Tasa</w:t>
            </w:r>
          </w:p>
        </w:tc>
        <w:tc>
          <w:tcPr>
            <w:tcW w:w="344" w:type="pct"/>
            <w:vAlign w:val="center"/>
          </w:tcPr>
          <w:p w:rsidR="00000000" w:rsidRDefault="00000000">
            <w:pPr>
              <w:keepNext/>
              <w:keepLines/>
              <w:rPr>
                <w:b/>
                <w:bCs/>
                <w:sz w:val="22"/>
                <w:szCs w:val="20"/>
              </w:rPr>
            </w:pPr>
            <w:r>
              <w:rPr>
                <w:b/>
                <w:bCs/>
                <w:sz w:val="22"/>
                <w:szCs w:val="20"/>
              </w:rPr>
              <w:t>NVR</w:t>
            </w:r>
          </w:p>
        </w:tc>
        <w:tc>
          <w:tcPr>
            <w:tcW w:w="292" w:type="pct"/>
            <w:vAlign w:val="center"/>
          </w:tcPr>
          <w:p w:rsidR="00000000" w:rsidRDefault="00000000">
            <w:pPr>
              <w:keepNext/>
              <w:keepLines/>
              <w:rPr>
                <w:b/>
                <w:bCs/>
                <w:sz w:val="22"/>
                <w:szCs w:val="20"/>
              </w:rPr>
            </w:pPr>
            <w:r>
              <w:rPr>
                <w:b/>
                <w:bCs/>
                <w:sz w:val="22"/>
                <w:szCs w:val="20"/>
              </w:rPr>
              <w:t>Def.</w:t>
            </w:r>
          </w:p>
        </w:tc>
        <w:tc>
          <w:tcPr>
            <w:tcW w:w="331" w:type="pct"/>
            <w:vAlign w:val="center"/>
          </w:tcPr>
          <w:p w:rsidR="00000000" w:rsidRDefault="00000000">
            <w:pPr>
              <w:keepNext/>
              <w:keepLines/>
              <w:rPr>
                <w:b/>
                <w:bCs/>
                <w:sz w:val="22"/>
                <w:szCs w:val="20"/>
              </w:rPr>
            </w:pPr>
            <w:r>
              <w:rPr>
                <w:b/>
                <w:bCs/>
                <w:sz w:val="22"/>
                <w:szCs w:val="20"/>
              </w:rPr>
              <w:t>Tasa</w:t>
            </w:r>
          </w:p>
        </w:tc>
        <w:tc>
          <w:tcPr>
            <w:tcW w:w="417" w:type="pct"/>
            <w:vAlign w:val="center"/>
          </w:tcPr>
          <w:p w:rsidR="00000000" w:rsidRDefault="00000000">
            <w:pPr>
              <w:keepNext/>
              <w:keepLines/>
              <w:rPr>
                <w:b/>
                <w:bCs/>
                <w:sz w:val="22"/>
                <w:szCs w:val="20"/>
              </w:rPr>
            </w:pPr>
            <w:r>
              <w:rPr>
                <w:b/>
                <w:bCs/>
                <w:sz w:val="22"/>
                <w:szCs w:val="20"/>
              </w:rPr>
              <w:t>NVR</w:t>
            </w:r>
          </w:p>
        </w:tc>
        <w:tc>
          <w:tcPr>
            <w:tcW w:w="354" w:type="pct"/>
            <w:vAlign w:val="center"/>
          </w:tcPr>
          <w:p w:rsidR="00000000" w:rsidRDefault="00000000">
            <w:pPr>
              <w:keepNext/>
              <w:keepLines/>
              <w:rPr>
                <w:b/>
                <w:bCs/>
                <w:sz w:val="22"/>
                <w:szCs w:val="20"/>
              </w:rPr>
            </w:pPr>
            <w:r>
              <w:rPr>
                <w:b/>
                <w:bCs/>
                <w:sz w:val="22"/>
                <w:szCs w:val="20"/>
              </w:rPr>
              <w:t>Def.</w:t>
            </w:r>
          </w:p>
        </w:tc>
        <w:tc>
          <w:tcPr>
            <w:tcW w:w="351" w:type="pct"/>
            <w:vAlign w:val="center"/>
          </w:tcPr>
          <w:p w:rsidR="00000000" w:rsidRDefault="00000000">
            <w:pPr>
              <w:keepNext/>
              <w:keepLines/>
              <w:rPr>
                <w:b/>
                <w:bCs/>
                <w:sz w:val="22"/>
                <w:szCs w:val="20"/>
              </w:rPr>
            </w:pPr>
            <w:r>
              <w:rPr>
                <w:b/>
                <w:bCs/>
                <w:sz w:val="22"/>
                <w:szCs w:val="20"/>
              </w:rPr>
              <w:t>Tasa</w:t>
            </w:r>
          </w:p>
        </w:tc>
      </w:tr>
      <w:tr w:rsidR="00000000">
        <w:tblPrEx>
          <w:tblCellMar>
            <w:top w:w="0" w:type="dxa"/>
            <w:bottom w:w="0" w:type="dxa"/>
          </w:tblCellMar>
        </w:tblPrEx>
        <w:tc>
          <w:tcPr>
            <w:tcW w:w="714" w:type="pct"/>
          </w:tcPr>
          <w:p w:rsidR="00000000" w:rsidRDefault="00000000">
            <w:pPr>
              <w:keepNext/>
              <w:keepLines/>
              <w:rPr>
                <w:sz w:val="22"/>
                <w:szCs w:val="20"/>
              </w:rPr>
            </w:pPr>
            <w:r>
              <w:rPr>
                <w:sz w:val="22"/>
                <w:szCs w:val="20"/>
              </w:rPr>
              <w:t>Concepción</w:t>
            </w:r>
          </w:p>
        </w:tc>
        <w:tc>
          <w:tcPr>
            <w:tcW w:w="448" w:type="pct"/>
          </w:tcPr>
          <w:p w:rsidR="00000000" w:rsidRDefault="00000000">
            <w:pPr>
              <w:keepNext/>
              <w:keepLines/>
              <w:tabs>
                <w:tab w:val="decimal" w:pos="658"/>
              </w:tabs>
              <w:rPr>
                <w:sz w:val="22"/>
                <w:szCs w:val="20"/>
              </w:rPr>
            </w:pPr>
            <w:r>
              <w:rPr>
                <w:sz w:val="22"/>
                <w:szCs w:val="20"/>
              </w:rPr>
              <w:t>1.612</w:t>
            </w:r>
          </w:p>
        </w:tc>
        <w:tc>
          <w:tcPr>
            <w:tcW w:w="354" w:type="pct"/>
          </w:tcPr>
          <w:p w:rsidR="00000000" w:rsidRDefault="00000000">
            <w:pPr>
              <w:keepNext/>
              <w:keepLines/>
              <w:tabs>
                <w:tab w:val="decimal" w:pos="505"/>
              </w:tabs>
              <w:rPr>
                <w:sz w:val="22"/>
                <w:szCs w:val="20"/>
              </w:rPr>
            </w:pPr>
            <w:r>
              <w:rPr>
                <w:sz w:val="22"/>
                <w:szCs w:val="20"/>
              </w:rPr>
              <w:t>73</w:t>
            </w:r>
          </w:p>
        </w:tc>
        <w:tc>
          <w:tcPr>
            <w:tcW w:w="355" w:type="pct"/>
          </w:tcPr>
          <w:p w:rsidR="00000000" w:rsidRDefault="00000000">
            <w:pPr>
              <w:keepNext/>
              <w:keepLines/>
              <w:tabs>
                <w:tab w:val="decimal" w:pos="369"/>
              </w:tabs>
              <w:rPr>
                <w:sz w:val="22"/>
                <w:szCs w:val="20"/>
              </w:rPr>
            </w:pPr>
            <w:r>
              <w:rPr>
                <w:sz w:val="22"/>
                <w:szCs w:val="20"/>
              </w:rPr>
              <w:t>45,3</w:t>
            </w:r>
          </w:p>
        </w:tc>
        <w:tc>
          <w:tcPr>
            <w:tcW w:w="417" w:type="pct"/>
          </w:tcPr>
          <w:p w:rsidR="00000000" w:rsidRDefault="00000000">
            <w:pPr>
              <w:keepNext/>
              <w:keepLines/>
              <w:tabs>
                <w:tab w:val="decimal" w:pos="613"/>
              </w:tabs>
              <w:rPr>
                <w:sz w:val="22"/>
                <w:szCs w:val="20"/>
              </w:rPr>
            </w:pPr>
            <w:r>
              <w:rPr>
                <w:sz w:val="22"/>
                <w:szCs w:val="20"/>
              </w:rPr>
              <w:t>2.065</w:t>
            </w:r>
          </w:p>
        </w:tc>
        <w:tc>
          <w:tcPr>
            <w:tcW w:w="292" w:type="pct"/>
          </w:tcPr>
          <w:p w:rsidR="00000000" w:rsidRDefault="00000000">
            <w:pPr>
              <w:keepNext/>
              <w:keepLines/>
              <w:tabs>
                <w:tab w:val="decimal" w:pos="366"/>
              </w:tabs>
              <w:rPr>
                <w:sz w:val="22"/>
                <w:szCs w:val="20"/>
              </w:rPr>
            </w:pPr>
            <w:r>
              <w:rPr>
                <w:sz w:val="22"/>
                <w:szCs w:val="20"/>
              </w:rPr>
              <w:t>35</w:t>
            </w:r>
          </w:p>
        </w:tc>
        <w:tc>
          <w:tcPr>
            <w:tcW w:w="331" w:type="pct"/>
          </w:tcPr>
          <w:p w:rsidR="00000000" w:rsidRDefault="00000000">
            <w:pPr>
              <w:keepNext/>
              <w:keepLines/>
              <w:tabs>
                <w:tab w:val="decimal" w:pos="245"/>
              </w:tabs>
              <w:rPr>
                <w:sz w:val="22"/>
                <w:szCs w:val="20"/>
              </w:rPr>
            </w:pPr>
            <w:r>
              <w:rPr>
                <w:sz w:val="22"/>
                <w:szCs w:val="20"/>
              </w:rPr>
              <w:t>16,9</w:t>
            </w:r>
          </w:p>
        </w:tc>
        <w:tc>
          <w:tcPr>
            <w:tcW w:w="344" w:type="pct"/>
          </w:tcPr>
          <w:p w:rsidR="00000000" w:rsidRDefault="00000000">
            <w:pPr>
              <w:keepNext/>
              <w:keepLines/>
              <w:tabs>
                <w:tab w:val="decimal" w:pos="343"/>
              </w:tabs>
              <w:rPr>
                <w:sz w:val="22"/>
                <w:szCs w:val="20"/>
              </w:rPr>
            </w:pPr>
            <w:r>
              <w:rPr>
                <w:sz w:val="22"/>
                <w:szCs w:val="20"/>
              </w:rPr>
              <w:t>0</w:t>
            </w:r>
          </w:p>
        </w:tc>
        <w:tc>
          <w:tcPr>
            <w:tcW w:w="292" w:type="pct"/>
          </w:tcPr>
          <w:p w:rsidR="00000000" w:rsidRDefault="00000000">
            <w:pPr>
              <w:keepNext/>
              <w:keepLines/>
              <w:jc w:val="center"/>
              <w:rPr>
                <w:sz w:val="22"/>
              </w:rPr>
            </w:pPr>
            <w:r>
              <w:rPr>
                <w:sz w:val="22"/>
                <w:szCs w:val="20"/>
              </w:rPr>
              <w:t>0</w:t>
            </w:r>
          </w:p>
        </w:tc>
        <w:tc>
          <w:tcPr>
            <w:tcW w:w="331" w:type="pct"/>
          </w:tcPr>
          <w:p w:rsidR="00000000" w:rsidRDefault="00000000">
            <w:pPr>
              <w:keepNext/>
              <w:keepLines/>
              <w:jc w:val="center"/>
              <w:rPr>
                <w:sz w:val="22"/>
                <w:szCs w:val="20"/>
              </w:rPr>
            </w:pPr>
            <w:r>
              <w:rPr>
                <w:b/>
                <w:bCs/>
                <w:sz w:val="22"/>
                <w:szCs w:val="20"/>
                <w:vertAlign w:val="superscript"/>
              </w:rPr>
              <w:t>*</w:t>
            </w:r>
          </w:p>
        </w:tc>
        <w:tc>
          <w:tcPr>
            <w:tcW w:w="417" w:type="pct"/>
          </w:tcPr>
          <w:p w:rsidR="00000000" w:rsidRDefault="00000000">
            <w:pPr>
              <w:keepNext/>
              <w:keepLines/>
              <w:tabs>
                <w:tab w:val="decimal" w:pos="666"/>
              </w:tabs>
              <w:rPr>
                <w:sz w:val="22"/>
                <w:szCs w:val="20"/>
              </w:rPr>
            </w:pPr>
            <w:r>
              <w:rPr>
                <w:sz w:val="22"/>
                <w:szCs w:val="20"/>
              </w:rPr>
              <w:t>3.677</w:t>
            </w:r>
          </w:p>
        </w:tc>
        <w:tc>
          <w:tcPr>
            <w:tcW w:w="354" w:type="pct"/>
          </w:tcPr>
          <w:p w:rsidR="00000000" w:rsidRDefault="00000000">
            <w:pPr>
              <w:keepNext/>
              <w:keepLines/>
              <w:tabs>
                <w:tab w:val="decimal" w:pos="484"/>
              </w:tabs>
              <w:rPr>
                <w:sz w:val="22"/>
                <w:szCs w:val="20"/>
              </w:rPr>
            </w:pPr>
            <w:r>
              <w:rPr>
                <w:sz w:val="22"/>
                <w:szCs w:val="20"/>
              </w:rPr>
              <w:t>108</w:t>
            </w:r>
          </w:p>
        </w:tc>
        <w:tc>
          <w:tcPr>
            <w:tcW w:w="351" w:type="pct"/>
          </w:tcPr>
          <w:p w:rsidR="00000000" w:rsidRDefault="00000000">
            <w:pPr>
              <w:keepNext/>
              <w:keepLines/>
              <w:tabs>
                <w:tab w:val="decimal" w:pos="312"/>
              </w:tabs>
              <w:rPr>
                <w:sz w:val="22"/>
                <w:szCs w:val="20"/>
              </w:rPr>
            </w:pPr>
            <w:r>
              <w:rPr>
                <w:sz w:val="22"/>
                <w:szCs w:val="20"/>
              </w:rPr>
              <w:t>29,4</w:t>
            </w:r>
          </w:p>
        </w:tc>
      </w:tr>
      <w:tr w:rsidR="00000000">
        <w:tblPrEx>
          <w:tblCellMar>
            <w:top w:w="0" w:type="dxa"/>
            <w:bottom w:w="0" w:type="dxa"/>
          </w:tblCellMar>
        </w:tblPrEx>
        <w:tc>
          <w:tcPr>
            <w:tcW w:w="714" w:type="pct"/>
          </w:tcPr>
          <w:p w:rsidR="00000000" w:rsidRDefault="00000000">
            <w:pPr>
              <w:keepNext/>
              <w:keepLines/>
              <w:rPr>
                <w:sz w:val="22"/>
                <w:szCs w:val="20"/>
              </w:rPr>
            </w:pPr>
            <w:r>
              <w:rPr>
                <w:sz w:val="22"/>
                <w:szCs w:val="20"/>
              </w:rPr>
              <w:t>San Pedro</w:t>
            </w:r>
          </w:p>
        </w:tc>
        <w:tc>
          <w:tcPr>
            <w:tcW w:w="448" w:type="pct"/>
          </w:tcPr>
          <w:p w:rsidR="00000000" w:rsidRDefault="00000000">
            <w:pPr>
              <w:keepNext/>
              <w:keepLines/>
              <w:tabs>
                <w:tab w:val="decimal" w:pos="658"/>
              </w:tabs>
              <w:rPr>
                <w:sz w:val="22"/>
                <w:szCs w:val="20"/>
              </w:rPr>
            </w:pPr>
            <w:r>
              <w:rPr>
                <w:sz w:val="22"/>
                <w:szCs w:val="20"/>
              </w:rPr>
              <w:t>1.191</w:t>
            </w:r>
          </w:p>
        </w:tc>
        <w:tc>
          <w:tcPr>
            <w:tcW w:w="354" w:type="pct"/>
          </w:tcPr>
          <w:p w:rsidR="00000000" w:rsidRDefault="00000000">
            <w:pPr>
              <w:keepNext/>
              <w:keepLines/>
              <w:tabs>
                <w:tab w:val="decimal" w:pos="505"/>
              </w:tabs>
              <w:rPr>
                <w:sz w:val="22"/>
                <w:szCs w:val="20"/>
              </w:rPr>
            </w:pPr>
            <w:r>
              <w:rPr>
                <w:sz w:val="22"/>
                <w:szCs w:val="20"/>
              </w:rPr>
              <w:t>28</w:t>
            </w:r>
          </w:p>
        </w:tc>
        <w:tc>
          <w:tcPr>
            <w:tcW w:w="355" w:type="pct"/>
          </w:tcPr>
          <w:p w:rsidR="00000000" w:rsidRDefault="00000000">
            <w:pPr>
              <w:keepNext/>
              <w:keepLines/>
              <w:tabs>
                <w:tab w:val="decimal" w:pos="369"/>
              </w:tabs>
              <w:rPr>
                <w:sz w:val="22"/>
                <w:szCs w:val="20"/>
              </w:rPr>
            </w:pPr>
            <w:r>
              <w:rPr>
                <w:sz w:val="22"/>
                <w:szCs w:val="20"/>
              </w:rPr>
              <w:t>23,5</w:t>
            </w:r>
          </w:p>
        </w:tc>
        <w:tc>
          <w:tcPr>
            <w:tcW w:w="417" w:type="pct"/>
          </w:tcPr>
          <w:p w:rsidR="00000000" w:rsidRDefault="00000000">
            <w:pPr>
              <w:keepNext/>
              <w:keepLines/>
              <w:tabs>
                <w:tab w:val="decimal" w:pos="613"/>
              </w:tabs>
              <w:rPr>
                <w:sz w:val="22"/>
                <w:szCs w:val="20"/>
              </w:rPr>
            </w:pPr>
            <w:r>
              <w:rPr>
                <w:sz w:val="22"/>
                <w:szCs w:val="20"/>
              </w:rPr>
              <w:t>3.359</w:t>
            </w:r>
          </w:p>
        </w:tc>
        <w:tc>
          <w:tcPr>
            <w:tcW w:w="292" w:type="pct"/>
          </w:tcPr>
          <w:p w:rsidR="00000000" w:rsidRDefault="00000000">
            <w:pPr>
              <w:keepNext/>
              <w:keepLines/>
              <w:tabs>
                <w:tab w:val="decimal" w:pos="366"/>
              </w:tabs>
              <w:rPr>
                <w:sz w:val="22"/>
                <w:szCs w:val="20"/>
              </w:rPr>
            </w:pPr>
            <w:r>
              <w:rPr>
                <w:sz w:val="22"/>
                <w:szCs w:val="20"/>
              </w:rPr>
              <w:t>62</w:t>
            </w:r>
          </w:p>
        </w:tc>
        <w:tc>
          <w:tcPr>
            <w:tcW w:w="331" w:type="pct"/>
          </w:tcPr>
          <w:p w:rsidR="00000000" w:rsidRDefault="00000000">
            <w:pPr>
              <w:keepNext/>
              <w:keepLines/>
              <w:tabs>
                <w:tab w:val="decimal" w:pos="245"/>
              </w:tabs>
              <w:rPr>
                <w:sz w:val="22"/>
                <w:szCs w:val="20"/>
              </w:rPr>
            </w:pPr>
            <w:r>
              <w:rPr>
                <w:sz w:val="22"/>
                <w:szCs w:val="20"/>
              </w:rPr>
              <w:t>18,5</w:t>
            </w:r>
          </w:p>
        </w:tc>
        <w:tc>
          <w:tcPr>
            <w:tcW w:w="344" w:type="pct"/>
          </w:tcPr>
          <w:p w:rsidR="00000000" w:rsidRDefault="00000000">
            <w:pPr>
              <w:keepNext/>
              <w:keepLines/>
              <w:tabs>
                <w:tab w:val="decimal" w:pos="343"/>
              </w:tabs>
              <w:rPr>
                <w:sz w:val="22"/>
                <w:szCs w:val="20"/>
              </w:rPr>
            </w:pPr>
            <w:r>
              <w:rPr>
                <w:sz w:val="22"/>
                <w:szCs w:val="20"/>
              </w:rPr>
              <w:t>2</w:t>
            </w:r>
          </w:p>
        </w:tc>
        <w:tc>
          <w:tcPr>
            <w:tcW w:w="292" w:type="pct"/>
          </w:tcPr>
          <w:p w:rsidR="00000000" w:rsidRDefault="00000000">
            <w:pPr>
              <w:keepNext/>
              <w:keepLines/>
              <w:jc w:val="center"/>
              <w:rPr>
                <w:sz w:val="22"/>
              </w:rPr>
            </w:pPr>
            <w:r>
              <w:rPr>
                <w:sz w:val="22"/>
                <w:szCs w:val="20"/>
              </w:rPr>
              <w:t>0</w:t>
            </w:r>
          </w:p>
        </w:tc>
        <w:tc>
          <w:tcPr>
            <w:tcW w:w="331" w:type="pct"/>
          </w:tcPr>
          <w:p w:rsidR="00000000" w:rsidRDefault="00000000">
            <w:pPr>
              <w:keepNext/>
              <w:keepLines/>
              <w:jc w:val="center"/>
              <w:rPr>
                <w:sz w:val="22"/>
                <w:szCs w:val="20"/>
              </w:rPr>
            </w:pPr>
            <w:r>
              <w:rPr>
                <w:sz w:val="22"/>
                <w:szCs w:val="20"/>
              </w:rPr>
              <w:t>N</w:t>
            </w:r>
          </w:p>
        </w:tc>
        <w:tc>
          <w:tcPr>
            <w:tcW w:w="417" w:type="pct"/>
          </w:tcPr>
          <w:p w:rsidR="00000000" w:rsidRDefault="00000000">
            <w:pPr>
              <w:keepNext/>
              <w:keepLines/>
              <w:tabs>
                <w:tab w:val="decimal" w:pos="666"/>
              </w:tabs>
              <w:rPr>
                <w:sz w:val="22"/>
                <w:szCs w:val="20"/>
              </w:rPr>
            </w:pPr>
            <w:r>
              <w:rPr>
                <w:sz w:val="22"/>
                <w:szCs w:val="20"/>
              </w:rPr>
              <w:t>4.552</w:t>
            </w:r>
          </w:p>
        </w:tc>
        <w:tc>
          <w:tcPr>
            <w:tcW w:w="354" w:type="pct"/>
          </w:tcPr>
          <w:p w:rsidR="00000000" w:rsidRDefault="00000000">
            <w:pPr>
              <w:keepNext/>
              <w:keepLines/>
              <w:tabs>
                <w:tab w:val="decimal" w:pos="484"/>
              </w:tabs>
              <w:rPr>
                <w:sz w:val="22"/>
                <w:szCs w:val="20"/>
              </w:rPr>
            </w:pPr>
            <w:r>
              <w:rPr>
                <w:sz w:val="22"/>
                <w:szCs w:val="20"/>
              </w:rPr>
              <w:t>90</w:t>
            </w:r>
          </w:p>
        </w:tc>
        <w:tc>
          <w:tcPr>
            <w:tcW w:w="351" w:type="pct"/>
          </w:tcPr>
          <w:p w:rsidR="00000000" w:rsidRDefault="00000000">
            <w:pPr>
              <w:keepNext/>
              <w:keepLines/>
              <w:tabs>
                <w:tab w:val="decimal" w:pos="312"/>
              </w:tabs>
              <w:rPr>
                <w:sz w:val="22"/>
                <w:szCs w:val="20"/>
              </w:rPr>
            </w:pPr>
            <w:r>
              <w:rPr>
                <w:sz w:val="22"/>
                <w:szCs w:val="20"/>
              </w:rPr>
              <w:t>19,8</w:t>
            </w:r>
          </w:p>
        </w:tc>
      </w:tr>
      <w:tr w:rsidR="00000000">
        <w:tblPrEx>
          <w:tblCellMar>
            <w:top w:w="0" w:type="dxa"/>
            <w:bottom w:w="0" w:type="dxa"/>
          </w:tblCellMar>
        </w:tblPrEx>
        <w:tc>
          <w:tcPr>
            <w:tcW w:w="714" w:type="pct"/>
          </w:tcPr>
          <w:p w:rsidR="00000000" w:rsidRDefault="00000000">
            <w:pPr>
              <w:keepNext/>
              <w:keepLines/>
              <w:rPr>
                <w:sz w:val="22"/>
                <w:szCs w:val="20"/>
              </w:rPr>
            </w:pPr>
            <w:r>
              <w:rPr>
                <w:sz w:val="22"/>
                <w:szCs w:val="20"/>
              </w:rPr>
              <w:t>Cordillera</w:t>
            </w:r>
          </w:p>
        </w:tc>
        <w:tc>
          <w:tcPr>
            <w:tcW w:w="448" w:type="pct"/>
          </w:tcPr>
          <w:p w:rsidR="00000000" w:rsidRDefault="00000000">
            <w:pPr>
              <w:keepNext/>
              <w:keepLines/>
              <w:tabs>
                <w:tab w:val="decimal" w:pos="658"/>
              </w:tabs>
              <w:rPr>
                <w:sz w:val="22"/>
                <w:szCs w:val="20"/>
              </w:rPr>
            </w:pPr>
            <w:r>
              <w:rPr>
                <w:sz w:val="22"/>
                <w:szCs w:val="20"/>
              </w:rPr>
              <w:t>1.844</w:t>
            </w:r>
          </w:p>
        </w:tc>
        <w:tc>
          <w:tcPr>
            <w:tcW w:w="354" w:type="pct"/>
          </w:tcPr>
          <w:p w:rsidR="00000000" w:rsidRDefault="00000000">
            <w:pPr>
              <w:keepNext/>
              <w:keepLines/>
              <w:tabs>
                <w:tab w:val="decimal" w:pos="505"/>
              </w:tabs>
              <w:rPr>
                <w:sz w:val="22"/>
                <w:szCs w:val="20"/>
              </w:rPr>
            </w:pPr>
            <w:r>
              <w:rPr>
                <w:sz w:val="22"/>
                <w:szCs w:val="20"/>
              </w:rPr>
              <w:t>61</w:t>
            </w:r>
          </w:p>
        </w:tc>
        <w:tc>
          <w:tcPr>
            <w:tcW w:w="355" w:type="pct"/>
          </w:tcPr>
          <w:p w:rsidR="00000000" w:rsidRDefault="00000000">
            <w:pPr>
              <w:keepNext/>
              <w:keepLines/>
              <w:tabs>
                <w:tab w:val="decimal" w:pos="369"/>
              </w:tabs>
              <w:rPr>
                <w:sz w:val="22"/>
                <w:szCs w:val="20"/>
              </w:rPr>
            </w:pPr>
            <w:r>
              <w:rPr>
                <w:sz w:val="22"/>
                <w:szCs w:val="20"/>
              </w:rPr>
              <w:t>33,1</w:t>
            </w:r>
          </w:p>
        </w:tc>
        <w:tc>
          <w:tcPr>
            <w:tcW w:w="417" w:type="pct"/>
          </w:tcPr>
          <w:p w:rsidR="00000000" w:rsidRDefault="00000000">
            <w:pPr>
              <w:keepNext/>
              <w:keepLines/>
              <w:tabs>
                <w:tab w:val="decimal" w:pos="613"/>
              </w:tabs>
              <w:rPr>
                <w:sz w:val="22"/>
                <w:szCs w:val="20"/>
              </w:rPr>
            </w:pPr>
            <w:r>
              <w:rPr>
                <w:sz w:val="22"/>
                <w:szCs w:val="20"/>
              </w:rPr>
              <w:t>2.634</w:t>
            </w:r>
          </w:p>
        </w:tc>
        <w:tc>
          <w:tcPr>
            <w:tcW w:w="292" w:type="pct"/>
          </w:tcPr>
          <w:p w:rsidR="00000000" w:rsidRDefault="00000000">
            <w:pPr>
              <w:keepNext/>
              <w:keepLines/>
              <w:tabs>
                <w:tab w:val="decimal" w:pos="366"/>
              </w:tabs>
              <w:rPr>
                <w:sz w:val="22"/>
                <w:szCs w:val="20"/>
              </w:rPr>
            </w:pPr>
            <w:r>
              <w:rPr>
                <w:sz w:val="22"/>
                <w:szCs w:val="20"/>
              </w:rPr>
              <w:t>32</w:t>
            </w:r>
          </w:p>
        </w:tc>
        <w:tc>
          <w:tcPr>
            <w:tcW w:w="331" w:type="pct"/>
          </w:tcPr>
          <w:p w:rsidR="00000000" w:rsidRDefault="00000000">
            <w:pPr>
              <w:keepNext/>
              <w:keepLines/>
              <w:tabs>
                <w:tab w:val="decimal" w:pos="245"/>
              </w:tabs>
              <w:rPr>
                <w:sz w:val="22"/>
                <w:szCs w:val="20"/>
              </w:rPr>
            </w:pPr>
            <w:r>
              <w:rPr>
                <w:sz w:val="22"/>
                <w:szCs w:val="20"/>
              </w:rPr>
              <w:t>12,1</w:t>
            </w:r>
          </w:p>
        </w:tc>
        <w:tc>
          <w:tcPr>
            <w:tcW w:w="344" w:type="pct"/>
          </w:tcPr>
          <w:p w:rsidR="00000000" w:rsidRDefault="00000000">
            <w:pPr>
              <w:keepNext/>
              <w:keepLines/>
              <w:tabs>
                <w:tab w:val="decimal" w:pos="343"/>
              </w:tabs>
              <w:rPr>
                <w:sz w:val="22"/>
                <w:szCs w:val="20"/>
              </w:rPr>
            </w:pPr>
            <w:r>
              <w:rPr>
                <w:sz w:val="22"/>
                <w:szCs w:val="20"/>
              </w:rPr>
              <w:t>0</w:t>
            </w:r>
          </w:p>
        </w:tc>
        <w:tc>
          <w:tcPr>
            <w:tcW w:w="292" w:type="pct"/>
          </w:tcPr>
          <w:p w:rsidR="00000000" w:rsidRDefault="00000000">
            <w:pPr>
              <w:keepNext/>
              <w:keepLines/>
              <w:jc w:val="center"/>
              <w:rPr>
                <w:sz w:val="22"/>
              </w:rPr>
            </w:pPr>
            <w:r>
              <w:rPr>
                <w:sz w:val="22"/>
                <w:szCs w:val="20"/>
              </w:rPr>
              <w:t>0</w:t>
            </w:r>
          </w:p>
        </w:tc>
        <w:tc>
          <w:tcPr>
            <w:tcW w:w="331" w:type="pct"/>
          </w:tcPr>
          <w:p w:rsidR="00000000" w:rsidRDefault="00000000">
            <w:pPr>
              <w:keepNext/>
              <w:keepLines/>
              <w:jc w:val="center"/>
              <w:rPr>
                <w:sz w:val="22"/>
                <w:szCs w:val="20"/>
              </w:rPr>
            </w:pPr>
            <w:r>
              <w:rPr>
                <w:sz w:val="22"/>
                <w:szCs w:val="20"/>
              </w:rPr>
              <w:t>O</w:t>
            </w:r>
          </w:p>
        </w:tc>
        <w:tc>
          <w:tcPr>
            <w:tcW w:w="417" w:type="pct"/>
          </w:tcPr>
          <w:p w:rsidR="00000000" w:rsidRDefault="00000000">
            <w:pPr>
              <w:keepNext/>
              <w:keepLines/>
              <w:tabs>
                <w:tab w:val="decimal" w:pos="666"/>
              </w:tabs>
              <w:rPr>
                <w:sz w:val="22"/>
                <w:szCs w:val="20"/>
              </w:rPr>
            </w:pPr>
            <w:r>
              <w:rPr>
                <w:sz w:val="22"/>
                <w:szCs w:val="20"/>
              </w:rPr>
              <w:t>4.478</w:t>
            </w:r>
          </w:p>
        </w:tc>
        <w:tc>
          <w:tcPr>
            <w:tcW w:w="354" w:type="pct"/>
          </w:tcPr>
          <w:p w:rsidR="00000000" w:rsidRDefault="00000000">
            <w:pPr>
              <w:keepNext/>
              <w:keepLines/>
              <w:tabs>
                <w:tab w:val="decimal" w:pos="484"/>
              </w:tabs>
              <w:rPr>
                <w:sz w:val="22"/>
                <w:szCs w:val="20"/>
              </w:rPr>
            </w:pPr>
            <w:r>
              <w:rPr>
                <w:sz w:val="22"/>
                <w:szCs w:val="20"/>
              </w:rPr>
              <w:t>93</w:t>
            </w:r>
          </w:p>
        </w:tc>
        <w:tc>
          <w:tcPr>
            <w:tcW w:w="351" w:type="pct"/>
          </w:tcPr>
          <w:p w:rsidR="00000000" w:rsidRDefault="00000000">
            <w:pPr>
              <w:keepNext/>
              <w:keepLines/>
              <w:tabs>
                <w:tab w:val="decimal" w:pos="312"/>
              </w:tabs>
              <w:rPr>
                <w:sz w:val="22"/>
                <w:szCs w:val="20"/>
              </w:rPr>
            </w:pPr>
            <w:r>
              <w:rPr>
                <w:sz w:val="22"/>
                <w:szCs w:val="20"/>
              </w:rPr>
              <w:t>20,8</w:t>
            </w:r>
          </w:p>
        </w:tc>
      </w:tr>
      <w:tr w:rsidR="00000000">
        <w:tblPrEx>
          <w:tblCellMar>
            <w:top w:w="0" w:type="dxa"/>
            <w:bottom w:w="0" w:type="dxa"/>
          </w:tblCellMar>
        </w:tblPrEx>
        <w:tc>
          <w:tcPr>
            <w:tcW w:w="714" w:type="pct"/>
          </w:tcPr>
          <w:p w:rsidR="00000000" w:rsidRDefault="00000000">
            <w:pPr>
              <w:rPr>
                <w:sz w:val="22"/>
                <w:szCs w:val="20"/>
              </w:rPr>
            </w:pPr>
            <w:r>
              <w:rPr>
                <w:sz w:val="22"/>
                <w:szCs w:val="20"/>
              </w:rPr>
              <w:t>Guairá</w:t>
            </w:r>
          </w:p>
        </w:tc>
        <w:tc>
          <w:tcPr>
            <w:tcW w:w="448" w:type="pct"/>
          </w:tcPr>
          <w:p w:rsidR="00000000" w:rsidRDefault="00000000">
            <w:pPr>
              <w:tabs>
                <w:tab w:val="decimal" w:pos="658"/>
              </w:tabs>
              <w:rPr>
                <w:sz w:val="22"/>
                <w:szCs w:val="20"/>
              </w:rPr>
            </w:pPr>
            <w:r>
              <w:rPr>
                <w:sz w:val="22"/>
                <w:szCs w:val="20"/>
              </w:rPr>
              <w:t>1.642</w:t>
            </w:r>
          </w:p>
        </w:tc>
        <w:tc>
          <w:tcPr>
            <w:tcW w:w="354" w:type="pct"/>
          </w:tcPr>
          <w:p w:rsidR="00000000" w:rsidRDefault="00000000">
            <w:pPr>
              <w:tabs>
                <w:tab w:val="decimal" w:pos="505"/>
              </w:tabs>
              <w:rPr>
                <w:sz w:val="22"/>
                <w:szCs w:val="20"/>
              </w:rPr>
            </w:pPr>
            <w:r>
              <w:rPr>
                <w:sz w:val="22"/>
                <w:szCs w:val="20"/>
              </w:rPr>
              <w:t>64</w:t>
            </w:r>
          </w:p>
        </w:tc>
        <w:tc>
          <w:tcPr>
            <w:tcW w:w="355" w:type="pct"/>
          </w:tcPr>
          <w:p w:rsidR="00000000" w:rsidRDefault="00000000">
            <w:pPr>
              <w:tabs>
                <w:tab w:val="decimal" w:pos="369"/>
              </w:tabs>
              <w:rPr>
                <w:sz w:val="22"/>
                <w:szCs w:val="20"/>
              </w:rPr>
            </w:pPr>
            <w:r>
              <w:rPr>
                <w:sz w:val="22"/>
                <w:szCs w:val="20"/>
              </w:rPr>
              <w:t>39,0</w:t>
            </w:r>
          </w:p>
        </w:tc>
        <w:tc>
          <w:tcPr>
            <w:tcW w:w="417" w:type="pct"/>
          </w:tcPr>
          <w:p w:rsidR="00000000" w:rsidRDefault="00000000">
            <w:pPr>
              <w:tabs>
                <w:tab w:val="decimal" w:pos="613"/>
              </w:tabs>
              <w:rPr>
                <w:sz w:val="22"/>
                <w:szCs w:val="20"/>
              </w:rPr>
            </w:pPr>
            <w:r>
              <w:rPr>
                <w:sz w:val="22"/>
                <w:szCs w:val="20"/>
              </w:rPr>
              <w:t>1.569</w:t>
            </w:r>
          </w:p>
        </w:tc>
        <w:tc>
          <w:tcPr>
            <w:tcW w:w="292" w:type="pct"/>
          </w:tcPr>
          <w:p w:rsidR="00000000" w:rsidRDefault="00000000">
            <w:pPr>
              <w:tabs>
                <w:tab w:val="decimal" w:pos="366"/>
              </w:tabs>
              <w:rPr>
                <w:sz w:val="22"/>
                <w:szCs w:val="20"/>
              </w:rPr>
            </w:pPr>
            <w:r>
              <w:rPr>
                <w:sz w:val="22"/>
                <w:szCs w:val="20"/>
              </w:rPr>
              <w:t>31</w:t>
            </w:r>
          </w:p>
        </w:tc>
        <w:tc>
          <w:tcPr>
            <w:tcW w:w="331" w:type="pct"/>
          </w:tcPr>
          <w:p w:rsidR="00000000" w:rsidRDefault="00000000">
            <w:pPr>
              <w:tabs>
                <w:tab w:val="decimal" w:pos="245"/>
              </w:tabs>
              <w:rPr>
                <w:sz w:val="22"/>
                <w:szCs w:val="20"/>
              </w:rPr>
            </w:pPr>
            <w:r>
              <w:rPr>
                <w:sz w:val="22"/>
                <w:szCs w:val="20"/>
              </w:rPr>
              <w:t>19,8</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666"/>
              </w:tabs>
              <w:rPr>
                <w:sz w:val="22"/>
                <w:szCs w:val="20"/>
              </w:rPr>
            </w:pPr>
            <w:r>
              <w:rPr>
                <w:sz w:val="22"/>
                <w:szCs w:val="20"/>
              </w:rPr>
              <w:t>3.211</w:t>
            </w:r>
          </w:p>
        </w:tc>
        <w:tc>
          <w:tcPr>
            <w:tcW w:w="354" w:type="pct"/>
          </w:tcPr>
          <w:p w:rsidR="00000000" w:rsidRDefault="00000000">
            <w:pPr>
              <w:tabs>
                <w:tab w:val="decimal" w:pos="484"/>
              </w:tabs>
              <w:rPr>
                <w:sz w:val="22"/>
                <w:szCs w:val="20"/>
              </w:rPr>
            </w:pPr>
            <w:r>
              <w:rPr>
                <w:sz w:val="22"/>
                <w:szCs w:val="20"/>
              </w:rPr>
              <w:t>95</w:t>
            </w:r>
          </w:p>
        </w:tc>
        <w:tc>
          <w:tcPr>
            <w:tcW w:w="351" w:type="pct"/>
          </w:tcPr>
          <w:p w:rsidR="00000000" w:rsidRDefault="00000000">
            <w:pPr>
              <w:tabs>
                <w:tab w:val="decimal" w:pos="312"/>
              </w:tabs>
              <w:rPr>
                <w:sz w:val="22"/>
                <w:szCs w:val="20"/>
              </w:rPr>
            </w:pPr>
            <w:r>
              <w:rPr>
                <w:sz w:val="22"/>
                <w:szCs w:val="20"/>
              </w:rPr>
              <w:t>29,6</w:t>
            </w:r>
          </w:p>
        </w:tc>
      </w:tr>
      <w:tr w:rsidR="00000000">
        <w:tblPrEx>
          <w:tblCellMar>
            <w:top w:w="0" w:type="dxa"/>
            <w:bottom w:w="0" w:type="dxa"/>
          </w:tblCellMar>
        </w:tblPrEx>
        <w:tc>
          <w:tcPr>
            <w:tcW w:w="714" w:type="pct"/>
          </w:tcPr>
          <w:p w:rsidR="00000000" w:rsidRDefault="00000000">
            <w:pPr>
              <w:rPr>
                <w:sz w:val="22"/>
                <w:szCs w:val="20"/>
              </w:rPr>
            </w:pPr>
            <w:r>
              <w:rPr>
                <w:sz w:val="22"/>
                <w:szCs w:val="20"/>
              </w:rPr>
              <w:t>Caaguazú</w:t>
            </w:r>
          </w:p>
        </w:tc>
        <w:tc>
          <w:tcPr>
            <w:tcW w:w="448" w:type="pct"/>
          </w:tcPr>
          <w:p w:rsidR="00000000" w:rsidRDefault="00000000">
            <w:pPr>
              <w:tabs>
                <w:tab w:val="decimal" w:pos="658"/>
              </w:tabs>
              <w:rPr>
                <w:sz w:val="22"/>
                <w:szCs w:val="20"/>
              </w:rPr>
            </w:pPr>
            <w:r>
              <w:rPr>
                <w:sz w:val="22"/>
                <w:szCs w:val="20"/>
              </w:rPr>
              <w:t>2.619</w:t>
            </w:r>
          </w:p>
        </w:tc>
        <w:tc>
          <w:tcPr>
            <w:tcW w:w="354" w:type="pct"/>
          </w:tcPr>
          <w:p w:rsidR="00000000" w:rsidRDefault="00000000">
            <w:pPr>
              <w:tabs>
                <w:tab w:val="decimal" w:pos="505"/>
              </w:tabs>
              <w:rPr>
                <w:sz w:val="22"/>
                <w:szCs w:val="20"/>
              </w:rPr>
            </w:pPr>
            <w:r>
              <w:rPr>
                <w:sz w:val="22"/>
                <w:szCs w:val="20"/>
              </w:rPr>
              <w:t>43</w:t>
            </w:r>
          </w:p>
        </w:tc>
        <w:tc>
          <w:tcPr>
            <w:tcW w:w="355" w:type="pct"/>
          </w:tcPr>
          <w:p w:rsidR="00000000" w:rsidRDefault="00000000">
            <w:pPr>
              <w:tabs>
                <w:tab w:val="decimal" w:pos="369"/>
              </w:tabs>
              <w:rPr>
                <w:sz w:val="22"/>
                <w:szCs w:val="20"/>
              </w:rPr>
            </w:pPr>
            <w:r>
              <w:rPr>
                <w:sz w:val="22"/>
                <w:szCs w:val="20"/>
              </w:rPr>
              <w:t>16,4</w:t>
            </w:r>
          </w:p>
        </w:tc>
        <w:tc>
          <w:tcPr>
            <w:tcW w:w="417" w:type="pct"/>
          </w:tcPr>
          <w:p w:rsidR="00000000" w:rsidRDefault="00000000">
            <w:pPr>
              <w:tabs>
                <w:tab w:val="decimal" w:pos="613"/>
              </w:tabs>
              <w:rPr>
                <w:sz w:val="22"/>
                <w:szCs w:val="20"/>
              </w:rPr>
            </w:pPr>
            <w:r>
              <w:rPr>
                <w:sz w:val="22"/>
                <w:szCs w:val="20"/>
              </w:rPr>
              <w:t>3.667</w:t>
            </w:r>
          </w:p>
        </w:tc>
        <w:tc>
          <w:tcPr>
            <w:tcW w:w="292" w:type="pct"/>
          </w:tcPr>
          <w:p w:rsidR="00000000" w:rsidRDefault="00000000">
            <w:pPr>
              <w:tabs>
                <w:tab w:val="decimal" w:pos="366"/>
              </w:tabs>
              <w:rPr>
                <w:sz w:val="22"/>
                <w:szCs w:val="20"/>
              </w:rPr>
            </w:pPr>
            <w:r>
              <w:rPr>
                <w:sz w:val="22"/>
                <w:szCs w:val="20"/>
              </w:rPr>
              <w:t>44</w:t>
            </w:r>
          </w:p>
        </w:tc>
        <w:tc>
          <w:tcPr>
            <w:tcW w:w="331" w:type="pct"/>
          </w:tcPr>
          <w:p w:rsidR="00000000" w:rsidRDefault="00000000">
            <w:pPr>
              <w:tabs>
                <w:tab w:val="decimal" w:pos="245"/>
              </w:tabs>
              <w:rPr>
                <w:sz w:val="22"/>
                <w:szCs w:val="20"/>
              </w:rPr>
            </w:pPr>
            <w:r>
              <w:rPr>
                <w:sz w:val="22"/>
                <w:szCs w:val="20"/>
              </w:rPr>
              <w:t>12,0</w:t>
            </w:r>
          </w:p>
        </w:tc>
        <w:tc>
          <w:tcPr>
            <w:tcW w:w="344" w:type="pct"/>
          </w:tcPr>
          <w:p w:rsidR="00000000" w:rsidRDefault="00000000">
            <w:pPr>
              <w:tabs>
                <w:tab w:val="decimal" w:pos="343"/>
              </w:tabs>
              <w:rPr>
                <w:sz w:val="22"/>
                <w:szCs w:val="20"/>
              </w:rPr>
            </w:pPr>
            <w:r>
              <w:rPr>
                <w:sz w:val="22"/>
                <w:szCs w:val="20"/>
              </w:rPr>
              <w:t>1</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666"/>
              </w:tabs>
              <w:rPr>
                <w:sz w:val="22"/>
                <w:szCs w:val="20"/>
              </w:rPr>
            </w:pPr>
            <w:r>
              <w:rPr>
                <w:sz w:val="22"/>
                <w:szCs w:val="20"/>
              </w:rPr>
              <w:t>6.287</w:t>
            </w:r>
          </w:p>
        </w:tc>
        <w:tc>
          <w:tcPr>
            <w:tcW w:w="354" w:type="pct"/>
          </w:tcPr>
          <w:p w:rsidR="00000000" w:rsidRDefault="00000000">
            <w:pPr>
              <w:tabs>
                <w:tab w:val="decimal" w:pos="484"/>
              </w:tabs>
              <w:rPr>
                <w:sz w:val="22"/>
                <w:szCs w:val="20"/>
              </w:rPr>
            </w:pPr>
            <w:r>
              <w:rPr>
                <w:sz w:val="22"/>
                <w:szCs w:val="20"/>
              </w:rPr>
              <w:t>87</w:t>
            </w:r>
          </w:p>
        </w:tc>
        <w:tc>
          <w:tcPr>
            <w:tcW w:w="351" w:type="pct"/>
          </w:tcPr>
          <w:p w:rsidR="00000000" w:rsidRDefault="00000000">
            <w:pPr>
              <w:tabs>
                <w:tab w:val="decimal" w:pos="312"/>
              </w:tabs>
              <w:rPr>
                <w:sz w:val="22"/>
                <w:szCs w:val="20"/>
              </w:rPr>
            </w:pPr>
            <w:r>
              <w:rPr>
                <w:sz w:val="22"/>
                <w:szCs w:val="20"/>
              </w:rPr>
              <w:t>13,8</w:t>
            </w:r>
          </w:p>
        </w:tc>
      </w:tr>
      <w:tr w:rsidR="00000000">
        <w:tblPrEx>
          <w:tblCellMar>
            <w:top w:w="0" w:type="dxa"/>
            <w:bottom w:w="0" w:type="dxa"/>
          </w:tblCellMar>
        </w:tblPrEx>
        <w:tc>
          <w:tcPr>
            <w:tcW w:w="714" w:type="pct"/>
          </w:tcPr>
          <w:p w:rsidR="00000000" w:rsidRDefault="00000000">
            <w:pPr>
              <w:rPr>
                <w:sz w:val="22"/>
                <w:szCs w:val="20"/>
              </w:rPr>
            </w:pPr>
            <w:r>
              <w:rPr>
                <w:sz w:val="22"/>
                <w:szCs w:val="20"/>
              </w:rPr>
              <w:t>Caazapá</w:t>
            </w:r>
          </w:p>
        </w:tc>
        <w:tc>
          <w:tcPr>
            <w:tcW w:w="448" w:type="pct"/>
          </w:tcPr>
          <w:p w:rsidR="00000000" w:rsidRDefault="00000000">
            <w:pPr>
              <w:tabs>
                <w:tab w:val="decimal" w:pos="658"/>
              </w:tabs>
              <w:rPr>
                <w:sz w:val="22"/>
                <w:szCs w:val="20"/>
              </w:rPr>
            </w:pPr>
            <w:r>
              <w:rPr>
                <w:sz w:val="22"/>
                <w:szCs w:val="20"/>
              </w:rPr>
              <w:t>588</w:t>
            </w:r>
          </w:p>
        </w:tc>
        <w:tc>
          <w:tcPr>
            <w:tcW w:w="354" w:type="pct"/>
          </w:tcPr>
          <w:p w:rsidR="00000000" w:rsidRDefault="00000000">
            <w:pPr>
              <w:tabs>
                <w:tab w:val="decimal" w:pos="505"/>
              </w:tabs>
              <w:rPr>
                <w:sz w:val="22"/>
                <w:szCs w:val="20"/>
              </w:rPr>
            </w:pPr>
            <w:r>
              <w:rPr>
                <w:sz w:val="22"/>
                <w:szCs w:val="20"/>
              </w:rPr>
              <w:t>16</w:t>
            </w:r>
          </w:p>
        </w:tc>
        <w:tc>
          <w:tcPr>
            <w:tcW w:w="355" w:type="pct"/>
          </w:tcPr>
          <w:p w:rsidR="00000000" w:rsidRDefault="00000000">
            <w:pPr>
              <w:tabs>
                <w:tab w:val="decimal" w:pos="369"/>
              </w:tabs>
              <w:rPr>
                <w:sz w:val="22"/>
                <w:szCs w:val="20"/>
              </w:rPr>
            </w:pPr>
            <w:r>
              <w:rPr>
                <w:sz w:val="22"/>
                <w:szCs w:val="20"/>
              </w:rPr>
              <w:t>27,2</w:t>
            </w:r>
          </w:p>
        </w:tc>
        <w:tc>
          <w:tcPr>
            <w:tcW w:w="417" w:type="pct"/>
          </w:tcPr>
          <w:p w:rsidR="00000000" w:rsidRDefault="00000000">
            <w:pPr>
              <w:tabs>
                <w:tab w:val="decimal" w:pos="613"/>
              </w:tabs>
              <w:rPr>
                <w:sz w:val="22"/>
                <w:szCs w:val="20"/>
              </w:rPr>
            </w:pPr>
            <w:r>
              <w:rPr>
                <w:sz w:val="22"/>
                <w:szCs w:val="20"/>
              </w:rPr>
              <w:t>1.749</w:t>
            </w:r>
          </w:p>
        </w:tc>
        <w:tc>
          <w:tcPr>
            <w:tcW w:w="292" w:type="pct"/>
          </w:tcPr>
          <w:p w:rsidR="00000000" w:rsidRDefault="00000000">
            <w:pPr>
              <w:tabs>
                <w:tab w:val="decimal" w:pos="366"/>
              </w:tabs>
              <w:rPr>
                <w:sz w:val="22"/>
                <w:szCs w:val="20"/>
              </w:rPr>
            </w:pPr>
            <w:r>
              <w:rPr>
                <w:sz w:val="22"/>
                <w:szCs w:val="20"/>
              </w:rPr>
              <w:t>27</w:t>
            </w:r>
          </w:p>
        </w:tc>
        <w:tc>
          <w:tcPr>
            <w:tcW w:w="331" w:type="pct"/>
          </w:tcPr>
          <w:p w:rsidR="00000000" w:rsidRDefault="00000000">
            <w:pPr>
              <w:tabs>
                <w:tab w:val="decimal" w:pos="245"/>
              </w:tabs>
              <w:rPr>
                <w:sz w:val="22"/>
                <w:szCs w:val="20"/>
              </w:rPr>
            </w:pPr>
            <w:r>
              <w:rPr>
                <w:sz w:val="22"/>
                <w:szCs w:val="20"/>
              </w:rPr>
              <w:t>15,4</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A</w:t>
            </w:r>
          </w:p>
        </w:tc>
        <w:tc>
          <w:tcPr>
            <w:tcW w:w="417" w:type="pct"/>
          </w:tcPr>
          <w:p w:rsidR="00000000" w:rsidRDefault="00000000">
            <w:pPr>
              <w:tabs>
                <w:tab w:val="decimal" w:pos="666"/>
              </w:tabs>
              <w:rPr>
                <w:sz w:val="22"/>
                <w:szCs w:val="20"/>
              </w:rPr>
            </w:pPr>
            <w:r>
              <w:rPr>
                <w:sz w:val="22"/>
                <w:szCs w:val="20"/>
              </w:rPr>
              <w:t>2.337</w:t>
            </w:r>
          </w:p>
        </w:tc>
        <w:tc>
          <w:tcPr>
            <w:tcW w:w="354" w:type="pct"/>
          </w:tcPr>
          <w:p w:rsidR="00000000" w:rsidRDefault="00000000">
            <w:pPr>
              <w:tabs>
                <w:tab w:val="decimal" w:pos="484"/>
              </w:tabs>
              <w:rPr>
                <w:sz w:val="22"/>
                <w:szCs w:val="20"/>
              </w:rPr>
            </w:pPr>
            <w:r>
              <w:rPr>
                <w:sz w:val="22"/>
                <w:szCs w:val="20"/>
              </w:rPr>
              <w:t>43</w:t>
            </w:r>
          </w:p>
        </w:tc>
        <w:tc>
          <w:tcPr>
            <w:tcW w:w="351" w:type="pct"/>
          </w:tcPr>
          <w:p w:rsidR="00000000" w:rsidRDefault="00000000">
            <w:pPr>
              <w:tabs>
                <w:tab w:val="decimal" w:pos="312"/>
              </w:tabs>
              <w:rPr>
                <w:sz w:val="22"/>
                <w:szCs w:val="20"/>
              </w:rPr>
            </w:pPr>
            <w:r>
              <w:rPr>
                <w:sz w:val="22"/>
                <w:szCs w:val="20"/>
              </w:rPr>
              <w:t>18,4</w:t>
            </w:r>
          </w:p>
        </w:tc>
      </w:tr>
      <w:tr w:rsidR="00000000">
        <w:tblPrEx>
          <w:tblCellMar>
            <w:top w:w="0" w:type="dxa"/>
            <w:bottom w:w="0" w:type="dxa"/>
          </w:tblCellMar>
        </w:tblPrEx>
        <w:tc>
          <w:tcPr>
            <w:tcW w:w="714" w:type="pct"/>
          </w:tcPr>
          <w:p w:rsidR="00000000" w:rsidRDefault="00000000">
            <w:pPr>
              <w:rPr>
                <w:sz w:val="22"/>
                <w:szCs w:val="20"/>
              </w:rPr>
            </w:pPr>
            <w:r>
              <w:rPr>
                <w:sz w:val="22"/>
                <w:szCs w:val="20"/>
              </w:rPr>
              <w:t>Itapúa</w:t>
            </w:r>
          </w:p>
        </w:tc>
        <w:tc>
          <w:tcPr>
            <w:tcW w:w="448" w:type="pct"/>
          </w:tcPr>
          <w:p w:rsidR="00000000" w:rsidRDefault="00000000">
            <w:pPr>
              <w:tabs>
                <w:tab w:val="decimal" w:pos="658"/>
              </w:tabs>
              <w:rPr>
                <w:sz w:val="22"/>
                <w:szCs w:val="20"/>
              </w:rPr>
            </w:pPr>
            <w:r>
              <w:rPr>
                <w:sz w:val="22"/>
                <w:szCs w:val="20"/>
              </w:rPr>
              <w:t>3.243</w:t>
            </w:r>
          </w:p>
        </w:tc>
        <w:tc>
          <w:tcPr>
            <w:tcW w:w="354" w:type="pct"/>
          </w:tcPr>
          <w:p w:rsidR="00000000" w:rsidRDefault="00000000">
            <w:pPr>
              <w:tabs>
                <w:tab w:val="decimal" w:pos="505"/>
              </w:tabs>
              <w:rPr>
                <w:sz w:val="22"/>
                <w:szCs w:val="20"/>
              </w:rPr>
            </w:pPr>
            <w:r>
              <w:rPr>
                <w:sz w:val="22"/>
                <w:szCs w:val="20"/>
              </w:rPr>
              <w:t>66</w:t>
            </w:r>
          </w:p>
        </w:tc>
        <w:tc>
          <w:tcPr>
            <w:tcW w:w="355" w:type="pct"/>
          </w:tcPr>
          <w:p w:rsidR="00000000" w:rsidRDefault="00000000">
            <w:pPr>
              <w:tabs>
                <w:tab w:val="decimal" w:pos="369"/>
              </w:tabs>
              <w:rPr>
                <w:sz w:val="22"/>
                <w:szCs w:val="20"/>
              </w:rPr>
            </w:pPr>
            <w:r>
              <w:rPr>
                <w:sz w:val="22"/>
                <w:szCs w:val="20"/>
              </w:rPr>
              <w:t>20,4</w:t>
            </w:r>
          </w:p>
        </w:tc>
        <w:tc>
          <w:tcPr>
            <w:tcW w:w="417" w:type="pct"/>
          </w:tcPr>
          <w:p w:rsidR="00000000" w:rsidRDefault="00000000">
            <w:pPr>
              <w:tabs>
                <w:tab w:val="decimal" w:pos="613"/>
              </w:tabs>
              <w:rPr>
                <w:sz w:val="22"/>
                <w:szCs w:val="20"/>
              </w:rPr>
            </w:pPr>
            <w:r>
              <w:rPr>
                <w:sz w:val="22"/>
                <w:szCs w:val="20"/>
              </w:rPr>
              <w:t>3.928</w:t>
            </w:r>
          </w:p>
        </w:tc>
        <w:tc>
          <w:tcPr>
            <w:tcW w:w="292" w:type="pct"/>
          </w:tcPr>
          <w:p w:rsidR="00000000" w:rsidRDefault="00000000">
            <w:pPr>
              <w:tabs>
                <w:tab w:val="decimal" w:pos="366"/>
              </w:tabs>
              <w:rPr>
                <w:sz w:val="22"/>
                <w:szCs w:val="20"/>
              </w:rPr>
            </w:pPr>
            <w:r>
              <w:rPr>
                <w:sz w:val="22"/>
                <w:szCs w:val="20"/>
              </w:rPr>
              <w:t>69</w:t>
            </w:r>
          </w:p>
        </w:tc>
        <w:tc>
          <w:tcPr>
            <w:tcW w:w="331" w:type="pct"/>
          </w:tcPr>
          <w:p w:rsidR="00000000" w:rsidRDefault="00000000">
            <w:pPr>
              <w:tabs>
                <w:tab w:val="decimal" w:pos="245"/>
              </w:tabs>
              <w:rPr>
                <w:sz w:val="22"/>
                <w:szCs w:val="20"/>
              </w:rPr>
            </w:pPr>
            <w:r>
              <w:rPr>
                <w:sz w:val="22"/>
                <w:szCs w:val="20"/>
              </w:rPr>
              <w:t>17,6</w:t>
            </w:r>
          </w:p>
        </w:tc>
        <w:tc>
          <w:tcPr>
            <w:tcW w:w="344" w:type="pct"/>
          </w:tcPr>
          <w:p w:rsidR="00000000" w:rsidRDefault="00000000">
            <w:pPr>
              <w:tabs>
                <w:tab w:val="decimal" w:pos="343"/>
              </w:tabs>
              <w:rPr>
                <w:sz w:val="22"/>
                <w:szCs w:val="20"/>
              </w:rPr>
            </w:pPr>
            <w:r>
              <w:rPr>
                <w:sz w:val="22"/>
                <w:szCs w:val="20"/>
              </w:rPr>
              <w:t>1</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P</w:t>
            </w:r>
          </w:p>
        </w:tc>
        <w:tc>
          <w:tcPr>
            <w:tcW w:w="417" w:type="pct"/>
          </w:tcPr>
          <w:p w:rsidR="00000000" w:rsidRDefault="00000000">
            <w:pPr>
              <w:tabs>
                <w:tab w:val="decimal" w:pos="666"/>
              </w:tabs>
              <w:rPr>
                <w:sz w:val="22"/>
                <w:szCs w:val="20"/>
              </w:rPr>
            </w:pPr>
            <w:r>
              <w:rPr>
                <w:sz w:val="22"/>
                <w:szCs w:val="20"/>
              </w:rPr>
              <w:t>7.172</w:t>
            </w:r>
          </w:p>
        </w:tc>
        <w:tc>
          <w:tcPr>
            <w:tcW w:w="354" w:type="pct"/>
          </w:tcPr>
          <w:p w:rsidR="00000000" w:rsidRDefault="00000000">
            <w:pPr>
              <w:tabs>
                <w:tab w:val="decimal" w:pos="484"/>
              </w:tabs>
              <w:rPr>
                <w:sz w:val="22"/>
                <w:szCs w:val="20"/>
              </w:rPr>
            </w:pPr>
            <w:r>
              <w:rPr>
                <w:sz w:val="22"/>
                <w:szCs w:val="20"/>
              </w:rPr>
              <w:t>135</w:t>
            </w:r>
          </w:p>
        </w:tc>
        <w:tc>
          <w:tcPr>
            <w:tcW w:w="351" w:type="pct"/>
          </w:tcPr>
          <w:p w:rsidR="00000000" w:rsidRDefault="00000000">
            <w:pPr>
              <w:tabs>
                <w:tab w:val="decimal" w:pos="312"/>
              </w:tabs>
              <w:rPr>
                <w:sz w:val="22"/>
                <w:szCs w:val="20"/>
              </w:rPr>
            </w:pPr>
            <w:r>
              <w:rPr>
                <w:sz w:val="22"/>
                <w:szCs w:val="20"/>
              </w:rPr>
              <w:t>18,8</w:t>
            </w:r>
          </w:p>
        </w:tc>
      </w:tr>
      <w:tr w:rsidR="00000000">
        <w:tblPrEx>
          <w:tblCellMar>
            <w:top w:w="0" w:type="dxa"/>
            <w:bottom w:w="0" w:type="dxa"/>
          </w:tblCellMar>
        </w:tblPrEx>
        <w:tc>
          <w:tcPr>
            <w:tcW w:w="714" w:type="pct"/>
          </w:tcPr>
          <w:p w:rsidR="00000000" w:rsidRDefault="00000000">
            <w:pPr>
              <w:rPr>
                <w:sz w:val="22"/>
                <w:szCs w:val="20"/>
              </w:rPr>
            </w:pPr>
            <w:r>
              <w:rPr>
                <w:sz w:val="22"/>
                <w:szCs w:val="20"/>
              </w:rPr>
              <w:t>Misiones</w:t>
            </w:r>
          </w:p>
        </w:tc>
        <w:tc>
          <w:tcPr>
            <w:tcW w:w="448" w:type="pct"/>
          </w:tcPr>
          <w:p w:rsidR="00000000" w:rsidRDefault="00000000">
            <w:pPr>
              <w:tabs>
                <w:tab w:val="decimal" w:pos="658"/>
              </w:tabs>
              <w:rPr>
                <w:sz w:val="22"/>
                <w:szCs w:val="20"/>
              </w:rPr>
            </w:pPr>
            <w:r>
              <w:rPr>
                <w:sz w:val="22"/>
                <w:szCs w:val="20"/>
              </w:rPr>
              <w:t>1.098</w:t>
            </w:r>
          </w:p>
        </w:tc>
        <w:tc>
          <w:tcPr>
            <w:tcW w:w="354" w:type="pct"/>
          </w:tcPr>
          <w:p w:rsidR="00000000" w:rsidRDefault="00000000">
            <w:pPr>
              <w:tabs>
                <w:tab w:val="decimal" w:pos="505"/>
              </w:tabs>
              <w:rPr>
                <w:sz w:val="22"/>
                <w:szCs w:val="20"/>
              </w:rPr>
            </w:pPr>
            <w:r>
              <w:rPr>
                <w:sz w:val="22"/>
                <w:szCs w:val="20"/>
              </w:rPr>
              <w:t>34</w:t>
            </w:r>
          </w:p>
        </w:tc>
        <w:tc>
          <w:tcPr>
            <w:tcW w:w="355" w:type="pct"/>
          </w:tcPr>
          <w:p w:rsidR="00000000" w:rsidRDefault="00000000">
            <w:pPr>
              <w:tabs>
                <w:tab w:val="decimal" w:pos="369"/>
              </w:tabs>
              <w:rPr>
                <w:sz w:val="22"/>
                <w:szCs w:val="20"/>
              </w:rPr>
            </w:pPr>
            <w:r>
              <w:rPr>
                <w:sz w:val="22"/>
                <w:szCs w:val="20"/>
              </w:rPr>
              <w:t>31,0</w:t>
            </w:r>
          </w:p>
        </w:tc>
        <w:tc>
          <w:tcPr>
            <w:tcW w:w="417" w:type="pct"/>
          </w:tcPr>
          <w:p w:rsidR="00000000" w:rsidRDefault="00000000">
            <w:pPr>
              <w:tabs>
                <w:tab w:val="decimal" w:pos="613"/>
              </w:tabs>
              <w:rPr>
                <w:sz w:val="22"/>
                <w:szCs w:val="20"/>
              </w:rPr>
            </w:pPr>
            <w:r>
              <w:rPr>
                <w:sz w:val="22"/>
                <w:szCs w:val="20"/>
              </w:rPr>
              <w:t>820</w:t>
            </w:r>
          </w:p>
        </w:tc>
        <w:tc>
          <w:tcPr>
            <w:tcW w:w="292" w:type="pct"/>
          </w:tcPr>
          <w:p w:rsidR="00000000" w:rsidRDefault="00000000">
            <w:pPr>
              <w:tabs>
                <w:tab w:val="decimal" w:pos="366"/>
              </w:tabs>
              <w:rPr>
                <w:sz w:val="22"/>
                <w:szCs w:val="20"/>
              </w:rPr>
            </w:pPr>
            <w:r>
              <w:rPr>
                <w:sz w:val="22"/>
                <w:szCs w:val="20"/>
              </w:rPr>
              <w:t>19</w:t>
            </w:r>
          </w:p>
        </w:tc>
        <w:tc>
          <w:tcPr>
            <w:tcW w:w="331" w:type="pct"/>
          </w:tcPr>
          <w:p w:rsidR="00000000" w:rsidRDefault="00000000">
            <w:pPr>
              <w:tabs>
                <w:tab w:val="decimal" w:pos="245"/>
              </w:tabs>
              <w:rPr>
                <w:sz w:val="22"/>
                <w:szCs w:val="20"/>
              </w:rPr>
            </w:pPr>
            <w:r>
              <w:rPr>
                <w:sz w:val="22"/>
                <w:szCs w:val="20"/>
              </w:rPr>
              <w:t>23,2</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L</w:t>
            </w:r>
          </w:p>
        </w:tc>
        <w:tc>
          <w:tcPr>
            <w:tcW w:w="417" w:type="pct"/>
          </w:tcPr>
          <w:p w:rsidR="00000000" w:rsidRDefault="00000000">
            <w:pPr>
              <w:tabs>
                <w:tab w:val="decimal" w:pos="666"/>
              </w:tabs>
              <w:rPr>
                <w:sz w:val="22"/>
                <w:szCs w:val="20"/>
              </w:rPr>
            </w:pPr>
            <w:r>
              <w:rPr>
                <w:sz w:val="22"/>
                <w:szCs w:val="20"/>
              </w:rPr>
              <w:t>1.918</w:t>
            </w:r>
          </w:p>
        </w:tc>
        <w:tc>
          <w:tcPr>
            <w:tcW w:w="354" w:type="pct"/>
          </w:tcPr>
          <w:p w:rsidR="00000000" w:rsidRDefault="00000000">
            <w:pPr>
              <w:tabs>
                <w:tab w:val="decimal" w:pos="484"/>
              </w:tabs>
              <w:rPr>
                <w:sz w:val="22"/>
                <w:szCs w:val="20"/>
              </w:rPr>
            </w:pPr>
            <w:r>
              <w:rPr>
                <w:sz w:val="22"/>
                <w:szCs w:val="20"/>
              </w:rPr>
              <w:t>53</w:t>
            </w:r>
          </w:p>
        </w:tc>
        <w:tc>
          <w:tcPr>
            <w:tcW w:w="351" w:type="pct"/>
          </w:tcPr>
          <w:p w:rsidR="00000000" w:rsidRDefault="00000000">
            <w:pPr>
              <w:tabs>
                <w:tab w:val="decimal" w:pos="312"/>
              </w:tabs>
              <w:rPr>
                <w:sz w:val="22"/>
                <w:szCs w:val="20"/>
              </w:rPr>
            </w:pPr>
            <w:r>
              <w:rPr>
                <w:sz w:val="22"/>
                <w:szCs w:val="20"/>
              </w:rPr>
              <w:t>27,6</w:t>
            </w:r>
          </w:p>
        </w:tc>
      </w:tr>
      <w:tr w:rsidR="00000000">
        <w:tblPrEx>
          <w:tblCellMar>
            <w:top w:w="0" w:type="dxa"/>
            <w:bottom w:w="0" w:type="dxa"/>
          </w:tblCellMar>
        </w:tblPrEx>
        <w:tc>
          <w:tcPr>
            <w:tcW w:w="714" w:type="pct"/>
          </w:tcPr>
          <w:p w:rsidR="00000000" w:rsidRDefault="00000000">
            <w:pPr>
              <w:rPr>
                <w:sz w:val="22"/>
                <w:szCs w:val="20"/>
              </w:rPr>
            </w:pPr>
            <w:r>
              <w:rPr>
                <w:sz w:val="22"/>
                <w:szCs w:val="20"/>
              </w:rPr>
              <w:t>Paraguari</w:t>
            </w:r>
          </w:p>
        </w:tc>
        <w:tc>
          <w:tcPr>
            <w:tcW w:w="448" w:type="pct"/>
          </w:tcPr>
          <w:p w:rsidR="00000000" w:rsidRDefault="00000000">
            <w:pPr>
              <w:tabs>
                <w:tab w:val="decimal" w:pos="658"/>
              </w:tabs>
              <w:rPr>
                <w:sz w:val="22"/>
                <w:szCs w:val="20"/>
              </w:rPr>
            </w:pPr>
            <w:r>
              <w:rPr>
                <w:sz w:val="22"/>
                <w:szCs w:val="20"/>
              </w:rPr>
              <w:t>1.237</w:t>
            </w:r>
          </w:p>
        </w:tc>
        <w:tc>
          <w:tcPr>
            <w:tcW w:w="354" w:type="pct"/>
          </w:tcPr>
          <w:p w:rsidR="00000000" w:rsidRDefault="00000000">
            <w:pPr>
              <w:tabs>
                <w:tab w:val="decimal" w:pos="505"/>
              </w:tabs>
              <w:rPr>
                <w:sz w:val="22"/>
                <w:szCs w:val="20"/>
              </w:rPr>
            </w:pPr>
            <w:r>
              <w:rPr>
                <w:sz w:val="22"/>
                <w:szCs w:val="20"/>
              </w:rPr>
              <w:t>32</w:t>
            </w:r>
          </w:p>
        </w:tc>
        <w:tc>
          <w:tcPr>
            <w:tcW w:w="355" w:type="pct"/>
          </w:tcPr>
          <w:p w:rsidR="00000000" w:rsidRDefault="00000000">
            <w:pPr>
              <w:tabs>
                <w:tab w:val="decimal" w:pos="369"/>
              </w:tabs>
              <w:rPr>
                <w:sz w:val="22"/>
                <w:szCs w:val="20"/>
              </w:rPr>
            </w:pPr>
            <w:r>
              <w:rPr>
                <w:sz w:val="22"/>
                <w:szCs w:val="20"/>
              </w:rPr>
              <w:t>25,9</w:t>
            </w:r>
          </w:p>
        </w:tc>
        <w:tc>
          <w:tcPr>
            <w:tcW w:w="417" w:type="pct"/>
          </w:tcPr>
          <w:p w:rsidR="00000000" w:rsidRDefault="00000000">
            <w:pPr>
              <w:tabs>
                <w:tab w:val="decimal" w:pos="613"/>
              </w:tabs>
              <w:rPr>
                <w:sz w:val="22"/>
                <w:szCs w:val="20"/>
              </w:rPr>
            </w:pPr>
            <w:r>
              <w:rPr>
                <w:sz w:val="22"/>
                <w:szCs w:val="20"/>
              </w:rPr>
              <w:t>2.470</w:t>
            </w:r>
          </w:p>
        </w:tc>
        <w:tc>
          <w:tcPr>
            <w:tcW w:w="292" w:type="pct"/>
          </w:tcPr>
          <w:p w:rsidR="00000000" w:rsidRDefault="00000000">
            <w:pPr>
              <w:tabs>
                <w:tab w:val="decimal" w:pos="366"/>
              </w:tabs>
              <w:rPr>
                <w:sz w:val="22"/>
                <w:szCs w:val="20"/>
              </w:rPr>
            </w:pPr>
            <w:r>
              <w:rPr>
                <w:sz w:val="22"/>
                <w:szCs w:val="20"/>
              </w:rPr>
              <w:t>25</w:t>
            </w:r>
          </w:p>
        </w:tc>
        <w:tc>
          <w:tcPr>
            <w:tcW w:w="331" w:type="pct"/>
          </w:tcPr>
          <w:p w:rsidR="00000000" w:rsidRDefault="00000000">
            <w:pPr>
              <w:tabs>
                <w:tab w:val="decimal" w:pos="245"/>
              </w:tabs>
              <w:rPr>
                <w:sz w:val="22"/>
                <w:szCs w:val="20"/>
              </w:rPr>
            </w:pPr>
            <w:r>
              <w:rPr>
                <w:sz w:val="22"/>
                <w:szCs w:val="20"/>
              </w:rPr>
              <w:t>10,1</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I</w:t>
            </w:r>
          </w:p>
        </w:tc>
        <w:tc>
          <w:tcPr>
            <w:tcW w:w="417" w:type="pct"/>
          </w:tcPr>
          <w:p w:rsidR="00000000" w:rsidRDefault="00000000">
            <w:pPr>
              <w:tabs>
                <w:tab w:val="decimal" w:pos="666"/>
              </w:tabs>
              <w:rPr>
                <w:sz w:val="22"/>
                <w:szCs w:val="20"/>
              </w:rPr>
            </w:pPr>
            <w:r>
              <w:rPr>
                <w:sz w:val="22"/>
                <w:szCs w:val="20"/>
              </w:rPr>
              <w:t>3.707</w:t>
            </w:r>
          </w:p>
        </w:tc>
        <w:tc>
          <w:tcPr>
            <w:tcW w:w="354" w:type="pct"/>
          </w:tcPr>
          <w:p w:rsidR="00000000" w:rsidRDefault="00000000">
            <w:pPr>
              <w:tabs>
                <w:tab w:val="decimal" w:pos="484"/>
              </w:tabs>
              <w:rPr>
                <w:sz w:val="22"/>
                <w:szCs w:val="20"/>
              </w:rPr>
            </w:pPr>
            <w:r>
              <w:rPr>
                <w:sz w:val="22"/>
                <w:szCs w:val="20"/>
              </w:rPr>
              <w:t>57</w:t>
            </w:r>
          </w:p>
        </w:tc>
        <w:tc>
          <w:tcPr>
            <w:tcW w:w="351" w:type="pct"/>
          </w:tcPr>
          <w:p w:rsidR="00000000" w:rsidRDefault="00000000">
            <w:pPr>
              <w:tabs>
                <w:tab w:val="decimal" w:pos="312"/>
              </w:tabs>
              <w:rPr>
                <w:sz w:val="22"/>
                <w:szCs w:val="20"/>
              </w:rPr>
            </w:pPr>
            <w:r>
              <w:rPr>
                <w:sz w:val="22"/>
                <w:szCs w:val="20"/>
              </w:rPr>
              <w:t>15,4</w:t>
            </w:r>
          </w:p>
        </w:tc>
      </w:tr>
      <w:tr w:rsidR="00000000">
        <w:tblPrEx>
          <w:tblCellMar>
            <w:top w:w="0" w:type="dxa"/>
            <w:bottom w:w="0" w:type="dxa"/>
          </w:tblCellMar>
        </w:tblPrEx>
        <w:tc>
          <w:tcPr>
            <w:tcW w:w="714" w:type="pct"/>
          </w:tcPr>
          <w:p w:rsidR="00000000" w:rsidRDefault="00000000">
            <w:pPr>
              <w:rPr>
                <w:sz w:val="22"/>
                <w:szCs w:val="20"/>
              </w:rPr>
            </w:pPr>
            <w:r>
              <w:rPr>
                <w:sz w:val="22"/>
                <w:szCs w:val="20"/>
              </w:rPr>
              <w:t>Alto Paraná</w:t>
            </w:r>
          </w:p>
        </w:tc>
        <w:tc>
          <w:tcPr>
            <w:tcW w:w="448" w:type="pct"/>
          </w:tcPr>
          <w:p w:rsidR="00000000" w:rsidRDefault="00000000">
            <w:pPr>
              <w:tabs>
                <w:tab w:val="decimal" w:pos="658"/>
              </w:tabs>
              <w:rPr>
                <w:sz w:val="22"/>
                <w:szCs w:val="20"/>
              </w:rPr>
            </w:pPr>
            <w:r>
              <w:rPr>
                <w:sz w:val="22"/>
                <w:szCs w:val="20"/>
              </w:rPr>
              <w:t>6.518</w:t>
            </w:r>
          </w:p>
        </w:tc>
        <w:tc>
          <w:tcPr>
            <w:tcW w:w="354" w:type="pct"/>
          </w:tcPr>
          <w:p w:rsidR="00000000" w:rsidRDefault="00000000">
            <w:pPr>
              <w:tabs>
                <w:tab w:val="decimal" w:pos="505"/>
              </w:tabs>
              <w:rPr>
                <w:sz w:val="22"/>
                <w:szCs w:val="20"/>
              </w:rPr>
            </w:pPr>
            <w:r>
              <w:rPr>
                <w:sz w:val="22"/>
                <w:szCs w:val="20"/>
              </w:rPr>
              <w:t>204</w:t>
            </w:r>
          </w:p>
        </w:tc>
        <w:tc>
          <w:tcPr>
            <w:tcW w:w="355" w:type="pct"/>
          </w:tcPr>
          <w:p w:rsidR="00000000" w:rsidRDefault="00000000">
            <w:pPr>
              <w:tabs>
                <w:tab w:val="decimal" w:pos="369"/>
              </w:tabs>
              <w:rPr>
                <w:sz w:val="22"/>
                <w:szCs w:val="20"/>
              </w:rPr>
            </w:pPr>
            <w:r>
              <w:rPr>
                <w:sz w:val="22"/>
                <w:szCs w:val="20"/>
              </w:rPr>
              <w:t>31,3</w:t>
            </w:r>
          </w:p>
        </w:tc>
        <w:tc>
          <w:tcPr>
            <w:tcW w:w="417" w:type="pct"/>
          </w:tcPr>
          <w:p w:rsidR="00000000" w:rsidRDefault="00000000">
            <w:pPr>
              <w:tabs>
                <w:tab w:val="decimal" w:pos="613"/>
              </w:tabs>
              <w:rPr>
                <w:sz w:val="22"/>
                <w:szCs w:val="20"/>
              </w:rPr>
            </w:pPr>
            <w:r>
              <w:rPr>
                <w:sz w:val="22"/>
                <w:szCs w:val="20"/>
              </w:rPr>
              <w:t>2.418</w:t>
            </w:r>
          </w:p>
        </w:tc>
        <w:tc>
          <w:tcPr>
            <w:tcW w:w="292" w:type="pct"/>
          </w:tcPr>
          <w:p w:rsidR="00000000" w:rsidRDefault="00000000">
            <w:pPr>
              <w:tabs>
                <w:tab w:val="decimal" w:pos="366"/>
              </w:tabs>
              <w:rPr>
                <w:sz w:val="22"/>
                <w:szCs w:val="20"/>
              </w:rPr>
            </w:pPr>
            <w:r>
              <w:rPr>
                <w:sz w:val="22"/>
                <w:szCs w:val="20"/>
              </w:rPr>
              <w:t>42</w:t>
            </w:r>
          </w:p>
        </w:tc>
        <w:tc>
          <w:tcPr>
            <w:tcW w:w="331" w:type="pct"/>
          </w:tcPr>
          <w:p w:rsidR="00000000" w:rsidRDefault="00000000">
            <w:pPr>
              <w:tabs>
                <w:tab w:val="decimal" w:pos="245"/>
              </w:tabs>
              <w:rPr>
                <w:sz w:val="22"/>
                <w:szCs w:val="20"/>
              </w:rPr>
            </w:pPr>
            <w:r>
              <w:rPr>
                <w:sz w:val="22"/>
                <w:szCs w:val="20"/>
              </w:rPr>
              <w:t>17,4</w:t>
            </w:r>
          </w:p>
        </w:tc>
        <w:tc>
          <w:tcPr>
            <w:tcW w:w="344" w:type="pct"/>
          </w:tcPr>
          <w:p w:rsidR="00000000" w:rsidRDefault="00000000">
            <w:pPr>
              <w:tabs>
                <w:tab w:val="decimal" w:pos="343"/>
              </w:tabs>
              <w:rPr>
                <w:sz w:val="22"/>
                <w:szCs w:val="20"/>
              </w:rPr>
            </w:pPr>
            <w:r>
              <w:rPr>
                <w:sz w:val="22"/>
                <w:szCs w:val="20"/>
              </w:rPr>
              <w:t>1</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C</w:t>
            </w:r>
          </w:p>
        </w:tc>
        <w:tc>
          <w:tcPr>
            <w:tcW w:w="417" w:type="pct"/>
          </w:tcPr>
          <w:p w:rsidR="00000000" w:rsidRDefault="00000000">
            <w:pPr>
              <w:tabs>
                <w:tab w:val="decimal" w:pos="666"/>
              </w:tabs>
              <w:rPr>
                <w:sz w:val="22"/>
                <w:szCs w:val="20"/>
              </w:rPr>
            </w:pPr>
            <w:r>
              <w:rPr>
                <w:sz w:val="22"/>
                <w:szCs w:val="20"/>
              </w:rPr>
              <w:t>8.937</w:t>
            </w:r>
          </w:p>
        </w:tc>
        <w:tc>
          <w:tcPr>
            <w:tcW w:w="354" w:type="pct"/>
          </w:tcPr>
          <w:p w:rsidR="00000000" w:rsidRDefault="00000000">
            <w:pPr>
              <w:tabs>
                <w:tab w:val="decimal" w:pos="484"/>
              </w:tabs>
              <w:rPr>
                <w:sz w:val="22"/>
                <w:szCs w:val="20"/>
              </w:rPr>
            </w:pPr>
            <w:r>
              <w:rPr>
                <w:sz w:val="22"/>
                <w:szCs w:val="20"/>
              </w:rPr>
              <w:t>246</w:t>
            </w:r>
          </w:p>
        </w:tc>
        <w:tc>
          <w:tcPr>
            <w:tcW w:w="351" w:type="pct"/>
          </w:tcPr>
          <w:p w:rsidR="00000000" w:rsidRDefault="00000000">
            <w:pPr>
              <w:tabs>
                <w:tab w:val="decimal" w:pos="312"/>
              </w:tabs>
              <w:rPr>
                <w:sz w:val="22"/>
                <w:szCs w:val="20"/>
              </w:rPr>
            </w:pPr>
            <w:r>
              <w:rPr>
                <w:sz w:val="22"/>
                <w:szCs w:val="20"/>
              </w:rPr>
              <w:t>27,5</w:t>
            </w:r>
          </w:p>
        </w:tc>
      </w:tr>
      <w:tr w:rsidR="00000000">
        <w:tblPrEx>
          <w:tblCellMar>
            <w:top w:w="0" w:type="dxa"/>
            <w:bottom w:w="0" w:type="dxa"/>
          </w:tblCellMar>
        </w:tblPrEx>
        <w:tc>
          <w:tcPr>
            <w:tcW w:w="714" w:type="pct"/>
          </w:tcPr>
          <w:p w:rsidR="00000000" w:rsidRDefault="00000000">
            <w:pPr>
              <w:rPr>
                <w:sz w:val="22"/>
                <w:szCs w:val="20"/>
              </w:rPr>
            </w:pPr>
            <w:r>
              <w:rPr>
                <w:sz w:val="22"/>
                <w:szCs w:val="20"/>
              </w:rPr>
              <w:t>Central</w:t>
            </w:r>
          </w:p>
        </w:tc>
        <w:tc>
          <w:tcPr>
            <w:tcW w:w="448" w:type="pct"/>
          </w:tcPr>
          <w:p w:rsidR="00000000" w:rsidRDefault="00000000">
            <w:pPr>
              <w:tabs>
                <w:tab w:val="decimal" w:pos="658"/>
              </w:tabs>
              <w:rPr>
                <w:sz w:val="22"/>
                <w:szCs w:val="20"/>
              </w:rPr>
            </w:pPr>
            <w:r>
              <w:rPr>
                <w:sz w:val="22"/>
                <w:szCs w:val="20"/>
              </w:rPr>
              <w:t>21.133</w:t>
            </w:r>
          </w:p>
        </w:tc>
        <w:tc>
          <w:tcPr>
            <w:tcW w:w="354" w:type="pct"/>
          </w:tcPr>
          <w:p w:rsidR="00000000" w:rsidRDefault="00000000">
            <w:pPr>
              <w:tabs>
                <w:tab w:val="decimal" w:pos="505"/>
              </w:tabs>
              <w:rPr>
                <w:sz w:val="22"/>
                <w:szCs w:val="20"/>
              </w:rPr>
            </w:pPr>
            <w:r>
              <w:rPr>
                <w:sz w:val="22"/>
                <w:szCs w:val="20"/>
              </w:rPr>
              <w:t>387</w:t>
            </w:r>
          </w:p>
        </w:tc>
        <w:tc>
          <w:tcPr>
            <w:tcW w:w="355" w:type="pct"/>
          </w:tcPr>
          <w:p w:rsidR="00000000" w:rsidRDefault="00000000">
            <w:pPr>
              <w:tabs>
                <w:tab w:val="decimal" w:pos="369"/>
              </w:tabs>
              <w:rPr>
                <w:sz w:val="22"/>
                <w:szCs w:val="20"/>
              </w:rPr>
            </w:pPr>
            <w:r>
              <w:rPr>
                <w:sz w:val="22"/>
                <w:szCs w:val="20"/>
              </w:rPr>
              <w:t>18,3</w:t>
            </w:r>
          </w:p>
        </w:tc>
        <w:tc>
          <w:tcPr>
            <w:tcW w:w="417" w:type="pct"/>
          </w:tcPr>
          <w:p w:rsidR="00000000" w:rsidRDefault="00000000">
            <w:pPr>
              <w:tabs>
                <w:tab w:val="decimal" w:pos="613"/>
              </w:tabs>
              <w:rPr>
                <w:sz w:val="22"/>
                <w:szCs w:val="20"/>
              </w:rPr>
            </w:pPr>
            <w:r>
              <w:rPr>
                <w:sz w:val="22"/>
                <w:szCs w:val="20"/>
              </w:rPr>
              <w:t>4.418</w:t>
            </w:r>
          </w:p>
        </w:tc>
        <w:tc>
          <w:tcPr>
            <w:tcW w:w="292" w:type="pct"/>
          </w:tcPr>
          <w:p w:rsidR="00000000" w:rsidRDefault="00000000">
            <w:pPr>
              <w:tabs>
                <w:tab w:val="decimal" w:pos="366"/>
              </w:tabs>
              <w:rPr>
                <w:sz w:val="22"/>
                <w:szCs w:val="20"/>
              </w:rPr>
            </w:pPr>
            <w:r>
              <w:rPr>
                <w:sz w:val="22"/>
                <w:szCs w:val="20"/>
              </w:rPr>
              <w:t>11</w:t>
            </w:r>
          </w:p>
        </w:tc>
        <w:tc>
          <w:tcPr>
            <w:tcW w:w="331" w:type="pct"/>
          </w:tcPr>
          <w:p w:rsidR="00000000" w:rsidRDefault="00000000">
            <w:pPr>
              <w:tabs>
                <w:tab w:val="decimal" w:pos="245"/>
              </w:tabs>
              <w:rPr>
                <w:sz w:val="22"/>
                <w:szCs w:val="20"/>
              </w:rPr>
            </w:pPr>
            <w:r>
              <w:rPr>
                <w:sz w:val="22"/>
                <w:szCs w:val="20"/>
              </w:rPr>
              <w:t>2,5</w:t>
            </w:r>
          </w:p>
        </w:tc>
        <w:tc>
          <w:tcPr>
            <w:tcW w:w="344" w:type="pct"/>
          </w:tcPr>
          <w:p w:rsidR="00000000" w:rsidRDefault="00000000">
            <w:pPr>
              <w:tabs>
                <w:tab w:val="decimal" w:pos="343"/>
              </w:tabs>
              <w:rPr>
                <w:sz w:val="22"/>
                <w:szCs w:val="20"/>
              </w:rPr>
            </w:pPr>
            <w:r>
              <w:rPr>
                <w:sz w:val="22"/>
                <w:szCs w:val="20"/>
              </w:rPr>
              <w:t>6</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A</w:t>
            </w:r>
          </w:p>
        </w:tc>
        <w:tc>
          <w:tcPr>
            <w:tcW w:w="417" w:type="pct"/>
          </w:tcPr>
          <w:p w:rsidR="00000000" w:rsidRDefault="00000000">
            <w:pPr>
              <w:tabs>
                <w:tab w:val="decimal" w:pos="666"/>
              </w:tabs>
              <w:rPr>
                <w:sz w:val="22"/>
                <w:szCs w:val="20"/>
              </w:rPr>
            </w:pPr>
            <w:r>
              <w:rPr>
                <w:sz w:val="22"/>
                <w:szCs w:val="20"/>
              </w:rPr>
              <w:t>25.557</w:t>
            </w:r>
          </w:p>
        </w:tc>
        <w:tc>
          <w:tcPr>
            <w:tcW w:w="354" w:type="pct"/>
          </w:tcPr>
          <w:p w:rsidR="00000000" w:rsidRDefault="00000000">
            <w:pPr>
              <w:tabs>
                <w:tab w:val="decimal" w:pos="484"/>
              </w:tabs>
              <w:rPr>
                <w:sz w:val="22"/>
                <w:szCs w:val="20"/>
              </w:rPr>
            </w:pPr>
            <w:r>
              <w:rPr>
                <w:sz w:val="22"/>
                <w:szCs w:val="20"/>
              </w:rPr>
              <w:t>398</w:t>
            </w:r>
          </w:p>
        </w:tc>
        <w:tc>
          <w:tcPr>
            <w:tcW w:w="351" w:type="pct"/>
          </w:tcPr>
          <w:p w:rsidR="00000000" w:rsidRDefault="00000000">
            <w:pPr>
              <w:tabs>
                <w:tab w:val="decimal" w:pos="312"/>
              </w:tabs>
              <w:rPr>
                <w:sz w:val="22"/>
                <w:szCs w:val="20"/>
              </w:rPr>
            </w:pPr>
            <w:r>
              <w:rPr>
                <w:sz w:val="22"/>
                <w:szCs w:val="20"/>
              </w:rPr>
              <w:t>15,6</w:t>
            </w:r>
          </w:p>
        </w:tc>
      </w:tr>
      <w:tr w:rsidR="00000000">
        <w:tblPrEx>
          <w:tblCellMar>
            <w:top w:w="0" w:type="dxa"/>
            <w:bottom w:w="0" w:type="dxa"/>
          </w:tblCellMar>
        </w:tblPrEx>
        <w:tc>
          <w:tcPr>
            <w:tcW w:w="714" w:type="pct"/>
          </w:tcPr>
          <w:p w:rsidR="00000000" w:rsidRDefault="00000000">
            <w:pPr>
              <w:rPr>
                <w:sz w:val="22"/>
                <w:szCs w:val="20"/>
              </w:rPr>
            </w:pPr>
            <w:r>
              <w:rPr>
                <w:sz w:val="22"/>
                <w:szCs w:val="20"/>
              </w:rPr>
              <w:t>Ñeembucú</w:t>
            </w:r>
          </w:p>
        </w:tc>
        <w:tc>
          <w:tcPr>
            <w:tcW w:w="448" w:type="pct"/>
          </w:tcPr>
          <w:p w:rsidR="00000000" w:rsidRDefault="00000000">
            <w:pPr>
              <w:tabs>
                <w:tab w:val="decimal" w:pos="658"/>
              </w:tabs>
              <w:rPr>
                <w:sz w:val="22"/>
                <w:szCs w:val="20"/>
                <w:lang w:val="en-US"/>
              </w:rPr>
            </w:pPr>
            <w:r>
              <w:rPr>
                <w:sz w:val="22"/>
                <w:szCs w:val="20"/>
                <w:lang w:val="en-US"/>
              </w:rPr>
              <w:t>684</w:t>
            </w:r>
          </w:p>
        </w:tc>
        <w:tc>
          <w:tcPr>
            <w:tcW w:w="354" w:type="pct"/>
          </w:tcPr>
          <w:p w:rsidR="00000000" w:rsidRDefault="00000000">
            <w:pPr>
              <w:tabs>
                <w:tab w:val="decimal" w:pos="505"/>
              </w:tabs>
              <w:rPr>
                <w:sz w:val="22"/>
                <w:szCs w:val="20"/>
                <w:lang w:val="en-US"/>
              </w:rPr>
            </w:pPr>
            <w:r>
              <w:rPr>
                <w:sz w:val="22"/>
                <w:szCs w:val="20"/>
                <w:lang w:val="en-US"/>
              </w:rPr>
              <w:t>14</w:t>
            </w:r>
          </w:p>
        </w:tc>
        <w:tc>
          <w:tcPr>
            <w:tcW w:w="355" w:type="pct"/>
          </w:tcPr>
          <w:p w:rsidR="00000000" w:rsidRDefault="00000000">
            <w:pPr>
              <w:tabs>
                <w:tab w:val="decimal" w:pos="369"/>
              </w:tabs>
              <w:rPr>
                <w:sz w:val="22"/>
                <w:szCs w:val="20"/>
                <w:lang w:val="en-US"/>
              </w:rPr>
            </w:pPr>
            <w:r>
              <w:rPr>
                <w:sz w:val="22"/>
                <w:szCs w:val="20"/>
                <w:lang w:val="en-US"/>
              </w:rPr>
              <w:t>20,5</w:t>
            </w:r>
          </w:p>
        </w:tc>
        <w:tc>
          <w:tcPr>
            <w:tcW w:w="417" w:type="pct"/>
          </w:tcPr>
          <w:p w:rsidR="00000000" w:rsidRDefault="00000000">
            <w:pPr>
              <w:tabs>
                <w:tab w:val="decimal" w:pos="613"/>
              </w:tabs>
              <w:rPr>
                <w:sz w:val="22"/>
                <w:szCs w:val="20"/>
                <w:lang w:val="en-US"/>
              </w:rPr>
            </w:pPr>
            <w:r>
              <w:rPr>
                <w:sz w:val="22"/>
                <w:szCs w:val="20"/>
                <w:lang w:val="en-US"/>
              </w:rPr>
              <w:t>401</w:t>
            </w:r>
          </w:p>
        </w:tc>
        <w:tc>
          <w:tcPr>
            <w:tcW w:w="292" w:type="pct"/>
          </w:tcPr>
          <w:p w:rsidR="00000000" w:rsidRDefault="00000000">
            <w:pPr>
              <w:tabs>
                <w:tab w:val="decimal" w:pos="366"/>
              </w:tabs>
              <w:rPr>
                <w:sz w:val="22"/>
                <w:szCs w:val="20"/>
                <w:lang w:val="en-US"/>
              </w:rPr>
            </w:pPr>
            <w:r>
              <w:rPr>
                <w:sz w:val="22"/>
                <w:szCs w:val="20"/>
                <w:lang w:val="en-US"/>
              </w:rPr>
              <w:t>6</w:t>
            </w:r>
          </w:p>
        </w:tc>
        <w:tc>
          <w:tcPr>
            <w:tcW w:w="331" w:type="pct"/>
          </w:tcPr>
          <w:p w:rsidR="00000000" w:rsidRDefault="00000000">
            <w:pPr>
              <w:tabs>
                <w:tab w:val="decimal" w:pos="245"/>
              </w:tabs>
              <w:rPr>
                <w:sz w:val="22"/>
                <w:szCs w:val="20"/>
                <w:lang w:val="en-US"/>
              </w:rPr>
            </w:pPr>
            <w:r>
              <w:rPr>
                <w:sz w:val="22"/>
                <w:szCs w:val="20"/>
                <w:lang w:val="en-US"/>
              </w:rPr>
              <w:t>15,0</w:t>
            </w:r>
          </w:p>
        </w:tc>
        <w:tc>
          <w:tcPr>
            <w:tcW w:w="344" w:type="pct"/>
          </w:tcPr>
          <w:p w:rsidR="00000000" w:rsidRDefault="00000000">
            <w:pPr>
              <w:tabs>
                <w:tab w:val="decimal" w:pos="343"/>
              </w:tabs>
              <w:rPr>
                <w:sz w:val="22"/>
                <w:szCs w:val="20"/>
                <w:lang w:val="en-US"/>
              </w:rPr>
            </w:pPr>
            <w:r>
              <w:rPr>
                <w:sz w:val="22"/>
                <w:szCs w:val="20"/>
                <w:lang w:val="en-US"/>
              </w:rPr>
              <w:t>0</w:t>
            </w:r>
          </w:p>
        </w:tc>
        <w:tc>
          <w:tcPr>
            <w:tcW w:w="292" w:type="pct"/>
          </w:tcPr>
          <w:p w:rsidR="00000000" w:rsidRDefault="00000000">
            <w:pPr>
              <w:jc w:val="center"/>
              <w:rPr>
                <w:sz w:val="22"/>
                <w:lang w:val="en-US"/>
              </w:rPr>
            </w:pPr>
            <w:r>
              <w:rPr>
                <w:sz w:val="22"/>
                <w:szCs w:val="20"/>
                <w:lang w:val="en-US"/>
              </w:rPr>
              <w:t>0</w:t>
            </w:r>
          </w:p>
        </w:tc>
        <w:tc>
          <w:tcPr>
            <w:tcW w:w="331" w:type="pct"/>
          </w:tcPr>
          <w:p w:rsidR="00000000" w:rsidRDefault="00000000">
            <w:pPr>
              <w:jc w:val="center"/>
              <w:rPr>
                <w:sz w:val="22"/>
                <w:szCs w:val="20"/>
                <w:lang w:val="en-US"/>
              </w:rPr>
            </w:pPr>
            <w:r>
              <w:rPr>
                <w:sz w:val="22"/>
                <w:szCs w:val="20"/>
                <w:lang w:val="en-US"/>
              </w:rPr>
              <w:t>B</w:t>
            </w:r>
          </w:p>
        </w:tc>
        <w:tc>
          <w:tcPr>
            <w:tcW w:w="417" w:type="pct"/>
          </w:tcPr>
          <w:p w:rsidR="00000000" w:rsidRDefault="00000000">
            <w:pPr>
              <w:tabs>
                <w:tab w:val="decimal" w:pos="666"/>
              </w:tabs>
              <w:rPr>
                <w:sz w:val="22"/>
                <w:szCs w:val="20"/>
                <w:lang w:val="en-US"/>
              </w:rPr>
            </w:pPr>
            <w:r>
              <w:rPr>
                <w:sz w:val="22"/>
                <w:szCs w:val="20"/>
                <w:lang w:val="en-US"/>
              </w:rPr>
              <w:t>1.085</w:t>
            </w:r>
          </w:p>
        </w:tc>
        <w:tc>
          <w:tcPr>
            <w:tcW w:w="354" w:type="pct"/>
          </w:tcPr>
          <w:p w:rsidR="00000000" w:rsidRDefault="00000000">
            <w:pPr>
              <w:tabs>
                <w:tab w:val="decimal" w:pos="484"/>
              </w:tabs>
              <w:rPr>
                <w:sz w:val="22"/>
                <w:szCs w:val="20"/>
                <w:lang w:val="en-US"/>
              </w:rPr>
            </w:pPr>
            <w:r>
              <w:rPr>
                <w:sz w:val="22"/>
                <w:szCs w:val="20"/>
                <w:lang w:val="en-US"/>
              </w:rPr>
              <w:t>20</w:t>
            </w:r>
          </w:p>
        </w:tc>
        <w:tc>
          <w:tcPr>
            <w:tcW w:w="351" w:type="pct"/>
          </w:tcPr>
          <w:p w:rsidR="00000000" w:rsidRDefault="00000000">
            <w:pPr>
              <w:tabs>
                <w:tab w:val="decimal" w:pos="312"/>
              </w:tabs>
              <w:rPr>
                <w:sz w:val="22"/>
                <w:szCs w:val="20"/>
                <w:lang w:val="en-US"/>
              </w:rPr>
            </w:pPr>
            <w:r>
              <w:rPr>
                <w:sz w:val="22"/>
                <w:szCs w:val="20"/>
                <w:lang w:val="en-US"/>
              </w:rPr>
              <w:t>18,4</w:t>
            </w:r>
          </w:p>
        </w:tc>
      </w:tr>
      <w:tr w:rsidR="00000000">
        <w:tblPrEx>
          <w:tblCellMar>
            <w:top w:w="0" w:type="dxa"/>
            <w:bottom w:w="0" w:type="dxa"/>
          </w:tblCellMar>
        </w:tblPrEx>
        <w:tc>
          <w:tcPr>
            <w:tcW w:w="714" w:type="pct"/>
          </w:tcPr>
          <w:p w:rsidR="00000000" w:rsidRDefault="00000000">
            <w:pPr>
              <w:rPr>
                <w:sz w:val="22"/>
                <w:szCs w:val="20"/>
                <w:lang w:val="en-US"/>
              </w:rPr>
            </w:pPr>
            <w:r>
              <w:rPr>
                <w:sz w:val="22"/>
                <w:szCs w:val="20"/>
                <w:lang w:val="en-US"/>
              </w:rPr>
              <w:t>Amambay</w:t>
            </w:r>
          </w:p>
        </w:tc>
        <w:tc>
          <w:tcPr>
            <w:tcW w:w="448" w:type="pct"/>
          </w:tcPr>
          <w:p w:rsidR="00000000" w:rsidRDefault="00000000">
            <w:pPr>
              <w:tabs>
                <w:tab w:val="decimal" w:pos="658"/>
              </w:tabs>
              <w:rPr>
                <w:sz w:val="22"/>
                <w:szCs w:val="20"/>
                <w:lang w:val="en-US"/>
              </w:rPr>
            </w:pPr>
            <w:r>
              <w:rPr>
                <w:sz w:val="22"/>
                <w:szCs w:val="20"/>
                <w:lang w:val="en-US"/>
              </w:rPr>
              <w:t>1.088</w:t>
            </w:r>
          </w:p>
        </w:tc>
        <w:tc>
          <w:tcPr>
            <w:tcW w:w="354" w:type="pct"/>
          </w:tcPr>
          <w:p w:rsidR="00000000" w:rsidRDefault="00000000">
            <w:pPr>
              <w:tabs>
                <w:tab w:val="decimal" w:pos="505"/>
              </w:tabs>
              <w:rPr>
                <w:sz w:val="22"/>
                <w:szCs w:val="20"/>
                <w:lang w:val="en-US"/>
              </w:rPr>
            </w:pPr>
            <w:r>
              <w:rPr>
                <w:sz w:val="22"/>
                <w:szCs w:val="20"/>
                <w:lang w:val="en-US"/>
              </w:rPr>
              <w:t>39</w:t>
            </w:r>
          </w:p>
        </w:tc>
        <w:tc>
          <w:tcPr>
            <w:tcW w:w="355" w:type="pct"/>
          </w:tcPr>
          <w:p w:rsidR="00000000" w:rsidRDefault="00000000">
            <w:pPr>
              <w:tabs>
                <w:tab w:val="decimal" w:pos="369"/>
              </w:tabs>
              <w:rPr>
                <w:sz w:val="22"/>
                <w:szCs w:val="20"/>
                <w:lang w:val="en-US"/>
              </w:rPr>
            </w:pPr>
            <w:r>
              <w:rPr>
                <w:sz w:val="22"/>
                <w:szCs w:val="20"/>
                <w:lang w:val="en-US"/>
              </w:rPr>
              <w:t>35,8</w:t>
            </w:r>
          </w:p>
        </w:tc>
        <w:tc>
          <w:tcPr>
            <w:tcW w:w="417" w:type="pct"/>
          </w:tcPr>
          <w:p w:rsidR="00000000" w:rsidRDefault="00000000">
            <w:pPr>
              <w:tabs>
                <w:tab w:val="decimal" w:pos="613"/>
              </w:tabs>
              <w:rPr>
                <w:sz w:val="22"/>
                <w:szCs w:val="20"/>
                <w:lang w:val="en-US"/>
              </w:rPr>
            </w:pPr>
            <w:r>
              <w:rPr>
                <w:sz w:val="22"/>
                <w:szCs w:val="20"/>
                <w:lang w:val="en-US"/>
              </w:rPr>
              <w:t>270</w:t>
            </w:r>
          </w:p>
        </w:tc>
        <w:tc>
          <w:tcPr>
            <w:tcW w:w="292" w:type="pct"/>
          </w:tcPr>
          <w:p w:rsidR="00000000" w:rsidRDefault="00000000">
            <w:pPr>
              <w:tabs>
                <w:tab w:val="decimal" w:pos="366"/>
              </w:tabs>
              <w:rPr>
                <w:sz w:val="22"/>
                <w:szCs w:val="20"/>
                <w:lang w:val="en-US"/>
              </w:rPr>
            </w:pPr>
            <w:r>
              <w:rPr>
                <w:sz w:val="22"/>
                <w:szCs w:val="20"/>
                <w:lang w:val="en-US"/>
              </w:rPr>
              <w:t>0</w:t>
            </w:r>
          </w:p>
        </w:tc>
        <w:tc>
          <w:tcPr>
            <w:tcW w:w="331" w:type="pct"/>
          </w:tcPr>
          <w:p w:rsidR="00000000" w:rsidRDefault="00000000">
            <w:pPr>
              <w:tabs>
                <w:tab w:val="decimal" w:pos="245"/>
              </w:tabs>
              <w:rPr>
                <w:sz w:val="22"/>
                <w:szCs w:val="20"/>
                <w:lang w:val="en-US"/>
              </w:rPr>
            </w:pPr>
            <w:r>
              <w:rPr>
                <w:sz w:val="22"/>
                <w:szCs w:val="20"/>
                <w:lang w:val="en-US"/>
              </w:rPr>
              <w:t>0,0</w:t>
            </w:r>
          </w:p>
        </w:tc>
        <w:tc>
          <w:tcPr>
            <w:tcW w:w="344" w:type="pct"/>
          </w:tcPr>
          <w:p w:rsidR="00000000" w:rsidRDefault="00000000">
            <w:pPr>
              <w:tabs>
                <w:tab w:val="decimal" w:pos="343"/>
              </w:tabs>
              <w:rPr>
                <w:sz w:val="22"/>
                <w:szCs w:val="20"/>
                <w:lang w:val="en-US"/>
              </w:rPr>
            </w:pPr>
            <w:r>
              <w:rPr>
                <w:sz w:val="22"/>
                <w:szCs w:val="20"/>
                <w:lang w:val="en-US"/>
              </w:rPr>
              <w:t>0</w:t>
            </w:r>
          </w:p>
        </w:tc>
        <w:tc>
          <w:tcPr>
            <w:tcW w:w="292" w:type="pct"/>
          </w:tcPr>
          <w:p w:rsidR="00000000" w:rsidRDefault="00000000">
            <w:pPr>
              <w:jc w:val="center"/>
              <w:rPr>
                <w:sz w:val="22"/>
                <w:lang w:val="en-US"/>
              </w:rPr>
            </w:pPr>
            <w:r>
              <w:rPr>
                <w:sz w:val="22"/>
                <w:szCs w:val="20"/>
                <w:lang w:val="en-US"/>
              </w:rPr>
              <w:t>0</w:t>
            </w:r>
          </w:p>
        </w:tc>
        <w:tc>
          <w:tcPr>
            <w:tcW w:w="331" w:type="pct"/>
          </w:tcPr>
          <w:p w:rsidR="00000000" w:rsidRDefault="00000000">
            <w:pPr>
              <w:jc w:val="center"/>
              <w:rPr>
                <w:sz w:val="22"/>
                <w:szCs w:val="20"/>
                <w:lang w:val="en-US"/>
              </w:rPr>
            </w:pPr>
            <w:r>
              <w:rPr>
                <w:sz w:val="22"/>
                <w:szCs w:val="20"/>
                <w:lang w:val="en-US"/>
              </w:rPr>
              <w:t>L</w:t>
            </w:r>
          </w:p>
        </w:tc>
        <w:tc>
          <w:tcPr>
            <w:tcW w:w="417" w:type="pct"/>
          </w:tcPr>
          <w:p w:rsidR="00000000" w:rsidRDefault="00000000">
            <w:pPr>
              <w:tabs>
                <w:tab w:val="decimal" w:pos="666"/>
              </w:tabs>
              <w:rPr>
                <w:sz w:val="22"/>
                <w:szCs w:val="20"/>
              </w:rPr>
            </w:pPr>
            <w:r>
              <w:rPr>
                <w:sz w:val="22"/>
                <w:szCs w:val="20"/>
              </w:rPr>
              <w:t>1.358</w:t>
            </w:r>
          </w:p>
        </w:tc>
        <w:tc>
          <w:tcPr>
            <w:tcW w:w="354" w:type="pct"/>
          </w:tcPr>
          <w:p w:rsidR="00000000" w:rsidRDefault="00000000">
            <w:pPr>
              <w:tabs>
                <w:tab w:val="decimal" w:pos="484"/>
              </w:tabs>
              <w:rPr>
                <w:sz w:val="22"/>
                <w:szCs w:val="20"/>
              </w:rPr>
            </w:pPr>
            <w:r>
              <w:rPr>
                <w:sz w:val="22"/>
                <w:szCs w:val="20"/>
              </w:rPr>
              <w:t>39</w:t>
            </w:r>
          </w:p>
        </w:tc>
        <w:tc>
          <w:tcPr>
            <w:tcW w:w="351" w:type="pct"/>
          </w:tcPr>
          <w:p w:rsidR="00000000" w:rsidRDefault="00000000">
            <w:pPr>
              <w:tabs>
                <w:tab w:val="decimal" w:pos="312"/>
              </w:tabs>
              <w:rPr>
                <w:sz w:val="22"/>
                <w:szCs w:val="20"/>
              </w:rPr>
            </w:pPr>
            <w:r>
              <w:rPr>
                <w:sz w:val="22"/>
                <w:szCs w:val="20"/>
              </w:rPr>
              <w:t>28,7</w:t>
            </w:r>
          </w:p>
        </w:tc>
      </w:tr>
      <w:tr w:rsidR="00000000">
        <w:tblPrEx>
          <w:tblCellMar>
            <w:top w:w="0" w:type="dxa"/>
            <w:bottom w:w="0" w:type="dxa"/>
          </w:tblCellMar>
        </w:tblPrEx>
        <w:tc>
          <w:tcPr>
            <w:tcW w:w="714" w:type="pct"/>
          </w:tcPr>
          <w:p w:rsidR="00000000" w:rsidRDefault="00000000">
            <w:pPr>
              <w:rPr>
                <w:sz w:val="22"/>
                <w:szCs w:val="20"/>
              </w:rPr>
            </w:pPr>
            <w:r>
              <w:rPr>
                <w:sz w:val="22"/>
                <w:szCs w:val="20"/>
              </w:rPr>
              <w:t>Canindeyú</w:t>
            </w:r>
          </w:p>
        </w:tc>
        <w:tc>
          <w:tcPr>
            <w:tcW w:w="448" w:type="pct"/>
          </w:tcPr>
          <w:p w:rsidR="00000000" w:rsidRDefault="00000000">
            <w:pPr>
              <w:tabs>
                <w:tab w:val="decimal" w:pos="658"/>
              </w:tabs>
              <w:rPr>
                <w:sz w:val="22"/>
                <w:szCs w:val="20"/>
              </w:rPr>
            </w:pPr>
            <w:r>
              <w:rPr>
                <w:sz w:val="22"/>
                <w:szCs w:val="20"/>
              </w:rPr>
              <w:t>633</w:t>
            </w:r>
          </w:p>
        </w:tc>
        <w:tc>
          <w:tcPr>
            <w:tcW w:w="354" w:type="pct"/>
          </w:tcPr>
          <w:p w:rsidR="00000000" w:rsidRDefault="00000000">
            <w:pPr>
              <w:tabs>
                <w:tab w:val="decimal" w:pos="505"/>
              </w:tabs>
              <w:rPr>
                <w:sz w:val="22"/>
                <w:szCs w:val="20"/>
              </w:rPr>
            </w:pPr>
            <w:r>
              <w:rPr>
                <w:sz w:val="22"/>
                <w:szCs w:val="20"/>
              </w:rPr>
              <w:t>15</w:t>
            </w:r>
          </w:p>
        </w:tc>
        <w:tc>
          <w:tcPr>
            <w:tcW w:w="355" w:type="pct"/>
          </w:tcPr>
          <w:p w:rsidR="00000000" w:rsidRDefault="00000000">
            <w:pPr>
              <w:tabs>
                <w:tab w:val="decimal" w:pos="369"/>
              </w:tabs>
              <w:rPr>
                <w:sz w:val="22"/>
                <w:szCs w:val="20"/>
              </w:rPr>
            </w:pPr>
            <w:r>
              <w:rPr>
                <w:sz w:val="22"/>
                <w:szCs w:val="20"/>
              </w:rPr>
              <w:t>23,7</w:t>
            </w:r>
          </w:p>
        </w:tc>
        <w:tc>
          <w:tcPr>
            <w:tcW w:w="417" w:type="pct"/>
          </w:tcPr>
          <w:p w:rsidR="00000000" w:rsidRDefault="00000000">
            <w:pPr>
              <w:tabs>
                <w:tab w:val="decimal" w:pos="613"/>
              </w:tabs>
              <w:rPr>
                <w:sz w:val="22"/>
                <w:szCs w:val="20"/>
              </w:rPr>
            </w:pPr>
            <w:r>
              <w:rPr>
                <w:sz w:val="22"/>
                <w:szCs w:val="20"/>
              </w:rPr>
              <w:t>896</w:t>
            </w:r>
          </w:p>
        </w:tc>
        <w:tc>
          <w:tcPr>
            <w:tcW w:w="292" w:type="pct"/>
          </w:tcPr>
          <w:p w:rsidR="00000000" w:rsidRDefault="00000000">
            <w:pPr>
              <w:tabs>
                <w:tab w:val="decimal" w:pos="366"/>
              </w:tabs>
              <w:rPr>
                <w:sz w:val="22"/>
                <w:szCs w:val="20"/>
              </w:rPr>
            </w:pPr>
            <w:r>
              <w:rPr>
                <w:sz w:val="22"/>
                <w:szCs w:val="20"/>
              </w:rPr>
              <w:t>16</w:t>
            </w:r>
          </w:p>
        </w:tc>
        <w:tc>
          <w:tcPr>
            <w:tcW w:w="331" w:type="pct"/>
          </w:tcPr>
          <w:p w:rsidR="00000000" w:rsidRDefault="00000000">
            <w:pPr>
              <w:tabs>
                <w:tab w:val="decimal" w:pos="245"/>
              </w:tabs>
              <w:rPr>
                <w:sz w:val="22"/>
                <w:szCs w:val="20"/>
              </w:rPr>
            </w:pPr>
            <w:r>
              <w:rPr>
                <w:sz w:val="22"/>
                <w:szCs w:val="20"/>
              </w:rPr>
              <w:t>17,9</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E</w:t>
            </w:r>
          </w:p>
        </w:tc>
        <w:tc>
          <w:tcPr>
            <w:tcW w:w="417" w:type="pct"/>
          </w:tcPr>
          <w:p w:rsidR="00000000" w:rsidRDefault="00000000">
            <w:pPr>
              <w:tabs>
                <w:tab w:val="decimal" w:pos="666"/>
              </w:tabs>
              <w:rPr>
                <w:sz w:val="22"/>
                <w:szCs w:val="20"/>
              </w:rPr>
            </w:pPr>
            <w:r>
              <w:rPr>
                <w:sz w:val="22"/>
                <w:szCs w:val="20"/>
              </w:rPr>
              <w:t>1.529</w:t>
            </w:r>
          </w:p>
        </w:tc>
        <w:tc>
          <w:tcPr>
            <w:tcW w:w="354" w:type="pct"/>
          </w:tcPr>
          <w:p w:rsidR="00000000" w:rsidRDefault="00000000">
            <w:pPr>
              <w:tabs>
                <w:tab w:val="decimal" w:pos="484"/>
              </w:tabs>
              <w:rPr>
                <w:sz w:val="22"/>
                <w:szCs w:val="20"/>
              </w:rPr>
            </w:pPr>
            <w:r>
              <w:rPr>
                <w:sz w:val="22"/>
                <w:szCs w:val="20"/>
              </w:rPr>
              <w:t>31</w:t>
            </w:r>
          </w:p>
        </w:tc>
        <w:tc>
          <w:tcPr>
            <w:tcW w:w="351" w:type="pct"/>
          </w:tcPr>
          <w:p w:rsidR="00000000" w:rsidRDefault="00000000">
            <w:pPr>
              <w:tabs>
                <w:tab w:val="decimal" w:pos="312"/>
              </w:tabs>
              <w:rPr>
                <w:sz w:val="22"/>
                <w:szCs w:val="20"/>
              </w:rPr>
            </w:pPr>
            <w:r>
              <w:rPr>
                <w:sz w:val="22"/>
                <w:szCs w:val="20"/>
              </w:rPr>
              <w:t>20,3</w:t>
            </w:r>
          </w:p>
        </w:tc>
      </w:tr>
      <w:tr w:rsidR="00000000">
        <w:tblPrEx>
          <w:tblCellMar>
            <w:top w:w="0" w:type="dxa"/>
            <w:bottom w:w="0" w:type="dxa"/>
          </w:tblCellMar>
        </w:tblPrEx>
        <w:tc>
          <w:tcPr>
            <w:tcW w:w="714" w:type="pct"/>
          </w:tcPr>
          <w:p w:rsidR="00000000" w:rsidRDefault="00000000">
            <w:pPr>
              <w:rPr>
                <w:sz w:val="22"/>
                <w:szCs w:val="20"/>
              </w:rPr>
            </w:pPr>
            <w:r>
              <w:rPr>
                <w:sz w:val="22"/>
                <w:szCs w:val="20"/>
              </w:rPr>
              <w:t>Presidente Hayes</w:t>
            </w:r>
          </w:p>
        </w:tc>
        <w:tc>
          <w:tcPr>
            <w:tcW w:w="448" w:type="pct"/>
            <w:vAlign w:val="bottom"/>
          </w:tcPr>
          <w:p w:rsidR="00000000" w:rsidRDefault="00000000">
            <w:pPr>
              <w:tabs>
                <w:tab w:val="decimal" w:pos="658"/>
              </w:tabs>
              <w:rPr>
                <w:sz w:val="22"/>
                <w:szCs w:val="20"/>
              </w:rPr>
            </w:pPr>
            <w:r>
              <w:rPr>
                <w:sz w:val="22"/>
                <w:szCs w:val="20"/>
              </w:rPr>
              <w:t>794</w:t>
            </w:r>
          </w:p>
        </w:tc>
        <w:tc>
          <w:tcPr>
            <w:tcW w:w="354" w:type="pct"/>
            <w:vAlign w:val="bottom"/>
          </w:tcPr>
          <w:p w:rsidR="00000000" w:rsidRDefault="00000000">
            <w:pPr>
              <w:tabs>
                <w:tab w:val="decimal" w:pos="505"/>
              </w:tabs>
              <w:rPr>
                <w:sz w:val="22"/>
                <w:szCs w:val="20"/>
              </w:rPr>
            </w:pPr>
            <w:r>
              <w:rPr>
                <w:sz w:val="22"/>
                <w:szCs w:val="20"/>
              </w:rPr>
              <w:t>26</w:t>
            </w:r>
          </w:p>
        </w:tc>
        <w:tc>
          <w:tcPr>
            <w:tcW w:w="355" w:type="pct"/>
            <w:vAlign w:val="bottom"/>
          </w:tcPr>
          <w:p w:rsidR="00000000" w:rsidRDefault="00000000">
            <w:pPr>
              <w:tabs>
                <w:tab w:val="decimal" w:pos="369"/>
              </w:tabs>
              <w:rPr>
                <w:sz w:val="22"/>
                <w:szCs w:val="20"/>
              </w:rPr>
            </w:pPr>
            <w:r>
              <w:rPr>
                <w:sz w:val="22"/>
                <w:szCs w:val="20"/>
              </w:rPr>
              <w:t>32,7</w:t>
            </w:r>
          </w:p>
        </w:tc>
        <w:tc>
          <w:tcPr>
            <w:tcW w:w="417" w:type="pct"/>
            <w:vAlign w:val="bottom"/>
          </w:tcPr>
          <w:p w:rsidR="00000000" w:rsidRDefault="00000000">
            <w:pPr>
              <w:tabs>
                <w:tab w:val="decimal" w:pos="613"/>
              </w:tabs>
              <w:rPr>
                <w:sz w:val="22"/>
                <w:szCs w:val="20"/>
              </w:rPr>
            </w:pPr>
            <w:r>
              <w:rPr>
                <w:sz w:val="22"/>
                <w:szCs w:val="20"/>
              </w:rPr>
              <w:t>501</w:t>
            </w:r>
          </w:p>
        </w:tc>
        <w:tc>
          <w:tcPr>
            <w:tcW w:w="292" w:type="pct"/>
            <w:vAlign w:val="bottom"/>
          </w:tcPr>
          <w:p w:rsidR="00000000" w:rsidRDefault="00000000">
            <w:pPr>
              <w:tabs>
                <w:tab w:val="decimal" w:pos="366"/>
              </w:tabs>
              <w:rPr>
                <w:sz w:val="22"/>
                <w:szCs w:val="20"/>
              </w:rPr>
            </w:pPr>
            <w:r>
              <w:rPr>
                <w:sz w:val="22"/>
                <w:szCs w:val="20"/>
              </w:rPr>
              <w:t>3</w:t>
            </w:r>
          </w:p>
        </w:tc>
        <w:tc>
          <w:tcPr>
            <w:tcW w:w="331" w:type="pct"/>
            <w:vAlign w:val="bottom"/>
          </w:tcPr>
          <w:p w:rsidR="00000000" w:rsidRDefault="00000000">
            <w:pPr>
              <w:tabs>
                <w:tab w:val="decimal" w:pos="245"/>
              </w:tabs>
              <w:rPr>
                <w:sz w:val="22"/>
                <w:szCs w:val="20"/>
              </w:rPr>
            </w:pPr>
            <w:r>
              <w:rPr>
                <w:sz w:val="22"/>
                <w:szCs w:val="20"/>
              </w:rPr>
              <w:t>6,0</w:t>
            </w:r>
          </w:p>
        </w:tc>
        <w:tc>
          <w:tcPr>
            <w:tcW w:w="344" w:type="pct"/>
            <w:vAlign w:val="bottom"/>
          </w:tcPr>
          <w:p w:rsidR="00000000" w:rsidRDefault="00000000">
            <w:pPr>
              <w:tabs>
                <w:tab w:val="decimal" w:pos="343"/>
              </w:tabs>
              <w:rPr>
                <w:sz w:val="22"/>
                <w:szCs w:val="20"/>
              </w:rPr>
            </w:pPr>
            <w:r>
              <w:rPr>
                <w:sz w:val="22"/>
                <w:szCs w:val="20"/>
              </w:rPr>
              <w:t>0</w:t>
            </w:r>
          </w:p>
        </w:tc>
        <w:tc>
          <w:tcPr>
            <w:tcW w:w="292" w:type="pct"/>
            <w:vAlign w:val="bottom"/>
          </w:tcPr>
          <w:p w:rsidR="00000000" w:rsidRDefault="00000000">
            <w:pPr>
              <w:jc w:val="center"/>
              <w:rPr>
                <w:sz w:val="22"/>
              </w:rPr>
            </w:pPr>
            <w:r>
              <w:rPr>
                <w:sz w:val="22"/>
                <w:szCs w:val="20"/>
              </w:rPr>
              <w:t>0</w:t>
            </w:r>
          </w:p>
        </w:tc>
        <w:tc>
          <w:tcPr>
            <w:tcW w:w="331" w:type="pct"/>
            <w:vAlign w:val="bottom"/>
          </w:tcPr>
          <w:p w:rsidR="00000000" w:rsidRDefault="00000000">
            <w:pPr>
              <w:jc w:val="center"/>
              <w:rPr>
                <w:b/>
                <w:bCs/>
                <w:sz w:val="22"/>
                <w:szCs w:val="20"/>
                <w:vertAlign w:val="superscript"/>
              </w:rPr>
            </w:pPr>
            <w:r>
              <w:rPr>
                <w:b/>
                <w:bCs/>
                <w:sz w:val="22"/>
                <w:szCs w:val="20"/>
                <w:vertAlign w:val="superscript"/>
              </w:rPr>
              <w:t>*</w:t>
            </w:r>
          </w:p>
        </w:tc>
        <w:tc>
          <w:tcPr>
            <w:tcW w:w="417" w:type="pct"/>
            <w:vAlign w:val="bottom"/>
          </w:tcPr>
          <w:p w:rsidR="00000000" w:rsidRDefault="00000000">
            <w:pPr>
              <w:tabs>
                <w:tab w:val="decimal" w:pos="666"/>
              </w:tabs>
              <w:rPr>
                <w:sz w:val="22"/>
                <w:szCs w:val="20"/>
              </w:rPr>
            </w:pPr>
            <w:r>
              <w:rPr>
                <w:sz w:val="22"/>
                <w:szCs w:val="20"/>
              </w:rPr>
              <w:t>1.295</w:t>
            </w:r>
          </w:p>
        </w:tc>
        <w:tc>
          <w:tcPr>
            <w:tcW w:w="354" w:type="pct"/>
            <w:vAlign w:val="bottom"/>
          </w:tcPr>
          <w:p w:rsidR="00000000" w:rsidRDefault="00000000">
            <w:pPr>
              <w:tabs>
                <w:tab w:val="decimal" w:pos="484"/>
              </w:tabs>
              <w:rPr>
                <w:sz w:val="22"/>
                <w:szCs w:val="20"/>
              </w:rPr>
            </w:pPr>
            <w:r>
              <w:rPr>
                <w:sz w:val="22"/>
                <w:szCs w:val="20"/>
              </w:rPr>
              <w:t>29</w:t>
            </w:r>
          </w:p>
        </w:tc>
        <w:tc>
          <w:tcPr>
            <w:tcW w:w="351" w:type="pct"/>
            <w:vAlign w:val="bottom"/>
          </w:tcPr>
          <w:p w:rsidR="00000000" w:rsidRDefault="00000000">
            <w:pPr>
              <w:tabs>
                <w:tab w:val="decimal" w:pos="312"/>
              </w:tabs>
              <w:rPr>
                <w:sz w:val="22"/>
                <w:szCs w:val="20"/>
              </w:rPr>
            </w:pPr>
            <w:r>
              <w:rPr>
                <w:sz w:val="22"/>
                <w:szCs w:val="20"/>
              </w:rPr>
              <w:t>22,4</w:t>
            </w:r>
          </w:p>
        </w:tc>
      </w:tr>
      <w:tr w:rsidR="00000000">
        <w:tblPrEx>
          <w:tblCellMar>
            <w:top w:w="0" w:type="dxa"/>
            <w:bottom w:w="0" w:type="dxa"/>
          </w:tblCellMar>
        </w:tblPrEx>
        <w:tc>
          <w:tcPr>
            <w:tcW w:w="714" w:type="pct"/>
          </w:tcPr>
          <w:p w:rsidR="00000000" w:rsidRDefault="00000000">
            <w:pPr>
              <w:rPr>
                <w:spacing w:val="-4"/>
                <w:sz w:val="22"/>
                <w:szCs w:val="20"/>
              </w:rPr>
            </w:pPr>
            <w:r>
              <w:rPr>
                <w:spacing w:val="-4"/>
                <w:sz w:val="22"/>
                <w:szCs w:val="20"/>
              </w:rPr>
              <w:t>Alto Paraguay</w:t>
            </w:r>
          </w:p>
        </w:tc>
        <w:tc>
          <w:tcPr>
            <w:tcW w:w="448" w:type="pct"/>
            <w:vAlign w:val="bottom"/>
          </w:tcPr>
          <w:p w:rsidR="00000000" w:rsidRDefault="00000000">
            <w:pPr>
              <w:tabs>
                <w:tab w:val="decimal" w:pos="658"/>
              </w:tabs>
              <w:rPr>
                <w:sz w:val="22"/>
                <w:szCs w:val="20"/>
              </w:rPr>
            </w:pPr>
            <w:r>
              <w:rPr>
                <w:sz w:val="22"/>
                <w:szCs w:val="20"/>
              </w:rPr>
              <w:t>129</w:t>
            </w:r>
          </w:p>
        </w:tc>
        <w:tc>
          <w:tcPr>
            <w:tcW w:w="354" w:type="pct"/>
            <w:vAlign w:val="bottom"/>
          </w:tcPr>
          <w:p w:rsidR="00000000" w:rsidRDefault="00000000">
            <w:pPr>
              <w:tabs>
                <w:tab w:val="decimal" w:pos="505"/>
              </w:tabs>
              <w:rPr>
                <w:sz w:val="22"/>
                <w:szCs w:val="20"/>
              </w:rPr>
            </w:pPr>
            <w:r>
              <w:rPr>
                <w:sz w:val="22"/>
                <w:szCs w:val="20"/>
              </w:rPr>
              <w:t>1</w:t>
            </w:r>
          </w:p>
        </w:tc>
        <w:tc>
          <w:tcPr>
            <w:tcW w:w="355" w:type="pct"/>
            <w:vAlign w:val="bottom"/>
          </w:tcPr>
          <w:p w:rsidR="00000000" w:rsidRDefault="00000000">
            <w:pPr>
              <w:tabs>
                <w:tab w:val="decimal" w:pos="369"/>
              </w:tabs>
              <w:rPr>
                <w:sz w:val="22"/>
                <w:szCs w:val="20"/>
              </w:rPr>
            </w:pPr>
            <w:r>
              <w:rPr>
                <w:sz w:val="22"/>
                <w:szCs w:val="20"/>
              </w:rPr>
              <w:t>7,8</w:t>
            </w:r>
          </w:p>
        </w:tc>
        <w:tc>
          <w:tcPr>
            <w:tcW w:w="417" w:type="pct"/>
            <w:vAlign w:val="bottom"/>
          </w:tcPr>
          <w:p w:rsidR="00000000" w:rsidRDefault="00000000">
            <w:pPr>
              <w:tabs>
                <w:tab w:val="decimal" w:pos="613"/>
              </w:tabs>
              <w:rPr>
                <w:sz w:val="22"/>
                <w:szCs w:val="20"/>
              </w:rPr>
            </w:pPr>
            <w:r>
              <w:rPr>
                <w:sz w:val="22"/>
                <w:szCs w:val="20"/>
              </w:rPr>
              <w:t>63</w:t>
            </w:r>
          </w:p>
        </w:tc>
        <w:tc>
          <w:tcPr>
            <w:tcW w:w="292" w:type="pct"/>
            <w:vAlign w:val="bottom"/>
          </w:tcPr>
          <w:p w:rsidR="00000000" w:rsidRDefault="00000000">
            <w:pPr>
              <w:tabs>
                <w:tab w:val="decimal" w:pos="366"/>
              </w:tabs>
              <w:rPr>
                <w:sz w:val="22"/>
                <w:szCs w:val="20"/>
              </w:rPr>
            </w:pPr>
            <w:r>
              <w:rPr>
                <w:sz w:val="22"/>
                <w:szCs w:val="20"/>
              </w:rPr>
              <w:t>2</w:t>
            </w:r>
          </w:p>
        </w:tc>
        <w:tc>
          <w:tcPr>
            <w:tcW w:w="331" w:type="pct"/>
            <w:vAlign w:val="bottom"/>
          </w:tcPr>
          <w:p w:rsidR="00000000" w:rsidRDefault="00000000">
            <w:pPr>
              <w:tabs>
                <w:tab w:val="decimal" w:pos="245"/>
              </w:tabs>
              <w:rPr>
                <w:sz w:val="22"/>
                <w:szCs w:val="20"/>
              </w:rPr>
            </w:pPr>
            <w:r>
              <w:rPr>
                <w:sz w:val="22"/>
                <w:szCs w:val="20"/>
              </w:rPr>
              <w:t>31,7</w:t>
            </w:r>
          </w:p>
        </w:tc>
        <w:tc>
          <w:tcPr>
            <w:tcW w:w="344" w:type="pct"/>
            <w:vAlign w:val="bottom"/>
          </w:tcPr>
          <w:p w:rsidR="00000000" w:rsidRDefault="00000000">
            <w:pPr>
              <w:tabs>
                <w:tab w:val="decimal" w:pos="343"/>
              </w:tabs>
              <w:rPr>
                <w:sz w:val="22"/>
                <w:szCs w:val="20"/>
              </w:rPr>
            </w:pPr>
            <w:r>
              <w:rPr>
                <w:sz w:val="22"/>
                <w:szCs w:val="20"/>
              </w:rPr>
              <w:t>0</w:t>
            </w:r>
          </w:p>
        </w:tc>
        <w:tc>
          <w:tcPr>
            <w:tcW w:w="292" w:type="pct"/>
            <w:vAlign w:val="bottom"/>
          </w:tcPr>
          <w:p w:rsidR="00000000" w:rsidRDefault="00000000">
            <w:pPr>
              <w:jc w:val="center"/>
              <w:rPr>
                <w:sz w:val="22"/>
              </w:rPr>
            </w:pPr>
            <w:r>
              <w:rPr>
                <w:sz w:val="22"/>
                <w:szCs w:val="20"/>
              </w:rPr>
              <w:t>0</w:t>
            </w:r>
          </w:p>
        </w:tc>
        <w:tc>
          <w:tcPr>
            <w:tcW w:w="331" w:type="pct"/>
            <w:vAlign w:val="bottom"/>
          </w:tcPr>
          <w:p w:rsidR="00000000" w:rsidRDefault="00000000">
            <w:pPr>
              <w:jc w:val="center"/>
              <w:rPr>
                <w:sz w:val="22"/>
                <w:szCs w:val="20"/>
              </w:rPr>
            </w:pPr>
            <w:r>
              <w:rPr>
                <w:b/>
                <w:bCs/>
                <w:sz w:val="22"/>
                <w:szCs w:val="20"/>
                <w:vertAlign w:val="superscript"/>
              </w:rPr>
              <w:t>*</w:t>
            </w:r>
          </w:p>
        </w:tc>
        <w:tc>
          <w:tcPr>
            <w:tcW w:w="417" w:type="pct"/>
            <w:vAlign w:val="bottom"/>
          </w:tcPr>
          <w:p w:rsidR="00000000" w:rsidRDefault="00000000">
            <w:pPr>
              <w:tabs>
                <w:tab w:val="decimal" w:pos="666"/>
              </w:tabs>
              <w:rPr>
                <w:sz w:val="22"/>
                <w:szCs w:val="20"/>
              </w:rPr>
            </w:pPr>
            <w:r>
              <w:rPr>
                <w:sz w:val="22"/>
                <w:szCs w:val="20"/>
              </w:rPr>
              <w:t>192</w:t>
            </w:r>
          </w:p>
        </w:tc>
        <w:tc>
          <w:tcPr>
            <w:tcW w:w="354" w:type="pct"/>
            <w:vAlign w:val="bottom"/>
          </w:tcPr>
          <w:p w:rsidR="00000000" w:rsidRDefault="00000000">
            <w:pPr>
              <w:tabs>
                <w:tab w:val="decimal" w:pos="484"/>
              </w:tabs>
              <w:rPr>
                <w:sz w:val="22"/>
                <w:szCs w:val="20"/>
              </w:rPr>
            </w:pPr>
            <w:r>
              <w:rPr>
                <w:sz w:val="22"/>
                <w:szCs w:val="20"/>
              </w:rPr>
              <w:t>3</w:t>
            </w:r>
          </w:p>
        </w:tc>
        <w:tc>
          <w:tcPr>
            <w:tcW w:w="351" w:type="pct"/>
            <w:vAlign w:val="bottom"/>
          </w:tcPr>
          <w:p w:rsidR="00000000" w:rsidRDefault="00000000">
            <w:pPr>
              <w:tabs>
                <w:tab w:val="decimal" w:pos="312"/>
              </w:tabs>
              <w:rPr>
                <w:sz w:val="22"/>
                <w:szCs w:val="20"/>
              </w:rPr>
            </w:pPr>
            <w:r>
              <w:rPr>
                <w:sz w:val="22"/>
                <w:szCs w:val="20"/>
              </w:rPr>
              <w:t>15,6</w:t>
            </w:r>
          </w:p>
        </w:tc>
      </w:tr>
      <w:tr w:rsidR="00000000">
        <w:tblPrEx>
          <w:tblCellMar>
            <w:top w:w="0" w:type="dxa"/>
            <w:bottom w:w="0" w:type="dxa"/>
          </w:tblCellMar>
        </w:tblPrEx>
        <w:tc>
          <w:tcPr>
            <w:tcW w:w="714" w:type="pct"/>
          </w:tcPr>
          <w:p w:rsidR="00000000" w:rsidRDefault="00000000">
            <w:pPr>
              <w:rPr>
                <w:sz w:val="22"/>
                <w:szCs w:val="20"/>
              </w:rPr>
            </w:pPr>
            <w:r>
              <w:rPr>
                <w:sz w:val="22"/>
                <w:szCs w:val="20"/>
              </w:rPr>
              <w:t>Boquerón</w:t>
            </w:r>
          </w:p>
        </w:tc>
        <w:tc>
          <w:tcPr>
            <w:tcW w:w="448" w:type="pct"/>
          </w:tcPr>
          <w:p w:rsidR="00000000" w:rsidRDefault="00000000">
            <w:pPr>
              <w:tabs>
                <w:tab w:val="decimal" w:pos="658"/>
              </w:tabs>
              <w:rPr>
                <w:sz w:val="22"/>
                <w:szCs w:val="20"/>
              </w:rPr>
            </w:pPr>
            <w:r>
              <w:rPr>
                <w:sz w:val="22"/>
                <w:szCs w:val="20"/>
              </w:rPr>
              <w:t>226</w:t>
            </w:r>
          </w:p>
        </w:tc>
        <w:tc>
          <w:tcPr>
            <w:tcW w:w="354" w:type="pct"/>
          </w:tcPr>
          <w:p w:rsidR="00000000" w:rsidRDefault="00000000">
            <w:pPr>
              <w:tabs>
                <w:tab w:val="decimal" w:pos="505"/>
              </w:tabs>
              <w:rPr>
                <w:sz w:val="22"/>
                <w:szCs w:val="20"/>
              </w:rPr>
            </w:pPr>
            <w:r>
              <w:rPr>
                <w:sz w:val="22"/>
                <w:szCs w:val="20"/>
              </w:rPr>
              <w:t>11</w:t>
            </w:r>
          </w:p>
        </w:tc>
        <w:tc>
          <w:tcPr>
            <w:tcW w:w="355" w:type="pct"/>
          </w:tcPr>
          <w:p w:rsidR="00000000" w:rsidRDefault="00000000">
            <w:pPr>
              <w:tabs>
                <w:tab w:val="decimal" w:pos="369"/>
              </w:tabs>
              <w:rPr>
                <w:sz w:val="22"/>
                <w:szCs w:val="20"/>
              </w:rPr>
            </w:pPr>
            <w:r>
              <w:rPr>
                <w:sz w:val="22"/>
                <w:szCs w:val="20"/>
              </w:rPr>
              <w:t>48,7</w:t>
            </w:r>
          </w:p>
        </w:tc>
        <w:tc>
          <w:tcPr>
            <w:tcW w:w="417" w:type="pct"/>
          </w:tcPr>
          <w:p w:rsidR="00000000" w:rsidRDefault="00000000">
            <w:pPr>
              <w:tabs>
                <w:tab w:val="decimal" w:pos="613"/>
              </w:tabs>
              <w:rPr>
                <w:sz w:val="22"/>
                <w:szCs w:val="20"/>
              </w:rPr>
            </w:pPr>
            <w:r>
              <w:rPr>
                <w:sz w:val="22"/>
                <w:szCs w:val="20"/>
              </w:rPr>
              <w:t>459</w:t>
            </w:r>
          </w:p>
        </w:tc>
        <w:tc>
          <w:tcPr>
            <w:tcW w:w="292" w:type="pct"/>
          </w:tcPr>
          <w:p w:rsidR="00000000" w:rsidRDefault="00000000">
            <w:pPr>
              <w:tabs>
                <w:tab w:val="decimal" w:pos="366"/>
              </w:tabs>
              <w:rPr>
                <w:sz w:val="22"/>
                <w:szCs w:val="20"/>
              </w:rPr>
            </w:pPr>
            <w:r>
              <w:rPr>
                <w:sz w:val="22"/>
                <w:szCs w:val="20"/>
              </w:rPr>
              <w:t>2</w:t>
            </w:r>
          </w:p>
        </w:tc>
        <w:tc>
          <w:tcPr>
            <w:tcW w:w="331" w:type="pct"/>
          </w:tcPr>
          <w:p w:rsidR="00000000" w:rsidRDefault="00000000">
            <w:pPr>
              <w:tabs>
                <w:tab w:val="decimal" w:pos="245"/>
              </w:tabs>
              <w:rPr>
                <w:sz w:val="22"/>
                <w:szCs w:val="20"/>
              </w:rPr>
            </w:pPr>
            <w:r>
              <w:rPr>
                <w:sz w:val="22"/>
                <w:szCs w:val="20"/>
              </w:rPr>
              <w:t>4,4</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666"/>
              </w:tabs>
              <w:rPr>
                <w:sz w:val="22"/>
                <w:szCs w:val="20"/>
              </w:rPr>
            </w:pPr>
            <w:r>
              <w:rPr>
                <w:sz w:val="22"/>
                <w:szCs w:val="20"/>
              </w:rPr>
              <w:t>685</w:t>
            </w:r>
          </w:p>
        </w:tc>
        <w:tc>
          <w:tcPr>
            <w:tcW w:w="354" w:type="pct"/>
          </w:tcPr>
          <w:p w:rsidR="00000000" w:rsidRDefault="00000000">
            <w:pPr>
              <w:tabs>
                <w:tab w:val="decimal" w:pos="484"/>
              </w:tabs>
              <w:rPr>
                <w:sz w:val="22"/>
                <w:szCs w:val="20"/>
              </w:rPr>
            </w:pPr>
            <w:r>
              <w:rPr>
                <w:sz w:val="22"/>
                <w:szCs w:val="20"/>
              </w:rPr>
              <w:t>13</w:t>
            </w:r>
          </w:p>
        </w:tc>
        <w:tc>
          <w:tcPr>
            <w:tcW w:w="351" w:type="pct"/>
          </w:tcPr>
          <w:p w:rsidR="00000000" w:rsidRDefault="00000000">
            <w:pPr>
              <w:tabs>
                <w:tab w:val="decimal" w:pos="312"/>
              </w:tabs>
              <w:rPr>
                <w:sz w:val="22"/>
                <w:szCs w:val="20"/>
              </w:rPr>
            </w:pPr>
            <w:r>
              <w:rPr>
                <w:sz w:val="22"/>
                <w:szCs w:val="20"/>
              </w:rPr>
              <w:t>19,0</w:t>
            </w:r>
          </w:p>
        </w:tc>
      </w:tr>
      <w:tr w:rsidR="00000000">
        <w:tblPrEx>
          <w:tblCellMar>
            <w:top w:w="0" w:type="dxa"/>
            <w:bottom w:w="0" w:type="dxa"/>
          </w:tblCellMar>
        </w:tblPrEx>
        <w:tc>
          <w:tcPr>
            <w:tcW w:w="714" w:type="pct"/>
          </w:tcPr>
          <w:p w:rsidR="00000000" w:rsidRDefault="00000000">
            <w:pPr>
              <w:rPr>
                <w:sz w:val="22"/>
                <w:szCs w:val="20"/>
              </w:rPr>
            </w:pPr>
            <w:r>
              <w:rPr>
                <w:sz w:val="22"/>
                <w:szCs w:val="20"/>
              </w:rPr>
              <w:t>Asunción</w:t>
            </w:r>
          </w:p>
        </w:tc>
        <w:tc>
          <w:tcPr>
            <w:tcW w:w="448" w:type="pct"/>
          </w:tcPr>
          <w:p w:rsidR="00000000" w:rsidRDefault="00000000">
            <w:pPr>
              <w:tabs>
                <w:tab w:val="decimal" w:pos="658"/>
              </w:tabs>
              <w:rPr>
                <w:sz w:val="22"/>
                <w:szCs w:val="20"/>
              </w:rPr>
            </w:pPr>
            <w:r>
              <w:rPr>
                <w:sz w:val="22"/>
                <w:szCs w:val="20"/>
              </w:rPr>
              <w:t>8.745</w:t>
            </w:r>
          </w:p>
        </w:tc>
        <w:tc>
          <w:tcPr>
            <w:tcW w:w="354" w:type="pct"/>
          </w:tcPr>
          <w:p w:rsidR="00000000" w:rsidRDefault="00000000">
            <w:pPr>
              <w:tabs>
                <w:tab w:val="decimal" w:pos="505"/>
              </w:tabs>
              <w:rPr>
                <w:sz w:val="22"/>
                <w:szCs w:val="20"/>
              </w:rPr>
            </w:pPr>
            <w:r>
              <w:rPr>
                <w:sz w:val="22"/>
                <w:szCs w:val="20"/>
              </w:rPr>
              <w:t>140</w:t>
            </w:r>
          </w:p>
        </w:tc>
        <w:tc>
          <w:tcPr>
            <w:tcW w:w="355" w:type="pct"/>
          </w:tcPr>
          <w:p w:rsidR="00000000" w:rsidRDefault="00000000">
            <w:pPr>
              <w:tabs>
                <w:tab w:val="decimal" w:pos="369"/>
              </w:tabs>
              <w:rPr>
                <w:sz w:val="22"/>
                <w:szCs w:val="20"/>
              </w:rPr>
            </w:pPr>
            <w:r>
              <w:rPr>
                <w:sz w:val="22"/>
                <w:szCs w:val="20"/>
              </w:rPr>
              <w:t>16,0</w:t>
            </w:r>
          </w:p>
        </w:tc>
        <w:tc>
          <w:tcPr>
            <w:tcW w:w="417" w:type="pct"/>
          </w:tcPr>
          <w:p w:rsidR="00000000" w:rsidRDefault="00000000">
            <w:pPr>
              <w:tabs>
                <w:tab w:val="decimal" w:pos="613"/>
              </w:tabs>
              <w:rPr>
                <w:sz w:val="22"/>
                <w:szCs w:val="20"/>
              </w:rPr>
            </w:pPr>
            <w:r>
              <w:rPr>
                <w:sz w:val="22"/>
                <w:szCs w:val="20"/>
              </w:rPr>
              <w:t>4</w:t>
            </w:r>
          </w:p>
        </w:tc>
        <w:tc>
          <w:tcPr>
            <w:tcW w:w="292" w:type="pct"/>
          </w:tcPr>
          <w:p w:rsidR="00000000" w:rsidRDefault="00000000">
            <w:pPr>
              <w:tabs>
                <w:tab w:val="decimal" w:pos="366"/>
              </w:tabs>
              <w:rPr>
                <w:sz w:val="22"/>
                <w:szCs w:val="20"/>
              </w:rPr>
            </w:pPr>
            <w:r>
              <w:rPr>
                <w:sz w:val="22"/>
                <w:szCs w:val="20"/>
              </w:rPr>
              <w:t>0</w:t>
            </w:r>
          </w:p>
        </w:tc>
        <w:tc>
          <w:tcPr>
            <w:tcW w:w="331" w:type="pct"/>
          </w:tcPr>
          <w:p w:rsidR="00000000" w:rsidRDefault="00000000">
            <w:pPr>
              <w:tabs>
                <w:tab w:val="decimal" w:pos="245"/>
              </w:tabs>
              <w:rPr>
                <w:sz w:val="22"/>
                <w:szCs w:val="20"/>
              </w:rPr>
            </w:pPr>
            <w:r>
              <w:rPr>
                <w:sz w:val="22"/>
                <w:szCs w:val="20"/>
              </w:rPr>
              <w:t>0,0</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666"/>
              </w:tabs>
              <w:rPr>
                <w:sz w:val="22"/>
                <w:szCs w:val="20"/>
              </w:rPr>
            </w:pPr>
            <w:r>
              <w:rPr>
                <w:sz w:val="22"/>
                <w:szCs w:val="20"/>
              </w:rPr>
              <w:t>8.749</w:t>
            </w:r>
          </w:p>
        </w:tc>
        <w:tc>
          <w:tcPr>
            <w:tcW w:w="354" w:type="pct"/>
          </w:tcPr>
          <w:p w:rsidR="00000000" w:rsidRDefault="00000000">
            <w:pPr>
              <w:tabs>
                <w:tab w:val="decimal" w:pos="484"/>
              </w:tabs>
              <w:rPr>
                <w:sz w:val="22"/>
                <w:szCs w:val="20"/>
              </w:rPr>
            </w:pPr>
            <w:r>
              <w:rPr>
                <w:sz w:val="22"/>
                <w:szCs w:val="20"/>
              </w:rPr>
              <w:t>140</w:t>
            </w:r>
          </w:p>
        </w:tc>
        <w:tc>
          <w:tcPr>
            <w:tcW w:w="351" w:type="pct"/>
          </w:tcPr>
          <w:p w:rsidR="00000000" w:rsidRDefault="00000000">
            <w:pPr>
              <w:tabs>
                <w:tab w:val="decimal" w:pos="312"/>
              </w:tabs>
              <w:rPr>
                <w:sz w:val="22"/>
                <w:szCs w:val="20"/>
              </w:rPr>
            </w:pPr>
            <w:r>
              <w:rPr>
                <w:sz w:val="22"/>
                <w:szCs w:val="20"/>
              </w:rPr>
              <w:t>16,0</w:t>
            </w:r>
          </w:p>
        </w:tc>
      </w:tr>
      <w:tr w:rsidR="00000000">
        <w:tblPrEx>
          <w:tblCellMar>
            <w:top w:w="0" w:type="dxa"/>
            <w:bottom w:w="0" w:type="dxa"/>
          </w:tblCellMar>
        </w:tblPrEx>
        <w:tc>
          <w:tcPr>
            <w:tcW w:w="714" w:type="pct"/>
          </w:tcPr>
          <w:p w:rsidR="00000000" w:rsidRDefault="00000000">
            <w:pPr>
              <w:rPr>
                <w:sz w:val="22"/>
                <w:szCs w:val="20"/>
              </w:rPr>
            </w:pPr>
            <w:r>
              <w:rPr>
                <w:sz w:val="22"/>
                <w:szCs w:val="20"/>
              </w:rPr>
              <w:t>Extranjero</w:t>
            </w:r>
          </w:p>
        </w:tc>
        <w:tc>
          <w:tcPr>
            <w:tcW w:w="448" w:type="pct"/>
          </w:tcPr>
          <w:p w:rsidR="00000000" w:rsidRDefault="00000000">
            <w:pPr>
              <w:tabs>
                <w:tab w:val="decimal" w:pos="658"/>
              </w:tabs>
              <w:rPr>
                <w:sz w:val="22"/>
                <w:szCs w:val="20"/>
              </w:rPr>
            </w:pPr>
            <w:r>
              <w:rPr>
                <w:sz w:val="22"/>
                <w:szCs w:val="20"/>
              </w:rPr>
              <w:t>22</w:t>
            </w:r>
          </w:p>
        </w:tc>
        <w:tc>
          <w:tcPr>
            <w:tcW w:w="354" w:type="pct"/>
          </w:tcPr>
          <w:p w:rsidR="00000000" w:rsidRDefault="00000000">
            <w:pPr>
              <w:tabs>
                <w:tab w:val="decimal" w:pos="505"/>
              </w:tabs>
              <w:rPr>
                <w:sz w:val="22"/>
                <w:szCs w:val="20"/>
              </w:rPr>
            </w:pPr>
            <w:r>
              <w:rPr>
                <w:sz w:val="22"/>
                <w:szCs w:val="20"/>
              </w:rPr>
              <w:t>3</w:t>
            </w:r>
          </w:p>
        </w:tc>
        <w:tc>
          <w:tcPr>
            <w:tcW w:w="355" w:type="pct"/>
          </w:tcPr>
          <w:p w:rsidR="00000000" w:rsidRDefault="00000000">
            <w:pPr>
              <w:tabs>
                <w:tab w:val="decimal" w:pos="369"/>
              </w:tabs>
              <w:rPr>
                <w:sz w:val="22"/>
                <w:szCs w:val="20"/>
              </w:rPr>
            </w:pPr>
            <w:r>
              <w:rPr>
                <w:sz w:val="22"/>
                <w:szCs w:val="20"/>
              </w:rPr>
              <w:t>136,4</w:t>
            </w:r>
          </w:p>
        </w:tc>
        <w:tc>
          <w:tcPr>
            <w:tcW w:w="417" w:type="pct"/>
          </w:tcPr>
          <w:p w:rsidR="00000000" w:rsidRDefault="00000000">
            <w:pPr>
              <w:tabs>
                <w:tab w:val="decimal" w:pos="613"/>
              </w:tabs>
              <w:rPr>
                <w:sz w:val="22"/>
                <w:szCs w:val="20"/>
              </w:rPr>
            </w:pPr>
            <w:r>
              <w:rPr>
                <w:sz w:val="22"/>
                <w:szCs w:val="20"/>
              </w:rPr>
              <w:t>1</w:t>
            </w:r>
          </w:p>
        </w:tc>
        <w:tc>
          <w:tcPr>
            <w:tcW w:w="292" w:type="pct"/>
          </w:tcPr>
          <w:p w:rsidR="00000000" w:rsidRDefault="00000000">
            <w:pPr>
              <w:tabs>
                <w:tab w:val="decimal" w:pos="366"/>
              </w:tabs>
              <w:rPr>
                <w:sz w:val="22"/>
                <w:szCs w:val="20"/>
              </w:rPr>
            </w:pPr>
            <w:r>
              <w:rPr>
                <w:sz w:val="22"/>
                <w:szCs w:val="20"/>
              </w:rPr>
              <w:t>0</w:t>
            </w:r>
          </w:p>
        </w:tc>
        <w:tc>
          <w:tcPr>
            <w:tcW w:w="331" w:type="pct"/>
          </w:tcPr>
          <w:p w:rsidR="00000000" w:rsidRDefault="00000000">
            <w:pPr>
              <w:tabs>
                <w:tab w:val="decimal" w:pos="245"/>
              </w:tabs>
              <w:rPr>
                <w:sz w:val="22"/>
                <w:szCs w:val="20"/>
              </w:rPr>
            </w:pPr>
            <w:r>
              <w:rPr>
                <w:sz w:val="22"/>
                <w:szCs w:val="20"/>
              </w:rPr>
              <w:t>0,0</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666"/>
              </w:tabs>
              <w:rPr>
                <w:sz w:val="22"/>
                <w:szCs w:val="20"/>
              </w:rPr>
            </w:pPr>
            <w:r>
              <w:rPr>
                <w:sz w:val="22"/>
                <w:szCs w:val="20"/>
              </w:rPr>
              <w:t>23</w:t>
            </w:r>
          </w:p>
        </w:tc>
        <w:tc>
          <w:tcPr>
            <w:tcW w:w="354" w:type="pct"/>
          </w:tcPr>
          <w:p w:rsidR="00000000" w:rsidRDefault="00000000">
            <w:pPr>
              <w:tabs>
                <w:tab w:val="decimal" w:pos="484"/>
              </w:tabs>
              <w:rPr>
                <w:sz w:val="22"/>
                <w:szCs w:val="20"/>
              </w:rPr>
            </w:pPr>
            <w:r>
              <w:rPr>
                <w:sz w:val="22"/>
                <w:szCs w:val="20"/>
              </w:rPr>
              <w:t>3</w:t>
            </w:r>
          </w:p>
        </w:tc>
        <w:tc>
          <w:tcPr>
            <w:tcW w:w="351" w:type="pct"/>
          </w:tcPr>
          <w:p w:rsidR="00000000" w:rsidRDefault="00000000">
            <w:pPr>
              <w:tabs>
                <w:tab w:val="decimal" w:pos="312"/>
              </w:tabs>
              <w:rPr>
                <w:sz w:val="22"/>
                <w:szCs w:val="20"/>
              </w:rPr>
            </w:pPr>
            <w:r>
              <w:rPr>
                <w:sz w:val="22"/>
                <w:szCs w:val="20"/>
              </w:rPr>
              <w:t>130,4</w:t>
            </w:r>
          </w:p>
        </w:tc>
      </w:tr>
      <w:tr w:rsidR="00000000">
        <w:tblPrEx>
          <w:tblCellMar>
            <w:top w:w="0" w:type="dxa"/>
            <w:bottom w:w="0" w:type="dxa"/>
          </w:tblCellMar>
        </w:tblPrEx>
        <w:tc>
          <w:tcPr>
            <w:tcW w:w="714" w:type="pct"/>
          </w:tcPr>
          <w:p w:rsidR="00000000" w:rsidRDefault="00000000">
            <w:pPr>
              <w:rPr>
                <w:sz w:val="22"/>
                <w:szCs w:val="20"/>
              </w:rPr>
            </w:pPr>
            <w:r>
              <w:rPr>
                <w:sz w:val="22"/>
                <w:szCs w:val="20"/>
              </w:rPr>
              <w:t>País</w:t>
            </w:r>
          </w:p>
        </w:tc>
        <w:tc>
          <w:tcPr>
            <w:tcW w:w="448" w:type="pct"/>
          </w:tcPr>
          <w:p w:rsidR="00000000" w:rsidRDefault="00000000">
            <w:pPr>
              <w:jc w:val="center"/>
              <w:rPr>
                <w:sz w:val="22"/>
                <w:szCs w:val="20"/>
              </w:rPr>
            </w:pPr>
            <w:r>
              <w:rPr>
                <w:sz w:val="22"/>
                <w:szCs w:val="20"/>
              </w:rPr>
              <w:t>55.046</w:t>
            </w:r>
          </w:p>
        </w:tc>
        <w:tc>
          <w:tcPr>
            <w:tcW w:w="354" w:type="pct"/>
          </w:tcPr>
          <w:p w:rsidR="00000000" w:rsidRDefault="00000000">
            <w:pPr>
              <w:tabs>
                <w:tab w:val="decimal" w:pos="505"/>
              </w:tabs>
              <w:rPr>
                <w:sz w:val="22"/>
                <w:szCs w:val="20"/>
              </w:rPr>
            </w:pPr>
            <w:r>
              <w:rPr>
                <w:sz w:val="22"/>
                <w:szCs w:val="20"/>
              </w:rPr>
              <w:t>1.257</w:t>
            </w:r>
          </w:p>
        </w:tc>
        <w:tc>
          <w:tcPr>
            <w:tcW w:w="355" w:type="pct"/>
          </w:tcPr>
          <w:p w:rsidR="00000000" w:rsidRDefault="00000000">
            <w:pPr>
              <w:tabs>
                <w:tab w:val="decimal" w:pos="369"/>
              </w:tabs>
              <w:rPr>
                <w:sz w:val="22"/>
                <w:szCs w:val="20"/>
              </w:rPr>
            </w:pPr>
            <w:r>
              <w:rPr>
                <w:sz w:val="22"/>
                <w:szCs w:val="20"/>
              </w:rPr>
              <w:t>22,8</w:t>
            </w:r>
          </w:p>
        </w:tc>
        <w:tc>
          <w:tcPr>
            <w:tcW w:w="417" w:type="pct"/>
          </w:tcPr>
          <w:p w:rsidR="00000000" w:rsidRDefault="00000000">
            <w:pPr>
              <w:tabs>
                <w:tab w:val="decimal" w:pos="613"/>
              </w:tabs>
              <w:rPr>
                <w:sz w:val="22"/>
                <w:szCs w:val="20"/>
              </w:rPr>
            </w:pPr>
            <w:r>
              <w:rPr>
                <w:sz w:val="22"/>
                <w:szCs w:val="20"/>
              </w:rPr>
              <w:t>31.692</w:t>
            </w:r>
          </w:p>
        </w:tc>
        <w:tc>
          <w:tcPr>
            <w:tcW w:w="292" w:type="pct"/>
          </w:tcPr>
          <w:p w:rsidR="00000000" w:rsidRDefault="00000000">
            <w:pPr>
              <w:tabs>
                <w:tab w:val="decimal" w:pos="366"/>
              </w:tabs>
              <w:rPr>
                <w:sz w:val="22"/>
                <w:szCs w:val="20"/>
              </w:rPr>
            </w:pPr>
            <w:r>
              <w:rPr>
                <w:sz w:val="22"/>
                <w:szCs w:val="20"/>
              </w:rPr>
              <w:t>426</w:t>
            </w:r>
          </w:p>
        </w:tc>
        <w:tc>
          <w:tcPr>
            <w:tcW w:w="331" w:type="pct"/>
          </w:tcPr>
          <w:p w:rsidR="00000000" w:rsidRDefault="00000000">
            <w:pPr>
              <w:tabs>
                <w:tab w:val="decimal" w:pos="245"/>
              </w:tabs>
              <w:rPr>
                <w:sz w:val="22"/>
                <w:szCs w:val="20"/>
              </w:rPr>
            </w:pPr>
            <w:r>
              <w:rPr>
                <w:sz w:val="22"/>
                <w:szCs w:val="20"/>
              </w:rPr>
              <w:t>13,4</w:t>
            </w:r>
          </w:p>
        </w:tc>
        <w:tc>
          <w:tcPr>
            <w:tcW w:w="344" w:type="pct"/>
          </w:tcPr>
          <w:p w:rsidR="00000000" w:rsidRDefault="00000000">
            <w:pPr>
              <w:jc w:val="center"/>
              <w:rPr>
                <w:sz w:val="22"/>
                <w:szCs w:val="20"/>
              </w:rPr>
            </w:pPr>
            <w:r>
              <w:rPr>
                <w:sz w:val="22"/>
                <w:szCs w:val="20"/>
              </w:rPr>
              <w:t>11</w:t>
            </w:r>
          </w:p>
        </w:tc>
        <w:tc>
          <w:tcPr>
            <w:tcW w:w="292" w:type="pct"/>
          </w:tcPr>
          <w:p w:rsidR="00000000" w:rsidRDefault="00000000">
            <w:pPr>
              <w:jc w:val="center"/>
              <w:rPr>
                <w:sz w:val="22"/>
                <w:szCs w:val="20"/>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666"/>
              </w:tabs>
              <w:rPr>
                <w:sz w:val="22"/>
                <w:szCs w:val="20"/>
              </w:rPr>
            </w:pPr>
            <w:r>
              <w:rPr>
                <w:sz w:val="22"/>
                <w:szCs w:val="20"/>
              </w:rPr>
              <w:t>86.749</w:t>
            </w:r>
          </w:p>
        </w:tc>
        <w:tc>
          <w:tcPr>
            <w:tcW w:w="354" w:type="pct"/>
          </w:tcPr>
          <w:p w:rsidR="00000000" w:rsidRDefault="00000000">
            <w:pPr>
              <w:tabs>
                <w:tab w:val="decimal" w:pos="484"/>
              </w:tabs>
              <w:rPr>
                <w:sz w:val="22"/>
                <w:szCs w:val="20"/>
              </w:rPr>
            </w:pPr>
            <w:r>
              <w:rPr>
                <w:sz w:val="22"/>
                <w:szCs w:val="20"/>
              </w:rPr>
              <w:t>1.683</w:t>
            </w:r>
          </w:p>
        </w:tc>
        <w:tc>
          <w:tcPr>
            <w:tcW w:w="351" w:type="pct"/>
          </w:tcPr>
          <w:p w:rsidR="00000000" w:rsidRDefault="00000000">
            <w:pPr>
              <w:tabs>
                <w:tab w:val="decimal" w:pos="312"/>
              </w:tabs>
              <w:rPr>
                <w:sz w:val="22"/>
                <w:szCs w:val="20"/>
              </w:rPr>
            </w:pPr>
            <w:r>
              <w:rPr>
                <w:sz w:val="22"/>
                <w:szCs w:val="20"/>
              </w:rPr>
              <w:t>19,4</w:t>
            </w:r>
          </w:p>
        </w:tc>
      </w:tr>
    </w:tbl>
    <w:p w:rsidR="00000000" w:rsidRDefault="00000000">
      <w:pPr>
        <w:spacing w:before="220" w:after="480"/>
        <w:rPr>
          <w:sz w:val="22"/>
          <w:szCs w:val="20"/>
        </w:rPr>
      </w:pPr>
      <w:r>
        <w:rPr>
          <w:i/>
          <w:iCs/>
          <w:sz w:val="22"/>
          <w:szCs w:val="20"/>
        </w:rPr>
        <w:t>Fuente:</w:t>
      </w:r>
      <w:r>
        <w:rPr>
          <w:sz w:val="22"/>
          <w:szCs w:val="20"/>
        </w:rPr>
        <w:t xml:space="preserve">  Nacidos vivos registrados y defunciones infantiles.  M. S. P. y B. S.</w:t>
      </w:r>
    </w:p>
    <w:p w:rsidR="00000000" w:rsidRDefault="00000000">
      <w:pPr>
        <w:pStyle w:val="BodyText"/>
        <w:spacing w:after="220"/>
        <w:jc w:val="center"/>
        <w:rPr>
          <w:b/>
          <w:bCs/>
          <w:sz w:val="22"/>
          <w:szCs w:val="16"/>
        </w:rPr>
      </w:pPr>
      <w:r>
        <w:rPr>
          <w:b/>
          <w:bCs/>
          <w:sz w:val="22"/>
          <w:szCs w:val="16"/>
        </w:rPr>
        <w:t>Paraguay, mortalidad infantil por regiones sanitarias según sexo año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165"/>
        <w:gridCol w:w="1157"/>
        <w:gridCol w:w="1004"/>
        <w:gridCol w:w="609"/>
        <w:gridCol w:w="1112"/>
        <w:gridCol w:w="499"/>
        <w:gridCol w:w="567"/>
        <w:gridCol w:w="591"/>
        <w:gridCol w:w="499"/>
        <w:gridCol w:w="567"/>
        <w:gridCol w:w="1091"/>
        <w:gridCol w:w="983"/>
        <w:gridCol w:w="609"/>
      </w:tblGrid>
      <w:tr w:rsidR="00000000">
        <w:tblPrEx>
          <w:tblCellMar>
            <w:top w:w="0" w:type="dxa"/>
            <w:bottom w:w="0" w:type="dxa"/>
          </w:tblCellMar>
        </w:tblPrEx>
        <w:trPr>
          <w:cantSplit/>
          <w:tblHeader/>
          <w:jc w:val="center"/>
        </w:trPr>
        <w:tc>
          <w:tcPr>
            <w:tcW w:w="714" w:type="pct"/>
            <w:vMerge w:val="restart"/>
            <w:vAlign w:val="center"/>
          </w:tcPr>
          <w:p w:rsidR="00000000" w:rsidRDefault="00000000">
            <w:pPr>
              <w:jc w:val="center"/>
              <w:rPr>
                <w:b/>
                <w:bCs/>
                <w:sz w:val="22"/>
                <w:szCs w:val="20"/>
              </w:rPr>
            </w:pPr>
            <w:r>
              <w:rPr>
                <w:b/>
                <w:bCs/>
                <w:sz w:val="22"/>
                <w:szCs w:val="20"/>
              </w:rPr>
              <w:t>Regiones sanitarias</w:t>
            </w:r>
          </w:p>
        </w:tc>
        <w:tc>
          <w:tcPr>
            <w:tcW w:w="3161" w:type="pct"/>
            <w:gridSpan w:val="9"/>
            <w:vAlign w:val="center"/>
          </w:tcPr>
          <w:p w:rsidR="00000000" w:rsidRDefault="00000000">
            <w:pPr>
              <w:jc w:val="center"/>
              <w:rPr>
                <w:b/>
                <w:bCs/>
                <w:sz w:val="22"/>
                <w:szCs w:val="20"/>
              </w:rPr>
            </w:pPr>
            <w:r>
              <w:rPr>
                <w:b/>
                <w:bCs/>
                <w:sz w:val="22"/>
                <w:szCs w:val="20"/>
              </w:rPr>
              <w:t>Sexo</w:t>
            </w:r>
          </w:p>
        </w:tc>
        <w:tc>
          <w:tcPr>
            <w:tcW w:w="1125" w:type="pct"/>
            <w:gridSpan w:val="3"/>
            <w:vMerge w:val="restart"/>
            <w:vAlign w:val="center"/>
          </w:tcPr>
          <w:p w:rsidR="00000000" w:rsidRDefault="00000000">
            <w:pPr>
              <w:jc w:val="center"/>
              <w:rPr>
                <w:b/>
                <w:bCs/>
                <w:sz w:val="22"/>
                <w:szCs w:val="20"/>
              </w:rPr>
            </w:pPr>
            <w:r>
              <w:rPr>
                <w:b/>
                <w:bCs/>
                <w:sz w:val="22"/>
                <w:szCs w:val="20"/>
              </w:rPr>
              <w:t>Total</w:t>
            </w:r>
          </w:p>
        </w:tc>
      </w:tr>
      <w:tr w:rsidR="00000000">
        <w:tblPrEx>
          <w:tblCellMar>
            <w:top w:w="0" w:type="dxa"/>
            <w:bottom w:w="0" w:type="dxa"/>
          </w:tblCellMar>
        </w:tblPrEx>
        <w:trPr>
          <w:cantSplit/>
          <w:tblHeader/>
          <w:jc w:val="center"/>
        </w:trPr>
        <w:tc>
          <w:tcPr>
            <w:tcW w:w="714" w:type="pct"/>
            <w:vMerge/>
            <w:vAlign w:val="center"/>
          </w:tcPr>
          <w:p w:rsidR="00000000" w:rsidRDefault="00000000">
            <w:pPr>
              <w:rPr>
                <w:sz w:val="22"/>
                <w:szCs w:val="20"/>
              </w:rPr>
            </w:pPr>
          </w:p>
        </w:tc>
        <w:tc>
          <w:tcPr>
            <w:tcW w:w="1157" w:type="pct"/>
            <w:gridSpan w:val="3"/>
            <w:vAlign w:val="center"/>
          </w:tcPr>
          <w:p w:rsidR="00000000" w:rsidRDefault="00000000">
            <w:pPr>
              <w:jc w:val="center"/>
              <w:rPr>
                <w:b/>
                <w:bCs/>
                <w:sz w:val="22"/>
                <w:szCs w:val="20"/>
              </w:rPr>
            </w:pPr>
            <w:r>
              <w:rPr>
                <w:b/>
                <w:bCs/>
                <w:sz w:val="22"/>
                <w:szCs w:val="20"/>
              </w:rPr>
              <w:t>Masculino</w:t>
            </w:r>
          </w:p>
        </w:tc>
        <w:tc>
          <w:tcPr>
            <w:tcW w:w="1039" w:type="pct"/>
            <w:gridSpan w:val="3"/>
            <w:vAlign w:val="center"/>
          </w:tcPr>
          <w:p w:rsidR="00000000" w:rsidRDefault="00000000">
            <w:pPr>
              <w:jc w:val="center"/>
              <w:rPr>
                <w:b/>
                <w:bCs/>
                <w:sz w:val="22"/>
                <w:szCs w:val="20"/>
              </w:rPr>
            </w:pPr>
            <w:r>
              <w:rPr>
                <w:b/>
                <w:bCs/>
                <w:sz w:val="22"/>
                <w:szCs w:val="20"/>
              </w:rPr>
              <w:t>Femenino</w:t>
            </w:r>
          </w:p>
        </w:tc>
        <w:tc>
          <w:tcPr>
            <w:tcW w:w="966" w:type="pct"/>
            <w:gridSpan w:val="3"/>
            <w:vAlign w:val="center"/>
          </w:tcPr>
          <w:p w:rsidR="00000000" w:rsidRDefault="00000000">
            <w:pPr>
              <w:jc w:val="center"/>
              <w:rPr>
                <w:b/>
                <w:bCs/>
                <w:sz w:val="22"/>
                <w:szCs w:val="20"/>
              </w:rPr>
            </w:pPr>
            <w:r>
              <w:rPr>
                <w:b/>
                <w:bCs/>
                <w:sz w:val="22"/>
                <w:szCs w:val="20"/>
              </w:rPr>
              <w:t>Ignorado</w:t>
            </w:r>
          </w:p>
        </w:tc>
        <w:tc>
          <w:tcPr>
            <w:tcW w:w="1125" w:type="pct"/>
            <w:gridSpan w:val="3"/>
            <w:vMerge/>
            <w:vAlign w:val="center"/>
          </w:tcPr>
          <w:p w:rsidR="00000000" w:rsidRDefault="00000000">
            <w:pPr>
              <w:rPr>
                <w:b/>
                <w:bCs/>
                <w:sz w:val="22"/>
                <w:szCs w:val="20"/>
              </w:rPr>
            </w:pPr>
          </w:p>
        </w:tc>
      </w:tr>
      <w:tr w:rsidR="00000000">
        <w:tblPrEx>
          <w:tblCellMar>
            <w:top w:w="0" w:type="dxa"/>
            <w:bottom w:w="0" w:type="dxa"/>
          </w:tblCellMar>
        </w:tblPrEx>
        <w:trPr>
          <w:cantSplit/>
          <w:tblHeader/>
          <w:jc w:val="center"/>
        </w:trPr>
        <w:tc>
          <w:tcPr>
            <w:tcW w:w="714" w:type="pct"/>
            <w:vMerge/>
            <w:vAlign w:val="center"/>
          </w:tcPr>
          <w:p w:rsidR="00000000" w:rsidRDefault="00000000">
            <w:pPr>
              <w:rPr>
                <w:sz w:val="22"/>
                <w:szCs w:val="20"/>
              </w:rPr>
            </w:pPr>
          </w:p>
        </w:tc>
        <w:tc>
          <w:tcPr>
            <w:tcW w:w="448" w:type="pct"/>
            <w:vAlign w:val="center"/>
          </w:tcPr>
          <w:p w:rsidR="00000000" w:rsidRDefault="00000000">
            <w:pPr>
              <w:rPr>
                <w:b/>
                <w:bCs/>
                <w:sz w:val="22"/>
                <w:szCs w:val="20"/>
              </w:rPr>
            </w:pPr>
            <w:r>
              <w:rPr>
                <w:b/>
                <w:bCs/>
                <w:sz w:val="22"/>
                <w:szCs w:val="20"/>
              </w:rPr>
              <w:t>NVR</w:t>
            </w:r>
          </w:p>
        </w:tc>
        <w:tc>
          <w:tcPr>
            <w:tcW w:w="354" w:type="pct"/>
            <w:vAlign w:val="center"/>
          </w:tcPr>
          <w:p w:rsidR="00000000" w:rsidRDefault="00000000">
            <w:pPr>
              <w:rPr>
                <w:b/>
                <w:bCs/>
                <w:sz w:val="22"/>
                <w:szCs w:val="20"/>
              </w:rPr>
            </w:pPr>
            <w:r>
              <w:rPr>
                <w:b/>
                <w:bCs/>
                <w:sz w:val="22"/>
                <w:szCs w:val="20"/>
              </w:rPr>
              <w:t>Def.</w:t>
            </w:r>
          </w:p>
        </w:tc>
        <w:tc>
          <w:tcPr>
            <w:tcW w:w="354" w:type="pct"/>
            <w:vAlign w:val="center"/>
          </w:tcPr>
          <w:p w:rsidR="00000000" w:rsidRDefault="00000000">
            <w:pPr>
              <w:rPr>
                <w:b/>
                <w:bCs/>
                <w:sz w:val="22"/>
                <w:szCs w:val="20"/>
              </w:rPr>
            </w:pPr>
            <w:r>
              <w:rPr>
                <w:b/>
                <w:bCs/>
                <w:sz w:val="22"/>
                <w:szCs w:val="20"/>
              </w:rPr>
              <w:t>Tasa</w:t>
            </w:r>
          </w:p>
        </w:tc>
        <w:tc>
          <w:tcPr>
            <w:tcW w:w="417" w:type="pct"/>
            <w:vAlign w:val="center"/>
          </w:tcPr>
          <w:p w:rsidR="00000000" w:rsidRDefault="00000000">
            <w:pPr>
              <w:rPr>
                <w:b/>
                <w:bCs/>
                <w:sz w:val="22"/>
                <w:szCs w:val="20"/>
              </w:rPr>
            </w:pPr>
            <w:r>
              <w:rPr>
                <w:b/>
                <w:bCs/>
                <w:sz w:val="22"/>
                <w:szCs w:val="20"/>
              </w:rPr>
              <w:t>NVR</w:t>
            </w:r>
          </w:p>
        </w:tc>
        <w:tc>
          <w:tcPr>
            <w:tcW w:w="292" w:type="pct"/>
            <w:vAlign w:val="center"/>
          </w:tcPr>
          <w:p w:rsidR="00000000" w:rsidRDefault="00000000">
            <w:pPr>
              <w:rPr>
                <w:b/>
                <w:bCs/>
                <w:sz w:val="22"/>
                <w:szCs w:val="20"/>
              </w:rPr>
            </w:pPr>
            <w:r>
              <w:rPr>
                <w:b/>
                <w:bCs/>
                <w:sz w:val="22"/>
                <w:szCs w:val="20"/>
              </w:rPr>
              <w:t>Def.</w:t>
            </w:r>
          </w:p>
        </w:tc>
        <w:tc>
          <w:tcPr>
            <w:tcW w:w="331" w:type="pct"/>
            <w:vAlign w:val="center"/>
          </w:tcPr>
          <w:p w:rsidR="00000000" w:rsidRDefault="00000000">
            <w:pPr>
              <w:rPr>
                <w:b/>
                <w:bCs/>
                <w:sz w:val="22"/>
                <w:szCs w:val="20"/>
              </w:rPr>
            </w:pPr>
            <w:r>
              <w:rPr>
                <w:b/>
                <w:bCs/>
                <w:sz w:val="22"/>
                <w:szCs w:val="20"/>
              </w:rPr>
              <w:t>Tasa</w:t>
            </w:r>
          </w:p>
        </w:tc>
        <w:tc>
          <w:tcPr>
            <w:tcW w:w="344" w:type="pct"/>
            <w:vAlign w:val="center"/>
          </w:tcPr>
          <w:p w:rsidR="00000000" w:rsidRDefault="00000000">
            <w:pPr>
              <w:rPr>
                <w:b/>
                <w:bCs/>
                <w:sz w:val="22"/>
                <w:szCs w:val="20"/>
              </w:rPr>
            </w:pPr>
            <w:r>
              <w:rPr>
                <w:b/>
                <w:bCs/>
                <w:sz w:val="22"/>
                <w:szCs w:val="20"/>
              </w:rPr>
              <w:t>NVR</w:t>
            </w:r>
          </w:p>
        </w:tc>
        <w:tc>
          <w:tcPr>
            <w:tcW w:w="292" w:type="pct"/>
            <w:vAlign w:val="center"/>
          </w:tcPr>
          <w:p w:rsidR="00000000" w:rsidRDefault="00000000">
            <w:pPr>
              <w:rPr>
                <w:b/>
                <w:bCs/>
                <w:sz w:val="22"/>
                <w:szCs w:val="20"/>
              </w:rPr>
            </w:pPr>
            <w:r>
              <w:rPr>
                <w:b/>
                <w:bCs/>
                <w:sz w:val="22"/>
                <w:szCs w:val="20"/>
              </w:rPr>
              <w:t>Def.</w:t>
            </w:r>
          </w:p>
        </w:tc>
        <w:tc>
          <w:tcPr>
            <w:tcW w:w="331" w:type="pct"/>
            <w:vAlign w:val="center"/>
          </w:tcPr>
          <w:p w:rsidR="00000000" w:rsidRDefault="00000000">
            <w:pPr>
              <w:rPr>
                <w:b/>
                <w:bCs/>
                <w:sz w:val="22"/>
                <w:szCs w:val="20"/>
              </w:rPr>
            </w:pPr>
            <w:r>
              <w:rPr>
                <w:b/>
                <w:bCs/>
                <w:sz w:val="22"/>
                <w:szCs w:val="20"/>
              </w:rPr>
              <w:t>Tasa</w:t>
            </w:r>
          </w:p>
        </w:tc>
        <w:tc>
          <w:tcPr>
            <w:tcW w:w="417" w:type="pct"/>
            <w:vAlign w:val="center"/>
          </w:tcPr>
          <w:p w:rsidR="00000000" w:rsidRDefault="00000000">
            <w:pPr>
              <w:rPr>
                <w:b/>
                <w:bCs/>
                <w:sz w:val="22"/>
                <w:szCs w:val="20"/>
              </w:rPr>
            </w:pPr>
            <w:r>
              <w:rPr>
                <w:b/>
                <w:bCs/>
                <w:sz w:val="22"/>
                <w:szCs w:val="20"/>
              </w:rPr>
              <w:t>NVR</w:t>
            </w:r>
          </w:p>
        </w:tc>
        <w:tc>
          <w:tcPr>
            <w:tcW w:w="354" w:type="pct"/>
            <w:vAlign w:val="center"/>
          </w:tcPr>
          <w:p w:rsidR="00000000" w:rsidRDefault="00000000">
            <w:pPr>
              <w:rPr>
                <w:b/>
                <w:bCs/>
                <w:sz w:val="22"/>
                <w:szCs w:val="20"/>
              </w:rPr>
            </w:pPr>
            <w:r>
              <w:rPr>
                <w:b/>
                <w:bCs/>
                <w:sz w:val="22"/>
                <w:szCs w:val="20"/>
              </w:rPr>
              <w:t>Def.</w:t>
            </w:r>
          </w:p>
        </w:tc>
        <w:tc>
          <w:tcPr>
            <w:tcW w:w="354" w:type="pct"/>
            <w:vAlign w:val="center"/>
          </w:tcPr>
          <w:p w:rsidR="00000000" w:rsidRDefault="00000000">
            <w:pPr>
              <w:rPr>
                <w:b/>
                <w:bCs/>
                <w:sz w:val="22"/>
                <w:szCs w:val="20"/>
              </w:rPr>
            </w:pPr>
            <w:r>
              <w:rPr>
                <w:b/>
                <w:bCs/>
                <w:sz w:val="22"/>
                <w:szCs w:val="20"/>
              </w:rPr>
              <w:t>Tasa</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Concepción</w:t>
            </w:r>
          </w:p>
        </w:tc>
        <w:tc>
          <w:tcPr>
            <w:tcW w:w="448" w:type="pct"/>
          </w:tcPr>
          <w:p w:rsidR="00000000" w:rsidRDefault="00000000">
            <w:pPr>
              <w:tabs>
                <w:tab w:val="decimal" w:pos="658"/>
              </w:tabs>
              <w:rPr>
                <w:sz w:val="22"/>
                <w:szCs w:val="20"/>
              </w:rPr>
            </w:pPr>
            <w:r>
              <w:rPr>
                <w:sz w:val="22"/>
                <w:szCs w:val="20"/>
              </w:rPr>
              <w:t>1.874</w:t>
            </w:r>
          </w:p>
        </w:tc>
        <w:tc>
          <w:tcPr>
            <w:tcW w:w="354" w:type="pct"/>
          </w:tcPr>
          <w:p w:rsidR="00000000" w:rsidRDefault="00000000">
            <w:pPr>
              <w:tabs>
                <w:tab w:val="decimal" w:pos="505"/>
              </w:tabs>
              <w:rPr>
                <w:sz w:val="22"/>
                <w:szCs w:val="20"/>
              </w:rPr>
            </w:pPr>
            <w:r>
              <w:rPr>
                <w:sz w:val="22"/>
                <w:szCs w:val="20"/>
              </w:rPr>
              <w:t>60</w:t>
            </w:r>
          </w:p>
        </w:tc>
        <w:tc>
          <w:tcPr>
            <w:tcW w:w="354" w:type="pct"/>
          </w:tcPr>
          <w:p w:rsidR="00000000" w:rsidRDefault="00000000">
            <w:pPr>
              <w:tabs>
                <w:tab w:val="decimal" w:pos="369"/>
              </w:tabs>
              <w:rPr>
                <w:sz w:val="22"/>
                <w:szCs w:val="20"/>
              </w:rPr>
            </w:pPr>
            <w:r>
              <w:rPr>
                <w:sz w:val="22"/>
                <w:szCs w:val="20"/>
              </w:rPr>
              <w:t>32,5</w:t>
            </w:r>
          </w:p>
        </w:tc>
        <w:tc>
          <w:tcPr>
            <w:tcW w:w="417" w:type="pct"/>
          </w:tcPr>
          <w:p w:rsidR="00000000" w:rsidRDefault="00000000">
            <w:pPr>
              <w:tabs>
                <w:tab w:val="decimal" w:pos="613"/>
              </w:tabs>
              <w:rPr>
                <w:sz w:val="22"/>
                <w:szCs w:val="20"/>
              </w:rPr>
            </w:pPr>
            <w:r>
              <w:rPr>
                <w:sz w:val="22"/>
                <w:szCs w:val="20"/>
              </w:rPr>
              <w:t>1.830</w:t>
            </w:r>
          </w:p>
        </w:tc>
        <w:tc>
          <w:tcPr>
            <w:tcW w:w="292" w:type="pct"/>
          </w:tcPr>
          <w:p w:rsidR="00000000" w:rsidRDefault="00000000">
            <w:pPr>
              <w:tabs>
                <w:tab w:val="decimal" w:pos="366"/>
              </w:tabs>
              <w:rPr>
                <w:sz w:val="22"/>
                <w:szCs w:val="20"/>
              </w:rPr>
            </w:pPr>
            <w:r>
              <w:rPr>
                <w:sz w:val="22"/>
                <w:szCs w:val="20"/>
              </w:rPr>
              <w:t>48</w:t>
            </w:r>
          </w:p>
        </w:tc>
        <w:tc>
          <w:tcPr>
            <w:tcW w:w="331" w:type="pct"/>
          </w:tcPr>
          <w:p w:rsidR="00000000" w:rsidRDefault="00000000">
            <w:pPr>
              <w:tabs>
                <w:tab w:val="decimal" w:pos="245"/>
              </w:tabs>
              <w:rPr>
                <w:sz w:val="22"/>
                <w:szCs w:val="20"/>
              </w:rPr>
            </w:pPr>
            <w:r>
              <w:rPr>
                <w:sz w:val="22"/>
                <w:szCs w:val="20"/>
              </w:rPr>
              <w:t>26,2</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b/>
                <w:bCs/>
                <w:sz w:val="22"/>
                <w:szCs w:val="20"/>
                <w:vertAlign w:val="superscript"/>
              </w:rPr>
              <w:t>*</w:t>
            </w:r>
          </w:p>
        </w:tc>
        <w:tc>
          <w:tcPr>
            <w:tcW w:w="417" w:type="pct"/>
          </w:tcPr>
          <w:p w:rsidR="00000000" w:rsidRDefault="00000000">
            <w:pPr>
              <w:tabs>
                <w:tab w:val="decimal" w:pos="591"/>
              </w:tabs>
              <w:rPr>
                <w:sz w:val="22"/>
                <w:szCs w:val="20"/>
              </w:rPr>
            </w:pPr>
            <w:r>
              <w:rPr>
                <w:sz w:val="22"/>
                <w:szCs w:val="20"/>
              </w:rPr>
              <w:t>3.677</w:t>
            </w:r>
          </w:p>
        </w:tc>
        <w:tc>
          <w:tcPr>
            <w:tcW w:w="354" w:type="pct"/>
          </w:tcPr>
          <w:p w:rsidR="00000000" w:rsidRDefault="00000000">
            <w:pPr>
              <w:tabs>
                <w:tab w:val="decimal" w:pos="484"/>
              </w:tabs>
              <w:rPr>
                <w:sz w:val="22"/>
                <w:szCs w:val="20"/>
              </w:rPr>
            </w:pPr>
            <w:r>
              <w:rPr>
                <w:sz w:val="22"/>
                <w:szCs w:val="20"/>
              </w:rPr>
              <w:t>108</w:t>
            </w:r>
          </w:p>
        </w:tc>
        <w:tc>
          <w:tcPr>
            <w:tcW w:w="354" w:type="pct"/>
          </w:tcPr>
          <w:p w:rsidR="00000000" w:rsidRDefault="00000000">
            <w:pPr>
              <w:tabs>
                <w:tab w:val="decimal" w:pos="312"/>
              </w:tabs>
              <w:rPr>
                <w:sz w:val="22"/>
                <w:szCs w:val="20"/>
              </w:rPr>
            </w:pPr>
            <w:r>
              <w:rPr>
                <w:sz w:val="22"/>
                <w:szCs w:val="20"/>
              </w:rPr>
              <w:t>29,4</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San Pedro</w:t>
            </w:r>
          </w:p>
        </w:tc>
        <w:tc>
          <w:tcPr>
            <w:tcW w:w="448" w:type="pct"/>
          </w:tcPr>
          <w:p w:rsidR="00000000" w:rsidRDefault="00000000">
            <w:pPr>
              <w:tabs>
                <w:tab w:val="decimal" w:pos="658"/>
              </w:tabs>
              <w:rPr>
                <w:sz w:val="22"/>
                <w:szCs w:val="20"/>
              </w:rPr>
            </w:pPr>
            <w:r>
              <w:rPr>
                <w:sz w:val="22"/>
                <w:szCs w:val="20"/>
              </w:rPr>
              <w:t>2.379</w:t>
            </w:r>
          </w:p>
        </w:tc>
        <w:tc>
          <w:tcPr>
            <w:tcW w:w="354" w:type="pct"/>
          </w:tcPr>
          <w:p w:rsidR="00000000" w:rsidRDefault="00000000">
            <w:pPr>
              <w:tabs>
                <w:tab w:val="decimal" w:pos="505"/>
              </w:tabs>
              <w:rPr>
                <w:sz w:val="22"/>
                <w:szCs w:val="20"/>
              </w:rPr>
            </w:pPr>
            <w:r>
              <w:rPr>
                <w:sz w:val="22"/>
                <w:szCs w:val="20"/>
              </w:rPr>
              <w:t>47</w:t>
            </w:r>
          </w:p>
        </w:tc>
        <w:tc>
          <w:tcPr>
            <w:tcW w:w="354" w:type="pct"/>
          </w:tcPr>
          <w:p w:rsidR="00000000" w:rsidRDefault="00000000">
            <w:pPr>
              <w:tabs>
                <w:tab w:val="decimal" w:pos="369"/>
              </w:tabs>
              <w:rPr>
                <w:sz w:val="22"/>
                <w:szCs w:val="20"/>
              </w:rPr>
            </w:pPr>
            <w:r>
              <w:rPr>
                <w:sz w:val="22"/>
                <w:szCs w:val="20"/>
              </w:rPr>
              <w:t>19,8</w:t>
            </w:r>
          </w:p>
        </w:tc>
        <w:tc>
          <w:tcPr>
            <w:tcW w:w="417" w:type="pct"/>
          </w:tcPr>
          <w:p w:rsidR="00000000" w:rsidRDefault="00000000">
            <w:pPr>
              <w:tabs>
                <w:tab w:val="decimal" w:pos="613"/>
              </w:tabs>
              <w:rPr>
                <w:sz w:val="22"/>
                <w:szCs w:val="20"/>
              </w:rPr>
            </w:pPr>
            <w:r>
              <w:rPr>
                <w:sz w:val="22"/>
                <w:szCs w:val="20"/>
              </w:rPr>
              <w:t>2.173</w:t>
            </w:r>
          </w:p>
        </w:tc>
        <w:tc>
          <w:tcPr>
            <w:tcW w:w="292" w:type="pct"/>
          </w:tcPr>
          <w:p w:rsidR="00000000" w:rsidRDefault="00000000">
            <w:pPr>
              <w:tabs>
                <w:tab w:val="decimal" w:pos="366"/>
              </w:tabs>
              <w:rPr>
                <w:sz w:val="22"/>
                <w:szCs w:val="20"/>
              </w:rPr>
            </w:pPr>
            <w:r>
              <w:rPr>
                <w:sz w:val="22"/>
                <w:szCs w:val="20"/>
              </w:rPr>
              <w:t>43</w:t>
            </w:r>
          </w:p>
        </w:tc>
        <w:tc>
          <w:tcPr>
            <w:tcW w:w="331" w:type="pct"/>
          </w:tcPr>
          <w:p w:rsidR="00000000" w:rsidRDefault="00000000">
            <w:pPr>
              <w:tabs>
                <w:tab w:val="decimal" w:pos="245"/>
              </w:tabs>
              <w:rPr>
                <w:sz w:val="22"/>
                <w:szCs w:val="20"/>
              </w:rPr>
            </w:pPr>
            <w:r>
              <w:rPr>
                <w:sz w:val="22"/>
                <w:szCs w:val="20"/>
              </w:rPr>
              <w:t>19,8</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N</w:t>
            </w:r>
          </w:p>
        </w:tc>
        <w:tc>
          <w:tcPr>
            <w:tcW w:w="417" w:type="pct"/>
          </w:tcPr>
          <w:p w:rsidR="00000000" w:rsidRDefault="00000000">
            <w:pPr>
              <w:tabs>
                <w:tab w:val="decimal" w:pos="591"/>
              </w:tabs>
              <w:rPr>
                <w:sz w:val="22"/>
                <w:szCs w:val="20"/>
              </w:rPr>
            </w:pPr>
            <w:r>
              <w:rPr>
                <w:sz w:val="22"/>
                <w:szCs w:val="20"/>
              </w:rPr>
              <w:t>4.552</w:t>
            </w:r>
          </w:p>
        </w:tc>
        <w:tc>
          <w:tcPr>
            <w:tcW w:w="354" w:type="pct"/>
          </w:tcPr>
          <w:p w:rsidR="00000000" w:rsidRDefault="00000000">
            <w:pPr>
              <w:tabs>
                <w:tab w:val="decimal" w:pos="484"/>
              </w:tabs>
              <w:rPr>
                <w:sz w:val="22"/>
                <w:szCs w:val="20"/>
              </w:rPr>
            </w:pPr>
            <w:r>
              <w:rPr>
                <w:sz w:val="22"/>
                <w:szCs w:val="20"/>
              </w:rPr>
              <w:t>90</w:t>
            </w:r>
          </w:p>
        </w:tc>
        <w:tc>
          <w:tcPr>
            <w:tcW w:w="354" w:type="pct"/>
          </w:tcPr>
          <w:p w:rsidR="00000000" w:rsidRDefault="00000000">
            <w:pPr>
              <w:tabs>
                <w:tab w:val="decimal" w:pos="312"/>
              </w:tabs>
              <w:rPr>
                <w:sz w:val="22"/>
                <w:szCs w:val="20"/>
              </w:rPr>
            </w:pPr>
            <w:r>
              <w:rPr>
                <w:sz w:val="22"/>
                <w:szCs w:val="20"/>
              </w:rPr>
              <w:t>19,8</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Cordillera</w:t>
            </w:r>
          </w:p>
        </w:tc>
        <w:tc>
          <w:tcPr>
            <w:tcW w:w="448" w:type="pct"/>
          </w:tcPr>
          <w:p w:rsidR="00000000" w:rsidRDefault="00000000">
            <w:pPr>
              <w:tabs>
                <w:tab w:val="decimal" w:pos="658"/>
              </w:tabs>
              <w:rPr>
                <w:sz w:val="22"/>
                <w:szCs w:val="20"/>
              </w:rPr>
            </w:pPr>
            <w:r>
              <w:rPr>
                <w:sz w:val="22"/>
                <w:szCs w:val="20"/>
              </w:rPr>
              <w:t>2.230</w:t>
            </w:r>
          </w:p>
        </w:tc>
        <w:tc>
          <w:tcPr>
            <w:tcW w:w="354" w:type="pct"/>
          </w:tcPr>
          <w:p w:rsidR="00000000" w:rsidRDefault="00000000">
            <w:pPr>
              <w:tabs>
                <w:tab w:val="decimal" w:pos="505"/>
              </w:tabs>
              <w:rPr>
                <w:sz w:val="22"/>
                <w:szCs w:val="20"/>
              </w:rPr>
            </w:pPr>
            <w:r>
              <w:rPr>
                <w:sz w:val="22"/>
                <w:szCs w:val="20"/>
              </w:rPr>
              <w:t>55</w:t>
            </w:r>
          </w:p>
        </w:tc>
        <w:tc>
          <w:tcPr>
            <w:tcW w:w="354" w:type="pct"/>
          </w:tcPr>
          <w:p w:rsidR="00000000" w:rsidRDefault="00000000">
            <w:pPr>
              <w:tabs>
                <w:tab w:val="decimal" w:pos="369"/>
              </w:tabs>
              <w:rPr>
                <w:sz w:val="22"/>
                <w:szCs w:val="20"/>
              </w:rPr>
            </w:pPr>
            <w:r>
              <w:rPr>
                <w:sz w:val="22"/>
                <w:szCs w:val="20"/>
              </w:rPr>
              <w:t>24,7</w:t>
            </w:r>
          </w:p>
        </w:tc>
        <w:tc>
          <w:tcPr>
            <w:tcW w:w="417" w:type="pct"/>
          </w:tcPr>
          <w:p w:rsidR="00000000" w:rsidRDefault="00000000">
            <w:pPr>
              <w:tabs>
                <w:tab w:val="decimal" w:pos="613"/>
              </w:tabs>
              <w:rPr>
                <w:sz w:val="22"/>
                <w:szCs w:val="20"/>
              </w:rPr>
            </w:pPr>
            <w:r>
              <w:rPr>
                <w:sz w:val="22"/>
                <w:szCs w:val="20"/>
              </w:rPr>
              <w:t>2.247</w:t>
            </w:r>
          </w:p>
        </w:tc>
        <w:tc>
          <w:tcPr>
            <w:tcW w:w="292" w:type="pct"/>
          </w:tcPr>
          <w:p w:rsidR="00000000" w:rsidRDefault="00000000">
            <w:pPr>
              <w:tabs>
                <w:tab w:val="decimal" w:pos="366"/>
              </w:tabs>
              <w:rPr>
                <w:sz w:val="22"/>
                <w:szCs w:val="20"/>
              </w:rPr>
            </w:pPr>
            <w:r>
              <w:rPr>
                <w:sz w:val="22"/>
                <w:szCs w:val="20"/>
              </w:rPr>
              <w:t>38</w:t>
            </w:r>
          </w:p>
        </w:tc>
        <w:tc>
          <w:tcPr>
            <w:tcW w:w="331" w:type="pct"/>
          </w:tcPr>
          <w:p w:rsidR="00000000" w:rsidRDefault="00000000">
            <w:pPr>
              <w:tabs>
                <w:tab w:val="decimal" w:pos="245"/>
              </w:tabs>
              <w:rPr>
                <w:sz w:val="22"/>
                <w:szCs w:val="20"/>
              </w:rPr>
            </w:pPr>
            <w:r>
              <w:rPr>
                <w:sz w:val="22"/>
                <w:szCs w:val="20"/>
              </w:rPr>
              <w:t>18,9</w:t>
            </w:r>
          </w:p>
        </w:tc>
        <w:tc>
          <w:tcPr>
            <w:tcW w:w="344" w:type="pct"/>
          </w:tcPr>
          <w:p w:rsidR="00000000" w:rsidRDefault="00000000">
            <w:pPr>
              <w:tabs>
                <w:tab w:val="decimal" w:pos="343"/>
              </w:tabs>
              <w:rPr>
                <w:sz w:val="22"/>
                <w:szCs w:val="20"/>
              </w:rPr>
            </w:pPr>
            <w:r>
              <w:rPr>
                <w:sz w:val="22"/>
                <w:szCs w:val="20"/>
              </w:rPr>
              <w:t>1</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O</w:t>
            </w:r>
          </w:p>
        </w:tc>
        <w:tc>
          <w:tcPr>
            <w:tcW w:w="417" w:type="pct"/>
          </w:tcPr>
          <w:p w:rsidR="00000000" w:rsidRDefault="00000000">
            <w:pPr>
              <w:tabs>
                <w:tab w:val="decimal" w:pos="591"/>
              </w:tabs>
              <w:rPr>
                <w:sz w:val="22"/>
                <w:szCs w:val="20"/>
              </w:rPr>
            </w:pPr>
            <w:r>
              <w:rPr>
                <w:sz w:val="22"/>
                <w:szCs w:val="20"/>
              </w:rPr>
              <w:t>4.478</w:t>
            </w:r>
          </w:p>
        </w:tc>
        <w:tc>
          <w:tcPr>
            <w:tcW w:w="354" w:type="pct"/>
          </w:tcPr>
          <w:p w:rsidR="00000000" w:rsidRDefault="00000000">
            <w:pPr>
              <w:tabs>
                <w:tab w:val="decimal" w:pos="484"/>
              </w:tabs>
              <w:rPr>
                <w:sz w:val="22"/>
                <w:szCs w:val="20"/>
              </w:rPr>
            </w:pPr>
            <w:r>
              <w:rPr>
                <w:sz w:val="22"/>
                <w:szCs w:val="20"/>
              </w:rPr>
              <w:t>93</w:t>
            </w:r>
          </w:p>
        </w:tc>
        <w:tc>
          <w:tcPr>
            <w:tcW w:w="354" w:type="pct"/>
          </w:tcPr>
          <w:p w:rsidR="00000000" w:rsidRDefault="00000000">
            <w:pPr>
              <w:tabs>
                <w:tab w:val="decimal" w:pos="312"/>
              </w:tabs>
              <w:rPr>
                <w:sz w:val="22"/>
                <w:szCs w:val="20"/>
              </w:rPr>
            </w:pPr>
            <w:r>
              <w:rPr>
                <w:sz w:val="22"/>
                <w:szCs w:val="20"/>
              </w:rPr>
              <w:t>20,8</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Guairá</w:t>
            </w:r>
          </w:p>
        </w:tc>
        <w:tc>
          <w:tcPr>
            <w:tcW w:w="448" w:type="pct"/>
          </w:tcPr>
          <w:p w:rsidR="00000000" w:rsidRDefault="00000000">
            <w:pPr>
              <w:tabs>
                <w:tab w:val="decimal" w:pos="658"/>
              </w:tabs>
              <w:rPr>
                <w:sz w:val="22"/>
                <w:szCs w:val="20"/>
              </w:rPr>
            </w:pPr>
            <w:r>
              <w:rPr>
                <w:sz w:val="22"/>
                <w:szCs w:val="20"/>
              </w:rPr>
              <w:t>1.595</w:t>
            </w:r>
          </w:p>
        </w:tc>
        <w:tc>
          <w:tcPr>
            <w:tcW w:w="354" w:type="pct"/>
          </w:tcPr>
          <w:p w:rsidR="00000000" w:rsidRDefault="00000000">
            <w:pPr>
              <w:tabs>
                <w:tab w:val="decimal" w:pos="505"/>
              </w:tabs>
              <w:rPr>
                <w:sz w:val="22"/>
                <w:szCs w:val="20"/>
              </w:rPr>
            </w:pPr>
            <w:r>
              <w:rPr>
                <w:sz w:val="22"/>
                <w:szCs w:val="20"/>
              </w:rPr>
              <w:t>55</w:t>
            </w:r>
          </w:p>
        </w:tc>
        <w:tc>
          <w:tcPr>
            <w:tcW w:w="354" w:type="pct"/>
          </w:tcPr>
          <w:p w:rsidR="00000000" w:rsidRDefault="00000000">
            <w:pPr>
              <w:tabs>
                <w:tab w:val="decimal" w:pos="369"/>
              </w:tabs>
              <w:rPr>
                <w:sz w:val="22"/>
                <w:szCs w:val="20"/>
              </w:rPr>
            </w:pPr>
            <w:r>
              <w:rPr>
                <w:sz w:val="22"/>
                <w:szCs w:val="20"/>
              </w:rPr>
              <w:t>34,5</w:t>
            </w:r>
          </w:p>
        </w:tc>
        <w:tc>
          <w:tcPr>
            <w:tcW w:w="417" w:type="pct"/>
          </w:tcPr>
          <w:p w:rsidR="00000000" w:rsidRDefault="00000000">
            <w:pPr>
              <w:tabs>
                <w:tab w:val="decimal" w:pos="613"/>
              </w:tabs>
              <w:rPr>
                <w:sz w:val="22"/>
                <w:szCs w:val="20"/>
              </w:rPr>
            </w:pPr>
            <w:r>
              <w:rPr>
                <w:sz w:val="22"/>
                <w:szCs w:val="20"/>
              </w:rPr>
              <w:t>1.616</w:t>
            </w:r>
          </w:p>
        </w:tc>
        <w:tc>
          <w:tcPr>
            <w:tcW w:w="292" w:type="pct"/>
          </w:tcPr>
          <w:p w:rsidR="00000000" w:rsidRDefault="00000000">
            <w:pPr>
              <w:tabs>
                <w:tab w:val="decimal" w:pos="366"/>
              </w:tabs>
              <w:rPr>
                <w:sz w:val="22"/>
                <w:szCs w:val="20"/>
              </w:rPr>
            </w:pPr>
            <w:r>
              <w:rPr>
                <w:sz w:val="22"/>
                <w:szCs w:val="20"/>
              </w:rPr>
              <w:t>40</w:t>
            </w:r>
          </w:p>
        </w:tc>
        <w:tc>
          <w:tcPr>
            <w:tcW w:w="331" w:type="pct"/>
          </w:tcPr>
          <w:p w:rsidR="00000000" w:rsidRDefault="00000000">
            <w:pPr>
              <w:tabs>
                <w:tab w:val="decimal" w:pos="245"/>
              </w:tabs>
              <w:rPr>
                <w:sz w:val="22"/>
                <w:szCs w:val="20"/>
              </w:rPr>
            </w:pPr>
            <w:r>
              <w:rPr>
                <w:sz w:val="22"/>
                <w:szCs w:val="20"/>
              </w:rPr>
              <w:t>24,8</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591"/>
              </w:tabs>
              <w:rPr>
                <w:sz w:val="22"/>
                <w:szCs w:val="20"/>
              </w:rPr>
            </w:pPr>
            <w:r>
              <w:rPr>
                <w:sz w:val="22"/>
                <w:szCs w:val="20"/>
              </w:rPr>
              <w:t>3.211</w:t>
            </w:r>
          </w:p>
        </w:tc>
        <w:tc>
          <w:tcPr>
            <w:tcW w:w="354" w:type="pct"/>
          </w:tcPr>
          <w:p w:rsidR="00000000" w:rsidRDefault="00000000">
            <w:pPr>
              <w:tabs>
                <w:tab w:val="decimal" w:pos="484"/>
              </w:tabs>
              <w:rPr>
                <w:sz w:val="22"/>
                <w:szCs w:val="20"/>
              </w:rPr>
            </w:pPr>
            <w:r>
              <w:rPr>
                <w:sz w:val="22"/>
                <w:szCs w:val="20"/>
              </w:rPr>
              <w:t>95</w:t>
            </w:r>
          </w:p>
        </w:tc>
        <w:tc>
          <w:tcPr>
            <w:tcW w:w="354" w:type="pct"/>
          </w:tcPr>
          <w:p w:rsidR="00000000" w:rsidRDefault="00000000">
            <w:pPr>
              <w:tabs>
                <w:tab w:val="decimal" w:pos="312"/>
              </w:tabs>
              <w:rPr>
                <w:sz w:val="22"/>
                <w:szCs w:val="20"/>
              </w:rPr>
            </w:pPr>
            <w:r>
              <w:rPr>
                <w:sz w:val="22"/>
                <w:szCs w:val="20"/>
              </w:rPr>
              <w:t>29,6</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Caaguazú</w:t>
            </w:r>
          </w:p>
        </w:tc>
        <w:tc>
          <w:tcPr>
            <w:tcW w:w="448" w:type="pct"/>
          </w:tcPr>
          <w:p w:rsidR="00000000" w:rsidRDefault="00000000">
            <w:pPr>
              <w:tabs>
                <w:tab w:val="decimal" w:pos="658"/>
              </w:tabs>
              <w:rPr>
                <w:sz w:val="22"/>
                <w:szCs w:val="20"/>
              </w:rPr>
            </w:pPr>
            <w:r>
              <w:rPr>
                <w:sz w:val="22"/>
                <w:szCs w:val="20"/>
              </w:rPr>
              <w:t>3.178</w:t>
            </w:r>
          </w:p>
        </w:tc>
        <w:tc>
          <w:tcPr>
            <w:tcW w:w="354" w:type="pct"/>
          </w:tcPr>
          <w:p w:rsidR="00000000" w:rsidRDefault="00000000">
            <w:pPr>
              <w:tabs>
                <w:tab w:val="decimal" w:pos="505"/>
              </w:tabs>
              <w:rPr>
                <w:sz w:val="22"/>
                <w:szCs w:val="20"/>
              </w:rPr>
            </w:pPr>
            <w:r>
              <w:rPr>
                <w:sz w:val="22"/>
                <w:szCs w:val="20"/>
              </w:rPr>
              <w:t>44</w:t>
            </w:r>
          </w:p>
        </w:tc>
        <w:tc>
          <w:tcPr>
            <w:tcW w:w="354" w:type="pct"/>
          </w:tcPr>
          <w:p w:rsidR="00000000" w:rsidRDefault="00000000">
            <w:pPr>
              <w:tabs>
                <w:tab w:val="decimal" w:pos="369"/>
              </w:tabs>
              <w:rPr>
                <w:sz w:val="22"/>
                <w:szCs w:val="20"/>
              </w:rPr>
            </w:pPr>
            <w:r>
              <w:rPr>
                <w:sz w:val="22"/>
                <w:szCs w:val="20"/>
              </w:rPr>
              <w:t>13,8</w:t>
            </w:r>
          </w:p>
        </w:tc>
        <w:tc>
          <w:tcPr>
            <w:tcW w:w="417" w:type="pct"/>
          </w:tcPr>
          <w:p w:rsidR="00000000" w:rsidRDefault="00000000">
            <w:pPr>
              <w:tabs>
                <w:tab w:val="decimal" w:pos="613"/>
              </w:tabs>
              <w:rPr>
                <w:sz w:val="22"/>
                <w:szCs w:val="20"/>
              </w:rPr>
            </w:pPr>
            <w:r>
              <w:rPr>
                <w:sz w:val="22"/>
                <w:szCs w:val="20"/>
              </w:rPr>
              <w:t>3.108</w:t>
            </w:r>
          </w:p>
        </w:tc>
        <w:tc>
          <w:tcPr>
            <w:tcW w:w="292" w:type="pct"/>
          </w:tcPr>
          <w:p w:rsidR="00000000" w:rsidRDefault="00000000">
            <w:pPr>
              <w:tabs>
                <w:tab w:val="decimal" w:pos="366"/>
              </w:tabs>
              <w:rPr>
                <w:sz w:val="22"/>
                <w:szCs w:val="20"/>
              </w:rPr>
            </w:pPr>
            <w:r>
              <w:rPr>
                <w:sz w:val="22"/>
                <w:szCs w:val="20"/>
              </w:rPr>
              <w:t>43</w:t>
            </w:r>
          </w:p>
        </w:tc>
        <w:tc>
          <w:tcPr>
            <w:tcW w:w="331" w:type="pct"/>
          </w:tcPr>
          <w:p w:rsidR="00000000" w:rsidRDefault="00000000">
            <w:pPr>
              <w:tabs>
                <w:tab w:val="decimal" w:pos="245"/>
              </w:tabs>
              <w:rPr>
                <w:sz w:val="22"/>
                <w:szCs w:val="20"/>
              </w:rPr>
            </w:pPr>
            <w:r>
              <w:rPr>
                <w:sz w:val="22"/>
                <w:szCs w:val="20"/>
              </w:rPr>
              <w:t>13,8</w:t>
            </w:r>
          </w:p>
        </w:tc>
        <w:tc>
          <w:tcPr>
            <w:tcW w:w="344" w:type="pct"/>
          </w:tcPr>
          <w:p w:rsidR="00000000" w:rsidRDefault="00000000">
            <w:pPr>
              <w:tabs>
                <w:tab w:val="decimal" w:pos="343"/>
              </w:tabs>
              <w:rPr>
                <w:sz w:val="22"/>
                <w:szCs w:val="20"/>
              </w:rPr>
            </w:pPr>
            <w:r>
              <w:rPr>
                <w:sz w:val="22"/>
                <w:szCs w:val="20"/>
              </w:rPr>
              <w:t>1</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591"/>
              </w:tabs>
              <w:rPr>
                <w:sz w:val="22"/>
                <w:szCs w:val="20"/>
              </w:rPr>
            </w:pPr>
            <w:r>
              <w:rPr>
                <w:sz w:val="22"/>
                <w:szCs w:val="20"/>
              </w:rPr>
              <w:t>6.287</w:t>
            </w:r>
          </w:p>
        </w:tc>
        <w:tc>
          <w:tcPr>
            <w:tcW w:w="354" w:type="pct"/>
          </w:tcPr>
          <w:p w:rsidR="00000000" w:rsidRDefault="00000000">
            <w:pPr>
              <w:tabs>
                <w:tab w:val="decimal" w:pos="484"/>
              </w:tabs>
              <w:rPr>
                <w:sz w:val="22"/>
                <w:szCs w:val="20"/>
              </w:rPr>
            </w:pPr>
            <w:r>
              <w:rPr>
                <w:sz w:val="22"/>
                <w:szCs w:val="20"/>
              </w:rPr>
              <w:t>87</w:t>
            </w:r>
          </w:p>
        </w:tc>
        <w:tc>
          <w:tcPr>
            <w:tcW w:w="354" w:type="pct"/>
          </w:tcPr>
          <w:p w:rsidR="00000000" w:rsidRDefault="00000000">
            <w:pPr>
              <w:tabs>
                <w:tab w:val="decimal" w:pos="312"/>
              </w:tabs>
              <w:rPr>
                <w:sz w:val="22"/>
                <w:szCs w:val="20"/>
              </w:rPr>
            </w:pPr>
            <w:r>
              <w:rPr>
                <w:sz w:val="22"/>
                <w:szCs w:val="20"/>
              </w:rPr>
              <w:t>13,8</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Caazapá</w:t>
            </w:r>
          </w:p>
        </w:tc>
        <w:tc>
          <w:tcPr>
            <w:tcW w:w="448" w:type="pct"/>
          </w:tcPr>
          <w:p w:rsidR="00000000" w:rsidRDefault="00000000">
            <w:pPr>
              <w:tabs>
                <w:tab w:val="decimal" w:pos="658"/>
              </w:tabs>
              <w:rPr>
                <w:sz w:val="22"/>
                <w:szCs w:val="20"/>
              </w:rPr>
            </w:pPr>
            <w:r>
              <w:rPr>
                <w:sz w:val="22"/>
                <w:szCs w:val="20"/>
              </w:rPr>
              <w:t>1.180</w:t>
            </w:r>
          </w:p>
        </w:tc>
        <w:tc>
          <w:tcPr>
            <w:tcW w:w="354" w:type="pct"/>
          </w:tcPr>
          <w:p w:rsidR="00000000" w:rsidRDefault="00000000">
            <w:pPr>
              <w:tabs>
                <w:tab w:val="decimal" w:pos="505"/>
              </w:tabs>
              <w:rPr>
                <w:sz w:val="22"/>
                <w:szCs w:val="20"/>
              </w:rPr>
            </w:pPr>
            <w:r>
              <w:rPr>
                <w:sz w:val="22"/>
                <w:szCs w:val="20"/>
              </w:rPr>
              <w:t>23</w:t>
            </w:r>
          </w:p>
        </w:tc>
        <w:tc>
          <w:tcPr>
            <w:tcW w:w="354" w:type="pct"/>
          </w:tcPr>
          <w:p w:rsidR="00000000" w:rsidRDefault="00000000">
            <w:pPr>
              <w:tabs>
                <w:tab w:val="decimal" w:pos="369"/>
              </w:tabs>
              <w:rPr>
                <w:sz w:val="22"/>
                <w:szCs w:val="20"/>
              </w:rPr>
            </w:pPr>
            <w:r>
              <w:rPr>
                <w:sz w:val="22"/>
                <w:szCs w:val="20"/>
              </w:rPr>
              <w:t>19,5</w:t>
            </w:r>
          </w:p>
        </w:tc>
        <w:tc>
          <w:tcPr>
            <w:tcW w:w="417" w:type="pct"/>
          </w:tcPr>
          <w:p w:rsidR="00000000" w:rsidRDefault="00000000">
            <w:pPr>
              <w:tabs>
                <w:tab w:val="decimal" w:pos="613"/>
              </w:tabs>
              <w:rPr>
                <w:sz w:val="22"/>
                <w:szCs w:val="20"/>
              </w:rPr>
            </w:pPr>
            <w:r>
              <w:rPr>
                <w:sz w:val="22"/>
                <w:szCs w:val="20"/>
              </w:rPr>
              <w:t>1.157</w:t>
            </w:r>
          </w:p>
        </w:tc>
        <w:tc>
          <w:tcPr>
            <w:tcW w:w="292" w:type="pct"/>
          </w:tcPr>
          <w:p w:rsidR="00000000" w:rsidRDefault="00000000">
            <w:pPr>
              <w:tabs>
                <w:tab w:val="decimal" w:pos="366"/>
              </w:tabs>
              <w:rPr>
                <w:sz w:val="22"/>
                <w:szCs w:val="20"/>
              </w:rPr>
            </w:pPr>
            <w:r>
              <w:rPr>
                <w:sz w:val="22"/>
                <w:szCs w:val="20"/>
              </w:rPr>
              <w:t>20</w:t>
            </w:r>
          </w:p>
        </w:tc>
        <w:tc>
          <w:tcPr>
            <w:tcW w:w="331" w:type="pct"/>
          </w:tcPr>
          <w:p w:rsidR="00000000" w:rsidRDefault="00000000">
            <w:pPr>
              <w:tabs>
                <w:tab w:val="decimal" w:pos="245"/>
              </w:tabs>
              <w:rPr>
                <w:sz w:val="22"/>
                <w:szCs w:val="20"/>
              </w:rPr>
            </w:pPr>
            <w:r>
              <w:rPr>
                <w:sz w:val="22"/>
                <w:szCs w:val="20"/>
              </w:rPr>
              <w:t>17,3</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A</w:t>
            </w:r>
          </w:p>
        </w:tc>
        <w:tc>
          <w:tcPr>
            <w:tcW w:w="417" w:type="pct"/>
          </w:tcPr>
          <w:p w:rsidR="00000000" w:rsidRDefault="00000000">
            <w:pPr>
              <w:tabs>
                <w:tab w:val="decimal" w:pos="591"/>
              </w:tabs>
              <w:rPr>
                <w:sz w:val="22"/>
                <w:szCs w:val="20"/>
              </w:rPr>
            </w:pPr>
            <w:r>
              <w:rPr>
                <w:sz w:val="22"/>
                <w:szCs w:val="20"/>
              </w:rPr>
              <w:t>2.337</w:t>
            </w:r>
          </w:p>
        </w:tc>
        <w:tc>
          <w:tcPr>
            <w:tcW w:w="354" w:type="pct"/>
          </w:tcPr>
          <w:p w:rsidR="00000000" w:rsidRDefault="00000000">
            <w:pPr>
              <w:tabs>
                <w:tab w:val="decimal" w:pos="484"/>
              </w:tabs>
              <w:rPr>
                <w:sz w:val="22"/>
                <w:szCs w:val="20"/>
              </w:rPr>
            </w:pPr>
            <w:r>
              <w:rPr>
                <w:sz w:val="22"/>
                <w:szCs w:val="20"/>
              </w:rPr>
              <w:t>43</w:t>
            </w:r>
          </w:p>
        </w:tc>
        <w:tc>
          <w:tcPr>
            <w:tcW w:w="354" w:type="pct"/>
          </w:tcPr>
          <w:p w:rsidR="00000000" w:rsidRDefault="00000000">
            <w:pPr>
              <w:tabs>
                <w:tab w:val="decimal" w:pos="312"/>
              </w:tabs>
              <w:rPr>
                <w:sz w:val="22"/>
                <w:szCs w:val="20"/>
              </w:rPr>
            </w:pPr>
            <w:r>
              <w:rPr>
                <w:sz w:val="22"/>
                <w:szCs w:val="20"/>
              </w:rPr>
              <w:t>18,4</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Itapúa</w:t>
            </w:r>
          </w:p>
        </w:tc>
        <w:tc>
          <w:tcPr>
            <w:tcW w:w="448" w:type="pct"/>
          </w:tcPr>
          <w:p w:rsidR="00000000" w:rsidRDefault="00000000">
            <w:pPr>
              <w:tabs>
                <w:tab w:val="decimal" w:pos="658"/>
              </w:tabs>
              <w:rPr>
                <w:sz w:val="22"/>
                <w:szCs w:val="20"/>
              </w:rPr>
            </w:pPr>
            <w:r>
              <w:rPr>
                <w:sz w:val="22"/>
                <w:szCs w:val="20"/>
              </w:rPr>
              <w:t>3.638</w:t>
            </w:r>
          </w:p>
        </w:tc>
        <w:tc>
          <w:tcPr>
            <w:tcW w:w="354" w:type="pct"/>
          </w:tcPr>
          <w:p w:rsidR="00000000" w:rsidRDefault="00000000">
            <w:pPr>
              <w:tabs>
                <w:tab w:val="decimal" w:pos="505"/>
              </w:tabs>
              <w:rPr>
                <w:sz w:val="22"/>
                <w:szCs w:val="20"/>
              </w:rPr>
            </w:pPr>
            <w:r>
              <w:rPr>
                <w:sz w:val="22"/>
                <w:szCs w:val="20"/>
              </w:rPr>
              <w:t>81</w:t>
            </w:r>
          </w:p>
        </w:tc>
        <w:tc>
          <w:tcPr>
            <w:tcW w:w="354" w:type="pct"/>
          </w:tcPr>
          <w:p w:rsidR="00000000" w:rsidRDefault="00000000">
            <w:pPr>
              <w:tabs>
                <w:tab w:val="decimal" w:pos="369"/>
              </w:tabs>
              <w:rPr>
                <w:sz w:val="22"/>
                <w:szCs w:val="20"/>
              </w:rPr>
            </w:pPr>
            <w:r>
              <w:rPr>
                <w:sz w:val="22"/>
                <w:szCs w:val="20"/>
              </w:rPr>
              <w:t>22,3</w:t>
            </w:r>
          </w:p>
        </w:tc>
        <w:tc>
          <w:tcPr>
            <w:tcW w:w="417" w:type="pct"/>
          </w:tcPr>
          <w:p w:rsidR="00000000" w:rsidRDefault="00000000">
            <w:pPr>
              <w:tabs>
                <w:tab w:val="decimal" w:pos="613"/>
              </w:tabs>
              <w:rPr>
                <w:sz w:val="22"/>
                <w:szCs w:val="20"/>
              </w:rPr>
            </w:pPr>
            <w:r>
              <w:rPr>
                <w:sz w:val="22"/>
                <w:szCs w:val="20"/>
              </w:rPr>
              <w:t>3.534</w:t>
            </w:r>
          </w:p>
        </w:tc>
        <w:tc>
          <w:tcPr>
            <w:tcW w:w="292" w:type="pct"/>
          </w:tcPr>
          <w:p w:rsidR="00000000" w:rsidRDefault="00000000">
            <w:pPr>
              <w:tabs>
                <w:tab w:val="decimal" w:pos="366"/>
              </w:tabs>
              <w:rPr>
                <w:sz w:val="22"/>
                <w:szCs w:val="20"/>
              </w:rPr>
            </w:pPr>
            <w:r>
              <w:rPr>
                <w:sz w:val="22"/>
                <w:szCs w:val="20"/>
              </w:rPr>
              <w:t>54</w:t>
            </w:r>
          </w:p>
        </w:tc>
        <w:tc>
          <w:tcPr>
            <w:tcW w:w="331" w:type="pct"/>
          </w:tcPr>
          <w:p w:rsidR="00000000" w:rsidRDefault="00000000">
            <w:pPr>
              <w:tabs>
                <w:tab w:val="decimal" w:pos="245"/>
              </w:tabs>
              <w:rPr>
                <w:sz w:val="22"/>
                <w:szCs w:val="20"/>
              </w:rPr>
            </w:pPr>
            <w:r>
              <w:rPr>
                <w:sz w:val="22"/>
                <w:szCs w:val="20"/>
              </w:rPr>
              <w:t>15,3</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P</w:t>
            </w:r>
          </w:p>
        </w:tc>
        <w:tc>
          <w:tcPr>
            <w:tcW w:w="417" w:type="pct"/>
          </w:tcPr>
          <w:p w:rsidR="00000000" w:rsidRDefault="00000000">
            <w:pPr>
              <w:tabs>
                <w:tab w:val="decimal" w:pos="591"/>
              </w:tabs>
              <w:rPr>
                <w:sz w:val="22"/>
                <w:szCs w:val="20"/>
              </w:rPr>
            </w:pPr>
            <w:r>
              <w:rPr>
                <w:sz w:val="22"/>
                <w:szCs w:val="20"/>
              </w:rPr>
              <w:t>7.172</w:t>
            </w:r>
          </w:p>
        </w:tc>
        <w:tc>
          <w:tcPr>
            <w:tcW w:w="354" w:type="pct"/>
          </w:tcPr>
          <w:p w:rsidR="00000000" w:rsidRDefault="00000000">
            <w:pPr>
              <w:tabs>
                <w:tab w:val="decimal" w:pos="484"/>
              </w:tabs>
              <w:rPr>
                <w:sz w:val="22"/>
                <w:szCs w:val="20"/>
              </w:rPr>
            </w:pPr>
            <w:r>
              <w:rPr>
                <w:sz w:val="22"/>
                <w:szCs w:val="20"/>
              </w:rPr>
              <w:t>135</w:t>
            </w:r>
          </w:p>
        </w:tc>
        <w:tc>
          <w:tcPr>
            <w:tcW w:w="354" w:type="pct"/>
          </w:tcPr>
          <w:p w:rsidR="00000000" w:rsidRDefault="00000000">
            <w:pPr>
              <w:tabs>
                <w:tab w:val="decimal" w:pos="312"/>
              </w:tabs>
              <w:rPr>
                <w:sz w:val="22"/>
                <w:szCs w:val="20"/>
              </w:rPr>
            </w:pPr>
            <w:r>
              <w:rPr>
                <w:sz w:val="22"/>
                <w:szCs w:val="20"/>
              </w:rPr>
              <w:t>18,8</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Misiones</w:t>
            </w:r>
          </w:p>
        </w:tc>
        <w:tc>
          <w:tcPr>
            <w:tcW w:w="448" w:type="pct"/>
          </w:tcPr>
          <w:p w:rsidR="00000000" w:rsidRDefault="00000000">
            <w:pPr>
              <w:tabs>
                <w:tab w:val="decimal" w:pos="658"/>
              </w:tabs>
              <w:rPr>
                <w:sz w:val="22"/>
                <w:szCs w:val="20"/>
              </w:rPr>
            </w:pPr>
            <w:r>
              <w:rPr>
                <w:sz w:val="22"/>
                <w:szCs w:val="20"/>
              </w:rPr>
              <w:t>999</w:t>
            </w:r>
          </w:p>
        </w:tc>
        <w:tc>
          <w:tcPr>
            <w:tcW w:w="354" w:type="pct"/>
          </w:tcPr>
          <w:p w:rsidR="00000000" w:rsidRDefault="00000000">
            <w:pPr>
              <w:tabs>
                <w:tab w:val="decimal" w:pos="505"/>
              </w:tabs>
              <w:rPr>
                <w:sz w:val="22"/>
                <w:szCs w:val="20"/>
              </w:rPr>
            </w:pPr>
            <w:r>
              <w:rPr>
                <w:sz w:val="22"/>
                <w:szCs w:val="20"/>
              </w:rPr>
              <w:t>30</w:t>
            </w:r>
          </w:p>
        </w:tc>
        <w:tc>
          <w:tcPr>
            <w:tcW w:w="354" w:type="pct"/>
          </w:tcPr>
          <w:p w:rsidR="00000000" w:rsidRDefault="00000000">
            <w:pPr>
              <w:tabs>
                <w:tab w:val="decimal" w:pos="369"/>
              </w:tabs>
              <w:rPr>
                <w:sz w:val="22"/>
                <w:szCs w:val="20"/>
              </w:rPr>
            </w:pPr>
            <w:r>
              <w:rPr>
                <w:sz w:val="22"/>
                <w:szCs w:val="20"/>
              </w:rPr>
              <w:t>30,0</w:t>
            </w:r>
          </w:p>
        </w:tc>
        <w:tc>
          <w:tcPr>
            <w:tcW w:w="417" w:type="pct"/>
          </w:tcPr>
          <w:p w:rsidR="00000000" w:rsidRDefault="00000000">
            <w:pPr>
              <w:tabs>
                <w:tab w:val="decimal" w:pos="613"/>
              </w:tabs>
              <w:rPr>
                <w:sz w:val="22"/>
                <w:szCs w:val="20"/>
              </w:rPr>
            </w:pPr>
            <w:r>
              <w:rPr>
                <w:sz w:val="22"/>
                <w:szCs w:val="20"/>
              </w:rPr>
              <w:t>919</w:t>
            </w:r>
          </w:p>
        </w:tc>
        <w:tc>
          <w:tcPr>
            <w:tcW w:w="292" w:type="pct"/>
          </w:tcPr>
          <w:p w:rsidR="00000000" w:rsidRDefault="00000000">
            <w:pPr>
              <w:tabs>
                <w:tab w:val="decimal" w:pos="366"/>
              </w:tabs>
              <w:rPr>
                <w:sz w:val="22"/>
                <w:szCs w:val="20"/>
              </w:rPr>
            </w:pPr>
            <w:r>
              <w:rPr>
                <w:sz w:val="22"/>
                <w:szCs w:val="20"/>
              </w:rPr>
              <w:t>23</w:t>
            </w:r>
          </w:p>
        </w:tc>
        <w:tc>
          <w:tcPr>
            <w:tcW w:w="331" w:type="pct"/>
          </w:tcPr>
          <w:p w:rsidR="00000000" w:rsidRDefault="00000000">
            <w:pPr>
              <w:tabs>
                <w:tab w:val="decimal" w:pos="245"/>
              </w:tabs>
              <w:rPr>
                <w:sz w:val="22"/>
                <w:szCs w:val="20"/>
              </w:rPr>
            </w:pPr>
            <w:r>
              <w:rPr>
                <w:sz w:val="22"/>
                <w:szCs w:val="20"/>
              </w:rPr>
              <w:t>25,0</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L</w:t>
            </w:r>
          </w:p>
        </w:tc>
        <w:tc>
          <w:tcPr>
            <w:tcW w:w="417" w:type="pct"/>
          </w:tcPr>
          <w:p w:rsidR="00000000" w:rsidRDefault="00000000">
            <w:pPr>
              <w:tabs>
                <w:tab w:val="decimal" w:pos="591"/>
              </w:tabs>
              <w:rPr>
                <w:sz w:val="22"/>
                <w:szCs w:val="20"/>
              </w:rPr>
            </w:pPr>
            <w:r>
              <w:rPr>
                <w:sz w:val="22"/>
                <w:szCs w:val="20"/>
              </w:rPr>
              <w:t>1.918</w:t>
            </w:r>
          </w:p>
        </w:tc>
        <w:tc>
          <w:tcPr>
            <w:tcW w:w="354" w:type="pct"/>
          </w:tcPr>
          <w:p w:rsidR="00000000" w:rsidRDefault="00000000">
            <w:pPr>
              <w:tabs>
                <w:tab w:val="decimal" w:pos="484"/>
              </w:tabs>
              <w:rPr>
                <w:sz w:val="22"/>
                <w:szCs w:val="20"/>
              </w:rPr>
            </w:pPr>
            <w:r>
              <w:rPr>
                <w:sz w:val="22"/>
                <w:szCs w:val="20"/>
              </w:rPr>
              <w:t>53</w:t>
            </w:r>
          </w:p>
        </w:tc>
        <w:tc>
          <w:tcPr>
            <w:tcW w:w="354" w:type="pct"/>
          </w:tcPr>
          <w:p w:rsidR="00000000" w:rsidRDefault="00000000">
            <w:pPr>
              <w:tabs>
                <w:tab w:val="decimal" w:pos="312"/>
              </w:tabs>
              <w:rPr>
                <w:sz w:val="22"/>
                <w:szCs w:val="20"/>
              </w:rPr>
            </w:pPr>
            <w:r>
              <w:rPr>
                <w:sz w:val="22"/>
                <w:szCs w:val="20"/>
              </w:rPr>
              <w:t>27,6</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Paraguari</w:t>
            </w:r>
          </w:p>
        </w:tc>
        <w:tc>
          <w:tcPr>
            <w:tcW w:w="448" w:type="pct"/>
          </w:tcPr>
          <w:p w:rsidR="00000000" w:rsidRDefault="00000000">
            <w:pPr>
              <w:tabs>
                <w:tab w:val="decimal" w:pos="658"/>
              </w:tabs>
              <w:rPr>
                <w:sz w:val="22"/>
                <w:szCs w:val="20"/>
              </w:rPr>
            </w:pPr>
            <w:r>
              <w:rPr>
                <w:sz w:val="22"/>
                <w:szCs w:val="20"/>
              </w:rPr>
              <w:t>1.868</w:t>
            </w:r>
          </w:p>
        </w:tc>
        <w:tc>
          <w:tcPr>
            <w:tcW w:w="354" w:type="pct"/>
          </w:tcPr>
          <w:p w:rsidR="00000000" w:rsidRDefault="00000000">
            <w:pPr>
              <w:tabs>
                <w:tab w:val="decimal" w:pos="505"/>
              </w:tabs>
              <w:rPr>
                <w:sz w:val="22"/>
                <w:szCs w:val="20"/>
              </w:rPr>
            </w:pPr>
            <w:r>
              <w:rPr>
                <w:sz w:val="22"/>
                <w:szCs w:val="20"/>
              </w:rPr>
              <w:t>31</w:t>
            </w:r>
          </w:p>
        </w:tc>
        <w:tc>
          <w:tcPr>
            <w:tcW w:w="354" w:type="pct"/>
          </w:tcPr>
          <w:p w:rsidR="00000000" w:rsidRDefault="00000000">
            <w:pPr>
              <w:tabs>
                <w:tab w:val="decimal" w:pos="369"/>
              </w:tabs>
              <w:rPr>
                <w:sz w:val="22"/>
                <w:szCs w:val="20"/>
              </w:rPr>
            </w:pPr>
            <w:r>
              <w:rPr>
                <w:sz w:val="22"/>
                <w:szCs w:val="20"/>
              </w:rPr>
              <w:t>16,6</w:t>
            </w:r>
          </w:p>
        </w:tc>
        <w:tc>
          <w:tcPr>
            <w:tcW w:w="417" w:type="pct"/>
          </w:tcPr>
          <w:p w:rsidR="00000000" w:rsidRDefault="00000000">
            <w:pPr>
              <w:tabs>
                <w:tab w:val="decimal" w:pos="613"/>
              </w:tabs>
              <w:rPr>
                <w:sz w:val="22"/>
                <w:szCs w:val="20"/>
              </w:rPr>
            </w:pPr>
            <w:r>
              <w:rPr>
                <w:sz w:val="22"/>
                <w:szCs w:val="20"/>
              </w:rPr>
              <w:t>1.839</w:t>
            </w:r>
          </w:p>
        </w:tc>
        <w:tc>
          <w:tcPr>
            <w:tcW w:w="292" w:type="pct"/>
          </w:tcPr>
          <w:p w:rsidR="00000000" w:rsidRDefault="00000000">
            <w:pPr>
              <w:tabs>
                <w:tab w:val="decimal" w:pos="366"/>
              </w:tabs>
              <w:rPr>
                <w:sz w:val="22"/>
                <w:szCs w:val="20"/>
              </w:rPr>
            </w:pPr>
            <w:r>
              <w:rPr>
                <w:sz w:val="22"/>
                <w:szCs w:val="20"/>
              </w:rPr>
              <w:t>26</w:t>
            </w:r>
          </w:p>
        </w:tc>
        <w:tc>
          <w:tcPr>
            <w:tcW w:w="331" w:type="pct"/>
          </w:tcPr>
          <w:p w:rsidR="00000000" w:rsidRDefault="00000000">
            <w:pPr>
              <w:tabs>
                <w:tab w:val="decimal" w:pos="245"/>
              </w:tabs>
              <w:rPr>
                <w:sz w:val="22"/>
                <w:szCs w:val="20"/>
              </w:rPr>
            </w:pPr>
            <w:r>
              <w:rPr>
                <w:sz w:val="22"/>
                <w:szCs w:val="20"/>
              </w:rPr>
              <w:t>14,1</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I</w:t>
            </w:r>
          </w:p>
        </w:tc>
        <w:tc>
          <w:tcPr>
            <w:tcW w:w="417" w:type="pct"/>
          </w:tcPr>
          <w:p w:rsidR="00000000" w:rsidRDefault="00000000">
            <w:pPr>
              <w:tabs>
                <w:tab w:val="decimal" w:pos="591"/>
              </w:tabs>
              <w:rPr>
                <w:sz w:val="22"/>
                <w:szCs w:val="20"/>
              </w:rPr>
            </w:pPr>
            <w:r>
              <w:rPr>
                <w:sz w:val="22"/>
                <w:szCs w:val="20"/>
              </w:rPr>
              <w:t>3.707</w:t>
            </w:r>
          </w:p>
        </w:tc>
        <w:tc>
          <w:tcPr>
            <w:tcW w:w="354" w:type="pct"/>
          </w:tcPr>
          <w:p w:rsidR="00000000" w:rsidRDefault="00000000">
            <w:pPr>
              <w:tabs>
                <w:tab w:val="decimal" w:pos="484"/>
              </w:tabs>
              <w:rPr>
                <w:sz w:val="22"/>
                <w:szCs w:val="20"/>
              </w:rPr>
            </w:pPr>
            <w:r>
              <w:rPr>
                <w:sz w:val="22"/>
                <w:szCs w:val="20"/>
              </w:rPr>
              <w:t>57</w:t>
            </w:r>
          </w:p>
        </w:tc>
        <w:tc>
          <w:tcPr>
            <w:tcW w:w="354" w:type="pct"/>
          </w:tcPr>
          <w:p w:rsidR="00000000" w:rsidRDefault="00000000">
            <w:pPr>
              <w:tabs>
                <w:tab w:val="decimal" w:pos="312"/>
              </w:tabs>
              <w:rPr>
                <w:sz w:val="22"/>
                <w:szCs w:val="20"/>
              </w:rPr>
            </w:pPr>
            <w:r>
              <w:rPr>
                <w:sz w:val="22"/>
                <w:szCs w:val="20"/>
              </w:rPr>
              <w:t>15,4</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Alto Paraná</w:t>
            </w:r>
          </w:p>
        </w:tc>
        <w:tc>
          <w:tcPr>
            <w:tcW w:w="448" w:type="pct"/>
          </w:tcPr>
          <w:p w:rsidR="00000000" w:rsidRDefault="00000000">
            <w:pPr>
              <w:tabs>
                <w:tab w:val="decimal" w:pos="658"/>
              </w:tabs>
              <w:rPr>
                <w:sz w:val="22"/>
                <w:szCs w:val="20"/>
              </w:rPr>
            </w:pPr>
            <w:r>
              <w:rPr>
                <w:sz w:val="22"/>
                <w:szCs w:val="20"/>
              </w:rPr>
              <w:t>4.558</w:t>
            </w:r>
          </w:p>
        </w:tc>
        <w:tc>
          <w:tcPr>
            <w:tcW w:w="354" w:type="pct"/>
          </w:tcPr>
          <w:p w:rsidR="00000000" w:rsidRDefault="00000000">
            <w:pPr>
              <w:tabs>
                <w:tab w:val="decimal" w:pos="505"/>
              </w:tabs>
              <w:rPr>
                <w:sz w:val="22"/>
                <w:szCs w:val="20"/>
              </w:rPr>
            </w:pPr>
            <w:r>
              <w:rPr>
                <w:sz w:val="22"/>
                <w:szCs w:val="20"/>
              </w:rPr>
              <w:t>121</w:t>
            </w:r>
          </w:p>
        </w:tc>
        <w:tc>
          <w:tcPr>
            <w:tcW w:w="354" w:type="pct"/>
          </w:tcPr>
          <w:p w:rsidR="00000000" w:rsidRDefault="00000000">
            <w:pPr>
              <w:tabs>
                <w:tab w:val="decimal" w:pos="369"/>
              </w:tabs>
              <w:rPr>
                <w:sz w:val="22"/>
                <w:szCs w:val="20"/>
              </w:rPr>
            </w:pPr>
            <w:r>
              <w:rPr>
                <w:sz w:val="22"/>
                <w:szCs w:val="20"/>
              </w:rPr>
              <w:t>26,5</w:t>
            </w:r>
          </w:p>
        </w:tc>
        <w:tc>
          <w:tcPr>
            <w:tcW w:w="417" w:type="pct"/>
          </w:tcPr>
          <w:p w:rsidR="00000000" w:rsidRDefault="00000000">
            <w:pPr>
              <w:tabs>
                <w:tab w:val="decimal" w:pos="613"/>
              </w:tabs>
              <w:rPr>
                <w:sz w:val="22"/>
                <w:szCs w:val="20"/>
              </w:rPr>
            </w:pPr>
            <w:r>
              <w:rPr>
                <w:sz w:val="22"/>
                <w:szCs w:val="20"/>
              </w:rPr>
              <w:t>4.378</w:t>
            </w:r>
          </w:p>
        </w:tc>
        <w:tc>
          <w:tcPr>
            <w:tcW w:w="292" w:type="pct"/>
          </w:tcPr>
          <w:p w:rsidR="00000000" w:rsidRDefault="00000000">
            <w:pPr>
              <w:tabs>
                <w:tab w:val="decimal" w:pos="366"/>
              </w:tabs>
              <w:rPr>
                <w:sz w:val="22"/>
                <w:szCs w:val="20"/>
              </w:rPr>
            </w:pPr>
            <w:r>
              <w:rPr>
                <w:sz w:val="22"/>
                <w:szCs w:val="20"/>
              </w:rPr>
              <w:t>123</w:t>
            </w:r>
          </w:p>
        </w:tc>
        <w:tc>
          <w:tcPr>
            <w:tcW w:w="331" w:type="pct"/>
          </w:tcPr>
          <w:p w:rsidR="00000000" w:rsidRDefault="00000000">
            <w:pPr>
              <w:tabs>
                <w:tab w:val="decimal" w:pos="245"/>
              </w:tabs>
              <w:rPr>
                <w:sz w:val="22"/>
                <w:szCs w:val="20"/>
              </w:rPr>
            </w:pPr>
            <w:r>
              <w:rPr>
                <w:sz w:val="22"/>
                <w:szCs w:val="20"/>
              </w:rPr>
              <w:t>28,1</w:t>
            </w:r>
          </w:p>
        </w:tc>
        <w:tc>
          <w:tcPr>
            <w:tcW w:w="344" w:type="pct"/>
          </w:tcPr>
          <w:p w:rsidR="00000000" w:rsidRDefault="00000000">
            <w:pPr>
              <w:tabs>
                <w:tab w:val="decimal" w:pos="343"/>
              </w:tabs>
              <w:rPr>
                <w:sz w:val="22"/>
                <w:szCs w:val="20"/>
              </w:rPr>
            </w:pPr>
            <w:r>
              <w:rPr>
                <w:sz w:val="22"/>
                <w:szCs w:val="20"/>
              </w:rPr>
              <w:t>1</w:t>
            </w:r>
          </w:p>
        </w:tc>
        <w:tc>
          <w:tcPr>
            <w:tcW w:w="292" w:type="pct"/>
          </w:tcPr>
          <w:p w:rsidR="00000000" w:rsidRDefault="00000000">
            <w:pPr>
              <w:jc w:val="center"/>
              <w:rPr>
                <w:sz w:val="22"/>
              </w:rPr>
            </w:pPr>
            <w:r>
              <w:rPr>
                <w:sz w:val="22"/>
              </w:rPr>
              <w:t>2</w:t>
            </w:r>
          </w:p>
        </w:tc>
        <w:tc>
          <w:tcPr>
            <w:tcW w:w="331" w:type="pct"/>
          </w:tcPr>
          <w:p w:rsidR="00000000" w:rsidRDefault="00000000">
            <w:pPr>
              <w:jc w:val="center"/>
              <w:rPr>
                <w:sz w:val="22"/>
                <w:szCs w:val="20"/>
              </w:rPr>
            </w:pPr>
            <w:r>
              <w:rPr>
                <w:sz w:val="22"/>
                <w:szCs w:val="20"/>
              </w:rPr>
              <w:t>C</w:t>
            </w:r>
          </w:p>
        </w:tc>
        <w:tc>
          <w:tcPr>
            <w:tcW w:w="417" w:type="pct"/>
          </w:tcPr>
          <w:p w:rsidR="00000000" w:rsidRDefault="00000000">
            <w:pPr>
              <w:tabs>
                <w:tab w:val="decimal" w:pos="591"/>
              </w:tabs>
              <w:rPr>
                <w:sz w:val="22"/>
                <w:szCs w:val="20"/>
              </w:rPr>
            </w:pPr>
            <w:r>
              <w:rPr>
                <w:sz w:val="22"/>
                <w:szCs w:val="20"/>
              </w:rPr>
              <w:t>8.937</w:t>
            </w:r>
          </w:p>
        </w:tc>
        <w:tc>
          <w:tcPr>
            <w:tcW w:w="354" w:type="pct"/>
          </w:tcPr>
          <w:p w:rsidR="00000000" w:rsidRDefault="00000000">
            <w:pPr>
              <w:tabs>
                <w:tab w:val="decimal" w:pos="484"/>
              </w:tabs>
              <w:rPr>
                <w:sz w:val="22"/>
                <w:szCs w:val="20"/>
              </w:rPr>
            </w:pPr>
            <w:r>
              <w:rPr>
                <w:sz w:val="22"/>
                <w:szCs w:val="20"/>
              </w:rPr>
              <w:t>246</w:t>
            </w:r>
          </w:p>
        </w:tc>
        <w:tc>
          <w:tcPr>
            <w:tcW w:w="354" w:type="pct"/>
          </w:tcPr>
          <w:p w:rsidR="00000000" w:rsidRDefault="00000000">
            <w:pPr>
              <w:tabs>
                <w:tab w:val="decimal" w:pos="312"/>
              </w:tabs>
              <w:rPr>
                <w:sz w:val="22"/>
                <w:szCs w:val="20"/>
              </w:rPr>
            </w:pPr>
            <w:r>
              <w:rPr>
                <w:sz w:val="22"/>
                <w:szCs w:val="20"/>
              </w:rPr>
              <w:t>27,5</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Central</w:t>
            </w:r>
          </w:p>
        </w:tc>
        <w:tc>
          <w:tcPr>
            <w:tcW w:w="448" w:type="pct"/>
          </w:tcPr>
          <w:p w:rsidR="00000000" w:rsidRDefault="00000000">
            <w:pPr>
              <w:tabs>
                <w:tab w:val="decimal" w:pos="658"/>
              </w:tabs>
              <w:rPr>
                <w:sz w:val="22"/>
                <w:szCs w:val="20"/>
              </w:rPr>
            </w:pPr>
            <w:r>
              <w:rPr>
                <w:sz w:val="22"/>
                <w:szCs w:val="20"/>
              </w:rPr>
              <w:t>12.972</w:t>
            </w:r>
          </w:p>
        </w:tc>
        <w:tc>
          <w:tcPr>
            <w:tcW w:w="354" w:type="pct"/>
          </w:tcPr>
          <w:p w:rsidR="00000000" w:rsidRDefault="00000000">
            <w:pPr>
              <w:tabs>
                <w:tab w:val="decimal" w:pos="505"/>
              </w:tabs>
              <w:rPr>
                <w:sz w:val="22"/>
                <w:szCs w:val="20"/>
              </w:rPr>
            </w:pPr>
            <w:r>
              <w:rPr>
                <w:sz w:val="22"/>
                <w:szCs w:val="20"/>
              </w:rPr>
              <w:t>225</w:t>
            </w:r>
          </w:p>
        </w:tc>
        <w:tc>
          <w:tcPr>
            <w:tcW w:w="354" w:type="pct"/>
          </w:tcPr>
          <w:p w:rsidR="00000000" w:rsidRDefault="00000000">
            <w:pPr>
              <w:tabs>
                <w:tab w:val="decimal" w:pos="369"/>
              </w:tabs>
              <w:rPr>
                <w:sz w:val="22"/>
                <w:szCs w:val="20"/>
              </w:rPr>
            </w:pPr>
            <w:r>
              <w:rPr>
                <w:sz w:val="22"/>
                <w:szCs w:val="20"/>
              </w:rPr>
              <w:t>17,3</w:t>
            </w:r>
          </w:p>
        </w:tc>
        <w:tc>
          <w:tcPr>
            <w:tcW w:w="417" w:type="pct"/>
          </w:tcPr>
          <w:p w:rsidR="00000000" w:rsidRDefault="00000000">
            <w:pPr>
              <w:tabs>
                <w:tab w:val="decimal" w:pos="613"/>
              </w:tabs>
              <w:rPr>
                <w:sz w:val="22"/>
                <w:szCs w:val="20"/>
              </w:rPr>
            </w:pPr>
            <w:r>
              <w:rPr>
                <w:sz w:val="22"/>
                <w:szCs w:val="20"/>
              </w:rPr>
              <w:t>12.573</w:t>
            </w:r>
          </w:p>
        </w:tc>
        <w:tc>
          <w:tcPr>
            <w:tcW w:w="292" w:type="pct"/>
          </w:tcPr>
          <w:p w:rsidR="00000000" w:rsidRDefault="00000000">
            <w:pPr>
              <w:tabs>
                <w:tab w:val="decimal" w:pos="366"/>
              </w:tabs>
              <w:rPr>
                <w:sz w:val="22"/>
                <w:szCs w:val="20"/>
              </w:rPr>
            </w:pPr>
            <w:r>
              <w:rPr>
                <w:sz w:val="22"/>
                <w:szCs w:val="20"/>
              </w:rPr>
              <w:t>173</w:t>
            </w:r>
          </w:p>
        </w:tc>
        <w:tc>
          <w:tcPr>
            <w:tcW w:w="331" w:type="pct"/>
          </w:tcPr>
          <w:p w:rsidR="00000000" w:rsidRDefault="00000000">
            <w:pPr>
              <w:tabs>
                <w:tab w:val="decimal" w:pos="245"/>
              </w:tabs>
              <w:rPr>
                <w:sz w:val="22"/>
                <w:szCs w:val="20"/>
              </w:rPr>
            </w:pPr>
            <w:r>
              <w:rPr>
                <w:sz w:val="22"/>
                <w:szCs w:val="20"/>
              </w:rPr>
              <w:t>13,8</w:t>
            </w:r>
          </w:p>
        </w:tc>
        <w:tc>
          <w:tcPr>
            <w:tcW w:w="344" w:type="pct"/>
          </w:tcPr>
          <w:p w:rsidR="00000000" w:rsidRDefault="00000000">
            <w:pPr>
              <w:tabs>
                <w:tab w:val="decimal" w:pos="343"/>
              </w:tabs>
              <w:rPr>
                <w:sz w:val="22"/>
                <w:szCs w:val="20"/>
              </w:rPr>
            </w:pPr>
            <w:r>
              <w:rPr>
                <w:sz w:val="22"/>
                <w:szCs w:val="20"/>
              </w:rPr>
              <w:t>2</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A</w:t>
            </w:r>
          </w:p>
        </w:tc>
        <w:tc>
          <w:tcPr>
            <w:tcW w:w="417" w:type="pct"/>
          </w:tcPr>
          <w:p w:rsidR="00000000" w:rsidRDefault="00000000">
            <w:pPr>
              <w:tabs>
                <w:tab w:val="decimal" w:pos="591"/>
              </w:tabs>
              <w:rPr>
                <w:sz w:val="22"/>
                <w:szCs w:val="20"/>
              </w:rPr>
            </w:pPr>
            <w:r>
              <w:rPr>
                <w:sz w:val="22"/>
                <w:szCs w:val="20"/>
              </w:rPr>
              <w:t>25.557</w:t>
            </w:r>
          </w:p>
        </w:tc>
        <w:tc>
          <w:tcPr>
            <w:tcW w:w="354" w:type="pct"/>
          </w:tcPr>
          <w:p w:rsidR="00000000" w:rsidRDefault="00000000">
            <w:pPr>
              <w:tabs>
                <w:tab w:val="decimal" w:pos="484"/>
              </w:tabs>
              <w:rPr>
                <w:sz w:val="22"/>
                <w:szCs w:val="20"/>
              </w:rPr>
            </w:pPr>
            <w:r>
              <w:rPr>
                <w:sz w:val="22"/>
                <w:szCs w:val="20"/>
              </w:rPr>
              <w:t>398</w:t>
            </w:r>
          </w:p>
        </w:tc>
        <w:tc>
          <w:tcPr>
            <w:tcW w:w="354" w:type="pct"/>
          </w:tcPr>
          <w:p w:rsidR="00000000" w:rsidRDefault="00000000">
            <w:pPr>
              <w:tabs>
                <w:tab w:val="decimal" w:pos="312"/>
              </w:tabs>
              <w:rPr>
                <w:sz w:val="22"/>
                <w:szCs w:val="20"/>
              </w:rPr>
            </w:pPr>
            <w:r>
              <w:rPr>
                <w:sz w:val="22"/>
                <w:szCs w:val="20"/>
              </w:rPr>
              <w:t>15,6</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Ñeembucú</w:t>
            </w:r>
          </w:p>
        </w:tc>
        <w:tc>
          <w:tcPr>
            <w:tcW w:w="448" w:type="pct"/>
          </w:tcPr>
          <w:p w:rsidR="00000000" w:rsidRDefault="00000000">
            <w:pPr>
              <w:tabs>
                <w:tab w:val="decimal" w:pos="658"/>
              </w:tabs>
              <w:rPr>
                <w:sz w:val="22"/>
                <w:szCs w:val="20"/>
                <w:lang w:val="en-US"/>
              </w:rPr>
            </w:pPr>
            <w:r>
              <w:rPr>
                <w:sz w:val="22"/>
                <w:szCs w:val="20"/>
                <w:lang w:val="en-US"/>
              </w:rPr>
              <w:t>542</w:t>
            </w:r>
          </w:p>
        </w:tc>
        <w:tc>
          <w:tcPr>
            <w:tcW w:w="354" w:type="pct"/>
          </w:tcPr>
          <w:p w:rsidR="00000000" w:rsidRDefault="00000000">
            <w:pPr>
              <w:tabs>
                <w:tab w:val="decimal" w:pos="505"/>
              </w:tabs>
              <w:rPr>
                <w:sz w:val="22"/>
                <w:szCs w:val="20"/>
                <w:lang w:val="en-US"/>
              </w:rPr>
            </w:pPr>
            <w:r>
              <w:rPr>
                <w:sz w:val="22"/>
                <w:szCs w:val="20"/>
                <w:lang w:val="en-US"/>
              </w:rPr>
              <w:t>9</w:t>
            </w:r>
          </w:p>
        </w:tc>
        <w:tc>
          <w:tcPr>
            <w:tcW w:w="354" w:type="pct"/>
          </w:tcPr>
          <w:p w:rsidR="00000000" w:rsidRDefault="00000000">
            <w:pPr>
              <w:tabs>
                <w:tab w:val="decimal" w:pos="369"/>
              </w:tabs>
              <w:rPr>
                <w:sz w:val="22"/>
                <w:szCs w:val="20"/>
                <w:lang w:val="en-US"/>
              </w:rPr>
            </w:pPr>
            <w:r>
              <w:rPr>
                <w:sz w:val="22"/>
                <w:szCs w:val="20"/>
                <w:lang w:val="en-US"/>
              </w:rPr>
              <w:t>16,6</w:t>
            </w:r>
          </w:p>
        </w:tc>
        <w:tc>
          <w:tcPr>
            <w:tcW w:w="417" w:type="pct"/>
          </w:tcPr>
          <w:p w:rsidR="00000000" w:rsidRDefault="00000000">
            <w:pPr>
              <w:tabs>
                <w:tab w:val="decimal" w:pos="613"/>
              </w:tabs>
              <w:rPr>
                <w:sz w:val="22"/>
                <w:szCs w:val="20"/>
                <w:lang w:val="en-US"/>
              </w:rPr>
            </w:pPr>
            <w:r>
              <w:rPr>
                <w:sz w:val="22"/>
                <w:szCs w:val="20"/>
                <w:lang w:val="en-US"/>
              </w:rPr>
              <w:t>543</w:t>
            </w:r>
          </w:p>
        </w:tc>
        <w:tc>
          <w:tcPr>
            <w:tcW w:w="292" w:type="pct"/>
          </w:tcPr>
          <w:p w:rsidR="00000000" w:rsidRDefault="00000000">
            <w:pPr>
              <w:tabs>
                <w:tab w:val="decimal" w:pos="366"/>
              </w:tabs>
              <w:rPr>
                <w:sz w:val="22"/>
                <w:szCs w:val="20"/>
                <w:lang w:val="en-US"/>
              </w:rPr>
            </w:pPr>
            <w:r>
              <w:rPr>
                <w:sz w:val="22"/>
                <w:szCs w:val="20"/>
                <w:lang w:val="en-US"/>
              </w:rPr>
              <w:t>11</w:t>
            </w:r>
          </w:p>
        </w:tc>
        <w:tc>
          <w:tcPr>
            <w:tcW w:w="331" w:type="pct"/>
          </w:tcPr>
          <w:p w:rsidR="00000000" w:rsidRDefault="00000000">
            <w:pPr>
              <w:tabs>
                <w:tab w:val="decimal" w:pos="245"/>
              </w:tabs>
              <w:rPr>
                <w:sz w:val="22"/>
                <w:szCs w:val="20"/>
                <w:lang w:val="en-US"/>
              </w:rPr>
            </w:pPr>
            <w:r>
              <w:rPr>
                <w:sz w:val="22"/>
                <w:szCs w:val="20"/>
                <w:lang w:val="en-US"/>
              </w:rPr>
              <w:t>20,3</w:t>
            </w:r>
          </w:p>
        </w:tc>
        <w:tc>
          <w:tcPr>
            <w:tcW w:w="344" w:type="pct"/>
          </w:tcPr>
          <w:p w:rsidR="00000000" w:rsidRDefault="00000000">
            <w:pPr>
              <w:tabs>
                <w:tab w:val="decimal" w:pos="343"/>
              </w:tabs>
              <w:rPr>
                <w:sz w:val="22"/>
                <w:szCs w:val="20"/>
                <w:lang w:val="en-US"/>
              </w:rPr>
            </w:pPr>
            <w:r>
              <w:rPr>
                <w:sz w:val="22"/>
                <w:szCs w:val="20"/>
                <w:lang w:val="en-US"/>
              </w:rPr>
              <w:t>0</w:t>
            </w:r>
          </w:p>
        </w:tc>
        <w:tc>
          <w:tcPr>
            <w:tcW w:w="292" w:type="pct"/>
          </w:tcPr>
          <w:p w:rsidR="00000000" w:rsidRDefault="00000000">
            <w:pPr>
              <w:jc w:val="center"/>
              <w:rPr>
                <w:sz w:val="22"/>
                <w:lang w:val="en-US"/>
              </w:rPr>
            </w:pPr>
            <w:r>
              <w:rPr>
                <w:sz w:val="22"/>
                <w:szCs w:val="20"/>
                <w:lang w:val="en-US"/>
              </w:rPr>
              <w:t>0</w:t>
            </w:r>
          </w:p>
        </w:tc>
        <w:tc>
          <w:tcPr>
            <w:tcW w:w="331" w:type="pct"/>
          </w:tcPr>
          <w:p w:rsidR="00000000" w:rsidRDefault="00000000">
            <w:pPr>
              <w:jc w:val="center"/>
              <w:rPr>
                <w:sz w:val="22"/>
                <w:szCs w:val="20"/>
                <w:lang w:val="en-US"/>
              </w:rPr>
            </w:pPr>
            <w:r>
              <w:rPr>
                <w:sz w:val="22"/>
                <w:szCs w:val="20"/>
                <w:lang w:val="en-US"/>
              </w:rPr>
              <w:t>B</w:t>
            </w:r>
          </w:p>
        </w:tc>
        <w:tc>
          <w:tcPr>
            <w:tcW w:w="417" w:type="pct"/>
          </w:tcPr>
          <w:p w:rsidR="00000000" w:rsidRDefault="00000000">
            <w:pPr>
              <w:tabs>
                <w:tab w:val="decimal" w:pos="591"/>
              </w:tabs>
              <w:rPr>
                <w:sz w:val="22"/>
                <w:szCs w:val="20"/>
                <w:lang w:val="en-US"/>
              </w:rPr>
            </w:pPr>
            <w:r>
              <w:rPr>
                <w:sz w:val="22"/>
                <w:szCs w:val="20"/>
                <w:lang w:val="en-US"/>
              </w:rPr>
              <w:t>1.085</w:t>
            </w:r>
          </w:p>
        </w:tc>
        <w:tc>
          <w:tcPr>
            <w:tcW w:w="354" w:type="pct"/>
          </w:tcPr>
          <w:p w:rsidR="00000000" w:rsidRDefault="00000000">
            <w:pPr>
              <w:tabs>
                <w:tab w:val="decimal" w:pos="484"/>
              </w:tabs>
              <w:rPr>
                <w:sz w:val="22"/>
                <w:szCs w:val="20"/>
                <w:lang w:val="en-US"/>
              </w:rPr>
            </w:pPr>
            <w:r>
              <w:rPr>
                <w:sz w:val="22"/>
                <w:szCs w:val="20"/>
                <w:lang w:val="en-US"/>
              </w:rPr>
              <w:t>20</w:t>
            </w:r>
          </w:p>
        </w:tc>
        <w:tc>
          <w:tcPr>
            <w:tcW w:w="354" w:type="pct"/>
          </w:tcPr>
          <w:p w:rsidR="00000000" w:rsidRDefault="00000000">
            <w:pPr>
              <w:tabs>
                <w:tab w:val="decimal" w:pos="312"/>
              </w:tabs>
              <w:rPr>
                <w:sz w:val="22"/>
                <w:szCs w:val="20"/>
                <w:lang w:val="en-US"/>
              </w:rPr>
            </w:pPr>
            <w:r>
              <w:rPr>
                <w:sz w:val="22"/>
                <w:szCs w:val="20"/>
                <w:lang w:val="en-US"/>
              </w:rPr>
              <w:t>18,4</w:t>
            </w:r>
          </w:p>
        </w:tc>
      </w:tr>
      <w:tr w:rsidR="00000000">
        <w:tblPrEx>
          <w:tblCellMar>
            <w:top w:w="0" w:type="dxa"/>
            <w:bottom w:w="0" w:type="dxa"/>
          </w:tblCellMar>
        </w:tblPrEx>
        <w:trPr>
          <w:jc w:val="center"/>
        </w:trPr>
        <w:tc>
          <w:tcPr>
            <w:tcW w:w="714" w:type="pct"/>
          </w:tcPr>
          <w:p w:rsidR="00000000" w:rsidRDefault="00000000">
            <w:pPr>
              <w:rPr>
                <w:sz w:val="22"/>
                <w:szCs w:val="20"/>
                <w:lang w:val="en-US"/>
              </w:rPr>
            </w:pPr>
            <w:r>
              <w:rPr>
                <w:sz w:val="22"/>
                <w:szCs w:val="20"/>
                <w:lang w:val="en-US"/>
              </w:rPr>
              <w:t>Amambay</w:t>
            </w:r>
          </w:p>
        </w:tc>
        <w:tc>
          <w:tcPr>
            <w:tcW w:w="448" w:type="pct"/>
          </w:tcPr>
          <w:p w:rsidR="00000000" w:rsidRDefault="00000000">
            <w:pPr>
              <w:tabs>
                <w:tab w:val="decimal" w:pos="658"/>
              </w:tabs>
              <w:rPr>
                <w:sz w:val="22"/>
                <w:szCs w:val="20"/>
                <w:lang w:val="en-US"/>
              </w:rPr>
            </w:pPr>
            <w:r>
              <w:rPr>
                <w:sz w:val="22"/>
                <w:szCs w:val="20"/>
                <w:lang w:val="en-US"/>
              </w:rPr>
              <w:t>721</w:t>
            </w:r>
          </w:p>
        </w:tc>
        <w:tc>
          <w:tcPr>
            <w:tcW w:w="354" w:type="pct"/>
          </w:tcPr>
          <w:p w:rsidR="00000000" w:rsidRDefault="00000000">
            <w:pPr>
              <w:tabs>
                <w:tab w:val="decimal" w:pos="505"/>
              </w:tabs>
              <w:rPr>
                <w:sz w:val="22"/>
                <w:szCs w:val="20"/>
                <w:lang w:val="en-US"/>
              </w:rPr>
            </w:pPr>
            <w:r>
              <w:rPr>
                <w:sz w:val="22"/>
                <w:szCs w:val="20"/>
                <w:lang w:val="en-US"/>
              </w:rPr>
              <w:t>17</w:t>
            </w:r>
          </w:p>
        </w:tc>
        <w:tc>
          <w:tcPr>
            <w:tcW w:w="354" w:type="pct"/>
          </w:tcPr>
          <w:p w:rsidR="00000000" w:rsidRDefault="00000000">
            <w:pPr>
              <w:tabs>
                <w:tab w:val="decimal" w:pos="369"/>
              </w:tabs>
              <w:rPr>
                <w:sz w:val="22"/>
                <w:szCs w:val="20"/>
                <w:lang w:val="en-US"/>
              </w:rPr>
            </w:pPr>
            <w:r>
              <w:rPr>
                <w:sz w:val="22"/>
                <w:szCs w:val="20"/>
                <w:lang w:val="en-US"/>
              </w:rPr>
              <w:t>23,6</w:t>
            </w:r>
          </w:p>
        </w:tc>
        <w:tc>
          <w:tcPr>
            <w:tcW w:w="417" w:type="pct"/>
          </w:tcPr>
          <w:p w:rsidR="00000000" w:rsidRDefault="00000000">
            <w:pPr>
              <w:tabs>
                <w:tab w:val="decimal" w:pos="613"/>
              </w:tabs>
              <w:rPr>
                <w:sz w:val="22"/>
                <w:szCs w:val="20"/>
                <w:lang w:val="en-US"/>
              </w:rPr>
            </w:pPr>
            <w:r>
              <w:rPr>
                <w:sz w:val="22"/>
                <w:szCs w:val="20"/>
                <w:lang w:val="en-US"/>
              </w:rPr>
              <w:t>637</w:t>
            </w:r>
          </w:p>
        </w:tc>
        <w:tc>
          <w:tcPr>
            <w:tcW w:w="292" w:type="pct"/>
          </w:tcPr>
          <w:p w:rsidR="00000000" w:rsidRDefault="00000000">
            <w:pPr>
              <w:tabs>
                <w:tab w:val="decimal" w:pos="366"/>
              </w:tabs>
              <w:rPr>
                <w:sz w:val="22"/>
                <w:szCs w:val="20"/>
                <w:lang w:val="en-US"/>
              </w:rPr>
            </w:pPr>
            <w:r>
              <w:rPr>
                <w:sz w:val="22"/>
                <w:szCs w:val="20"/>
                <w:lang w:val="en-US"/>
              </w:rPr>
              <w:t>22</w:t>
            </w:r>
          </w:p>
        </w:tc>
        <w:tc>
          <w:tcPr>
            <w:tcW w:w="331" w:type="pct"/>
          </w:tcPr>
          <w:p w:rsidR="00000000" w:rsidRDefault="00000000">
            <w:pPr>
              <w:tabs>
                <w:tab w:val="decimal" w:pos="245"/>
              </w:tabs>
              <w:rPr>
                <w:sz w:val="22"/>
                <w:szCs w:val="20"/>
                <w:lang w:val="en-US"/>
              </w:rPr>
            </w:pPr>
            <w:r>
              <w:rPr>
                <w:sz w:val="22"/>
                <w:szCs w:val="20"/>
                <w:lang w:val="en-US"/>
              </w:rPr>
              <w:t>34,5</w:t>
            </w:r>
          </w:p>
        </w:tc>
        <w:tc>
          <w:tcPr>
            <w:tcW w:w="344" w:type="pct"/>
          </w:tcPr>
          <w:p w:rsidR="00000000" w:rsidRDefault="00000000">
            <w:pPr>
              <w:tabs>
                <w:tab w:val="decimal" w:pos="343"/>
              </w:tabs>
              <w:rPr>
                <w:sz w:val="22"/>
                <w:szCs w:val="20"/>
                <w:lang w:val="en-US"/>
              </w:rPr>
            </w:pPr>
            <w:r>
              <w:rPr>
                <w:sz w:val="22"/>
                <w:szCs w:val="20"/>
                <w:lang w:val="en-US"/>
              </w:rPr>
              <w:t>0</w:t>
            </w:r>
          </w:p>
        </w:tc>
        <w:tc>
          <w:tcPr>
            <w:tcW w:w="292" w:type="pct"/>
          </w:tcPr>
          <w:p w:rsidR="00000000" w:rsidRDefault="00000000">
            <w:pPr>
              <w:jc w:val="center"/>
              <w:rPr>
                <w:sz w:val="22"/>
                <w:lang w:val="en-US"/>
              </w:rPr>
            </w:pPr>
            <w:r>
              <w:rPr>
                <w:sz w:val="22"/>
                <w:szCs w:val="20"/>
                <w:lang w:val="en-US"/>
              </w:rPr>
              <w:t>0</w:t>
            </w:r>
          </w:p>
        </w:tc>
        <w:tc>
          <w:tcPr>
            <w:tcW w:w="331" w:type="pct"/>
          </w:tcPr>
          <w:p w:rsidR="00000000" w:rsidRDefault="00000000">
            <w:pPr>
              <w:jc w:val="center"/>
              <w:rPr>
                <w:sz w:val="22"/>
                <w:szCs w:val="20"/>
                <w:lang w:val="en-US"/>
              </w:rPr>
            </w:pPr>
            <w:r>
              <w:rPr>
                <w:sz w:val="22"/>
                <w:szCs w:val="20"/>
                <w:lang w:val="en-US"/>
              </w:rPr>
              <w:t>L</w:t>
            </w:r>
          </w:p>
        </w:tc>
        <w:tc>
          <w:tcPr>
            <w:tcW w:w="417" w:type="pct"/>
          </w:tcPr>
          <w:p w:rsidR="00000000" w:rsidRDefault="00000000">
            <w:pPr>
              <w:tabs>
                <w:tab w:val="decimal" w:pos="591"/>
              </w:tabs>
              <w:rPr>
                <w:sz w:val="22"/>
                <w:szCs w:val="20"/>
              </w:rPr>
            </w:pPr>
            <w:r>
              <w:rPr>
                <w:sz w:val="22"/>
                <w:szCs w:val="20"/>
              </w:rPr>
              <w:t>1.358</w:t>
            </w:r>
          </w:p>
        </w:tc>
        <w:tc>
          <w:tcPr>
            <w:tcW w:w="354" w:type="pct"/>
          </w:tcPr>
          <w:p w:rsidR="00000000" w:rsidRDefault="00000000">
            <w:pPr>
              <w:tabs>
                <w:tab w:val="decimal" w:pos="484"/>
              </w:tabs>
              <w:rPr>
                <w:sz w:val="22"/>
                <w:szCs w:val="20"/>
              </w:rPr>
            </w:pPr>
            <w:r>
              <w:rPr>
                <w:sz w:val="22"/>
                <w:szCs w:val="20"/>
              </w:rPr>
              <w:t>39</w:t>
            </w:r>
          </w:p>
        </w:tc>
        <w:tc>
          <w:tcPr>
            <w:tcW w:w="354" w:type="pct"/>
          </w:tcPr>
          <w:p w:rsidR="00000000" w:rsidRDefault="00000000">
            <w:pPr>
              <w:tabs>
                <w:tab w:val="decimal" w:pos="312"/>
              </w:tabs>
              <w:rPr>
                <w:sz w:val="22"/>
                <w:szCs w:val="20"/>
              </w:rPr>
            </w:pPr>
            <w:r>
              <w:rPr>
                <w:sz w:val="22"/>
                <w:szCs w:val="20"/>
              </w:rPr>
              <w:t>28,7</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Canindeyú</w:t>
            </w:r>
          </w:p>
        </w:tc>
        <w:tc>
          <w:tcPr>
            <w:tcW w:w="448" w:type="pct"/>
          </w:tcPr>
          <w:p w:rsidR="00000000" w:rsidRDefault="00000000">
            <w:pPr>
              <w:tabs>
                <w:tab w:val="decimal" w:pos="658"/>
              </w:tabs>
              <w:rPr>
                <w:sz w:val="22"/>
                <w:szCs w:val="20"/>
              </w:rPr>
            </w:pPr>
            <w:r>
              <w:rPr>
                <w:sz w:val="22"/>
                <w:szCs w:val="20"/>
              </w:rPr>
              <w:t>775</w:t>
            </w:r>
          </w:p>
        </w:tc>
        <w:tc>
          <w:tcPr>
            <w:tcW w:w="354" w:type="pct"/>
          </w:tcPr>
          <w:p w:rsidR="00000000" w:rsidRDefault="00000000">
            <w:pPr>
              <w:tabs>
                <w:tab w:val="decimal" w:pos="505"/>
              </w:tabs>
              <w:rPr>
                <w:sz w:val="22"/>
                <w:szCs w:val="20"/>
              </w:rPr>
            </w:pPr>
            <w:r>
              <w:rPr>
                <w:sz w:val="22"/>
                <w:szCs w:val="20"/>
              </w:rPr>
              <w:t>19</w:t>
            </w:r>
          </w:p>
        </w:tc>
        <w:tc>
          <w:tcPr>
            <w:tcW w:w="354" w:type="pct"/>
          </w:tcPr>
          <w:p w:rsidR="00000000" w:rsidRDefault="00000000">
            <w:pPr>
              <w:tabs>
                <w:tab w:val="decimal" w:pos="369"/>
              </w:tabs>
              <w:rPr>
                <w:sz w:val="22"/>
                <w:szCs w:val="20"/>
              </w:rPr>
            </w:pPr>
            <w:r>
              <w:rPr>
                <w:sz w:val="22"/>
                <w:szCs w:val="20"/>
              </w:rPr>
              <w:t>24,5</w:t>
            </w:r>
          </w:p>
        </w:tc>
        <w:tc>
          <w:tcPr>
            <w:tcW w:w="417" w:type="pct"/>
          </w:tcPr>
          <w:p w:rsidR="00000000" w:rsidRDefault="00000000">
            <w:pPr>
              <w:tabs>
                <w:tab w:val="decimal" w:pos="613"/>
              </w:tabs>
              <w:rPr>
                <w:sz w:val="22"/>
                <w:szCs w:val="20"/>
              </w:rPr>
            </w:pPr>
            <w:r>
              <w:rPr>
                <w:sz w:val="22"/>
                <w:szCs w:val="20"/>
              </w:rPr>
              <w:t>754</w:t>
            </w:r>
          </w:p>
        </w:tc>
        <w:tc>
          <w:tcPr>
            <w:tcW w:w="292" w:type="pct"/>
          </w:tcPr>
          <w:p w:rsidR="00000000" w:rsidRDefault="00000000">
            <w:pPr>
              <w:tabs>
                <w:tab w:val="decimal" w:pos="366"/>
              </w:tabs>
              <w:rPr>
                <w:sz w:val="22"/>
                <w:szCs w:val="20"/>
              </w:rPr>
            </w:pPr>
            <w:r>
              <w:rPr>
                <w:sz w:val="22"/>
                <w:szCs w:val="20"/>
              </w:rPr>
              <w:t>12</w:t>
            </w:r>
          </w:p>
        </w:tc>
        <w:tc>
          <w:tcPr>
            <w:tcW w:w="331" w:type="pct"/>
          </w:tcPr>
          <w:p w:rsidR="00000000" w:rsidRDefault="00000000">
            <w:pPr>
              <w:tabs>
                <w:tab w:val="decimal" w:pos="245"/>
              </w:tabs>
              <w:rPr>
                <w:sz w:val="22"/>
                <w:szCs w:val="20"/>
              </w:rPr>
            </w:pPr>
            <w:r>
              <w:rPr>
                <w:sz w:val="22"/>
                <w:szCs w:val="20"/>
              </w:rPr>
              <w:t>15,9</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rPr>
                <w:sz w:val="22"/>
                <w:szCs w:val="20"/>
              </w:rPr>
            </w:pPr>
            <w:r>
              <w:rPr>
                <w:sz w:val="22"/>
                <w:szCs w:val="20"/>
              </w:rPr>
              <w:t>E</w:t>
            </w:r>
          </w:p>
        </w:tc>
        <w:tc>
          <w:tcPr>
            <w:tcW w:w="417" w:type="pct"/>
          </w:tcPr>
          <w:p w:rsidR="00000000" w:rsidRDefault="00000000">
            <w:pPr>
              <w:tabs>
                <w:tab w:val="decimal" w:pos="591"/>
              </w:tabs>
              <w:rPr>
                <w:sz w:val="22"/>
                <w:szCs w:val="20"/>
              </w:rPr>
            </w:pPr>
            <w:r>
              <w:rPr>
                <w:sz w:val="22"/>
                <w:szCs w:val="20"/>
              </w:rPr>
              <w:t>1.529</w:t>
            </w:r>
          </w:p>
        </w:tc>
        <w:tc>
          <w:tcPr>
            <w:tcW w:w="354" w:type="pct"/>
          </w:tcPr>
          <w:p w:rsidR="00000000" w:rsidRDefault="00000000">
            <w:pPr>
              <w:tabs>
                <w:tab w:val="decimal" w:pos="484"/>
              </w:tabs>
              <w:rPr>
                <w:sz w:val="22"/>
                <w:szCs w:val="20"/>
              </w:rPr>
            </w:pPr>
            <w:r>
              <w:rPr>
                <w:sz w:val="22"/>
                <w:szCs w:val="20"/>
              </w:rPr>
              <w:t>31</w:t>
            </w:r>
          </w:p>
        </w:tc>
        <w:tc>
          <w:tcPr>
            <w:tcW w:w="354" w:type="pct"/>
          </w:tcPr>
          <w:p w:rsidR="00000000" w:rsidRDefault="00000000">
            <w:pPr>
              <w:tabs>
                <w:tab w:val="decimal" w:pos="312"/>
              </w:tabs>
              <w:rPr>
                <w:sz w:val="22"/>
                <w:szCs w:val="20"/>
              </w:rPr>
            </w:pPr>
            <w:r>
              <w:rPr>
                <w:sz w:val="22"/>
                <w:szCs w:val="20"/>
              </w:rPr>
              <w:t>20,3</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Presidente Hayes</w:t>
            </w:r>
          </w:p>
        </w:tc>
        <w:tc>
          <w:tcPr>
            <w:tcW w:w="448" w:type="pct"/>
            <w:vAlign w:val="bottom"/>
          </w:tcPr>
          <w:p w:rsidR="00000000" w:rsidRDefault="00000000">
            <w:pPr>
              <w:tabs>
                <w:tab w:val="decimal" w:pos="658"/>
              </w:tabs>
              <w:rPr>
                <w:sz w:val="22"/>
                <w:szCs w:val="20"/>
              </w:rPr>
            </w:pPr>
            <w:r>
              <w:rPr>
                <w:sz w:val="22"/>
                <w:szCs w:val="20"/>
              </w:rPr>
              <w:t>682</w:t>
            </w:r>
          </w:p>
        </w:tc>
        <w:tc>
          <w:tcPr>
            <w:tcW w:w="354" w:type="pct"/>
            <w:vAlign w:val="bottom"/>
          </w:tcPr>
          <w:p w:rsidR="00000000" w:rsidRDefault="00000000">
            <w:pPr>
              <w:tabs>
                <w:tab w:val="decimal" w:pos="505"/>
              </w:tabs>
              <w:rPr>
                <w:sz w:val="22"/>
                <w:szCs w:val="20"/>
              </w:rPr>
            </w:pPr>
            <w:r>
              <w:rPr>
                <w:sz w:val="22"/>
                <w:szCs w:val="20"/>
              </w:rPr>
              <w:t>15</w:t>
            </w:r>
          </w:p>
        </w:tc>
        <w:tc>
          <w:tcPr>
            <w:tcW w:w="354" w:type="pct"/>
            <w:vAlign w:val="bottom"/>
          </w:tcPr>
          <w:p w:rsidR="00000000" w:rsidRDefault="00000000">
            <w:pPr>
              <w:tabs>
                <w:tab w:val="decimal" w:pos="369"/>
              </w:tabs>
              <w:rPr>
                <w:sz w:val="22"/>
                <w:szCs w:val="20"/>
              </w:rPr>
            </w:pPr>
            <w:r>
              <w:rPr>
                <w:sz w:val="22"/>
                <w:szCs w:val="20"/>
              </w:rPr>
              <w:t>22,0</w:t>
            </w:r>
          </w:p>
        </w:tc>
        <w:tc>
          <w:tcPr>
            <w:tcW w:w="417" w:type="pct"/>
            <w:vAlign w:val="bottom"/>
          </w:tcPr>
          <w:p w:rsidR="00000000" w:rsidRDefault="00000000">
            <w:pPr>
              <w:tabs>
                <w:tab w:val="decimal" w:pos="613"/>
              </w:tabs>
              <w:rPr>
                <w:sz w:val="22"/>
                <w:szCs w:val="20"/>
              </w:rPr>
            </w:pPr>
            <w:r>
              <w:rPr>
                <w:sz w:val="22"/>
                <w:szCs w:val="20"/>
              </w:rPr>
              <w:t>613</w:t>
            </w:r>
          </w:p>
        </w:tc>
        <w:tc>
          <w:tcPr>
            <w:tcW w:w="292" w:type="pct"/>
            <w:vAlign w:val="bottom"/>
          </w:tcPr>
          <w:p w:rsidR="00000000" w:rsidRDefault="00000000">
            <w:pPr>
              <w:tabs>
                <w:tab w:val="decimal" w:pos="366"/>
              </w:tabs>
              <w:rPr>
                <w:sz w:val="22"/>
                <w:szCs w:val="20"/>
              </w:rPr>
            </w:pPr>
            <w:r>
              <w:rPr>
                <w:sz w:val="22"/>
                <w:szCs w:val="20"/>
              </w:rPr>
              <w:t>14</w:t>
            </w:r>
          </w:p>
        </w:tc>
        <w:tc>
          <w:tcPr>
            <w:tcW w:w="331" w:type="pct"/>
            <w:vAlign w:val="bottom"/>
          </w:tcPr>
          <w:p w:rsidR="00000000" w:rsidRDefault="00000000">
            <w:pPr>
              <w:tabs>
                <w:tab w:val="decimal" w:pos="245"/>
              </w:tabs>
              <w:rPr>
                <w:sz w:val="22"/>
                <w:szCs w:val="20"/>
              </w:rPr>
            </w:pPr>
            <w:r>
              <w:rPr>
                <w:sz w:val="22"/>
                <w:szCs w:val="20"/>
              </w:rPr>
              <w:t>22,8</w:t>
            </w:r>
          </w:p>
        </w:tc>
        <w:tc>
          <w:tcPr>
            <w:tcW w:w="344" w:type="pct"/>
            <w:vAlign w:val="bottom"/>
          </w:tcPr>
          <w:p w:rsidR="00000000" w:rsidRDefault="00000000">
            <w:pPr>
              <w:tabs>
                <w:tab w:val="decimal" w:pos="343"/>
              </w:tabs>
              <w:rPr>
                <w:sz w:val="22"/>
                <w:szCs w:val="20"/>
              </w:rPr>
            </w:pPr>
            <w:r>
              <w:rPr>
                <w:sz w:val="22"/>
                <w:szCs w:val="20"/>
              </w:rPr>
              <w:t>0</w:t>
            </w:r>
          </w:p>
        </w:tc>
        <w:tc>
          <w:tcPr>
            <w:tcW w:w="292" w:type="pct"/>
            <w:vAlign w:val="bottom"/>
          </w:tcPr>
          <w:p w:rsidR="00000000" w:rsidRDefault="00000000">
            <w:pPr>
              <w:jc w:val="center"/>
              <w:rPr>
                <w:sz w:val="22"/>
              </w:rPr>
            </w:pPr>
            <w:r>
              <w:rPr>
                <w:sz w:val="22"/>
                <w:szCs w:val="20"/>
              </w:rPr>
              <w:t>0</w:t>
            </w:r>
          </w:p>
        </w:tc>
        <w:tc>
          <w:tcPr>
            <w:tcW w:w="331" w:type="pct"/>
            <w:vAlign w:val="bottom"/>
          </w:tcPr>
          <w:p w:rsidR="00000000" w:rsidRDefault="00000000">
            <w:pPr>
              <w:jc w:val="center"/>
            </w:pPr>
            <w:r>
              <w:rPr>
                <w:b/>
                <w:bCs/>
                <w:sz w:val="22"/>
                <w:szCs w:val="20"/>
                <w:vertAlign w:val="superscript"/>
              </w:rPr>
              <w:t>*</w:t>
            </w:r>
          </w:p>
        </w:tc>
        <w:tc>
          <w:tcPr>
            <w:tcW w:w="417" w:type="pct"/>
            <w:vAlign w:val="bottom"/>
          </w:tcPr>
          <w:p w:rsidR="00000000" w:rsidRDefault="00000000">
            <w:pPr>
              <w:tabs>
                <w:tab w:val="decimal" w:pos="591"/>
              </w:tabs>
              <w:rPr>
                <w:sz w:val="22"/>
                <w:szCs w:val="20"/>
              </w:rPr>
            </w:pPr>
            <w:r>
              <w:rPr>
                <w:sz w:val="22"/>
                <w:szCs w:val="20"/>
              </w:rPr>
              <w:t>1.295</w:t>
            </w:r>
          </w:p>
        </w:tc>
        <w:tc>
          <w:tcPr>
            <w:tcW w:w="354" w:type="pct"/>
            <w:vAlign w:val="bottom"/>
          </w:tcPr>
          <w:p w:rsidR="00000000" w:rsidRDefault="00000000">
            <w:pPr>
              <w:tabs>
                <w:tab w:val="decimal" w:pos="484"/>
              </w:tabs>
              <w:rPr>
                <w:sz w:val="22"/>
                <w:szCs w:val="20"/>
              </w:rPr>
            </w:pPr>
            <w:r>
              <w:rPr>
                <w:sz w:val="22"/>
                <w:szCs w:val="20"/>
              </w:rPr>
              <w:t>29</w:t>
            </w:r>
          </w:p>
        </w:tc>
        <w:tc>
          <w:tcPr>
            <w:tcW w:w="354" w:type="pct"/>
            <w:vAlign w:val="bottom"/>
          </w:tcPr>
          <w:p w:rsidR="00000000" w:rsidRDefault="00000000">
            <w:pPr>
              <w:tabs>
                <w:tab w:val="decimal" w:pos="312"/>
              </w:tabs>
              <w:rPr>
                <w:sz w:val="22"/>
                <w:szCs w:val="20"/>
              </w:rPr>
            </w:pPr>
            <w:r>
              <w:rPr>
                <w:sz w:val="22"/>
                <w:szCs w:val="20"/>
              </w:rPr>
              <w:t>22,4</w:t>
            </w:r>
          </w:p>
        </w:tc>
      </w:tr>
      <w:tr w:rsidR="00000000">
        <w:tblPrEx>
          <w:tblCellMar>
            <w:top w:w="0" w:type="dxa"/>
            <w:bottom w:w="0" w:type="dxa"/>
          </w:tblCellMar>
        </w:tblPrEx>
        <w:trPr>
          <w:jc w:val="center"/>
        </w:trPr>
        <w:tc>
          <w:tcPr>
            <w:tcW w:w="714" w:type="pct"/>
          </w:tcPr>
          <w:p w:rsidR="00000000" w:rsidRDefault="00000000">
            <w:pPr>
              <w:rPr>
                <w:spacing w:val="-4"/>
                <w:sz w:val="22"/>
                <w:szCs w:val="20"/>
              </w:rPr>
            </w:pPr>
            <w:r>
              <w:rPr>
                <w:spacing w:val="-4"/>
                <w:sz w:val="22"/>
                <w:szCs w:val="20"/>
              </w:rPr>
              <w:t>Alto Paraguay</w:t>
            </w:r>
          </w:p>
        </w:tc>
        <w:tc>
          <w:tcPr>
            <w:tcW w:w="448" w:type="pct"/>
            <w:vAlign w:val="bottom"/>
          </w:tcPr>
          <w:p w:rsidR="00000000" w:rsidRDefault="00000000">
            <w:pPr>
              <w:tabs>
                <w:tab w:val="decimal" w:pos="658"/>
              </w:tabs>
              <w:rPr>
                <w:sz w:val="22"/>
                <w:szCs w:val="20"/>
              </w:rPr>
            </w:pPr>
            <w:r>
              <w:rPr>
                <w:sz w:val="22"/>
                <w:szCs w:val="20"/>
              </w:rPr>
              <w:t>98</w:t>
            </w:r>
          </w:p>
        </w:tc>
        <w:tc>
          <w:tcPr>
            <w:tcW w:w="354" w:type="pct"/>
            <w:vAlign w:val="bottom"/>
          </w:tcPr>
          <w:p w:rsidR="00000000" w:rsidRDefault="00000000">
            <w:pPr>
              <w:tabs>
                <w:tab w:val="decimal" w:pos="505"/>
              </w:tabs>
              <w:rPr>
                <w:sz w:val="22"/>
                <w:szCs w:val="20"/>
              </w:rPr>
            </w:pPr>
            <w:r>
              <w:rPr>
                <w:sz w:val="22"/>
                <w:szCs w:val="20"/>
              </w:rPr>
              <w:t>3</w:t>
            </w:r>
          </w:p>
        </w:tc>
        <w:tc>
          <w:tcPr>
            <w:tcW w:w="354" w:type="pct"/>
            <w:vAlign w:val="bottom"/>
          </w:tcPr>
          <w:p w:rsidR="00000000" w:rsidRDefault="00000000">
            <w:pPr>
              <w:tabs>
                <w:tab w:val="decimal" w:pos="369"/>
              </w:tabs>
              <w:rPr>
                <w:sz w:val="22"/>
                <w:szCs w:val="20"/>
              </w:rPr>
            </w:pPr>
            <w:r>
              <w:rPr>
                <w:sz w:val="22"/>
                <w:szCs w:val="20"/>
              </w:rPr>
              <w:t>30,6</w:t>
            </w:r>
          </w:p>
        </w:tc>
        <w:tc>
          <w:tcPr>
            <w:tcW w:w="417" w:type="pct"/>
            <w:vAlign w:val="bottom"/>
          </w:tcPr>
          <w:p w:rsidR="00000000" w:rsidRDefault="00000000">
            <w:pPr>
              <w:tabs>
                <w:tab w:val="decimal" w:pos="613"/>
              </w:tabs>
              <w:rPr>
                <w:sz w:val="22"/>
                <w:szCs w:val="20"/>
              </w:rPr>
            </w:pPr>
            <w:r>
              <w:rPr>
                <w:sz w:val="22"/>
                <w:szCs w:val="20"/>
              </w:rPr>
              <w:t>94</w:t>
            </w:r>
          </w:p>
        </w:tc>
        <w:tc>
          <w:tcPr>
            <w:tcW w:w="292" w:type="pct"/>
            <w:vAlign w:val="bottom"/>
          </w:tcPr>
          <w:p w:rsidR="00000000" w:rsidRDefault="00000000">
            <w:pPr>
              <w:tabs>
                <w:tab w:val="decimal" w:pos="366"/>
              </w:tabs>
              <w:rPr>
                <w:sz w:val="22"/>
                <w:szCs w:val="20"/>
              </w:rPr>
            </w:pPr>
            <w:r>
              <w:rPr>
                <w:sz w:val="22"/>
                <w:szCs w:val="20"/>
              </w:rPr>
              <w:t>0</w:t>
            </w:r>
          </w:p>
        </w:tc>
        <w:tc>
          <w:tcPr>
            <w:tcW w:w="331" w:type="pct"/>
            <w:vAlign w:val="bottom"/>
          </w:tcPr>
          <w:p w:rsidR="00000000" w:rsidRDefault="00000000">
            <w:pPr>
              <w:tabs>
                <w:tab w:val="decimal" w:pos="245"/>
              </w:tabs>
              <w:rPr>
                <w:sz w:val="22"/>
                <w:szCs w:val="20"/>
              </w:rPr>
            </w:pPr>
            <w:r>
              <w:rPr>
                <w:sz w:val="22"/>
                <w:szCs w:val="20"/>
              </w:rPr>
              <w:t>0,0</w:t>
            </w:r>
          </w:p>
        </w:tc>
        <w:tc>
          <w:tcPr>
            <w:tcW w:w="344" w:type="pct"/>
            <w:vAlign w:val="bottom"/>
          </w:tcPr>
          <w:p w:rsidR="00000000" w:rsidRDefault="00000000">
            <w:pPr>
              <w:tabs>
                <w:tab w:val="decimal" w:pos="343"/>
              </w:tabs>
              <w:rPr>
                <w:sz w:val="22"/>
                <w:szCs w:val="20"/>
              </w:rPr>
            </w:pPr>
            <w:r>
              <w:rPr>
                <w:sz w:val="22"/>
                <w:szCs w:val="20"/>
              </w:rPr>
              <w:t>0</w:t>
            </w:r>
          </w:p>
        </w:tc>
        <w:tc>
          <w:tcPr>
            <w:tcW w:w="292" w:type="pct"/>
            <w:vAlign w:val="bottom"/>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vAlign w:val="bottom"/>
          </w:tcPr>
          <w:p w:rsidR="00000000" w:rsidRDefault="00000000">
            <w:pPr>
              <w:tabs>
                <w:tab w:val="decimal" w:pos="591"/>
              </w:tabs>
              <w:rPr>
                <w:sz w:val="22"/>
                <w:szCs w:val="20"/>
              </w:rPr>
            </w:pPr>
            <w:r>
              <w:rPr>
                <w:sz w:val="22"/>
                <w:szCs w:val="20"/>
              </w:rPr>
              <w:t>192</w:t>
            </w:r>
          </w:p>
        </w:tc>
        <w:tc>
          <w:tcPr>
            <w:tcW w:w="354" w:type="pct"/>
            <w:vAlign w:val="bottom"/>
          </w:tcPr>
          <w:p w:rsidR="00000000" w:rsidRDefault="00000000">
            <w:pPr>
              <w:tabs>
                <w:tab w:val="decimal" w:pos="484"/>
              </w:tabs>
              <w:rPr>
                <w:sz w:val="22"/>
                <w:szCs w:val="20"/>
              </w:rPr>
            </w:pPr>
            <w:r>
              <w:rPr>
                <w:sz w:val="22"/>
                <w:szCs w:val="20"/>
              </w:rPr>
              <w:t>3</w:t>
            </w:r>
          </w:p>
        </w:tc>
        <w:tc>
          <w:tcPr>
            <w:tcW w:w="354" w:type="pct"/>
            <w:vAlign w:val="bottom"/>
          </w:tcPr>
          <w:p w:rsidR="00000000" w:rsidRDefault="00000000">
            <w:pPr>
              <w:tabs>
                <w:tab w:val="decimal" w:pos="312"/>
              </w:tabs>
              <w:rPr>
                <w:sz w:val="22"/>
                <w:szCs w:val="20"/>
              </w:rPr>
            </w:pPr>
            <w:r>
              <w:rPr>
                <w:sz w:val="22"/>
                <w:szCs w:val="20"/>
              </w:rPr>
              <w:t>15,6</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Boquerón</w:t>
            </w:r>
          </w:p>
        </w:tc>
        <w:tc>
          <w:tcPr>
            <w:tcW w:w="448" w:type="pct"/>
          </w:tcPr>
          <w:p w:rsidR="00000000" w:rsidRDefault="00000000">
            <w:pPr>
              <w:tabs>
                <w:tab w:val="decimal" w:pos="658"/>
              </w:tabs>
              <w:rPr>
                <w:sz w:val="22"/>
                <w:szCs w:val="20"/>
              </w:rPr>
            </w:pPr>
            <w:r>
              <w:rPr>
                <w:sz w:val="22"/>
                <w:szCs w:val="20"/>
              </w:rPr>
              <w:t>380</w:t>
            </w:r>
          </w:p>
        </w:tc>
        <w:tc>
          <w:tcPr>
            <w:tcW w:w="354" w:type="pct"/>
          </w:tcPr>
          <w:p w:rsidR="00000000" w:rsidRDefault="00000000">
            <w:pPr>
              <w:tabs>
                <w:tab w:val="decimal" w:pos="505"/>
              </w:tabs>
              <w:rPr>
                <w:sz w:val="22"/>
                <w:szCs w:val="20"/>
              </w:rPr>
            </w:pPr>
            <w:r>
              <w:rPr>
                <w:sz w:val="22"/>
                <w:szCs w:val="20"/>
              </w:rPr>
              <w:t>6</w:t>
            </w:r>
          </w:p>
        </w:tc>
        <w:tc>
          <w:tcPr>
            <w:tcW w:w="354" w:type="pct"/>
          </w:tcPr>
          <w:p w:rsidR="00000000" w:rsidRDefault="00000000">
            <w:pPr>
              <w:tabs>
                <w:tab w:val="decimal" w:pos="369"/>
              </w:tabs>
              <w:rPr>
                <w:sz w:val="22"/>
                <w:szCs w:val="20"/>
              </w:rPr>
            </w:pPr>
            <w:r>
              <w:rPr>
                <w:sz w:val="22"/>
                <w:szCs w:val="20"/>
              </w:rPr>
              <w:t>15,8</w:t>
            </w:r>
          </w:p>
        </w:tc>
        <w:tc>
          <w:tcPr>
            <w:tcW w:w="417" w:type="pct"/>
          </w:tcPr>
          <w:p w:rsidR="00000000" w:rsidRDefault="00000000">
            <w:pPr>
              <w:tabs>
                <w:tab w:val="decimal" w:pos="613"/>
              </w:tabs>
              <w:rPr>
                <w:sz w:val="22"/>
                <w:szCs w:val="20"/>
              </w:rPr>
            </w:pPr>
            <w:r>
              <w:rPr>
                <w:sz w:val="22"/>
                <w:szCs w:val="20"/>
              </w:rPr>
              <w:t>305</w:t>
            </w:r>
          </w:p>
        </w:tc>
        <w:tc>
          <w:tcPr>
            <w:tcW w:w="292" w:type="pct"/>
          </w:tcPr>
          <w:p w:rsidR="00000000" w:rsidRDefault="00000000">
            <w:pPr>
              <w:tabs>
                <w:tab w:val="decimal" w:pos="366"/>
              </w:tabs>
              <w:rPr>
                <w:sz w:val="22"/>
                <w:szCs w:val="20"/>
              </w:rPr>
            </w:pPr>
            <w:r>
              <w:rPr>
                <w:sz w:val="22"/>
                <w:szCs w:val="20"/>
              </w:rPr>
              <w:t>7</w:t>
            </w:r>
          </w:p>
        </w:tc>
        <w:tc>
          <w:tcPr>
            <w:tcW w:w="331" w:type="pct"/>
          </w:tcPr>
          <w:p w:rsidR="00000000" w:rsidRDefault="00000000">
            <w:pPr>
              <w:tabs>
                <w:tab w:val="decimal" w:pos="245"/>
              </w:tabs>
              <w:rPr>
                <w:sz w:val="22"/>
                <w:szCs w:val="20"/>
              </w:rPr>
            </w:pPr>
            <w:r>
              <w:rPr>
                <w:sz w:val="22"/>
                <w:szCs w:val="20"/>
              </w:rPr>
              <w:t>23,0</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591"/>
              </w:tabs>
              <w:rPr>
                <w:sz w:val="22"/>
                <w:szCs w:val="20"/>
              </w:rPr>
            </w:pPr>
            <w:r>
              <w:rPr>
                <w:sz w:val="22"/>
                <w:szCs w:val="20"/>
              </w:rPr>
              <w:t>685</w:t>
            </w:r>
          </w:p>
        </w:tc>
        <w:tc>
          <w:tcPr>
            <w:tcW w:w="354" w:type="pct"/>
          </w:tcPr>
          <w:p w:rsidR="00000000" w:rsidRDefault="00000000">
            <w:pPr>
              <w:tabs>
                <w:tab w:val="decimal" w:pos="484"/>
              </w:tabs>
              <w:rPr>
                <w:sz w:val="22"/>
                <w:szCs w:val="20"/>
              </w:rPr>
            </w:pPr>
            <w:r>
              <w:rPr>
                <w:sz w:val="22"/>
                <w:szCs w:val="20"/>
              </w:rPr>
              <w:t>13</w:t>
            </w:r>
          </w:p>
        </w:tc>
        <w:tc>
          <w:tcPr>
            <w:tcW w:w="354" w:type="pct"/>
          </w:tcPr>
          <w:p w:rsidR="00000000" w:rsidRDefault="00000000">
            <w:pPr>
              <w:tabs>
                <w:tab w:val="decimal" w:pos="312"/>
              </w:tabs>
              <w:rPr>
                <w:sz w:val="22"/>
                <w:szCs w:val="20"/>
              </w:rPr>
            </w:pPr>
            <w:r>
              <w:rPr>
                <w:sz w:val="22"/>
                <w:szCs w:val="20"/>
              </w:rPr>
              <w:t>19,0</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Asunción</w:t>
            </w:r>
          </w:p>
        </w:tc>
        <w:tc>
          <w:tcPr>
            <w:tcW w:w="448" w:type="pct"/>
          </w:tcPr>
          <w:p w:rsidR="00000000" w:rsidRDefault="00000000">
            <w:pPr>
              <w:tabs>
                <w:tab w:val="decimal" w:pos="658"/>
              </w:tabs>
              <w:rPr>
                <w:sz w:val="22"/>
                <w:szCs w:val="20"/>
              </w:rPr>
            </w:pPr>
            <w:r>
              <w:rPr>
                <w:sz w:val="22"/>
                <w:szCs w:val="20"/>
              </w:rPr>
              <w:t>4.506</w:t>
            </w:r>
          </w:p>
        </w:tc>
        <w:tc>
          <w:tcPr>
            <w:tcW w:w="354" w:type="pct"/>
          </w:tcPr>
          <w:p w:rsidR="00000000" w:rsidRDefault="00000000">
            <w:pPr>
              <w:tabs>
                <w:tab w:val="decimal" w:pos="505"/>
              </w:tabs>
              <w:rPr>
                <w:sz w:val="22"/>
                <w:szCs w:val="20"/>
              </w:rPr>
            </w:pPr>
            <w:r>
              <w:rPr>
                <w:sz w:val="22"/>
                <w:szCs w:val="20"/>
              </w:rPr>
              <w:t>79</w:t>
            </w:r>
          </w:p>
        </w:tc>
        <w:tc>
          <w:tcPr>
            <w:tcW w:w="354" w:type="pct"/>
          </w:tcPr>
          <w:p w:rsidR="00000000" w:rsidRDefault="00000000">
            <w:pPr>
              <w:tabs>
                <w:tab w:val="decimal" w:pos="369"/>
              </w:tabs>
              <w:rPr>
                <w:sz w:val="22"/>
                <w:szCs w:val="20"/>
              </w:rPr>
            </w:pPr>
            <w:r>
              <w:rPr>
                <w:sz w:val="22"/>
                <w:szCs w:val="20"/>
              </w:rPr>
              <w:t>17,5</w:t>
            </w:r>
          </w:p>
        </w:tc>
        <w:tc>
          <w:tcPr>
            <w:tcW w:w="417" w:type="pct"/>
          </w:tcPr>
          <w:p w:rsidR="00000000" w:rsidRDefault="00000000">
            <w:pPr>
              <w:tabs>
                <w:tab w:val="decimal" w:pos="613"/>
              </w:tabs>
              <w:rPr>
                <w:sz w:val="22"/>
                <w:szCs w:val="20"/>
              </w:rPr>
            </w:pPr>
            <w:r>
              <w:rPr>
                <w:sz w:val="22"/>
                <w:szCs w:val="20"/>
              </w:rPr>
              <w:t>4.242</w:t>
            </w:r>
          </w:p>
        </w:tc>
        <w:tc>
          <w:tcPr>
            <w:tcW w:w="292" w:type="pct"/>
          </w:tcPr>
          <w:p w:rsidR="00000000" w:rsidRDefault="00000000">
            <w:pPr>
              <w:tabs>
                <w:tab w:val="decimal" w:pos="366"/>
              </w:tabs>
              <w:rPr>
                <w:sz w:val="22"/>
                <w:szCs w:val="20"/>
              </w:rPr>
            </w:pPr>
            <w:r>
              <w:rPr>
                <w:sz w:val="22"/>
                <w:szCs w:val="20"/>
              </w:rPr>
              <w:t>61</w:t>
            </w:r>
          </w:p>
        </w:tc>
        <w:tc>
          <w:tcPr>
            <w:tcW w:w="331" w:type="pct"/>
          </w:tcPr>
          <w:p w:rsidR="00000000" w:rsidRDefault="00000000">
            <w:pPr>
              <w:tabs>
                <w:tab w:val="decimal" w:pos="245"/>
              </w:tabs>
              <w:rPr>
                <w:sz w:val="22"/>
                <w:szCs w:val="20"/>
              </w:rPr>
            </w:pPr>
            <w:r>
              <w:rPr>
                <w:sz w:val="22"/>
                <w:szCs w:val="20"/>
              </w:rPr>
              <w:t>14,4</w:t>
            </w:r>
          </w:p>
        </w:tc>
        <w:tc>
          <w:tcPr>
            <w:tcW w:w="344" w:type="pct"/>
          </w:tcPr>
          <w:p w:rsidR="00000000" w:rsidRDefault="00000000">
            <w:pPr>
              <w:tabs>
                <w:tab w:val="decimal" w:pos="343"/>
              </w:tabs>
              <w:rPr>
                <w:sz w:val="22"/>
                <w:szCs w:val="20"/>
              </w:rPr>
            </w:pPr>
            <w:r>
              <w:rPr>
                <w:sz w:val="22"/>
                <w:szCs w:val="20"/>
              </w:rPr>
              <w:t>1</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591"/>
              </w:tabs>
              <w:rPr>
                <w:sz w:val="22"/>
                <w:szCs w:val="20"/>
              </w:rPr>
            </w:pPr>
            <w:r>
              <w:rPr>
                <w:sz w:val="22"/>
                <w:szCs w:val="20"/>
              </w:rPr>
              <w:t>8.749</w:t>
            </w:r>
          </w:p>
        </w:tc>
        <w:tc>
          <w:tcPr>
            <w:tcW w:w="354" w:type="pct"/>
          </w:tcPr>
          <w:p w:rsidR="00000000" w:rsidRDefault="00000000">
            <w:pPr>
              <w:tabs>
                <w:tab w:val="decimal" w:pos="484"/>
              </w:tabs>
              <w:rPr>
                <w:sz w:val="22"/>
                <w:szCs w:val="20"/>
              </w:rPr>
            </w:pPr>
            <w:r>
              <w:rPr>
                <w:sz w:val="22"/>
                <w:szCs w:val="20"/>
              </w:rPr>
              <w:t>140</w:t>
            </w:r>
          </w:p>
        </w:tc>
        <w:tc>
          <w:tcPr>
            <w:tcW w:w="354" w:type="pct"/>
          </w:tcPr>
          <w:p w:rsidR="00000000" w:rsidRDefault="00000000">
            <w:pPr>
              <w:tabs>
                <w:tab w:val="decimal" w:pos="312"/>
              </w:tabs>
              <w:rPr>
                <w:sz w:val="22"/>
                <w:szCs w:val="20"/>
              </w:rPr>
            </w:pPr>
            <w:r>
              <w:rPr>
                <w:sz w:val="22"/>
                <w:szCs w:val="20"/>
              </w:rPr>
              <w:t>16,0</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Extranjero</w:t>
            </w:r>
          </w:p>
        </w:tc>
        <w:tc>
          <w:tcPr>
            <w:tcW w:w="448" w:type="pct"/>
          </w:tcPr>
          <w:p w:rsidR="00000000" w:rsidRDefault="00000000">
            <w:pPr>
              <w:tabs>
                <w:tab w:val="decimal" w:pos="658"/>
              </w:tabs>
              <w:rPr>
                <w:sz w:val="22"/>
                <w:szCs w:val="20"/>
              </w:rPr>
            </w:pPr>
            <w:r>
              <w:rPr>
                <w:sz w:val="22"/>
                <w:szCs w:val="20"/>
              </w:rPr>
              <w:t>11</w:t>
            </w:r>
          </w:p>
        </w:tc>
        <w:tc>
          <w:tcPr>
            <w:tcW w:w="354" w:type="pct"/>
          </w:tcPr>
          <w:p w:rsidR="00000000" w:rsidRDefault="00000000">
            <w:pPr>
              <w:tabs>
                <w:tab w:val="decimal" w:pos="505"/>
              </w:tabs>
              <w:rPr>
                <w:sz w:val="22"/>
                <w:szCs w:val="20"/>
              </w:rPr>
            </w:pPr>
            <w:r>
              <w:rPr>
                <w:sz w:val="22"/>
                <w:szCs w:val="20"/>
              </w:rPr>
              <w:t>3</w:t>
            </w:r>
          </w:p>
        </w:tc>
        <w:tc>
          <w:tcPr>
            <w:tcW w:w="354" w:type="pct"/>
          </w:tcPr>
          <w:p w:rsidR="00000000" w:rsidRDefault="00000000">
            <w:pPr>
              <w:tabs>
                <w:tab w:val="decimal" w:pos="369"/>
              </w:tabs>
              <w:rPr>
                <w:sz w:val="22"/>
                <w:szCs w:val="20"/>
              </w:rPr>
            </w:pPr>
            <w:r>
              <w:rPr>
                <w:sz w:val="22"/>
                <w:szCs w:val="20"/>
              </w:rPr>
              <w:t>272,7</w:t>
            </w:r>
          </w:p>
        </w:tc>
        <w:tc>
          <w:tcPr>
            <w:tcW w:w="417" w:type="pct"/>
          </w:tcPr>
          <w:p w:rsidR="00000000" w:rsidRDefault="00000000">
            <w:pPr>
              <w:tabs>
                <w:tab w:val="decimal" w:pos="613"/>
              </w:tabs>
              <w:rPr>
                <w:sz w:val="22"/>
                <w:szCs w:val="20"/>
              </w:rPr>
            </w:pPr>
            <w:r>
              <w:rPr>
                <w:sz w:val="22"/>
                <w:szCs w:val="20"/>
              </w:rPr>
              <w:t>12</w:t>
            </w:r>
          </w:p>
        </w:tc>
        <w:tc>
          <w:tcPr>
            <w:tcW w:w="292" w:type="pct"/>
          </w:tcPr>
          <w:p w:rsidR="00000000" w:rsidRDefault="00000000">
            <w:pPr>
              <w:tabs>
                <w:tab w:val="decimal" w:pos="366"/>
              </w:tabs>
              <w:rPr>
                <w:sz w:val="22"/>
                <w:szCs w:val="20"/>
              </w:rPr>
            </w:pPr>
            <w:r>
              <w:rPr>
                <w:sz w:val="22"/>
                <w:szCs w:val="20"/>
              </w:rPr>
              <w:t>0</w:t>
            </w:r>
          </w:p>
        </w:tc>
        <w:tc>
          <w:tcPr>
            <w:tcW w:w="331" w:type="pct"/>
          </w:tcPr>
          <w:p w:rsidR="00000000" w:rsidRDefault="00000000">
            <w:pPr>
              <w:tabs>
                <w:tab w:val="decimal" w:pos="245"/>
              </w:tabs>
              <w:rPr>
                <w:sz w:val="22"/>
                <w:szCs w:val="20"/>
              </w:rPr>
            </w:pPr>
            <w:r>
              <w:rPr>
                <w:sz w:val="22"/>
                <w:szCs w:val="20"/>
              </w:rPr>
              <w:t>0,0</w:t>
            </w:r>
          </w:p>
        </w:tc>
        <w:tc>
          <w:tcPr>
            <w:tcW w:w="344" w:type="pct"/>
          </w:tcPr>
          <w:p w:rsidR="00000000" w:rsidRDefault="00000000">
            <w:pPr>
              <w:tabs>
                <w:tab w:val="decimal" w:pos="343"/>
              </w:tabs>
              <w:rPr>
                <w:sz w:val="22"/>
                <w:szCs w:val="20"/>
              </w:rPr>
            </w:pPr>
            <w:r>
              <w:rPr>
                <w:sz w:val="22"/>
                <w:szCs w:val="20"/>
              </w:rPr>
              <w:t>0</w:t>
            </w:r>
          </w:p>
        </w:tc>
        <w:tc>
          <w:tcPr>
            <w:tcW w:w="292" w:type="pct"/>
          </w:tcPr>
          <w:p w:rsidR="00000000" w:rsidRDefault="00000000">
            <w:pPr>
              <w:jc w:val="center"/>
              <w:rPr>
                <w:sz w:val="22"/>
              </w:rPr>
            </w:pPr>
            <w:r>
              <w:rPr>
                <w:sz w:val="22"/>
                <w:szCs w:val="20"/>
              </w:rPr>
              <w:t>0</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591"/>
              </w:tabs>
              <w:rPr>
                <w:sz w:val="22"/>
                <w:szCs w:val="20"/>
              </w:rPr>
            </w:pPr>
            <w:r>
              <w:rPr>
                <w:sz w:val="22"/>
                <w:szCs w:val="20"/>
              </w:rPr>
              <w:t>23</w:t>
            </w:r>
          </w:p>
        </w:tc>
        <w:tc>
          <w:tcPr>
            <w:tcW w:w="354" w:type="pct"/>
          </w:tcPr>
          <w:p w:rsidR="00000000" w:rsidRDefault="00000000">
            <w:pPr>
              <w:tabs>
                <w:tab w:val="decimal" w:pos="484"/>
              </w:tabs>
              <w:rPr>
                <w:sz w:val="22"/>
                <w:szCs w:val="20"/>
              </w:rPr>
            </w:pPr>
            <w:r>
              <w:rPr>
                <w:sz w:val="22"/>
                <w:szCs w:val="20"/>
              </w:rPr>
              <w:t>3</w:t>
            </w:r>
          </w:p>
        </w:tc>
        <w:tc>
          <w:tcPr>
            <w:tcW w:w="354" w:type="pct"/>
          </w:tcPr>
          <w:p w:rsidR="00000000" w:rsidRDefault="00000000">
            <w:pPr>
              <w:tabs>
                <w:tab w:val="decimal" w:pos="312"/>
              </w:tabs>
              <w:rPr>
                <w:sz w:val="22"/>
                <w:szCs w:val="20"/>
              </w:rPr>
            </w:pPr>
            <w:r>
              <w:rPr>
                <w:sz w:val="22"/>
                <w:szCs w:val="20"/>
              </w:rPr>
              <w:t>130,4</w:t>
            </w:r>
          </w:p>
        </w:tc>
      </w:tr>
      <w:tr w:rsidR="00000000">
        <w:tblPrEx>
          <w:tblCellMar>
            <w:top w:w="0" w:type="dxa"/>
            <w:bottom w:w="0" w:type="dxa"/>
          </w:tblCellMar>
        </w:tblPrEx>
        <w:trPr>
          <w:jc w:val="center"/>
        </w:trPr>
        <w:tc>
          <w:tcPr>
            <w:tcW w:w="714" w:type="pct"/>
          </w:tcPr>
          <w:p w:rsidR="00000000" w:rsidRDefault="00000000">
            <w:pPr>
              <w:rPr>
                <w:sz w:val="22"/>
                <w:szCs w:val="20"/>
              </w:rPr>
            </w:pPr>
            <w:r>
              <w:rPr>
                <w:sz w:val="22"/>
                <w:szCs w:val="20"/>
              </w:rPr>
              <w:t>País</w:t>
            </w:r>
          </w:p>
        </w:tc>
        <w:tc>
          <w:tcPr>
            <w:tcW w:w="448" w:type="pct"/>
          </w:tcPr>
          <w:p w:rsidR="00000000" w:rsidRDefault="00000000">
            <w:pPr>
              <w:jc w:val="center"/>
              <w:rPr>
                <w:sz w:val="22"/>
                <w:szCs w:val="20"/>
              </w:rPr>
            </w:pPr>
            <w:r>
              <w:rPr>
                <w:sz w:val="22"/>
                <w:szCs w:val="20"/>
              </w:rPr>
              <w:t>55.046</w:t>
            </w:r>
          </w:p>
        </w:tc>
        <w:tc>
          <w:tcPr>
            <w:tcW w:w="354" w:type="pct"/>
          </w:tcPr>
          <w:p w:rsidR="00000000" w:rsidRDefault="00000000">
            <w:pPr>
              <w:tabs>
                <w:tab w:val="decimal" w:pos="505"/>
              </w:tabs>
              <w:rPr>
                <w:sz w:val="22"/>
                <w:szCs w:val="20"/>
              </w:rPr>
            </w:pPr>
            <w:r>
              <w:rPr>
                <w:sz w:val="22"/>
                <w:szCs w:val="20"/>
              </w:rPr>
              <w:t>1.257</w:t>
            </w:r>
          </w:p>
        </w:tc>
        <w:tc>
          <w:tcPr>
            <w:tcW w:w="354" w:type="pct"/>
          </w:tcPr>
          <w:p w:rsidR="00000000" w:rsidRDefault="00000000">
            <w:pPr>
              <w:tabs>
                <w:tab w:val="decimal" w:pos="369"/>
              </w:tabs>
              <w:rPr>
                <w:sz w:val="22"/>
                <w:szCs w:val="20"/>
              </w:rPr>
            </w:pPr>
            <w:r>
              <w:rPr>
                <w:sz w:val="22"/>
                <w:szCs w:val="20"/>
              </w:rPr>
              <w:t>20,9</w:t>
            </w:r>
          </w:p>
        </w:tc>
        <w:tc>
          <w:tcPr>
            <w:tcW w:w="417" w:type="pct"/>
          </w:tcPr>
          <w:p w:rsidR="00000000" w:rsidRDefault="00000000">
            <w:pPr>
              <w:tabs>
                <w:tab w:val="decimal" w:pos="613"/>
              </w:tabs>
              <w:rPr>
                <w:sz w:val="22"/>
                <w:szCs w:val="20"/>
              </w:rPr>
            </w:pPr>
            <w:r>
              <w:rPr>
                <w:sz w:val="22"/>
                <w:szCs w:val="20"/>
              </w:rPr>
              <w:t>42.574</w:t>
            </w:r>
          </w:p>
        </w:tc>
        <w:tc>
          <w:tcPr>
            <w:tcW w:w="292" w:type="pct"/>
          </w:tcPr>
          <w:p w:rsidR="00000000" w:rsidRDefault="00000000">
            <w:pPr>
              <w:tabs>
                <w:tab w:val="decimal" w:pos="366"/>
              </w:tabs>
              <w:rPr>
                <w:sz w:val="22"/>
                <w:szCs w:val="20"/>
              </w:rPr>
            </w:pPr>
            <w:r>
              <w:rPr>
                <w:sz w:val="22"/>
                <w:szCs w:val="20"/>
              </w:rPr>
              <w:t>426</w:t>
            </w:r>
          </w:p>
        </w:tc>
        <w:tc>
          <w:tcPr>
            <w:tcW w:w="331" w:type="pct"/>
          </w:tcPr>
          <w:p w:rsidR="00000000" w:rsidRDefault="00000000">
            <w:pPr>
              <w:tabs>
                <w:tab w:val="decimal" w:pos="245"/>
              </w:tabs>
              <w:rPr>
                <w:sz w:val="22"/>
                <w:szCs w:val="20"/>
              </w:rPr>
            </w:pPr>
            <w:r>
              <w:rPr>
                <w:sz w:val="22"/>
                <w:szCs w:val="20"/>
              </w:rPr>
              <w:t>13,4</w:t>
            </w:r>
          </w:p>
        </w:tc>
        <w:tc>
          <w:tcPr>
            <w:tcW w:w="344" w:type="pct"/>
          </w:tcPr>
          <w:p w:rsidR="00000000" w:rsidRDefault="00000000">
            <w:pPr>
              <w:jc w:val="center"/>
              <w:rPr>
                <w:sz w:val="22"/>
                <w:szCs w:val="20"/>
              </w:rPr>
            </w:pPr>
            <w:r>
              <w:rPr>
                <w:sz w:val="22"/>
                <w:szCs w:val="20"/>
              </w:rPr>
              <w:t>6</w:t>
            </w:r>
          </w:p>
        </w:tc>
        <w:tc>
          <w:tcPr>
            <w:tcW w:w="292" w:type="pct"/>
          </w:tcPr>
          <w:p w:rsidR="00000000" w:rsidRDefault="00000000">
            <w:pPr>
              <w:jc w:val="center"/>
              <w:rPr>
                <w:sz w:val="22"/>
                <w:szCs w:val="20"/>
              </w:rPr>
            </w:pPr>
            <w:r>
              <w:rPr>
                <w:sz w:val="22"/>
                <w:szCs w:val="20"/>
              </w:rPr>
              <w:t>2</w:t>
            </w:r>
          </w:p>
        </w:tc>
        <w:tc>
          <w:tcPr>
            <w:tcW w:w="331" w:type="pct"/>
          </w:tcPr>
          <w:p w:rsidR="00000000" w:rsidRDefault="00000000">
            <w:pPr>
              <w:jc w:val="center"/>
            </w:pPr>
            <w:r>
              <w:rPr>
                <w:b/>
                <w:bCs/>
                <w:sz w:val="22"/>
                <w:szCs w:val="20"/>
                <w:vertAlign w:val="superscript"/>
              </w:rPr>
              <w:t>*</w:t>
            </w:r>
          </w:p>
        </w:tc>
        <w:tc>
          <w:tcPr>
            <w:tcW w:w="417" w:type="pct"/>
          </w:tcPr>
          <w:p w:rsidR="00000000" w:rsidRDefault="00000000">
            <w:pPr>
              <w:tabs>
                <w:tab w:val="decimal" w:pos="591"/>
              </w:tabs>
              <w:rPr>
                <w:sz w:val="22"/>
                <w:szCs w:val="20"/>
              </w:rPr>
            </w:pPr>
            <w:r>
              <w:rPr>
                <w:sz w:val="22"/>
                <w:szCs w:val="20"/>
              </w:rPr>
              <w:t>86.739</w:t>
            </w:r>
          </w:p>
        </w:tc>
        <w:tc>
          <w:tcPr>
            <w:tcW w:w="354" w:type="pct"/>
          </w:tcPr>
          <w:p w:rsidR="00000000" w:rsidRDefault="00000000">
            <w:pPr>
              <w:tabs>
                <w:tab w:val="decimal" w:pos="484"/>
              </w:tabs>
              <w:rPr>
                <w:sz w:val="22"/>
                <w:szCs w:val="20"/>
              </w:rPr>
            </w:pPr>
            <w:r>
              <w:rPr>
                <w:sz w:val="22"/>
                <w:szCs w:val="20"/>
              </w:rPr>
              <w:t>1.683</w:t>
            </w:r>
          </w:p>
        </w:tc>
        <w:tc>
          <w:tcPr>
            <w:tcW w:w="354" w:type="pct"/>
          </w:tcPr>
          <w:p w:rsidR="00000000" w:rsidRDefault="00000000">
            <w:pPr>
              <w:tabs>
                <w:tab w:val="decimal" w:pos="312"/>
              </w:tabs>
              <w:rPr>
                <w:sz w:val="22"/>
                <w:szCs w:val="20"/>
              </w:rPr>
            </w:pPr>
            <w:r>
              <w:rPr>
                <w:sz w:val="22"/>
                <w:szCs w:val="20"/>
              </w:rPr>
              <w:t>19,4</w:t>
            </w:r>
          </w:p>
        </w:tc>
      </w:tr>
    </w:tbl>
    <w:p w:rsidR="00000000" w:rsidRDefault="00000000">
      <w:pPr>
        <w:spacing w:before="220" w:after="220"/>
        <w:rPr>
          <w:sz w:val="22"/>
          <w:szCs w:val="20"/>
        </w:rPr>
      </w:pPr>
      <w:r>
        <w:rPr>
          <w:i/>
          <w:iCs/>
          <w:sz w:val="22"/>
          <w:szCs w:val="20"/>
        </w:rPr>
        <w:t>Fuente:</w:t>
      </w:r>
      <w:r>
        <w:rPr>
          <w:sz w:val="22"/>
          <w:szCs w:val="20"/>
        </w:rPr>
        <w:t xml:space="preserve">  Nacidos vivos registrados y defunciones infantiles.  M. S. P. y B. S.</w:t>
      </w:r>
    </w:p>
    <w:p w:rsidR="00000000" w:rsidRDefault="00000000">
      <w:pPr>
        <w:spacing w:after="480"/>
        <w:rPr>
          <w:szCs w:val="20"/>
        </w:rPr>
      </w:pPr>
      <w:r>
        <w:rPr>
          <w:i/>
          <w:iCs/>
          <w:sz w:val="22"/>
          <w:szCs w:val="20"/>
        </w:rPr>
        <w:t>Archivo:</w:t>
      </w:r>
      <w:r>
        <w:rPr>
          <w:sz w:val="22"/>
          <w:szCs w:val="20"/>
        </w:rPr>
        <w:t xml:space="preserve">  C/personal/indicado/mortalidad.</w:t>
      </w:r>
    </w:p>
    <w:p w:rsidR="00000000" w:rsidRDefault="00000000">
      <w:pPr>
        <w:spacing w:after="220"/>
        <w:jc w:val="center"/>
        <w:rPr>
          <w:b/>
          <w:bCs/>
          <w:sz w:val="22"/>
        </w:rPr>
      </w:pPr>
      <w:r>
        <w:rPr>
          <w:b/>
          <w:bCs/>
          <w:sz w:val="22"/>
        </w:rPr>
        <w:t xml:space="preserve">Paraguay, mortalidad infantil por causa (tasa registrada </w:t>
      </w:r>
      <w:r>
        <w:rPr>
          <w:b/>
          <w:bCs/>
          <w:sz w:val="22"/>
        </w:rPr>
        <w:br/>
        <w:t>por 1.000 nacidos vivos) año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440"/>
        <w:gridCol w:w="5277"/>
        <w:gridCol w:w="1486"/>
        <w:gridCol w:w="1329"/>
        <w:gridCol w:w="946"/>
      </w:tblGrid>
      <w:tr w:rsidR="00000000">
        <w:tblPrEx>
          <w:tblCellMar>
            <w:top w:w="0" w:type="dxa"/>
            <w:bottom w:w="0" w:type="dxa"/>
          </w:tblCellMar>
        </w:tblPrEx>
        <w:trPr>
          <w:jc w:val="center"/>
        </w:trPr>
        <w:tc>
          <w:tcPr>
            <w:tcW w:w="3016" w:type="pct"/>
            <w:gridSpan w:val="2"/>
            <w:vAlign w:val="center"/>
          </w:tcPr>
          <w:p w:rsidR="00000000" w:rsidRDefault="00000000">
            <w:pPr>
              <w:jc w:val="center"/>
              <w:rPr>
                <w:b/>
                <w:bCs/>
                <w:sz w:val="22"/>
              </w:rPr>
            </w:pPr>
            <w:r>
              <w:rPr>
                <w:b/>
                <w:bCs/>
                <w:sz w:val="22"/>
              </w:rPr>
              <w:t>Causas</w:t>
            </w:r>
          </w:p>
        </w:tc>
        <w:tc>
          <w:tcPr>
            <w:tcW w:w="784" w:type="pct"/>
            <w:vAlign w:val="center"/>
          </w:tcPr>
          <w:p w:rsidR="00000000" w:rsidRDefault="00000000">
            <w:pPr>
              <w:jc w:val="center"/>
              <w:rPr>
                <w:b/>
                <w:bCs/>
                <w:sz w:val="22"/>
              </w:rPr>
            </w:pPr>
            <w:r>
              <w:rPr>
                <w:b/>
                <w:bCs/>
                <w:sz w:val="22"/>
              </w:rPr>
              <w:t>Defunciones infantiles</w:t>
            </w:r>
          </w:p>
        </w:tc>
        <w:tc>
          <w:tcPr>
            <w:tcW w:w="701" w:type="pct"/>
            <w:vAlign w:val="center"/>
          </w:tcPr>
          <w:p w:rsidR="00000000" w:rsidRDefault="00000000">
            <w:pPr>
              <w:jc w:val="center"/>
              <w:rPr>
                <w:b/>
                <w:bCs/>
                <w:sz w:val="22"/>
              </w:rPr>
            </w:pPr>
            <w:r>
              <w:rPr>
                <w:b/>
                <w:bCs/>
                <w:sz w:val="22"/>
              </w:rPr>
              <w:t>Porcentaje</w:t>
            </w:r>
          </w:p>
        </w:tc>
        <w:tc>
          <w:tcPr>
            <w:tcW w:w="499" w:type="pct"/>
            <w:vAlign w:val="center"/>
          </w:tcPr>
          <w:p w:rsidR="00000000" w:rsidRDefault="00000000">
            <w:pPr>
              <w:jc w:val="center"/>
              <w:rPr>
                <w:b/>
                <w:bCs/>
                <w:sz w:val="22"/>
              </w:rPr>
            </w:pPr>
            <w:r>
              <w:rPr>
                <w:b/>
                <w:bCs/>
                <w:sz w:val="22"/>
              </w:rPr>
              <w:t>Tasa</w:t>
            </w:r>
          </w:p>
        </w:tc>
      </w:tr>
      <w:tr w:rsidR="00000000">
        <w:tblPrEx>
          <w:tblCellMar>
            <w:top w:w="0" w:type="dxa"/>
            <w:bottom w:w="0" w:type="dxa"/>
          </w:tblCellMar>
        </w:tblPrEx>
        <w:trPr>
          <w:jc w:val="center"/>
        </w:trPr>
        <w:tc>
          <w:tcPr>
            <w:tcW w:w="232" w:type="pct"/>
          </w:tcPr>
          <w:p w:rsidR="00000000" w:rsidRDefault="00000000">
            <w:pPr>
              <w:rPr>
                <w:sz w:val="22"/>
              </w:rPr>
            </w:pPr>
            <w:r>
              <w:rPr>
                <w:sz w:val="22"/>
              </w:rPr>
              <w:t>1.</w:t>
            </w:r>
          </w:p>
        </w:tc>
        <w:tc>
          <w:tcPr>
            <w:tcW w:w="2784" w:type="pct"/>
          </w:tcPr>
          <w:p w:rsidR="00000000" w:rsidRDefault="00000000">
            <w:pPr>
              <w:rPr>
                <w:spacing w:val="-6"/>
                <w:sz w:val="22"/>
              </w:rPr>
            </w:pPr>
            <w:r>
              <w:rPr>
                <w:spacing w:val="-6"/>
                <w:sz w:val="22"/>
              </w:rPr>
              <w:t>Lesiones debidas al parto (P01-P03; P10-P15; P20-P28)</w:t>
            </w:r>
          </w:p>
        </w:tc>
        <w:tc>
          <w:tcPr>
            <w:tcW w:w="784" w:type="pct"/>
            <w:vAlign w:val="bottom"/>
          </w:tcPr>
          <w:p w:rsidR="00000000" w:rsidRDefault="00000000">
            <w:pPr>
              <w:ind w:right="359"/>
              <w:jc w:val="right"/>
              <w:rPr>
                <w:sz w:val="22"/>
              </w:rPr>
            </w:pPr>
            <w:r>
              <w:rPr>
                <w:sz w:val="22"/>
              </w:rPr>
              <w:t>381</w:t>
            </w:r>
          </w:p>
        </w:tc>
        <w:tc>
          <w:tcPr>
            <w:tcW w:w="701" w:type="pct"/>
            <w:vAlign w:val="bottom"/>
          </w:tcPr>
          <w:p w:rsidR="00000000" w:rsidRDefault="00000000">
            <w:pPr>
              <w:tabs>
                <w:tab w:val="decimal" w:pos="717"/>
              </w:tabs>
              <w:rPr>
                <w:sz w:val="22"/>
              </w:rPr>
            </w:pPr>
            <w:r>
              <w:rPr>
                <w:sz w:val="22"/>
              </w:rPr>
              <w:t>22,6</w:t>
            </w:r>
          </w:p>
        </w:tc>
        <w:tc>
          <w:tcPr>
            <w:tcW w:w="499" w:type="pct"/>
            <w:vAlign w:val="bottom"/>
          </w:tcPr>
          <w:p w:rsidR="00000000" w:rsidRDefault="00000000">
            <w:pPr>
              <w:tabs>
                <w:tab w:val="decimal" w:pos="375"/>
              </w:tabs>
              <w:rPr>
                <w:sz w:val="22"/>
              </w:rPr>
            </w:pPr>
            <w:r>
              <w:rPr>
                <w:sz w:val="22"/>
              </w:rPr>
              <w:t>4,4</w:t>
            </w:r>
          </w:p>
        </w:tc>
      </w:tr>
      <w:tr w:rsidR="00000000">
        <w:tblPrEx>
          <w:tblCellMar>
            <w:top w:w="0" w:type="dxa"/>
            <w:bottom w:w="0" w:type="dxa"/>
          </w:tblCellMar>
        </w:tblPrEx>
        <w:trPr>
          <w:jc w:val="center"/>
        </w:trPr>
        <w:tc>
          <w:tcPr>
            <w:tcW w:w="232" w:type="pct"/>
          </w:tcPr>
          <w:p w:rsidR="00000000" w:rsidRDefault="00000000">
            <w:pPr>
              <w:rPr>
                <w:sz w:val="22"/>
              </w:rPr>
            </w:pPr>
            <w:r>
              <w:rPr>
                <w:sz w:val="22"/>
              </w:rPr>
              <w:t>2.</w:t>
            </w:r>
          </w:p>
        </w:tc>
        <w:tc>
          <w:tcPr>
            <w:tcW w:w="2784" w:type="pct"/>
          </w:tcPr>
          <w:p w:rsidR="00000000" w:rsidRDefault="00000000">
            <w:pPr>
              <w:rPr>
                <w:sz w:val="22"/>
              </w:rPr>
            </w:pPr>
            <w:r>
              <w:rPr>
                <w:sz w:val="22"/>
              </w:rPr>
              <w:t>Infecciones del recién nacido (A40-A41; P35-P39)</w:t>
            </w:r>
          </w:p>
        </w:tc>
        <w:tc>
          <w:tcPr>
            <w:tcW w:w="784" w:type="pct"/>
            <w:vAlign w:val="bottom"/>
          </w:tcPr>
          <w:p w:rsidR="00000000" w:rsidRDefault="00000000">
            <w:pPr>
              <w:ind w:right="359"/>
              <w:jc w:val="right"/>
              <w:rPr>
                <w:sz w:val="22"/>
              </w:rPr>
            </w:pPr>
            <w:r>
              <w:rPr>
                <w:sz w:val="22"/>
              </w:rPr>
              <w:t>271</w:t>
            </w:r>
          </w:p>
        </w:tc>
        <w:tc>
          <w:tcPr>
            <w:tcW w:w="701" w:type="pct"/>
            <w:vAlign w:val="bottom"/>
          </w:tcPr>
          <w:p w:rsidR="00000000" w:rsidRDefault="00000000">
            <w:pPr>
              <w:tabs>
                <w:tab w:val="decimal" w:pos="717"/>
              </w:tabs>
              <w:rPr>
                <w:sz w:val="22"/>
              </w:rPr>
            </w:pPr>
            <w:r>
              <w:rPr>
                <w:sz w:val="22"/>
              </w:rPr>
              <w:t>16,1</w:t>
            </w:r>
          </w:p>
        </w:tc>
        <w:tc>
          <w:tcPr>
            <w:tcW w:w="499" w:type="pct"/>
            <w:vAlign w:val="bottom"/>
          </w:tcPr>
          <w:p w:rsidR="00000000" w:rsidRDefault="00000000">
            <w:pPr>
              <w:tabs>
                <w:tab w:val="decimal" w:pos="375"/>
              </w:tabs>
              <w:rPr>
                <w:sz w:val="22"/>
              </w:rPr>
            </w:pPr>
            <w:r>
              <w:rPr>
                <w:sz w:val="22"/>
              </w:rPr>
              <w:t>3,1</w:t>
            </w:r>
          </w:p>
        </w:tc>
      </w:tr>
      <w:tr w:rsidR="00000000">
        <w:tblPrEx>
          <w:tblCellMar>
            <w:top w:w="0" w:type="dxa"/>
            <w:bottom w:w="0" w:type="dxa"/>
          </w:tblCellMar>
        </w:tblPrEx>
        <w:trPr>
          <w:jc w:val="center"/>
        </w:trPr>
        <w:tc>
          <w:tcPr>
            <w:tcW w:w="232" w:type="pct"/>
          </w:tcPr>
          <w:p w:rsidR="00000000" w:rsidRDefault="00000000">
            <w:pPr>
              <w:rPr>
                <w:sz w:val="22"/>
              </w:rPr>
            </w:pPr>
            <w:r>
              <w:rPr>
                <w:sz w:val="22"/>
              </w:rPr>
              <w:t>3.</w:t>
            </w:r>
          </w:p>
        </w:tc>
        <w:tc>
          <w:tcPr>
            <w:tcW w:w="2784" w:type="pct"/>
          </w:tcPr>
          <w:p w:rsidR="00000000" w:rsidRDefault="00000000">
            <w:pPr>
              <w:rPr>
                <w:sz w:val="22"/>
              </w:rPr>
            </w:pPr>
            <w:r>
              <w:rPr>
                <w:sz w:val="22"/>
              </w:rPr>
              <w:t>Malformaciones congénitas (Q00-Q99)</w:t>
            </w:r>
          </w:p>
        </w:tc>
        <w:tc>
          <w:tcPr>
            <w:tcW w:w="784" w:type="pct"/>
            <w:vAlign w:val="bottom"/>
          </w:tcPr>
          <w:p w:rsidR="00000000" w:rsidRDefault="00000000">
            <w:pPr>
              <w:ind w:right="359"/>
              <w:jc w:val="right"/>
              <w:rPr>
                <w:sz w:val="22"/>
              </w:rPr>
            </w:pPr>
            <w:r>
              <w:rPr>
                <w:sz w:val="22"/>
              </w:rPr>
              <w:t>217</w:t>
            </w:r>
          </w:p>
        </w:tc>
        <w:tc>
          <w:tcPr>
            <w:tcW w:w="701" w:type="pct"/>
            <w:vAlign w:val="bottom"/>
          </w:tcPr>
          <w:p w:rsidR="00000000" w:rsidRDefault="00000000">
            <w:pPr>
              <w:tabs>
                <w:tab w:val="decimal" w:pos="717"/>
              </w:tabs>
              <w:rPr>
                <w:sz w:val="22"/>
              </w:rPr>
            </w:pPr>
            <w:r>
              <w:rPr>
                <w:sz w:val="22"/>
              </w:rPr>
              <w:t>12,9</w:t>
            </w:r>
          </w:p>
        </w:tc>
        <w:tc>
          <w:tcPr>
            <w:tcW w:w="499" w:type="pct"/>
            <w:vAlign w:val="bottom"/>
          </w:tcPr>
          <w:p w:rsidR="00000000" w:rsidRDefault="00000000">
            <w:pPr>
              <w:tabs>
                <w:tab w:val="decimal" w:pos="375"/>
              </w:tabs>
              <w:rPr>
                <w:sz w:val="22"/>
              </w:rPr>
            </w:pPr>
            <w:r>
              <w:rPr>
                <w:sz w:val="22"/>
              </w:rPr>
              <w:t>2,5</w:t>
            </w:r>
          </w:p>
        </w:tc>
      </w:tr>
      <w:tr w:rsidR="00000000">
        <w:tblPrEx>
          <w:tblCellMar>
            <w:top w:w="0" w:type="dxa"/>
            <w:bottom w:w="0" w:type="dxa"/>
          </w:tblCellMar>
        </w:tblPrEx>
        <w:trPr>
          <w:jc w:val="center"/>
        </w:trPr>
        <w:tc>
          <w:tcPr>
            <w:tcW w:w="232" w:type="pct"/>
          </w:tcPr>
          <w:p w:rsidR="00000000" w:rsidRDefault="00000000">
            <w:pPr>
              <w:rPr>
                <w:sz w:val="22"/>
              </w:rPr>
            </w:pPr>
            <w:r>
              <w:rPr>
                <w:sz w:val="22"/>
              </w:rPr>
              <w:t>4.</w:t>
            </w:r>
          </w:p>
        </w:tc>
        <w:tc>
          <w:tcPr>
            <w:tcW w:w="2784" w:type="pct"/>
          </w:tcPr>
          <w:p w:rsidR="00000000" w:rsidRDefault="00000000">
            <w:pPr>
              <w:rPr>
                <w:sz w:val="22"/>
              </w:rPr>
            </w:pPr>
            <w:r>
              <w:rPr>
                <w:sz w:val="22"/>
              </w:rPr>
              <w:t>Prematuridad (P05; P07)</w:t>
            </w:r>
          </w:p>
        </w:tc>
        <w:tc>
          <w:tcPr>
            <w:tcW w:w="784" w:type="pct"/>
            <w:vAlign w:val="bottom"/>
          </w:tcPr>
          <w:p w:rsidR="00000000" w:rsidRDefault="00000000">
            <w:pPr>
              <w:ind w:right="359"/>
              <w:jc w:val="right"/>
              <w:rPr>
                <w:sz w:val="22"/>
              </w:rPr>
            </w:pPr>
            <w:r>
              <w:rPr>
                <w:sz w:val="22"/>
              </w:rPr>
              <w:t>162</w:t>
            </w:r>
          </w:p>
        </w:tc>
        <w:tc>
          <w:tcPr>
            <w:tcW w:w="701" w:type="pct"/>
            <w:vAlign w:val="bottom"/>
          </w:tcPr>
          <w:p w:rsidR="00000000" w:rsidRDefault="00000000">
            <w:pPr>
              <w:tabs>
                <w:tab w:val="decimal" w:pos="717"/>
              </w:tabs>
              <w:rPr>
                <w:sz w:val="22"/>
              </w:rPr>
            </w:pPr>
            <w:r>
              <w:rPr>
                <w:sz w:val="22"/>
              </w:rPr>
              <w:t>9,6</w:t>
            </w:r>
          </w:p>
        </w:tc>
        <w:tc>
          <w:tcPr>
            <w:tcW w:w="499" w:type="pct"/>
            <w:vAlign w:val="bottom"/>
          </w:tcPr>
          <w:p w:rsidR="00000000" w:rsidRDefault="00000000">
            <w:pPr>
              <w:tabs>
                <w:tab w:val="decimal" w:pos="375"/>
              </w:tabs>
              <w:rPr>
                <w:sz w:val="22"/>
              </w:rPr>
            </w:pPr>
            <w:r>
              <w:rPr>
                <w:sz w:val="22"/>
              </w:rPr>
              <w:t>1,9</w:t>
            </w:r>
          </w:p>
        </w:tc>
      </w:tr>
      <w:tr w:rsidR="00000000">
        <w:tblPrEx>
          <w:tblCellMar>
            <w:top w:w="0" w:type="dxa"/>
            <w:bottom w:w="0" w:type="dxa"/>
          </w:tblCellMar>
        </w:tblPrEx>
        <w:trPr>
          <w:jc w:val="center"/>
        </w:trPr>
        <w:tc>
          <w:tcPr>
            <w:tcW w:w="232" w:type="pct"/>
          </w:tcPr>
          <w:p w:rsidR="00000000" w:rsidRDefault="00000000">
            <w:pPr>
              <w:rPr>
                <w:sz w:val="22"/>
              </w:rPr>
            </w:pPr>
            <w:r>
              <w:rPr>
                <w:sz w:val="22"/>
              </w:rPr>
              <w:t>5.</w:t>
            </w:r>
          </w:p>
        </w:tc>
        <w:tc>
          <w:tcPr>
            <w:tcW w:w="2784" w:type="pct"/>
          </w:tcPr>
          <w:p w:rsidR="00000000" w:rsidRDefault="00000000">
            <w:pPr>
              <w:rPr>
                <w:sz w:val="22"/>
              </w:rPr>
            </w:pPr>
            <w:r>
              <w:rPr>
                <w:sz w:val="22"/>
              </w:rPr>
              <w:t>Neumonía e influenza (J10.0; J11.0; J12; J16; J18)</w:t>
            </w:r>
          </w:p>
        </w:tc>
        <w:tc>
          <w:tcPr>
            <w:tcW w:w="784" w:type="pct"/>
            <w:vAlign w:val="bottom"/>
          </w:tcPr>
          <w:p w:rsidR="00000000" w:rsidRDefault="00000000">
            <w:pPr>
              <w:ind w:right="359"/>
              <w:jc w:val="right"/>
              <w:rPr>
                <w:sz w:val="22"/>
              </w:rPr>
            </w:pPr>
            <w:r>
              <w:rPr>
                <w:sz w:val="22"/>
              </w:rPr>
              <w:t>136</w:t>
            </w:r>
          </w:p>
        </w:tc>
        <w:tc>
          <w:tcPr>
            <w:tcW w:w="701" w:type="pct"/>
            <w:vAlign w:val="bottom"/>
          </w:tcPr>
          <w:p w:rsidR="00000000" w:rsidRDefault="00000000">
            <w:pPr>
              <w:tabs>
                <w:tab w:val="decimal" w:pos="717"/>
              </w:tabs>
              <w:rPr>
                <w:sz w:val="22"/>
              </w:rPr>
            </w:pPr>
            <w:r>
              <w:rPr>
                <w:sz w:val="22"/>
              </w:rPr>
              <w:t>8,1</w:t>
            </w:r>
          </w:p>
        </w:tc>
        <w:tc>
          <w:tcPr>
            <w:tcW w:w="499" w:type="pct"/>
            <w:vAlign w:val="bottom"/>
          </w:tcPr>
          <w:p w:rsidR="00000000" w:rsidRDefault="00000000">
            <w:pPr>
              <w:tabs>
                <w:tab w:val="decimal" w:pos="375"/>
              </w:tabs>
              <w:rPr>
                <w:sz w:val="22"/>
              </w:rPr>
            </w:pPr>
            <w:r>
              <w:rPr>
                <w:sz w:val="22"/>
              </w:rPr>
              <w:t>1,6</w:t>
            </w:r>
          </w:p>
        </w:tc>
      </w:tr>
      <w:tr w:rsidR="00000000">
        <w:tblPrEx>
          <w:tblCellMar>
            <w:top w:w="0" w:type="dxa"/>
            <w:bottom w:w="0" w:type="dxa"/>
          </w:tblCellMar>
        </w:tblPrEx>
        <w:trPr>
          <w:jc w:val="center"/>
        </w:trPr>
        <w:tc>
          <w:tcPr>
            <w:tcW w:w="232" w:type="pct"/>
          </w:tcPr>
          <w:p w:rsidR="00000000" w:rsidRDefault="00000000">
            <w:pPr>
              <w:rPr>
                <w:sz w:val="22"/>
              </w:rPr>
            </w:pPr>
            <w:r>
              <w:rPr>
                <w:sz w:val="22"/>
              </w:rPr>
              <w:t>6.</w:t>
            </w:r>
          </w:p>
        </w:tc>
        <w:tc>
          <w:tcPr>
            <w:tcW w:w="2784" w:type="pct"/>
          </w:tcPr>
          <w:p w:rsidR="00000000" w:rsidRDefault="00000000">
            <w:pPr>
              <w:rPr>
                <w:sz w:val="22"/>
              </w:rPr>
            </w:pPr>
            <w:r>
              <w:rPr>
                <w:sz w:val="22"/>
              </w:rPr>
              <w:t>Diarrea (A02-A09; K50-K52)</w:t>
            </w:r>
          </w:p>
        </w:tc>
        <w:tc>
          <w:tcPr>
            <w:tcW w:w="784" w:type="pct"/>
            <w:vAlign w:val="bottom"/>
          </w:tcPr>
          <w:p w:rsidR="00000000" w:rsidRDefault="00000000">
            <w:pPr>
              <w:ind w:right="359"/>
              <w:jc w:val="right"/>
              <w:rPr>
                <w:sz w:val="22"/>
              </w:rPr>
            </w:pPr>
            <w:r>
              <w:rPr>
                <w:sz w:val="22"/>
              </w:rPr>
              <w:t>94</w:t>
            </w:r>
          </w:p>
        </w:tc>
        <w:tc>
          <w:tcPr>
            <w:tcW w:w="701" w:type="pct"/>
            <w:vAlign w:val="bottom"/>
          </w:tcPr>
          <w:p w:rsidR="00000000" w:rsidRDefault="00000000">
            <w:pPr>
              <w:tabs>
                <w:tab w:val="decimal" w:pos="717"/>
              </w:tabs>
              <w:rPr>
                <w:sz w:val="22"/>
              </w:rPr>
            </w:pPr>
            <w:r>
              <w:rPr>
                <w:sz w:val="22"/>
              </w:rPr>
              <w:t>5,6</w:t>
            </w:r>
          </w:p>
        </w:tc>
        <w:tc>
          <w:tcPr>
            <w:tcW w:w="499" w:type="pct"/>
            <w:vAlign w:val="bottom"/>
          </w:tcPr>
          <w:p w:rsidR="00000000" w:rsidRDefault="00000000">
            <w:pPr>
              <w:tabs>
                <w:tab w:val="decimal" w:pos="375"/>
              </w:tabs>
              <w:rPr>
                <w:sz w:val="22"/>
              </w:rPr>
            </w:pPr>
            <w:r>
              <w:rPr>
                <w:sz w:val="22"/>
              </w:rPr>
              <w:t>1,1</w:t>
            </w:r>
          </w:p>
        </w:tc>
      </w:tr>
      <w:tr w:rsidR="00000000">
        <w:tblPrEx>
          <w:tblCellMar>
            <w:top w:w="0" w:type="dxa"/>
            <w:bottom w:w="0" w:type="dxa"/>
          </w:tblCellMar>
        </w:tblPrEx>
        <w:trPr>
          <w:jc w:val="center"/>
        </w:trPr>
        <w:tc>
          <w:tcPr>
            <w:tcW w:w="232" w:type="pct"/>
          </w:tcPr>
          <w:p w:rsidR="00000000" w:rsidRDefault="00000000">
            <w:pPr>
              <w:rPr>
                <w:sz w:val="22"/>
              </w:rPr>
            </w:pPr>
            <w:r>
              <w:rPr>
                <w:sz w:val="22"/>
              </w:rPr>
              <w:t>7.</w:t>
            </w:r>
          </w:p>
        </w:tc>
        <w:tc>
          <w:tcPr>
            <w:tcW w:w="2784" w:type="pct"/>
          </w:tcPr>
          <w:p w:rsidR="00000000" w:rsidRDefault="00000000">
            <w:pPr>
              <w:rPr>
                <w:sz w:val="22"/>
              </w:rPr>
            </w:pPr>
            <w:r>
              <w:rPr>
                <w:sz w:val="22"/>
              </w:rPr>
              <w:t>Enfermedades nutricionales y anemias (D50-D64; E40</w:t>
            </w:r>
            <w:r>
              <w:rPr>
                <w:sz w:val="22"/>
              </w:rPr>
              <w:noBreakHyphen/>
              <w:t>E46; E50-E64)</w:t>
            </w:r>
          </w:p>
        </w:tc>
        <w:tc>
          <w:tcPr>
            <w:tcW w:w="784" w:type="pct"/>
            <w:vAlign w:val="bottom"/>
          </w:tcPr>
          <w:p w:rsidR="00000000" w:rsidRDefault="00000000">
            <w:pPr>
              <w:ind w:right="359"/>
              <w:jc w:val="right"/>
              <w:rPr>
                <w:sz w:val="22"/>
                <w:lang w:val="en-US"/>
              </w:rPr>
            </w:pPr>
            <w:r>
              <w:rPr>
                <w:sz w:val="22"/>
                <w:lang w:val="en-US"/>
              </w:rPr>
              <w:t>36</w:t>
            </w:r>
          </w:p>
        </w:tc>
        <w:tc>
          <w:tcPr>
            <w:tcW w:w="701" w:type="pct"/>
            <w:vAlign w:val="bottom"/>
          </w:tcPr>
          <w:p w:rsidR="00000000" w:rsidRDefault="00000000">
            <w:pPr>
              <w:tabs>
                <w:tab w:val="decimal" w:pos="717"/>
              </w:tabs>
              <w:rPr>
                <w:sz w:val="22"/>
                <w:lang w:val="en-US"/>
              </w:rPr>
            </w:pPr>
            <w:r>
              <w:rPr>
                <w:sz w:val="22"/>
                <w:lang w:val="en-US"/>
              </w:rPr>
              <w:t>2,1</w:t>
            </w:r>
          </w:p>
        </w:tc>
        <w:tc>
          <w:tcPr>
            <w:tcW w:w="499" w:type="pct"/>
            <w:vAlign w:val="bottom"/>
          </w:tcPr>
          <w:p w:rsidR="00000000" w:rsidRDefault="00000000">
            <w:pPr>
              <w:tabs>
                <w:tab w:val="decimal" w:pos="375"/>
              </w:tabs>
              <w:rPr>
                <w:sz w:val="22"/>
                <w:lang w:val="en-US"/>
              </w:rPr>
            </w:pPr>
            <w:r>
              <w:rPr>
                <w:sz w:val="22"/>
                <w:lang w:val="en-US"/>
              </w:rPr>
              <w:t>0,4</w:t>
            </w:r>
          </w:p>
        </w:tc>
      </w:tr>
      <w:tr w:rsidR="00000000">
        <w:tblPrEx>
          <w:tblCellMar>
            <w:top w:w="0" w:type="dxa"/>
            <w:bottom w:w="0" w:type="dxa"/>
          </w:tblCellMar>
        </w:tblPrEx>
        <w:trPr>
          <w:jc w:val="center"/>
        </w:trPr>
        <w:tc>
          <w:tcPr>
            <w:tcW w:w="232" w:type="pct"/>
          </w:tcPr>
          <w:p w:rsidR="00000000" w:rsidRDefault="00000000">
            <w:pPr>
              <w:rPr>
                <w:sz w:val="22"/>
                <w:lang w:val="en-US"/>
              </w:rPr>
            </w:pPr>
            <w:r>
              <w:rPr>
                <w:sz w:val="22"/>
                <w:lang w:val="en-US"/>
              </w:rPr>
              <w:t>8.</w:t>
            </w:r>
          </w:p>
        </w:tc>
        <w:tc>
          <w:tcPr>
            <w:tcW w:w="2784" w:type="pct"/>
          </w:tcPr>
          <w:p w:rsidR="00000000" w:rsidRDefault="00000000">
            <w:pPr>
              <w:rPr>
                <w:sz w:val="22"/>
                <w:lang w:val="en-US"/>
              </w:rPr>
            </w:pPr>
            <w:r>
              <w:rPr>
                <w:sz w:val="22"/>
                <w:lang w:val="en-US"/>
              </w:rPr>
              <w:t>Meningitis (G00; G03)</w:t>
            </w:r>
          </w:p>
        </w:tc>
        <w:tc>
          <w:tcPr>
            <w:tcW w:w="784" w:type="pct"/>
            <w:vAlign w:val="bottom"/>
          </w:tcPr>
          <w:p w:rsidR="00000000" w:rsidRDefault="00000000">
            <w:pPr>
              <w:ind w:right="359"/>
              <w:jc w:val="right"/>
              <w:rPr>
                <w:sz w:val="22"/>
              </w:rPr>
            </w:pPr>
            <w:r>
              <w:rPr>
                <w:sz w:val="22"/>
              </w:rPr>
              <w:t>28</w:t>
            </w:r>
          </w:p>
        </w:tc>
        <w:tc>
          <w:tcPr>
            <w:tcW w:w="701" w:type="pct"/>
            <w:vAlign w:val="bottom"/>
          </w:tcPr>
          <w:p w:rsidR="00000000" w:rsidRDefault="00000000">
            <w:pPr>
              <w:tabs>
                <w:tab w:val="decimal" w:pos="717"/>
              </w:tabs>
              <w:rPr>
                <w:sz w:val="22"/>
              </w:rPr>
            </w:pPr>
            <w:r>
              <w:rPr>
                <w:sz w:val="22"/>
              </w:rPr>
              <w:t>1,7</w:t>
            </w:r>
          </w:p>
        </w:tc>
        <w:tc>
          <w:tcPr>
            <w:tcW w:w="499" w:type="pct"/>
            <w:vAlign w:val="bottom"/>
          </w:tcPr>
          <w:p w:rsidR="00000000" w:rsidRDefault="00000000">
            <w:pPr>
              <w:tabs>
                <w:tab w:val="decimal" w:pos="375"/>
              </w:tabs>
              <w:rPr>
                <w:sz w:val="22"/>
              </w:rPr>
            </w:pPr>
            <w:r>
              <w:rPr>
                <w:sz w:val="22"/>
              </w:rPr>
              <w:t>0,3</w:t>
            </w:r>
          </w:p>
        </w:tc>
      </w:tr>
      <w:tr w:rsidR="00000000">
        <w:tblPrEx>
          <w:tblCellMar>
            <w:top w:w="0" w:type="dxa"/>
            <w:bottom w:w="0" w:type="dxa"/>
          </w:tblCellMar>
        </w:tblPrEx>
        <w:trPr>
          <w:jc w:val="center"/>
        </w:trPr>
        <w:tc>
          <w:tcPr>
            <w:tcW w:w="232" w:type="pct"/>
          </w:tcPr>
          <w:p w:rsidR="00000000" w:rsidRDefault="00000000">
            <w:pPr>
              <w:rPr>
                <w:sz w:val="22"/>
              </w:rPr>
            </w:pPr>
            <w:r>
              <w:rPr>
                <w:sz w:val="22"/>
              </w:rPr>
              <w:t>9.</w:t>
            </w:r>
          </w:p>
        </w:tc>
        <w:tc>
          <w:tcPr>
            <w:tcW w:w="2784" w:type="pct"/>
          </w:tcPr>
          <w:p w:rsidR="00000000" w:rsidRDefault="00000000">
            <w:pPr>
              <w:rPr>
                <w:sz w:val="22"/>
              </w:rPr>
            </w:pPr>
            <w:r>
              <w:rPr>
                <w:sz w:val="22"/>
              </w:rPr>
              <w:t>Tétanos neonatal (A33; A35)</w:t>
            </w:r>
          </w:p>
        </w:tc>
        <w:tc>
          <w:tcPr>
            <w:tcW w:w="784" w:type="pct"/>
            <w:vAlign w:val="bottom"/>
          </w:tcPr>
          <w:p w:rsidR="00000000" w:rsidRDefault="00000000">
            <w:pPr>
              <w:ind w:right="359"/>
              <w:jc w:val="right"/>
              <w:rPr>
                <w:sz w:val="22"/>
              </w:rPr>
            </w:pPr>
            <w:r>
              <w:rPr>
                <w:sz w:val="22"/>
              </w:rPr>
              <w:t>3</w:t>
            </w:r>
          </w:p>
        </w:tc>
        <w:tc>
          <w:tcPr>
            <w:tcW w:w="701" w:type="pct"/>
            <w:vAlign w:val="bottom"/>
          </w:tcPr>
          <w:p w:rsidR="00000000" w:rsidRDefault="00000000">
            <w:pPr>
              <w:tabs>
                <w:tab w:val="decimal" w:pos="717"/>
              </w:tabs>
              <w:rPr>
                <w:sz w:val="22"/>
              </w:rPr>
            </w:pPr>
            <w:r>
              <w:rPr>
                <w:sz w:val="22"/>
              </w:rPr>
              <w:t>0,2</w:t>
            </w:r>
          </w:p>
        </w:tc>
        <w:tc>
          <w:tcPr>
            <w:tcW w:w="499" w:type="pct"/>
            <w:vAlign w:val="bottom"/>
          </w:tcPr>
          <w:p w:rsidR="00000000" w:rsidRDefault="00000000">
            <w:pPr>
              <w:tabs>
                <w:tab w:val="decimal" w:pos="375"/>
              </w:tabs>
              <w:rPr>
                <w:sz w:val="22"/>
              </w:rPr>
            </w:pPr>
            <w:r>
              <w:rPr>
                <w:sz w:val="22"/>
              </w:rPr>
              <w:t>0,0</w:t>
            </w:r>
          </w:p>
        </w:tc>
      </w:tr>
      <w:tr w:rsidR="00000000">
        <w:tblPrEx>
          <w:tblCellMar>
            <w:top w:w="0" w:type="dxa"/>
            <w:bottom w:w="0" w:type="dxa"/>
          </w:tblCellMar>
        </w:tblPrEx>
        <w:trPr>
          <w:jc w:val="center"/>
        </w:trPr>
        <w:tc>
          <w:tcPr>
            <w:tcW w:w="232" w:type="pct"/>
          </w:tcPr>
          <w:p w:rsidR="00000000" w:rsidRDefault="00000000">
            <w:pPr>
              <w:rPr>
                <w:sz w:val="22"/>
              </w:rPr>
            </w:pPr>
            <w:r>
              <w:rPr>
                <w:sz w:val="22"/>
              </w:rPr>
              <w:t>10.</w:t>
            </w:r>
          </w:p>
        </w:tc>
        <w:tc>
          <w:tcPr>
            <w:tcW w:w="2784" w:type="pct"/>
          </w:tcPr>
          <w:p w:rsidR="00000000" w:rsidRDefault="00000000">
            <w:pPr>
              <w:rPr>
                <w:sz w:val="22"/>
              </w:rPr>
            </w:pPr>
            <w:r>
              <w:rPr>
                <w:sz w:val="22"/>
              </w:rPr>
              <w:t>Síntomas, signos y hallazgos anormales clínicos y de laboratorios no clasificados en otra parte (R00-R99)</w:t>
            </w:r>
          </w:p>
        </w:tc>
        <w:tc>
          <w:tcPr>
            <w:tcW w:w="784" w:type="pct"/>
            <w:vAlign w:val="bottom"/>
          </w:tcPr>
          <w:p w:rsidR="00000000" w:rsidRDefault="00000000">
            <w:pPr>
              <w:ind w:right="359"/>
              <w:jc w:val="right"/>
              <w:rPr>
                <w:sz w:val="22"/>
              </w:rPr>
            </w:pPr>
            <w:r>
              <w:rPr>
                <w:sz w:val="22"/>
              </w:rPr>
              <w:t>83</w:t>
            </w:r>
          </w:p>
        </w:tc>
        <w:tc>
          <w:tcPr>
            <w:tcW w:w="701" w:type="pct"/>
            <w:vAlign w:val="bottom"/>
          </w:tcPr>
          <w:p w:rsidR="00000000" w:rsidRDefault="00000000">
            <w:pPr>
              <w:tabs>
                <w:tab w:val="decimal" w:pos="717"/>
              </w:tabs>
              <w:rPr>
                <w:sz w:val="22"/>
              </w:rPr>
            </w:pPr>
            <w:r>
              <w:rPr>
                <w:sz w:val="22"/>
              </w:rPr>
              <w:t>4,9</w:t>
            </w:r>
          </w:p>
        </w:tc>
        <w:tc>
          <w:tcPr>
            <w:tcW w:w="499" w:type="pct"/>
            <w:vAlign w:val="bottom"/>
          </w:tcPr>
          <w:p w:rsidR="00000000" w:rsidRDefault="00000000">
            <w:pPr>
              <w:tabs>
                <w:tab w:val="decimal" w:pos="375"/>
              </w:tabs>
              <w:rPr>
                <w:sz w:val="22"/>
              </w:rPr>
            </w:pPr>
            <w:r>
              <w:rPr>
                <w:sz w:val="22"/>
              </w:rPr>
              <w:t>1,0</w:t>
            </w:r>
          </w:p>
        </w:tc>
      </w:tr>
      <w:tr w:rsidR="00000000">
        <w:tblPrEx>
          <w:tblCellMar>
            <w:top w:w="0" w:type="dxa"/>
            <w:bottom w:w="0" w:type="dxa"/>
          </w:tblCellMar>
        </w:tblPrEx>
        <w:trPr>
          <w:jc w:val="center"/>
        </w:trPr>
        <w:tc>
          <w:tcPr>
            <w:tcW w:w="232" w:type="pct"/>
          </w:tcPr>
          <w:p w:rsidR="00000000" w:rsidRDefault="00000000">
            <w:pPr>
              <w:rPr>
                <w:sz w:val="22"/>
              </w:rPr>
            </w:pPr>
            <w:r>
              <w:rPr>
                <w:sz w:val="22"/>
              </w:rPr>
              <w:t>11.</w:t>
            </w:r>
          </w:p>
        </w:tc>
        <w:tc>
          <w:tcPr>
            <w:tcW w:w="2784" w:type="pct"/>
          </w:tcPr>
          <w:p w:rsidR="00000000" w:rsidRDefault="00000000">
            <w:pPr>
              <w:rPr>
                <w:sz w:val="22"/>
              </w:rPr>
            </w:pPr>
            <w:r>
              <w:rPr>
                <w:sz w:val="22"/>
              </w:rPr>
              <w:t>Resto de causas</w:t>
            </w:r>
          </w:p>
        </w:tc>
        <w:tc>
          <w:tcPr>
            <w:tcW w:w="784" w:type="pct"/>
          </w:tcPr>
          <w:p w:rsidR="00000000" w:rsidRDefault="00000000">
            <w:pPr>
              <w:ind w:right="359"/>
              <w:jc w:val="right"/>
              <w:rPr>
                <w:sz w:val="22"/>
              </w:rPr>
            </w:pPr>
            <w:r>
              <w:rPr>
                <w:sz w:val="22"/>
              </w:rPr>
              <w:t>272</w:t>
            </w:r>
          </w:p>
        </w:tc>
        <w:tc>
          <w:tcPr>
            <w:tcW w:w="701" w:type="pct"/>
          </w:tcPr>
          <w:p w:rsidR="00000000" w:rsidRDefault="00000000">
            <w:pPr>
              <w:tabs>
                <w:tab w:val="decimal" w:pos="717"/>
              </w:tabs>
              <w:rPr>
                <w:sz w:val="22"/>
              </w:rPr>
            </w:pPr>
            <w:r>
              <w:rPr>
                <w:sz w:val="22"/>
              </w:rPr>
              <w:t>16,2</w:t>
            </w:r>
          </w:p>
        </w:tc>
        <w:tc>
          <w:tcPr>
            <w:tcW w:w="499" w:type="pct"/>
          </w:tcPr>
          <w:p w:rsidR="00000000" w:rsidRDefault="00000000">
            <w:pPr>
              <w:tabs>
                <w:tab w:val="decimal" w:pos="375"/>
              </w:tabs>
              <w:rPr>
                <w:sz w:val="22"/>
              </w:rPr>
            </w:pPr>
            <w:r>
              <w:rPr>
                <w:sz w:val="22"/>
              </w:rPr>
              <w:t>3,1</w:t>
            </w:r>
          </w:p>
        </w:tc>
      </w:tr>
      <w:tr w:rsidR="00000000">
        <w:tblPrEx>
          <w:tblCellMar>
            <w:top w:w="0" w:type="dxa"/>
            <w:bottom w:w="0" w:type="dxa"/>
          </w:tblCellMar>
        </w:tblPrEx>
        <w:trPr>
          <w:jc w:val="center"/>
        </w:trPr>
        <w:tc>
          <w:tcPr>
            <w:tcW w:w="232" w:type="pct"/>
          </w:tcPr>
          <w:p w:rsidR="00000000" w:rsidRDefault="00000000">
            <w:pPr>
              <w:rPr>
                <w:sz w:val="22"/>
              </w:rPr>
            </w:pPr>
          </w:p>
        </w:tc>
        <w:tc>
          <w:tcPr>
            <w:tcW w:w="2784" w:type="pct"/>
          </w:tcPr>
          <w:p w:rsidR="00000000" w:rsidRDefault="00000000">
            <w:pPr>
              <w:tabs>
                <w:tab w:val="left" w:pos="190"/>
              </w:tabs>
              <w:rPr>
                <w:b/>
                <w:bCs/>
                <w:sz w:val="22"/>
              </w:rPr>
            </w:pPr>
            <w:r>
              <w:rPr>
                <w:b/>
                <w:bCs/>
                <w:sz w:val="22"/>
              </w:rPr>
              <w:t>Total general</w:t>
            </w:r>
          </w:p>
        </w:tc>
        <w:tc>
          <w:tcPr>
            <w:tcW w:w="784" w:type="pct"/>
          </w:tcPr>
          <w:p w:rsidR="00000000" w:rsidRDefault="00000000">
            <w:pPr>
              <w:ind w:right="359"/>
              <w:jc w:val="right"/>
              <w:rPr>
                <w:b/>
                <w:bCs/>
                <w:sz w:val="22"/>
              </w:rPr>
            </w:pPr>
            <w:r>
              <w:rPr>
                <w:b/>
                <w:bCs/>
                <w:sz w:val="22"/>
              </w:rPr>
              <w:t>1.683</w:t>
            </w:r>
          </w:p>
        </w:tc>
        <w:tc>
          <w:tcPr>
            <w:tcW w:w="701" w:type="pct"/>
          </w:tcPr>
          <w:p w:rsidR="00000000" w:rsidRDefault="00000000">
            <w:pPr>
              <w:tabs>
                <w:tab w:val="decimal" w:pos="717"/>
              </w:tabs>
              <w:rPr>
                <w:b/>
                <w:bCs/>
                <w:sz w:val="22"/>
              </w:rPr>
            </w:pPr>
            <w:r>
              <w:rPr>
                <w:b/>
                <w:bCs/>
                <w:sz w:val="22"/>
              </w:rPr>
              <w:t>100,0</w:t>
            </w:r>
          </w:p>
        </w:tc>
        <w:tc>
          <w:tcPr>
            <w:tcW w:w="499" w:type="pct"/>
          </w:tcPr>
          <w:p w:rsidR="00000000" w:rsidRDefault="00000000">
            <w:pPr>
              <w:tabs>
                <w:tab w:val="decimal" w:pos="375"/>
              </w:tabs>
              <w:rPr>
                <w:b/>
                <w:bCs/>
                <w:sz w:val="22"/>
              </w:rPr>
            </w:pPr>
            <w:r>
              <w:rPr>
                <w:b/>
                <w:bCs/>
                <w:sz w:val="22"/>
              </w:rPr>
              <w:t>19,4</w:t>
            </w:r>
          </w:p>
        </w:tc>
      </w:tr>
    </w:tbl>
    <w:p w:rsidR="00000000" w:rsidRDefault="00000000">
      <w:pPr>
        <w:spacing w:before="220" w:after="220"/>
        <w:rPr>
          <w:sz w:val="22"/>
        </w:rPr>
      </w:pPr>
      <w:r>
        <w:rPr>
          <w:sz w:val="22"/>
        </w:rPr>
        <w:t>Nacidos vivos registrados en el año 2003 = 86.739.</w:t>
      </w:r>
    </w:p>
    <w:p w:rsidR="00000000" w:rsidRDefault="00000000">
      <w:pPr>
        <w:spacing w:after="480"/>
      </w:pPr>
      <w:r>
        <w:rPr>
          <w:i/>
          <w:iCs/>
          <w:sz w:val="22"/>
        </w:rPr>
        <w:t>Fuente:</w:t>
      </w:r>
      <w:r>
        <w:rPr>
          <w:sz w:val="22"/>
        </w:rPr>
        <w:t xml:space="preserve">  Certificados de defunción registrados.  Departamento bioestadística M. S. P. y B. S.</w:t>
      </w:r>
    </w:p>
    <w:p w:rsidR="00000000" w:rsidRDefault="00000000">
      <w:pPr>
        <w:spacing w:after="240"/>
      </w:pPr>
      <w:r>
        <w:rPr>
          <w:b/>
        </w:rPr>
        <w:t>4.</w:t>
      </w:r>
      <w:r>
        <w:rPr>
          <w:b/>
        </w:rPr>
        <w:tab/>
        <w:t>Salud infantil</w:t>
      </w:r>
    </w:p>
    <w:p w:rsidR="00000000" w:rsidRDefault="00000000">
      <w:pPr>
        <w:spacing w:after="240"/>
      </w:pPr>
      <w:r>
        <w:t>471.</w:t>
      </w:r>
      <w:r>
        <w:tab/>
        <w:t>El comportamiento de las coberturas de vacunación con todos los biológicos en el Paraguay, muestra resultados de cobertura heterogéneos entre los años 1995-2000.  A partir del 2001 los resultados son más homogéneos, siendo un poco más altos los niveles alcanzados en el 2001.  Los años 2002-2003 mantienen niveles por encima de 86% para Pentavalente y OPV y de 90% para BCG y SPR.  Las coberturas de vacunación con Pentavalente en menores de 1 año en el 2005 es del 86% (127.465 menores de 1 año vacunados con tercera dosis de Pentavalente).  Las coberturas de vacunación con SPR en niños y niñas de 1 año de edad en el 2005 es del 91% (130.295 niños y niñas de 1 año vacunados con SPR); las coberturas de vacunación con SPR en niños y niñas de 1 año de edad en el 2005 es del 91% (130.295 niños y niñas de 1 año vacunados con SPR) y durante la campaña nacional de vacunación se vacunó con SR al 100% de la población de 5 a 39 años (3.761.308 vacunados).</w:t>
      </w:r>
    </w:p>
    <w:p w:rsidR="00000000" w:rsidRDefault="00000000">
      <w:pPr>
        <w:spacing w:after="240"/>
        <w:rPr>
          <w:noProof/>
          <w:sz w:val="20"/>
          <w:lang w:eastAsia="es-ES"/>
        </w:rPr>
      </w:pPr>
      <w:r>
        <w:rPr>
          <w:noProof/>
          <w:sz w:val="20"/>
          <w:lang w:eastAsia="es-ES"/>
        </w:rPr>
        <w:pict>
          <v:shape id="_x0000_s1104" type="#_x0000_t75" style="position:absolute;margin-left:-1.2pt;margin-top:-13pt;width:468pt;height:184.7pt;z-index:22;mso-wrap-edited:f" wrapcoords="106 393 106 21207 21459 21207 21459 393 106 393" fillcolor="window">
            <v:imagedata r:id="rId87" o:title=""/>
            <w10:anchorlock/>
          </v:shape>
          <o:OLEObject Type="Embed" ProgID="Excel.Chart.8" ShapeID="_x0000_s1104" DrawAspect="Content" ObjectID="_1394904869" r:id="rId88">
            <o:FieldCodes>\s</o:FieldCodes>
          </o:OLEObject>
        </w:pict>
      </w:r>
    </w:p>
    <w:p w:rsidR="00000000" w:rsidRDefault="00000000">
      <w:pPr>
        <w:spacing w:after="240"/>
        <w:rPr>
          <w:noProof/>
          <w:sz w:val="20"/>
          <w:lang w:eastAsia="es-ES"/>
        </w:rPr>
      </w:pPr>
    </w:p>
    <w:p w:rsidR="00000000" w:rsidRDefault="00000000">
      <w:pPr>
        <w:spacing w:after="240"/>
        <w:rPr>
          <w:noProof/>
          <w:sz w:val="20"/>
          <w:lang w:eastAsia="es-ES"/>
        </w:rPr>
      </w:pPr>
    </w:p>
    <w:p w:rsidR="00000000" w:rsidRDefault="00000000">
      <w:pPr>
        <w:spacing w:after="240"/>
        <w:rPr>
          <w:noProof/>
          <w:sz w:val="20"/>
          <w:lang w:eastAsia="es-ES"/>
        </w:rPr>
      </w:pPr>
    </w:p>
    <w:p w:rsidR="00000000" w:rsidRDefault="00000000">
      <w:pPr>
        <w:spacing w:after="240"/>
        <w:rPr>
          <w:noProof/>
          <w:sz w:val="20"/>
          <w:lang w:eastAsia="es-ES"/>
        </w:rPr>
      </w:pPr>
    </w:p>
    <w:p w:rsidR="00000000" w:rsidRDefault="00000000">
      <w:pPr>
        <w:spacing w:after="240"/>
        <w:rPr>
          <w:noProof/>
          <w:sz w:val="20"/>
          <w:lang w:eastAsia="es-ES"/>
        </w:rPr>
      </w:pPr>
    </w:p>
    <w:p w:rsidR="00000000" w:rsidRDefault="00000000">
      <w:pPr>
        <w:spacing w:after="240"/>
        <w:rPr>
          <w:noProof/>
          <w:sz w:val="20"/>
          <w:lang w:eastAsia="es-ES"/>
        </w:rPr>
      </w:pPr>
    </w:p>
    <w:p w:rsidR="00000000" w:rsidRDefault="00000000">
      <w:pPr>
        <w:spacing w:after="120"/>
        <w:rPr>
          <w:noProof/>
          <w:sz w:val="20"/>
          <w:lang w:eastAsia="es-ES"/>
        </w:rPr>
      </w:pPr>
    </w:p>
    <w:p w:rsidR="00000000" w:rsidRDefault="00000000">
      <w:pPr>
        <w:spacing w:after="240"/>
        <w:ind w:left="567"/>
        <w:rPr>
          <w:b/>
        </w:rPr>
      </w:pPr>
      <w:r>
        <w:rPr>
          <w:b/>
        </w:rPr>
        <w:t>4.1.</w:t>
      </w:r>
      <w:r>
        <w:rPr>
          <w:b/>
        </w:rPr>
        <w:tab/>
        <w:t>Inmunización de niños menores de 5 años</w:t>
      </w:r>
    </w:p>
    <w:p w:rsidR="00000000" w:rsidRDefault="00000000">
      <w:r>
        <w:t>472.</w:t>
      </w:r>
      <w:r>
        <w:tab/>
        <w:t>Algunas de las enfermedades prevenibles mediante inmunización son:  sarampión, tos ferina, tétanos, difteria, poliomielitis y tuberculosis.  En la ENDSSR 2004 se toma como criterio que un(a) niño(a) tiene el esquema completo de vacunación si se ha aplicado una dosis de BCG y sarampión, tres dosis de polio y tres de DPT.  Para la ENDSSR 2004 el criterio incluye la pentavalente en combinación de la DPT, debido principalmente a inconvenientes en los registros de la información y la SPR en sustitución o complementación de la vacuna contra el sarampión.</w:t>
      </w:r>
    </w:p>
    <w:p w:rsidR="00000000" w:rsidRDefault="00000000">
      <w:pPr>
        <w:spacing w:after="240"/>
        <w:rPr>
          <w:b/>
        </w:rPr>
      </w:pPr>
      <w:r>
        <w:rPr>
          <w:noProof/>
          <w:sz w:val="20"/>
        </w:rPr>
        <w:pict>
          <v:shape id="_x0000_s1110" type="#_x0000_t75" alt="" style="position:absolute;margin-left:17.25pt;margin-top:7.35pt;width:393.2pt;height:271.35pt;z-index:24">
            <v:imagedata r:id="rId89" o:title=""/>
            <w10:anchorlock/>
          </v:shape>
          <o:OLEObject Type="Embed" ProgID="Word.Picture.8" ShapeID="_x0000_s1110" DrawAspect="Content" ObjectID="_1394904868" r:id="rId90"/>
        </w:pict>
      </w: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keepNext/>
        <w:spacing w:after="240"/>
        <w:ind w:left="567"/>
        <w:rPr>
          <w:b/>
        </w:rPr>
      </w:pPr>
      <w:r>
        <w:rPr>
          <w:b/>
        </w:rPr>
        <w:t>4.2.</w:t>
      </w:r>
      <w:r>
        <w:rPr>
          <w:b/>
        </w:rPr>
        <w:tab/>
        <w:t>Niveles de inmunización</w:t>
      </w:r>
    </w:p>
    <w:p w:rsidR="00000000" w:rsidRDefault="00000000">
      <w:pPr>
        <w:autoSpaceDE w:val="0"/>
        <w:autoSpaceDN w:val="0"/>
        <w:adjustRightInd w:val="0"/>
        <w:spacing w:after="240"/>
      </w:pPr>
      <w:r>
        <w:t>473.</w:t>
      </w:r>
      <w:r>
        <w:tab/>
        <w:t>Comparando los resultados de la ENDSSR 2004 y la ENDSR 95/96 presentados en él se puede mencionar que en la ENDSSR 2004 las coberturas de inmunización a nivel nacional han aumentado en los últimos años.  Los niños de 12 a 23 meses de edad han sido vacunados en un 65,2%, es decir con el esquema completo de las cuatro vacunas en conjunto (BCG, polio, DPT y sarampión), conforme a referencia de sus madres o a registro en carné de vacunación.  La cobertura es similar en el área urbana (65,8%) y en el rural (64,4%).  En la ENDSR 95/96 la cobertura de las cuatro vacunas a niños de 12 a 23 meses alcanzó a 49,8% para el total del país, siendo mayor en el área urbana (59,4%) que en el área rural (42,8%).</w:t>
      </w:r>
    </w:p>
    <w:p w:rsidR="00000000" w:rsidRDefault="00000000">
      <w:pPr>
        <w:spacing w:after="240"/>
        <w:ind w:left="567"/>
        <w:rPr>
          <w:b/>
          <w:i/>
          <w:iCs/>
        </w:rPr>
      </w:pPr>
      <w:r>
        <w:rPr>
          <w:b/>
          <w:i/>
          <w:iCs/>
        </w:rPr>
        <w:t>4.2.1.  Inmunización según región, educación y nivel socioeconómico</w:t>
      </w:r>
    </w:p>
    <w:p w:rsidR="00000000" w:rsidRDefault="00000000">
      <w:pPr>
        <w:autoSpaceDE w:val="0"/>
        <w:autoSpaceDN w:val="0"/>
        <w:adjustRightInd w:val="0"/>
        <w:spacing w:after="240"/>
      </w:pPr>
      <w:r>
        <w:t>474.</w:t>
      </w:r>
      <w:r>
        <w:tab/>
        <w:t>Cabe resaltar que Gran Asunción presenta el porcentaje más bajo con esquema completo de vacunación (61,3%), por el contrario, Centro Sur es 7 puntos porcentuales mayor (68,6 %), pero la diferencia no es significativa.  El esquema completo es más común en madres con mayor educación, y las que pertenecen al nivel socioeconómico alto.  Asimismo, conforme aumentan las dosis de vacunas, bajan las coberturas, así se observa que DPT para la primera dosis con 94,9% de cobertura disminuye a 82,8% en la tercera (completa).  Lo mismo para polio que pasó de 93,8% en la primera dosis a 82,2% en la tercera.  La BCG y sarampión presentan dosis única, y las proporciones registradas son de 96,11 y 75,2% respectivamente.</w:t>
      </w:r>
    </w:p>
    <w:p w:rsidR="00000000" w:rsidRDefault="00000000">
      <w:pPr>
        <w:spacing w:after="240"/>
        <w:rPr>
          <w:b/>
        </w:rPr>
      </w:pPr>
      <w:r>
        <w:rPr>
          <w:b/>
        </w:rPr>
        <w:t>5.</w:t>
      </w:r>
      <w:r>
        <w:rPr>
          <w:b/>
        </w:rPr>
        <w:tab/>
        <w:t>Acceso a servicios básicos de salud</w:t>
      </w:r>
    </w:p>
    <w:p w:rsidR="00000000" w:rsidRDefault="00000000">
      <w:pPr>
        <w:autoSpaceDE w:val="0"/>
        <w:autoSpaceDN w:val="0"/>
        <w:adjustRightInd w:val="0"/>
        <w:spacing w:after="240"/>
      </w:pPr>
      <w:r>
        <w:t>475.</w:t>
      </w:r>
      <w:r>
        <w:tab/>
        <w:t>Con respecto a la proporción de la población que tiene acceso a personal capacitado para el tratamiento de enfermedades comunes, heridas y cualquiera de los 20 remedios básicos, a una hora de camino o de viaje de los centros de atención, se puede destacar que en el 2000-2001 el 38,6% de la población enferma o accidentada con dolen</w:t>
      </w:r>
      <w:r>
        <w:softHyphen/>
        <w:t>cia no leve no consu</w:t>
      </w:r>
      <w:r>
        <w:t>l</w:t>
      </w:r>
      <w:r>
        <w:t>tó, de los cuales el 6,9% no lo hace por razones geográficas, 33,2% por raz</w:t>
      </w:r>
      <w:r>
        <w:t>o</w:t>
      </w:r>
      <w:r>
        <w:t>nes económicas, 56,1% porque se automedica y el resto por otras razones</w:t>
      </w:r>
      <w:r>
        <w:rPr>
          <w:b/>
          <w:bCs/>
          <w:vertAlign w:val="superscript"/>
        </w:rPr>
        <w:footnoteReference w:id="33"/>
      </w:r>
      <w:r>
        <w:t>.</w:t>
      </w:r>
    </w:p>
    <w:p w:rsidR="00000000" w:rsidRDefault="00000000">
      <w:pPr>
        <w:autoSpaceDE w:val="0"/>
        <w:autoSpaceDN w:val="0"/>
        <w:adjustRightInd w:val="0"/>
        <w:spacing w:after="240"/>
      </w:pPr>
      <w:r>
        <w:t>476.</w:t>
      </w:r>
      <w:r>
        <w:tab/>
        <w:t>Por otro lado, el costo del traslado al centro de salud más cercano puede medirse en términos de tiempo.  En e</w:t>
      </w:r>
      <w:r>
        <w:t>s</w:t>
      </w:r>
      <w:r>
        <w:t>te sentido, el 17,5% de la población enferma o accidentada que consulta se encuentra a más de 30 minutos en el área urbana y más de 60 minutos en el área rural</w:t>
      </w:r>
      <w:r>
        <w:rPr>
          <w:b/>
          <w:bCs/>
          <w:vertAlign w:val="superscript"/>
        </w:rPr>
        <w:footnoteReference w:id="34"/>
      </w:r>
      <w:r>
        <w:t>.</w:t>
      </w:r>
    </w:p>
    <w:p w:rsidR="00000000" w:rsidRDefault="00000000">
      <w:pPr>
        <w:keepNext/>
        <w:autoSpaceDE w:val="0"/>
        <w:autoSpaceDN w:val="0"/>
        <w:adjustRightInd w:val="0"/>
        <w:spacing w:after="240"/>
        <w:jc w:val="center"/>
        <w:rPr>
          <w:b/>
        </w:rPr>
      </w:pPr>
      <w:r>
        <w:rPr>
          <w:b/>
        </w:rPr>
        <w:t>Población total por área de residencia, sexo, tipo de consulta,</w:t>
      </w:r>
      <w:r>
        <w:rPr>
          <w:b/>
        </w:rPr>
        <w:br/>
        <w:t>enfermedad o dolencia en los últimos 90 días</w:t>
      </w:r>
      <w:r>
        <w:rPr>
          <w:rStyle w:val="FootnoteReference"/>
          <w:bCs/>
        </w:rPr>
        <w:footnoteReference w:id="35"/>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09"/>
        <w:gridCol w:w="2281"/>
        <w:gridCol w:w="2039"/>
        <w:gridCol w:w="1865"/>
      </w:tblGrid>
      <w:tr w:rsidR="00000000">
        <w:tblPrEx>
          <w:tblCellMar>
            <w:top w:w="0" w:type="dxa"/>
            <w:bottom w:w="0" w:type="dxa"/>
          </w:tblCellMar>
        </w:tblPrEx>
        <w:trPr>
          <w:cantSplit/>
          <w:jc w:val="center"/>
        </w:trPr>
        <w:tc>
          <w:tcPr>
            <w:tcW w:w="1742" w:type="pct"/>
            <w:vMerge w:val="restart"/>
            <w:vAlign w:val="center"/>
          </w:tcPr>
          <w:p w:rsidR="00000000" w:rsidRDefault="00000000">
            <w:pPr>
              <w:keepNext/>
              <w:keepLines/>
              <w:jc w:val="center"/>
              <w:rPr>
                <w:b/>
                <w:bCs/>
                <w:noProof/>
                <w:lang w:eastAsia="es-ES"/>
              </w:rPr>
            </w:pPr>
            <w:r>
              <w:rPr>
                <w:b/>
                <w:bCs/>
                <w:noProof/>
                <w:lang w:eastAsia="es-ES"/>
              </w:rPr>
              <w:t>Tipo de consulta</w:t>
            </w:r>
          </w:p>
        </w:tc>
        <w:tc>
          <w:tcPr>
            <w:tcW w:w="1201" w:type="pct"/>
            <w:vMerge w:val="restart"/>
            <w:vAlign w:val="center"/>
          </w:tcPr>
          <w:p w:rsidR="00000000" w:rsidRDefault="00000000">
            <w:pPr>
              <w:keepNext/>
              <w:keepLines/>
              <w:jc w:val="center"/>
              <w:rPr>
                <w:b/>
                <w:bCs/>
                <w:noProof/>
                <w:lang w:eastAsia="es-ES"/>
              </w:rPr>
            </w:pPr>
            <w:r>
              <w:rPr>
                <w:b/>
                <w:bCs/>
                <w:noProof/>
                <w:lang w:eastAsia="es-ES"/>
              </w:rPr>
              <w:t>Total</w:t>
            </w:r>
          </w:p>
        </w:tc>
        <w:tc>
          <w:tcPr>
            <w:tcW w:w="2056" w:type="pct"/>
            <w:gridSpan w:val="2"/>
          </w:tcPr>
          <w:p w:rsidR="00000000" w:rsidRDefault="00000000">
            <w:pPr>
              <w:keepNext/>
              <w:keepLines/>
              <w:jc w:val="center"/>
              <w:rPr>
                <w:noProof/>
                <w:lang w:eastAsia="es-ES"/>
              </w:rPr>
            </w:pPr>
            <w:r>
              <w:rPr>
                <w:b/>
                <w:bCs/>
                <w:noProof/>
                <w:lang w:eastAsia="es-ES"/>
              </w:rPr>
              <w:t>Area de residencia</w:t>
            </w:r>
          </w:p>
        </w:tc>
      </w:tr>
      <w:tr w:rsidR="00000000">
        <w:tblPrEx>
          <w:tblCellMar>
            <w:top w:w="0" w:type="dxa"/>
            <w:bottom w:w="0" w:type="dxa"/>
          </w:tblCellMar>
        </w:tblPrEx>
        <w:trPr>
          <w:cantSplit/>
          <w:jc w:val="center"/>
        </w:trPr>
        <w:tc>
          <w:tcPr>
            <w:tcW w:w="1742" w:type="pct"/>
            <w:vMerge/>
          </w:tcPr>
          <w:p w:rsidR="00000000" w:rsidRDefault="00000000">
            <w:pPr>
              <w:keepNext/>
              <w:keepLines/>
              <w:rPr>
                <w:noProof/>
                <w:lang w:eastAsia="es-ES"/>
              </w:rPr>
            </w:pPr>
          </w:p>
        </w:tc>
        <w:tc>
          <w:tcPr>
            <w:tcW w:w="1201" w:type="pct"/>
            <w:vMerge/>
            <w:vAlign w:val="center"/>
          </w:tcPr>
          <w:p w:rsidR="00000000" w:rsidRDefault="00000000">
            <w:pPr>
              <w:keepNext/>
              <w:keepLines/>
              <w:jc w:val="center"/>
              <w:rPr>
                <w:noProof/>
                <w:lang w:eastAsia="es-ES"/>
              </w:rPr>
            </w:pPr>
          </w:p>
        </w:tc>
        <w:tc>
          <w:tcPr>
            <w:tcW w:w="1074" w:type="pct"/>
          </w:tcPr>
          <w:p w:rsidR="00000000" w:rsidRDefault="00000000">
            <w:pPr>
              <w:keepNext/>
              <w:keepLines/>
              <w:jc w:val="center"/>
              <w:rPr>
                <w:b/>
                <w:bCs/>
                <w:noProof/>
                <w:lang w:eastAsia="es-ES"/>
              </w:rPr>
            </w:pPr>
            <w:r>
              <w:rPr>
                <w:b/>
                <w:bCs/>
                <w:noProof/>
                <w:lang w:eastAsia="es-ES"/>
              </w:rPr>
              <w:t>Urbana</w:t>
            </w:r>
          </w:p>
        </w:tc>
        <w:tc>
          <w:tcPr>
            <w:tcW w:w="982" w:type="pct"/>
          </w:tcPr>
          <w:p w:rsidR="00000000" w:rsidRDefault="00000000">
            <w:pPr>
              <w:keepNext/>
              <w:keepLines/>
              <w:jc w:val="center"/>
              <w:rPr>
                <w:b/>
                <w:bCs/>
                <w:noProof/>
                <w:lang w:eastAsia="es-ES"/>
              </w:rPr>
            </w:pPr>
            <w:r>
              <w:rPr>
                <w:b/>
                <w:bCs/>
                <w:noProof/>
                <w:lang w:eastAsia="es-ES"/>
              </w:rPr>
              <w:t>Rural</w:t>
            </w:r>
          </w:p>
        </w:tc>
      </w:tr>
      <w:tr w:rsidR="00000000">
        <w:tblPrEx>
          <w:tblCellMar>
            <w:top w:w="0" w:type="dxa"/>
            <w:bottom w:w="0" w:type="dxa"/>
          </w:tblCellMar>
        </w:tblPrEx>
        <w:trPr>
          <w:jc w:val="center"/>
        </w:trPr>
        <w:tc>
          <w:tcPr>
            <w:tcW w:w="1742" w:type="pct"/>
          </w:tcPr>
          <w:p w:rsidR="00000000" w:rsidRDefault="00000000">
            <w:pPr>
              <w:keepNext/>
              <w:keepLines/>
              <w:rPr>
                <w:b/>
                <w:bCs/>
                <w:noProof/>
                <w:lang w:eastAsia="es-ES"/>
              </w:rPr>
            </w:pPr>
            <w:r>
              <w:rPr>
                <w:b/>
                <w:bCs/>
                <w:noProof/>
                <w:lang w:eastAsia="es-ES"/>
              </w:rPr>
              <w:t>Ambos sexos</w:t>
            </w:r>
          </w:p>
        </w:tc>
        <w:tc>
          <w:tcPr>
            <w:tcW w:w="1201" w:type="pct"/>
            <w:vAlign w:val="bottom"/>
          </w:tcPr>
          <w:p w:rsidR="00000000" w:rsidRDefault="00000000">
            <w:pPr>
              <w:tabs>
                <w:tab w:val="decimal" w:pos="1491"/>
              </w:tabs>
              <w:jc w:val="both"/>
              <w:rPr>
                <w:b/>
                <w:bCs/>
                <w:szCs w:val="20"/>
              </w:rPr>
            </w:pPr>
            <w:r>
              <w:rPr>
                <w:b/>
                <w:bCs/>
                <w:szCs w:val="20"/>
              </w:rPr>
              <w:t>931.282</w:t>
            </w:r>
          </w:p>
        </w:tc>
        <w:tc>
          <w:tcPr>
            <w:tcW w:w="1074" w:type="pct"/>
            <w:vAlign w:val="bottom"/>
          </w:tcPr>
          <w:p w:rsidR="00000000" w:rsidRDefault="00000000">
            <w:pPr>
              <w:tabs>
                <w:tab w:val="decimal" w:pos="1370"/>
              </w:tabs>
              <w:rPr>
                <w:b/>
                <w:bCs/>
                <w:szCs w:val="20"/>
              </w:rPr>
            </w:pPr>
            <w:r>
              <w:rPr>
                <w:b/>
                <w:bCs/>
                <w:szCs w:val="20"/>
              </w:rPr>
              <w:t>426.069</w:t>
            </w:r>
          </w:p>
        </w:tc>
        <w:tc>
          <w:tcPr>
            <w:tcW w:w="982" w:type="pct"/>
            <w:vAlign w:val="bottom"/>
          </w:tcPr>
          <w:p w:rsidR="00000000" w:rsidRDefault="00000000">
            <w:pPr>
              <w:tabs>
                <w:tab w:val="decimal" w:pos="1251"/>
              </w:tabs>
              <w:rPr>
                <w:b/>
                <w:bCs/>
                <w:szCs w:val="20"/>
              </w:rPr>
            </w:pPr>
            <w:r>
              <w:rPr>
                <w:b/>
                <w:bCs/>
                <w:szCs w:val="20"/>
              </w:rPr>
              <w:t>505.213</w:t>
            </w:r>
          </w:p>
        </w:tc>
      </w:tr>
      <w:tr w:rsidR="00000000">
        <w:tblPrEx>
          <w:tblCellMar>
            <w:top w:w="0" w:type="dxa"/>
            <w:bottom w:w="0" w:type="dxa"/>
          </w:tblCellMar>
        </w:tblPrEx>
        <w:trPr>
          <w:jc w:val="center"/>
        </w:trPr>
        <w:tc>
          <w:tcPr>
            <w:tcW w:w="1742" w:type="pct"/>
            <w:vAlign w:val="bottom"/>
          </w:tcPr>
          <w:p w:rsidR="00000000" w:rsidRDefault="00000000">
            <w:pPr>
              <w:keepNext/>
              <w:keepLines/>
              <w:ind w:left="170"/>
              <w:rPr>
                <w:szCs w:val="20"/>
              </w:rPr>
            </w:pPr>
            <w:r>
              <w:rPr>
                <w:szCs w:val="20"/>
              </w:rPr>
              <w:t>Dolencia no grave</w:t>
            </w:r>
          </w:p>
        </w:tc>
        <w:tc>
          <w:tcPr>
            <w:tcW w:w="1201" w:type="pct"/>
            <w:vAlign w:val="bottom"/>
          </w:tcPr>
          <w:p w:rsidR="00000000" w:rsidRDefault="00000000">
            <w:pPr>
              <w:tabs>
                <w:tab w:val="decimal" w:pos="1491"/>
              </w:tabs>
              <w:jc w:val="both"/>
              <w:rPr>
                <w:szCs w:val="20"/>
              </w:rPr>
            </w:pPr>
            <w:r>
              <w:rPr>
                <w:szCs w:val="20"/>
              </w:rPr>
              <w:t xml:space="preserve">22,1 </w:t>
            </w:r>
          </w:p>
        </w:tc>
        <w:tc>
          <w:tcPr>
            <w:tcW w:w="1074" w:type="pct"/>
            <w:vAlign w:val="bottom"/>
          </w:tcPr>
          <w:p w:rsidR="00000000" w:rsidRDefault="00000000">
            <w:pPr>
              <w:tabs>
                <w:tab w:val="decimal" w:pos="1370"/>
              </w:tabs>
              <w:rPr>
                <w:szCs w:val="20"/>
              </w:rPr>
            </w:pPr>
            <w:r>
              <w:rPr>
                <w:szCs w:val="20"/>
              </w:rPr>
              <w:t xml:space="preserve">27,1 </w:t>
            </w:r>
          </w:p>
        </w:tc>
        <w:tc>
          <w:tcPr>
            <w:tcW w:w="982" w:type="pct"/>
            <w:vAlign w:val="bottom"/>
          </w:tcPr>
          <w:p w:rsidR="00000000" w:rsidRDefault="00000000">
            <w:pPr>
              <w:tabs>
                <w:tab w:val="decimal" w:pos="1251"/>
              </w:tabs>
              <w:rPr>
                <w:szCs w:val="20"/>
              </w:rPr>
            </w:pPr>
            <w:r>
              <w:rPr>
                <w:szCs w:val="20"/>
              </w:rPr>
              <w:t xml:space="preserve">17,9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No hay atención cercana</w:t>
            </w:r>
          </w:p>
        </w:tc>
        <w:tc>
          <w:tcPr>
            <w:tcW w:w="1201" w:type="pct"/>
            <w:vAlign w:val="bottom"/>
          </w:tcPr>
          <w:p w:rsidR="00000000" w:rsidRDefault="00000000">
            <w:pPr>
              <w:tabs>
                <w:tab w:val="decimal" w:pos="1491"/>
              </w:tabs>
              <w:jc w:val="both"/>
              <w:rPr>
                <w:szCs w:val="20"/>
              </w:rPr>
            </w:pPr>
            <w:r>
              <w:rPr>
                <w:szCs w:val="20"/>
              </w:rPr>
              <w:t xml:space="preserve">1,4 </w:t>
            </w:r>
          </w:p>
        </w:tc>
        <w:tc>
          <w:tcPr>
            <w:tcW w:w="1074" w:type="pct"/>
            <w:vAlign w:val="bottom"/>
          </w:tcPr>
          <w:p w:rsidR="00000000" w:rsidRDefault="00000000">
            <w:pPr>
              <w:tabs>
                <w:tab w:val="decimal" w:pos="1370"/>
              </w:tabs>
              <w:rPr>
                <w:szCs w:val="20"/>
              </w:rPr>
            </w:pPr>
          </w:p>
        </w:tc>
        <w:tc>
          <w:tcPr>
            <w:tcW w:w="982" w:type="pct"/>
            <w:vAlign w:val="bottom"/>
          </w:tcPr>
          <w:p w:rsidR="00000000" w:rsidRDefault="00000000">
            <w:pPr>
              <w:tabs>
                <w:tab w:val="decimal" w:pos="1251"/>
              </w:tabs>
              <w:rPr>
                <w:szCs w:val="20"/>
              </w:rPr>
            </w:pP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Atención mala</w:t>
            </w:r>
          </w:p>
        </w:tc>
        <w:tc>
          <w:tcPr>
            <w:tcW w:w="1201" w:type="pct"/>
            <w:vAlign w:val="bottom"/>
          </w:tcPr>
          <w:p w:rsidR="00000000" w:rsidRDefault="00000000">
            <w:pPr>
              <w:tabs>
                <w:tab w:val="decimal" w:pos="1491"/>
              </w:tabs>
              <w:jc w:val="both"/>
              <w:rPr>
                <w:szCs w:val="20"/>
              </w:rPr>
            </w:pPr>
            <w:r>
              <w:rPr>
                <w:szCs w:val="20"/>
              </w:rPr>
              <w:t xml:space="preserve">0,1 </w:t>
            </w:r>
          </w:p>
        </w:tc>
        <w:tc>
          <w:tcPr>
            <w:tcW w:w="1074" w:type="pct"/>
            <w:vAlign w:val="bottom"/>
          </w:tcPr>
          <w:p w:rsidR="00000000" w:rsidRDefault="00000000">
            <w:pPr>
              <w:tabs>
                <w:tab w:val="decimal" w:pos="1370"/>
              </w:tabs>
              <w:rPr>
                <w:szCs w:val="20"/>
              </w:rPr>
            </w:pPr>
            <w:r>
              <w:rPr>
                <w:szCs w:val="20"/>
              </w:rPr>
              <w:t xml:space="preserve">0,0 </w:t>
            </w:r>
          </w:p>
        </w:tc>
        <w:tc>
          <w:tcPr>
            <w:tcW w:w="982" w:type="pct"/>
            <w:vAlign w:val="bottom"/>
          </w:tcPr>
          <w:p w:rsidR="00000000" w:rsidRDefault="00000000">
            <w:pPr>
              <w:tabs>
                <w:tab w:val="decimal" w:pos="1251"/>
              </w:tabs>
              <w:rPr>
                <w:szCs w:val="20"/>
              </w:rPr>
            </w:pPr>
            <w:r>
              <w:rPr>
                <w:szCs w:val="20"/>
              </w:rPr>
              <w:t xml:space="preserve">0,2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Consultas caras</w:t>
            </w:r>
          </w:p>
        </w:tc>
        <w:tc>
          <w:tcPr>
            <w:tcW w:w="1201" w:type="pct"/>
            <w:vAlign w:val="bottom"/>
          </w:tcPr>
          <w:p w:rsidR="00000000" w:rsidRDefault="00000000">
            <w:pPr>
              <w:tabs>
                <w:tab w:val="decimal" w:pos="1491"/>
              </w:tabs>
              <w:jc w:val="both"/>
              <w:rPr>
                <w:szCs w:val="20"/>
              </w:rPr>
            </w:pPr>
            <w:r>
              <w:rPr>
                <w:szCs w:val="20"/>
              </w:rPr>
              <w:t xml:space="preserve">6,5 </w:t>
            </w:r>
          </w:p>
        </w:tc>
        <w:tc>
          <w:tcPr>
            <w:tcW w:w="1074" w:type="pct"/>
            <w:vAlign w:val="bottom"/>
          </w:tcPr>
          <w:p w:rsidR="00000000" w:rsidRDefault="00000000">
            <w:pPr>
              <w:tabs>
                <w:tab w:val="decimal" w:pos="1370"/>
              </w:tabs>
              <w:rPr>
                <w:szCs w:val="20"/>
              </w:rPr>
            </w:pPr>
            <w:r>
              <w:rPr>
                <w:szCs w:val="20"/>
              </w:rPr>
              <w:t xml:space="preserve">4,0 </w:t>
            </w:r>
          </w:p>
        </w:tc>
        <w:tc>
          <w:tcPr>
            <w:tcW w:w="982" w:type="pct"/>
            <w:vAlign w:val="bottom"/>
          </w:tcPr>
          <w:p w:rsidR="00000000" w:rsidRDefault="00000000">
            <w:pPr>
              <w:tabs>
                <w:tab w:val="decimal" w:pos="1251"/>
              </w:tabs>
              <w:rPr>
                <w:szCs w:val="20"/>
              </w:rPr>
            </w:pPr>
            <w:r>
              <w:rPr>
                <w:szCs w:val="20"/>
              </w:rPr>
              <w:t xml:space="preserve">8,6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Sin recursos</w:t>
            </w:r>
          </w:p>
        </w:tc>
        <w:tc>
          <w:tcPr>
            <w:tcW w:w="1201" w:type="pct"/>
            <w:vAlign w:val="bottom"/>
          </w:tcPr>
          <w:p w:rsidR="00000000" w:rsidRDefault="00000000">
            <w:pPr>
              <w:tabs>
                <w:tab w:val="decimal" w:pos="1491"/>
              </w:tabs>
              <w:jc w:val="both"/>
              <w:rPr>
                <w:szCs w:val="20"/>
              </w:rPr>
            </w:pPr>
            <w:r>
              <w:rPr>
                <w:szCs w:val="20"/>
              </w:rPr>
              <w:t xml:space="preserve">6,5 </w:t>
            </w:r>
          </w:p>
        </w:tc>
        <w:tc>
          <w:tcPr>
            <w:tcW w:w="1074" w:type="pct"/>
            <w:vAlign w:val="bottom"/>
          </w:tcPr>
          <w:p w:rsidR="00000000" w:rsidRDefault="00000000">
            <w:pPr>
              <w:tabs>
                <w:tab w:val="decimal" w:pos="1370"/>
              </w:tabs>
              <w:rPr>
                <w:szCs w:val="20"/>
              </w:rPr>
            </w:pPr>
            <w:r>
              <w:rPr>
                <w:szCs w:val="20"/>
              </w:rPr>
              <w:t xml:space="preserve">4,6 </w:t>
            </w:r>
          </w:p>
        </w:tc>
        <w:tc>
          <w:tcPr>
            <w:tcW w:w="982" w:type="pct"/>
            <w:vAlign w:val="bottom"/>
          </w:tcPr>
          <w:p w:rsidR="00000000" w:rsidRDefault="00000000">
            <w:pPr>
              <w:tabs>
                <w:tab w:val="decimal" w:pos="1251"/>
              </w:tabs>
              <w:rPr>
                <w:szCs w:val="20"/>
              </w:rPr>
            </w:pPr>
            <w:r>
              <w:rPr>
                <w:szCs w:val="20"/>
              </w:rPr>
              <w:t xml:space="preserve">8,1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Sin recursos para medicinas</w:t>
            </w:r>
          </w:p>
        </w:tc>
        <w:tc>
          <w:tcPr>
            <w:tcW w:w="1201" w:type="pct"/>
            <w:vAlign w:val="bottom"/>
          </w:tcPr>
          <w:p w:rsidR="00000000" w:rsidRDefault="00000000">
            <w:pPr>
              <w:tabs>
                <w:tab w:val="decimal" w:pos="1491"/>
              </w:tabs>
              <w:jc w:val="both"/>
              <w:rPr>
                <w:szCs w:val="20"/>
              </w:rPr>
            </w:pPr>
            <w:r>
              <w:rPr>
                <w:szCs w:val="20"/>
              </w:rPr>
              <w:t xml:space="preserve">2,5 </w:t>
            </w:r>
          </w:p>
        </w:tc>
        <w:tc>
          <w:tcPr>
            <w:tcW w:w="1074" w:type="pct"/>
            <w:vAlign w:val="bottom"/>
          </w:tcPr>
          <w:p w:rsidR="00000000" w:rsidRDefault="00000000">
            <w:pPr>
              <w:tabs>
                <w:tab w:val="decimal" w:pos="1370"/>
              </w:tabs>
              <w:rPr>
                <w:szCs w:val="20"/>
              </w:rPr>
            </w:pPr>
            <w:r>
              <w:rPr>
                <w:szCs w:val="20"/>
              </w:rPr>
              <w:t xml:space="preserve">1,2 </w:t>
            </w:r>
          </w:p>
        </w:tc>
        <w:tc>
          <w:tcPr>
            <w:tcW w:w="982" w:type="pct"/>
            <w:vAlign w:val="bottom"/>
          </w:tcPr>
          <w:p w:rsidR="00000000" w:rsidRDefault="00000000">
            <w:pPr>
              <w:tabs>
                <w:tab w:val="decimal" w:pos="1251"/>
              </w:tabs>
              <w:rPr>
                <w:szCs w:val="20"/>
              </w:rPr>
            </w:pPr>
            <w:r>
              <w:rPr>
                <w:szCs w:val="20"/>
              </w:rPr>
              <w:t xml:space="preserve">3,5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Se automedicó</w:t>
            </w:r>
          </w:p>
        </w:tc>
        <w:tc>
          <w:tcPr>
            <w:tcW w:w="1201" w:type="pct"/>
            <w:vAlign w:val="bottom"/>
          </w:tcPr>
          <w:p w:rsidR="00000000" w:rsidRDefault="00000000">
            <w:pPr>
              <w:tabs>
                <w:tab w:val="decimal" w:pos="1491"/>
              </w:tabs>
              <w:jc w:val="both"/>
              <w:rPr>
                <w:szCs w:val="20"/>
              </w:rPr>
            </w:pPr>
            <w:r>
              <w:rPr>
                <w:szCs w:val="20"/>
              </w:rPr>
              <w:t xml:space="preserve">59,2 </w:t>
            </w:r>
          </w:p>
        </w:tc>
        <w:tc>
          <w:tcPr>
            <w:tcW w:w="1074" w:type="pct"/>
            <w:vAlign w:val="bottom"/>
          </w:tcPr>
          <w:p w:rsidR="00000000" w:rsidRDefault="00000000">
            <w:pPr>
              <w:tabs>
                <w:tab w:val="decimal" w:pos="1370"/>
              </w:tabs>
              <w:rPr>
                <w:szCs w:val="20"/>
              </w:rPr>
            </w:pPr>
            <w:r>
              <w:rPr>
                <w:szCs w:val="20"/>
              </w:rPr>
              <w:t xml:space="preserve">61,1 </w:t>
            </w:r>
          </w:p>
        </w:tc>
        <w:tc>
          <w:tcPr>
            <w:tcW w:w="982" w:type="pct"/>
            <w:vAlign w:val="bottom"/>
          </w:tcPr>
          <w:p w:rsidR="00000000" w:rsidRDefault="00000000">
            <w:pPr>
              <w:tabs>
                <w:tab w:val="decimal" w:pos="1251"/>
              </w:tabs>
              <w:rPr>
                <w:szCs w:val="20"/>
              </w:rPr>
            </w:pPr>
            <w:r>
              <w:rPr>
                <w:szCs w:val="20"/>
              </w:rPr>
              <w:t xml:space="preserve">57,6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No tuvo tiempo</w:t>
            </w:r>
          </w:p>
        </w:tc>
        <w:tc>
          <w:tcPr>
            <w:tcW w:w="1201" w:type="pct"/>
            <w:vAlign w:val="bottom"/>
          </w:tcPr>
          <w:p w:rsidR="00000000" w:rsidRDefault="00000000">
            <w:pPr>
              <w:tabs>
                <w:tab w:val="decimal" w:pos="1491"/>
              </w:tabs>
              <w:jc w:val="both"/>
              <w:rPr>
                <w:szCs w:val="20"/>
              </w:rPr>
            </w:pPr>
            <w:r>
              <w:rPr>
                <w:szCs w:val="20"/>
              </w:rPr>
              <w:t xml:space="preserve">1,3 </w:t>
            </w:r>
          </w:p>
        </w:tc>
        <w:tc>
          <w:tcPr>
            <w:tcW w:w="1074" w:type="pct"/>
            <w:vAlign w:val="bottom"/>
          </w:tcPr>
          <w:p w:rsidR="00000000" w:rsidRDefault="00000000">
            <w:pPr>
              <w:tabs>
                <w:tab w:val="decimal" w:pos="1370"/>
              </w:tabs>
              <w:rPr>
                <w:szCs w:val="20"/>
              </w:rPr>
            </w:pPr>
            <w:r>
              <w:rPr>
                <w:szCs w:val="20"/>
              </w:rPr>
              <w:t xml:space="preserve">1,4 </w:t>
            </w:r>
          </w:p>
        </w:tc>
        <w:tc>
          <w:tcPr>
            <w:tcW w:w="982" w:type="pct"/>
            <w:vAlign w:val="bottom"/>
          </w:tcPr>
          <w:p w:rsidR="00000000" w:rsidRDefault="00000000">
            <w:pPr>
              <w:tabs>
                <w:tab w:val="decimal" w:pos="1251"/>
              </w:tabs>
              <w:rPr>
                <w:szCs w:val="20"/>
              </w:rPr>
            </w:pPr>
            <w:r>
              <w:rPr>
                <w:szCs w:val="20"/>
              </w:rPr>
              <w:t xml:space="preserve">1,2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Otras razones</w:t>
            </w:r>
          </w:p>
        </w:tc>
        <w:tc>
          <w:tcPr>
            <w:tcW w:w="1201" w:type="pct"/>
            <w:vAlign w:val="bottom"/>
          </w:tcPr>
          <w:p w:rsidR="00000000" w:rsidRDefault="00000000">
            <w:pPr>
              <w:tabs>
                <w:tab w:val="decimal" w:pos="1491"/>
              </w:tabs>
              <w:jc w:val="both"/>
              <w:rPr>
                <w:szCs w:val="20"/>
              </w:rPr>
            </w:pPr>
            <w:r>
              <w:rPr>
                <w:szCs w:val="20"/>
              </w:rPr>
              <w:t xml:space="preserve">0,3 </w:t>
            </w:r>
          </w:p>
        </w:tc>
        <w:tc>
          <w:tcPr>
            <w:tcW w:w="1074" w:type="pct"/>
            <w:vAlign w:val="bottom"/>
          </w:tcPr>
          <w:p w:rsidR="00000000" w:rsidRDefault="00000000">
            <w:pPr>
              <w:tabs>
                <w:tab w:val="decimal" w:pos="1370"/>
              </w:tabs>
              <w:rPr>
                <w:szCs w:val="20"/>
              </w:rPr>
            </w:pPr>
            <w:r>
              <w:rPr>
                <w:szCs w:val="20"/>
              </w:rPr>
              <w:t xml:space="preserve">0,3 </w:t>
            </w:r>
          </w:p>
        </w:tc>
        <w:tc>
          <w:tcPr>
            <w:tcW w:w="982" w:type="pct"/>
            <w:vAlign w:val="bottom"/>
          </w:tcPr>
          <w:p w:rsidR="00000000" w:rsidRDefault="00000000">
            <w:pPr>
              <w:tabs>
                <w:tab w:val="decimal" w:pos="1251"/>
              </w:tabs>
              <w:rPr>
                <w:szCs w:val="20"/>
              </w:rPr>
            </w:pPr>
            <w:r>
              <w:rPr>
                <w:szCs w:val="20"/>
              </w:rPr>
              <w:t xml:space="preserve">0,3 </w:t>
            </w:r>
          </w:p>
        </w:tc>
      </w:tr>
      <w:tr w:rsidR="00000000">
        <w:tblPrEx>
          <w:tblCellMar>
            <w:top w:w="0" w:type="dxa"/>
            <w:bottom w:w="0" w:type="dxa"/>
          </w:tblCellMar>
        </w:tblPrEx>
        <w:trPr>
          <w:jc w:val="center"/>
        </w:trPr>
        <w:tc>
          <w:tcPr>
            <w:tcW w:w="1742" w:type="pct"/>
            <w:vAlign w:val="bottom"/>
          </w:tcPr>
          <w:p w:rsidR="00000000" w:rsidRDefault="00000000">
            <w:pPr>
              <w:rPr>
                <w:b/>
                <w:bCs/>
                <w:szCs w:val="20"/>
              </w:rPr>
            </w:pPr>
            <w:r>
              <w:rPr>
                <w:b/>
                <w:bCs/>
                <w:szCs w:val="20"/>
              </w:rPr>
              <w:t>Hombres</w:t>
            </w:r>
          </w:p>
        </w:tc>
        <w:tc>
          <w:tcPr>
            <w:tcW w:w="1201" w:type="pct"/>
            <w:vAlign w:val="bottom"/>
          </w:tcPr>
          <w:p w:rsidR="00000000" w:rsidRDefault="00000000">
            <w:pPr>
              <w:tabs>
                <w:tab w:val="decimal" w:pos="1491"/>
              </w:tabs>
              <w:jc w:val="both"/>
              <w:rPr>
                <w:b/>
                <w:bCs/>
                <w:szCs w:val="20"/>
              </w:rPr>
            </w:pPr>
            <w:r>
              <w:rPr>
                <w:b/>
                <w:bCs/>
                <w:szCs w:val="20"/>
              </w:rPr>
              <w:t>472.683</w:t>
            </w:r>
          </w:p>
        </w:tc>
        <w:tc>
          <w:tcPr>
            <w:tcW w:w="1074" w:type="pct"/>
            <w:vAlign w:val="bottom"/>
          </w:tcPr>
          <w:p w:rsidR="00000000" w:rsidRDefault="00000000">
            <w:pPr>
              <w:tabs>
                <w:tab w:val="decimal" w:pos="1370"/>
              </w:tabs>
              <w:rPr>
                <w:b/>
                <w:bCs/>
                <w:szCs w:val="20"/>
              </w:rPr>
            </w:pPr>
            <w:r>
              <w:rPr>
                <w:b/>
                <w:bCs/>
                <w:szCs w:val="20"/>
              </w:rPr>
              <w:t>212.465</w:t>
            </w:r>
          </w:p>
        </w:tc>
        <w:tc>
          <w:tcPr>
            <w:tcW w:w="982" w:type="pct"/>
            <w:vAlign w:val="bottom"/>
          </w:tcPr>
          <w:p w:rsidR="00000000" w:rsidRDefault="00000000">
            <w:pPr>
              <w:tabs>
                <w:tab w:val="decimal" w:pos="1251"/>
              </w:tabs>
              <w:rPr>
                <w:b/>
                <w:bCs/>
                <w:szCs w:val="20"/>
              </w:rPr>
            </w:pPr>
            <w:r>
              <w:rPr>
                <w:b/>
                <w:bCs/>
                <w:szCs w:val="20"/>
              </w:rPr>
              <w:t>260.218</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Dolencia no grave</w:t>
            </w:r>
          </w:p>
        </w:tc>
        <w:tc>
          <w:tcPr>
            <w:tcW w:w="1201" w:type="pct"/>
            <w:vAlign w:val="bottom"/>
          </w:tcPr>
          <w:p w:rsidR="00000000" w:rsidRDefault="00000000">
            <w:pPr>
              <w:tabs>
                <w:tab w:val="decimal" w:pos="1491"/>
              </w:tabs>
              <w:jc w:val="both"/>
              <w:rPr>
                <w:szCs w:val="20"/>
              </w:rPr>
            </w:pPr>
            <w:r>
              <w:rPr>
                <w:szCs w:val="20"/>
              </w:rPr>
              <w:t xml:space="preserve">23,0 </w:t>
            </w:r>
          </w:p>
        </w:tc>
        <w:tc>
          <w:tcPr>
            <w:tcW w:w="1074" w:type="pct"/>
            <w:vAlign w:val="bottom"/>
          </w:tcPr>
          <w:p w:rsidR="00000000" w:rsidRDefault="00000000">
            <w:pPr>
              <w:tabs>
                <w:tab w:val="decimal" w:pos="1370"/>
              </w:tabs>
              <w:rPr>
                <w:szCs w:val="20"/>
              </w:rPr>
            </w:pPr>
            <w:r>
              <w:rPr>
                <w:szCs w:val="20"/>
              </w:rPr>
              <w:t xml:space="preserve">29,1 </w:t>
            </w:r>
          </w:p>
        </w:tc>
        <w:tc>
          <w:tcPr>
            <w:tcW w:w="982" w:type="pct"/>
            <w:vAlign w:val="bottom"/>
          </w:tcPr>
          <w:p w:rsidR="00000000" w:rsidRDefault="00000000">
            <w:pPr>
              <w:tabs>
                <w:tab w:val="decimal" w:pos="1251"/>
              </w:tabs>
              <w:rPr>
                <w:szCs w:val="20"/>
              </w:rPr>
            </w:pPr>
            <w:r>
              <w:rPr>
                <w:szCs w:val="20"/>
              </w:rPr>
              <w:t xml:space="preserve">18,0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No hay atención cercana</w:t>
            </w:r>
          </w:p>
        </w:tc>
        <w:tc>
          <w:tcPr>
            <w:tcW w:w="1201" w:type="pct"/>
            <w:vAlign w:val="bottom"/>
          </w:tcPr>
          <w:p w:rsidR="00000000" w:rsidRDefault="00000000">
            <w:pPr>
              <w:tabs>
                <w:tab w:val="decimal" w:pos="1491"/>
              </w:tabs>
              <w:jc w:val="both"/>
              <w:rPr>
                <w:szCs w:val="20"/>
              </w:rPr>
            </w:pPr>
            <w:r>
              <w:rPr>
                <w:szCs w:val="20"/>
              </w:rPr>
              <w:t xml:space="preserve">1,3 </w:t>
            </w:r>
          </w:p>
        </w:tc>
        <w:tc>
          <w:tcPr>
            <w:tcW w:w="1074" w:type="pct"/>
            <w:vAlign w:val="bottom"/>
          </w:tcPr>
          <w:p w:rsidR="00000000" w:rsidRDefault="00000000">
            <w:pPr>
              <w:tabs>
                <w:tab w:val="decimal" w:pos="1370"/>
              </w:tabs>
              <w:rPr>
                <w:szCs w:val="20"/>
              </w:rPr>
            </w:pPr>
            <w:r>
              <w:rPr>
                <w:szCs w:val="20"/>
              </w:rPr>
              <w:t xml:space="preserve">0,1 </w:t>
            </w:r>
          </w:p>
        </w:tc>
        <w:tc>
          <w:tcPr>
            <w:tcW w:w="982" w:type="pct"/>
            <w:vAlign w:val="bottom"/>
          </w:tcPr>
          <w:p w:rsidR="00000000" w:rsidRDefault="00000000">
            <w:pPr>
              <w:tabs>
                <w:tab w:val="decimal" w:pos="1251"/>
              </w:tabs>
              <w:rPr>
                <w:szCs w:val="20"/>
              </w:rPr>
            </w:pPr>
            <w:r>
              <w:rPr>
                <w:szCs w:val="20"/>
              </w:rPr>
              <w:t xml:space="preserve">2,2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Atención mala</w:t>
            </w:r>
          </w:p>
        </w:tc>
        <w:tc>
          <w:tcPr>
            <w:tcW w:w="1201" w:type="pct"/>
            <w:vAlign w:val="bottom"/>
          </w:tcPr>
          <w:p w:rsidR="00000000" w:rsidRDefault="00000000">
            <w:pPr>
              <w:tabs>
                <w:tab w:val="decimal" w:pos="1491"/>
              </w:tabs>
              <w:jc w:val="both"/>
              <w:rPr>
                <w:szCs w:val="20"/>
              </w:rPr>
            </w:pPr>
            <w:r>
              <w:rPr>
                <w:szCs w:val="20"/>
              </w:rPr>
              <w:t xml:space="preserve">0,2 </w:t>
            </w:r>
          </w:p>
        </w:tc>
        <w:tc>
          <w:tcPr>
            <w:tcW w:w="1074" w:type="pct"/>
            <w:vAlign w:val="bottom"/>
          </w:tcPr>
          <w:p w:rsidR="00000000" w:rsidRDefault="00000000">
            <w:pPr>
              <w:tabs>
                <w:tab w:val="decimal" w:pos="1370"/>
              </w:tabs>
              <w:rPr>
                <w:szCs w:val="20"/>
              </w:rPr>
            </w:pPr>
            <w:r>
              <w:rPr>
                <w:szCs w:val="20"/>
              </w:rPr>
              <w:t xml:space="preserve">0,0 </w:t>
            </w:r>
          </w:p>
        </w:tc>
        <w:tc>
          <w:tcPr>
            <w:tcW w:w="982" w:type="pct"/>
            <w:vAlign w:val="bottom"/>
          </w:tcPr>
          <w:p w:rsidR="00000000" w:rsidRDefault="00000000">
            <w:pPr>
              <w:tabs>
                <w:tab w:val="decimal" w:pos="1251"/>
              </w:tabs>
              <w:rPr>
                <w:szCs w:val="20"/>
              </w:rPr>
            </w:pPr>
            <w:r>
              <w:rPr>
                <w:szCs w:val="20"/>
              </w:rPr>
              <w:t xml:space="preserve">0,3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Consultas caras</w:t>
            </w:r>
          </w:p>
        </w:tc>
        <w:tc>
          <w:tcPr>
            <w:tcW w:w="1201" w:type="pct"/>
            <w:vAlign w:val="bottom"/>
          </w:tcPr>
          <w:p w:rsidR="00000000" w:rsidRDefault="00000000">
            <w:pPr>
              <w:tabs>
                <w:tab w:val="decimal" w:pos="1491"/>
              </w:tabs>
              <w:jc w:val="both"/>
              <w:rPr>
                <w:szCs w:val="20"/>
              </w:rPr>
            </w:pPr>
            <w:r>
              <w:rPr>
                <w:szCs w:val="20"/>
              </w:rPr>
              <w:t xml:space="preserve">5,6 </w:t>
            </w:r>
          </w:p>
        </w:tc>
        <w:tc>
          <w:tcPr>
            <w:tcW w:w="1074" w:type="pct"/>
            <w:vAlign w:val="bottom"/>
          </w:tcPr>
          <w:p w:rsidR="00000000" w:rsidRDefault="00000000">
            <w:pPr>
              <w:tabs>
                <w:tab w:val="decimal" w:pos="1370"/>
              </w:tabs>
              <w:rPr>
                <w:szCs w:val="20"/>
              </w:rPr>
            </w:pPr>
            <w:r>
              <w:rPr>
                <w:szCs w:val="20"/>
              </w:rPr>
              <w:t xml:space="preserve">2,6 </w:t>
            </w:r>
          </w:p>
        </w:tc>
        <w:tc>
          <w:tcPr>
            <w:tcW w:w="982" w:type="pct"/>
            <w:vAlign w:val="bottom"/>
          </w:tcPr>
          <w:p w:rsidR="00000000" w:rsidRDefault="00000000">
            <w:pPr>
              <w:tabs>
                <w:tab w:val="decimal" w:pos="1251"/>
              </w:tabs>
              <w:rPr>
                <w:szCs w:val="20"/>
              </w:rPr>
            </w:pPr>
            <w:r>
              <w:rPr>
                <w:szCs w:val="20"/>
              </w:rPr>
              <w:t xml:space="preserve">8,1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Sin recursos</w:t>
            </w:r>
          </w:p>
        </w:tc>
        <w:tc>
          <w:tcPr>
            <w:tcW w:w="1201" w:type="pct"/>
            <w:vAlign w:val="bottom"/>
          </w:tcPr>
          <w:p w:rsidR="00000000" w:rsidRDefault="00000000">
            <w:pPr>
              <w:tabs>
                <w:tab w:val="decimal" w:pos="1491"/>
              </w:tabs>
              <w:jc w:val="both"/>
              <w:rPr>
                <w:szCs w:val="20"/>
              </w:rPr>
            </w:pPr>
            <w:r>
              <w:rPr>
                <w:szCs w:val="20"/>
              </w:rPr>
              <w:t xml:space="preserve">6,9 </w:t>
            </w:r>
          </w:p>
        </w:tc>
        <w:tc>
          <w:tcPr>
            <w:tcW w:w="1074" w:type="pct"/>
            <w:vAlign w:val="bottom"/>
          </w:tcPr>
          <w:p w:rsidR="00000000" w:rsidRDefault="00000000">
            <w:pPr>
              <w:tabs>
                <w:tab w:val="decimal" w:pos="1370"/>
              </w:tabs>
              <w:rPr>
                <w:szCs w:val="20"/>
              </w:rPr>
            </w:pPr>
            <w:r>
              <w:rPr>
                <w:szCs w:val="20"/>
              </w:rPr>
              <w:t xml:space="preserve">4,5 </w:t>
            </w:r>
          </w:p>
        </w:tc>
        <w:tc>
          <w:tcPr>
            <w:tcW w:w="982" w:type="pct"/>
            <w:vAlign w:val="bottom"/>
          </w:tcPr>
          <w:p w:rsidR="00000000" w:rsidRDefault="00000000">
            <w:pPr>
              <w:tabs>
                <w:tab w:val="decimal" w:pos="1251"/>
              </w:tabs>
              <w:rPr>
                <w:szCs w:val="20"/>
              </w:rPr>
            </w:pPr>
            <w:r>
              <w:rPr>
                <w:szCs w:val="20"/>
              </w:rPr>
              <w:t xml:space="preserve">8,9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Sin recursos para medicinas</w:t>
            </w:r>
          </w:p>
        </w:tc>
        <w:tc>
          <w:tcPr>
            <w:tcW w:w="1201" w:type="pct"/>
            <w:vAlign w:val="bottom"/>
          </w:tcPr>
          <w:p w:rsidR="00000000" w:rsidRDefault="00000000">
            <w:pPr>
              <w:tabs>
                <w:tab w:val="decimal" w:pos="1491"/>
              </w:tabs>
              <w:jc w:val="both"/>
              <w:rPr>
                <w:szCs w:val="20"/>
              </w:rPr>
            </w:pPr>
            <w:r>
              <w:rPr>
                <w:szCs w:val="20"/>
              </w:rPr>
              <w:t xml:space="preserve">2,5 </w:t>
            </w:r>
          </w:p>
        </w:tc>
        <w:tc>
          <w:tcPr>
            <w:tcW w:w="1074" w:type="pct"/>
            <w:vAlign w:val="bottom"/>
          </w:tcPr>
          <w:p w:rsidR="00000000" w:rsidRDefault="00000000">
            <w:pPr>
              <w:tabs>
                <w:tab w:val="decimal" w:pos="1370"/>
              </w:tabs>
              <w:rPr>
                <w:szCs w:val="20"/>
              </w:rPr>
            </w:pPr>
            <w:r>
              <w:rPr>
                <w:szCs w:val="20"/>
              </w:rPr>
              <w:t xml:space="preserve">1,0 </w:t>
            </w:r>
          </w:p>
        </w:tc>
        <w:tc>
          <w:tcPr>
            <w:tcW w:w="982" w:type="pct"/>
            <w:vAlign w:val="bottom"/>
          </w:tcPr>
          <w:p w:rsidR="00000000" w:rsidRDefault="00000000">
            <w:pPr>
              <w:tabs>
                <w:tab w:val="decimal" w:pos="1251"/>
              </w:tabs>
              <w:rPr>
                <w:szCs w:val="20"/>
              </w:rPr>
            </w:pPr>
            <w:r>
              <w:rPr>
                <w:szCs w:val="20"/>
              </w:rPr>
              <w:t xml:space="preserve">3,7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Se automedicó</w:t>
            </w:r>
          </w:p>
        </w:tc>
        <w:tc>
          <w:tcPr>
            <w:tcW w:w="1201" w:type="pct"/>
            <w:vAlign w:val="bottom"/>
          </w:tcPr>
          <w:p w:rsidR="00000000" w:rsidRDefault="00000000">
            <w:pPr>
              <w:tabs>
                <w:tab w:val="decimal" w:pos="1491"/>
              </w:tabs>
              <w:jc w:val="both"/>
              <w:rPr>
                <w:szCs w:val="20"/>
              </w:rPr>
            </w:pPr>
            <w:r>
              <w:rPr>
                <w:szCs w:val="20"/>
              </w:rPr>
              <w:t xml:space="preserve">58,7 </w:t>
            </w:r>
          </w:p>
        </w:tc>
        <w:tc>
          <w:tcPr>
            <w:tcW w:w="1074" w:type="pct"/>
            <w:vAlign w:val="bottom"/>
          </w:tcPr>
          <w:p w:rsidR="00000000" w:rsidRDefault="00000000">
            <w:pPr>
              <w:tabs>
                <w:tab w:val="decimal" w:pos="1370"/>
              </w:tabs>
              <w:rPr>
                <w:szCs w:val="20"/>
              </w:rPr>
            </w:pPr>
            <w:r>
              <w:rPr>
                <w:szCs w:val="20"/>
              </w:rPr>
              <w:t xml:space="preserve">60,8 </w:t>
            </w:r>
          </w:p>
        </w:tc>
        <w:tc>
          <w:tcPr>
            <w:tcW w:w="982" w:type="pct"/>
            <w:vAlign w:val="bottom"/>
          </w:tcPr>
          <w:p w:rsidR="00000000" w:rsidRDefault="00000000">
            <w:pPr>
              <w:tabs>
                <w:tab w:val="decimal" w:pos="1251"/>
              </w:tabs>
              <w:rPr>
                <w:szCs w:val="20"/>
              </w:rPr>
            </w:pPr>
            <w:r>
              <w:rPr>
                <w:szCs w:val="20"/>
              </w:rPr>
              <w:t xml:space="preserve">57,1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No tuvo tiempo</w:t>
            </w:r>
          </w:p>
        </w:tc>
        <w:tc>
          <w:tcPr>
            <w:tcW w:w="1201" w:type="pct"/>
            <w:vAlign w:val="bottom"/>
          </w:tcPr>
          <w:p w:rsidR="00000000" w:rsidRDefault="00000000">
            <w:pPr>
              <w:tabs>
                <w:tab w:val="decimal" w:pos="1491"/>
              </w:tabs>
              <w:jc w:val="both"/>
              <w:rPr>
                <w:szCs w:val="20"/>
              </w:rPr>
            </w:pPr>
          </w:p>
        </w:tc>
        <w:tc>
          <w:tcPr>
            <w:tcW w:w="1074" w:type="pct"/>
            <w:vAlign w:val="bottom"/>
          </w:tcPr>
          <w:p w:rsidR="00000000" w:rsidRDefault="00000000">
            <w:pPr>
              <w:tabs>
                <w:tab w:val="decimal" w:pos="1370"/>
              </w:tabs>
              <w:rPr>
                <w:szCs w:val="20"/>
              </w:rPr>
            </w:pPr>
          </w:p>
        </w:tc>
        <w:tc>
          <w:tcPr>
            <w:tcW w:w="982" w:type="pct"/>
            <w:vAlign w:val="bottom"/>
          </w:tcPr>
          <w:p w:rsidR="00000000" w:rsidRDefault="00000000">
            <w:pPr>
              <w:tabs>
                <w:tab w:val="decimal" w:pos="1251"/>
              </w:tabs>
              <w:rPr>
                <w:szCs w:val="20"/>
              </w:rPr>
            </w:pPr>
            <w:r>
              <w:rPr>
                <w:szCs w:val="20"/>
              </w:rPr>
              <w:t xml:space="preserve">1,3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Otras razones</w:t>
            </w:r>
          </w:p>
        </w:tc>
        <w:tc>
          <w:tcPr>
            <w:tcW w:w="1201" w:type="pct"/>
            <w:vAlign w:val="bottom"/>
          </w:tcPr>
          <w:p w:rsidR="00000000" w:rsidRDefault="00000000">
            <w:pPr>
              <w:tabs>
                <w:tab w:val="decimal" w:pos="1491"/>
              </w:tabs>
              <w:jc w:val="both"/>
              <w:rPr>
                <w:szCs w:val="20"/>
              </w:rPr>
            </w:pPr>
            <w:r>
              <w:rPr>
                <w:szCs w:val="20"/>
              </w:rPr>
              <w:t xml:space="preserve">0,4 </w:t>
            </w:r>
          </w:p>
        </w:tc>
        <w:tc>
          <w:tcPr>
            <w:tcW w:w="1074" w:type="pct"/>
            <w:vAlign w:val="bottom"/>
          </w:tcPr>
          <w:p w:rsidR="00000000" w:rsidRDefault="00000000">
            <w:pPr>
              <w:tabs>
                <w:tab w:val="decimal" w:pos="1370"/>
              </w:tabs>
              <w:rPr>
                <w:szCs w:val="20"/>
              </w:rPr>
            </w:pPr>
            <w:r>
              <w:rPr>
                <w:szCs w:val="20"/>
              </w:rPr>
              <w:t xml:space="preserve">0,4 </w:t>
            </w:r>
          </w:p>
        </w:tc>
        <w:tc>
          <w:tcPr>
            <w:tcW w:w="982" w:type="pct"/>
            <w:vAlign w:val="bottom"/>
          </w:tcPr>
          <w:p w:rsidR="00000000" w:rsidRDefault="00000000">
            <w:pPr>
              <w:tabs>
                <w:tab w:val="decimal" w:pos="1251"/>
              </w:tabs>
              <w:rPr>
                <w:szCs w:val="20"/>
              </w:rPr>
            </w:pPr>
            <w:r>
              <w:rPr>
                <w:szCs w:val="20"/>
              </w:rPr>
              <w:t xml:space="preserve">0,4 </w:t>
            </w:r>
          </w:p>
        </w:tc>
      </w:tr>
      <w:tr w:rsidR="00000000">
        <w:tblPrEx>
          <w:tblCellMar>
            <w:top w:w="0" w:type="dxa"/>
            <w:bottom w:w="0" w:type="dxa"/>
          </w:tblCellMar>
        </w:tblPrEx>
        <w:trPr>
          <w:jc w:val="center"/>
        </w:trPr>
        <w:tc>
          <w:tcPr>
            <w:tcW w:w="1742" w:type="pct"/>
            <w:vAlign w:val="bottom"/>
          </w:tcPr>
          <w:p w:rsidR="00000000" w:rsidRDefault="00000000">
            <w:pPr>
              <w:rPr>
                <w:b/>
                <w:bCs/>
                <w:szCs w:val="20"/>
              </w:rPr>
            </w:pPr>
            <w:r>
              <w:rPr>
                <w:b/>
                <w:bCs/>
                <w:szCs w:val="20"/>
              </w:rPr>
              <w:t>Mujeres</w:t>
            </w:r>
          </w:p>
        </w:tc>
        <w:tc>
          <w:tcPr>
            <w:tcW w:w="1201" w:type="pct"/>
            <w:vAlign w:val="bottom"/>
          </w:tcPr>
          <w:p w:rsidR="00000000" w:rsidRDefault="00000000">
            <w:pPr>
              <w:tabs>
                <w:tab w:val="decimal" w:pos="1491"/>
              </w:tabs>
              <w:jc w:val="both"/>
              <w:rPr>
                <w:b/>
                <w:bCs/>
                <w:szCs w:val="20"/>
              </w:rPr>
            </w:pPr>
            <w:r>
              <w:rPr>
                <w:b/>
                <w:bCs/>
                <w:szCs w:val="20"/>
              </w:rPr>
              <w:t>458.599</w:t>
            </w:r>
          </w:p>
        </w:tc>
        <w:tc>
          <w:tcPr>
            <w:tcW w:w="1074" w:type="pct"/>
            <w:vAlign w:val="bottom"/>
          </w:tcPr>
          <w:p w:rsidR="00000000" w:rsidRDefault="00000000">
            <w:pPr>
              <w:tabs>
                <w:tab w:val="decimal" w:pos="1370"/>
              </w:tabs>
              <w:rPr>
                <w:b/>
                <w:bCs/>
                <w:szCs w:val="20"/>
              </w:rPr>
            </w:pPr>
            <w:r>
              <w:rPr>
                <w:b/>
                <w:bCs/>
                <w:szCs w:val="20"/>
              </w:rPr>
              <w:t>213.604</w:t>
            </w:r>
          </w:p>
        </w:tc>
        <w:tc>
          <w:tcPr>
            <w:tcW w:w="982" w:type="pct"/>
            <w:vAlign w:val="bottom"/>
          </w:tcPr>
          <w:p w:rsidR="00000000" w:rsidRDefault="00000000">
            <w:pPr>
              <w:tabs>
                <w:tab w:val="decimal" w:pos="1251"/>
              </w:tabs>
              <w:rPr>
                <w:b/>
                <w:bCs/>
                <w:szCs w:val="20"/>
              </w:rPr>
            </w:pPr>
            <w:r>
              <w:rPr>
                <w:b/>
                <w:bCs/>
                <w:szCs w:val="20"/>
              </w:rPr>
              <w:t>244.995</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Dolencia no grave</w:t>
            </w:r>
          </w:p>
        </w:tc>
        <w:tc>
          <w:tcPr>
            <w:tcW w:w="1201" w:type="pct"/>
            <w:vAlign w:val="bottom"/>
          </w:tcPr>
          <w:p w:rsidR="00000000" w:rsidRDefault="00000000">
            <w:pPr>
              <w:tabs>
                <w:tab w:val="decimal" w:pos="1491"/>
              </w:tabs>
              <w:jc w:val="both"/>
              <w:rPr>
                <w:szCs w:val="20"/>
              </w:rPr>
            </w:pPr>
            <w:r>
              <w:rPr>
                <w:szCs w:val="20"/>
              </w:rPr>
              <w:t xml:space="preserve">21,2 </w:t>
            </w:r>
          </w:p>
        </w:tc>
        <w:tc>
          <w:tcPr>
            <w:tcW w:w="1074" w:type="pct"/>
            <w:vAlign w:val="bottom"/>
          </w:tcPr>
          <w:p w:rsidR="00000000" w:rsidRDefault="00000000">
            <w:pPr>
              <w:tabs>
                <w:tab w:val="decimal" w:pos="1370"/>
              </w:tabs>
              <w:rPr>
                <w:szCs w:val="20"/>
              </w:rPr>
            </w:pPr>
            <w:r>
              <w:rPr>
                <w:szCs w:val="20"/>
              </w:rPr>
              <w:t xml:space="preserve">25,1 </w:t>
            </w:r>
          </w:p>
        </w:tc>
        <w:tc>
          <w:tcPr>
            <w:tcW w:w="982" w:type="pct"/>
            <w:vAlign w:val="bottom"/>
          </w:tcPr>
          <w:p w:rsidR="00000000" w:rsidRDefault="00000000">
            <w:pPr>
              <w:tabs>
                <w:tab w:val="decimal" w:pos="1251"/>
              </w:tabs>
              <w:rPr>
                <w:szCs w:val="20"/>
              </w:rPr>
            </w:pPr>
            <w:r>
              <w:rPr>
                <w:szCs w:val="20"/>
              </w:rPr>
              <w:t xml:space="preserve">17,8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No hay atención cercana</w:t>
            </w:r>
          </w:p>
        </w:tc>
        <w:tc>
          <w:tcPr>
            <w:tcW w:w="1201" w:type="pct"/>
            <w:vAlign w:val="bottom"/>
          </w:tcPr>
          <w:p w:rsidR="00000000" w:rsidRDefault="00000000">
            <w:pPr>
              <w:tabs>
                <w:tab w:val="decimal" w:pos="1491"/>
              </w:tabs>
              <w:jc w:val="both"/>
              <w:rPr>
                <w:szCs w:val="20"/>
              </w:rPr>
            </w:pPr>
            <w:r>
              <w:rPr>
                <w:szCs w:val="20"/>
              </w:rPr>
              <w:t xml:space="preserve">1,5 </w:t>
            </w:r>
          </w:p>
        </w:tc>
        <w:tc>
          <w:tcPr>
            <w:tcW w:w="1074" w:type="pct"/>
            <w:vAlign w:val="bottom"/>
          </w:tcPr>
          <w:p w:rsidR="00000000" w:rsidRDefault="00000000">
            <w:pPr>
              <w:tabs>
                <w:tab w:val="decimal" w:pos="1370"/>
              </w:tabs>
              <w:rPr>
                <w:szCs w:val="20"/>
              </w:rPr>
            </w:pPr>
            <w:r>
              <w:rPr>
                <w:szCs w:val="20"/>
              </w:rPr>
              <w:t xml:space="preserve">0,2 </w:t>
            </w:r>
          </w:p>
        </w:tc>
        <w:tc>
          <w:tcPr>
            <w:tcW w:w="982" w:type="pct"/>
            <w:vAlign w:val="bottom"/>
          </w:tcPr>
          <w:p w:rsidR="00000000" w:rsidRDefault="00000000">
            <w:pPr>
              <w:tabs>
                <w:tab w:val="decimal" w:pos="1251"/>
              </w:tabs>
              <w:rPr>
                <w:szCs w:val="20"/>
              </w:rPr>
            </w:pPr>
            <w:r>
              <w:rPr>
                <w:szCs w:val="20"/>
              </w:rPr>
              <w:t xml:space="preserve">2,7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Atención mala</w:t>
            </w:r>
          </w:p>
        </w:tc>
        <w:tc>
          <w:tcPr>
            <w:tcW w:w="1201" w:type="pct"/>
            <w:vAlign w:val="bottom"/>
          </w:tcPr>
          <w:p w:rsidR="00000000" w:rsidRDefault="00000000">
            <w:pPr>
              <w:tabs>
                <w:tab w:val="decimal" w:pos="1491"/>
              </w:tabs>
              <w:jc w:val="both"/>
              <w:rPr>
                <w:szCs w:val="20"/>
              </w:rPr>
            </w:pPr>
            <w:r>
              <w:rPr>
                <w:szCs w:val="20"/>
              </w:rPr>
              <w:t xml:space="preserve">0,1 </w:t>
            </w:r>
          </w:p>
        </w:tc>
        <w:tc>
          <w:tcPr>
            <w:tcW w:w="1074" w:type="pct"/>
            <w:vAlign w:val="bottom"/>
          </w:tcPr>
          <w:p w:rsidR="00000000" w:rsidRDefault="00000000">
            <w:pPr>
              <w:tabs>
                <w:tab w:val="decimal" w:pos="1370"/>
              </w:tabs>
              <w:rPr>
                <w:szCs w:val="20"/>
              </w:rPr>
            </w:pPr>
            <w:r>
              <w:rPr>
                <w:szCs w:val="20"/>
              </w:rPr>
              <w:t xml:space="preserve">0,0 </w:t>
            </w:r>
          </w:p>
        </w:tc>
        <w:tc>
          <w:tcPr>
            <w:tcW w:w="982" w:type="pct"/>
            <w:vAlign w:val="bottom"/>
          </w:tcPr>
          <w:p w:rsidR="00000000" w:rsidRDefault="00000000">
            <w:pPr>
              <w:tabs>
                <w:tab w:val="decimal" w:pos="1251"/>
              </w:tabs>
              <w:rPr>
                <w:szCs w:val="20"/>
              </w:rPr>
            </w:pPr>
            <w:r>
              <w:rPr>
                <w:szCs w:val="20"/>
              </w:rPr>
              <w:t xml:space="preserve">0,1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Consultas caras</w:t>
            </w:r>
          </w:p>
        </w:tc>
        <w:tc>
          <w:tcPr>
            <w:tcW w:w="1201" w:type="pct"/>
            <w:vAlign w:val="bottom"/>
          </w:tcPr>
          <w:p w:rsidR="00000000" w:rsidRDefault="00000000">
            <w:pPr>
              <w:tabs>
                <w:tab w:val="decimal" w:pos="1491"/>
              </w:tabs>
              <w:jc w:val="both"/>
              <w:rPr>
                <w:szCs w:val="20"/>
              </w:rPr>
            </w:pPr>
            <w:r>
              <w:rPr>
                <w:szCs w:val="20"/>
              </w:rPr>
              <w:t xml:space="preserve">7,4 </w:t>
            </w:r>
          </w:p>
        </w:tc>
        <w:tc>
          <w:tcPr>
            <w:tcW w:w="1074" w:type="pct"/>
            <w:vAlign w:val="bottom"/>
          </w:tcPr>
          <w:p w:rsidR="00000000" w:rsidRDefault="00000000">
            <w:pPr>
              <w:tabs>
                <w:tab w:val="decimal" w:pos="1370"/>
              </w:tabs>
              <w:rPr>
                <w:szCs w:val="20"/>
              </w:rPr>
            </w:pPr>
            <w:r>
              <w:rPr>
                <w:szCs w:val="20"/>
              </w:rPr>
              <w:t xml:space="preserve">5,3 </w:t>
            </w:r>
          </w:p>
        </w:tc>
        <w:tc>
          <w:tcPr>
            <w:tcW w:w="982" w:type="pct"/>
            <w:vAlign w:val="bottom"/>
          </w:tcPr>
          <w:p w:rsidR="00000000" w:rsidRDefault="00000000">
            <w:pPr>
              <w:tabs>
                <w:tab w:val="decimal" w:pos="1251"/>
              </w:tabs>
              <w:rPr>
                <w:szCs w:val="20"/>
              </w:rPr>
            </w:pPr>
            <w:r>
              <w:rPr>
                <w:szCs w:val="20"/>
              </w:rPr>
              <w:t xml:space="preserve">9,2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Sin recursos</w:t>
            </w:r>
          </w:p>
        </w:tc>
        <w:tc>
          <w:tcPr>
            <w:tcW w:w="1201" w:type="pct"/>
            <w:vAlign w:val="bottom"/>
          </w:tcPr>
          <w:p w:rsidR="00000000" w:rsidRDefault="00000000">
            <w:pPr>
              <w:tabs>
                <w:tab w:val="decimal" w:pos="1491"/>
              </w:tabs>
              <w:jc w:val="both"/>
              <w:rPr>
                <w:szCs w:val="20"/>
              </w:rPr>
            </w:pPr>
            <w:r>
              <w:rPr>
                <w:szCs w:val="20"/>
              </w:rPr>
              <w:t xml:space="preserve">6,1 </w:t>
            </w:r>
          </w:p>
        </w:tc>
        <w:tc>
          <w:tcPr>
            <w:tcW w:w="1074" w:type="pct"/>
            <w:vAlign w:val="bottom"/>
          </w:tcPr>
          <w:p w:rsidR="00000000" w:rsidRDefault="00000000">
            <w:pPr>
              <w:tabs>
                <w:tab w:val="decimal" w:pos="1370"/>
              </w:tabs>
              <w:rPr>
                <w:szCs w:val="20"/>
              </w:rPr>
            </w:pPr>
            <w:r>
              <w:rPr>
                <w:szCs w:val="20"/>
              </w:rPr>
              <w:t xml:space="preserve">4,8 </w:t>
            </w:r>
          </w:p>
        </w:tc>
        <w:tc>
          <w:tcPr>
            <w:tcW w:w="982" w:type="pct"/>
            <w:vAlign w:val="bottom"/>
          </w:tcPr>
          <w:p w:rsidR="00000000" w:rsidRDefault="00000000">
            <w:pPr>
              <w:tabs>
                <w:tab w:val="decimal" w:pos="1251"/>
              </w:tabs>
              <w:rPr>
                <w:szCs w:val="20"/>
              </w:rPr>
            </w:pPr>
            <w:r>
              <w:rPr>
                <w:szCs w:val="20"/>
              </w:rPr>
              <w:t xml:space="preserve">7,2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Sin recursos para medicinas</w:t>
            </w:r>
          </w:p>
        </w:tc>
        <w:tc>
          <w:tcPr>
            <w:tcW w:w="1201" w:type="pct"/>
            <w:vAlign w:val="bottom"/>
          </w:tcPr>
          <w:p w:rsidR="00000000" w:rsidRDefault="00000000">
            <w:pPr>
              <w:tabs>
                <w:tab w:val="decimal" w:pos="1491"/>
              </w:tabs>
              <w:jc w:val="both"/>
              <w:rPr>
                <w:szCs w:val="20"/>
              </w:rPr>
            </w:pPr>
            <w:r>
              <w:rPr>
                <w:szCs w:val="20"/>
              </w:rPr>
              <w:t xml:space="preserve">2,5 </w:t>
            </w:r>
          </w:p>
        </w:tc>
        <w:tc>
          <w:tcPr>
            <w:tcW w:w="1074" w:type="pct"/>
            <w:vAlign w:val="bottom"/>
          </w:tcPr>
          <w:p w:rsidR="00000000" w:rsidRDefault="00000000">
            <w:pPr>
              <w:tabs>
                <w:tab w:val="decimal" w:pos="1370"/>
              </w:tabs>
              <w:rPr>
                <w:szCs w:val="20"/>
              </w:rPr>
            </w:pPr>
            <w:r>
              <w:rPr>
                <w:szCs w:val="20"/>
              </w:rPr>
              <w:t xml:space="preserve">1,4 </w:t>
            </w:r>
          </w:p>
        </w:tc>
        <w:tc>
          <w:tcPr>
            <w:tcW w:w="982" w:type="pct"/>
            <w:vAlign w:val="bottom"/>
          </w:tcPr>
          <w:p w:rsidR="00000000" w:rsidRDefault="00000000">
            <w:pPr>
              <w:tabs>
                <w:tab w:val="decimal" w:pos="1251"/>
              </w:tabs>
              <w:rPr>
                <w:szCs w:val="20"/>
              </w:rPr>
            </w:pPr>
            <w:r>
              <w:rPr>
                <w:szCs w:val="20"/>
              </w:rPr>
              <w:t xml:space="preserve">3,4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Se automedicó</w:t>
            </w:r>
          </w:p>
        </w:tc>
        <w:tc>
          <w:tcPr>
            <w:tcW w:w="1201" w:type="pct"/>
            <w:vAlign w:val="bottom"/>
          </w:tcPr>
          <w:p w:rsidR="00000000" w:rsidRDefault="00000000">
            <w:pPr>
              <w:tabs>
                <w:tab w:val="decimal" w:pos="1491"/>
              </w:tabs>
              <w:jc w:val="both"/>
              <w:rPr>
                <w:szCs w:val="20"/>
              </w:rPr>
            </w:pPr>
            <w:r>
              <w:rPr>
                <w:szCs w:val="20"/>
              </w:rPr>
              <w:t xml:space="preserve">59,7 </w:t>
            </w:r>
          </w:p>
        </w:tc>
        <w:tc>
          <w:tcPr>
            <w:tcW w:w="1074" w:type="pct"/>
            <w:vAlign w:val="bottom"/>
          </w:tcPr>
          <w:p w:rsidR="00000000" w:rsidRDefault="00000000">
            <w:pPr>
              <w:tabs>
                <w:tab w:val="decimal" w:pos="1370"/>
              </w:tabs>
              <w:rPr>
                <w:szCs w:val="20"/>
              </w:rPr>
            </w:pPr>
            <w:r>
              <w:rPr>
                <w:szCs w:val="20"/>
              </w:rPr>
              <w:t xml:space="preserve">61,5 </w:t>
            </w:r>
          </w:p>
        </w:tc>
        <w:tc>
          <w:tcPr>
            <w:tcW w:w="982" w:type="pct"/>
            <w:vAlign w:val="bottom"/>
          </w:tcPr>
          <w:p w:rsidR="00000000" w:rsidRDefault="00000000">
            <w:pPr>
              <w:tabs>
                <w:tab w:val="decimal" w:pos="1251"/>
              </w:tabs>
              <w:rPr>
                <w:szCs w:val="20"/>
              </w:rPr>
            </w:pPr>
            <w:r>
              <w:rPr>
                <w:szCs w:val="20"/>
              </w:rPr>
              <w:t xml:space="preserve">58,2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No tuvo tiempo</w:t>
            </w:r>
          </w:p>
        </w:tc>
        <w:tc>
          <w:tcPr>
            <w:tcW w:w="1201" w:type="pct"/>
            <w:vAlign w:val="bottom"/>
          </w:tcPr>
          <w:p w:rsidR="00000000" w:rsidRDefault="00000000">
            <w:pPr>
              <w:tabs>
                <w:tab w:val="decimal" w:pos="1491"/>
              </w:tabs>
              <w:jc w:val="both"/>
              <w:rPr>
                <w:szCs w:val="20"/>
              </w:rPr>
            </w:pPr>
            <w:r>
              <w:rPr>
                <w:szCs w:val="20"/>
              </w:rPr>
              <w:t xml:space="preserve">1,3 </w:t>
            </w:r>
          </w:p>
        </w:tc>
        <w:tc>
          <w:tcPr>
            <w:tcW w:w="1074" w:type="pct"/>
            <w:vAlign w:val="bottom"/>
          </w:tcPr>
          <w:p w:rsidR="00000000" w:rsidRDefault="00000000">
            <w:pPr>
              <w:tabs>
                <w:tab w:val="decimal" w:pos="1370"/>
              </w:tabs>
              <w:rPr>
                <w:szCs w:val="20"/>
              </w:rPr>
            </w:pPr>
            <w:r>
              <w:rPr>
                <w:szCs w:val="20"/>
              </w:rPr>
              <w:t xml:space="preserve">1,4 </w:t>
            </w:r>
          </w:p>
        </w:tc>
        <w:tc>
          <w:tcPr>
            <w:tcW w:w="982" w:type="pct"/>
            <w:vAlign w:val="bottom"/>
          </w:tcPr>
          <w:p w:rsidR="00000000" w:rsidRDefault="00000000">
            <w:pPr>
              <w:tabs>
                <w:tab w:val="decimal" w:pos="1251"/>
              </w:tabs>
              <w:rPr>
                <w:szCs w:val="20"/>
              </w:rPr>
            </w:pPr>
            <w:r>
              <w:rPr>
                <w:szCs w:val="20"/>
              </w:rPr>
              <w:t xml:space="preserve">1,2 </w:t>
            </w:r>
          </w:p>
        </w:tc>
      </w:tr>
      <w:tr w:rsidR="00000000">
        <w:tblPrEx>
          <w:tblCellMar>
            <w:top w:w="0" w:type="dxa"/>
            <w:bottom w:w="0" w:type="dxa"/>
          </w:tblCellMar>
        </w:tblPrEx>
        <w:trPr>
          <w:jc w:val="center"/>
        </w:trPr>
        <w:tc>
          <w:tcPr>
            <w:tcW w:w="1742" w:type="pct"/>
            <w:vAlign w:val="bottom"/>
          </w:tcPr>
          <w:p w:rsidR="00000000" w:rsidRDefault="00000000">
            <w:pPr>
              <w:ind w:left="170"/>
              <w:rPr>
                <w:szCs w:val="20"/>
              </w:rPr>
            </w:pPr>
            <w:r>
              <w:rPr>
                <w:szCs w:val="20"/>
              </w:rPr>
              <w:t>Otras razones</w:t>
            </w:r>
          </w:p>
        </w:tc>
        <w:tc>
          <w:tcPr>
            <w:tcW w:w="1201" w:type="pct"/>
            <w:vAlign w:val="bottom"/>
          </w:tcPr>
          <w:p w:rsidR="00000000" w:rsidRDefault="00000000">
            <w:pPr>
              <w:tabs>
                <w:tab w:val="decimal" w:pos="1491"/>
              </w:tabs>
              <w:jc w:val="both"/>
              <w:rPr>
                <w:szCs w:val="20"/>
              </w:rPr>
            </w:pPr>
            <w:r>
              <w:rPr>
                <w:szCs w:val="20"/>
              </w:rPr>
              <w:t xml:space="preserve">0,2 </w:t>
            </w:r>
          </w:p>
        </w:tc>
        <w:tc>
          <w:tcPr>
            <w:tcW w:w="1074" w:type="pct"/>
            <w:vAlign w:val="bottom"/>
          </w:tcPr>
          <w:p w:rsidR="00000000" w:rsidRDefault="00000000">
            <w:pPr>
              <w:tabs>
                <w:tab w:val="decimal" w:pos="1370"/>
              </w:tabs>
              <w:rPr>
                <w:szCs w:val="20"/>
              </w:rPr>
            </w:pPr>
            <w:r>
              <w:rPr>
                <w:szCs w:val="20"/>
              </w:rPr>
              <w:t xml:space="preserve">0,2 </w:t>
            </w:r>
          </w:p>
        </w:tc>
        <w:tc>
          <w:tcPr>
            <w:tcW w:w="982" w:type="pct"/>
            <w:vAlign w:val="bottom"/>
          </w:tcPr>
          <w:p w:rsidR="00000000" w:rsidRDefault="00000000">
            <w:pPr>
              <w:tabs>
                <w:tab w:val="decimal" w:pos="1251"/>
              </w:tabs>
              <w:rPr>
                <w:szCs w:val="20"/>
              </w:rPr>
            </w:pPr>
            <w:r>
              <w:rPr>
                <w:szCs w:val="20"/>
              </w:rPr>
              <w:t xml:space="preserve">0,2 </w:t>
            </w:r>
          </w:p>
        </w:tc>
      </w:tr>
    </w:tbl>
    <w:p w:rsidR="00000000" w:rsidRDefault="00000000">
      <w:pPr>
        <w:spacing w:before="220" w:after="480"/>
        <w:rPr>
          <w:bCs/>
          <w:sz w:val="22"/>
        </w:rPr>
      </w:pPr>
      <w:r>
        <w:rPr>
          <w:bCs/>
          <w:i/>
          <w:iCs/>
          <w:sz w:val="22"/>
        </w:rPr>
        <w:t>Fuente</w:t>
      </w:r>
      <w:r>
        <w:rPr>
          <w:bCs/>
          <w:sz w:val="22"/>
        </w:rPr>
        <w:t>:  STP/DGEEC.  Encuesta permanente de hogares 2004.</w:t>
      </w:r>
    </w:p>
    <w:p w:rsidR="00000000" w:rsidRDefault="00000000">
      <w:pPr>
        <w:keepNext/>
        <w:spacing w:after="240"/>
        <w:ind w:left="567"/>
        <w:rPr>
          <w:b/>
        </w:rPr>
      </w:pPr>
      <w:r>
        <w:rPr>
          <w:b/>
        </w:rPr>
        <w:t>5.1.</w:t>
      </w:r>
      <w:r>
        <w:rPr>
          <w:b/>
        </w:rPr>
        <w:tab/>
        <w:t xml:space="preserve">Atención prenatal </w:t>
      </w:r>
    </w:p>
    <w:p w:rsidR="00000000" w:rsidRDefault="00000000">
      <w:pPr>
        <w:autoSpaceDE w:val="0"/>
        <w:autoSpaceDN w:val="0"/>
        <w:adjustRightInd w:val="0"/>
        <w:spacing w:after="240"/>
      </w:pPr>
      <w:r>
        <w:t>477.</w:t>
      </w:r>
      <w:r>
        <w:tab/>
        <w:t>Con relación a la población que tiene acceso a personal capacitado durante embarazo y es atendida por dicho personal en momento del parto, se puede observar que del total de nacimientos ocurridos en el período marzo de 1999 a febrero de 2004, en 94,2% de ellos, sus madres concurrieron al control prenatal por lo menos una vez.  Considerando que en la ENSMI 98 el 88% tuvo al menos un control prenatal, se logró un incremento de 6 puntos porcentuales en seis años.  Este tipo de control es más generalizado en madres con nivel de instrucción superior (99,4%), para 12 y más años de estudio, las que tienen condiciones económicas más favorables (nivel socioeconómico alto, 98,7%), en madres primerizas (97,2%) y de entornos urbanos (96,5%).</w:t>
      </w:r>
    </w:p>
    <w:p w:rsidR="00000000" w:rsidRDefault="00000000">
      <w:pPr>
        <w:autoSpaceDE w:val="0"/>
        <w:autoSpaceDN w:val="0"/>
        <w:adjustRightInd w:val="0"/>
        <w:spacing w:after="240"/>
      </w:pPr>
      <w:r>
        <w:t>478.</w:t>
      </w:r>
      <w:r>
        <w:tab/>
        <w:t>Las madres de Gran Asunción y Centro Sur acudieron a los controles en un 95,9 y 97%, respectivamente.  Es de considerar que el 83,2% de las madres sin educación o con hasta dos años aprobados de estudio tuvo por lo menos un control prenatal.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4"/>
        <w:gridCol w:w="1360"/>
        <w:gridCol w:w="1360"/>
        <w:gridCol w:w="1360"/>
        <w:gridCol w:w="1360"/>
        <w:gridCol w:w="1360"/>
        <w:gridCol w:w="1360"/>
      </w:tblGrid>
      <w:tr w:rsidR="00000000">
        <w:tblPrEx>
          <w:tblCellMar>
            <w:top w:w="0" w:type="dxa"/>
            <w:bottom w:w="0" w:type="dxa"/>
          </w:tblCellMar>
        </w:tblPrEx>
        <w:trPr>
          <w:cantSplit/>
        </w:trPr>
        <w:tc>
          <w:tcPr>
            <w:tcW w:w="1355" w:type="dxa"/>
            <w:vMerge w:val="restart"/>
            <w:vAlign w:val="center"/>
          </w:tcPr>
          <w:p w:rsidR="00000000" w:rsidRDefault="00000000">
            <w:pPr>
              <w:jc w:val="center"/>
              <w:rPr>
                <w:b/>
                <w:bCs/>
                <w:noProof/>
                <w:lang w:eastAsia="es-ES"/>
              </w:rPr>
            </w:pPr>
            <w:r>
              <w:rPr>
                <w:b/>
                <w:bCs/>
                <w:noProof/>
                <w:lang w:eastAsia="es-ES"/>
              </w:rPr>
              <w:t>Control parental</w:t>
            </w:r>
          </w:p>
        </w:tc>
        <w:tc>
          <w:tcPr>
            <w:tcW w:w="4068" w:type="dxa"/>
            <w:gridSpan w:val="3"/>
            <w:vAlign w:val="center"/>
          </w:tcPr>
          <w:p w:rsidR="00000000" w:rsidRDefault="00000000">
            <w:pPr>
              <w:jc w:val="center"/>
              <w:rPr>
                <w:noProof/>
                <w:vertAlign w:val="superscript"/>
                <w:lang w:eastAsia="es-ES"/>
              </w:rPr>
            </w:pPr>
            <w:r>
              <w:rPr>
                <w:b/>
                <w:bCs/>
                <w:noProof/>
                <w:lang w:eastAsia="es-ES"/>
              </w:rPr>
              <w:t>1997/98</w:t>
            </w:r>
            <w:r>
              <w:rPr>
                <w:b/>
                <w:bCs/>
                <w:noProof/>
                <w:vertAlign w:val="superscript"/>
                <w:lang w:eastAsia="es-ES"/>
              </w:rPr>
              <w:t>*</w:t>
            </w:r>
          </w:p>
        </w:tc>
        <w:tc>
          <w:tcPr>
            <w:tcW w:w="4071" w:type="dxa"/>
            <w:gridSpan w:val="3"/>
            <w:vAlign w:val="center"/>
          </w:tcPr>
          <w:p w:rsidR="00000000" w:rsidRDefault="00000000">
            <w:pPr>
              <w:jc w:val="center"/>
              <w:rPr>
                <w:b/>
                <w:bCs/>
                <w:noProof/>
                <w:lang w:eastAsia="es-ES"/>
              </w:rPr>
            </w:pPr>
            <w:r>
              <w:rPr>
                <w:b/>
                <w:bCs/>
                <w:noProof/>
                <w:lang w:eastAsia="es-ES"/>
              </w:rPr>
              <w:t>2000/01</w:t>
            </w:r>
          </w:p>
        </w:tc>
      </w:tr>
      <w:tr w:rsidR="00000000">
        <w:tblPrEx>
          <w:tblCellMar>
            <w:top w:w="0" w:type="dxa"/>
            <w:bottom w:w="0" w:type="dxa"/>
          </w:tblCellMar>
        </w:tblPrEx>
        <w:trPr>
          <w:cantSplit/>
        </w:trPr>
        <w:tc>
          <w:tcPr>
            <w:tcW w:w="1355" w:type="dxa"/>
            <w:vMerge/>
          </w:tcPr>
          <w:p w:rsidR="00000000" w:rsidRDefault="00000000">
            <w:pPr>
              <w:rPr>
                <w:noProof/>
                <w:lang w:eastAsia="es-ES"/>
              </w:rPr>
            </w:pPr>
          </w:p>
        </w:tc>
        <w:tc>
          <w:tcPr>
            <w:tcW w:w="1356" w:type="dxa"/>
            <w:vMerge w:val="restart"/>
            <w:vAlign w:val="center"/>
          </w:tcPr>
          <w:p w:rsidR="00000000" w:rsidRDefault="00000000">
            <w:pPr>
              <w:jc w:val="center"/>
              <w:rPr>
                <w:b/>
                <w:bCs/>
                <w:noProof/>
                <w:lang w:eastAsia="es-ES"/>
              </w:rPr>
            </w:pPr>
            <w:r>
              <w:rPr>
                <w:b/>
                <w:bCs/>
                <w:noProof/>
                <w:lang w:eastAsia="es-ES"/>
              </w:rPr>
              <w:t>Total</w:t>
            </w:r>
          </w:p>
        </w:tc>
        <w:tc>
          <w:tcPr>
            <w:tcW w:w="2712" w:type="dxa"/>
            <w:gridSpan w:val="2"/>
          </w:tcPr>
          <w:p w:rsidR="00000000" w:rsidRDefault="00000000">
            <w:pPr>
              <w:jc w:val="center"/>
              <w:rPr>
                <w:b/>
                <w:bCs/>
                <w:noProof/>
                <w:lang w:eastAsia="es-ES"/>
              </w:rPr>
            </w:pPr>
            <w:r>
              <w:rPr>
                <w:b/>
                <w:bCs/>
                <w:noProof/>
                <w:lang w:eastAsia="es-ES"/>
              </w:rPr>
              <w:t>Area de residencia</w:t>
            </w:r>
          </w:p>
        </w:tc>
        <w:tc>
          <w:tcPr>
            <w:tcW w:w="1357" w:type="dxa"/>
            <w:vMerge w:val="restart"/>
            <w:vAlign w:val="center"/>
          </w:tcPr>
          <w:p w:rsidR="00000000" w:rsidRDefault="00000000">
            <w:pPr>
              <w:jc w:val="center"/>
              <w:rPr>
                <w:b/>
                <w:bCs/>
                <w:noProof/>
                <w:lang w:eastAsia="es-ES"/>
              </w:rPr>
            </w:pPr>
            <w:r>
              <w:rPr>
                <w:b/>
                <w:bCs/>
                <w:noProof/>
                <w:lang w:eastAsia="es-ES"/>
              </w:rPr>
              <w:t>Total</w:t>
            </w:r>
          </w:p>
        </w:tc>
        <w:tc>
          <w:tcPr>
            <w:tcW w:w="2714" w:type="dxa"/>
            <w:gridSpan w:val="2"/>
          </w:tcPr>
          <w:p w:rsidR="00000000" w:rsidRDefault="00000000">
            <w:pPr>
              <w:jc w:val="center"/>
              <w:rPr>
                <w:b/>
                <w:bCs/>
                <w:noProof/>
                <w:lang w:eastAsia="es-ES"/>
              </w:rPr>
            </w:pPr>
            <w:r>
              <w:rPr>
                <w:b/>
                <w:bCs/>
                <w:noProof/>
                <w:lang w:eastAsia="es-ES"/>
              </w:rPr>
              <w:t>Area de residencia</w:t>
            </w:r>
          </w:p>
        </w:tc>
      </w:tr>
      <w:tr w:rsidR="00000000">
        <w:tblPrEx>
          <w:tblCellMar>
            <w:top w:w="0" w:type="dxa"/>
            <w:bottom w:w="0" w:type="dxa"/>
          </w:tblCellMar>
        </w:tblPrEx>
        <w:trPr>
          <w:cantSplit/>
        </w:trPr>
        <w:tc>
          <w:tcPr>
            <w:tcW w:w="1355" w:type="dxa"/>
            <w:vMerge/>
          </w:tcPr>
          <w:p w:rsidR="00000000" w:rsidRDefault="00000000">
            <w:pPr>
              <w:rPr>
                <w:noProof/>
                <w:lang w:eastAsia="es-ES"/>
              </w:rPr>
            </w:pPr>
          </w:p>
        </w:tc>
        <w:tc>
          <w:tcPr>
            <w:tcW w:w="1356" w:type="dxa"/>
            <w:vMerge/>
          </w:tcPr>
          <w:p w:rsidR="00000000" w:rsidRDefault="00000000">
            <w:pPr>
              <w:rPr>
                <w:b/>
                <w:bCs/>
                <w:noProof/>
                <w:lang w:eastAsia="es-ES"/>
              </w:rPr>
            </w:pPr>
          </w:p>
        </w:tc>
        <w:tc>
          <w:tcPr>
            <w:tcW w:w="1356" w:type="dxa"/>
            <w:vAlign w:val="center"/>
          </w:tcPr>
          <w:p w:rsidR="00000000" w:rsidRDefault="00000000">
            <w:pPr>
              <w:jc w:val="center"/>
              <w:rPr>
                <w:b/>
                <w:bCs/>
                <w:noProof/>
                <w:lang w:val="en-US" w:eastAsia="es-ES"/>
              </w:rPr>
            </w:pPr>
            <w:r>
              <w:rPr>
                <w:b/>
                <w:bCs/>
                <w:noProof/>
                <w:lang w:val="en-US" w:eastAsia="es-ES"/>
              </w:rPr>
              <w:t>Urbana</w:t>
            </w:r>
          </w:p>
        </w:tc>
        <w:tc>
          <w:tcPr>
            <w:tcW w:w="1356" w:type="dxa"/>
            <w:vAlign w:val="center"/>
          </w:tcPr>
          <w:p w:rsidR="00000000" w:rsidRDefault="00000000">
            <w:pPr>
              <w:jc w:val="center"/>
              <w:rPr>
                <w:b/>
                <w:bCs/>
                <w:noProof/>
                <w:lang w:val="en-US" w:eastAsia="es-ES"/>
              </w:rPr>
            </w:pPr>
            <w:r>
              <w:rPr>
                <w:b/>
                <w:bCs/>
                <w:noProof/>
                <w:lang w:val="en-US" w:eastAsia="es-ES"/>
              </w:rPr>
              <w:t>Rural</w:t>
            </w:r>
          </w:p>
        </w:tc>
        <w:tc>
          <w:tcPr>
            <w:tcW w:w="1357" w:type="dxa"/>
            <w:vMerge/>
            <w:vAlign w:val="center"/>
          </w:tcPr>
          <w:p w:rsidR="00000000" w:rsidRDefault="00000000">
            <w:pPr>
              <w:jc w:val="center"/>
              <w:rPr>
                <w:b/>
                <w:bCs/>
                <w:noProof/>
                <w:lang w:val="en-US" w:eastAsia="es-ES"/>
              </w:rPr>
            </w:pPr>
          </w:p>
        </w:tc>
        <w:tc>
          <w:tcPr>
            <w:tcW w:w="1357" w:type="dxa"/>
            <w:vAlign w:val="center"/>
          </w:tcPr>
          <w:p w:rsidR="00000000" w:rsidRDefault="00000000">
            <w:pPr>
              <w:jc w:val="center"/>
              <w:rPr>
                <w:b/>
                <w:bCs/>
                <w:noProof/>
                <w:lang w:val="en-US" w:eastAsia="es-ES"/>
              </w:rPr>
            </w:pPr>
            <w:r>
              <w:rPr>
                <w:b/>
                <w:bCs/>
                <w:noProof/>
                <w:lang w:val="en-US" w:eastAsia="es-ES"/>
              </w:rPr>
              <w:t>Urbana</w:t>
            </w:r>
          </w:p>
        </w:tc>
        <w:tc>
          <w:tcPr>
            <w:tcW w:w="1357" w:type="dxa"/>
            <w:vAlign w:val="center"/>
          </w:tcPr>
          <w:p w:rsidR="00000000" w:rsidRDefault="00000000">
            <w:pPr>
              <w:jc w:val="center"/>
              <w:rPr>
                <w:b/>
                <w:bCs/>
                <w:noProof/>
                <w:lang w:eastAsia="es-ES"/>
              </w:rPr>
            </w:pPr>
            <w:r>
              <w:rPr>
                <w:b/>
                <w:bCs/>
                <w:noProof/>
                <w:lang w:eastAsia="es-ES"/>
              </w:rPr>
              <w:t>Rural</w:t>
            </w:r>
          </w:p>
        </w:tc>
      </w:tr>
      <w:tr w:rsidR="00000000">
        <w:tblPrEx>
          <w:tblCellMar>
            <w:top w:w="0" w:type="dxa"/>
            <w:bottom w:w="0" w:type="dxa"/>
          </w:tblCellMar>
        </w:tblPrEx>
        <w:tc>
          <w:tcPr>
            <w:tcW w:w="1355" w:type="dxa"/>
          </w:tcPr>
          <w:p w:rsidR="00000000" w:rsidRDefault="00000000">
            <w:pPr>
              <w:rPr>
                <w:noProof/>
                <w:lang w:eastAsia="es-ES"/>
              </w:rPr>
            </w:pPr>
            <w:r>
              <w:rPr>
                <w:noProof/>
                <w:lang w:eastAsia="es-ES"/>
              </w:rPr>
              <w:t>Realizó</w:t>
            </w:r>
          </w:p>
        </w:tc>
        <w:tc>
          <w:tcPr>
            <w:tcW w:w="1356" w:type="dxa"/>
          </w:tcPr>
          <w:p w:rsidR="00000000" w:rsidRDefault="00000000">
            <w:pPr>
              <w:tabs>
                <w:tab w:val="decimal" w:pos="800"/>
              </w:tabs>
              <w:rPr>
                <w:noProof/>
                <w:lang w:eastAsia="es-ES"/>
              </w:rPr>
            </w:pPr>
            <w:r>
              <w:rPr>
                <w:noProof/>
                <w:lang w:eastAsia="es-ES"/>
              </w:rPr>
              <w:t>61,5</w:t>
            </w:r>
          </w:p>
        </w:tc>
        <w:tc>
          <w:tcPr>
            <w:tcW w:w="1356" w:type="dxa"/>
          </w:tcPr>
          <w:p w:rsidR="00000000" w:rsidRDefault="00000000">
            <w:pPr>
              <w:tabs>
                <w:tab w:val="decimal" w:pos="800"/>
              </w:tabs>
              <w:rPr>
                <w:noProof/>
                <w:lang w:eastAsia="es-ES"/>
              </w:rPr>
            </w:pPr>
            <w:r>
              <w:rPr>
                <w:noProof/>
                <w:lang w:eastAsia="es-ES"/>
              </w:rPr>
              <w:t>68,4</w:t>
            </w:r>
          </w:p>
        </w:tc>
        <w:tc>
          <w:tcPr>
            <w:tcW w:w="1356" w:type="dxa"/>
          </w:tcPr>
          <w:p w:rsidR="00000000" w:rsidRDefault="00000000">
            <w:pPr>
              <w:tabs>
                <w:tab w:val="decimal" w:pos="800"/>
              </w:tabs>
              <w:rPr>
                <w:noProof/>
                <w:lang w:eastAsia="es-ES"/>
              </w:rPr>
            </w:pPr>
            <w:r>
              <w:rPr>
                <w:noProof/>
                <w:lang w:eastAsia="es-ES"/>
              </w:rPr>
              <w:t>51,9</w:t>
            </w:r>
          </w:p>
        </w:tc>
        <w:tc>
          <w:tcPr>
            <w:tcW w:w="1357" w:type="dxa"/>
          </w:tcPr>
          <w:p w:rsidR="00000000" w:rsidRDefault="00000000">
            <w:pPr>
              <w:tabs>
                <w:tab w:val="decimal" w:pos="800"/>
              </w:tabs>
              <w:rPr>
                <w:noProof/>
                <w:lang w:eastAsia="es-ES"/>
              </w:rPr>
            </w:pPr>
            <w:r>
              <w:rPr>
                <w:noProof/>
                <w:lang w:eastAsia="es-ES"/>
              </w:rPr>
              <w:t>73,5</w:t>
            </w:r>
          </w:p>
        </w:tc>
        <w:tc>
          <w:tcPr>
            <w:tcW w:w="1357" w:type="dxa"/>
          </w:tcPr>
          <w:p w:rsidR="00000000" w:rsidRDefault="00000000">
            <w:pPr>
              <w:tabs>
                <w:tab w:val="decimal" w:pos="800"/>
              </w:tabs>
              <w:rPr>
                <w:noProof/>
                <w:lang w:eastAsia="es-ES"/>
              </w:rPr>
            </w:pPr>
            <w:r>
              <w:rPr>
                <w:noProof/>
                <w:lang w:eastAsia="es-ES"/>
              </w:rPr>
              <w:t>81,6</w:t>
            </w:r>
          </w:p>
        </w:tc>
        <w:tc>
          <w:tcPr>
            <w:tcW w:w="1357" w:type="dxa"/>
          </w:tcPr>
          <w:p w:rsidR="00000000" w:rsidRDefault="00000000">
            <w:pPr>
              <w:tabs>
                <w:tab w:val="decimal" w:pos="800"/>
              </w:tabs>
              <w:rPr>
                <w:noProof/>
                <w:lang w:eastAsia="es-ES"/>
              </w:rPr>
            </w:pPr>
            <w:r>
              <w:rPr>
                <w:noProof/>
                <w:lang w:eastAsia="es-ES"/>
              </w:rPr>
              <w:t>64,8</w:t>
            </w:r>
          </w:p>
        </w:tc>
      </w:tr>
      <w:tr w:rsidR="00000000">
        <w:tblPrEx>
          <w:tblCellMar>
            <w:top w:w="0" w:type="dxa"/>
            <w:bottom w:w="0" w:type="dxa"/>
          </w:tblCellMar>
        </w:tblPrEx>
        <w:tc>
          <w:tcPr>
            <w:tcW w:w="1355" w:type="dxa"/>
          </w:tcPr>
          <w:p w:rsidR="00000000" w:rsidRDefault="00000000">
            <w:pPr>
              <w:rPr>
                <w:noProof/>
                <w:lang w:eastAsia="es-ES"/>
              </w:rPr>
            </w:pPr>
            <w:r>
              <w:rPr>
                <w:noProof/>
                <w:lang w:eastAsia="es-ES"/>
              </w:rPr>
              <w:t>No realizó</w:t>
            </w:r>
          </w:p>
        </w:tc>
        <w:tc>
          <w:tcPr>
            <w:tcW w:w="1356" w:type="dxa"/>
          </w:tcPr>
          <w:p w:rsidR="00000000" w:rsidRDefault="00000000">
            <w:pPr>
              <w:tabs>
                <w:tab w:val="decimal" w:pos="800"/>
              </w:tabs>
              <w:rPr>
                <w:noProof/>
                <w:lang w:eastAsia="es-ES"/>
              </w:rPr>
            </w:pPr>
            <w:r>
              <w:rPr>
                <w:noProof/>
                <w:lang w:eastAsia="es-ES"/>
              </w:rPr>
              <w:t>38,5</w:t>
            </w:r>
          </w:p>
        </w:tc>
        <w:tc>
          <w:tcPr>
            <w:tcW w:w="1356" w:type="dxa"/>
          </w:tcPr>
          <w:p w:rsidR="00000000" w:rsidRDefault="00000000">
            <w:pPr>
              <w:tabs>
                <w:tab w:val="decimal" w:pos="800"/>
              </w:tabs>
              <w:rPr>
                <w:noProof/>
                <w:lang w:eastAsia="es-ES"/>
              </w:rPr>
            </w:pPr>
            <w:r>
              <w:rPr>
                <w:noProof/>
                <w:lang w:eastAsia="es-ES"/>
              </w:rPr>
              <w:t>31,6</w:t>
            </w:r>
          </w:p>
        </w:tc>
        <w:tc>
          <w:tcPr>
            <w:tcW w:w="1356" w:type="dxa"/>
          </w:tcPr>
          <w:p w:rsidR="00000000" w:rsidRDefault="00000000">
            <w:pPr>
              <w:tabs>
                <w:tab w:val="decimal" w:pos="800"/>
              </w:tabs>
              <w:rPr>
                <w:noProof/>
                <w:lang w:eastAsia="es-ES"/>
              </w:rPr>
            </w:pPr>
            <w:r>
              <w:rPr>
                <w:noProof/>
                <w:lang w:eastAsia="es-ES"/>
              </w:rPr>
              <w:t>48,1</w:t>
            </w:r>
          </w:p>
        </w:tc>
        <w:tc>
          <w:tcPr>
            <w:tcW w:w="1357" w:type="dxa"/>
          </w:tcPr>
          <w:p w:rsidR="00000000" w:rsidRDefault="00000000">
            <w:pPr>
              <w:tabs>
                <w:tab w:val="decimal" w:pos="800"/>
              </w:tabs>
              <w:rPr>
                <w:noProof/>
                <w:lang w:eastAsia="es-ES"/>
              </w:rPr>
            </w:pPr>
            <w:r>
              <w:rPr>
                <w:noProof/>
                <w:lang w:eastAsia="es-ES"/>
              </w:rPr>
              <w:t>16,5</w:t>
            </w:r>
          </w:p>
        </w:tc>
        <w:tc>
          <w:tcPr>
            <w:tcW w:w="1357" w:type="dxa"/>
          </w:tcPr>
          <w:p w:rsidR="00000000" w:rsidRDefault="00000000">
            <w:pPr>
              <w:tabs>
                <w:tab w:val="decimal" w:pos="800"/>
              </w:tabs>
              <w:rPr>
                <w:noProof/>
                <w:lang w:eastAsia="es-ES"/>
              </w:rPr>
            </w:pPr>
            <w:r>
              <w:rPr>
                <w:noProof/>
                <w:lang w:eastAsia="es-ES"/>
              </w:rPr>
              <w:t>18,4</w:t>
            </w:r>
          </w:p>
        </w:tc>
        <w:tc>
          <w:tcPr>
            <w:tcW w:w="1357" w:type="dxa"/>
          </w:tcPr>
          <w:p w:rsidR="00000000" w:rsidRDefault="00000000">
            <w:pPr>
              <w:tabs>
                <w:tab w:val="decimal" w:pos="800"/>
              </w:tabs>
              <w:rPr>
                <w:noProof/>
                <w:lang w:eastAsia="es-ES"/>
              </w:rPr>
            </w:pPr>
            <w:r>
              <w:rPr>
                <w:noProof/>
                <w:lang w:eastAsia="es-ES"/>
              </w:rPr>
              <w:t>35,2</w:t>
            </w:r>
          </w:p>
        </w:tc>
      </w:tr>
      <w:tr w:rsidR="00000000">
        <w:tblPrEx>
          <w:tblCellMar>
            <w:top w:w="0" w:type="dxa"/>
            <w:bottom w:w="0" w:type="dxa"/>
          </w:tblCellMar>
        </w:tblPrEx>
        <w:tc>
          <w:tcPr>
            <w:tcW w:w="1355" w:type="dxa"/>
          </w:tcPr>
          <w:p w:rsidR="00000000" w:rsidRDefault="00000000">
            <w:pPr>
              <w:tabs>
                <w:tab w:val="left" w:pos="360"/>
              </w:tabs>
              <w:rPr>
                <w:b/>
                <w:bCs/>
                <w:noProof/>
                <w:lang w:eastAsia="es-ES"/>
              </w:rPr>
            </w:pPr>
            <w:r>
              <w:rPr>
                <w:b/>
                <w:bCs/>
                <w:noProof/>
                <w:lang w:eastAsia="es-ES"/>
              </w:rPr>
              <w:tab/>
              <w:t>Total</w:t>
            </w:r>
          </w:p>
        </w:tc>
        <w:tc>
          <w:tcPr>
            <w:tcW w:w="1356" w:type="dxa"/>
          </w:tcPr>
          <w:p w:rsidR="00000000" w:rsidRDefault="00000000">
            <w:pPr>
              <w:tabs>
                <w:tab w:val="decimal" w:pos="800"/>
              </w:tabs>
              <w:rPr>
                <w:b/>
                <w:bCs/>
                <w:noProof/>
                <w:lang w:eastAsia="es-ES"/>
              </w:rPr>
            </w:pPr>
            <w:r>
              <w:rPr>
                <w:b/>
                <w:bCs/>
                <w:noProof/>
                <w:lang w:eastAsia="es-ES"/>
              </w:rPr>
              <w:t>73.065</w:t>
            </w:r>
          </w:p>
        </w:tc>
        <w:tc>
          <w:tcPr>
            <w:tcW w:w="1356" w:type="dxa"/>
          </w:tcPr>
          <w:p w:rsidR="00000000" w:rsidRDefault="00000000">
            <w:pPr>
              <w:tabs>
                <w:tab w:val="decimal" w:pos="800"/>
              </w:tabs>
              <w:rPr>
                <w:b/>
                <w:bCs/>
                <w:noProof/>
                <w:lang w:eastAsia="es-ES"/>
              </w:rPr>
            </w:pPr>
            <w:r>
              <w:rPr>
                <w:b/>
                <w:bCs/>
                <w:noProof/>
                <w:lang w:eastAsia="es-ES"/>
              </w:rPr>
              <w:t>42.374</w:t>
            </w:r>
          </w:p>
        </w:tc>
        <w:tc>
          <w:tcPr>
            <w:tcW w:w="1356" w:type="dxa"/>
          </w:tcPr>
          <w:p w:rsidR="00000000" w:rsidRDefault="00000000">
            <w:pPr>
              <w:tabs>
                <w:tab w:val="decimal" w:pos="800"/>
              </w:tabs>
              <w:rPr>
                <w:b/>
                <w:bCs/>
                <w:noProof/>
                <w:lang w:eastAsia="es-ES"/>
              </w:rPr>
            </w:pPr>
            <w:r>
              <w:rPr>
                <w:b/>
                <w:bCs/>
                <w:noProof/>
                <w:lang w:eastAsia="es-ES"/>
              </w:rPr>
              <w:t>30.691</w:t>
            </w:r>
          </w:p>
        </w:tc>
        <w:tc>
          <w:tcPr>
            <w:tcW w:w="1357" w:type="dxa"/>
          </w:tcPr>
          <w:p w:rsidR="00000000" w:rsidRDefault="00000000">
            <w:pPr>
              <w:tabs>
                <w:tab w:val="decimal" w:pos="800"/>
              </w:tabs>
              <w:rPr>
                <w:b/>
                <w:bCs/>
                <w:noProof/>
                <w:lang w:eastAsia="es-ES"/>
              </w:rPr>
            </w:pPr>
            <w:r>
              <w:rPr>
                <w:b/>
                <w:bCs/>
                <w:noProof/>
                <w:lang w:eastAsia="es-ES"/>
              </w:rPr>
              <w:t>54.175</w:t>
            </w:r>
          </w:p>
        </w:tc>
        <w:tc>
          <w:tcPr>
            <w:tcW w:w="1357" w:type="dxa"/>
          </w:tcPr>
          <w:p w:rsidR="00000000" w:rsidRDefault="00000000">
            <w:pPr>
              <w:tabs>
                <w:tab w:val="decimal" w:pos="800"/>
              </w:tabs>
              <w:rPr>
                <w:b/>
                <w:bCs/>
                <w:noProof/>
                <w:lang w:eastAsia="es-ES"/>
              </w:rPr>
            </w:pPr>
            <w:r>
              <w:rPr>
                <w:b/>
                <w:bCs/>
                <w:noProof/>
                <w:lang w:eastAsia="es-ES"/>
              </w:rPr>
              <w:t>28.228</w:t>
            </w:r>
          </w:p>
        </w:tc>
        <w:tc>
          <w:tcPr>
            <w:tcW w:w="1357" w:type="dxa"/>
          </w:tcPr>
          <w:p w:rsidR="00000000" w:rsidRDefault="00000000">
            <w:pPr>
              <w:tabs>
                <w:tab w:val="decimal" w:pos="800"/>
              </w:tabs>
              <w:rPr>
                <w:b/>
                <w:bCs/>
                <w:noProof/>
                <w:lang w:eastAsia="es-ES"/>
              </w:rPr>
            </w:pPr>
            <w:r>
              <w:rPr>
                <w:b/>
                <w:bCs/>
                <w:noProof/>
                <w:lang w:eastAsia="es-ES"/>
              </w:rPr>
              <w:t>25.947</w:t>
            </w:r>
          </w:p>
        </w:tc>
      </w:tr>
    </w:tbl>
    <w:p w:rsidR="00000000" w:rsidRDefault="00000000">
      <w:pPr>
        <w:spacing w:before="240"/>
        <w:rPr>
          <w:noProof/>
          <w:lang w:eastAsia="es-ES"/>
        </w:rPr>
      </w:pPr>
      <w:r>
        <w:rPr>
          <w:i/>
          <w:iCs/>
          <w:noProof/>
          <w:lang w:eastAsia="es-ES"/>
        </w:rPr>
        <w:t>Fuente</w:t>
      </w:r>
      <w:r>
        <w:rPr>
          <w:noProof/>
          <w:lang w:eastAsia="es-ES"/>
        </w:rPr>
        <w:t>:  STP/DGEEC.  Encuesta integrada de hogares 1997-1998, 2000-2001.</w:t>
      </w:r>
    </w:p>
    <w:p w:rsidR="00000000" w:rsidRDefault="00000000">
      <w:pPr>
        <w:spacing w:before="240" w:after="480"/>
        <w:rPr>
          <w:szCs w:val="16"/>
        </w:rPr>
      </w:pPr>
      <w:r>
        <w:rPr>
          <w:b/>
          <w:bCs/>
          <w:noProof/>
          <w:vertAlign w:val="superscript"/>
          <w:lang w:eastAsia="es-ES"/>
        </w:rPr>
        <w:t>*</w:t>
      </w:r>
      <w:r>
        <w:rPr>
          <w:noProof/>
          <w:lang w:eastAsia="es-ES"/>
        </w:rPr>
        <w:t xml:space="preserve"> </w:t>
      </w:r>
      <w:r>
        <w:rPr>
          <w:szCs w:val="16"/>
        </w:rPr>
        <w:t>En la EIH 1997/98, los datos están ajustados a los resultados del Censo 2002.</w:t>
      </w:r>
    </w:p>
    <w:p w:rsidR="00000000" w:rsidRDefault="00000000">
      <w:pPr>
        <w:spacing w:before="240" w:after="480"/>
        <w:jc w:val="center"/>
        <w:rPr>
          <w:noProof/>
          <w:lang w:eastAsia="es-ES"/>
        </w:rPr>
      </w:pPr>
      <w:r>
        <w:fldChar w:fldCharType="begin"/>
      </w:r>
      <w:r>
        <w:instrText xml:space="preserve"> INCLUDEPICTURE "http://www.cepep.org.py/endssr2004/informe_final/imagen/grafico8_1.gif" \* MERGEFORMATINET </w:instrText>
      </w:r>
      <w:r>
        <w:fldChar w:fldCharType="separate"/>
      </w:r>
      <w:r>
        <w:pict>
          <v:shape id="_x0000_i1041" type="#_x0000_t75" alt="" style="width:339.75pt;height:254.25pt">
            <v:imagedata r:id="rId91" r:href="rId92"/>
          </v:shape>
        </w:pict>
      </w:r>
      <w:r>
        <w:fldChar w:fldCharType="end"/>
      </w:r>
    </w:p>
    <w:p w:rsidR="00000000" w:rsidRDefault="00000000">
      <w:pPr>
        <w:autoSpaceDE w:val="0"/>
        <w:autoSpaceDN w:val="0"/>
        <w:adjustRightInd w:val="0"/>
        <w:spacing w:after="240"/>
      </w:pPr>
      <w:r>
        <w:t>479.</w:t>
      </w:r>
      <w:r>
        <w:tab/>
        <w:t>El próximo cuadro presenta la distribución porcentual del lugar donde las madres recibieron su control prenatal.  A nivel del país, el 71,9% utilizó los servicios del sector público, el 18,1% de las mujeres embarazadas recibió atención en el sector privado, el 4,2% acudió a otro lugar y el 5,8% no asistió a ningún control.</w:t>
      </w:r>
    </w:p>
    <w:p w:rsidR="00000000" w:rsidRDefault="00000000">
      <w:pPr>
        <w:autoSpaceDE w:val="0"/>
        <w:autoSpaceDN w:val="0"/>
        <w:adjustRightInd w:val="0"/>
        <w:spacing w:after="240"/>
      </w:pPr>
      <w:r>
        <w:t>480.</w:t>
      </w:r>
      <w:r>
        <w:tab/>
        <w:t>Según las regiones, en las coberturas se observan comportamientos porcentuales diferentes entre establecimientos del sector público y privado.  Los controles en el sector privado fueron más comunes en Gran Asunción y Este (25,2 y 23,8%, respectivamente), comparado con controles en el sector público que se concentraron más en Centro Sur (83,7%) y Norte (77,5%).</w:t>
      </w:r>
    </w:p>
    <w:p w:rsidR="00000000" w:rsidRDefault="00000000">
      <w:pPr>
        <w:autoSpaceDE w:val="0"/>
        <w:autoSpaceDN w:val="0"/>
        <w:adjustRightInd w:val="0"/>
        <w:spacing w:after="240"/>
      </w:pPr>
      <w:r>
        <w:t>481.</w:t>
      </w:r>
      <w:r>
        <w:tab/>
        <w:t xml:space="preserve">Considerando el idioma hablado en el hogar, las madres que hablan habitualmente guaraní en la casa son las que más se hacen controles en el sector público (79,9%) en comparación a las que acudieron al sector privado (7,2%). </w:t>
      </w:r>
    </w:p>
    <w:p w:rsidR="00000000" w:rsidRDefault="00000000">
      <w:pPr>
        <w:autoSpaceDE w:val="0"/>
        <w:autoSpaceDN w:val="0"/>
        <w:adjustRightInd w:val="0"/>
        <w:spacing w:after="240"/>
      </w:pPr>
      <w:r>
        <w:t>482.</w:t>
      </w:r>
      <w:r>
        <w:tab/>
        <w:t>De acuerdo al nivel socioeconómico, solamente el 6,7% del nivel más bajo se hizo controles del embarazo en el sector privado, mientras que el 25,8 y 52,6% de los niveles alto y muy alto, respectivamente, utilizó servicios de este sector.</w:t>
      </w:r>
    </w:p>
    <w:p w:rsidR="00000000" w:rsidRDefault="00000000">
      <w:pPr>
        <w:autoSpaceDE w:val="0"/>
        <w:autoSpaceDN w:val="0"/>
        <w:adjustRightInd w:val="0"/>
        <w:spacing w:after="240"/>
      </w:pPr>
      <w:r>
        <w:t>483.</w:t>
      </w:r>
      <w:r>
        <w:tab/>
        <w:t>Es importante señalar que una de cada diez mujeres de 15 a 19 años de edad nunca acudió a ningún control prenatal; esta misma relación se da en madres que residen en la región Norte o que sólo hablan guaraní en la casa.  La situación es más desfavorable en mujeres sin educación o que apenas terminaron el 2º del nivel inicial, donde una de cada seis mujeres con estas características nunca fue a un control prenatal.</w:t>
      </w:r>
    </w:p>
    <w:p w:rsidR="00000000" w:rsidRDefault="00000000">
      <w:pPr>
        <w:spacing w:after="240"/>
        <w:ind w:left="567"/>
        <w:rPr>
          <w:b/>
          <w:i/>
          <w:iCs/>
        </w:rPr>
      </w:pPr>
      <w:r>
        <w:rPr>
          <w:b/>
          <w:i/>
          <w:iCs/>
        </w:rPr>
        <w:t>5.1.1.  Número de controles prenatales</w:t>
      </w:r>
    </w:p>
    <w:p w:rsidR="00000000" w:rsidRDefault="00000000">
      <w:pPr>
        <w:autoSpaceDE w:val="0"/>
        <w:autoSpaceDN w:val="0"/>
        <w:adjustRightInd w:val="0"/>
        <w:spacing w:after="240"/>
      </w:pPr>
      <w:r>
        <w:t>484.</w:t>
      </w:r>
      <w:r>
        <w:tab/>
        <w:t>Las "Normas de Atención del embarazo, parto, puerperio y recién nacido", componentes de la "Iniciativa Maternidad Segura" del Ministerio de Salud Pública y Bienestar Social, definen que el número de controles mínimos aplicando el enfoque de riesgo obstétrico debe ser de seis; sólo a efectos de comparación con encuestas precedentes que consideraban cinco y más, se tomará éste como el número adecuado de controles para el análisis.</w:t>
      </w:r>
    </w:p>
    <w:p w:rsidR="00000000" w:rsidRDefault="00000000">
      <w:pPr>
        <w:autoSpaceDE w:val="0"/>
        <w:autoSpaceDN w:val="0"/>
        <w:adjustRightInd w:val="0"/>
        <w:spacing w:after="240"/>
      </w:pPr>
      <w:r>
        <w:t>485.</w:t>
      </w:r>
      <w:r>
        <w:tab/>
        <w:t>En la figura se observa que a nivel nacional, para el 5,8% de los nacimientos, las madres no hicieron ningún control prenatal, el 1,6% realizó uno solo, 12,5% acudió a dos o tres controles y 7,5% realizó cuatro.  En el 71,3% de los nacimientos, las madres cumplieron con el número de cinco y más controles.  Comparando el porcentaje de nacimientos cuyas madres cumplieron con cinco o más controles encontrados en la ENDSSR 2004, con encuestas anteriores (57,4%) y ENSMI 98 (55,7%), se logró un incremento de alrededor de 15 puntos porcentuales.</w:t>
      </w:r>
    </w:p>
    <w:p w:rsidR="00000000" w:rsidRDefault="00000000">
      <w:pPr>
        <w:autoSpaceDE w:val="0"/>
        <w:autoSpaceDN w:val="0"/>
        <w:adjustRightInd w:val="0"/>
        <w:spacing w:beforeLines="40" w:before="96" w:afterLines="40" w:after="96"/>
      </w:pPr>
      <w:r>
        <w:t>486.</w:t>
      </w:r>
      <w:r>
        <w:tab/>
        <w:t>Se encontró además una situación menos favorable en áreas rurales, donde solamente 58,9% de las mujeres embarazadas tuvo controles suficientes.  Según los datos por regiones, el problema de no tener controles adecuados es más apremiante en el Norte, donde sólo el 48,6% de las madres han tenido cinco y más controles.</w:t>
      </w:r>
    </w:p>
    <w:bookmarkStart w:id="33" w:name="_MON_1234618405"/>
    <w:bookmarkStart w:id="34" w:name="_MON_1234618429"/>
    <w:bookmarkStart w:id="35" w:name="_MON_1234618651"/>
    <w:bookmarkStart w:id="36" w:name="_MON_1234618717"/>
    <w:bookmarkStart w:id="37" w:name="_MON_1234618787"/>
    <w:bookmarkStart w:id="38" w:name="_MON_1234675036"/>
    <w:bookmarkStart w:id="39" w:name="_MON_1234678001"/>
    <w:bookmarkStart w:id="40" w:name="_MON_1234696611"/>
    <w:bookmarkStart w:id="41" w:name="_MON_1234696657"/>
    <w:bookmarkStart w:id="42" w:name="_MON_1234696843"/>
    <w:bookmarkStart w:id="43" w:name="_MON_1234696921"/>
    <w:bookmarkStart w:id="44" w:name="_MON_1234696965"/>
    <w:bookmarkStart w:id="45" w:name="_MON_1234699940"/>
    <w:bookmarkStart w:id="46" w:name="_MON_1235998491"/>
    <w:bookmarkStart w:id="47" w:name="_MON_1235998665"/>
    <w:bookmarkStart w:id="48" w:name="_MON_1235999421"/>
    <w:bookmarkStart w:id="49" w:name="_MON_1235999548"/>
    <w:bookmarkStart w:id="50" w:name="_MON_1235999573"/>
    <w:bookmarkStart w:id="51" w:name="_MON_1236511106"/>
    <w:bookmarkStart w:id="52" w:name="_MON_1236511128"/>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rsidR="00000000" w:rsidRDefault="00000000">
      <w:pPr>
        <w:spacing w:after="240"/>
        <w:jc w:val="center"/>
        <w:rPr>
          <w:noProof/>
          <w:lang w:eastAsia="es-ES"/>
        </w:rPr>
      </w:pPr>
      <w:r>
        <w:object w:dxaOrig="7017" w:dyaOrig="4455">
          <v:shape id="_x0000_i1042" type="#_x0000_t75" alt="" style="width:351pt;height:222.75pt" o:ole="">
            <v:imagedata r:id="rId93" o:title=""/>
          </v:shape>
          <o:OLEObject Type="Embed" ProgID="Word.Picture.8" ShapeID="_x0000_i1042" DrawAspect="Content" ObjectID="_1394904862" r:id="rId94"/>
        </w:object>
      </w:r>
    </w:p>
    <w:p w:rsidR="00000000" w:rsidRDefault="00000000">
      <w:pPr>
        <w:autoSpaceDE w:val="0"/>
        <w:autoSpaceDN w:val="0"/>
        <w:adjustRightInd w:val="0"/>
        <w:spacing w:before="480" w:after="240"/>
      </w:pPr>
      <w:r>
        <w:t>487.</w:t>
      </w:r>
      <w:r>
        <w:tab/>
        <w:t>Las madres sin instrucción o con apenas dos años de estudio y las que no terminaron la primaria, con tres a cinco años de estudio, están lejos de alcanzar los niveles adecuados de control prenatal (cinco y más), menos de la mitad, 46 y 49,8%, respectivamente, para ambos grupos mencionados.  Lo mismo ocurre para nacimientos de madres que sólo hablan guaraní (53,2%), pertenecen al nivel socioeconómico bajo (52,6%) y de paridez mayor a cinco hijos (47%).</w:t>
      </w:r>
    </w:p>
    <w:p w:rsidR="00000000" w:rsidRDefault="00000000">
      <w:pPr>
        <w:spacing w:after="240"/>
      </w:pPr>
      <w:r>
        <w:t>488.</w:t>
      </w:r>
      <w:r>
        <w:tab/>
        <w:t>Las normas establecidas por el Ministerio de Salud Pública y Bienestar Social citadas anteriormente también definen que para que el control prenatal cumpla con el requerimiento de ser "precoz" la primera atención debe darse en el primer trimestre de embarazo, es decir antes de las 12 semanas de gestación.  Los datos a nivel total indican que solamente en el 68,6% de los nacimientos, las mujeres recibieron atención prenatal en el primer trimestre, la cuarta parte (25,3%) en el segundo o tercer trimestre y el 5,8% no recibió ningún control.  La asistencia al primer control de manera tardía (en el segundo o tercer trimestre) es mayor en el área rural (30,9%), en la región Norte (34,8%), y entre las mujeres menos educadas (34,4%, para mujeres con cero a dos años de educación), del nivel socioeconómico bajo (34,4%), que hablan habitualmente guaraní (33,5%) y que tienen mayor paridez.</w:t>
      </w:r>
    </w:p>
    <w:p w:rsidR="00000000" w:rsidRDefault="00000000">
      <w:pPr>
        <w:pStyle w:val="BodyText"/>
        <w:spacing w:beforeLines="40" w:before="96" w:afterLines="40" w:after="96"/>
        <w:jc w:val="center"/>
      </w:pPr>
      <w:r>
        <w:rPr>
          <w:noProof/>
          <w:lang w:val="es-ES"/>
        </w:rPr>
        <w:pict>
          <v:group id="_x0000_s1105" style="position:absolute;left:0;text-align:left;margin-left:60pt;margin-top:17.85pt;width:283.35pt;height:262.65pt;z-index:23" coordorigin="2232,4289" coordsize="5250,5250">
            <v:shape id="_x0000_s1106" type="#_x0000_t202" style="position:absolute;left:2232;top:9179;width:2340;height:360" stroked="f">
              <v:textbox style="mso-next-textbox:#_x0000_s1106" inset="0,0,0,0">
                <w:txbxContent>
                  <w:p w:rsidR="00000000" w:rsidRDefault="00000000">
                    <w:pPr>
                      <w:jc w:val="center"/>
                      <w:rPr>
                        <w:sz w:val="16"/>
                        <w:szCs w:val="16"/>
                      </w:rPr>
                    </w:pPr>
                    <w:r>
                      <w:rPr>
                        <w:i/>
                        <w:iCs/>
                        <w:sz w:val="16"/>
                        <w:szCs w:val="16"/>
                      </w:rPr>
                      <w:t>Fuente</w:t>
                    </w:r>
                    <w:r>
                      <w:rPr>
                        <w:sz w:val="16"/>
                        <w:szCs w:val="16"/>
                      </w:rPr>
                      <w:t>:  ENDSSR 2004.</w:t>
                    </w:r>
                  </w:p>
                </w:txbxContent>
              </v:textbox>
            </v:shape>
            <v:rect id="_x0000_s1107" style="position:absolute;left:6462;top:4289;width:360;height:180" stroked="f">
              <v:textbox inset="0,0,0,0"/>
            </v:rect>
            <v:rect id="_x0000_s1108" style="position:absolute;left:6042;top:5069;width:1440;height:180" stroked="f">
              <v:textbox inset="0,0,0,0"/>
            </v:rect>
          </v:group>
        </w:pict>
      </w:r>
      <w:bookmarkStart w:id="53" w:name="_MON_1234681207"/>
      <w:bookmarkStart w:id="54" w:name="_MON_1234681232"/>
      <w:bookmarkStart w:id="55" w:name="_MON_1234681578"/>
      <w:bookmarkStart w:id="56" w:name="_MON_1234681634"/>
      <w:bookmarkStart w:id="57" w:name="_MON_1234681657"/>
      <w:bookmarkStart w:id="58" w:name="_MON_1234681680"/>
      <w:bookmarkStart w:id="59" w:name="_MON_1234694476"/>
      <w:bookmarkStart w:id="60" w:name="_MON_1234696012"/>
      <w:bookmarkStart w:id="61" w:name="_MON_1234696221"/>
      <w:bookmarkStart w:id="62" w:name="_MON_1234699997"/>
      <w:bookmarkStart w:id="63" w:name="_MON_1234703181"/>
      <w:bookmarkStart w:id="64" w:name="_MON_1235999688"/>
      <w:bookmarkStart w:id="65" w:name="_MON_1235999847"/>
      <w:bookmarkStart w:id="66" w:name="_MON_1236000189"/>
      <w:bookmarkStart w:id="67" w:name="_MON_1236067865"/>
      <w:bookmarkStart w:id="68" w:name="_MON_1236074064"/>
      <w:bookmarkStart w:id="69" w:name="_MON_1236511221"/>
      <w:bookmarkStart w:id="70" w:name="_MON_1236511281"/>
      <w:bookmarkStart w:id="71" w:name="_MON_1236511408"/>
      <w:bookmarkStart w:id="72" w:name="_MON_1236511437"/>
      <w:bookmarkStart w:id="73" w:name="_MON_1236511498"/>
      <w:bookmarkStart w:id="74" w:name="_MON_1236511529"/>
      <w:bookmarkStart w:id="75" w:name="_MON_1236511544"/>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object w:dxaOrig="6799" w:dyaOrig="5426">
          <v:shape id="_x0000_i1043" type="#_x0000_t75" alt="" style="width:339.75pt;height:271.5pt" o:ole="">
            <v:imagedata r:id="rId95" o:title=""/>
          </v:shape>
          <o:OLEObject Type="Embed" ProgID="Word.Picture.8" ShapeID="_x0000_i1043" DrawAspect="Content" ObjectID="_1394904863" r:id="rId96"/>
        </w:object>
      </w:r>
    </w:p>
    <w:p w:rsidR="00000000" w:rsidRDefault="00000000">
      <w:pPr>
        <w:spacing w:before="360" w:after="240"/>
        <w:ind w:left="567"/>
        <w:rPr>
          <w:b/>
          <w:i/>
          <w:iCs/>
        </w:rPr>
      </w:pPr>
      <w:r>
        <w:rPr>
          <w:b/>
          <w:i/>
          <w:iCs/>
        </w:rPr>
        <w:t>5.1.2.  Vacuna antitetánica durante el embarazo</w:t>
      </w:r>
    </w:p>
    <w:p w:rsidR="00000000" w:rsidRDefault="00000000">
      <w:pPr>
        <w:autoSpaceDE w:val="0"/>
        <w:autoSpaceDN w:val="0"/>
        <w:adjustRightInd w:val="0"/>
        <w:spacing w:after="240"/>
      </w:pPr>
      <w:r>
        <w:t>489.</w:t>
      </w:r>
      <w:r>
        <w:tab/>
        <w:t>Para cada nacimiento, en el período de marzo de 1999 a febrero de 2004, se le preguntó a la madre si le habían aplicado la vacuna antitetánica durante el embarazo; la información presentada proviene de la referencia de la madre.  A nivel nacional, la ENDSSR 2004 encontró una cobertura con protección antitetánica en 93,6% de los embarazos ocurridos en el período mencionado, cifra que resulta más de tres puntos porcentuales mayor a la registrada en la ENDSR 95/96.</w:t>
      </w:r>
    </w:p>
    <w:p w:rsidR="00000000" w:rsidRDefault="00000000">
      <w:pPr>
        <w:autoSpaceDE w:val="0"/>
        <w:autoSpaceDN w:val="0"/>
        <w:adjustRightInd w:val="0"/>
        <w:spacing w:after="240"/>
      </w:pPr>
      <w:r>
        <w:t>490.</w:t>
      </w:r>
      <w:r>
        <w:tab/>
        <w:t>Esto es más común entre madres de áreas urbanas, Gran Asunción y Centro Sur, todos con un porcentaje de 951%.  Las madres que hablan sólo guaraní tienen el menor porcentaje (90,6%) en cuanto a la aplicación de la vacuna antitetánica en la ENDSSR 2004.  Sin embargo, en la ENDSR 95/96 la menor proporción de madres con vacuna antitetánica se encontró en mujeres que hablaban otro idioma distinto al español o guaraní (77,6%).</w:t>
      </w:r>
    </w:p>
    <w:p w:rsidR="00000000" w:rsidRDefault="00000000">
      <w:pPr>
        <w:spacing w:after="240"/>
        <w:ind w:left="567"/>
        <w:rPr>
          <w:b/>
        </w:rPr>
      </w:pPr>
      <w:r>
        <w:rPr>
          <w:b/>
        </w:rPr>
        <w:t>5.1.3.  Lugar de atención y tipo de asistencia profesional del parto</w:t>
      </w:r>
    </w:p>
    <w:p w:rsidR="00000000" w:rsidRDefault="00000000">
      <w:pPr>
        <w:autoSpaceDE w:val="0"/>
        <w:autoSpaceDN w:val="0"/>
        <w:adjustRightInd w:val="0"/>
        <w:spacing w:after="240"/>
      </w:pPr>
      <w:r>
        <w:t>491.</w:t>
      </w:r>
      <w:r>
        <w:tab/>
        <w:t xml:space="preserve">El porcentaje de partos realizados en instituciones es aún bajo en Paraguay aunque se ha demostrado un incremento, pasando de 56,3% en 1998 a 74,1% en 2004, diferencia que resulta estadísticamente significativa con un nivel de confianza del 95%.  A nivel de regiones se pueden observar en el gráfico las diferencias en el porcentaje de partos institucionales que van desde 92% en Gran Asunción a 59,9% en la región Norte.  </w:t>
      </w:r>
    </w:p>
    <w:p w:rsidR="00000000" w:rsidRDefault="00000000">
      <w:pPr>
        <w:autoSpaceDE w:val="0"/>
        <w:autoSpaceDN w:val="0"/>
        <w:adjustRightInd w:val="0"/>
        <w:spacing w:after="240"/>
      </w:pPr>
      <w:r>
        <w:t>492.</w:t>
      </w:r>
      <w:r>
        <w:tab/>
        <w:t>Los partos fueron realizados en un 45,1% en servicios del Ministerio de Salud, en un 16% en sanatorios o clínicas privadas, en un 7% en el IPS y en 5,9% en otras instituciones como la Cruz Roja, Hospital Materno Infantil de la Facultad de Ciencias Médicas o la sanidad militar o policial.</w:t>
      </w:r>
    </w:p>
    <w:p w:rsidR="00000000" w:rsidRDefault="00000000">
      <w:pPr>
        <w:autoSpaceDE w:val="0"/>
        <w:autoSpaceDN w:val="0"/>
        <w:adjustRightInd w:val="0"/>
        <w:spacing w:after="240"/>
        <w:rPr>
          <w:b/>
          <w:i/>
          <w:iCs/>
        </w:rPr>
      </w:pPr>
      <w:r>
        <w:rPr>
          <w:b/>
          <w:i/>
          <w:iCs/>
        </w:rPr>
        <w:tab/>
        <w:t>5.1.4.  Partos institucionales</w:t>
      </w:r>
    </w:p>
    <w:p w:rsidR="00000000" w:rsidRDefault="00000000">
      <w:pPr>
        <w:autoSpaceDE w:val="0"/>
        <w:autoSpaceDN w:val="0"/>
        <w:adjustRightInd w:val="0"/>
        <w:spacing w:after="240"/>
      </w:pPr>
      <w:r>
        <w:t>493.</w:t>
      </w:r>
      <w:r>
        <w:tab/>
        <w:t>A nivel del país, el 58,1% de los partos ocurrieron en instituciones públicas y el 16% en instituciones privadas, acumulando estas cifras y, como se ha mencionado anteriormente, se tiene que casi las tres cuartas partes (74,1%) de los partos fueron institucionales.  Los partos institucionales son más comunes en áreas urbanas (84,9%) y Gran Asunción (92%), para las mujeres con educación secundaria o superior (94,3%) y las que hablan español (91,3%) y para los primeros partos de una mujer (83,1%).</w:t>
      </w:r>
    </w:p>
    <w:p w:rsidR="00000000" w:rsidRDefault="00000000">
      <w:pPr>
        <w:spacing w:after="240"/>
        <w:rPr>
          <w:b/>
          <w:i/>
          <w:iCs/>
        </w:rPr>
      </w:pPr>
      <w:r>
        <w:rPr>
          <w:b/>
          <w:i/>
          <w:iCs/>
        </w:rPr>
        <w:tab/>
        <w:t>5.1.5.  Partos domiciliarios</w:t>
      </w:r>
    </w:p>
    <w:p w:rsidR="00000000" w:rsidRDefault="00000000">
      <w:pPr>
        <w:autoSpaceDE w:val="0"/>
        <w:autoSpaceDN w:val="0"/>
        <w:adjustRightInd w:val="0"/>
        <w:spacing w:after="240"/>
      </w:pPr>
      <w:r>
        <w:t>494.</w:t>
      </w:r>
      <w:r>
        <w:tab/>
        <w:t>El 21,3% de las madres tuvo su parto en el domicilio, sea con obstetras profesionales de la salud (3,1%) o con parteras empíricas (15,8%); los demás partos domiciliarios fueron con familiares (1,9%) o solas y sin asistencia (0,5%).  Los partos domiciliarios con una partera son más frecuentes en áreas rurales (25,4%), en la región Norte (27,6%), y para mujeres menos educadas (33,5%) y con nivel socioeconómico bajo (28,8%).  Cabe mencionar que 5,9% de las mujeres sin educación o con apenas dos años de educación tuvo su parto sin asistencia adecuada, es decir, sin asistencia profesional, debido a que se encontraba sola (1,1%) o fue asistida solamente por familiares (4,8%).</w:t>
      </w:r>
    </w:p>
    <w:p w:rsidR="00000000" w:rsidRDefault="00000000">
      <w:pPr>
        <w:spacing w:after="240"/>
        <w:rPr>
          <w:b/>
          <w:i/>
          <w:iCs/>
        </w:rPr>
      </w:pPr>
      <w:r>
        <w:rPr>
          <w:b/>
          <w:i/>
          <w:iCs/>
        </w:rPr>
        <w:tab/>
        <w:t>5.1.6.  Asistencia profesional del parto</w:t>
      </w:r>
    </w:p>
    <w:p w:rsidR="00000000" w:rsidRDefault="00000000">
      <w:pPr>
        <w:autoSpaceDE w:val="0"/>
        <w:autoSpaceDN w:val="0"/>
        <w:adjustRightInd w:val="0"/>
        <w:spacing w:after="240"/>
      </w:pPr>
      <w:r>
        <w:t>495.</w:t>
      </w:r>
      <w:r>
        <w:tab/>
        <w:t xml:space="preserve">La atención profesional del parto se presta con médicos (63,2%), obstetras profesionales (32,9%) y enfermeras (3,4%).  En áreas urbanas, aproximadamente en siete de cada diez partos institucionales, fueron médicos quienes prestaron asistencia, mientras que en áreas rurales esa situación se da sólo en cinco cada diez partos.  Es de considerar la atención de la obstetra en zonas rurales (40,8%) y en regiones específicas como Norte (46,4%) y Centro Sur (37,15%).  En el </w:t>
      </w:r>
      <w:hyperlink r:id="rId97" w:history="1">
        <w:r>
          <w:t>gráfico</w:t>
        </w:r>
      </w:hyperlink>
      <w:r>
        <w:t xml:space="preserve"> se observa que la atención de médicos aumenta cuando la madre tiene más años de estudio y pertenece al nivel socioeconómico alto.</w:t>
      </w:r>
    </w:p>
    <w:p w:rsidR="00000000" w:rsidRDefault="00000000">
      <w:pPr>
        <w:autoSpaceDE w:val="0"/>
        <w:autoSpaceDN w:val="0"/>
        <w:adjustRightInd w:val="0"/>
        <w:spacing w:after="240"/>
      </w:pPr>
      <w:r>
        <w:t>496.</w:t>
      </w:r>
      <w:r>
        <w:tab/>
        <w:t>Los resultados de la ENDSSR 2004 indican que el 26,9% de todos los partos fue por cesárea, presentando un incremento del 63% desde 1998, donde el porcentaje era de 16,5%.  Dado que el 74,1% de los partos fueron institucionales y que todos los partos por cesárea son institucionales, la proporción de cesáreas que resulta de los partos institucionales es de 36,3%. E l porcentaje de cesáreas de todos los nacidos vivos en el período de marzo de 1999 a febrero de 2004 es mayor en áreas urbanas (35,9%) que en las áreas rurales (15,6%), una diferencia de alrededor de 20 puntos porcentuales.  El porcentaje de partos por cesárea entre todos los partos tiene un valor más elevado en el Gran Asunción (40,7%) y la región Norte presenta el menor porcentaje (12%).</w:t>
      </w:r>
    </w:p>
    <w:p w:rsidR="00000000" w:rsidRDefault="00000000">
      <w:pPr>
        <w:spacing w:after="240"/>
        <w:ind w:left="567"/>
        <w:rPr>
          <w:b/>
          <w:i/>
          <w:iCs/>
        </w:rPr>
      </w:pPr>
      <w:r>
        <w:rPr>
          <w:b/>
          <w:i/>
          <w:iCs/>
        </w:rPr>
        <w:t>5.1.7.  Educación, nivel socioeconómico e idioma</w:t>
      </w:r>
    </w:p>
    <w:p w:rsidR="00000000" w:rsidRDefault="00000000">
      <w:pPr>
        <w:autoSpaceDE w:val="0"/>
        <w:autoSpaceDN w:val="0"/>
        <w:adjustRightInd w:val="0"/>
        <w:spacing w:after="240"/>
      </w:pPr>
      <w:r>
        <w:t>497.</w:t>
      </w:r>
      <w:r>
        <w:tab/>
        <w:t>El porcentaje de partos por cesárea entre todos los partos aumenta conforme es mayor el nivel educativo de las mujeres, pasando de 12,1% entre las que tienen entre 0 y 2 años de estudio a 53,4% entre las que tienen 12 años y más de educación.  Las madres que hablan sólo guaraní en la casa tienen las cifras más bajas de cesárea (12,9%); en cambio, las que hablan sólo el idioma español alcanza a 43,5%.</w:t>
      </w:r>
    </w:p>
    <w:p w:rsidR="00000000" w:rsidRDefault="00000000">
      <w:pPr>
        <w:autoSpaceDE w:val="0"/>
        <w:autoSpaceDN w:val="0"/>
        <w:adjustRightInd w:val="0"/>
        <w:spacing w:after="240"/>
      </w:pPr>
      <w:r>
        <w:t>498.</w:t>
      </w:r>
      <w:r>
        <w:tab/>
        <w:t>En cuanto a las condiciones económicas, se puede mencionar que la proporción de cesáreas aumenta con el nivel socioeconómico, subiendo de 11,9% para el nivel bajo a 52,6% en el nivel alto.</w:t>
      </w:r>
    </w:p>
    <w:p w:rsidR="00000000" w:rsidRDefault="00000000">
      <w:pPr>
        <w:autoSpaceDE w:val="0"/>
        <w:autoSpaceDN w:val="0"/>
        <w:adjustRightInd w:val="0"/>
        <w:spacing w:after="240"/>
      </w:pPr>
      <w:r>
        <w:t>499.</w:t>
      </w:r>
      <w:r>
        <w:tab/>
        <w:t xml:space="preserve">Cabe mencionar que la Organización Panamericana de la Salud (OPS), en su Plan Acción Regional para la Reducción de la Mortalidad Materna en las Américas, citado en el </w:t>
      </w:r>
      <w:r>
        <w:rPr>
          <w:i/>
          <w:iCs/>
        </w:rPr>
        <w:t>Boletín de la OPS</w:t>
      </w:r>
      <w:r>
        <w:t>, vol. 110, Nº 5, expresa que "se procurará reducir el número de cesáreas a menos del 15% del total de partos".</w:t>
      </w:r>
    </w:p>
    <w:p w:rsidR="00000000" w:rsidRDefault="00000000">
      <w:pPr>
        <w:spacing w:after="240"/>
        <w:rPr>
          <w:i/>
          <w:iCs/>
        </w:rPr>
      </w:pPr>
      <w:r>
        <w:rPr>
          <w:b/>
          <w:i/>
          <w:iCs/>
        </w:rPr>
        <w:tab/>
        <w:t>5.1.8.  Atención posparto de la madre</w:t>
      </w:r>
    </w:p>
    <w:p w:rsidR="00000000" w:rsidRDefault="00000000">
      <w:pPr>
        <w:autoSpaceDE w:val="0"/>
        <w:autoSpaceDN w:val="0"/>
        <w:adjustRightInd w:val="0"/>
        <w:spacing w:after="240"/>
      </w:pPr>
      <w:r>
        <w:t>500.</w:t>
      </w:r>
      <w:r>
        <w:tab/>
        <w:t>El control posparto adquiere vital importancia en la atención de la salud reproductiva, ya que permite identificar alguna morbilidad materna debida especialmente a las condiciones de atención del parto y procurar su oportuno tratamiento, particularmente cuando dicho control es "precoz" (dos semanas después del parto) y en todos los casos porque, para el período de lactancia, permite aconsejar medidas de planificación familiar apropiadas y de acuerdo con los deseos y las necesidades de las usuarias.</w:t>
      </w:r>
    </w:p>
    <w:p w:rsidR="00000000" w:rsidRDefault="00000000">
      <w:pPr>
        <w:autoSpaceDE w:val="0"/>
        <w:autoSpaceDN w:val="0"/>
        <w:adjustRightInd w:val="0"/>
        <w:spacing w:after="240"/>
      </w:pPr>
      <w:r>
        <w:t>501.</w:t>
      </w:r>
      <w:r>
        <w:tab/>
        <w:t>Con el objetivo de analizar el control posparto de la madre, entre todos los nacimientos ocurridos cinco  años antes de la encuesta, se seleccionó en forma aleatoria un(a) hijo(a) nacido(a) vivo(a) en el período marzo de 1999 a febrero de 2004.  En total, el 68,5% de los partos fue seguido por atención posparto de la madre; 77,6% en áreas urbanas y 57,3% en áreas rurales. La atención posparto es más frecuente para mujeres que tuvieron partos institucionales (78,7%) con relación a aquellas que tuvieron partos domiciliarios (31,7%).</w:t>
      </w:r>
    </w:p>
    <w:p w:rsidR="00000000" w:rsidRDefault="00000000">
      <w:pPr>
        <w:autoSpaceDE w:val="0"/>
        <w:autoSpaceDN w:val="0"/>
        <w:adjustRightInd w:val="0"/>
        <w:spacing w:after="240"/>
      </w:pPr>
      <w:r>
        <w:t>502.</w:t>
      </w:r>
      <w:r>
        <w:tab/>
        <w:t>El 21,5% de las que tuvieron control posparto lo recibió en una institución privada, porcentaje que asciende con el nivel educativo de la mujer, pasando de 6,9% entre las que tienen entre 0 y 5 años de estudio, hasta 43,2% entre las que tienen 12 y más años aprobados de estudio.  El 72,8% obtuvo la atención posparto de una institución pública y 5,7% de una partera u otro lugar.</w:t>
      </w:r>
    </w:p>
    <w:p w:rsidR="00000000" w:rsidRDefault="00000000">
      <w:pPr>
        <w:autoSpaceDE w:val="0"/>
        <w:autoSpaceDN w:val="0"/>
        <w:adjustRightInd w:val="0"/>
        <w:spacing w:after="240"/>
      </w:pPr>
      <w:r>
        <w:t>503.</w:t>
      </w:r>
      <w:r>
        <w:tab/>
        <w:t>Con respecto al tiempo del control posparto, el 9,4% de los controles posparto obtenidos ocurrieron en la primera semana después del parto, 62,1% dentro de las dos semanas siguientes y 17,2% en el mes después del parto.  Las que tuvieron partos institucionales, concurrieron al control posparto de manera más temprana en comparación a las que tuvieron partos domiciliarios.  Alrededor del 90% de los controles posparto de partos institucionales ocurrieron en el primer mes, comparado con 79,4% para partos domiciliarios en el mismo período.</w:t>
      </w:r>
    </w:p>
    <w:p w:rsidR="00000000" w:rsidRDefault="00000000">
      <w:pPr>
        <w:pStyle w:val="BodyText"/>
        <w:jc w:val="left"/>
        <w:rPr>
          <w:b/>
          <w:lang w:eastAsia="en-US"/>
        </w:rPr>
      </w:pPr>
      <w:r>
        <w:rPr>
          <w:b/>
        </w:rPr>
        <w:tab/>
        <w:t xml:space="preserve">5.2.  </w:t>
      </w:r>
      <w:r>
        <w:rPr>
          <w:b/>
          <w:lang w:eastAsia="en-US"/>
        </w:rPr>
        <w:t>Mortalidad materna</w:t>
      </w:r>
    </w:p>
    <w:p w:rsidR="00000000" w:rsidRDefault="00000000">
      <w:pPr>
        <w:autoSpaceDE w:val="0"/>
        <w:autoSpaceDN w:val="0"/>
        <w:adjustRightInd w:val="0"/>
        <w:spacing w:after="240"/>
      </w:pPr>
      <w:r>
        <w:t>504.</w:t>
      </w:r>
      <w:r>
        <w:tab/>
        <w:t>La mortalidad materna registrada por el Ministerio de Salud Pública y Bienestar Social es de 155 por 1.000 nacidos vivos, que ha tenido una variación de 20.  Sobre la cifra del 2003 que fue de 174 por cada 100.000 nacidos vivos.</w:t>
      </w:r>
    </w:p>
    <w:p w:rsidR="00000000" w:rsidRDefault="00000000">
      <w:pPr>
        <w:autoSpaceDE w:val="0"/>
        <w:autoSpaceDN w:val="0"/>
        <w:adjustRightInd w:val="0"/>
        <w:spacing w:after="240"/>
      </w:pPr>
      <w:r>
        <w:t>505.</w:t>
      </w:r>
      <w:r>
        <w:tab/>
        <w:t>Actualmente la mortalidad materna del Paraguay está clasificada como moderada. Los datos del Ministerio de Salud Pública y Bienestar Social muestran una alta tasa de mortalidad que fue descendiendo en la ú</w:t>
      </w:r>
      <w:r>
        <w:t>l</w:t>
      </w:r>
      <w:r>
        <w:t>tima década, aunque con importantes variaciones anuales.  Desde hace tres o cuatro años se ha fort</w:t>
      </w:r>
      <w:r>
        <w:t>a</w:t>
      </w:r>
      <w:r>
        <w:t>lecido el proceso de registro de defunciones maternas, con el trabajo de la Comisión Nacional de V</w:t>
      </w:r>
      <w:r>
        <w:t>i</w:t>
      </w:r>
      <w:r>
        <w:t>gilancia de la Salud y la Mortalidad Materna y los esfuerzos del Ministerio de Salud de conocer con mayor profundidad la problemática de esta situ</w:t>
      </w:r>
      <w:r>
        <w:t>a</w:t>
      </w:r>
      <w:r>
        <w:t>ción.  Es importante tener en cuenta que es estimando un porcentaje importante de subregistros de defunciones que podría llevar a dar datos y cifras más elevadas en la medida que el sistema de vig</w:t>
      </w:r>
      <w:r>
        <w:t>i</w:t>
      </w:r>
      <w:r>
        <w:t>lancia mejore.</w:t>
      </w:r>
    </w:p>
    <w:p w:rsidR="00000000" w:rsidRDefault="00000000">
      <w:pPr>
        <w:autoSpaceDE w:val="0"/>
        <w:autoSpaceDN w:val="0"/>
        <w:adjustRightInd w:val="0"/>
        <w:spacing w:after="240"/>
      </w:pPr>
      <w:r>
        <w:t>506.</w:t>
      </w:r>
      <w:r>
        <w:tab/>
        <w:t>Las condicionantes de la mortalidad materna en el Paraguay son principalmente:  la pobreza; la falta de educación; la falta de vivienda digna; la alta tasa de fecundidad durante los 20 años anteriores a este informe; la planificación familiar que no logra extenderse en el uso por condicionantes del nivel educativo; la preferencia de las mujeres a tener muchos hijos asegurando su futuro bienestar; las dificultades de acceso a los servicios de salud que en un sistema fragmentado de salud existe un remanente que no accede a ellos y por lo tanto a la atención adecuada maternoinfantil; el desconocimiento de los derechos reproductivos también como consecuencia del nivel educativo de hombres y mujeres.</w:t>
      </w:r>
    </w:p>
    <w:p w:rsidR="00000000" w:rsidRDefault="00000000">
      <w:pPr>
        <w:autoSpaceDE w:val="0"/>
        <w:autoSpaceDN w:val="0"/>
        <w:adjustRightInd w:val="0"/>
        <w:spacing w:after="240"/>
      </w:pPr>
      <w:r>
        <w:t>507.</w:t>
      </w:r>
      <w:r>
        <w:tab/>
        <w:t xml:space="preserve">Con mirar a subsanar esta situación, el Proyecto Monitoras en Salud Sexual y Reproductiva, ejecutado por la Secretaría de la Mujer y el apoyo del UNFPA, fueron formados(as) 1.200 monitores y monitoras en salud sexual y reproductiva, conformando una Red Nacional entre todos los departamentos del país.  En el marco de este proyecto fueron capacitadas en salud sexual y reproductiva 68 mujeres rurales e indígenas de 3 departamentos del país. </w:t>
      </w:r>
    </w:p>
    <w:p w:rsidR="00000000" w:rsidRDefault="00000000">
      <w:pPr>
        <w:autoSpaceDE w:val="0"/>
        <w:autoSpaceDN w:val="0"/>
        <w:adjustRightInd w:val="0"/>
        <w:spacing w:after="240"/>
      </w:pPr>
      <w:r>
        <w:t>508.</w:t>
      </w:r>
      <w:r>
        <w:tab/>
        <w:t>La Secretaría de la Mujer lanzó a través de la Campaña Iguales en Todo, materiales educativos de prevención de la mortalidad materna a través de los controles prenatales y señales de alarma así como de prevención de infecciones de</w:t>
      </w:r>
      <w:r>
        <w:rPr>
          <w:i/>
          <w:color w:val="FF6600"/>
        </w:rPr>
        <w:t xml:space="preserve"> </w:t>
      </w:r>
      <w:r>
        <w:t>transmisión sexual.  En el marco de esta campaña también se realizan teatros callejeros de prevención de la violencia intrafamiliar y de la transmisión de ITS entre ellas, el VIH/SIDA.</w:t>
      </w:r>
    </w:p>
    <w:p w:rsidR="00000000" w:rsidRDefault="00000000">
      <w:pPr>
        <w:autoSpaceDE w:val="0"/>
        <w:autoSpaceDN w:val="0"/>
        <w:adjustRightInd w:val="0"/>
        <w:spacing w:after="240"/>
        <w:jc w:val="center"/>
        <w:rPr>
          <w:b/>
          <w:bCs/>
          <w:sz w:val="14"/>
        </w:rPr>
      </w:pPr>
      <w:r>
        <w:rPr>
          <w:b/>
          <w:bCs/>
          <w:sz w:val="14"/>
        </w:rPr>
        <w:t>Evolución de la mortalidad materna, 1996-2003</w:t>
      </w:r>
    </w:p>
    <w:tbl>
      <w:tblPr>
        <w:tblW w:w="5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26"/>
        <w:gridCol w:w="480"/>
        <w:gridCol w:w="490"/>
        <w:gridCol w:w="451"/>
        <w:gridCol w:w="509"/>
        <w:gridCol w:w="425"/>
        <w:gridCol w:w="468"/>
        <w:gridCol w:w="466"/>
        <w:gridCol w:w="468"/>
        <w:gridCol w:w="466"/>
        <w:gridCol w:w="468"/>
        <w:gridCol w:w="466"/>
        <w:gridCol w:w="468"/>
        <w:gridCol w:w="466"/>
        <w:gridCol w:w="468"/>
        <w:gridCol w:w="466"/>
        <w:gridCol w:w="449"/>
      </w:tblGrid>
      <w:tr w:rsidR="00000000">
        <w:tblPrEx>
          <w:tblCellMar>
            <w:top w:w="0" w:type="dxa"/>
            <w:bottom w:w="0" w:type="dxa"/>
          </w:tblCellMar>
        </w:tblPrEx>
        <w:trPr>
          <w:cantSplit/>
        </w:trPr>
        <w:tc>
          <w:tcPr>
            <w:tcW w:w="1024" w:type="pct"/>
            <w:vMerge w:val="restart"/>
            <w:vAlign w:val="center"/>
          </w:tcPr>
          <w:p w:rsidR="00000000" w:rsidRDefault="00000000">
            <w:pPr>
              <w:autoSpaceDE w:val="0"/>
              <w:autoSpaceDN w:val="0"/>
              <w:adjustRightInd w:val="0"/>
              <w:jc w:val="center"/>
              <w:rPr>
                <w:b/>
                <w:bCs/>
                <w:sz w:val="14"/>
              </w:rPr>
            </w:pPr>
            <w:r>
              <w:rPr>
                <w:b/>
                <w:bCs/>
                <w:sz w:val="14"/>
              </w:rPr>
              <w:t>Causas</w:t>
            </w:r>
          </w:p>
        </w:tc>
        <w:tc>
          <w:tcPr>
            <w:tcW w:w="515" w:type="pct"/>
            <w:gridSpan w:val="2"/>
            <w:vAlign w:val="center"/>
          </w:tcPr>
          <w:p w:rsidR="00000000" w:rsidRDefault="00000000">
            <w:pPr>
              <w:autoSpaceDE w:val="0"/>
              <w:autoSpaceDN w:val="0"/>
              <w:adjustRightInd w:val="0"/>
              <w:jc w:val="center"/>
              <w:rPr>
                <w:b/>
                <w:bCs/>
                <w:sz w:val="14"/>
              </w:rPr>
            </w:pPr>
            <w:r>
              <w:rPr>
                <w:b/>
                <w:bCs/>
                <w:sz w:val="14"/>
              </w:rPr>
              <w:t>1996</w:t>
            </w:r>
          </w:p>
        </w:tc>
        <w:tc>
          <w:tcPr>
            <w:tcW w:w="511" w:type="pct"/>
            <w:gridSpan w:val="2"/>
            <w:vAlign w:val="center"/>
          </w:tcPr>
          <w:p w:rsidR="00000000" w:rsidRDefault="00000000">
            <w:pPr>
              <w:autoSpaceDE w:val="0"/>
              <w:autoSpaceDN w:val="0"/>
              <w:adjustRightInd w:val="0"/>
              <w:jc w:val="center"/>
              <w:rPr>
                <w:b/>
                <w:bCs/>
                <w:sz w:val="14"/>
              </w:rPr>
            </w:pPr>
            <w:r>
              <w:rPr>
                <w:b/>
                <w:bCs/>
                <w:sz w:val="14"/>
              </w:rPr>
              <w:t>1997</w:t>
            </w:r>
          </w:p>
        </w:tc>
        <w:tc>
          <w:tcPr>
            <w:tcW w:w="475" w:type="pct"/>
            <w:gridSpan w:val="2"/>
            <w:vAlign w:val="center"/>
          </w:tcPr>
          <w:p w:rsidR="00000000" w:rsidRDefault="00000000">
            <w:pPr>
              <w:autoSpaceDE w:val="0"/>
              <w:autoSpaceDN w:val="0"/>
              <w:adjustRightInd w:val="0"/>
              <w:jc w:val="center"/>
              <w:rPr>
                <w:b/>
                <w:bCs/>
                <w:sz w:val="14"/>
              </w:rPr>
            </w:pPr>
            <w:r>
              <w:rPr>
                <w:b/>
                <w:bCs/>
                <w:sz w:val="14"/>
              </w:rPr>
              <w:t>1998</w:t>
            </w:r>
          </w:p>
        </w:tc>
        <w:tc>
          <w:tcPr>
            <w:tcW w:w="497" w:type="pct"/>
            <w:gridSpan w:val="2"/>
            <w:vAlign w:val="center"/>
          </w:tcPr>
          <w:p w:rsidR="00000000" w:rsidRDefault="00000000">
            <w:pPr>
              <w:autoSpaceDE w:val="0"/>
              <w:autoSpaceDN w:val="0"/>
              <w:adjustRightInd w:val="0"/>
              <w:jc w:val="center"/>
              <w:rPr>
                <w:b/>
                <w:bCs/>
                <w:sz w:val="14"/>
              </w:rPr>
            </w:pPr>
            <w:r>
              <w:rPr>
                <w:b/>
                <w:bCs/>
                <w:sz w:val="14"/>
              </w:rPr>
              <w:t>1999</w:t>
            </w:r>
          </w:p>
        </w:tc>
        <w:tc>
          <w:tcPr>
            <w:tcW w:w="497" w:type="pct"/>
            <w:gridSpan w:val="2"/>
            <w:vAlign w:val="center"/>
          </w:tcPr>
          <w:p w:rsidR="00000000" w:rsidRDefault="00000000">
            <w:pPr>
              <w:autoSpaceDE w:val="0"/>
              <w:autoSpaceDN w:val="0"/>
              <w:adjustRightInd w:val="0"/>
              <w:jc w:val="center"/>
              <w:rPr>
                <w:b/>
                <w:bCs/>
                <w:sz w:val="14"/>
              </w:rPr>
            </w:pPr>
            <w:r>
              <w:rPr>
                <w:b/>
                <w:bCs/>
                <w:sz w:val="14"/>
              </w:rPr>
              <w:t>2000</w:t>
            </w:r>
          </w:p>
        </w:tc>
        <w:tc>
          <w:tcPr>
            <w:tcW w:w="497" w:type="pct"/>
            <w:gridSpan w:val="2"/>
            <w:vAlign w:val="center"/>
          </w:tcPr>
          <w:p w:rsidR="00000000" w:rsidRDefault="00000000">
            <w:pPr>
              <w:autoSpaceDE w:val="0"/>
              <w:autoSpaceDN w:val="0"/>
              <w:adjustRightInd w:val="0"/>
              <w:jc w:val="center"/>
              <w:rPr>
                <w:b/>
                <w:bCs/>
                <w:sz w:val="14"/>
              </w:rPr>
            </w:pPr>
            <w:r>
              <w:rPr>
                <w:b/>
                <w:bCs/>
                <w:sz w:val="14"/>
              </w:rPr>
              <w:t>2001</w:t>
            </w:r>
          </w:p>
        </w:tc>
        <w:tc>
          <w:tcPr>
            <w:tcW w:w="497" w:type="pct"/>
            <w:gridSpan w:val="2"/>
            <w:vAlign w:val="center"/>
          </w:tcPr>
          <w:p w:rsidR="00000000" w:rsidRDefault="00000000">
            <w:pPr>
              <w:autoSpaceDE w:val="0"/>
              <w:autoSpaceDN w:val="0"/>
              <w:adjustRightInd w:val="0"/>
              <w:jc w:val="center"/>
              <w:rPr>
                <w:b/>
                <w:bCs/>
                <w:sz w:val="14"/>
              </w:rPr>
            </w:pPr>
            <w:r>
              <w:rPr>
                <w:b/>
                <w:bCs/>
                <w:sz w:val="14"/>
              </w:rPr>
              <w:t>2002</w:t>
            </w:r>
          </w:p>
        </w:tc>
        <w:tc>
          <w:tcPr>
            <w:tcW w:w="488" w:type="pct"/>
            <w:gridSpan w:val="2"/>
            <w:vAlign w:val="center"/>
          </w:tcPr>
          <w:p w:rsidR="00000000" w:rsidRDefault="00000000">
            <w:pPr>
              <w:autoSpaceDE w:val="0"/>
              <w:autoSpaceDN w:val="0"/>
              <w:adjustRightInd w:val="0"/>
              <w:jc w:val="center"/>
              <w:rPr>
                <w:b/>
                <w:bCs/>
                <w:sz w:val="14"/>
              </w:rPr>
            </w:pPr>
            <w:r>
              <w:rPr>
                <w:b/>
                <w:bCs/>
                <w:sz w:val="14"/>
              </w:rPr>
              <w:t>2003</w:t>
            </w:r>
          </w:p>
        </w:tc>
      </w:tr>
      <w:tr w:rsidR="00000000">
        <w:tblPrEx>
          <w:tblCellMar>
            <w:top w:w="0" w:type="dxa"/>
            <w:bottom w:w="0" w:type="dxa"/>
          </w:tblCellMar>
        </w:tblPrEx>
        <w:trPr>
          <w:cantSplit/>
        </w:trPr>
        <w:tc>
          <w:tcPr>
            <w:tcW w:w="1024" w:type="pct"/>
            <w:vMerge/>
          </w:tcPr>
          <w:p w:rsidR="00000000" w:rsidRDefault="00000000">
            <w:pPr>
              <w:autoSpaceDE w:val="0"/>
              <w:autoSpaceDN w:val="0"/>
              <w:adjustRightInd w:val="0"/>
              <w:rPr>
                <w:b/>
                <w:bCs/>
                <w:sz w:val="14"/>
              </w:rPr>
            </w:pPr>
          </w:p>
        </w:tc>
        <w:tc>
          <w:tcPr>
            <w:tcW w:w="255" w:type="pct"/>
            <w:vAlign w:val="center"/>
          </w:tcPr>
          <w:p w:rsidR="00000000" w:rsidRDefault="00000000">
            <w:pPr>
              <w:autoSpaceDE w:val="0"/>
              <w:autoSpaceDN w:val="0"/>
              <w:adjustRightInd w:val="0"/>
              <w:jc w:val="center"/>
              <w:rPr>
                <w:b/>
                <w:bCs/>
                <w:sz w:val="14"/>
              </w:rPr>
            </w:pPr>
            <w:r>
              <w:rPr>
                <w:b/>
                <w:bCs/>
                <w:sz w:val="14"/>
              </w:rPr>
              <w:t>Nº</w:t>
            </w:r>
          </w:p>
        </w:tc>
        <w:tc>
          <w:tcPr>
            <w:tcW w:w="260" w:type="pct"/>
            <w:vAlign w:val="center"/>
          </w:tcPr>
          <w:p w:rsidR="00000000" w:rsidRDefault="00000000">
            <w:pPr>
              <w:autoSpaceDE w:val="0"/>
              <w:autoSpaceDN w:val="0"/>
              <w:adjustRightInd w:val="0"/>
              <w:jc w:val="center"/>
              <w:rPr>
                <w:b/>
                <w:bCs/>
                <w:sz w:val="14"/>
              </w:rPr>
            </w:pPr>
            <w:r>
              <w:rPr>
                <w:b/>
                <w:bCs/>
                <w:sz w:val="14"/>
              </w:rPr>
              <w:t>Tasa</w:t>
            </w:r>
          </w:p>
        </w:tc>
        <w:tc>
          <w:tcPr>
            <w:tcW w:w="240" w:type="pct"/>
            <w:vAlign w:val="center"/>
          </w:tcPr>
          <w:p w:rsidR="00000000" w:rsidRDefault="00000000">
            <w:pPr>
              <w:autoSpaceDE w:val="0"/>
              <w:autoSpaceDN w:val="0"/>
              <w:adjustRightInd w:val="0"/>
              <w:jc w:val="center"/>
              <w:rPr>
                <w:b/>
                <w:bCs/>
                <w:sz w:val="14"/>
              </w:rPr>
            </w:pPr>
            <w:r>
              <w:rPr>
                <w:b/>
                <w:bCs/>
                <w:sz w:val="14"/>
              </w:rPr>
              <w:t>Nº</w:t>
            </w:r>
          </w:p>
        </w:tc>
        <w:tc>
          <w:tcPr>
            <w:tcW w:w="271" w:type="pct"/>
            <w:vAlign w:val="center"/>
          </w:tcPr>
          <w:p w:rsidR="00000000" w:rsidRDefault="00000000">
            <w:pPr>
              <w:autoSpaceDE w:val="0"/>
              <w:autoSpaceDN w:val="0"/>
              <w:adjustRightInd w:val="0"/>
              <w:jc w:val="center"/>
              <w:rPr>
                <w:b/>
                <w:bCs/>
                <w:sz w:val="14"/>
              </w:rPr>
            </w:pPr>
            <w:r>
              <w:rPr>
                <w:b/>
                <w:bCs/>
                <w:sz w:val="14"/>
              </w:rPr>
              <w:t>Tasa</w:t>
            </w:r>
          </w:p>
        </w:tc>
        <w:tc>
          <w:tcPr>
            <w:tcW w:w="226" w:type="pct"/>
            <w:vAlign w:val="center"/>
          </w:tcPr>
          <w:p w:rsidR="00000000" w:rsidRDefault="00000000">
            <w:pPr>
              <w:autoSpaceDE w:val="0"/>
              <w:autoSpaceDN w:val="0"/>
              <w:adjustRightInd w:val="0"/>
              <w:jc w:val="center"/>
              <w:rPr>
                <w:b/>
                <w:bCs/>
                <w:sz w:val="14"/>
              </w:rPr>
            </w:pPr>
            <w:r>
              <w:rPr>
                <w:b/>
                <w:bCs/>
                <w:sz w:val="14"/>
              </w:rPr>
              <w:t>Nº</w:t>
            </w:r>
          </w:p>
        </w:tc>
        <w:tc>
          <w:tcPr>
            <w:tcW w:w="249" w:type="pct"/>
            <w:vAlign w:val="center"/>
          </w:tcPr>
          <w:p w:rsidR="00000000" w:rsidRDefault="00000000">
            <w:pPr>
              <w:autoSpaceDE w:val="0"/>
              <w:autoSpaceDN w:val="0"/>
              <w:adjustRightInd w:val="0"/>
              <w:jc w:val="center"/>
              <w:rPr>
                <w:b/>
                <w:bCs/>
                <w:sz w:val="14"/>
              </w:rPr>
            </w:pPr>
            <w:r>
              <w:rPr>
                <w:b/>
                <w:bCs/>
                <w:sz w:val="14"/>
              </w:rPr>
              <w:t>Tasa</w:t>
            </w:r>
          </w:p>
        </w:tc>
        <w:tc>
          <w:tcPr>
            <w:tcW w:w="248" w:type="pct"/>
            <w:vAlign w:val="center"/>
          </w:tcPr>
          <w:p w:rsidR="00000000" w:rsidRDefault="00000000">
            <w:pPr>
              <w:autoSpaceDE w:val="0"/>
              <w:autoSpaceDN w:val="0"/>
              <w:adjustRightInd w:val="0"/>
              <w:jc w:val="center"/>
              <w:rPr>
                <w:b/>
                <w:bCs/>
                <w:sz w:val="14"/>
              </w:rPr>
            </w:pPr>
            <w:r>
              <w:rPr>
                <w:b/>
                <w:bCs/>
                <w:sz w:val="14"/>
              </w:rPr>
              <w:t>Nº</w:t>
            </w:r>
          </w:p>
        </w:tc>
        <w:tc>
          <w:tcPr>
            <w:tcW w:w="249" w:type="pct"/>
            <w:vAlign w:val="center"/>
          </w:tcPr>
          <w:p w:rsidR="00000000" w:rsidRDefault="00000000">
            <w:pPr>
              <w:autoSpaceDE w:val="0"/>
              <w:autoSpaceDN w:val="0"/>
              <w:adjustRightInd w:val="0"/>
              <w:jc w:val="center"/>
              <w:rPr>
                <w:b/>
                <w:bCs/>
                <w:sz w:val="14"/>
              </w:rPr>
            </w:pPr>
            <w:r>
              <w:rPr>
                <w:b/>
                <w:bCs/>
                <w:sz w:val="14"/>
              </w:rPr>
              <w:t>Tasa</w:t>
            </w:r>
          </w:p>
        </w:tc>
        <w:tc>
          <w:tcPr>
            <w:tcW w:w="248" w:type="pct"/>
            <w:vAlign w:val="center"/>
          </w:tcPr>
          <w:p w:rsidR="00000000" w:rsidRDefault="00000000">
            <w:pPr>
              <w:autoSpaceDE w:val="0"/>
              <w:autoSpaceDN w:val="0"/>
              <w:adjustRightInd w:val="0"/>
              <w:jc w:val="center"/>
              <w:rPr>
                <w:b/>
                <w:bCs/>
                <w:sz w:val="14"/>
              </w:rPr>
            </w:pPr>
            <w:r>
              <w:rPr>
                <w:b/>
                <w:bCs/>
                <w:sz w:val="14"/>
              </w:rPr>
              <w:t>Nº</w:t>
            </w:r>
          </w:p>
        </w:tc>
        <w:tc>
          <w:tcPr>
            <w:tcW w:w="249" w:type="pct"/>
            <w:vAlign w:val="center"/>
          </w:tcPr>
          <w:p w:rsidR="00000000" w:rsidRDefault="00000000">
            <w:pPr>
              <w:autoSpaceDE w:val="0"/>
              <w:autoSpaceDN w:val="0"/>
              <w:adjustRightInd w:val="0"/>
              <w:jc w:val="center"/>
              <w:rPr>
                <w:b/>
                <w:bCs/>
                <w:sz w:val="14"/>
              </w:rPr>
            </w:pPr>
            <w:r>
              <w:rPr>
                <w:b/>
                <w:bCs/>
                <w:sz w:val="14"/>
              </w:rPr>
              <w:t>Tasa</w:t>
            </w:r>
          </w:p>
        </w:tc>
        <w:tc>
          <w:tcPr>
            <w:tcW w:w="248" w:type="pct"/>
            <w:vAlign w:val="center"/>
          </w:tcPr>
          <w:p w:rsidR="00000000" w:rsidRDefault="00000000">
            <w:pPr>
              <w:autoSpaceDE w:val="0"/>
              <w:autoSpaceDN w:val="0"/>
              <w:adjustRightInd w:val="0"/>
              <w:jc w:val="center"/>
              <w:rPr>
                <w:b/>
                <w:bCs/>
                <w:sz w:val="14"/>
              </w:rPr>
            </w:pPr>
            <w:r>
              <w:rPr>
                <w:b/>
                <w:bCs/>
                <w:sz w:val="14"/>
              </w:rPr>
              <w:t>Nº</w:t>
            </w:r>
          </w:p>
        </w:tc>
        <w:tc>
          <w:tcPr>
            <w:tcW w:w="249" w:type="pct"/>
            <w:vAlign w:val="center"/>
          </w:tcPr>
          <w:p w:rsidR="00000000" w:rsidRDefault="00000000">
            <w:pPr>
              <w:autoSpaceDE w:val="0"/>
              <w:autoSpaceDN w:val="0"/>
              <w:adjustRightInd w:val="0"/>
              <w:jc w:val="center"/>
              <w:rPr>
                <w:b/>
                <w:bCs/>
                <w:sz w:val="14"/>
              </w:rPr>
            </w:pPr>
            <w:r>
              <w:rPr>
                <w:b/>
                <w:bCs/>
                <w:sz w:val="14"/>
              </w:rPr>
              <w:t>Tasa</w:t>
            </w:r>
          </w:p>
        </w:tc>
        <w:tc>
          <w:tcPr>
            <w:tcW w:w="248" w:type="pct"/>
            <w:vAlign w:val="center"/>
          </w:tcPr>
          <w:p w:rsidR="00000000" w:rsidRDefault="00000000">
            <w:pPr>
              <w:autoSpaceDE w:val="0"/>
              <w:autoSpaceDN w:val="0"/>
              <w:adjustRightInd w:val="0"/>
              <w:jc w:val="center"/>
              <w:rPr>
                <w:b/>
                <w:bCs/>
                <w:sz w:val="14"/>
              </w:rPr>
            </w:pPr>
            <w:r>
              <w:rPr>
                <w:b/>
                <w:bCs/>
                <w:sz w:val="14"/>
              </w:rPr>
              <w:t>Nº</w:t>
            </w:r>
          </w:p>
        </w:tc>
        <w:tc>
          <w:tcPr>
            <w:tcW w:w="249" w:type="pct"/>
            <w:vAlign w:val="center"/>
          </w:tcPr>
          <w:p w:rsidR="00000000" w:rsidRDefault="00000000">
            <w:pPr>
              <w:autoSpaceDE w:val="0"/>
              <w:autoSpaceDN w:val="0"/>
              <w:adjustRightInd w:val="0"/>
              <w:jc w:val="center"/>
              <w:rPr>
                <w:b/>
                <w:bCs/>
                <w:sz w:val="14"/>
              </w:rPr>
            </w:pPr>
            <w:r>
              <w:rPr>
                <w:b/>
                <w:bCs/>
                <w:sz w:val="14"/>
              </w:rPr>
              <w:t>Tasa</w:t>
            </w:r>
          </w:p>
        </w:tc>
        <w:tc>
          <w:tcPr>
            <w:tcW w:w="248" w:type="pct"/>
            <w:vAlign w:val="center"/>
          </w:tcPr>
          <w:p w:rsidR="00000000" w:rsidRDefault="00000000">
            <w:pPr>
              <w:autoSpaceDE w:val="0"/>
              <w:autoSpaceDN w:val="0"/>
              <w:adjustRightInd w:val="0"/>
              <w:jc w:val="center"/>
              <w:rPr>
                <w:b/>
                <w:bCs/>
                <w:sz w:val="14"/>
              </w:rPr>
            </w:pPr>
            <w:r>
              <w:rPr>
                <w:b/>
                <w:bCs/>
                <w:sz w:val="14"/>
              </w:rPr>
              <w:t>Nº</w:t>
            </w:r>
          </w:p>
        </w:tc>
        <w:tc>
          <w:tcPr>
            <w:tcW w:w="240" w:type="pct"/>
            <w:vAlign w:val="center"/>
          </w:tcPr>
          <w:p w:rsidR="00000000" w:rsidRDefault="00000000">
            <w:pPr>
              <w:autoSpaceDE w:val="0"/>
              <w:autoSpaceDN w:val="0"/>
              <w:adjustRightInd w:val="0"/>
              <w:jc w:val="center"/>
              <w:rPr>
                <w:b/>
                <w:bCs/>
                <w:sz w:val="14"/>
              </w:rPr>
            </w:pPr>
            <w:r>
              <w:rPr>
                <w:b/>
                <w:bCs/>
                <w:sz w:val="14"/>
              </w:rPr>
              <w:t>Tasa</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1.</w:t>
            </w:r>
            <w:r>
              <w:rPr>
                <w:sz w:val="14"/>
              </w:rPr>
              <w:tab/>
              <w:t xml:space="preserve">Aborto </w:t>
            </w:r>
          </w:p>
        </w:tc>
        <w:tc>
          <w:tcPr>
            <w:tcW w:w="255" w:type="pct"/>
            <w:vAlign w:val="bottom"/>
          </w:tcPr>
          <w:p w:rsidR="00000000" w:rsidRDefault="00000000">
            <w:pPr>
              <w:tabs>
                <w:tab w:val="decimal" w:pos="332"/>
              </w:tabs>
              <w:rPr>
                <w:color w:val="000000"/>
                <w:sz w:val="14"/>
                <w:szCs w:val="16"/>
              </w:rPr>
            </w:pPr>
            <w:r>
              <w:rPr>
                <w:color w:val="000000"/>
                <w:sz w:val="14"/>
                <w:szCs w:val="16"/>
              </w:rPr>
              <w:t>34</w:t>
            </w:r>
          </w:p>
        </w:tc>
        <w:tc>
          <w:tcPr>
            <w:tcW w:w="260" w:type="pct"/>
            <w:vAlign w:val="bottom"/>
          </w:tcPr>
          <w:p w:rsidR="00000000" w:rsidRDefault="00000000">
            <w:pPr>
              <w:tabs>
                <w:tab w:val="decimal" w:pos="289"/>
              </w:tabs>
              <w:rPr>
                <w:color w:val="000000"/>
                <w:sz w:val="14"/>
                <w:szCs w:val="16"/>
              </w:rPr>
            </w:pPr>
            <w:r>
              <w:rPr>
                <w:color w:val="000000"/>
                <w:sz w:val="14"/>
                <w:szCs w:val="16"/>
              </w:rPr>
              <w:t>38,5</w:t>
            </w:r>
          </w:p>
        </w:tc>
        <w:tc>
          <w:tcPr>
            <w:tcW w:w="240" w:type="pct"/>
            <w:vAlign w:val="bottom"/>
          </w:tcPr>
          <w:p w:rsidR="00000000" w:rsidRDefault="00000000">
            <w:pPr>
              <w:tabs>
                <w:tab w:val="decimal" w:pos="162"/>
              </w:tabs>
              <w:jc w:val="center"/>
              <w:rPr>
                <w:color w:val="000000"/>
                <w:sz w:val="14"/>
                <w:szCs w:val="16"/>
              </w:rPr>
            </w:pPr>
            <w:r>
              <w:rPr>
                <w:color w:val="000000"/>
                <w:sz w:val="14"/>
                <w:szCs w:val="16"/>
              </w:rPr>
              <w:t>25</w:t>
            </w:r>
          </w:p>
        </w:tc>
        <w:tc>
          <w:tcPr>
            <w:tcW w:w="271" w:type="pct"/>
            <w:vAlign w:val="bottom"/>
          </w:tcPr>
          <w:p w:rsidR="00000000" w:rsidRDefault="00000000">
            <w:pPr>
              <w:tabs>
                <w:tab w:val="decimal" w:pos="380"/>
              </w:tabs>
              <w:rPr>
                <w:color w:val="000000"/>
                <w:sz w:val="14"/>
                <w:szCs w:val="16"/>
              </w:rPr>
            </w:pPr>
            <w:r>
              <w:rPr>
                <w:color w:val="000000"/>
                <w:sz w:val="14"/>
                <w:szCs w:val="16"/>
              </w:rPr>
              <w:t>28,3</w:t>
            </w:r>
          </w:p>
        </w:tc>
        <w:tc>
          <w:tcPr>
            <w:tcW w:w="226" w:type="pct"/>
            <w:vAlign w:val="bottom"/>
          </w:tcPr>
          <w:p w:rsidR="00000000" w:rsidRDefault="00000000">
            <w:pPr>
              <w:tabs>
                <w:tab w:val="decimal" w:pos="181"/>
              </w:tabs>
              <w:jc w:val="center"/>
              <w:rPr>
                <w:color w:val="000000"/>
                <w:sz w:val="14"/>
                <w:szCs w:val="16"/>
              </w:rPr>
            </w:pPr>
            <w:r>
              <w:rPr>
                <w:color w:val="000000"/>
                <w:sz w:val="14"/>
                <w:szCs w:val="16"/>
              </w:rPr>
              <w:t>16</w:t>
            </w:r>
          </w:p>
        </w:tc>
        <w:tc>
          <w:tcPr>
            <w:tcW w:w="249" w:type="pct"/>
            <w:vAlign w:val="bottom"/>
          </w:tcPr>
          <w:p w:rsidR="00000000" w:rsidRDefault="00000000">
            <w:pPr>
              <w:tabs>
                <w:tab w:val="decimal" w:pos="286"/>
              </w:tabs>
              <w:rPr>
                <w:color w:val="000000"/>
                <w:sz w:val="14"/>
                <w:szCs w:val="16"/>
              </w:rPr>
            </w:pPr>
            <w:r>
              <w:rPr>
                <w:color w:val="000000"/>
                <w:sz w:val="14"/>
                <w:szCs w:val="16"/>
              </w:rPr>
              <w:t>18,5</w:t>
            </w:r>
          </w:p>
        </w:tc>
        <w:tc>
          <w:tcPr>
            <w:tcW w:w="248" w:type="pct"/>
            <w:vAlign w:val="bottom"/>
          </w:tcPr>
          <w:p w:rsidR="00000000" w:rsidRDefault="00000000">
            <w:pPr>
              <w:tabs>
                <w:tab w:val="decimal" w:pos="298"/>
              </w:tabs>
              <w:jc w:val="center"/>
              <w:rPr>
                <w:color w:val="000000"/>
                <w:sz w:val="14"/>
                <w:szCs w:val="16"/>
              </w:rPr>
            </w:pPr>
            <w:r>
              <w:rPr>
                <w:color w:val="000000"/>
                <w:sz w:val="14"/>
                <w:szCs w:val="16"/>
              </w:rPr>
              <w:t>23</w:t>
            </w:r>
          </w:p>
        </w:tc>
        <w:tc>
          <w:tcPr>
            <w:tcW w:w="249" w:type="pct"/>
            <w:vAlign w:val="bottom"/>
          </w:tcPr>
          <w:p w:rsidR="00000000" w:rsidRDefault="00000000">
            <w:pPr>
              <w:tabs>
                <w:tab w:val="decimal" w:pos="312"/>
              </w:tabs>
              <w:rPr>
                <w:color w:val="000000"/>
                <w:sz w:val="14"/>
                <w:szCs w:val="16"/>
              </w:rPr>
            </w:pPr>
            <w:r>
              <w:rPr>
                <w:color w:val="000000"/>
                <w:sz w:val="14"/>
                <w:szCs w:val="16"/>
              </w:rPr>
              <w:t>25,6</w:t>
            </w:r>
          </w:p>
        </w:tc>
        <w:tc>
          <w:tcPr>
            <w:tcW w:w="248" w:type="pct"/>
            <w:vAlign w:val="bottom"/>
          </w:tcPr>
          <w:p w:rsidR="00000000" w:rsidRDefault="00000000">
            <w:pPr>
              <w:tabs>
                <w:tab w:val="decimal" w:pos="324"/>
              </w:tabs>
              <w:jc w:val="center"/>
              <w:rPr>
                <w:color w:val="000000"/>
                <w:sz w:val="14"/>
                <w:szCs w:val="16"/>
              </w:rPr>
            </w:pPr>
            <w:r>
              <w:rPr>
                <w:color w:val="000000"/>
                <w:sz w:val="14"/>
                <w:szCs w:val="16"/>
              </w:rPr>
              <w:t>35</w:t>
            </w:r>
          </w:p>
        </w:tc>
        <w:tc>
          <w:tcPr>
            <w:tcW w:w="249" w:type="pct"/>
            <w:vAlign w:val="bottom"/>
          </w:tcPr>
          <w:p w:rsidR="00000000" w:rsidRDefault="00000000">
            <w:pPr>
              <w:tabs>
                <w:tab w:val="decimal" w:pos="338"/>
              </w:tabs>
              <w:rPr>
                <w:color w:val="000000"/>
                <w:sz w:val="14"/>
                <w:szCs w:val="16"/>
              </w:rPr>
            </w:pPr>
            <w:r>
              <w:rPr>
                <w:color w:val="000000"/>
                <w:sz w:val="14"/>
                <w:szCs w:val="16"/>
              </w:rPr>
              <w:t>40,7</w:t>
            </w:r>
          </w:p>
        </w:tc>
        <w:tc>
          <w:tcPr>
            <w:tcW w:w="248" w:type="pct"/>
            <w:vAlign w:val="bottom"/>
          </w:tcPr>
          <w:p w:rsidR="00000000" w:rsidRDefault="00000000">
            <w:pPr>
              <w:tabs>
                <w:tab w:val="decimal" w:pos="350"/>
              </w:tabs>
              <w:jc w:val="center"/>
              <w:rPr>
                <w:color w:val="000000"/>
                <w:sz w:val="14"/>
                <w:szCs w:val="16"/>
              </w:rPr>
            </w:pPr>
            <w:r>
              <w:rPr>
                <w:color w:val="000000"/>
                <w:sz w:val="14"/>
                <w:szCs w:val="16"/>
              </w:rPr>
              <w:t>32</w:t>
            </w:r>
          </w:p>
        </w:tc>
        <w:tc>
          <w:tcPr>
            <w:tcW w:w="249" w:type="pct"/>
            <w:vAlign w:val="bottom"/>
          </w:tcPr>
          <w:p w:rsidR="00000000" w:rsidRDefault="00000000">
            <w:pPr>
              <w:tabs>
                <w:tab w:val="decimal" w:pos="282"/>
              </w:tabs>
              <w:rPr>
                <w:color w:val="000000"/>
                <w:sz w:val="14"/>
                <w:szCs w:val="16"/>
              </w:rPr>
            </w:pPr>
            <w:r>
              <w:rPr>
                <w:color w:val="000000"/>
                <w:sz w:val="14"/>
                <w:szCs w:val="16"/>
              </w:rPr>
              <w:t>38,1</w:t>
            </w:r>
          </w:p>
        </w:tc>
        <w:tc>
          <w:tcPr>
            <w:tcW w:w="248" w:type="pct"/>
            <w:vAlign w:val="bottom"/>
          </w:tcPr>
          <w:p w:rsidR="00000000" w:rsidRDefault="00000000">
            <w:pPr>
              <w:tabs>
                <w:tab w:val="decimal" w:pos="181"/>
              </w:tabs>
              <w:jc w:val="center"/>
              <w:rPr>
                <w:color w:val="000000"/>
                <w:sz w:val="14"/>
                <w:szCs w:val="16"/>
              </w:rPr>
            </w:pPr>
            <w:r>
              <w:rPr>
                <w:color w:val="000000"/>
                <w:sz w:val="14"/>
                <w:szCs w:val="16"/>
              </w:rPr>
              <w:t>39</w:t>
            </w:r>
          </w:p>
        </w:tc>
        <w:tc>
          <w:tcPr>
            <w:tcW w:w="249" w:type="pct"/>
            <w:vAlign w:val="bottom"/>
          </w:tcPr>
          <w:p w:rsidR="00000000" w:rsidRDefault="00000000">
            <w:pPr>
              <w:tabs>
                <w:tab w:val="decimal" w:pos="296"/>
              </w:tabs>
              <w:rPr>
                <w:color w:val="000000"/>
                <w:sz w:val="14"/>
                <w:szCs w:val="16"/>
              </w:rPr>
            </w:pPr>
            <w:r>
              <w:rPr>
                <w:color w:val="000000"/>
                <w:sz w:val="14"/>
                <w:szCs w:val="16"/>
              </w:rPr>
              <w:t>43,3</w:t>
            </w:r>
          </w:p>
        </w:tc>
        <w:tc>
          <w:tcPr>
            <w:tcW w:w="248" w:type="pct"/>
            <w:vAlign w:val="bottom"/>
          </w:tcPr>
          <w:p w:rsidR="00000000" w:rsidRDefault="00000000">
            <w:pPr>
              <w:tabs>
                <w:tab w:val="decimal" w:pos="282"/>
              </w:tabs>
              <w:jc w:val="center"/>
              <w:rPr>
                <w:color w:val="000000"/>
                <w:sz w:val="14"/>
                <w:szCs w:val="16"/>
              </w:rPr>
            </w:pPr>
            <w:r>
              <w:rPr>
                <w:color w:val="000000"/>
                <w:sz w:val="14"/>
                <w:szCs w:val="16"/>
              </w:rPr>
              <w:t>36</w:t>
            </w:r>
          </w:p>
        </w:tc>
        <w:tc>
          <w:tcPr>
            <w:tcW w:w="240" w:type="pct"/>
            <w:vAlign w:val="bottom"/>
          </w:tcPr>
          <w:p w:rsidR="00000000" w:rsidRDefault="00000000">
            <w:pPr>
              <w:tabs>
                <w:tab w:val="decimal" w:pos="296"/>
              </w:tabs>
              <w:rPr>
                <w:sz w:val="14"/>
                <w:szCs w:val="16"/>
              </w:rPr>
            </w:pPr>
            <w:r>
              <w:rPr>
                <w:sz w:val="14"/>
                <w:szCs w:val="16"/>
              </w:rPr>
              <w:t>41,5</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2.</w:t>
            </w:r>
            <w:r>
              <w:rPr>
                <w:sz w:val="14"/>
              </w:rPr>
              <w:tab/>
              <w:t>Toxemia</w:t>
            </w:r>
          </w:p>
        </w:tc>
        <w:tc>
          <w:tcPr>
            <w:tcW w:w="255" w:type="pct"/>
            <w:vAlign w:val="bottom"/>
          </w:tcPr>
          <w:p w:rsidR="00000000" w:rsidRDefault="00000000">
            <w:pPr>
              <w:tabs>
                <w:tab w:val="decimal" w:pos="332"/>
              </w:tabs>
              <w:rPr>
                <w:color w:val="000000"/>
                <w:sz w:val="14"/>
                <w:szCs w:val="16"/>
              </w:rPr>
            </w:pPr>
            <w:r>
              <w:rPr>
                <w:color w:val="000000"/>
                <w:sz w:val="14"/>
                <w:szCs w:val="16"/>
              </w:rPr>
              <w:t>23</w:t>
            </w:r>
          </w:p>
        </w:tc>
        <w:tc>
          <w:tcPr>
            <w:tcW w:w="260" w:type="pct"/>
            <w:vAlign w:val="bottom"/>
          </w:tcPr>
          <w:p w:rsidR="00000000" w:rsidRDefault="00000000">
            <w:pPr>
              <w:tabs>
                <w:tab w:val="decimal" w:pos="289"/>
              </w:tabs>
              <w:rPr>
                <w:color w:val="000000"/>
                <w:sz w:val="14"/>
                <w:szCs w:val="16"/>
              </w:rPr>
            </w:pPr>
            <w:r>
              <w:rPr>
                <w:color w:val="000000"/>
                <w:sz w:val="14"/>
                <w:szCs w:val="16"/>
              </w:rPr>
              <w:t>26,0</w:t>
            </w:r>
          </w:p>
        </w:tc>
        <w:tc>
          <w:tcPr>
            <w:tcW w:w="240" w:type="pct"/>
            <w:vAlign w:val="bottom"/>
          </w:tcPr>
          <w:p w:rsidR="00000000" w:rsidRDefault="00000000">
            <w:pPr>
              <w:tabs>
                <w:tab w:val="decimal" w:pos="162"/>
              </w:tabs>
              <w:jc w:val="center"/>
              <w:rPr>
                <w:color w:val="000000"/>
                <w:sz w:val="14"/>
                <w:szCs w:val="16"/>
              </w:rPr>
            </w:pPr>
            <w:r>
              <w:rPr>
                <w:color w:val="000000"/>
                <w:sz w:val="14"/>
                <w:szCs w:val="16"/>
              </w:rPr>
              <w:t>15</w:t>
            </w:r>
          </w:p>
        </w:tc>
        <w:tc>
          <w:tcPr>
            <w:tcW w:w="271" w:type="pct"/>
            <w:vAlign w:val="bottom"/>
          </w:tcPr>
          <w:p w:rsidR="00000000" w:rsidRDefault="00000000">
            <w:pPr>
              <w:tabs>
                <w:tab w:val="decimal" w:pos="380"/>
              </w:tabs>
              <w:rPr>
                <w:color w:val="000000"/>
                <w:sz w:val="14"/>
                <w:szCs w:val="16"/>
              </w:rPr>
            </w:pPr>
            <w:r>
              <w:rPr>
                <w:color w:val="000000"/>
                <w:sz w:val="14"/>
                <w:szCs w:val="16"/>
              </w:rPr>
              <w:t>17,0</w:t>
            </w:r>
          </w:p>
        </w:tc>
        <w:tc>
          <w:tcPr>
            <w:tcW w:w="226" w:type="pct"/>
            <w:vAlign w:val="bottom"/>
          </w:tcPr>
          <w:p w:rsidR="00000000" w:rsidRDefault="00000000">
            <w:pPr>
              <w:tabs>
                <w:tab w:val="decimal" w:pos="181"/>
              </w:tabs>
              <w:jc w:val="center"/>
              <w:rPr>
                <w:color w:val="000000"/>
                <w:sz w:val="14"/>
                <w:szCs w:val="16"/>
              </w:rPr>
            </w:pPr>
            <w:r>
              <w:rPr>
                <w:color w:val="000000"/>
                <w:sz w:val="14"/>
                <w:szCs w:val="16"/>
              </w:rPr>
              <w:t>23</w:t>
            </w:r>
          </w:p>
        </w:tc>
        <w:tc>
          <w:tcPr>
            <w:tcW w:w="249" w:type="pct"/>
            <w:vAlign w:val="bottom"/>
          </w:tcPr>
          <w:p w:rsidR="00000000" w:rsidRDefault="00000000">
            <w:pPr>
              <w:tabs>
                <w:tab w:val="decimal" w:pos="286"/>
              </w:tabs>
              <w:rPr>
                <w:color w:val="000000"/>
                <w:sz w:val="14"/>
                <w:szCs w:val="16"/>
              </w:rPr>
            </w:pPr>
            <w:r>
              <w:rPr>
                <w:color w:val="000000"/>
                <w:sz w:val="14"/>
                <w:szCs w:val="16"/>
              </w:rPr>
              <w:t>26,6</w:t>
            </w:r>
          </w:p>
        </w:tc>
        <w:tc>
          <w:tcPr>
            <w:tcW w:w="248" w:type="pct"/>
            <w:vAlign w:val="bottom"/>
          </w:tcPr>
          <w:p w:rsidR="00000000" w:rsidRDefault="00000000">
            <w:pPr>
              <w:tabs>
                <w:tab w:val="decimal" w:pos="298"/>
              </w:tabs>
              <w:jc w:val="center"/>
              <w:rPr>
                <w:color w:val="000000"/>
                <w:sz w:val="14"/>
                <w:szCs w:val="16"/>
              </w:rPr>
            </w:pPr>
            <w:r>
              <w:rPr>
                <w:color w:val="000000"/>
                <w:sz w:val="14"/>
                <w:szCs w:val="16"/>
              </w:rPr>
              <w:t>21</w:t>
            </w:r>
          </w:p>
        </w:tc>
        <w:tc>
          <w:tcPr>
            <w:tcW w:w="249" w:type="pct"/>
            <w:vAlign w:val="bottom"/>
          </w:tcPr>
          <w:p w:rsidR="00000000" w:rsidRDefault="00000000">
            <w:pPr>
              <w:tabs>
                <w:tab w:val="decimal" w:pos="312"/>
              </w:tabs>
              <w:rPr>
                <w:color w:val="000000"/>
                <w:sz w:val="14"/>
                <w:szCs w:val="16"/>
              </w:rPr>
            </w:pPr>
            <w:r>
              <w:rPr>
                <w:color w:val="000000"/>
                <w:sz w:val="14"/>
                <w:szCs w:val="16"/>
              </w:rPr>
              <w:t>23,3</w:t>
            </w:r>
          </w:p>
        </w:tc>
        <w:tc>
          <w:tcPr>
            <w:tcW w:w="248" w:type="pct"/>
            <w:vAlign w:val="bottom"/>
          </w:tcPr>
          <w:p w:rsidR="00000000" w:rsidRDefault="00000000">
            <w:pPr>
              <w:tabs>
                <w:tab w:val="decimal" w:pos="324"/>
              </w:tabs>
              <w:jc w:val="center"/>
              <w:rPr>
                <w:color w:val="000000"/>
                <w:sz w:val="14"/>
                <w:szCs w:val="16"/>
              </w:rPr>
            </w:pPr>
            <w:r>
              <w:rPr>
                <w:color w:val="000000"/>
                <w:sz w:val="14"/>
                <w:szCs w:val="16"/>
              </w:rPr>
              <w:t>37</w:t>
            </w:r>
          </w:p>
        </w:tc>
        <w:tc>
          <w:tcPr>
            <w:tcW w:w="249" w:type="pct"/>
            <w:vAlign w:val="bottom"/>
          </w:tcPr>
          <w:p w:rsidR="00000000" w:rsidRDefault="00000000">
            <w:pPr>
              <w:tabs>
                <w:tab w:val="decimal" w:pos="338"/>
              </w:tabs>
              <w:rPr>
                <w:color w:val="000000"/>
                <w:sz w:val="14"/>
                <w:szCs w:val="16"/>
              </w:rPr>
            </w:pPr>
            <w:r>
              <w:rPr>
                <w:color w:val="000000"/>
                <w:sz w:val="14"/>
                <w:szCs w:val="16"/>
              </w:rPr>
              <w:t>43,0</w:t>
            </w:r>
          </w:p>
        </w:tc>
        <w:tc>
          <w:tcPr>
            <w:tcW w:w="248" w:type="pct"/>
            <w:vAlign w:val="bottom"/>
          </w:tcPr>
          <w:p w:rsidR="00000000" w:rsidRDefault="00000000">
            <w:pPr>
              <w:tabs>
                <w:tab w:val="decimal" w:pos="350"/>
              </w:tabs>
              <w:jc w:val="center"/>
              <w:rPr>
                <w:color w:val="000000"/>
                <w:sz w:val="14"/>
                <w:szCs w:val="16"/>
              </w:rPr>
            </w:pPr>
            <w:r>
              <w:rPr>
                <w:color w:val="000000"/>
                <w:sz w:val="14"/>
                <w:szCs w:val="16"/>
              </w:rPr>
              <w:t>20</w:t>
            </w:r>
          </w:p>
        </w:tc>
        <w:tc>
          <w:tcPr>
            <w:tcW w:w="249" w:type="pct"/>
            <w:vAlign w:val="bottom"/>
          </w:tcPr>
          <w:p w:rsidR="00000000" w:rsidRDefault="00000000">
            <w:pPr>
              <w:tabs>
                <w:tab w:val="decimal" w:pos="282"/>
              </w:tabs>
              <w:rPr>
                <w:color w:val="000000"/>
                <w:sz w:val="14"/>
                <w:szCs w:val="16"/>
              </w:rPr>
            </w:pPr>
            <w:r>
              <w:rPr>
                <w:color w:val="000000"/>
                <w:sz w:val="14"/>
                <w:szCs w:val="16"/>
              </w:rPr>
              <w:t>23,8</w:t>
            </w:r>
          </w:p>
        </w:tc>
        <w:tc>
          <w:tcPr>
            <w:tcW w:w="248" w:type="pct"/>
            <w:vAlign w:val="bottom"/>
          </w:tcPr>
          <w:p w:rsidR="00000000" w:rsidRDefault="00000000">
            <w:pPr>
              <w:tabs>
                <w:tab w:val="decimal" w:pos="181"/>
              </w:tabs>
              <w:jc w:val="center"/>
              <w:rPr>
                <w:color w:val="000000"/>
                <w:sz w:val="14"/>
                <w:szCs w:val="16"/>
              </w:rPr>
            </w:pPr>
            <w:r>
              <w:rPr>
                <w:color w:val="000000"/>
                <w:sz w:val="14"/>
                <w:szCs w:val="16"/>
              </w:rPr>
              <w:t>27</w:t>
            </w:r>
          </w:p>
        </w:tc>
        <w:tc>
          <w:tcPr>
            <w:tcW w:w="249" w:type="pct"/>
            <w:vAlign w:val="bottom"/>
          </w:tcPr>
          <w:p w:rsidR="00000000" w:rsidRDefault="00000000">
            <w:pPr>
              <w:tabs>
                <w:tab w:val="decimal" w:pos="296"/>
              </w:tabs>
              <w:rPr>
                <w:color w:val="000000"/>
                <w:sz w:val="14"/>
                <w:szCs w:val="16"/>
              </w:rPr>
            </w:pPr>
            <w:r>
              <w:rPr>
                <w:color w:val="000000"/>
                <w:sz w:val="14"/>
                <w:szCs w:val="16"/>
              </w:rPr>
              <w:t>30,0</w:t>
            </w:r>
          </w:p>
        </w:tc>
        <w:tc>
          <w:tcPr>
            <w:tcW w:w="248" w:type="pct"/>
            <w:vAlign w:val="bottom"/>
          </w:tcPr>
          <w:p w:rsidR="00000000" w:rsidRDefault="00000000">
            <w:pPr>
              <w:tabs>
                <w:tab w:val="decimal" w:pos="282"/>
              </w:tabs>
              <w:jc w:val="center"/>
              <w:rPr>
                <w:color w:val="000000"/>
                <w:sz w:val="14"/>
                <w:szCs w:val="16"/>
              </w:rPr>
            </w:pPr>
            <w:r>
              <w:rPr>
                <w:color w:val="000000"/>
                <w:sz w:val="14"/>
                <w:szCs w:val="16"/>
              </w:rPr>
              <w:t>32</w:t>
            </w:r>
          </w:p>
        </w:tc>
        <w:tc>
          <w:tcPr>
            <w:tcW w:w="240" w:type="pct"/>
            <w:vAlign w:val="bottom"/>
          </w:tcPr>
          <w:p w:rsidR="00000000" w:rsidRDefault="00000000">
            <w:pPr>
              <w:tabs>
                <w:tab w:val="decimal" w:pos="296"/>
              </w:tabs>
              <w:rPr>
                <w:color w:val="000000"/>
                <w:sz w:val="14"/>
                <w:szCs w:val="16"/>
              </w:rPr>
            </w:pPr>
            <w:r>
              <w:rPr>
                <w:color w:val="000000"/>
                <w:sz w:val="14"/>
                <w:szCs w:val="16"/>
              </w:rPr>
              <w:t>36,9</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3.</w:t>
            </w:r>
            <w:r>
              <w:rPr>
                <w:sz w:val="14"/>
              </w:rPr>
              <w:tab/>
              <w:t>Hemorragia</w:t>
            </w:r>
          </w:p>
        </w:tc>
        <w:tc>
          <w:tcPr>
            <w:tcW w:w="255" w:type="pct"/>
            <w:vAlign w:val="bottom"/>
          </w:tcPr>
          <w:p w:rsidR="00000000" w:rsidRDefault="00000000">
            <w:pPr>
              <w:tabs>
                <w:tab w:val="decimal" w:pos="332"/>
              </w:tabs>
              <w:rPr>
                <w:color w:val="000000"/>
                <w:sz w:val="14"/>
                <w:szCs w:val="16"/>
              </w:rPr>
            </w:pPr>
            <w:r>
              <w:rPr>
                <w:color w:val="000000"/>
                <w:sz w:val="14"/>
                <w:szCs w:val="16"/>
              </w:rPr>
              <w:t>21</w:t>
            </w:r>
          </w:p>
        </w:tc>
        <w:tc>
          <w:tcPr>
            <w:tcW w:w="260" w:type="pct"/>
            <w:vAlign w:val="bottom"/>
          </w:tcPr>
          <w:p w:rsidR="00000000" w:rsidRDefault="00000000">
            <w:pPr>
              <w:tabs>
                <w:tab w:val="decimal" w:pos="289"/>
              </w:tabs>
              <w:rPr>
                <w:color w:val="000000"/>
                <w:sz w:val="14"/>
                <w:szCs w:val="16"/>
              </w:rPr>
            </w:pPr>
            <w:r>
              <w:rPr>
                <w:color w:val="000000"/>
                <w:sz w:val="14"/>
                <w:szCs w:val="16"/>
              </w:rPr>
              <w:t>23,8</w:t>
            </w:r>
          </w:p>
        </w:tc>
        <w:tc>
          <w:tcPr>
            <w:tcW w:w="240" w:type="pct"/>
            <w:vAlign w:val="bottom"/>
          </w:tcPr>
          <w:p w:rsidR="00000000" w:rsidRDefault="00000000">
            <w:pPr>
              <w:tabs>
                <w:tab w:val="decimal" w:pos="162"/>
              </w:tabs>
              <w:jc w:val="center"/>
              <w:rPr>
                <w:color w:val="000000"/>
                <w:sz w:val="14"/>
                <w:szCs w:val="16"/>
              </w:rPr>
            </w:pPr>
            <w:r>
              <w:rPr>
                <w:color w:val="000000"/>
                <w:sz w:val="14"/>
                <w:szCs w:val="16"/>
              </w:rPr>
              <w:t>27</w:t>
            </w:r>
          </w:p>
        </w:tc>
        <w:tc>
          <w:tcPr>
            <w:tcW w:w="271" w:type="pct"/>
            <w:vAlign w:val="bottom"/>
          </w:tcPr>
          <w:p w:rsidR="00000000" w:rsidRDefault="00000000">
            <w:pPr>
              <w:tabs>
                <w:tab w:val="decimal" w:pos="380"/>
              </w:tabs>
              <w:rPr>
                <w:color w:val="000000"/>
                <w:sz w:val="14"/>
                <w:szCs w:val="16"/>
              </w:rPr>
            </w:pPr>
            <w:r>
              <w:rPr>
                <w:color w:val="000000"/>
                <w:sz w:val="14"/>
                <w:szCs w:val="16"/>
              </w:rPr>
              <w:t>30,5</w:t>
            </w:r>
          </w:p>
        </w:tc>
        <w:tc>
          <w:tcPr>
            <w:tcW w:w="226" w:type="pct"/>
            <w:vAlign w:val="bottom"/>
          </w:tcPr>
          <w:p w:rsidR="00000000" w:rsidRDefault="00000000">
            <w:pPr>
              <w:tabs>
                <w:tab w:val="decimal" w:pos="181"/>
              </w:tabs>
              <w:jc w:val="center"/>
              <w:rPr>
                <w:color w:val="000000"/>
                <w:sz w:val="14"/>
                <w:szCs w:val="16"/>
              </w:rPr>
            </w:pPr>
            <w:r>
              <w:rPr>
                <w:color w:val="000000"/>
                <w:sz w:val="14"/>
                <w:szCs w:val="16"/>
              </w:rPr>
              <w:t>25</w:t>
            </w:r>
          </w:p>
        </w:tc>
        <w:tc>
          <w:tcPr>
            <w:tcW w:w="249" w:type="pct"/>
            <w:vAlign w:val="bottom"/>
          </w:tcPr>
          <w:p w:rsidR="00000000" w:rsidRDefault="00000000">
            <w:pPr>
              <w:tabs>
                <w:tab w:val="decimal" w:pos="286"/>
              </w:tabs>
              <w:rPr>
                <w:color w:val="000000"/>
                <w:sz w:val="14"/>
                <w:szCs w:val="16"/>
              </w:rPr>
            </w:pPr>
            <w:r>
              <w:rPr>
                <w:color w:val="000000"/>
                <w:sz w:val="14"/>
                <w:szCs w:val="16"/>
              </w:rPr>
              <w:t>28,9</w:t>
            </w:r>
          </w:p>
        </w:tc>
        <w:tc>
          <w:tcPr>
            <w:tcW w:w="248" w:type="pct"/>
            <w:vAlign w:val="bottom"/>
          </w:tcPr>
          <w:p w:rsidR="00000000" w:rsidRDefault="00000000">
            <w:pPr>
              <w:tabs>
                <w:tab w:val="decimal" w:pos="298"/>
              </w:tabs>
              <w:jc w:val="center"/>
              <w:rPr>
                <w:color w:val="000000"/>
                <w:sz w:val="14"/>
                <w:szCs w:val="16"/>
              </w:rPr>
            </w:pPr>
            <w:r>
              <w:rPr>
                <w:color w:val="000000"/>
                <w:sz w:val="14"/>
                <w:szCs w:val="16"/>
              </w:rPr>
              <w:t>28</w:t>
            </w:r>
          </w:p>
        </w:tc>
        <w:tc>
          <w:tcPr>
            <w:tcW w:w="249" w:type="pct"/>
            <w:vAlign w:val="bottom"/>
          </w:tcPr>
          <w:p w:rsidR="00000000" w:rsidRDefault="00000000">
            <w:pPr>
              <w:tabs>
                <w:tab w:val="decimal" w:pos="312"/>
              </w:tabs>
              <w:rPr>
                <w:color w:val="000000"/>
                <w:sz w:val="14"/>
                <w:szCs w:val="16"/>
              </w:rPr>
            </w:pPr>
            <w:r>
              <w:rPr>
                <w:color w:val="000000"/>
                <w:sz w:val="14"/>
                <w:szCs w:val="16"/>
              </w:rPr>
              <w:t>31,1</w:t>
            </w:r>
          </w:p>
        </w:tc>
        <w:tc>
          <w:tcPr>
            <w:tcW w:w="248" w:type="pct"/>
            <w:vAlign w:val="bottom"/>
          </w:tcPr>
          <w:p w:rsidR="00000000" w:rsidRDefault="00000000">
            <w:pPr>
              <w:tabs>
                <w:tab w:val="decimal" w:pos="324"/>
              </w:tabs>
              <w:jc w:val="center"/>
              <w:rPr>
                <w:color w:val="000000"/>
                <w:sz w:val="14"/>
                <w:szCs w:val="16"/>
              </w:rPr>
            </w:pPr>
            <w:r>
              <w:rPr>
                <w:color w:val="000000"/>
                <w:sz w:val="14"/>
                <w:szCs w:val="16"/>
              </w:rPr>
              <w:t>22</w:t>
            </w:r>
          </w:p>
        </w:tc>
        <w:tc>
          <w:tcPr>
            <w:tcW w:w="249" w:type="pct"/>
            <w:vAlign w:val="bottom"/>
          </w:tcPr>
          <w:p w:rsidR="00000000" w:rsidRDefault="00000000">
            <w:pPr>
              <w:tabs>
                <w:tab w:val="decimal" w:pos="338"/>
              </w:tabs>
              <w:rPr>
                <w:color w:val="000000"/>
                <w:sz w:val="14"/>
                <w:szCs w:val="16"/>
              </w:rPr>
            </w:pPr>
            <w:r>
              <w:rPr>
                <w:color w:val="000000"/>
                <w:sz w:val="14"/>
                <w:szCs w:val="16"/>
              </w:rPr>
              <w:t>25,6</w:t>
            </w:r>
          </w:p>
        </w:tc>
        <w:tc>
          <w:tcPr>
            <w:tcW w:w="248" w:type="pct"/>
            <w:vAlign w:val="bottom"/>
          </w:tcPr>
          <w:p w:rsidR="00000000" w:rsidRDefault="00000000">
            <w:pPr>
              <w:tabs>
                <w:tab w:val="decimal" w:pos="350"/>
              </w:tabs>
              <w:jc w:val="center"/>
              <w:rPr>
                <w:color w:val="000000"/>
                <w:sz w:val="14"/>
                <w:szCs w:val="16"/>
              </w:rPr>
            </w:pPr>
            <w:r>
              <w:rPr>
                <w:color w:val="000000"/>
                <w:sz w:val="14"/>
                <w:szCs w:val="16"/>
              </w:rPr>
              <w:t>33</w:t>
            </w:r>
          </w:p>
        </w:tc>
        <w:tc>
          <w:tcPr>
            <w:tcW w:w="249" w:type="pct"/>
            <w:vAlign w:val="bottom"/>
          </w:tcPr>
          <w:p w:rsidR="00000000" w:rsidRDefault="00000000">
            <w:pPr>
              <w:tabs>
                <w:tab w:val="decimal" w:pos="282"/>
              </w:tabs>
              <w:rPr>
                <w:color w:val="000000"/>
                <w:sz w:val="14"/>
                <w:szCs w:val="16"/>
              </w:rPr>
            </w:pPr>
            <w:r>
              <w:rPr>
                <w:color w:val="000000"/>
                <w:sz w:val="14"/>
                <w:szCs w:val="16"/>
              </w:rPr>
              <w:t>39,3</w:t>
            </w:r>
          </w:p>
        </w:tc>
        <w:tc>
          <w:tcPr>
            <w:tcW w:w="248" w:type="pct"/>
            <w:vAlign w:val="bottom"/>
          </w:tcPr>
          <w:p w:rsidR="00000000" w:rsidRDefault="00000000">
            <w:pPr>
              <w:tabs>
                <w:tab w:val="decimal" w:pos="181"/>
              </w:tabs>
              <w:jc w:val="center"/>
              <w:rPr>
                <w:color w:val="000000"/>
                <w:sz w:val="14"/>
                <w:szCs w:val="16"/>
              </w:rPr>
            </w:pPr>
            <w:r>
              <w:rPr>
                <w:color w:val="000000"/>
                <w:sz w:val="14"/>
                <w:szCs w:val="16"/>
              </w:rPr>
              <w:t>48</w:t>
            </w:r>
          </w:p>
        </w:tc>
        <w:tc>
          <w:tcPr>
            <w:tcW w:w="249" w:type="pct"/>
            <w:vAlign w:val="bottom"/>
          </w:tcPr>
          <w:p w:rsidR="00000000" w:rsidRDefault="00000000">
            <w:pPr>
              <w:tabs>
                <w:tab w:val="decimal" w:pos="296"/>
              </w:tabs>
              <w:rPr>
                <w:color w:val="000000"/>
                <w:sz w:val="14"/>
                <w:szCs w:val="16"/>
              </w:rPr>
            </w:pPr>
            <w:r>
              <w:rPr>
                <w:color w:val="000000"/>
                <w:sz w:val="14"/>
                <w:szCs w:val="16"/>
              </w:rPr>
              <w:t>53,3</w:t>
            </w:r>
          </w:p>
        </w:tc>
        <w:tc>
          <w:tcPr>
            <w:tcW w:w="248" w:type="pct"/>
            <w:vAlign w:val="bottom"/>
          </w:tcPr>
          <w:p w:rsidR="00000000" w:rsidRDefault="00000000">
            <w:pPr>
              <w:tabs>
                <w:tab w:val="decimal" w:pos="282"/>
              </w:tabs>
              <w:jc w:val="center"/>
              <w:rPr>
                <w:color w:val="000000"/>
                <w:sz w:val="14"/>
                <w:szCs w:val="16"/>
              </w:rPr>
            </w:pPr>
            <w:r>
              <w:rPr>
                <w:color w:val="000000"/>
                <w:sz w:val="14"/>
                <w:szCs w:val="16"/>
              </w:rPr>
              <w:t>28</w:t>
            </w:r>
          </w:p>
        </w:tc>
        <w:tc>
          <w:tcPr>
            <w:tcW w:w="240" w:type="pct"/>
            <w:vAlign w:val="bottom"/>
          </w:tcPr>
          <w:p w:rsidR="00000000" w:rsidRDefault="00000000">
            <w:pPr>
              <w:tabs>
                <w:tab w:val="decimal" w:pos="296"/>
              </w:tabs>
              <w:rPr>
                <w:color w:val="000000"/>
                <w:sz w:val="14"/>
                <w:szCs w:val="16"/>
              </w:rPr>
            </w:pPr>
            <w:r>
              <w:rPr>
                <w:color w:val="000000"/>
                <w:sz w:val="14"/>
                <w:szCs w:val="16"/>
              </w:rPr>
              <w:t>32,3</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4.</w:t>
            </w:r>
            <w:r>
              <w:rPr>
                <w:sz w:val="14"/>
              </w:rPr>
              <w:tab/>
              <w:t>Sepsis</w:t>
            </w:r>
          </w:p>
        </w:tc>
        <w:tc>
          <w:tcPr>
            <w:tcW w:w="255" w:type="pct"/>
            <w:vAlign w:val="bottom"/>
          </w:tcPr>
          <w:p w:rsidR="00000000" w:rsidRDefault="00000000">
            <w:pPr>
              <w:tabs>
                <w:tab w:val="decimal" w:pos="332"/>
              </w:tabs>
              <w:rPr>
                <w:color w:val="000000"/>
                <w:sz w:val="14"/>
                <w:szCs w:val="16"/>
              </w:rPr>
            </w:pPr>
            <w:r>
              <w:rPr>
                <w:color w:val="000000"/>
                <w:sz w:val="14"/>
                <w:szCs w:val="16"/>
              </w:rPr>
              <w:t>10</w:t>
            </w:r>
          </w:p>
        </w:tc>
        <w:tc>
          <w:tcPr>
            <w:tcW w:w="260" w:type="pct"/>
            <w:vAlign w:val="bottom"/>
          </w:tcPr>
          <w:p w:rsidR="00000000" w:rsidRDefault="00000000">
            <w:pPr>
              <w:tabs>
                <w:tab w:val="decimal" w:pos="289"/>
              </w:tabs>
              <w:rPr>
                <w:color w:val="000000"/>
                <w:sz w:val="14"/>
                <w:szCs w:val="16"/>
              </w:rPr>
            </w:pPr>
            <w:r>
              <w:rPr>
                <w:color w:val="000000"/>
                <w:sz w:val="14"/>
                <w:szCs w:val="16"/>
              </w:rPr>
              <w:t>11,3</w:t>
            </w:r>
          </w:p>
        </w:tc>
        <w:tc>
          <w:tcPr>
            <w:tcW w:w="240" w:type="pct"/>
            <w:vAlign w:val="bottom"/>
          </w:tcPr>
          <w:p w:rsidR="00000000" w:rsidRDefault="00000000">
            <w:pPr>
              <w:tabs>
                <w:tab w:val="decimal" w:pos="162"/>
              </w:tabs>
              <w:jc w:val="center"/>
              <w:rPr>
                <w:color w:val="000000"/>
                <w:sz w:val="14"/>
                <w:szCs w:val="16"/>
              </w:rPr>
            </w:pPr>
            <w:r>
              <w:rPr>
                <w:color w:val="000000"/>
                <w:sz w:val="14"/>
                <w:szCs w:val="16"/>
              </w:rPr>
              <w:t>7</w:t>
            </w:r>
          </w:p>
        </w:tc>
        <w:tc>
          <w:tcPr>
            <w:tcW w:w="271" w:type="pct"/>
            <w:vAlign w:val="bottom"/>
          </w:tcPr>
          <w:p w:rsidR="00000000" w:rsidRDefault="00000000">
            <w:pPr>
              <w:tabs>
                <w:tab w:val="decimal" w:pos="380"/>
              </w:tabs>
              <w:rPr>
                <w:color w:val="000000"/>
                <w:sz w:val="14"/>
                <w:szCs w:val="16"/>
              </w:rPr>
            </w:pPr>
            <w:r>
              <w:rPr>
                <w:color w:val="000000"/>
                <w:sz w:val="14"/>
                <w:szCs w:val="16"/>
              </w:rPr>
              <w:t>7,9</w:t>
            </w:r>
          </w:p>
        </w:tc>
        <w:tc>
          <w:tcPr>
            <w:tcW w:w="226" w:type="pct"/>
            <w:vAlign w:val="bottom"/>
          </w:tcPr>
          <w:p w:rsidR="00000000" w:rsidRDefault="00000000">
            <w:pPr>
              <w:tabs>
                <w:tab w:val="decimal" w:pos="181"/>
              </w:tabs>
              <w:jc w:val="center"/>
              <w:rPr>
                <w:color w:val="000000"/>
                <w:sz w:val="14"/>
                <w:szCs w:val="16"/>
              </w:rPr>
            </w:pPr>
            <w:r>
              <w:rPr>
                <w:color w:val="000000"/>
                <w:sz w:val="14"/>
                <w:szCs w:val="16"/>
              </w:rPr>
              <w:t>12</w:t>
            </w:r>
          </w:p>
        </w:tc>
        <w:tc>
          <w:tcPr>
            <w:tcW w:w="249" w:type="pct"/>
            <w:vAlign w:val="bottom"/>
          </w:tcPr>
          <w:p w:rsidR="00000000" w:rsidRDefault="00000000">
            <w:pPr>
              <w:tabs>
                <w:tab w:val="decimal" w:pos="286"/>
              </w:tabs>
              <w:rPr>
                <w:color w:val="000000"/>
                <w:sz w:val="14"/>
                <w:szCs w:val="16"/>
              </w:rPr>
            </w:pPr>
            <w:r>
              <w:rPr>
                <w:color w:val="000000"/>
                <w:sz w:val="14"/>
                <w:szCs w:val="16"/>
              </w:rPr>
              <w:t>13,9</w:t>
            </w:r>
          </w:p>
        </w:tc>
        <w:tc>
          <w:tcPr>
            <w:tcW w:w="248" w:type="pct"/>
            <w:vAlign w:val="bottom"/>
          </w:tcPr>
          <w:p w:rsidR="00000000" w:rsidRDefault="00000000">
            <w:pPr>
              <w:tabs>
                <w:tab w:val="decimal" w:pos="298"/>
              </w:tabs>
              <w:jc w:val="center"/>
              <w:rPr>
                <w:color w:val="000000"/>
                <w:sz w:val="14"/>
                <w:szCs w:val="16"/>
              </w:rPr>
            </w:pPr>
            <w:r>
              <w:rPr>
                <w:color w:val="000000"/>
                <w:sz w:val="14"/>
                <w:szCs w:val="16"/>
              </w:rPr>
              <w:t>11</w:t>
            </w:r>
          </w:p>
        </w:tc>
        <w:tc>
          <w:tcPr>
            <w:tcW w:w="249" w:type="pct"/>
            <w:vAlign w:val="bottom"/>
          </w:tcPr>
          <w:p w:rsidR="00000000" w:rsidRDefault="00000000">
            <w:pPr>
              <w:tabs>
                <w:tab w:val="decimal" w:pos="312"/>
              </w:tabs>
              <w:rPr>
                <w:color w:val="000000"/>
                <w:sz w:val="14"/>
                <w:szCs w:val="16"/>
              </w:rPr>
            </w:pPr>
            <w:r>
              <w:rPr>
                <w:color w:val="000000"/>
                <w:sz w:val="14"/>
                <w:szCs w:val="16"/>
              </w:rPr>
              <w:t>12,2</w:t>
            </w:r>
          </w:p>
        </w:tc>
        <w:tc>
          <w:tcPr>
            <w:tcW w:w="248" w:type="pct"/>
            <w:vAlign w:val="bottom"/>
          </w:tcPr>
          <w:p w:rsidR="00000000" w:rsidRDefault="00000000">
            <w:pPr>
              <w:tabs>
                <w:tab w:val="decimal" w:pos="324"/>
              </w:tabs>
              <w:jc w:val="center"/>
              <w:rPr>
                <w:color w:val="000000"/>
                <w:sz w:val="14"/>
                <w:szCs w:val="16"/>
              </w:rPr>
            </w:pPr>
            <w:r>
              <w:rPr>
                <w:color w:val="000000"/>
                <w:sz w:val="14"/>
                <w:szCs w:val="16"/>
              </w:rPr>
              <w:t>15</w:t>
            </w:r>
          </w:p>
        </w:tc>
        <w:tc>
          <w:tcPr>
            <w:tcW w:w="249" w:type="pct"/>
            <w:vAlign w:val="bottom"/>
          </w:tcPr>
          <w:p w:rsidR="00000000" w:rsidRDefault="00000000">
            <w:pPr>
              <w:tabs>
                <w:tab w:val="decimal" w:pos="338"/>
              </w:tabs>
              <w:rPr>
                <w:color w:val="000000"/>
                <w:sz w:val="14"/>
                <w:szCs w:val="16"/>
              </w:rPr>
            </w:pPr>
            <w:r>
              <w:rPr>
                <w:color w:val="000000"/>
                <w:sz w:val="14"/>
                <w:szCs w:val="16"/>
              </w:rPr>
              <w:t>17,4</w:t>
            </w:r>
          </w:p>
        </w:tc>
        <w:tc>
          <w:tcPr>
            <w:tcW w:w="248" w:type="pct"/>
            <w:vAlign w:val="bottom"/>
          </w:tcPr>
          <w:p w:rsidR="00000000" w:rsidRDefault="00000000">
            <w:pPr>
              <w:tabs>
                <w:tab w:val="decimal" w:pos="350"/>
              </w:tabs>
              <w:jc w:val="center"/>
              <w:rPr>
                <w:color w:val="000000"/>
                <w:sz w:val="14"/>
                <w:szCs w:val="16"/>
              </w:rPr>
            </w:pPr>
            <w:r>
              <w:rPr>
                <w:color w:val="000000"/>
                <w:sz w:val="14"/>
                <w:szCs w:val="16"/>
              </w:rPr>
              <w:t>22</w:t>
            </w:r>
          </w:p>
        </w:tc>
        <w:tc>
          <w:tcPr>
            <w:tcW w:w="249" w:type="pct"/>
            <w:vAlign w:val="bottom"/>
          </w:tcPr>
          <w:p w:rsidR="00000000" w:rsidRDefault="00000000">
            <w:pPr>
              <w:tabs>
                <w:tab w:val="decimal" w:pos="282"/>
              </w:tabs>
              <w:rPr>
                <w:color w:val="000000"/>
                <w:sz w:val="14"/>
                <w:szCs w:val="16"/>
              </w:rPr>
            </w:pPr>
            <w:r>
              <w:rPr>
                <w:color w:val="000000"/>
                <w:sz w:val="14"/>
                <w:szCs w:val="16"/>
              </w:rPr>
              <w:t>26,2</w:t>
            </w:r>
          </w:p>
        </w:tc>
        <w:tc>
          <w:tcPr>
            <w:tcW w:w="248" w:type="pct"/>
            <w:vAlign w:val="bottom"/>
          </w:tcPr>
          <w:p w:rsidR="00000000" w:rsidRDefault="00000000">
            <w:pPr>
              <w:tabs>
                <w:tab w:val="decimal" w:pos="181"/>
              </w:tabs>
              <w:jc w:val="center"/>
              <w:rPr>
                <w:color w:val="000000"/>
                <w:sz w:val="14"/>
                <w:szCs w:val="16"/>
              </w:rPr>
            </w:pPr>
            <w:r>
              <w:rPr>
                <w:color w:val="000000"/>
                <w:sz w:val="14"/>
                <w:szCs w:val="16"/>
              </w:rPr>
              <w:t>19</w:t>
            </w:r>
          </w:p>
        </w:tc>
        <w:tc>
          <w:tcPr>
            <w:tcW w:w="249" w:type="pct"/>
            <w:vAlign w:val="bottom"/>
          </w:tcPr>
          <w:p w:rsidR="00000000" w:rsidRDefault="00000000">
            <w:pPr>
              <w:tabs>
                <w:tab w:val="decimal" w:pos="296"/>
              </w:tabs>
              <w:rPr>
                <w:color w:val="000000"/>
                <w:sz w:val="14"/>
                <w:szCs w:val="16"/>
              </w:rPr>
            </w:pPr>
            <w:r>
              <w:rPr>
                <w:color w:val="000000"/>
                <w:sz w:val="14"/>
                <w:szCs w:val="16"/>
              </w:rPr>
              <w:t>21,1</w:t>
            </w:r>
          </w:p>
        </w:tc>
        <w:tc>
          <w:tcPr>
            <w:tcW w:w="248" w:type="pct"/>
            <w:vAlign w:val="bottom"/>
          </w:tcPr>
          <w:p w:rsidR="00000000" w:rsidRDefault="00000000">
            <w:pPr>
              <w:tabs>
                <w:tab w:val="decimal" w:pos="282"/>
              </w:tabs>
              <w:jc w:val="center"/>
              <w:rPr>
                <w:color w:val="000000"/>
                <w:sz w:val="14"/>
                <w:szCs w:val="16"/>
              </w:rPr>
            </w:pPr>
            <w:r>
              <w:rPr>
                <w:color w:val="000000"/>
                <w:sz w:val="14"/>
                <w:szCs w:val="16"/>
              </w:rPr>
              <w:t>16</w:t>
            </w:r>
          </w:p>
        </w:tc>
        <w:tc>
          <w:tcPr>
            <w:tcW w:w="240" w:type="pct"/>
            <w:vAlign w:val="bottom"/>
          </w:tcPr>
          <w:p w:rsidR="00000000" w:rsidRDefault="00000000">
            <w:pPr>
              <w:tabs>
                <w:tab w:val="decimal" w:pos="296"/>
              </w:tabs>
              <w:rPr>
                <w:color w:val="000000"/>
                <w:sz w:val="14"/>
                <w:szCs w:val="16"/>
              </w:rPr>
            </w:pPr>
            <w:r>
              <w:rPr>
                <w:color w:val="000000"/>
                <w:sz w:val="14"/>
                <w:szCs w:val="16"/>
              </w:rPr>
              <w:t>18,4</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ind w:hanging="227"/>
              <w:rPr>
                <w:sz w:val="14"/>
              </w:rPr>
            </w:pPr>
            <w:r>
              <w:rPr>
                <w:sz w:val="14"/>
              </w:rPr>
              <w:t>5.</w:t>
            </w:r>
            <w:r>
              <w:rPr>
                <w:sz w:val="14"/>
              </w:rPr>
              <w:tab/>
              <w:t>5.</w:t>
            </w:r>
            <w:r>
              <w:rPr>
                <w:sz w:val="14"/>
              </w:rPr>
              <w:tab/>
              <w:t>Tétanos obstétrico</w:t>
            </w:r>
          </w:p>
        </w:tc>
        <w:tc>
          <w:tcPr>
            <w:tcW w:w="255" w:type="pct"/>
            <w:vAlign w:val="bottom"/>
          </w:tcPr>
          <w:p w:rsidR="00000000" w:rsidRDefault="00000000">
            <w:pPr>
              <w:tabs>
                <w:tab w:val="decimal" w:pos="332"/>
              </w:tabs>
              <w:rPr>
                <w:color w:val="000000"/>
                <w:sz w:val="14"/>
                <w:szCs w:val="16"/>
              </w:rPr>
            </w:pPr>
            <w:r>
              <w:rPr>
                <w:color w:val="000000"/>
                <w:sz w:val="14"/>
                <w:szCs w:val="16"/>
              </w:rPr>
              <w:t>0</w:t>
            </w:r>
          </w:p>
        </w:tc>
        <w:tc>
          <w:tcPr>
            <w:tcW w:w="260" w:type="pct"/>
            <w:vAlign w:val="bottom"/>
          </w:tcPr>
          <w:p w:rsidR="00000000" w:rsidRDefault="00000000">
            <w:pPr>
              <w:tabs>
                <w:tab w:val="decimal" w:pos="289"/>
              </w:tabs>
              <w:rPr>
                <w:color w:val="000000"/>
                <w:sz w:val="14"/>
                <w:szCs w:val="16"/>
              </w:rPr>
            </w:pPr>
            <w:r>
              <w:rPr>
                <w:color w:val="000000"/>
                <w:sz w:val="14"/>
                <w:szCs w:val="16"/>
              </w:rPr>
              <w:t>0,0</w:t>
            </w:r>
          </w:p>
        </w:tc>
        <w:tc>
          <w:tcPr>
            <w:tcW w:w="240" w:type="pct"/>
            <w:vAlign w:val="bottom"/>
          </w:tcPr>
          <w:p w:rsidR="00000000" w:rsidRDefault="00000000">
            <w:pPr>
              <w:tabs>
                <w:tab w:val="decimal" w:pos="162"/>
              </w:tabs>
              <w:jc w:val="center"/>
              <w:rPr>
                <w:color w:val="000000"/>
                <w:sz w:val="14"/>
                <w:szCs w:val="16"/>
              </w:rPr>
            </w:pPr>
            <w:r>
              <w:rPr>
                <w:color w:val="000000"/>
                <w:sz w:val="14"/>
                <w:szCs w:val="16"/>
              </w:rPr>
              <w:t>1</w:t>
            </w:r>
          </w:p>
        </w:tc>
        <w:tc>
          <w:tcPr>
            <w:tcW w:w="271" w:type="pct"/>
            <w:vAlign w:val="bottom"/>
          </w:tcPr>
          <w:p w:rsidR="00000000" w:rsidRDefault="00000000">
            <w:pPr>
              <w:tabs>
                <w:tab w:val="decimal" w:pos="380"/>
              </w:tabs>
              <w:rPr>
                <w:color w:val="000000"/>
                <w:sz w:val="14"/>
                <w:szCs w:val="16"/>
              </w:rPr>
            </w:pPr>
            <w:r>
              <w:rPr>
                <w:color w:val="000000"/>
                <w:sz w:val="14"/>
                <w:szCs w:val="16"/>
              </w:rPr>
              <w:t>1,1</w:t>
            </w:r>
          </w:p>
        </w:tc>
        <w:tc>
          <w:tcPr>
            <w:tcW w:w="226" w:type="pct"/>
            <w:vAlign w:val="bottom"/>
          </w:tcPr>
          <w:p w:rsidR="00000000" w:rsidRDefault="00000000">
            <w:pPr>
              <w:tabs>
                <w:tab w:val="decimal" w:pos="181"/>
              </w:tabs>
              <w:jc w:val="center"/>
              <w:rPr>
                <w:color w:val="000000"/>
                <w:sz w:val="14"/>
                <w:szCs w:val="16"/>
              </w:rPr>
            </w:pPr>
            <w:r>
              <w:rPr>
                <w:color w:val="000000"/>
                <w:sz w:val="14"/>
                <w:szCs w:val="16"/>
              </w:rPr>
              <w:t>0</w:t>
            </w:r>
          </w:p>
        </w:tc>
        <w:tc>
          <w:tcPr>
            <w:tcW w:w="249" w:type="pct"/>
            <w:vAlign w:val="bottom"/>
          </w:tcPr>
          <w:p w:rsidR="00000000" w:rsidRDefault="00000000">
            <w:pPr>
              <w:tabs>
                <w:tab w:val="decimal" w:pos="286"/>
              </w:tabs>
              <w:rPr>
                <w:color w:val="000000"/>
                <w:sz w:val="14"/>
                <w:szCs w:val="16"/>
              </w:rPr>
            </w:pPr>
            <w:r>
              <w:rPr>
                <w:color w:val="000000"/>
                <w:sz w:val="14"/>
                <w:szCs w:val="16"/>
              </w:rPr>
              <w:t>0,0</w:t>
            </w:r>
          </w:p>
        </w:tc>
        <w:tc>
          <w:tcPr>
            <w:tcW w:w="248" w:type="pct"/>
            <w:vAlign w:val="bottom"/>
          </w:tcPr>
          <w:p w:rsidR="00000000" w:rsidRDefault="00000000">
            <w:pPr>
              <w:tabs>
                <w:tab w:val="decimal" w:pos="298"/>
              </w:tabs>
              <w:jc w:val="center"/>
              <w:rPr>
                <w:color w:val="000000"/>
                <w:sz w:val="14"/>
                <w:szCs w:val="16"/>
              </w:rPr>
            </w:pPr>
            <w:r>
              <w:rPr>
                <w:color w:val="000000"/>
                <w:sz w:val="14"/>
                <w:szCs w:val="16"/>
              </w:rPr>
              <w:t>0</w:t>
            </w:r>
          </w:p>
        </w:tc>
        <w:tc>
          <w:tcPr>
            <w:tcW w:w="249" w:type="pct"/>
            <w:vAlign w:val="bottom"/>
          </w:tcPr>
          <w:p w:rsidR="00000000" w:rsidRDefault="00000000">
            <w:pPr>
              <w:tabs>
                <w:tab w:val="decimal" w:pos="312"/>
              </w:tabs>
              <w:rPr>
                <w:color w:val="000000"/>
                <w:sz w:val="14"/>
                <w:szCs w:val="16"/>
              </w:rPr>
            </w:pPr>
            <w:r>
              <w:rPr>
                <w:color w:val="000000"/>
                <w:sz w:val="14"/>
                <w:szCs w:val="16"/>
              </w:rPr>
              <w:t>0,0</w:t>
            </w:r>
          </w:p>
        </w:tc>
        <w:tc>
          <w:tcPr>
            <w:tcW w:w="248" w:type="pct"/>
            <w:vAlign w:val="bottom"/>
          </w:tcPr>
          <w:p w:rsidR="00000000" w:rsidRDefault="00000000">
            <w:pPr>
              <w:tabs>
                <w:tab w:val="decimal" w:pos="324"/>
              </w:tabs>
              <w:jc w:val="center"/>
              <w:rPr>
                <w:color w:val="000000"/>
                <w:sz w:val="14"/>
                <w:szCs w:val="16"/>
              </w:rPr>
            </w:pPr>
            <w:r>
              <w:rPr>
                <w:color w:val="000000"/>
                <w:sz w:val="14"/>
                <w:szCs w:val="16"/>
              </w:rPr>
              <w:t>0</w:t>
            </w:r>
          </w:p>
        </w:tc>
        <w:tc>
          <w:tcPr>
            <w:tcW w:w="249" w:type="pct"/>
            <w:vAlign w:val="bottom"/>
          </w:tcPr>
          <w:p w:rsidR="00000000" w:rsidRDefault="00000000">
            <w:pPr>
              <w:tabs>
                <w:tab w:val="decimal" w:pos="338"/>
              </w:tabs>
              <w:rPr>
                <w:color w:val="000000"/>
                <w:sz w:val="14"/>
                <w:szCs w:val="16"/>
              </w:rPr>
            </w:pPr>
            <w:r>
              <w:rPr>
                <w:color w:val="000000"/>
                <w:sz w:val="14"/>
                <w:szCs w:val="16"/>
              </w:rPr>
              <w:t>0,0</w:t>
            </w:r>
          </w:p>
        </w:tc>
        <w:tc>
          <w:tcPr>
            <w:tcW w:w="248" w:type="pct"/>
            <w:vAlign w:val="bottom"/>
          </w:tcPr>
          <w:p w:rsidR="00000000" w:rsidRDefault="00000000">
            <w:pPr>
              <w:tabs>
                <w:tab w:val="decimal" w:pos="350"/>
              </w:tabs>
              <w:jc w:val="center"/>
              <w:rPr>
                <w:color w:val="000000"/>
                <w:sz w:val="14"/>
                <w:szCs w:val="16"/>
              </w:rPr>
            </w:pPr>
            <w:r>
              <w:rPr>
                <w:color w:val="000000"/>
                <w:sz w:val="14"/>
                <w:szCs w:val="16"/>
              </w:rPr>
              <w:t>0</w:t>
            </w:r>
          </w:p>
        </w:tc>
        <w:tc>
          <w:tcPr>
            <w:tcW w:w="249" w:type="pct"/>
            <w:vAlign w:val="bottom"/>
          </w:tcPr>
          <w:p w:rsidR="00000000" w:rsidRDefault="00000000">
            <w:pPr>
              <w:tabs>
                <w:tab w:val="decimal" w:pos="282"/>
              </w:tabs>
              <w:rPr>
                <w:color w:val="000000"/>
                <w:sz w:val="14"/>
                <w:szCs w:val="16"/>
              </w:rPr>
            </w:pPr>
            <w:r>
              <w:rPr>
                <w:color w:val="000000"/>
                <w:sz w:val="14"/>
                <w:szCs w:val="16"/>
              </w:rPr>
              <w:t>0,0</w:t>
            </w:r>
          </w:p>
        </w:tc>
        <w:tc>
          <w:tcPr>
            <w:tcW w:w="248" w:type="pct"/>
            <w:vAlign w:val="bottom"/>
          </w:tcPr>
          <w:p w:rsidR="00000000" w:rsidRDefault="00000000">
            <w:pPr>
              <w:tabs>
                <w:tab w:val="decimal" w:pos="181"/>
              </w:tabs>
              <w:jc w:val="center"/>
              <w:rPr>
                <w:color w:val="000000"/>
                <w:sz w:val="14"/>
                <w:szCs w:val="16"/>
              </w:rPr>
            </w:pPr>
            <w:r>
              <w:rPr>
                <w:color w:val="000000"/>
                <w:sz w:val="14"/>
                <w:szCs w:val="16"/>
              </w:rPr>
              <w:t>0</w:t>
            </w:r>
          </w:p>
        </w:tc>
        <w:tc>
          <w:tcPr>
            <w:tcW w:w="249" w:type="pct"/>
            <w:vAlign w:val="bottom"/>
          </w:tcPr>
          <w:p w:rsidR="00000000" w:rsidRDefault="00000000">
            <w:pPr>
              <w:tabs>
                <w:tab w:val="decimal" w:pos="296"/>
              </w:tabs>
              <w:rPr>
                <w:color w:val="000000"/>
                <w:sz w:val="14"/>
                <w:szCs w:val="16"/>
              </w:rPr>
            </w:pPr>
            <w:r>
              <w:rPr>
                <w:color w:val="000000"/>
                <w:sz w:val="14"/>
                <w:szCs w:val="16"/>
              </w:rPr>
              <w:t>0,0</w:t>
            </w:r>
          </w:p>
        </w:tc>
        <w:tc>
          <w:tcPr>
            <w:tcW w:w="248" w:type="pct"/>
            <w:vAlign w:val="bottom"/>
          </w:tcPr>
          <w:p w:rsidR="00000000" w:rsidRDefault="00000000">
            <w:pPr>
              <w:tabs>
                <w:tab w:val="decimal" w:pos="282"/>
              </w:tabs>
              <w:jc w:val="center"/>
              <w:rPr>
                <w:color w:val="000000"/>
                <w:sz w:val="14"/>
                <w:szCs w:val="16"/>
              </w:rPr>
            </w:pPr>
            <w:r>
              <w:rPr>
                <w:color w:val="000000"/>
                <w:sz w:val="14"/>
                <w:szCs w:val="16"/>
              </w:rPr>
              <w:t>0</w:t>
            </w:r>
          </w:p>
        </w:tc>
        <w:tc>
          <w:tcPr>
            <w:tcW w:w="240" w:type="pct"/>
            <w:vAlign w:val="bottom"/>
          </w:tcPr>
          <w:p w:rsidR="00000000" w:rsidRDefault="00000000">
            <w:pPr>
              <w:tabs>
                <w:tab w:val="decimal" w:pos="296"/>
              </w:tabs>
              <w:rPr>
                <w:color w:val="000000"/>
                <w:sz w:val="14"/>
                <w:szCs w:val="16"/>
              </w:rPr>
            </w:pPr>
            <w:r>
              <w:rPr>
                <w:color w:val="000000"/>
                <w:sz w:val="14"/>
                <w:szCs w:val="16"/>
              </w:rPr>
              <w:t>0,0</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ind w:hanging="227"/>
              <w:rPr>
                <w:sz w:val="14"/>
              </w:rPr>
            </w:pPr>
            <w:r>
              <w:rPr>
                <w:sz w:val="14"/>
              </w:rPr>
              <w:t>6.</w:t>
            </w:r>
            <w:r>
              <w:rPr>
                <w:sz w:val="14"/>
              </w:rPr>
              <w:tab/>
              <w:t>6.</w:t>
            </w:r>
            <w:r>
              <w:rPr>
                <w:sz w:val="14"/>
              </w:rPr>
              <w:tab/>
              <w:t>SIDA</w:t>
            </w:r>
          </w:p>
        </w:tc>
        <w:tc>
          <w:tcPr>
            <w:tcW w:w="255" w:type="pct"/>
            <w:vAlign w:val="bottom"/>
          </w:tcPr>
          <w:p w:rsidR="00000000" w:rsidRDefault="00000000">
            <w:pPr>
              <w:tabs>
                <w:tab w:val="decimal" w:pos="332"/>
              </w:tabs>
              <w:rPr>
                <w:color w:val="000000"/>
                <w:sz w:val="14"/>
                <w:szCs w:val="16"/>
              </w:rPr>
            </w:pPr>
            <w:r>
              <w:rPr>
                <w:color w:val="000000"/>
                <w:sz w:val="14"/>
                <w:szCs w:val="16"/>
              </w:rPr>
              <w:t>0</w:t>
            </w:r>
          </w:p>
        </w:tc>
        <w:tc>
          <w:tcPr>
            <w:tcW w:w="260" w:type="pct"/>
            <w:vAlign w:val="bottom"/>
          </w:tcPr>
          <w:p w:rsidR="00000000" w:rsidRDefault="00000000">
            <w:pPr>
              <w:tabs>
                <w:tab w:val="decimal" w:pos="289"/>
              </w:tabs>
              <w:rPr>
                <w:color w:val="000000"/>
                <w:sz w:val="14"/>
                <w:szCs w:val="16"/>
              </w:rPr>
            </w:pPr>
            <w:r>
              <w:rPr>
                <w:color w:val="000000"/>
                <w:sz w:val="14"/>
                <w:szCs w:val="16"/>
              </w:rPr>
              <w:t>0,0</w:t>
            </w:r>
          </w:p>
        </w:tc>
        <w:tc>
          <w:tcPr>
            <w:tcW w:w="240" w:type="pct"/>
            <w:vAlign w:val="bottom"/>
          </w:tcPr>
          <w:p w:rsidR="00000000" w:rsidRDefault="00000000">
            <w:pPr>
              <w:tabs>
                <w:tab w:val="decimal" w:pos="162"/>
              </w:tabs>
              <w:jc w:val="center"/>
              <w:rPr>
                <w:color w:val="000000"/>
                <w:sz w:val="14"/>
                <w:szCs w:val="16"/>
              </w:rPr>
            </w:pPr>
            <w:r>
              <w:rPr>
                <w:color w:val="000000"/>
                <w:sz w:val="14"/>
                <w:szCs w:val="16"/>
              </w:rPr>
              <w:t>0</w:t>
            </w:r>
          </w:p>
        </w:tc>
        <w:tc>
          <w:tcPr>
            <w:tcW w:w="271" w:type="pct"/>
            <w:vAlign w:val="bottom"/>
          </w:tcPr>
          <w:p w:rsidR="00000000" w:rsidRDefault="00000000">
            <w:pPr>
              <w:tabs>
                <w:tab w:val="decimal" w:pos="380"/>
              </w:tabs>
              <w:rPr>
                <w:color w:val="000000"/>
                <w:sz w:val="14"/>
                <w:szCs w:val="16"/>
              </w:rPr>
            </w:pPr>
            <w:r>
              <w:rPr>
                <w:color w:val="000000"/>
                <w:sz w:val="14"/>
                <w:szCs w:val="16"/>
              </w:rPr>
              <w:t>0</w:t>
            </w:r>
          </w:p>
        </w:tc>
        <w:tc>
          <w:tcPr>
            <w:tcW w:w="226" w:type="pct"/>
            <w:vAlign w:val="bottom"/>
          </w:tcPr>
          <w:p w:rsidR="00000000" w:rsidRDefault="00000000">
            <w:pPr>
              <w:tabs>
                <w:tab w:val="decimal" w:pos="181"/>
              </w:tabs>
              <w:jc w:val="center"/>
              <w:rPr>
                <w:color w:val="000000"/>
                <w:sz w:val="14"/>
                <w:szCs w:val="16"/>
              </w:rPr>
            </w:pPr>
            <w:r>
              <w:rPr>
                <w:color w:val="000000"/>
                <w:sz w:val="14"/>
                <w:szCs w:val="16"/>
              </w:rPr>
              <w:t>0</w:t>
            </w:r>
          </w:p>
        </w:tc>
        <w:tc>
          <w:tcPr>
            <w:tcW w:w="249" w:type="pct"/>
            <w:vAlign w:val="bottom"/>
          </w:tcPr>
          <w:p w:rsidR="00000000" w:rsidRDefault="00000000">
            <w:pPr>
              <w:tabs>
                <w:tab w:val="decimal" w:pos="286"/>
              </w:tabs>
              <w:rPr>
                <w:color w:val="000000"/>
                <w:sz w:val="14"/>
                <w:szCs w:val="16"/>
              </w:rPr>
            </w:pPr>
            <w:r>
              <w:rPr>
                <w:color w:val="000000"/>
                <w:sz w:val="14"/>
                <w:szCs w:val="16"/>
              </w:rPr>
              <w:t>0</w:t>
            </w:r>
          </w:p>
        </w:tc>
        <w:tc>
          <w:tcPr>
            <w:tcW w:w="248" w:type="pct"/>
            <w:vAlign w:val="bottom"/>
          </w:tcPr>
          <w:p w:rsidR="00000000" w:rsidRDefault="00000000">
            <w:pPr>
              <w:tabs>
                <w:tab w:val="decimal" w:pos="298"/>
              </w:tabs>
              <w:jc w:val="center"/>
              <w:rPr>
                <w:color w:val="000000"/>
                <w:sz w:val="14"/>
                <w:szCs w:val="16"/>
              </w:rPr>
            </w:pPr>
            <w:r>
              <w:rPr>
                <w:color w:val="000000"/>
                <w:sz w:val="14"/>
                <w:szCs w:val="16"/>
              </w:rPr>
              <w:t>0</w:t>
            </w:r>
          </w:p>
        </w:tc>
        <w:tc>
          <w:tcPr>
            <w:tcW w:w="249" w:type="pct"/>
            <w:vAlign w:val="bottom"/>
          </w:tcPr>
          <w:p w:rsidR="00000000" w:rsidRDefault="00000000">
            <w:pPr>
              <w:tabs>
                <w:tab w:val="decimal" w:pos="312"/>
              </w:tabs>
              <w:rPr>
                <w:color w:val="000000"/>
                <w:sz w:val="14"/>
                <w:szCs w:val="16"/>
              </w:rPr>
            </w:pPr>
            <w:r>
              <w:rPr>
                <w:color w:val="000000"/>
                <w:sz w:val="14"/>
                <w:szCs w:val="16"/>
              </w:rPr>
              <w:t>0</w:t>
            </w:r>
          </w:p>
        </w:tc>
        <w:tc>
          <w:tcPr>
            <w:tcW w:w="248" w:type="pct"/>
            <w:vAlign w:val="bottom"/>
          </w:tcPr>
          <w:p w:rsidR="00000000" w:rsidRDefault="00000000">
            <w:pPr>
              <w:tabs>
                <w:tab w:val="decimal" w:pos="324"/>
              </w:tabs>
              <w:jc w:val="center"/>
              <w:rPr>
                <w:color w:val="000000"/>
                <w:sz w:val="14"/>
                <w:szCs w:val="16"/>
              </w:rPr>
            </w:pPr>
            <w:r>
              <w:rPr>
                <w:color w:val="000000"/>
                <w:sz w:val="14"/>
                <w:szCs w:val="16"/>
              </w:rPr>
              <w:t>0</w:t>
            </w:r>
          </w:p>
        </w:tc>
        <w:tc>
          <w:tcPr>
            <w:tcW w:w="249" w:type="pct"/>
            <w:vAlign w:val="bottom"/>
          </w:tcPr>
          <w:p w:rsidR="00000000" w:rsidRDefault="00000000">
            <w:pPr>
              <w:tabs>
                <w:tab w:val="decimal" w:pos="338"/>
              </w:tabs>
              <w:rPr>
                <w:color w:val="000000"/>
                <w:sz w:val="14"/>
                <w:szCs w:val="16"/>
              </w:rPr>
            </w:pPr>
            <w:r>
              <w:rPr>
                <w:color w:val="000000"/>
                <w:sz w:val="14"/>
                <w:szCs w:val="16"/>
              </w:rPr>
              <w:t>0</w:t>
            </w:r>
          </w:p>
        </w:tc>
        <w:tc>
          <w:tcPr>
            <w:tcW w:w="248" w:type="pct"/>
            <w:vAlign w:val="bottom"/>
          </w:tcPr>
          <w:p w:rsidR="00000000" w:rsidRDefault="00000000">
            <w:pPr>
              <w:tabs>
                <w:tab w:val="decimal" w:pos="350"/>
              </w:tabs>
              <w:jc w:val="center"/>
              <w:rPr>
                <w:color w:val="000000"/>
                <w:sz w:val="14"/>
                <w:szCs w:val="16"/>
              </w:rPr>
            </w:pPr>
            <w:r>
              <w:rPr>
                <w:color w:val="000000"/>
                <w:sz w:val="14"/>
                <w:szCs w:val="16"/>
              </w:rPr>
              <w:t>2</w:t>
            </w:r>
          </w:p>
        </w:tc>
        <w:tc>
          <w:tcPr>
            <w:tcW w:w="249" w:type="pct"/>
            <w:vAlign w:val="bottom"/>
          </w:tcPr>
          <w:p w:rsidR="00000000" w:rsidRDefault="00000000">
            <w:pPr>
              <w:tabs>
                <w:tab w:val="decimal" w:pos="282"/>
              </w:tabs>
              <w:rPr>
                <w:color w:val="000000"/>
                <w:sz w:val="14"/>
                <w:szCs w:val="16"/>
              </w:rPr>
            </w:pPr>
            <w:r>
              <w:rPr>
                <w:color w:val="000000"/>
                <w:sz w:val="14"/>
                <w:szCs w:val="16"/>
              </w:rPr>
              <w:t>2,4</w:t>
            </w:r>
          </w:p>
        </w:tc>
        <w:tc>
          <w:tcPr>
            <w:tcW w:w="248" w:type="pct"/>
            <w:vAlign w:val="bottom"/>
          </w:tcPr>
          <w:p w:rsidR="00000000" w:rsidRDefault="00000000">
            <w:pPr>
              <w:tabs>
                <w:tab w:val="decimal" w:pos="181"/>
              </w:tabs>
              <w:jc w:val="center"/>
              <w:rPr>
                <w:color w:val="000000"/>
                <w:sz w:val="14"/>
                <w:szCs w:val="16"/>
              </w:rPr>
            </w:pPr>
            <w:r>
              <w:rPr>
                <w:color w:val="000000"/>
                <w:sz w:val="14"/>
                <w:szCs w:val="16"/>
              </w:rPr>
              <w:t>0</w:t>
            </w:r>
          </w:p>
        </w:tc>
        <w:tc>
          <w:tcPr>
            <w:tcW w:w="249" w:type="pct"/>
            <w:vAlign w:val="bottom"/>
          </w:tcPr>
          <w:p w:rsidR="00000000" w:rsidRDefault="00000000">
            <w:pPr>
              <w:tabs>
                <w:tab w:val="decimal" w:pos="296"/>
              </w:tabs>
              <w:rPr>
                <w:color w:val="000000"/>
                <w:sz w:val="14"/>
                <w:szCs w:val="16"/>
              </w:rPr>
            </w:pPr>
            <w:r>
              <w:rPr>
                <w:color w:val="000000"/>
                <w:sz w:val="14"/>
                <w:szCs w:val="16"/>
              </w:rPr>
              <w:t>0,0</w:t>
            </w:r>
          </w:p>
        </w:tc>
        <w:tc>
          <w:tcPr>
            <w:tcW w:w="248" w:type="pct"/>
            <w:vAlign w:val="bottom"/>
          </w:tcPr>
          <w:p w:rsidR="00000000" w:rsidRDefault="00000000">
            <w:pPr>
              <w:tabs>
                <w:tab w:val="decimal" w:pos="282"/>
              </w:tabs>
              <w:jc w:val="center"/>
              <w:rPr>
                <w:color w:val="000000"/>
                <w:sz w:val="14"/>
                <w:szCs w:val="16"/>
              </w:rPr>
            </w:pPr>
            <w:r>
              <w:rPr>
                <w:color w:val="000000"/>
                <w:sz w:val="14"/>
                <w:szCs w:val="16"/>
              </w:rPr>
              <w:t>0</w:t>
            </w:r>
          </w:p>
        </w:tc>
        <w:tc>
          <w:tcPr>
            <w:tcW w:w="240" w:type="pct"/>
            <w:vAlign w:val="bottom"/>
          </w:tcPr>
          <w:p w:rsidR="00000000" w:rsidRDefault="00000000">
            <w:pPr>
              <w:tabs>
                <w:tab w:val="decimal" w:pos="296"/>
              </w:tabs>
              <w:rPr>
                <w:color w:val="000000"/>
                <w:sz w:val="14"/>
                <w:szCs w:val="16"/>
              </w:rPr>
            </w:pPr>
            <w:r>
              <w:rPr>
                <w:color w:val="000000"/>
                <w:sz w:val="14"/>
                <w:szCs w:val="16"/>
              </w:rPr>
              <w:t>0,0</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ind w:hanging="227"/>
              <w:rPr>
                <w:sz w:val="14"/>
              </w:rPr>
            </w:pPr>
            <w:r>
              <w:rPr>
                <w:sz w:val="14"/>
              </w:rPr>
              <w:t>7.</w:t>
            </w:r>
            <w:r>
              <w:rPr>
                <w:sz w:val="14"/>
              </w:rPr>
              <w:tab/>
              <w:t>7.</w:t>
            </w:r>
            <w:r>
              <w:rPr>
                <w:sz w:val="14"/>
              </w:rPr>
              <w:tab/>
              <w:t>Otras complicaciones, embarazo, parto y  puerperio</w:t>
            </w:r>
          </w:p>
        </w:tc>
        <w:tc>
          <w:tcPr>
            <w:tcW w:w="255" w:type="pct"/>
            <w:vAlign w:val="bottom"/>
          </w:tcPr>
          <w:p w:rsidR="00000000" w:rsidRDefault="00000000">
            <w:pPr>
              <w:tabs>
                <w:tab w:val="decimal" w:pos="332"/>
              </w:tabs>
              <w:rPr>
                <w:color w:val="000000"/>
                <w:sz w:val="14"/>
                <w:szCs w:val="16"/>
              </w:rPr>
            </w:pPr>
            <w:r>
              <w:rPr>
                <w:color w:val="000000"/>
                <w:sz w:val="14"/>
                <w:szCs w:val="16"/>
              </w:rPr>
              <w:t>21</w:t>
            </w:r>
          </w:p>
        </w:tc>
        <w:tc>
          <w:tcPr>
            <w:tcW w:w="260" w:type="pct"/>
            <w:vAlign w:val="bottom"/>
          </w:tcPr>
          <w:p w:rsidR="00000000" w:rsidRDefault="00000000">
            <w:pPr>
              <w:tabs>
                <w:tab w:val="decimal" w:pos="289"/>
              </w:tabs>
              <w:rPr>
                <w:color w:val="000000"/>
                <w:sz w:val="14"/>
                <w:szCs w:val="16"/>
              </w:rPr>
            </w:pPr>
            <w:r>
              <w:rPr>
                <w:color w:val="000000"/>
                <w:sz w:val="14"/>
                <w:szCs w:val="16"/>
              </w:rPr>
              <w:t>23,8</w:t>
            </w:r>
          </w:p>
        </w:tc>
        <w:tc>
          <w:tcPr>
            <w:tcW w:w="240" w:type="pct"/>
            <w:vAlign w:val="bottom"/>
          </w:tcPr>
          <w:p w:rsidR="00000000" w:rsidRDefault="00000000">
            <w:pPr>
              <w:tabs>
                <w:tab w:val="decimal" w:pos="162"/>
              </w:tabs>
              <w:jc w:val="center"/>
              <w:rPr>
                <w:color w:val="000000"/>
                <w:sz w:val="14"/>
                <w:szCs w:val="16"/>
              </w:rPr>
            </w:pPr>
            <w:r>
              <w:rPr>
                <w:color w:val="000000"/>
                <w:sz w:val="14"/>
                <w:szCs w:val="16"/>
              </w:rPr>
              <w:t>15</w:t>
            </w:r>
          </w:p>
        </w:tc>
        <w:tc>
          <w:tcPr>
            <w:tcW w:w="271" w:type="pct"/>
            <w:vAlign w:val="bottom"/>
          </w:tcPr>
          <w:p w:rsidR="00000000" w:rsidRDefault="00000000">
            <w:pPr>
              <w:tabs>
                <w:tab w:val="decimal" w:pos="380"/>
              </w:tabs>
              <w:rPr>
                <w:color w:val="000000"/>
                <w:sz w:val="14"/>
                <w:szCs w:val="16"/>
              </w:rPr>
            </w:pPr>
            <w:r>
              <w:rPr>
                <w:color w:val="000000"/>
                <w:sz w:val="14"/>
                <w:szCs w:val="16"/>
              </w:rPr>
              <w:t>17,0</w:t>
            </w:r>
          </w:p>
        </w:tc>
        <w:tc>
          <w:tcPr>
            <w:tcW w:w="226" w:type="pct"/>
            <w:vAlign w:val="bottom"/>
          </w:tcPr>
          <w:p w:rsidR="00000000" w:rsidRDefault="00000000">
            <w:pPr>
              <w:tabs>
                <w:tab w:val="decimal" w:pos="181"/>
              </w:tabs>
              <w:jc w:val="center"/>
              <w:rPr>
                <w:color w:val="000000"/>
                <w:sz w:val="14"/>
                <w:szCs w:val="16"/>
              </w:rPr>
            </w:pPr>
            <w:r>
              <w:rPr>
                <w:color w:val="000000"/>
                <w:sz w:val="14"/>
                <w:szCs w:val="16"/>
              </w:rPr>
              <w:t>20</w:t>
            </w:r>
          </w:p>
        </w:tc>
        <w:tc>
          <w:tcPr>
            <w:tcW w:w="249" w:type="pct"/>
            <w:vAlign w:val="bottom"/>
          </w:tcPr>
          <w:p w:rsidR="00000000" w:rsidRDefault="00000000">
            <w:pPr>
              <w:tabs>
                <w:tab w:val="decimal" w:pos="286"/>
              </w:tabs>
              <w:rPr>
                <w:color w:val="000000"/>
                <w:sz w:val="14"/>
                <w:szCs w:val="16"/>
              </w:rPr>
            </w:pPr>
            <w:r>
              <w:rPr>
                <w:color w:val="000000"/>
                <w:sz w:val="14"/>
                <w:szCs w:val="16"/>
              </w:rPr>
              <w:t>23,1</w:t>
            </w:r>
          </w:p>
        </w:tc>
        <w:tc>
          <w:tcPr>
            <w:tcW w:w="248" w:type="pct"/>
            <w:vAlign w:val="bottom"/>
          </w:tcPr>
          <w:p w:rsidR="00000000" w:rsidRDefault="00000000">
            <w:pPr>
              <w:tabs>
                <w:tab w:val="decimal" w:pos="298"/>
              </w:tabs>
              <w:jc w:val="center"/>
              <w:rPr>
                <w:color w:val="000000"/>
                <w:sz w:val="14"/>
                <w:szCs w:val="16"/>
              </w:rPr>
            </w:pPr>
            <w:r>
              <w:rPr>
                <w:color w:val="000000"/>
                <w:sz w:val="14"/>
                <w:szCs w:val="16"/>
              </w:rPr>
              <w:t>20</w:t>
            </w:r>
          </w:p>
        </w:tc>
        <w:tc>
          <w:tcPr>
            <w:tcW w:w="249" w:type="pct"/>
            <w:vAlign w:val="bottom"/>
          </w:tcPr>
          <w:p w:rsidR="00000000" w:rsidRDefault="00000000">
            <w:pPr>
              <w:tabs>
                <w:tab w:val="decimal" w:pos="312"/>
              </w:tabs>
              <w:rPr>
                <w:color w:val="000000"/>
                <w:sz w:val="14"/>
                <w:szCs w:val="16"/>
              </w:rPr>
            </w:pPr>
            <w:r>
              <w:rPr>
                <w:color w:val="000000"/>
                <w:sz w:val="14"/>
                <w:szCs w:val="16"/>
              </w:rPr>
              <w:t>22,2</w:t>
            </w:r>
          </w:p>
        </w:tc>
        <w:tc>
          <w:tcPr>
            <w:tcW w:w="248" w:type="pct"/>
            <w:vAlign w:val="bottom"/>
          </w:tcPr>
          <w:p w:rsidR="00000000" w:rsidRDefault="00000000">
            <w:pPr>
              <w:tabs>
                <w:tab w:val="decimal" w:pos="324"/>
              </w:tabs>
              <w:jc w:val="center"/>
              <w:rPr>
                <w:color w:val="000000"/>
                <w:sz w:val="14"/>
                <w:szCs w:val="16"/>
              </w:rPr>
            </w:pPr>
            <w:r>
              <w:rPr>
                <w:color w:val="000000"/>
                <w:sz w:val="14"/>
                <w:szCs w:val="16"/>
              </w:rPr>
              <w:t>32</w:t>
            </w:r>
          </w:p>
        </w:tc>
        <w:tc>
          <w:tcPr>
            <w:tcW w:w="249" w:type="pct"/>
            <w:vAlign w:val="bottom"/>
          </w:tcPr>
          <w:p w:rsidR="00000000" w:rsidRDefault="00000000">
            <w:pPr>
              <w:tabs>
                <w:tab w:val="decimal" w:pos="338"/>
              </w:tabs>
              <w:rPr>
                <w:color w:val="000000"/>
                <w:sz w:val="14"/>
                <w:szCs w:val="16"/>
              </w:rPr>
            </w:pPr>
            <w:r>
              <w:rPr>
                <w:color w:val="000000"/>
                <w:sz w:val="14"/>
                <w:szCs w:val="16"/>
              </w:rPr>
              <w:t>37,2</w:t>
            </w:r>
          </w:p>
        </w:tc>
        <w:tc>
          <w:tcPr>
            <w:tcW w:w="248" w:type="pct"/>
            <w:vAlign w:val="bottom"/>
          </w:tcPr>
          <w:p w:rsidR="00000000" w:rsidRDefault="00000000">
            <w:pPr>
              <w:tabs>
                <w:tab w:val="decimal" w:pos="350"/>
              </w:tabs>
              <w:jc w:val="center"/>
              <w:rPr>
                <w:color w:val="000000"/>
                <w:sz w:val="14"/>
                <w:szCs w:val="16"/>
              </w:rPr>
            </w:pPr>
            <w:r>
              <w:rPr>
                <w:color w:val="000000"/>
                <w:sz w:val="14"/>
                <w:szCs w:val="16"/>
              </w:rPr>
              <w:t>25</w:t>
            </w:r>
          </w:p>
        </w:tc>
        <w:tc>
          <w:tcPr>
            <w:tcW w:w="249" w:type="pct"/>
            <w:vAlign w:val="bottom"/>
          </w:tcPr>
          <w:p w:rsidR="00000000" w:rsidRDefault="00000000">
            <w:pPr>
              <w:tabs>
                <w:tab w:val="decimal" w:pos="282"/>
              </w:tabs>
              <w:rPr>
                <w:color w:val="000000"/>
                <w:sz w:val="14"/>
                <w:szCs w:val="16"/>
              </w:rPr>
            </w:pPr>
            <w:r>
              <w:rPr>
                <w:color w:val="000000"/>
                <w:sz w:val="14"/>
                <w:szCs w:val="16"/>
              </w:rPr>
              <w:t>29,8</w:t>
            </w:r>
          </w:p>
        </w:tc>
        <w:tc>
          <w:tcPr>
            <w:tcW w:w="248" w:type="pct"/>
            <w:vAlign w:val="bottom"/>
          </w:tcPr>
          <w:p w:rsidR="00000000" w:rsidRDefault="00000000">
            <w:pPr>
              <w:tabs>
                <w:tab w:val="decimal" w:pos="181"/>
              </w:tabs>
              <w:jc w:val="center"/>
              <w:rPr>
                <w:color w:val="000000"/>
                <w:sz w:val="14"/>
                <w:szCs w:val="16"/>
              </w:rPr>
            </w:pPr>
            <w:r>
              <w:rPr>
                <w:color w:val="000000"/>
                <w:sz w:val="14"/>
                <w:szCs w:val="16"/>
              </w:rPr>
              <w:t>31</w:t>
            </w:r>
          </w:p>
        </w:tc>
        <w:tc>
          <w:tcPr>
            <w:tcW w:w="249" w:type="pct"/>
            <w:vAlign w:val="bottom"/>
          </w:tcPr>
          <w:p w:rsidR="00000000" w:rsidRDefault="00000000">
            <w:pPr>
              <w:tabs>
                <w:tab w:val="decimal" w:pos="296"/>
              </w:tabs>
              <w:rPr>
                <w:color w:val="000000"/>
                <w:sz w:val="14"/>
                <w:szCs w:val="16"/>
              </w:rPr>
            </w:pPr>
            <w:r>
              <w:rPr>
                <w:color w:val="000000"/>
                <w:sz w:val="14"/>
                <w:szCs w:val="16"/>
              </w:rPr>
              <w:t>34,4</w:t>
            </w:r>
          </w:p>
        </w:tc>
        <w:tc>
          <w:tcPr>
            <w:tcW w:w="248" w:type="pct"/>
            <w:vAlign w:val="bottom"/>
          </w:tcPr>
          <w:p w:rsidR="00000000" w:rsidRDefault="00000000">
            <w:pPr>
              <w:tabs>
                <w:tab w:val="decimal" w:pos="282"/>
              </w:tabs>
              <w:jc w:val="center"/>
              <w:rPr>
                <w:color w:val="000000"/>
                <w:sz w:val="14"/>
                <w:szCs w:val="16"/>
              </w:rPr>
            </w:pPr>
            <w:r>
              <w:rPr>
                <w:color w:val="000000"/>
                <w:sz w:val="14"/>
                <w:szCs w:val="16"/>
              </w:rPr>
              <w:t>39</w:t>
            </w:r>
          </w:p>
        </w:tc>
        <w:tc>
          <w:tcPr>
            <w:tcW w:w="240" w:type="pct"/>
            <w:vAlign w:val="bottom"/>
          </w:tcPr>
          <w:p w:rsidR="00000000" w:rsidRDefault="00000000">
            <w:pPr>
              <w:tabs>
                <w:tab w:val="decimal" w:pos="296"/>
              </w:tabs>
              <w:rPr>
                <w:color w:val="000000"/>
                <w:sz w:val="14"/>
                <w:szCs w:val="16"/>
              </w:rPr>
            </w:pPr>
            <w:r>
              <w:rPr>
                <w:color w:val="000000"/>
                <w:sz w:val="14"/>
                <w:szCs w:val="16"/>
              </w:rPr>
              <w:t>45,0</w:t>
            </w:r>
          </w:p>
        </w:tc>
      </w:tr>
      <w:tr w:rsidR="00000000">
        <w:tblPrEx>
          <w:tblCellMar>
            <w:top w:w="0" w:type="dxa"/>
            <w:bottom w:w="0" w:type="dxa"/>
          </w:tblCellMar>
        </w:tblPrEx>
        <w:tc>
          <w:tcPr>
            <w:tcW w:w="1024" w:type="pct"/>
            <w:vAlign w:val="center"/>
          </w:tcPr>
          <w:p w:rsidR="00000000" w:rsidRDefault="00000000">
            <w:pPr>
              <w:tabs>
                <w:tab w:val="left" w:pos="207"/>
              </w:tabs>
              <w:autoSpaceDE w:val="0"/>
              <w:autoSpaceDN w:val="0"/>
              <w:adjustRightInd w:val="0"/>
              <w:rPr>
                <w:b/>
                <w:bCs/>
                <w:sz w:val="14"/>
              </w:rPr>
            </w:pPr>
            <w:r>
              <w:rPr>
                <w:sz w:val="14"/>
              </w:rPr>
              <w:tab/>
            </w:r>
            <w:r>
              <w:rPr>
                <w:b/>
                <w:bCs/>
                <w:sz w:val="14"/>
              </w:rPr>
              <w:t>Total general</w:t>
            </w:r>
          </w:p>
        </w:tc>
        <w:tc>
          <w:tcPr>
            <w:tcW w:w="255" w:type="pct"/>
            <w:vAlign w:val="bottom"/>
          </w:tcPr>
          <w:p w:rsidR="00000000" w:rsidRDefault="00000000">
            <w:pPr>
              <w:tabs>
                <w:tab w:val="decimal" w:pos="332"/>
              </w:tabs>
              <w:rPr>
                <w:color w:val="000000"/>
                <w:sz w:val="14"/>
                <w:szCs w:val="16"/>
              </w:rPr>
            </w:pPr>
            <w:r>
              <w:rPr>
                <w:color w:val="000000"/>
                <w:sz w:val="14"/>
                <w:szCs w:val="16"/>
              </w:rPr>
              <w:t>109</w:t>
            </w:r>
          </w:p>
        </w:tc>
        <w:tc>
          <w:tcPr>
            <w:tcW w:w="260" w:type="pct"/>
            <w:vAlign w:val="bottom"/>
          </w:tcPr>
          <w:p w:rsidR="00000000" w:rsidRDefault="00000000">
            <w:pPr>
              <w:tabs>
                <w:tab w:val="decimal" w:pos="289"/>
              </w:tabs>
              <w:rPr>
                <w:color w:val="000000"/>
                <w:sz w:val="14"/>
                <w:szCs w:val="16"/>
              </w:rPr>
            </w:pPr>
            <w:r>
              <w:rPr>
                <w:color w:val="000000"/>
                <w:sz w:val="14"/>
                <w:szCs w:val="16"/>
              </w:rPr>
              <w:t>123,3</w:t>
            </w:r>
          </w:p>
        </w:tc>
        <w:tc>
          <w:tcPr>
            <w:tcW w:w="240" w:type="pct"/>
            <w:vAlign w:val="bottom"/>
          </w:tcPr>
          <w:p w:rsidR="00000000" w:rsidRDefault="00000000">
            <w:pPr>
              <w:tabs>
                <w:tab w:val="decimal" w:pos="162"/>
              </w:tabs>
              <w:jc w:val="center"/>
              <w:rPr>
                <w:color w:val="000000"/>
                <w:sz w:val="14"/>
                <w:szCs w:val="16"/>
              </w:rPr>
            </w:pPr>
            <w:r>
              <w:rPr>
                <w:color w:val="000000"/>
                <w:sz w:val="14"/>
                <w:szCs w:val="16"/>
              </w:rPr>
              <w:t>90</w:t>
            </w:r>
          </w:p>
        </w:tc>
        <w:tc>
          <w:tcPr>
            <w:tcW w:w="271" w:type="pct"/>
            <w:vAlign w:val="bottom"/>
          </w:tcPr>
          <w:p w:rsidR="00000000" w:rsidRDefault="00000000">
            <w:pPr>
              <w:tabs>
                <w:tab w:val="decimal" w:pos="380"/>
              </w:tabs>
              <w:rPr>
                <w:color w:val="000000"/>
                <w:sz w:val="14"/>
                <w:szCs w:val="16"/>
              </w:rPr>
            </w:pPr>
            <w:r>
              <w:rPr>
                <w:color w:val="000000"/>
                <w:sz w:val="14"/>
                <w:szCs w:val="16"/>
              </w:rPr>
              <w:t>101,8</w:t>
            </w:r>
          </w:p>
        </w:tc>
        <w:tc>
          <w:tcPr>
            <w:tcW w:w="226" w:type="pct"/>
            <w:vAlign w:val="bottom"/>
          </w:tcPr>
          <w:p w:rsidR="00000000" w:rsidRDefault="00000000">
            <w:pPr>
              <w:tabs>
                <w:tab w:val="decimal" w:pos="181"/>
              </w:tabs>
              <w:jc w:val="center"/>
              <w:rPr>
                <w:color w:val="000000"/>
                <w:sz w:val="14"/>
                <w:szCs w:val="16"/>
              </w:rPr>
            </w:pPr>
            <w:r>
              <w:rPr>
                <w:color w:val="000000"/>
                <w:sz w:val="14"/>
                <w:szCs w:val="16"/>
              </w:rPr>
              <w:t>96</w:t>
            </w:r>
          </w:p>
        </w:tc>
        <w:tc>
          <w:tcPr>
            <w:tcW w:w="249" w:type="pct"/>
            <w:vAlign w:val="bottom"/>
          </w:tcPr>
          <w:p w:rsidR="00000000" w:rsidRDefault="00000000">
            <w:pPr>
              <w:tabs>
                <w:tab w:val="decimal" w:pos="286"/>
              </w:tabs>
              <w:rPr>
                <w:color w:val="000000"/>
                <w:sz w:val="14"/>
                <w:szCs w:val="16"/>
              </w:rPr>
            </w:pPr>
            <w:r>
              <w:rPr>
                <w:color w:val="000000"/>
                <w:sz w:val="14"/>
                <w:szCs w:val="16"/>
              </w:rPr>
              <w:t>110,9</w:t>
            </w:r>
          </w:p>
        </w:tc>
        <w:tc>
          <w:tcPr>
            <w:tcW w:w="248" w:type="pct"/>
            <w:vAlign w:val="bottom"/>
          </w:tcPr>
          <w:p w:rsidR="00000000" w:rsidRDefault="00000000">
            <w:pPr>
              <w:tabs>
                <w:tab w:val="decimal" w:pos="298"/>
              </w:tabs>
              <w:jc w:val="center"/>
              <w:rPr>
                <w:color w:val="000000"/>
                <w:sz w:val="14"/>
                <w:szCs w:val="16"/>
              </w:rPr>
            </w:pPr>
            <w:r>
              <w:rPr>
                <w:color w:val="000000"/>
                <w:sz w:val="14"/>
                <w:szCs w:val="16"/>
              </w:rPr>
              <w:t>103</w:t>
            </w:r>
          </w:p>
        </w:tc>
        <w:tc>
          <w:tcPr>
            <w:tcW w:w="249" w:type="pct"/>
            <w:vAlign w:val="bottom"/>
          </w:tcPr>
          <w:p w:rsidR="00000000" w:rsidRDefault="00000000">
            <w:pPr>
              <w:tabs>
                <w:tab w:val="decimal" w:pos="312"/>
              </w:tabs>
              <w:rPr>
                <w:color w:val="000000"/>
                <w:sz w:val="14"/>
                <w:szCs w:val="16"/>
              </w:rPr>
            </w:pPr>
            <w:r>
              <w:rPr>
                <w:color w:val="000000"/>
                <w:sz w:val="14"/>
                <w:szCs w:val="16"/>
              </w:rPr>
              <w:t>114,4</w:t>
            </w:r>
          </w:p>
        </w:tc>
        <w:tc>
          <w:tcPr>
            <w:tcW w:w="248" w:type="pct"/>
            <w:vAlign w:val="bottom"/>
          </w:tcPr>
          <w:p w:rsidR="00000000" w:rsidRDefault="00000000">
            <w:pPr>
              <w:tabs>
                <w:tab w:val="decimal" w:pos="324"/>
              </w:tabs>
              <w:jc w:val="center"/>
              <w:rPr>
                <w:color w:val="000000"/>
                <w:sz w:val="14"/>
                <w:szCs w:val="16"/>
              </w:rPr>
            </w:pPr>
            <w:r>
              <w:rPr>
                <w:color w:val="000000"/>
                <w:sz w:val="14"/>
                <w:szCs w:val="16"/>
              </w:rPr>
              <w:t>141</w:t>
            </w:r>
          </w:p>
        </w:tc>
        <w:tc>
          <w:tcPr>
            <w:tcW w:w="249" w:type="pct"/>
            <w:vAlign w:val="bottom"/>
          </w:tcPr>
          <w:p w:rsidR="00000000" w:rsidRDefault="00000000">
            <w:pPr>
              <w:tabs>
                <w:tab w:val="decimal" w:pos="338"/>
              </w:tabs>
              <w:rPr>
                <w:color w:val="000000"/>
                <w:sz w:val="14"/>
                <w:szCs w:val="16"/>
              </w:rPr>
            </w:pPr>
            <w:r>
              <w:rPr>
                <w:color w:val="000000"/>
                <w:sz w:val="14"/>
                <w:szCs w:val="16"/>
              </w:rPr>
              <w:t>164</w:t>
            </w:r>
          </w:p>
        </w:tc>
        <w:tc>
          <w:tcPr>
            <w:tcW w:w="248" w:type="pct"/>
            <w:vAlign w:val="bottom"/>
          </w:tcPr>
          <w:p w:rsidR="00000000" w:rsidRDefault="00000000">
            <w:pPr>
              <w:tabs>
                <w:tab w:val="decimal" w:pos="350"/>
              </w:tabs>
              <w:jc w:val="center"/>
              <w:rPr>
                <w:color w:val="000000"/>
                <w:sz w:val="14"/>
                <w:szCs w:val="16"/>
              </w:rPr>
            </w:pPr>
            <w:r>
              <w:rPr>
                <w:color w:val="000000"/>
                <w:sz w:val="14"/>
                <w:szCs w:val="16"/>
              </w:rPr>
              <w:t>134</w:t>
            </w:r>
          </w:p>
        </w:tc>
        <w:tc>
          <w:tcPr>
            <w:tcW w:w="249" w:type="pct"/>
            <w:vAlign w:val="bottom"/>
          </w:tcPr>
          <w:p w:rsidR="00000000" w:rsidRDefault="00000000">
            <w:pPr>
              <w:tabs>
                <w:tab w:val="decimal" w:pos="282"/>
              </w:tabs>
              <w:rPr>
                <w:color w:val="000000"/>
                <w:sz w:val="14"/>
                <w:szCs w:val="16"/>
              </w:rPr>
            </w:pPr>
            <w:r>
              <w:rPr>
                <w:color w:val="000000"/>
                <w:sz w:val="14"/>
                <w:szCs w:val="16"/>
              </w:rPr>
              <w:t>159,7</w:t>
            </w:r>
          </w:p>
        </w:tc>
        <w:tc>
          <w:tcPr>
            <w:tcW w:w="248" w:type="pct"/>
            <w:vAlign w:val="bottom"/>
          </w:tcPr>
          <w:p w:rsidR="00000000" w:rsidRDefault="00000000">
            <w:pPr>
              <w:tabs>
                <w:tab w:val="decimal" w:pos="181"/>
              </w:tabs>
              <w:jc w:val="center"/>
              <w:rPr>
                <w:color w:val="000000"/>
                <w:sz w:val="14"/>
                <w:szCs w:val="16"/>
              </w:rPr>
            </w:pPr>
            <w:r>
              <w:rPr>
                <w:color w:val="000000"/>
                <w:sz w:val="14"/>
                <w:szCs w:val="16"/>
              </w:rPr>
              <w:t>164</w:t>
            </w:r>
          </w:p>
        </w:tc>
        <w:tc>
          <w:tcPr>
            <w:tcW w:w="249" w:type="pct"/>
            <w:vAlign w:val="bottom"/>
          </w:tcPr>
          <w:p w:rsidR="00000000" w:rsidRDefault="00000000">
            <w:pPr>
              <w:tabs>
                <w:tab w:val="decimal" w:pos="296"/>
              </w:tabs>
              <w:rPr>
                <w:color w:val="000000"/>
                <w:sz w:val="14"/>
                <w:szCs w:val="16"/>
              </w:rPr>
            </w:pPr>
            <w:r>
              <w:rPr>
                <w:color w:val="000000"/>
                <w:sz w:val="14"/>
                <w:szCs w:val="16"/>
              </w:rPr>
              <w:t>182,1</w:t>
            </w:r>
          </w:p>
        </w:tc>
        <w:tc>
          <w:tcPr>
            <w:tcW w:w="248" w:type="pct"/>
            <w:vAlign w:val="bottom"/>
          </w:tcPr>
          <w:p w:rsidR="00000000" w:rsidRDefault="00000000">
            <w:pPr>
              <w:tabs>
                <w:tab w:val="decimal" w:pos="282"/>
              </w:tabs>
              <w:jc w:val="center"/>
              <w:rPr>
                <w:color w:val="000000"/>
                <w:sz w:val="14"/>
                <w:szCs w:val="16"/>
              </w:rPr>
            </w:pPr>
            <w:r>
              <w:rPr>
                <w:color w:val="000000"/>
                <w:sz w:val="14"/>
                <w:szCs w:val="16"/>
              </w:rPr>
              <w:t>151</w:t>
            </w:r>
          </w:p>
        </w:tc>
        <w:tc>
          <w:tcPr>
            <w:tcW w:w="240" w:type="pct"/>
            <w:vAlign w:val="bottom"/>
          </w:tcPr>
          <w:p w:rsidR="00000000" w:rsidRDefault="00000000">
            <w:pPr>
              <w:tabs>
                <w:tab w:val="decimal" w:pos="296"/>
              </w:tabs>
              <w:rPr>
                <w:color w:val="000000"/>
                <w:sz w:val="14"/>
                <w:szCs w:val="16"/>
              </w:rPr>
            </w:pPr>
            <w:r>
              <w:rPr>
                <w:color w:val="000000"/>
                <w:sz w:val="14"/>
                <w:szCs w:val="16"/>
              </w:rPr>
              <w:t>174,1</w:t>
            </w:r>
          </w:p>
        </w:tc>
      </w:tr>
      <w:tr w:rsidR="00000000">
        <w:tblPrEx>
          <w:tblCellMar>
            <w:top w:w="0" w:type="dxa"/>
            <w:bottom w:w="0" w:type="dxa"/>
          </w:tblCellMar>
        </w:tblPrEx>
        <w:trPr>
          <w:cantSplit/>
        </w:trPr>
        <w:tc>
          <w:tcPr>
            <w:tcW w:w="1024" w:type="pct"/>
            <w:vAlign w:val="center"/>
          </w:tcPr>
          <w:p w:rsidR="00000000" w:rsidRDefault="00000000">
            <w:pPr>
              <w:tabs>
                <w:tab w:val="left" w:pos="207"/>
              </w:tabs>
              <w:autoSpaceDE w:val="0"/>
              <w:autoSpaceDN w:val="0"/>
              <w:adjustRightInd w:val="0"/>
              <w:rPr>
                <w:sz w:val="14"/>
              </w:rPr>
            </w:pPr>
          </w:p>
        </w:tc>
        <w:tc>
          <w:tcPr>
            <w:tcW w:w="515" w:type="pct"/>
            <w:gridSpan w:val="2"/>
            <w:vAlign w:val="bottom"/>
          </w:tcPr>
          <w:p w:rsidR="00000000" w:rsidRDefault="00000000">
            <w:pPr>
              <w:tabs>
                <w:tab w:val="decimal" w:pos="289"/>
              </w:tabs>
              <w:jc w:val="center"/>
              <w:rPr>
                <w:b/>
                <w:bCs/>
                <w:color w:val="000000"/>
                <w:sz w:val="14"/>
                <w:szCs w:val="16"/>
              </w:rPr>
            </w:pPr>
            <w:r>
              <w:rPr>
                <w:b/>
                <w:bCs/>
                <w:color w:val="000000"/>
                <w:sz w:val="14"/>
                <w:szCs w:val="16"/>
              </w:rPr>
              <w:t>1996</w:t>
            </w:r>
          </w:p>
        </w:tc>
        <w:tc>
          <w:tcPr>
            <w:tcW w:w="511" w:type="pct"/>
            <w:gridSpan w:val="2"/>
            <w:vAlign w:val="bottom"/>
          </w:tcPr>
          <w:p w:rsidR="00000000" w:rsidRDefault="00000000">
            <w:pPr>
              <w:tabs>
                <w:tab w:val="decimal" w:pos="245"/>
              </w:tabs>
              <w:jc w:val="center"/>
              <w:rPr>
                <w:color w:val="000000"/>
                <w:sz w:val="14"/>
                <w:szCs w:val="16"/>
              </w:rPr>
            </w:pPr>
            <w:r>
              <w:rPr>
                <w:b/>
                <w:bCs/>
                <w:sz w:val="14"/>
              </w:rPr>
              <w:t>1997</w:t>
            </w:r>
          </w:p>
        </w:tc>
        <w:tc>
          <w:tcPr>
            <w:tcW w:w="475" w:type="pct"/>
            <w:gridSpan w:val="2"/>
            <w:vAlign w:val="bottom"/>
          </w:tcPr>
          <w:p w:rsidR="00000000" w:rsidRDefault="00000000">
            <w:pPr>
              <w:tabs>
                <w:tab w:val="decimal" w:pos="255"/>
              </w:tabs>
              <w:jc w:val="center"/>
              <w:rPr>
                <w:color w:val="000000"/>
                <w:sz w:val="14"/>
                <w:szCs w:val="16"/>
              </w:rPr>
            </w:pPr>
            <w:r>
              <w:rPr>
                <w:b/>
                <w:bCs/>
                <w:sz w:val="14"/>
              </w:rPr>
              <w:t>1998</w:t>
            </w:r>
          </w:p>
        </w:tc>
        <w:tc>
          <w:tcPr>
            <w:tcW w:w="497" w:type="pct"/>
            <w:gridSpan w:val="2"/>
            <w:vAlign w:val="bottom"/>
          </w:tcPr>
          <w:p w:rsidR="00000000" w:rsidRDefault="00000000">
            <w:pPr>
              <w:tabs>
                <w:tab w:val="decimal" w:pos="249"/>
              </w:tabs>
              <w:jc w:val="center"/>
              <w:rPr>
                <w:color w:val="000000"/>
                <w:sz w:val="14"/>
                <w:szCs w:val="16"/>
              </w:rPr>
            </w:pPr>
            <w:r>
              <w:rPr>
                <w:b/>
                <w:bCs/>
                <w:sz w:val="14"/>
              </w:rPr>
              <w:t>1999</w:t>
            </w:r>
          </w:p>
        </w:tc>
        <w:tc>
          <w:tcPr>
            <w:tcW w:w="497" w:type="pct"/>
            <w:gridSpan w:val="2"/>
            <w:vAlign w:val="bottom"/>
          </w:tcPr>
          <w:p w:rsidR="00000000" w:rsidRDefault="00000000">
            <w:pPr>
              <w:tabs>
                <w:tab w:val="decimal" w:pos="244"/>
              </w:tabs>
              <w:jc w:val="center"/>
              <w:rPr>
                <w:color w:val="000000"/>
                <w:sz w:val="14"/>
                <w:szCs w:val="16"/>
              </w:rPr>
            </w:pPr>
            <w:r>
              <w:rPr>
                <w:b/>
                <w:bCs/>
                <w:sz w:val="14"/>
              </w:rPr>
              <w:t>2000</w:t>
            </w:r>
          </w:p>
        </w:tc>
        <w:tc>
          <w:tcPr>
            <w:tcW w:w="497" w:type="pct"/>
            <w:gridSpan w:val="2"/>
            <w:vAlign w:val="bottom"/>
          </w:tcPr>
          <w:p w:rsidR="00000000" w:rsidRDefault="00000000">
            <w:pPr>
              <w:tabs>
                <w:tab w:val="decimal" w:pos="282"/>
              </w:tabs>
              <w:jc w:val="center"/>
              <w:rPr>
                <w:color w:val="000000"/>
                <w:sz w:val="14"/>
                <w:szCs w:val="16"/>
              </w:rPr>
            </w:pPr>
            <w:r>
              <w:rPr>
                <w:b/>
                <w:bCs/>
                <w:sz w:val="14"/>
              </w:rPr>
              <w:t>2001</w:t>
            </w:r>
          </w:p>
        </w:tc>
        <w:tc>
          <w:tcPr>
            <w:tcW w:w="497" w:type="pct"/>
            <w:gridSpan w:val="2"/>
            <w:vAlign w:val="bottom"/>
          </w:tcPr>
          <w:p w:rsidR="00000000" w:rsidRDefault="00000000">
            <w:pPr>
              <w:tabs>
                <w:tab w:val="decimal" w:pos="260"/>
              </w:tabs>
              <w:jc w:val="center"/>
              <w:rPr>
                <w:color w:val="000000"/>
                <w:sz w:val="14"/>
                <w:szCs w:val="16"/>
              </w:rPr>
            </w:pPr>
            <w:r>
              <w:rPr>
                <w:b/>
                <w:bCs/>
                <w:sz w:val="14"/>
              </w:rPr>
              <w:t>2002</w:t>
            </w:r>
          </w:p>
        </w:tc>
        <w:tc>
          <w:tcPr>
            <w:tcW w:w="488" w:type="pct"/>
            <w:gridSpan w:val="2"/>
            <w:vAlign w:val="bottom"/>
          </w:tcPr>
          <w:p w:rsidR="00000000" w:rsidRDefault="00000000">
            <w:pPr>
              <w:tabs>
                <w:tab w:val="decimal" w:pos="260"/>
              </w:tabs>
              <w:jc w:val="center"/>
              <w:rPr>
                <w:color w:val="000000"/>
                <w:sz w:val="14"/>
                <w:szCs w:val="16"/>
              </w:rPr>
            </w:pPr>
            <w:r>
              <w:rPr>
                <w:b/>
                <w:bCs/>
                <w:sz w:val="14"/>
              </w:rPr>
              <w:t>2003</w:t>
            </w:r>
          </w:p>
        </w:tc>
      </w:tr>
      <w:tr w:rsidR="00000000">
        <w:tblPrEx>
          <w:tblCellMar>
            <w:top w:w="0" w:type="dxa"/>
            <w:bottom w:w="0" w:type="dxa"/>
          </w:tblCellMar>
        </w:tblPrEx>
        <w:trPr>
          <w:cantSplit/>
        </w:trPr>
        <w:tc>
          <w:tcPr>
            <w:tcW w:w="1024" w:type="pct"/>
            <w:vAlign w:val="center"/>
          </w:tcPr>
          <w:p w:rsidR="00000000" w:rsidRDefault="00000000">
            <w:pPr>
              <w:tabs>
                <w:tab w:val="left" w:pos="207"/>
              </w:tabs>
              <w:autoSpaceDE w:val="0"/>
              <w:autoSpaceDN w:val="0"/>
              <w:adjustRightInd w:val="0"/>
              <w:rPr>
                <w:sz w:val="14"/>
              </w:rPr>
            </w:pPr>
            <w:r>
              <w:rPr>
                <w:sz w:val="14"/>
              </w:rPr>
              <w:t>Nacidos vivos</w:t>
            </w:r>
          </w:p>
        </w:tc>
        <w:tc>
          <w:tcPr>
            <w:tcW w:w="515" w:type="pct"/>
            <w:gridSpan w:val="2"/>
            <w:vAlign w:val="bottom"/>
          </w:tcPr>
          <w:p w:rsidR="00000000" w:rsidRDefault="00000000">
            <w:pPr>
              <w:tabs>
                <w:tab w:val="decimal" w:pos="289"/>
              </w:tabs>
              <w:jc w:val="center"/>
              <w:rPr>
                <w:color w:val="000000"/>
                <w:sz w:val="14"/>
                <w:szCs w:val="16"/>
              </w:rPr>
            </w:pPr>
            <w:r>
              <w:rPr>
                <w:sz w:val="14"/>
              </w:rPr>
              <w:t>88.438</w:t>
            </w:r>
          </w:p>
        </w:tc>
        <w:tc>
          <w:tcPr>
            <w:tcW w:w="511" w:type="pct"/>
            <w:gridSpan w:val="2"/>
            <w:vAlign w:val="bottom"/>
          </w:tcPr>
          <w:p w:rsidR="00000000" w:rsidRDefault="00000000">
            <w:pPr>
              <w:tabs>
                <w:tab w:val="decimal" w:pos="245"/>
              </w:tabs>
              <w:jc w:val="center"/>
              <w:rPr>
                <w:color w:val="000000"/>
                <w:sz w:val="14"/>
                <w:szCs w:val="16"/>
              </w:rPr>
            </w:pPr>
            <w:r>
              <w:rPr>
                <w:color w:val="000000"/>
                <w:sz w:val="14"/>
                <w:szCs w:val="16"/>
              </w:rPr>
              <w:t>88.422</w:t>
            </w:r>
          </w:p>
        </w:tc>
        <w:tc>
          <w:tcPr>
            <w:tcW w:w="475" w:type="pct"/>
            <w:gridSpan w:val="2"/>
            <w:vAlign w:val="bottom"/>
          </w:tcPr>
          <w:p w:rsidR="00000000" w:rsidRDefault="00000000">
            <w:pPr>
              <w:tabs>
                <w:tab w:val="decimal" w:pos="255"/>
              </w:tabs>
              <w:jc w:val="center"/>
              <w:rPr>
                <w:color w:val="000000"/>
                <w:sz w:val="14"/>
                <w:szCs w:val="16"/>
              </w:rPr>
            </w:pPr>
            <w:r>
              <w:rPr>
                <w:color w:val="000000"/>
                <w:sz w:val="14"/>
                <w:szCs w:val="16"/>
              </w:rPr>
              <w:t>86.596</w:t>
            </w:r>
          </w:p>
        </w:tc>
        <w:tc>
          <w:tcPr>
            <w:tcW w:w="497" w:type="pct"/>
            <w:gridSpan w:val="2"/>
            <w:vAlign w:val="bottom"/>
          </w:tcPr>
          <w:p w:rsidR="00000000" w:rsidRDefault="00000000">
            <w:pPr>
              <w:tabs>
                <w:tab w:val="decimal" w:pos="255"/>
              </w:tabs>
              <w:jc w:val="center"/>
              <w:rPr>
                <w:color w:val="000000"/>
                <w:sz w:val="14"/>
                <w:szCs w:val="16"/>
              </w:rPr>
            </w:pPr>
            <w:r>
              <w:rPr>
                <w:color w:val="000000"/>
                <w:sz w:val="14"/>
                <w:szCs w:val="16"/>
              </w:rPr>
              <w:t>90.007</w:t>
            </w:r>
          </w:p>
        </w:tc>
        <w:tc>
          <w:tcPr>
            <w:tcW w:w="497" w:type="pct"/>
            <w:gridSpan w:val="2"/>
            <w:vAlign w:val="bottom"/>
          </w:tcPr>
          <w:p w:rsidR="00000000" w:rsidRDefault="00000000">
            <w:pPr>
              <w:tabs>
                <w:tab w:val="decimal" w:pos="249"/>
              </w:tabs>
              <w:jc w:val="center"/>
              <w:rPr>
                <w:color w:val="000000"/>
                <w:sz w:val="14"/>
                <w:szCs w:val="16"/>
              </w:rPr>
            </w:pPr>
            <w:r>
              <w:rPr>
                <w:sz w:val="14"/>
              </w:rPr>
              <w:t>86.000</w:t>
            </w:r>
          </w:p>
        </w:tc>
        <w:tc>
          <w:tcPr>
            <w:tcW w:w="497" w:type="pct"/>
            <w:gridSpan w:val="2"/>
            <w:vAlign w:val="bottom"/>
          </w:tcPr>
          <w:p w:rsidR="00000000" w:rsidRDefault="00000000">
            <w:pPr>
              <w:tabs>
                <w:tab w:val="decimal" w:pos="244"/>
              </w:tabs>
              <w:jc w:val="center"/>
              <w:rPr>
                <w:color w:val="000000"/>
                <w:sz w:val="14"/>
                <w:szCs w:val="16"/>
              </w:rPr>
            </w:pPr>
            <w:r>
              <w:rPr>
                <w:sz w:val="14"/>
              </w:rPr>
              <w:t>83.919</w:t>
            </w:r>
          </w:p>
        </w:tc>
        <w:tc>
          <w:tcPr>
            <w:tcW w:w="497" w:type="pct"/>
            <w:gridSpan w:val="2"/>
            <w:vAlign w:val="bottom"/>
          </w:tcPr>
          <w:p w:rsidR="00000000" w:rsidRDefault="00000000">
            <w:pPr>
              <w:tabs>
                <w:tab w:val="decimal" w:pos="282"/>
              </w:tabs>
              <w:jc w:val="center"/>
              <w:rPr>
                <w:color w:val="000000"/>
                <w:sz w:val="14"/>
                <w:szCs w:val="16"/>
              </w:rPr>
            </w:pPr>
            <w:r>
              <w:rPr>
                <w:sz w:val="14"/>
              </w:rPr>
              <w:t>90.085</w:t>
            </w:r>
          </w:p>
        </w:tc>
        <w:tc>
          <w:tcPr>
            <w:tcW w:w="488" w:type="pct"/>
            <w:gridSpan w:val="2"/>
            <w:vAlign w:val="bottom"/>
          </w:tcPr>
          <w:p w:rsidR="00000000" w:rsidRDefault="00000000">
            <w:pPr>
              <w:tabs>
                <w:tab w:val="decimal" w:pos="181"/>
              </w:tabs>
              <w:jc w:val="center"/>
              <w:rPr>
                <w:color w:val="000000"/>
                <w:sz w:val="14"/>
                <w:szCs w:val="16"/>
              </w:rPr>
            </w:pPr>
            <w:r>
              <w:rPr>
                <w:color w:val="000000"/>
                <w:sz w:val="14"/>
                <w:szCs w:val="16"/>
              </w:rPr>
              <w:t>86.739</w:t>
            </w:r>
          </w:p>
        </w:tc>
      </w:tr>
    </w:tbl>
    <w:p w:rsidR="00000000" w:rsidRDefault="00000000">
      <w:pPr>
        <w:autoSpaceDE w:val="0"/>
        <w:autoSpaceDN w:val="0"/>
        <w:adjustRightInd w:val="0"/>
        <w:spacing w:before="240" w:after="240"/>
        <w:rPr>
          <w:i/>
          <w:iCs/>
          <w:sz w:val="14"/>
        </w:rPr>
      </w:pPr>
      <w:r>
        <w:rPr>
          <w:i/>
          <w:iCs/>
          <w:sz w:val="14"/>
        </w:rPr>
        <w:t xml:space="preserve">Fuente:  </w:t>
      </w:r>
      <w:r>
        <w:rPr>
          <w:sz w:val="14"/>
        </w:rPr>
        <w:t>Indicadores de mortalidad.  Departamento de Bioestadística M.S.P. y B.S.</w:t>
      </w:r>
    </w:p>
    <w:p w:rsidR="00000000" w:rsidRDefault="00000000">
      <w:pPr>
        <w:autoSpaceDE w:val="0"/>
        <w:autoSpaceDN w:val="0"/>
        <w:adjustRightInd w:val="0"/>
        <w:spacing w:before="480" w:after="200"/>
        <w:jc w:val="center"/>
        <w:rPr>
          <w:b/>
          <w:bCs/>
          <w:sz w:val="20"/>
        </w:rPr>
      </w:pPr>
      <w:r>
        <w:rPr>
          <w:b/>
          <w:bCs/>
          <w:sz w:val="20"/>
        </w:rPr>
        <w:t>Defunciones maternas, por regiones sanitarias, 2001-2005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0"/>
        <w:gridCol w:w="1190"/>
        <w:gridCol w:w="1191"/>
        <w:gridCol w:w="1191"/>
        <w:gridCol w:w="1190"/>
        <w:gridCol w:w="1191"/>
        <w:gridCol w:w="1191"/>
      </w:tblGrid>
      <w:tr w:rsidR="00000000">
        <w:tblPrEx>
          <w:tblCellMar>
            <w:top w:w="0" w:type="dxa"/>
            <w:bottom w:w="0" w:type="dxa"/>
          </w:tblCellMar>
        </w:tblPrEx>
        <w:trPr>
          <w:cantSplit/>
          <w:tblHeader/>
        </w:trPr>
        <w:tc>
          <w:tcPr>
            <w:tcW w:w="2350" w:type="dxa"/>
            <w:vMerge w:val="restart"/>
            <w:vAlign w:val="center"/>
          </w:tcPr>
          <w:p w:rsidR="00000000" w:rsidRDefault="00000000">
            <w:pPr>
              <w:autoSpaceDE w:val="0"/>
              <w:autoSpaceDN w:val="0"/>
              <w:adjustRightInd w:val="0"/>
              <w:jc w:val="center"/>
              <w:rPr>
                <w:b/>
                <w:bCs/>
                <w:sz w:val="20"/>
              </w:rPr>
            </w:pPr>
            <w:r>
              <w:rPr>
                <w:b/>
                <w:bCs/>
                <w:sz w:val="20"/>
              </w:rPr>
              <w:br w:type="page"/>
              <w:t>Regiones sanitarias</w:t>
            </w:r>
          </w:p>
        </w:tc>
        <w:tc>
          <w:tcPr>
            <w:tcW w:w="7144" w:type="dxa"/>
            <w:gridSpan w:val="6"/>
          </w:tcPr>
          <w:p w:rsidR="00000000" w:rsidRDefault="00000000">
            <w:pPr>
              <w:autoSpaceDE w:val="0"/>
              <w:autoSpaceDN w:val="0"/>
              <w:adjustRightInd w:val="0"/>
              <w:jc w:val="center"/>
              <w:rPr>
                <w:b/>
                <w:bCs/>
                <w:sz w:val="20"/>
              </w:rPr>
            </w:pPr>
            <w:r>
              <w:rPr>
                <w:b/>
                <w:bCs/>
                <w:sz w:val="20"/>
              </w:rPr>
              <w:t>Defunciones maternas</w:t>
            </w:r>
          </w:p>
        </w:tc>
      </w:tr>
      <w:tr w:rsidR="00000000">
        <w:tblPrEx>
          <w:tblCellMar>
            <w:top w:w="0" w:type="dxa"/>
            <w:bottom w:w="0" w:type="dxa"/>
          </w:tblCellMar>
        </w:tblPrEx>
        <w:trPr>
          <w:cantSplit/>
          <w:tblHeader/>
        </w:trPr>
        <w:tc>
          <w:tcPr>
            <w:tcW w:w="2350" w:type="dxa"/>
            <w:vMerge/>
          </w:tcPr>
          <w:p w:rsidR="00000000" w:rsidRDefault="00000000">
            <w:pPr>
              <w:autoSpaceDE w:val="0"/>
              <w:autoSpaceDN w:val="0"/>
              <w:adjustRightInd w:val="0"/>
              <w:jc w:val="center"/>
              <w:rPr>
                <w:b/>
                <w:bCs/>
                <w:sz w:val="20"/>
              </w:rPr>
            </w:pPr>
          </w:p>
        </w:tc>
        <w:tc>
          <w:tcPr>
            <w:tcW w:w="1190" w:type="dxa"/>
          </w:tcPr>
          <w:p w:rsidR="00000000" w:rsidRDefault="00000000">
            <w:pPr>
              <w:autoSpaceDE w:val="0"/>
              <w:autoSpaceDN w:val="0"/>
              <w:adjustRightInd w:val="0"/>
              <w:jc w:val="center"/>
              <w:rPr>
                <w:b/>
                <w:bCs/>
                <w:sz w:val="20"/>
              </w:rPr>
            </w:pPr>
            <w:r>
              <w:rPr>
                <w:b/>
                <w:bCs/>
                <w:sz w:val="20"/>
              </w:rPr>
              <w:t>2001</w:t>
            </w:r>
          </w:p>
        </w:tc>
        <w:tc>
          <w:tcPr>
            <w:tcW w:w="1191" w:type="dxa"/>
          </w:tcPr>
          <w:p w:rsidR="00000000" w:rsidRDefault="00000000">
            <w:pPr>
              <w:autoSpaceDE w:val="0"/>
              <w:autoSpaceDN w:val="0"/>
              <w:adjustRightInd w:val="0"/>
              <w:jc w:val="center"/>
              <w:rPr>
                <w:b/>
                <w:bCs/>
                <w:sz w:val="20"/>
              </w:rPr>
            </w:pPr>
            <w:r>
              <w:rPr>
                <w:b/>
                <w:bCs/>
                <w:sz w:val="20"/>
              </w:rPr>
              <w:t>2002</w:t>
            </w:r>
          </w:p>
        </w:tc>
        <w:tc>
          <w:tcPr>
            <w:tcW w:w="1191" w:type="dxa"/>
          </w:tcPr>
          <w:p w:rsidR="00000000" w:rsidRDefault="00000000">
            <w:pPr>
              <w:autoSpaceDE w:val="0"/>
              <w:autoSpaceDN w:val="0"/>
              <w:adjustRightInd w:val="0"/>
              <w:jc w:val="center"/>
              <w:rPr>
                <w:b/>
                <w:bCs/>
                <w:sz w:val="20"/>
              </w:rPr>
            </w:pPr>
            <w:r>
              <w:rPr>
                <w:b/>
                <w:bCs/>
                <w:sz w:val="20"/>
              </w:rPr>
              <w:t>2003</w:t>
            </w:r>
          </w:p>
        </w:tc>
        <w:tc>
          <w:tcPr>
            <w:tcW w:w="1190" w:type="dxa"/>
          </w:tcPr>
          <w:p w:rsidR="00000000" w:rsidRDefault="00000000">
            <w:pPr>
              <w:autoSpaceDE w:val="0"/>
              <w:autoSpaceDN w:val="0"/>
              <w:adjustRightInd w:val="0"/>
              <w:jc w:val="center"/>
              <w:rPr>
                <w:b/>
                <w:bCs/>
                <w:sz w:val="20"/>
              </w:rPr>
            </w:pPr>
            <w:r>
              <w:rPr>
                <w:b/>
                <w:bCs/>
                <w:sz w:val="20"/>
              </w:rPr>
              <w:t>2004</w:t>
            </w:r>
          </w:p>
        </w:tc>
        <w:tc>
          <w:tcPr>
            <w:tcW w:w="1191" w:type="dxa"/>
          </w:tcPr>
          <w:p w:rsidR="00000000" w:rsidRDefault="00000000">
            <w:pPr>
              <w:autoSpaceDE w:val="0"/>
              <w:autoSpaceDN w:val="0"/>
              <w:adjustRightInd w:val="0"/>
              <w:jc w:val="center"/>
              <w:rPr>
                <w:b/>
                <w:bCs/>
                <w:sz w:val="20"/>
              </w:rPr>
            </w:pPr>
            <w:r>
              <w:rPr>
                <w:b/>
                <w:bCs/>
                <w:sz w:val="20"/>
              </w:rPr>
              <w:t>2005</w:t>
            </w:r>
          </w:p>
        </w:tc>
        <w:tc>
          <w:tcPr>
            <w:tcW w:w="1191" w:type="dxa"/>
          </w:tcPr>
          <w:p w:rsidR="00000000" w:rsidRDefault="00000000">
            <w:pPr>
              <w:autoSpaceDE w:val="0"/>
              <w:autoSpaceDN w:val="0"/>
              <w:adjustRightInd w:val="0"/>
              <w:jc w:val="center"/>
              <w:rPr>
                <w:b/>
                <w:bCs/>
                <w:sz w:val="20"/>
              </w:rPr>
            </w:pPr>
            <w:r>
              <w:rPr>
                <w:b/>
                <w:bCs/>
                <w:sz w:val="20"/>
              </w:rPr>
              <w:t>2003-2005</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Concepción</w:t>
            </w:r>
          </w:p>
        </w:tc>
        <w:tc>
          <w:tcPr>
            <w:tcW w:w="1190" w:type="dxa"/>
            <w:vAlign w:val="center"/>
          </w:tcPr>
          <w:p w:rsidR="00000000" w:rsidRDefault="00000000">
            <w:pPr>
              <w:tabs>
                <w:tab w:val="decimal" w:pos="770"/>
              </w:tabs>
              <w:rPr>
                <w:sz w:val="20"/>
                <w:szCs w:val="16"/>
              </w:rPr>
            </w:pPr>
            <w:r>
              <w:rPr>
                <w:sz w:val="20"/>
                <w:szCs w:val="16"/>
              </w:rPr>
              <w:t>10</w:t>
            </w:r>
          </w:p>
        </w:tc>
        <w:tc>
          <w:tcPr>
            <w:tcW w:w="1191" w:type="dxa"/>
            <w:vAlign w:val="center"/>
          </w:tcPr>
          <w:p w:rsidR="00000000" w:rsidRDefault="00000000">
            <w:pPr>
              <w:tabs>
                <w:tab w:val="decimal" w:pos="770"/>
              </w:tabs>
              <w:rPr>
                <w:sz w:val="20"/>
                <w:szCs w:val="16"/>
              </w:rPr>
            </w:pPr>
            <w:r>
              <w:rPr>
                <w:sz w:val="20"/>
                <w:szCs w:val="16"/>
              </w:rPr>
              <w:t>12</w:t>
            </w:r>
          </w:p>
        </w:tc>
        <w:tc>
          <w:tcPr>
            <w:tcW w:w="1191" w:type="dxa"/>
            <w:vAlign w:val="center"/>
          </w:tcPr>
          <w:p w:rsidR="00000000" w:rsidRDefault="00000000">
            <w:pPr>
              <w:tabs>
                <w:tab w:val="decimal" w:pos="770"/>
              </w:tabs>
              <w:rPr>
                <w:sz w:val="20"/>
                <w:szCs w:val="16"/>
              </w:rPr>
            </w:pPr>
            <w:r>
              <w:rPr>
                <w:sz w:val="20"/>
                <w:szCs w:val="16"/>
              </w:rPr>
              <w:t>10</w:t>
            </w:r>
          </w:p>
        </w:tc>
        <w:tc>
          <w:tcPr>
            <w:tcW w:w="1190" w:type="dxa"/>
            <w:vAlign w:val="center"/>
          </w:tcPr>
          <w:p w:rsidR="00000000" w:rsidRDefault="00000000">
            <w:pPr>
              <w:tabs>
                <w:tab w:val="decimal" w:pos="770"/>
              </w:tabs>
              <w:rPr>
                <w:sz w:val="20"/>
                <w:szCs w:val="16"/>
              </w:rPr>
            </w:pPr>
            <w:r>
              <w:rPr>
                <w:sz w:val="20"/>
                <w:szCs w:val="16"/>
              </w:rPr>
              <w:t>11</w:t>
            </w:r>
          </w:p>
        </w:tc>
        <w:tc>
          <w:tcPr>
            <w:tcW w:w="1191" w:type="dxa"/>
            <w:vAlign w:val="center"/>
          </w:tcPr>
          <w:p w:rsidR="00000000" w:rsidRDefault="00000000">
            <w:pPr>
              <w:tabs>
                <w:tab w:val="decimal" w:pos="770"/>
              </w:tabs>
              <w:rPr>
                <w:sz w:val="20"/>
                <w:szCs w:val="16"/>
              </w:rPr>
            </w:pPr>
            <w:r>
              <w:rPr>
                <w:sz w:val="20"/>
                <w:szCs w:val="16"/>
              </w:rPr>
              <w:t>5</w:t>
            </w:r>
          </w:p>
        </w:tc>
        <w:tc>
          <w:tcPr>
            <w:tcW w:w="1191" w:type="dxa"/>
            <w:vAlign w:val="center"/>
          </w:tcPr>
          <w:p w:rsidR="00000000" w:rsidRDefault="00000000">
            <w:pPr>
              <w:tabs>
                <w:tab w:val="decimal" w:pos="770"/>
              </w:tabs>
              <w:rPr>
                <w:sz w:val="20"/>
                <w:szCs w:val="16"/>
              </w:rPr>
            </w:pPr>
            <w:r>
              <w:rPr>
                <w:sz w:val="20"/>
                <w:szCs w:val="16"/>
              </w:rPr>
              <w:t>26</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San Pedro</w:t>
            </w:r>
          </w:p>
        </w:tc>
        <w:tc>
          <w:tcPr>
            <w:tcW w:w="1190" w:type="dxa"/>
            <w:vAlign w:val="center"/>
          </w:tcPr>
          <w:p w:rsidR="00000000" w:rsidRDefault="00000000">
            <w:pPr>
              <w:tabs>
                <w:tab w:val="decimal" w:pos="770"/>
              </w:tabs>
              <w:rPr>
                <w:sz w:val="20"/>
                <w:szCs w:val="16"/>
              </w:rPr>
            </w:pPr>
            <w:r>
              <w:rPr>
                <w:sz w:val="20"/>
                <w:szCs w:val="16"/>
              </w:rPr>
              <w:t>7</w:t>
            </w:r>
          </w:p>
        </w:tc>
        <w:tc>
          <w:tcPr>
            <w:tcW w:w="1191" w:type="dxa"/>
            <w:vAlign w:val="center"/>
          </w:tcPr>
          <w:p w:rsidR="00000000" w:rsidRDefault="00000000">
            <w:pPr>
              <w:tabs>
                <w:tab w:val="decimal" w:pos="770"/>
              </w:tabs>
              <w:rPr>
                <w:sz w:val="20"/>
                <w:szCs w:val="16"/>
              </w:rPr>
            </w:pPr>
            <w:r>
              <w:rPr>
                <w:sz w:val="20"/>
                <w:szCs w:val="16"/>
              </w:rPr>
              <w:t>14</w:t>
            </w:r>
          </w:p>
        </w:tc>
        <w:tc>
          <w:tcPr>
            <w:tcW w:w="1191" w:type="dxa"/>
            <w:vAlign w:val="center"/>
          </w:tcPr>
          <w:p w:rsidR="00000000" w:rsidRDefault="00000000">
            <w:pPr>
              <w:tabs>
                <w:tab w:val="decimal" w:pos="770"/>
              </w:tabs>
              <w:rPr>
                <w:sz w:val="20"/>
                <w:szCs w:val="16"/>
              </w:rPr>
            </w:pPr>
            <w:r>
              <w:rPr>
                <w:sz w:val="20"/>
                <w:szCs w:val="16"/>
              </w:rPr>
              <w:t>17</w:t>
            </w:r>
          </w:p>
        </w:tc>
        <w:tc>
          <w:tcPr>
            <w:tcW w:w="1190" w:type="dxa"/>
            <w:vAlign w:val="center"/>
          </w:tcPr>
          <w:p w:rsidR="00000000" w:rsidRDefault="00000000">
            <w:pPr>
              <w:tabs>
                <w:tab w:val="decimal" w:pos="770"/>
              </w:tabs>
              <w:rPr>
                <w:sz w:val="20"/>
                <w:szCs w:val="16"/>
              </w:rPr>
            </w:pPr>
            <w:r>
              <w:rPr>
                <w:sz w:val="20"/>
                <w:szCs w:val="16"/>
              </w:rPr>
              <w:t>20</w:t>
            </w:r>
          </w:p>
        </w:tc>
        <w:tc>
          <w:tcPr>
            <w:tcW w:w="1191" w:type="dxa"/>
            <w:vAlign w:val="center"/>
          </w:tcPr>
          <w:p w:rsidR="00000000" w:rsidRDefault="00000000">
            <w:pPr>
              <w:tabs>
                <w:tab w:val="decimal" w:pos="770"/>
              </w:tabs>
              <w:rPr>
                <w:sz w:val="20"/>
                <w:szCs w:val="16"/>
              </w:rPr>
            </w:pPr>
            <w:r>
              <w:rPr>
                <w:sz w:val="20"/>
                <w:szCs w:val="16"/>
              </w:rPr>
              <w:t>14</w:t>
            </w:r>
          </w:p>
        </w:tc>
        <w:tc>
          <w:tcPr>
            <w:tcW w:w="1191" w:type="dxa"/>
            <w:vAlign w:val="center"/>
          </w:tcPr>
          <w:p w:rsidR="00000000" w:rsidRDefault="00000000">
            <w:pPr>
              <w:tabs>
                <w:tab w:val="decimal" w:pos="770"/>
              </w:tabs>
              <w:rPr>
                <w:sz w:val="20"/>
                <w:szCs w:val="16"/>
              </w:rPr>
            </w:pPr>
            <w:r>
              <w:rPr>
                <w:sz w:val="20"/>
                <w:szCs w:val="16"/>
              </w:rPr>
              <w:t>51</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Cordillera</w:t>
            </w:r>
          </w:p>
        </w:tc>
        <w:tc>
          <w:tcPr>
            <w:tcW w:w="1190" w:type="dxa"/>
            <w:vAlign w:val="center"/>
          </w:tcPr>
          <w:p w:rsidR="00000000" w:rsidRDefault="00000000">
            <w:pPr>
              <w:tabs>
                <w:tab w:val="decimal" w:pos="770"/>
              </w:tabs>
              <w:rPr>
                <w:sz w:val="20"/>
                <w:szCs w:val="16"/>
              </w:rPr>
            </w:pPr>
            <w:r>
              <w:rPr>
                <w:sz w:val="20"/>
                <w:szCs w:val="16"/>
              </w:rPr>
              <w:t>2</w:t>
            </w:r>
          </w:p>
        </w:tc>
        <w:tc>
          <w:tcPr>
            <w:tcW w:w="1191" w:type="dxa"/>
            <w:vAlign w:val="center"/>
          </w:tcPr>
          <w:p w:rsidR="00000000" w:rsidRDefault="00000000">
            <w:pPr>
              <w:tabs>
                <w:tab w:val="decimal" w:pos="770"/>
              </w:tabs>
              <w:rPr>
                <w:sz w:val="20"/>
                <w:szCs w:val="16"/>
              </w:rPr>
            </w:pPr>
            <w:r>
              <w:rPr>
                <w:sz w:val="20"/>
                <w:szCs w:val="16"/>
              </w:rPr>
              <w:t>6</w:t>
            </w:r>
          </w:p>
        </w:tc>
        <w:tc>
          <w:tcPr>
            <w:tcW w:w="1191" w:type="dxa"/>
            <w:vAlign w:val="center"/>
          </w:tcPr>
          <w:p w:rsidR="00000000" w:rsidRDefault="00000000">
            <w:pPr>
              <w:tabs>
                <w:tab w:val="decimal" w:pos="770"/>
              </w:tabs>
              <w:rPr>
                <w:sz w:val="20"/>
                <w:szCs w:val="16"/>
              </w:rPr>
            </w:pPr>
            <w:r>
              <w:rPr>
                <w:sz w:val="20"/>
                <w:szCs w:val="16"/>
              </w:rPr>
              <w:t>6</w:t>
            </w:r>
          </w:p>
        </w:tc>
        <w:tc>
          <w:tcPr>
            <w:tcW w:w="1190" w:type="dxa"/>
            <w:vAlign w:val="center"/>
          </w:tcPr>
          <w:p w:rsidR="00000000" w:rsidRDefault="00000000">
            <w:pPr>
              <w:tabs>
                <w:tab w:val="decimal" w:pos="770"/>
              </w:tabs>
              <w:rPr>
                <w:sz w:val="20"/>
                <w:szCs w:val="16"/>
              </w:rPr>
            </w:pPr>
            <w:r>
              <w:rPr>
                <w:sz w:val="20"/>
                <w:szCs w:val="16"/>
              </w:rPr>
              <w:t>6</w:t>
            </w:r>
          </w:p>
        </w:tc>
        <w:tc>
          <w:tcPr>
            <w:tcW w:w="1191" w:type="dxa"/>
            <w:vAlign w:val="center"/>
          </w:tcPr>
          <w:p w:rsidR="00000000" w:rsidRDefault="00000000">
            <w:pPr>
              <w:tabs>
                <w:tab w:val="decimal" w:pos="770"/>
              </w:tabs>
              <w:rPr>
                <w:sz w:val="20"/>
                <w:szCs w:val="16"/>
              </w:rPr>
            </w:pPr>
            <w:r>
              <w:rPr>
                <w:sz w:val="20"/>
                <w:szCs w:val="16"/>
              </w:rPr>
              <w:t>10</w:t>
            </w:r>
          </w:p>
        </w:tc>
        <w:tc>
          <w:tcPr>
            <w:tcW w:w="1191" w:type="dxa"/>
            <w:vAlign w:val="center"/>
          </w:tcPr>
          <w:p w:rsidR="00000000" w:rsidRDefault="00000000">
            <w:pPr>
              <w:tabs>
                <w:tab w:val="decimal" w:pos="770"/>
              </w:tabs>
              <w:rPr>
                <w:sz w:val="20"/>
                <w:szCs w:val="16"/>
              </w:rPr>
            </w:pPr>
            <w:r>
              <w:rPr>
                <w:sz w:val="20"/>
                <w:szCs w:val="16"/>
              </w:rPr>
              <w:t>22</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Guaira</w:t>
            </w:r>
          </w:p>
        </w:tc>
        <w:tc>
          <w:tcPr>
            <w:tcW w:w="1190" w:type="dxa"/>
            <w:vAlign w:val="center"/>
          </w:tcPr>
          <w:p w:rsidR="00000000" w:rsidRDefault="00000000">
            <w:pPr>
              <w:tabs>
                <w:tab w:val="decimal" w:pos="770"/>
              </w:tabs>
              <w:rPr>
                <w:sz w:val="20"/>
                <w:szCs w:val="16"/>
              </w:rPr>
            </w:pPr>
            <w:r>
              <w:rPr>
                <w:sz w:val="20"/>
                <w:szCs w:val="16"/>
              </w:rPr>
              <w:t>2</w:t>
            </w:r>
          </w:p>
        </w:tc>
        <w:tc>
          <w:tcPr>
            <w:tcW w:w="1191" w:type="dxa"/>
            <w:vAlign w:val="center"/>
          </w:tcPr>
          <w:p w:rsidR="00000000" w:rsidRDefault="00000000">
            <w:pPr>
              <w:tabs>
                <w:tab w:val="decimal" w:pos="770"/>
              </w:tabs>
              <w:rPr>
                <w:sz w:val="20"/>
                <w:szCs w:val="16"/>
              </w:rPr>
            </w:pPr>
            <w:r>
              <w:rPr>
                <w:sz w:val="20"/>
                <w:szCs w:val="16"/>
              </w:rPr>
              <w:t>5</w:t>
            </w:r>
          </w:p>
        </w:tc>
        <w:tc>
          <w:tcPr>
            <w:tcW w:w="1191" w:type="dxa"/>
            <w:vAlign w:val="center"/>
          </w:tcPr>
          <w:p w:rsidR="00000000" w:rsidRDefault="00000000">
            <w:pPr>
              <w:tabs>
                <w:tab w:val="decimal" w:pos="770"/>
              </w:tabs>
              <w:rPr>
                <w:sz w:val="20"/>
                <w:szCs w:val="16"/>
              </w:rPr>
            </w:pPr>
            <w:r>
              <w:rPr>
                <w:sz w:val="20"/>
                <w:szCs w:val="16"/>
              </w:rPr>
              <w:t>2</w:t>
            </w:r>
          </w:p>
        </w:tc>
        <w:tc>
          <w:tcPr>
            <w:tcW w:w="1190" w:type="dxa"/>
            <w:vAlign w:val="center"/>
          </w:tcPr>
          <w:p w:rsidR="00000000" w:rsidRDefault="00000000">
            <w:pPr>
              <w:tabs>
                <w:tab w:val="decimal" w:pos="770"/>
              </w:tabs>
              <w:rPr>
                <w:sz w:val="20"/>
                <w:szCs w:val="16"/>
              </w:rPr>
            </w:pPr>
            <w:r>
              <w:rPr>
                <w:sz w:val="20"/>
                <w:szCs w:val="16"/>
              </w:rPr>
              <w:t>6</w:t>
            </w:r>
          </w:p>
        </w:tc>
        <w:tc>
          <w:tcPr>
            <w:tcW w:w="1191" w:type="dxa"/>
            <w:vAlign w:val="center"/>
          </w:tcPr>
          <w:p w:rsidR="00000000" w:rsidRDefault="00000000">
            <w:pPr>
              <w:tabs>
                <w:tab w:val="decimal" w:pos="770"/>
              </w:tabs>
              <w:rPr>
                <w:sz w:val="20"/>
                <w:szCs w:val="16"/>
              </w:rPr>
            </w:pPr>
            <w:r>
              <w:rPr>
                <w:sz w:val="20"/>
                <w:szCs w:val="16"/>
              </w:rPr>
              <w:t>3</w:t>
            </w:r>
          </w:p>
        </w:tc>
        <w:tc>
          <w:tcPr>
            <w:tcW w:w="1191" w:type="dxa"/>
            <w:vAlign w:val="center"/>
          </w:tcPr>
          <w:p w:rsidR="00000000" w:rsidRDefault="00000000">
            <w:pPr>
              <w:tabs>
                <w:tab w:val="decimal" w:pos="770"/>
              </w:tabs>
              <w:rPr>
                <w:sz w:val="20"/>
                <w:szCs w:val="16"/>
              </w:rPr>
            </w:pPr>
            <w:r>
              <w:rPr>
                <w:sz w:val="20"/>
                <w:szCs w:val="16"/>
              </w:rPr>
              <w:t>11</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Caaguazu</w:t>
            </w:r>
          </w:p>
        </w:tc>
        <w:tc>
          <w:tcPr>
            <w:tcW w:w="1190" w:type="dxa"/>
            <w:vAlign w:val="center"/>
          </w:tcPr>
          <w:p w:rsidR="00000000" w:rsidRDefault="00000000">
            <w:pPr>
              <w:tabs>
                <w:tab w:val="decimal" w:pos="770"/>
              </w:tabs>
              <w:rPr>
                <w:sz w:val="20"/>
                <w:szCs w:val="16"/>
              </w:rPr>
            </w:pPr>
            <w:r>
              <w:rPr>
                <w:sz w:val="20"/>
                <w:szCs w:val="16"/>
              </w:rPr>
              <w:t>11</w:t>
            </w:r>
          </w:p>
        </w:tc>
        <w:tc>
          <w:tcPr>
            <w:tcW w:w="1191" w:type="dxa"/>
            <w:vAlign w:val="center"/>
          </w:tcPr>
          <w:p w:rsidR="00000000" w:rsidRDefault="00000000">
            <w:pPr>
              <w:tabs>
                <w:tab w:val="decimal" w:pos="770"/>
              </w:tabs>
              <w:rPr>
                <w:sz w:val="20"/>
                <w:szCs w:val="16"/>
              </w:rPr>
            </w:pPr>
            <w:r>
              <w:rPr>
                <w:sz w:val="20"/>
                <w:szCs w:val="16"/>
              </w:rPr>
              <w:t>13</w:t>
            </w:r>
          </w:p>
        </w:tc>
        <w:tc>
          <w:tcPr>
            <w:tcW w:w="1191" w:type="dxa"/>
            <w:vAlign w:val="center"/>
          </w:tcPr>
          <w:p w:rsidR="00000000" w:rsidRDefault="00000000">
            <w:pPr>
              <w:tabs>
                <w:tab w:val="decimal" w:pos="770"/>
              </w:tabs>
              <w:rPr>
                <w:sz w:val="20"/>
                <w:szCs w:val="16"/>
              </w:rPr>
            </w:pPr>
            <w:r>
              <w:rPr>
                <w:sz w:val="20"/>
                <w:szCs w:val="16"/>
              </w:rPr>
              <w:t>20</w:t>
            </w:r>
          </w:p>
        </w:tc>
        <w:tc>
          <w:tcPr>
            <w:tcW w:w="1190" w:type="dxa"/>
            <w:vAlign w:val="center"/>
          </w:tcPr>
          <w:p w:rsidR="00000000" w:rsidRDefault="00000000">
            <w:pPr>
              <w:tabs>
                <w:tab w:val="decimal" w:pos="770"/>
              </w:tabs>
              <w:rPr>
                <w:sz w:val="20"/>
                <w:szCs w:val="16"/>
              </w:rPr>
            </w:pPr>
            <w:r>
              <w:rPr>
                <w:sz w:val="20"/>
                <w:szCs w:val="16"/>
              </w:rPr>
              <w:t>19</w:t>
            </w:r>
          </w:p>
        </w:tc>
        <w:tc>
          <w:tcPr>
            <w:tcW w:w="1191" w:type="dxa"/>
            <w:vAlign w:val="center"/>
          </w:tcPr>
          <w:p w:rsidR="00000000" w:rsidRDefault="00000000">
            <w:pPr>
              <w:tabs>
                <w:tab w:val="decimal" w:pos="770"/>
              </w:tabs>
              <w:rPr>
                <w:sz w:val="20"/>
                <w:szCs w:val="16"/>
              </w:rPr>
            </w:pPr>
            <w:r>
              <w:rPr>
                <w:sz w:val="20"/>
                <w:szCs w:val="16"/>
              </w:rPr>
              <w:t>11</w:t>
            </w:r>
          </w:p>
        </w:tc>
        <w:tc>
          <w:tcPr>
            <w:tcW w:w="1191" w:type="dxa"/>
            <w:vAlign w:val="center"/>
          </w:tcPr>
          <w:p w:rsidR="00000000" w:rsidRDefault="00000000">
            <w:pPr>
              <w:tabs>
                <w:tab w:val="decimal" w:pos="770"/>
              </w:tabs>
              <w:rPr>
                <w:sz w:val="20"/>
                <w:szCs w:val="16"/>
              </w:rPr>
            </w:pPr>
            <w:r>
              <w:rPr>
                <w:sz w:val="20"/>
                <w:szCs w:val="16"/>
              </w:rPr>
              <w:t>50</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Caazapa</w:t>
            </w:r>
          </w:p>
        </w:tc>
        <w:tc>
          <w:tcPr>
            <w:tcW w:w="1190" w:type="dxa"/>
            <w:vAlign w:val="center"/>
          </w:tcPr>
          <w:p w:rsidR="00000000" w:rsidRDefault="00000000">
            <w:pPr>
              <w:tabs>
                <w:tab w:val="decimal" w:pos="770"/>
              </w:tabs>
              <w:rPr>
                <w:sz w:val="20"/>
                <w:szCs w:val="16"/>
              </w:rPr>
            </w:pPr>
            <w:r>
              <w:rPr>
                <w:sz w:val="20"/>
                <w:szCs w:val="16"/>
              </w:rPr>
              <w:t>5</w:t>
            </w:r>
          </w:p>
        </w:tc>
        <w:tc>
          <w:tcPr>
            <w:tcW w:w="1191" w:type="dxa"/>
            <w:vAlign w:val="center"/>
          </w:tcPr>
          <w:p w:rsidR="00000000" w:rsidRDefault="00000000">
            <w:pPr>
              <w:tabs>
                <w:tab w:val="decimal" w:pos="770"/>
              </w:tabs>
              <w:rPr>
                <w:sz w:val="20"/>
                <w:szCs w:val="16"/>
              </w:rPr>
            </w:pPr>
            <w:r>
              <w:rPr>
                <w:sz w:val="20"/>
                <w:szCs w:val="16"/>
              </w:rPr>
              <w:t>8</w:t>
            </w:r>
          </w:p>
        </w:tc>
        <w:tc>
          <w:tcPr>
            <w:tcW w:w="1191" w:type="dxa"/>
            <w:vAlign w:val="center"/>
          </w:tcPr>
          <w:p w:rsidR="00000000" w:rsidRDefault="00000000">
            <w:pPr>
              <w:tabs>
                <w:tab w:val="decimal" w:pos="770"/>
              </w:tabs>
              <w:rPr>
                <w:sz w:val="20"/>
                <w:szCs w:val="16"/>
              </w:rPr>
            </w:pPr>
            <w:r>
              <w:rPr>
                <w:sz w:val="20"/>
                <w:szCs w:val="16"/>
              </w:rPr>
              <w:t>7</w:t>
            </w:r>
          </w:p>
        </w:tc>
        <w:tc>
          <w:tcPr>
            <w:tcW w:w="1190" w:type="dxa"/>
            <w:vAlign w:val="center"/>
          </w:tcPr>
          <w:p w:rsidR="00000000" w:rsidRDefault="00000000">
            <w:pPr>
              <w:tabs>
                <w:tab w:val="decimal" w:pos="770"/>
              </w:tabs>
              <w:rPr>
                <w:sz w:val="20"/>
                <w:szCs w:val="16"/>
              </w:rPr>
            </w:pPr>
            <w:r>
              <w:rPr>
                <w:sz w:val="20"/>
                <w:szCs w:val="16"/>
              </w:rPr>
              <w:t>5</w:t>
            </w:r>
          </w:p>
        </w:tc>
        <w:tc>
          <w:tcPr>
            <w:tcW w:w="1191" w:type="dxa"/>
            <w:vAlign w:val="center"/>
          </w:tcPr>
          <w:p w:rsidR="00000000" w:rsidRDefault="00000000">
            <w:pPr>
              <w:tabs>
                <w:tab w:val="decimal" w:pos="770"/>
              </w:tabs>
              <w:rPr>
                <w:sz w:val="20"/>
                <w:szCs w:val="16"/>
              </w:rPr>
            </w:pPr>
            <w:r>
              <w:rPr>
                <w:sz w:val="20"/>
                <w:szCs w:val="16"/>
              </w:rPr>
              <w:t>4</w:t>
            </w:r>
          </w:p>
        </w:tc>
        <w:tc>
          <w:tcPr>
            <w:tcW w:w="1191" w:type="dxa"/>
            <w:vAlign w:val="center"/>
          </w:tcPr>
          <w:p w:rsidR="00000000" w:rsidRDefault="00000000">
            <w:pPr>
              <w:tabs>
                <w:tab w:val="decimal" w:pos="770"/>
              </w:tabs>
              <w:rPr>
                <w:sz w:val="20"/>
                <w:szCs w:val="16"/>
              </w:rPr>
            </w:pPr>
            <w:r>
              <w:rPr>
                <w:sz w:val="20"/>
                <w:szCs w:val="16"/>
              </w:rPr>
              <w:t>16</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Itapúa</w:t>
            </w:r>
          </w:p>
        </w:tc>
        <w:tc>
          <w:tcPr>
            <w:tcW w:w="1190" w:type="dxa"/>
            <w:vAlign w:val="center"/>
          </w:tcPr>
          <w:p w:rsidR="00000000" w:rsidRDefault="00000000">
            <w:pPr>
              <w:tabs>
                <w:tab w:val="decimal" w:pos="770"/>
              </w:tabs>
              <w:rPr>
                <w:sz w:val="20"/>
                <w:szCs w:val="16"/>
              </w:rPr>
            </w:pPr>
            <w:r>
              <w:rPr>
                <w:sz w:val="20"/>
                <w:szCs w:val="16"/>
              </w:rPr>
              <w:t>13</w:t>
            </w:r>
          </w:p>
        </w:tc>
        <w:tc>
          <w:tcPr>
            <w:tcW w:w="1191" w:type="dxa"/>
            <w:vAlign w:val="center"/>
          </w:tcPr>
          <w:p w:rsidR="00000000" w:rsidRDefault="00000000">
            <w:pPr>
              <w:tabs>
                <w:tab w:val="decimal" w:pos="770"/>
              </w:tabs>
              <w:rPr>
                <w:sz w:val="20"/>
                <w:szCs w:val="16"/>
              </w:rPr>
            </w:pPr>
            <w:r>
              <w:rPr>
                <w:sz w:val="20"/>
                <w:szCs w:val="16"/>
              </w:rPr>
              <w:t>14</w:t>
            </w:r>
          </w:p>
        </w:tc>
        <w:tc>
          <w:tcPr>
            <w:tcW w:w="1191" w:type="dxa"/>
            <w:vAlign w:val="center"/>
          </w:tcPr>
          <w:p w:rsidR="00000000" w:rsidRDefault="00000000">
            <w:pPr>
              <w:tabs>
                <w:tab w:val="decimal" w:pos="770"/>
              </w:tabs>
              <w:rPr>
                <w:sz w:val="20"/>
                <w:szCs w:val="16"/>
              </w:rPr>
            </w:pPr>
            <w:r>
              <w:rPr>
                <w:sz w:val="20"/>
                <w:szCs w:val="16"/>
              </w:rPr>
              <w:t>12</w:t>
            </w:r>
          </w:p>
        </w:tc>
        <w:tc>
          <w:tcPr>
            <w:tcW w:w="1190" w:type="dxa"/>
            <w:vAlign w:val="center"/>
          </w:tcPr>
          <w:p w:rsidR="00000000" w:rsidRDefault="00000000">
            <w:pPr>
              <w:tabs>
                <w:tab w:val="decimal" w:pos="770"/>
              </w:tabs>
              <w:rPr>
                <w:sz w:val="20"/>
                <w:szCs w:val="16"/>
              </w:rPr>
            </w:pPr>
            <w:r>
              <w:rPr>
                <w:sz w:val="20"/>
                <w:szCs w:val="16"/>
              </w:rPr>
              <w:t>10</w:t>
            </w:r>
          </w:p>
        </w:tc>
        <w:tc>
          <w:tcPr>
            <w:tcW w:w="1191" w:type="dxa"/>
            <w:vAlign w:val="center"/>
          </w:tcPr>
          <w:p w:rsidR="00000000" w:rsidRDefault="00000000">
            <w:pPr>
              <w:tabs>
                <w:tab w:val="decimal" w:pos="770"/>
              </w:tabs>
              <w:rPr>
                <w:sz w:val="20"/>
                <w:szCs w:val="16"/>
              </w:rPr>
            </w:pPr>
            <w:r>
              <w:rPr>
                <w:sz w:val="20"/>
                <w:szCs w:val="16"/>
              </w:rPr>
              <w:t>11</w:t>
            </w:r>
          </w:p>
        </w:tc>
        <w:tc>
          <w:tcPr>
            <w:tcW w:w="1191" w:type="dxa"/>
            <w:vAlign w:val="center"/>
          </w:tcPr>
          <w:p w:rsidR="00000000" w:rsidRDefault="00000000">
            <w:pPr>
              <w:tabs>
                <w:tab w:val="decimal" w:pos="770"/>
              </w:tabs>
              <w:rPr>
                <w:sz w:val="20"/>
                <w:szCs w:val="16"/>
              </w:rPr>
            </w:pPr>
            <w:r>
              <w:rPr>
                <w:sz w:val="20"/>
                <w:szCs w:val="16"/>
              </w:rPr>
              <w:t>33</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Misiones</w:t>
            </w:r>
          </w:p>
        </w:tc>
        <w:tc>
          <w:tcPr>
            <w:tcW w:w="1190" w:type="dxa"/>
            <w:vAlign w:val="center"/>
          </w:tcPr>
          <w:p w:rsidR="00000000" w:rsidRDefault="00000000">
            <w:pPr>
              <w:tabs>
                <w:tab w:val="decimal" w:pos="770"/>
              </w:tabs>
              <w:rPr>
                <w:sz w:val="20"/>
                <w:szCs w:val="16"/>
              </w:rPr>
            </w:pPr>
            <w:r>
              <w:rPr>
                <w:sz w:val="20"/>
                <w:szCs w:val="16"/>
              </w:rPr>
              <w:t>1</w:t>
            </w:r>
          </w:p>
        </w:tc>
        <w:tc>
          <w:tcPr>
            <w:tcW w:w="1191" w:type="dxa"/>
            <w:vAlign w:val="center"/>
          </w:tcPr>
          <w:p w:rsidR="00000000" w:rsidRDefault="00000000">
            <w:pPr>
              <w:tabs>
                <w:tab w:val="decimal" w:pos="770"/>
              </w:tabs>
              <w:rPr>
                <w:sz w:val="20"/>
                <w:szCs w:val="16"/>
              </w:rPr>
            </w:pPr>
            <w:r>
              <w:rPr>
                <w:sz w:val="20"/>
                <w:szCs w:val="16"/>
              </w:rPr>
              <w:t>4</w:t>
            </w:r>
          </w:p>
        </w:tc>
        <w:tc>
          <w:tcPr>
            <w:tcW w:w="1191" w:type="dxa"/>
            <w:vAlign w:val="center"/>
          </w:tcPr>
          <w:p w:rsidR="00000000" w:rsidRDefault="00000000">
            <w:pPr>
              <w:tabs>
                <w:tab w:val="decimal" w:pos="770"/>
              </w:tabs>
              <w:rPr>
                <w:sz w:val="20"/>
                <w:szCs w:val="16"/>
              </w:rPr>
            </w:pPr>
            <w:r>
              <w:rPr>
                <w:sz w:val="20"/>
                <w:szCs w:val="16"/>
              </w:rPr>
              <w:t>1</w:t>
            </w:r>
          </w:p>
        </w:tc>
        <w:tc>
          <w:tcPr>
            <w:tcW w:w="1190" w:type="dxa"/>
            <w:vAlign w:val="center"/>
          </w:tcPr>
          <w:p w:rsidR="00000000" w:rsidRDefault="00000000">
            <w:pPr>
              <w:tabs>
                <w:tab w:val="decimal" w:pos="770"/>
              </w:tabs>
              <w:rPr>
                <w:sz w:val="20"/>
                <w:szCs w:val="16"/>
              </w:rPr>
            </w:pPr>
            <w:r>
              <w:rPr>
                <w:sz w:val="20"/>
                <w:szCs w:val="16"/>
              </w:rPr>
              <w:t>3</w:t>
            </w:r>
          </w:p>
        </w:tc>
        <w:tc>
          <w:tcPr>
            <w:tcW w:w="1191" w:type="dxa"/>
            <w:vAlign w:val="center"/>
          </w:tcPr>
          <w:p w:rsidR="00000000" w:rsidRDefault="00000000">
            <w:pPr>
              <w:tabs>
                <w:tab w:val="decimal" w:pos="770"/>
              </w:tabs>
              <w:rPr>
                <w:sz w:val="20"/>
                <w:szCs w:val="16"/>
              </w:rPr>
            </w:pPr>
            <w:r>
              <w:rPr>
                <w:sz w:val="20"/>
                <w:szCs w:val="16"/>
              </w:rPr>
              <w:t>1</w:t>
            </w:r>
          </w:p>
        </w:tc>
        <w:tc>
          <w:tcPr>
            <w:tcW w:w="1191" w:type="dxa"/>
            <w:vAlign w:val="center"/>
          </w:tcPr>
          <w:p w:rsidR="00000000" w:rsidRDefault="00000000">
            <w:pPr>
              <w:tabs>
                <w:tab w:val="decimal" w:pos="770"/>
              </w:tabs>
              <w:rPr>
                <w:sz w:val="20"/>
                <w:szCs w:val="16"/>
              </w:rPr>
            </w:pPr>
            <w:r>
              <w:rPr>
                <w:sz w:val="20"/>
                <w:szCs w:val="16"/>
              </w:rPr>
              <w:t>5</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Paraguari</w:t>
            </w:r>
          </w:p>
        </w:tc>
        <w:tc>
          <w:tcPr>
            <w:tcW w:w="1190" w:type="dxa"/>
            <w:vAlign w:val="center"/>
          </w:tcPr>
          <w:p w:rsidR="00000000" w:rsidRDefault="00000000">
            <w:pPr>
              <w:tabs>
                <w:tab w:val="decimal" w:pos="770"/>
              </w:tabs>
              <w:rPr>
                <w:sz w:val="20"/>
                <w:szCs w:val="16"/>
              </w:rPr>
            </w:pPr>
            <w:r>
              <w:rPr>
                <w:sz w:val="20"/>
                <w:szCs w:val="16"/>
              </w:rPr>
              <w:t>11</w:t>
            </w:r>
          </w:p>
        </w:tc>
        <w:tc>
          <w:tcPr>
            <w:tcW w:w="1191" w:type="dxa"/>
            <w:vAlign w:val="center"/>
          </w:tcPr>
          <w:p w:rsidR="00000000" w:rsidRDefault="00000000">
            <w:pPr>
              <w:tabs>
                <w:tab w:val="decimal" w:pos="770"/>
              </w:tabs>
              <w:rPr>
                <w:sz w:val="20"/>
                <w:szCs w:val="16"/>
              </w:rPr>
            </w:pPr>
            <w:r>
              <w:rPr>
                <w:sz w:val="20"/>
                <w:szCs w:val="16"/>
              </w:rPr>
              <w:t>9</w:t>
            </w:r>
          </w:p>
        </w:tc>
        <w:tc>
          <w:tcPr>
            <w:tcW w:w="1191" w:type="dxa"/>
            <w:vAlign w:val="center"/>
          </w:tcPr>
          <w:p w:rsidR="00000000" w:rsidRDefault="00000000">
            <w:pPr>
              <w:tabs>
                <w:tab w:val="decimal" w:pos="770"/>
              </w:tabs>
              <w:rPr>
                <w:sz w:val="20"/>
                <w:szCs w:val="16"/>
              </w:rPr>
            </w:pPr>
            <w:r>
              <w:rPr>
                <w:sz w:val="20"/>
                <w:szCs w:val="16"/>
              </w:rPr>
              <w:t>4</w:t>
            </w:r>
          </w:p>
        </w:tc>
        <w:tc>
          <w:tcPr>
            <w:tcW w:w="1190" w:type="dxa"/>
            <w:vAlign w:val="center"/>
          </w:tcPr>
          <w:p w:rsidR="00000000" w:rsidRDefault="00000000">
            <w:pPr>
              <w:tabs>
                <w:tab w:val="decimal" w:pos="770"/>
              </w:tabs>
              <w:rPr>
                <w:sz w:val="20"/>
                <w:szCs w:val="16"/>
              </w:rPr>
            </w:pPr>
            <w:r>
              <w:rPr>
                <w:sz w:val="20"/>
                <w:szCs w:val="16"/>
              </w:rPr>
              <w:t>7</w:t>
            </w:r>
          </w:p>
        </w:tc>
        <w:tc>
          <w:tcPr>
            <w:tcW w:w="1191" w:type="dxa"/>
            <w:vAlign w:val="center"/>
          </w:tcPr>
          <w:p w:rsidR="00000000" w:rsidRDefault="00000000">
            <w:pPr>
              <w:tabs>
                <w:tab w:val="decimal" w:pos="770"/>
              </w:tabs>
              <w:rPr>
                <w:sz w:val="20"/>
                <w:szCs w:val="16"/>
              </w:rPr>
            </w:pPr>
            <w:r>
              <w:rPr>
                <w:sz w:val="20"/>
                <w:szCs w:val="16"/>
              </w:rPr>
              <w:t>10</w:t>
            </w:r>
          </w:p>
        </w:tc>
        <w:tc>
          <w:tcPr>
            <w:tcW w:w="1191" w:type="dxa"/>
            <w:vAlign w:val="center"/>
          </w:tcPr>
          <w:p w:rsidR="00000000" w:rsidRDefault="00000000">
            <w:pPr>
              <w:tabs>
                <w:tab w:val="decimal" w:pos="770"/>
              </w:tabs>
              <w:rPr>
                <w:sz w:val="20"/>
                <w:szCs w:val="16"/>
              </w:rPr>
            </w:pPr>
            <w:r>
              <w:rPr>
                <w:sz w:val="20"/>
                <w:szCs w:val="16"/>
              </w:rPr>
              <w:t>21</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Alto Paraná</w:t>
            </w:r>
          </w:p>
        </w:tc>
        <w:tc>
          <w:tcPr>
            <w:tcW w:w="1190" w:type="dxa"/>
            <w:vAlign w:val="center"/>
          </w:tcPr>
          <w:p w:rsidR="00000000" w:rsidRDefault="00000000">
            <w:pPr>
              <w:tabs>
                <w:tab w:val="decimal" w:pos="770"/>
              </w:tabs>
              <w:rPr>
                <w:sz w:val="20"/>
                <w:szCs w:val="16"/>
              </w:rPr>
            </w:pPr>
            <w:r>
              <w:rPr>
                <w:sz w:val="20"/>
                <w:szCs w:val="16"/>
              </w:rPr>
              <w:t>25</w:t>
            </w:r>
          </w:p>
        </w:tc>
        <w:tc>
          <w:tcPr>
            <w:tcW w:w="1191" w:type="dxa"/>
            <w:vAlign w:val="center"/>
          </w:tcPr>
          <w:p w:rsidR="00000000" w:rsidRDefault="00000000">
            <w:pPr>
              <w:tabs>
                <w:tab w:val="decimal" w:pos="770"/>
              </w:tabs>
              <w:rPr>
                <w:sz w:val="20"/>
                <w:szCs w:val="16"/>
              </w:rPr>
            </w:pPr>
            <w:r>
              <w:rPr>
                <w:sz w:val="20"/>
                <w:szCs w:val="16"/>
              </w:rPr>
              <w:t>17</w:t>
            </w:r>
          </w:p>
        </w:tc>
        <w:tc>
          <w:tcPr>
            <w:tcW w:w="1191" w:type="dxa"/>
            <w:vAlign w:val="center"/>
          </w:tcPr>
          <w:p w:rsidR="00000000" w:rsidRDefault="00000000">
            <w:pPr>
              <w:tabs>
                <w:tab w:val="decimal" w:pos="770"/>
              </w:tabs>
              <w:rPr>
                <w:sz w:val="20"/>
                <w:szCs w:val="16"/>
              </w:rPr>
            </w:pPr>
            <w:r>
              <w:rPr>
                <w:sz w:val="20"/>
                <w:szCs w:val="16"/>
              </w:rPr>
              <w:t>18</w:t>
            </w:r>
          </w:p>
        </w:tc>
        <w:tc>
          <w:tcPr>
            <w:tcW w:w="1190" w:type="dxa"/>
            <w:vAlign w:val="center"/>
          </w:tcPr>
          <w:p w:rsidR="00000000" w:rsidRDefault="00000000">
            <w:pPr>
              <w:tabs>
                <w:tab w:val="decimal" w:pos="770"/>
              </w:tabs>
              <w:rPr>
                <w:sz w:val="20"/>
                <w:szCs w:val="16"/>
              </w:rPr>
            </w:pPr>
            <w:r>
              <w:rPr>
                <w:sz w:val="20"/>
                <w:szCs w:val="16"/>
              </w:rPr>
              <w:t>10</w:t>
            </w:r>
          </w:p>
        </w:tc>
        <w:tc>
          <w:tcPr>
            <w:tcW w:w="1191" w:type="dxa"/>
            <w:vAlign w:val="center"/>
          </w:tcPr>
          <w:p w:rsidR="00000000" w:rsidRDefault="00000000">
            <w:pPr>
              <w:tabs>
                <w:tab w:val="decimal" w:pos="770"/>
              </w:tabs>
              <w:rPr>
                <w:sz w:val="20"/>
                <w:szCs w:val="16"/>
              </w:rPr>
            </w:pPr>
            <w:r>
              <w:rPr>
                <w:sz w:val="20"/>
                <w:szCs w:val="16"/>
              </w:rPr>
              <w:t>14</w:t>
            </w:r>
          </w:p>
        </w:tc>
        <w:tc>
          <w:tcPr>
            <w:tcW w:w="1191" w:type="dxa"/>
            <w:vAlign w:val="center"/>
          </w:tcPr>
          <w:p w:rsidR="00000000" w:rsidRDefault="00000000">
            <w:pPr>
              <w:tabs>
                <w:tab w:val="decimal" w:pos="770"/>
              </w:tabs>
              <w:rPr>
                <w:sz w:val="20"/>
                <w:szCs w:val="16"/>
              </w:rPr>
            </w:pPr>
            <w:r>
              <w:rPr>
                <w:sz w:val="20"/>
                <w:szCs w:val="16"/>
              </w:rPr>
              <w:t>42</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Central</w:t>
            </w:r>
          </w:p>
        </w:tc>
        <w:tc>
          <w:tcPr>
            <w:tcW w:w="1190" w:type="dxa"/>
            <w:vAlign w:val="center"/>
          </w:tcPr>
          <w:p w:rsidR="00000000" w:rsidRDefault="00000000">
            <w:pPr>
              <w:tabs>
                <w:tab w:val="decimal" w:pos="770"/>
              </w:tabs>
              <w:rPr>
                <w:sz w:val="20"/>
                <w:szCs w:val="16"/>
              </w:rPr>
            </w:pPr>
            <w:r>
              <w:rPr>
                <w:sz w:val="20"/>
                <w:szCs w:val="16"/>
              </w:rPr>
              <w:t>28</w:t>
            </w:r>
          </w:p>
        </w:tc>
        <w:tc>
          <w:tcPr>
            <w:tcW w:w="1191" w:type="dxa"/>
            <w:vAlign w:val="center"/>
          </w:tcPr>
          <w:p w:rsidR="00000000" w:rsidRDefault="00000000">
            <w:pPr>
              <w:tabs>
                <w:tab w:val="decimal" w:pos="770"/>
              </w:tabs>
              <w:rPr>
                <w:sz w:val="20"/>
                <w:szCs w:val="16"/>
              </w:rPr>
            </w:pPr>
            <w:r>
              <w:rPr>
                <w:sz w:val="20"/>
                <w:szCs w:val="16"/>
              </w:rPr>
              <w:t>32</w:t>
            </w:r>
          </w:p>
        </w:tc>
        <w:tc>
          <w:tcPr>
            <w:tcW w:w="1191" w:type="dxa"/>
            <w:vAlign w:val="center"/>
          </w:tcPr>
          <w:p w:rsidR="00000000" w:rsidRDefault="00000000">
            <w:pPr>
              <w:tabs>
                <w:tab w:val="decimal" w:pos="770"/>
              </w:tabs>
              <w:rPr>
                <w:sz w:val="20"/>
                <w:szCs w:val="16"/>
              </w:rPr>
            </w:pPr>
            <w:r>
              <w:rPr>
                <w:sz w:val="20"/>
                <w:szCs w:val="16"/>
              </w:rPr>
              <w:t>31</w:t>
            </w:r>
          </w:p>
        </w:tc>
        <w:tc>
          <w:tcPr>
            <w:tcW w:w="1190" w:type="dxa"/>
            <w:vAlign w:val="center"/>
          </w:tcPr>
          <w:p w:rsidR="00000000" w:rsidRDefault="00000000">
            <w:pPr>
              <w:tabs>
                <w:tab w:val="decimal" w:pos="770"/>
              </w:tabs>
              <w:rPr>
                <w:sz w:val="20"/>
                <w:szCs w:val="16"/>
              </w:rPr>
            </w:pPr>
            <w:r>
              <w:rPr>
                <w:sz w:val="20"/>
                <w:szCs w:val="16"/>
              </w:rPr>
              <w:t>28</w:t>
            </w:r>
          </w:p>
        </w:tc>
        <w:tc>
          <w:tcPr>
            <w:tcW w:w="1191" w:type="dxa"/>
            <w:vAlign w:val="center"/>
          </w:tcPr>
          <w:p w:rsidR="00000000" w:rsidRDefault="00000000">
            <w:pPr>
              <w:tabs>
                <w:tab w:val="decimal" w:pos="770"/>
              </w:tabs>
              <w:rPr>
                <w:sz w:val="20"/>
                <w:szCs w:val="16"/>
              </w:rPr>
            </w:pPr>
            <w:r>
              <w:rPr>
                <w:sz w:val="20"/>
                <w:szCs w:val="16"/>
              </w:rPr>
              <w:t>26</w:t>
            </w:r>
          </w:p>
        </w:tc>
        <w:tc>
          <w:tcPr>
            <w:tcW w:w="1191" w:type="dxa"/>
            <w:vAlign w:val="center"/>
          </w:tcPr>
          <w:p w:rsidR="00000000" w:rsidRDefault="00000000">
            <w:pPr>
              <w:tabs>
                <w:tab w:val="decimal" w:pos="770"/>
              </w:tabs>
              <w:rPr>
                <w:sz w:val="20"/>
                <w:szCs w:val="16"/>
              </w:rPr>
            </w:pPr>
            <w:r>
              <w:rPr>
                <w:sz w:val="20"/>
                <w:szCs w:val="16"/>
              </w:rPr>
              <w:t>85</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Neembucu</w:t>
            </w:r>
          </w:p>
        </w:tc>
        <w:tc>
          <w:tcPr>
            <w:tcW w:w="1190" w:type="dxa"/>
            <w:vAlign w:val="center"/>
          </w:tcPr>
          <w:p w:rsidR="00000000" w:rsidRDefault="00000000">
            <w:pPr>
              <w:tabs>
                <w:tab w:val="decimal" w:pos="770"/>
              </w:tabs>
              <w:rPr>
                <w:sz w:val="20"/>
                <w:szCs w:val="16"/>
              </w:rPr>
            </w:pPr>
            <w:r>
              <w:rPr>
                <w:sz w:val="20"/>
                <w:szCs w:val="16"/>
              </w:rPr>
              <w:t>0</w:t>
            </w:r>
          </w:p>
        </w:tc>
        <w:tc>
          <w:tcPr>
            <w:tcW w:w="1191" w:type="dxa"/>
            <w:vAlign w:val="center"/>
          </w:tcPr>
          <w:p w:rsidR="00000000" w:rsidRDefault="00000000">
            <w:pPr>
              <w:tabs>
                <w:tab w:val="decimal" w:pos="770"/>
              </w:tabs>
              <w:rPr>
                <w:sz w:val="20"/>
                <w:szCs w:val="16"/>
              </w:rPr>
            </w:pPr>
            <w:r>
              <w:rPr>
                <w:sz w:val="20"/>
                <w:szCs w:val="16"/>
              </w:rPr>
              <w:t>1</w:t>
            </w:r>
          </w:p>
        </w:tc>
        <w:tc>
          <w:tcPr>
            <w:tcW w:w="1191" w:type="dxa"/>
            <w:vAlign w:val="center"/>
          </w:tcPr>
          <w:p w:rsidR="00000000" w:rsidRDefault="00000000">
            <w:pPr>
              <w:tabs>
                <w:tab w:val="decimal" w:pos="770"/>
              </w:tabs>
              <w:rPr>
                <w:sz w:val="20"/>
                <w:szCs w:val="16"/>
              </w:rPr>
            </w:pPr>
            <w:r>
              <w:rPr>
                <w:sz w:val="20"/>
                <w:szCs w:val="16"/>
              </w:rPr>
              <w:t>2</w:t>
            </w:r>
          </w:p>
        </w:tc>
        <w:tc>
          <w:tcPr>
            <w:tcW w:w="1190" w:type="dxa"/>
            <w:vAlign w:val="center"/>
          </w:tcPr>
          <w:p w:rsidR="00000000" w:rsidRDefault="00000000">
            <w:pPr>
              <w:tabs>
                <w:tab w:val="decimal" w:pos="770"/>
              </w:tabs>
              <w:rPr>
                <w:sz w:val="20"/>
                <w:szCs w:val="16"/>
              </w:rPr>
            </w:pPr>
            <w:r>
              <w:rPr>
                <w:sz w:val="20"/>
                <w:szCs w:val="16"/>
              </w:rPr>
              <w:t>1</w:t>
            </w:r>
          </w:p>
        </w:tc>
        <w:tc>
          <w:tcPr>
            <w:tcW w:w="1191" w:type="dxa"/>
            <w:vAlign w:val="center"/>
          </w:tcPr>
          <w:p w:rsidR="00000000" w:rsidRDefault="00000000">
            <w:pPr>
              <w:tabs>
                <w:tab w:val="decimal" w:pos="770"/>
              </w:tabs>
              <w:rPr>
                <w:sz w:val="20"/>
                <w:szCs w:val="16"/>
              </w:rPr>
            </w:pPr>
            <w:r>
              <w:rPr>
                <w:sz w:val="20"/>
                <w:szCs w:val="16"/>
              </w:rPr>
              <w:t>1</w:t>
            </w:r>
          </w:p>
        </w:tc>
        <w:tc>
          <w:tcPr>
            <w:tcW w:w="1191" w:type="dxa"/>
            <w:vAlign w:val="center"/>
          </w:tcPr>
          <w:p w:rsidR="00000000" w:rsidRDefault="00000000">
            <w:pPr>
              <w:tabs>
                <w:tab w:val="decimal" w:pos="770"/>
              </w:tabs>
              <w:rPr>
                <w:sz w:val="20"/>
                <w:szCs w:val="16"/>
              </w:rPr>
            </w:pPr>
            <w:r>
              <w:rPr>
                <w:sz w:val="20"/>
                <w:szCs w:val="16"/>
              </w:rPr>
              <w:t>4</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Amambay</w:t>
            </w:r>
          </w:p>
        </w:tc>
        <w:tc>
          <w:tcPr>
            <w:tcW w:w="1190" w:type="dxa"/>
            <w:vAlign w:val="center"/>
          </w:tcPr>
          <w:p w:rsidR="00000000" w:rsidRDefault="00000000">
            <w:pPr>
              <w:tabs>
                <w:tab w:val="decimal" w:pos="770"/>
              </w:tabs>
              <w:rPr>
                <w:sz w:val="20"/>
                <w:szCs w:val="16"/>
              </w:rPr>
            </w:pPr>
            <w:r>
              <w:rPr>
                <w:sz w:val="20"/>
                <w:szCs w:val="16"/>
              </w:rPr>
              <w:t>2</w:t>
            </w:r>
          </w:p>
        </w:tc>
        <w:tc>
          <w:tcPr>
            <w:tcW w:w="1191" w:type="dxa"/>
            <w:vAlign w:val="center"/>
          </w:tcPr>
          <w:p w:rsidR="00000000" w:rsidRDefault="00000000">
            <w:pPr>
              <w:tabs>
                <w:tab w:val="decimal" w:pos="770"/>
              </w:tabs>
              <w:rPr>
                <w:sz w:val="20"/>
                <w:szCs w:val="16"/>
              </w:rPr>
            </w:pPr>
            <w:r>
              <w:rPr>
                <w:sz w:val="20"/>
                <w:szCs w:val="16"/>
              </w:rPr>
              <w:t>4</w:t>
            </w:r>
          </w:p>
        </w:tc>
        <w:tc>
          <w:tcPr>
            <w:tcW w:w="1191" w:type="dxa"/>
            <w:vAlign w:val="center"/>
          </w:tcPr>
          <w:p w:rsidR="00000000" w:rsidRDefault="00000000">
            <w:pPr>
              <w:tabs>
                <w:tab w:val="decimal" w:pos="770"/>
              </w:tabs>
              <w:rPr>
                <w:sz w:val="20"/>
                <w:szCs w:val="16"/>
              </w:rPr>
            </w:pPr>
            <w:r>
              <w:rPr>
                <w:sz w:val="20"/>
                <w:szCs w:val="16"/>
              </w:rPr>
              <w:t>1</w:t>
            </w:r>
          </w:p>
        </w:tc>
        <w:tc>
          <w:tcPr>
            <w:tcW w:w="1190" w:type="dxa"/>
            <w:vAlign w:val="center"/>
          </w:tcPr>
          <w:p w:rsidR="00000000" w:rsidRDefault="00000000">
            <w:pPr>
              <w:tabs>
                <w:tab w:val="decimal" w:pos="770"/>
              </w:tabs>
              <w:rPr>
                <w:sz w:val="20"/>
                <w:szCs w:val="16"/>
              </w:rPr>
            </w:pPr>
            <w:r>
              <w:rPr>
                <w:sz w:val="20"/>
                <w:szCs w:val="16"/>
              </w:rPr>
              <w:t>4</w:t>
            </w:r>
          </w:p>
        </w:tc>
        <w:tc>
          <w:tcPr>
            <w:tcW w:w="1191" w:type="dxa"/>
            <w:vAlign w:val="center"/>
          </w:tcPr>
          <w:p w:rsidR="00000000" w:rsidRDefault="00000000">
            <w:pPr>
              <w:tabs>
                <w:tab w:val="decimal" w:pos="770"/>
              </w:tabs>
              <w:rPr>
                <w:sz w:val="20"/>
                <w:szCs w:val="16"/>
              </w:rPr>
            </w:pPr>
            <w:r>
              <w:rPr>
                <w:sz w:val="20"/>
                <w:szCs w:val="16"/>
              </w:rPr>
              <w:t>3</w:t>
            </w:r>
          </w:p>
        </w:tc>
        <w:tc>
          <w:tcPr>
            <w:tcW w:w="1191" w:type="dxa"/>
            <w:vAlign w:val="center"/>
          </w:tcPr>
          <w:p w:rsidR="00000000" w:rsidRDefault="00000000">
            <w:pPr>
              <w:tabs>
                <w:tab w:val="decimal" w:pos="770"/>
              </w:tabs>
              <w:rPr>
                <w:sz w:val="20"/>
                <w:szCs w:val="16"/>
              </w:rPr>
            </w:pPr>
            <w:r>
              <w:rPr>
                <w:sz w:val="20"/>
                <w:szCs w:val="16"/>
              </w:rPr>
              <w:t>8</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Canindeyu</w:t>
            </w:r>
          </w:p>
        </w:tc>
        <w:tc>
          <w:tcPr>
            <w:tcW w:w="1190" w:type="dxa"/>
            <w:vAlign w:val="center"/>
          </w:tcPr>
          <w:p w:rsidR="00000000" w:rsidRDefault="00000000">
            <w:pPr>
              <w:tabs>
                <w:tab w:val="decimal" w:pos="770"/>
              </w:tabs>
              <w:rPr>
                <w:sz w:val="20"/>
                <w:szCs w:val="16"/>
              </w:rPr>
            </w:pPr>
            <w:r>
              <w:rPr>
                <w:sz w:val="20"/>
                <w:szCs w:val="16"/>
              </w:rPr>
              <w:t>7</w:t>
            </w:r>
          </w:p>
        </w:tc>
        <w:tc>
          <w:tcPr>
            <w:tcW w:w="1191" w:type="dxa"/>
            <w:vAlign w:val="center"/>
          </w:tcPr>
          <w:p w:rsidR="00000000" w:rsidRDefault="00000000">
            <w:pPr>
              <w:tabs>
                <w:tab w:val="decimal" w:pos="770"/>
              </w:tabs>
              <w:rPr>
                <w:sz w:val="20"/>
                <w:szCs w:val="16"/>
              </w:rPr>
            </w:pPr>
            <w:r>
              <w:rPr>
                <w:sz w:val="20"/>
                <w:szCs w:val="16"/>
              </w:rPr>
              <w:t>7</w:t>
            </w:r>
          </w:p>
        </w:tc>
        <w:tc>
          <w:tcPr>
            <w:tcW w:w="1191" w:type="dxa"/>
            <w:vAlign w:val="center"/>
          </w:tcPr>
          <w:p w:rsidR="00000000" w:rsidRDefault="00000000">
            <w:pPr>
              <w:tabs>
                <w:tab w:val="decimal" w:pos="770"/>
              </w:tabs>
              <w:rPr>
                <w:sz w:val="20"/>
                <w:szCs w:val="16"/>
              </w:rPr>
            </w:pPr>
            <w:r>
              <w:rPr>
                <w:sz w:val="20"/>
                <w:szCs w:val="16"/>
              </w:rPr>
              <w:t>5</w:t>
            </w:r>
          </w:p>
        </w:tc>
        <w:tc>
          <w:tcPr>
            <w:tcW w:w="1190" w:type="dxa"/>
            <w:vAlign w:val="center"/>
          </w:tcPr>
          <w:p w:rsidR="00000000" w:rsidRDefault="00000000">
            <w:pPr>
              <w:tabs>
                <w:tab w:val="decimal" w:pos="770"/>
              </w:tabs>
              <w:rPr>
                <w:sz w:val="20"/>
                <w:szCs w:val="16"/>
              </w:rPr>
            </w:pPr>
            <w:r>
              <w:rPr>
                <w:sz w:val="20"/>
                <w:szCs w:val="16"/>
              </w:rPr>
              <w:t>8</w:t>
            </w:r>
          </w:p>
        </w:tc>
        <w:tc>
          <w:tcPr>
            <w:tcW w:w="1191" w:type="dxa"/>
            <w:vAlign w:val="center"/>
          </w:tcPr>
          <w:p w:rsidR="00000000" w:rsidRDefault="00000000">
            <w:pPr>
              <w:tabs>
                <w:tab w:val="decimal" w:pos="770"/>
              </w:tabs>
              <w:rPr>
                <w:sz w:val="20"/>
                <w:szCs w:val="16"/>
              </w:rPr>
            </w:pPr>
            <w:r>
              <w:rPr>
                <w:sz w:val="20"/>
                <w:szCs w:val="16"/>
              </w:rPr>
              <w:t>5</w:t>
            </w:r>
          </w:p>
        </w:tc>
        <w:tc>
          <w:tcPr>
            <w:tcW w:w="1191" w:type="dxa"/>
            <w:vAlign w:val="center"/>
          </w:tcPr>
          <w:p w:rsidR="00000000" w:rsidRDefault="00000000">
            <w:pPr>
              <w:tabs>
                <w:tab w:val="decimal" w:pos="770"/>
              </w:tabs>
              <w:rPr>
                <w:sz w:val="20"/>
                <w:szCs w:val="16"/>
              </w:rPr>
            </w:pPr>
            <w:r>
              <w:rPr>
                <w:sz w:val="20"/>
                <w:szCs w:val="16"/>
              </w:rPr>
              <w:t>18</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Presidente Hayes</w:t>
            </w:r>
          </w:p>
        </w:tc>
        <w:tc>
          <w:tcPr>
            <w:tcW w:w="1190" w:type="dxa"/>
            <w:vAlign w:val="center"/>
          </w:tcPr>
          <w:p w:rsidR="00000000" w:rsidRDefault="00000000">
            <w:pPr>
              <w:tabs>
                <w:tab w:val="decimal" w:pos="770"/>
              </w:tabs>
              <w:rPr>
                <w:sz w:val="20"/>
                <w:szCs w:val="16"/>
              </w:rPr>
            </w:pPr>
            <w:r>
              <w:rPr>
                <w:sz w:val="20"/>
                <w:szCs w:val="16"/>
              </w:rPr>
              <w:t>6</w:t>
            </w:r>
          </w:p>
        </w:tc>
        <w:tc>
          <w:tcPr>
            <w:tcW w:w="1191" w:type="dxa"/>
            <w:vAlign w:val="center"/>
          </w:tcPr>
          <w:p w:rsidR="00000000" w:rsidRDefault="00000000">
            <w:pPr>
              <w:tabs>
                <w:tab w:val="decimal" w:pos="770"/>
              </w:tabs>
              <w:rPr>
                <w:sz w:val="20"/>
                <w:szCs w:val="16"/>
              </w:rPr>
            </w:pPr>
            <w:r>
              <w:rPr>
                <w:sz w:val="20"/>
                <w:szCs w:val="16"/>
              </w:rPr>
              <w:t>4</w:t>
            </w:r>
          </w:p>
        </w:tc>
        <w:tc>
          <w:tcPr>
            <w:tcW w:w="1191" w:type="dxa"/>
            <w:vAlign w:val="center"/>
          </w:tcPr>
          <w:p w:rsidR="00000000" w:rsidRDefault="00000000">
            <w:pPr>
              <w:tabs>
                <w:tab w:val="decimal" w:pos="770"/>
              </w:tabs>
              <w:rPr>
                <w:sz w:val="20"/>
                <w:szCs w:val="16"/>
              </w:rPr>
            </w:pPr>
            <w:r>
              <w:rPr>
                <w:sz w:val="20"/>
                <w:szCs w:val="16"/>
              </w:rPr>
              <w:t>3</w:t>
            </w:r>
          </w:p>
        </w:tc>
        <w:tc>
          <w:tcPr>
            <w:tcW w:w="1190" w:type="dxa"/>
            <w:vAlign w:val="center"/>
          </w:tcPr>
          <w:p w:rsidR="00000000" w:rsidRDefault="00000000">
            <w:pPr>
              <w:tabs>
                <w:tab w:val="decimal" w:pos="770"/>
              </w:tabs>
              <w:rPr>
                <w:sz w:val="20"/>
                <w:szCs w:val="16"/>
              </w:rPr>
            </w:pPr>
            <w:r>
              <w:rPr>
                <w:sz w:val="20"/>
                <w:szCs w:val="16"/>
              </w:rPr>
              <w:t>5</w:t>
            </w:r>
          </w:p>
        </w:tc>
        <w:tc>
          <w:tcPr>
            <w:tcW w:w="1191" w:type="dxa"/>
            <w:vAlign w:val="center"/>
          </w:tcPr>
          <w:p w:rsidR="00000000" w:rsidRDefault="00000000">
            <w:pPr>
              <w:tabs>
                <w:tab w:val="decimal" w:pos="770"/>
              </w:tabs>
              <w:rPr>
                <w:sz w:val="20"/>
                <w:szCs w:val="16"/>
              </w:rPr>
            </w:pPr>
            <w:r>
              <w:rPr>
                <w:sz w:val="20"/>
                <w:szCs w:val="16"/>
              </w:rPr>
              <w:t>6</w:t>
            </w:r>
          </w:p>
        </w:tc>
        <w:tc>
          <w:tcPr>
            <w:tcW w:w="1191" w:type="dxa"/>
            <w:vAlign w:val="center"/>
          </w:tcPr>
          <w:p w:rsidR="00000000" w:rsidRDefault="00000000">
            <w:pPr>
              <w:tabs>
                <w:tab w:val="decimal" w:pos="770"/>
              </w:tabs>
              <w:rPr>
                <w:sz w:val="20"/>
                <w:szCs w:val="16"/>
              </w:rPr>
            </w:pPr>
            <w:r>
              <w:rPr>
                <w:sz w:val="20"/>
                <w:szCs w:val="16"/>
              </w:rPr>
              <w:t>14</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Alto Paraguay</w:t>
            </w:r>
          </w:p>
        </w:tc>
        <w:tc>
          <w:tcPr>
            <w:tcW w:w="1190" w:type="dxa"/>
            <w:vAlign w:val="center"/>
          </w:tcPr>
          <w:p w:rsidR="00000000" w:rsidRDefault="00000000">
            <w:pPr>
              <w:tabs>
                <w:tab w:val="decimal" w:pos="770"/>
              </w:tabs>
              <w:rPr>
                <w:sz w:val="20"/>
                <w:szCs w:val="16"/>
              </w:rPr>
            </w:pPr>
            <w:r>
              <w:rPr>
                <w:sz w:val="20"/>
                <w:szCs w:val="16"/>
              </w:rPr>
              <w:t>2</w:t>
            </w:r>
          </w:p>
        </w:tc>
        <w:tc>
          <w:tcPr>
            <w:tcW w:w="1191" w:type="dxa"/>
            <w:vAlign w:val="center"/>
          </w:tcPr>
          <w:p w:rsidR="00000000" w:rsidRDefault="00000000">
            <w:pPr>
              <w:tabs>
                <w:tab w:val="decimal" w:pos="770"/>
              </w:tabs>
              <w:rPr>
                <w:sz w:val="20"/>
                <w:szCs w:val="16"/>
              </w:rPr>
            </w:pPr>
            <w:r>
              <w:rPr>
                <w:sz w:val="20"/>
                <w:szCs w:val="16"/>
              </w:rPr>
              <w:t>0</w:t>
            </w:r>
          </w:p>
        </w:tc>
        <w:tc>
          <w:tcPr>
            <w:tcW w:w="1191" w:type="dxa"/>
            <w:vAlign w:val="center"/>
          </w:tcPr>
          <w:p w:rsidR="00000000" w:rsidRDefault="00000000">
            <w:pPr>
              <w:tabs>
                <w:tab w:val="decimal" w:pos="770"/>
              </w:tabs>
              <w:rPr>
                <w:sz w:val="20"/>
                <w:szCs w:val="16"/>
              </w:rPr>
            </w:pPr>
            <w:r>
              <w:rPr>
                <w:sz w:val="20"/>
                <w:szCs w:val="16"/>
              </w:rPr>
              <w:t>2</w:t>
            </w:r>
          </w:p>
        </w:tc>
        <w:tc>
          <w:tcPr>
            <w:tcW w:w="1190" w:type="dxa"/>
            <w:vAlign w:val="center"/>
          </w:tcPr>
          <w:p w:rsidR="00000000" w:rsidRDefault="00000000">
            <w:pPr>
              <w:tabs>
                <w:tab w:val="decimal" w:pos="770"/>
              </w:tabs>
              <w:rPr>
                <w:sz w:val="20"/>
                <w:szCs w:val="16"/>
              </w:rPr>
            </w:pPr>
            <w:r>
              <w:rPr>
                <w:sz w:val="20"/>
                <w:szCs w:val="16"/>
              </w:rPr>
              <w:t>2</w:t>
            </w:r>
          </w:p>
        </w:tc>
        <w:tc>
          <w:tcPr>
            <w:tcW w:w="1191" w:type="dxa"/>
            <w:vAlign w:val="center"/>
          </w:tcPr>
          <w:p w:rsidR="00000000" w:rsidRDefault="00000000">
            <w:pPr>
              <w:tabs>
                <w:tab w:val="decimal" w:pos="770"/>
              </w:tabs>
              <w:rPr>
                <w:sz w:val="20"/>
                <w:szCs w:val="16"/>
              </w:rPr>
            </w:pPr>
            <w:r>
              <w:rPr>
                <w:sz w:val="20"/>
                <w:szCs w:val="16"/>
              </w:rPr>
              <w:t>0</w:t>
            </w:r>
          </w:p>
        </w:tc>
        <w:tc>
          <w:tcPr>
            <w:tcW w:w="1191" w:type="dxa"/>
            <w:vAlign w:val="center"/>
          </w:tcPr>
          <w:p w:rsidR="00000000" w:rsidRDefault="00000000">
            <w:pPr>
              <w:tabs>
                <w:tab w:val="decimal" w:pos="770"/>
              </w:tabs>
              <w:rPr>
                <w:sz w:val="20"/>
                <w:szCs w:val="16"/>
              </w:rPr>
            </w:pPr>
            <w:r>
              <w:rPr>
                <w:sz w:val="20"/>
                <w:szCs w:val="16"/>
              </w:rPr>
              <w:t>4</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Boquerón</w:t>
            </w:r>
          </w:p>
        </w:tc>
        <w:tc>
          <w:tcPr>
            <w:tcW w:w="1190" w:type="dxa"/>
            <w:vAlign w:val="center"/>
          </w:tcPr>
          <w:p w:rsidR="00000000" w:rsidRDefault="00000000">
            <w:pPr>
              <w:tabs>
                <w:tab w:val="decimal" w:pos="770"/>
              </w:tabs>
              <w:rPr>
                <w:sz w:val="20"/>
                <w:szCs w:val="16"/>
              </w:rPr>
            </w:pPr>
            <w:r>
              <w:rPr>
                <w:sz w:val="20"/>
                <w:szCs w:val="16"/>
              </w:rPr>
              <w:t>0</w:t>
            </w:r>
          </w:p>
        </w:tc>
        <w:tc>
          <w:tcPr>
            <w:tcW w:w="1191" w:type="dxa"/>
            <w:vAlign w:val="center"/>
          </w:tcPr>
          <w:p w:rsidR="00000000" w:rsidRDefault="00000000">
            <w:pPr>
              <w:tabs>
                <w:tab w:val="decimal" w:pos="770"/>
              </w:tabs>
              <w:rPr>
                <w:sz w:val="20"/>
                <w:szCs w:val="16"/>
              </w:rPr>
            </w:pPr>
            <w:r>
              <w:rPr>
                <w:sz w:val="20"/>
                <w:szCs w:val="16"/>
              </w:rPr>
              <w:t>2</w:t>
            </w:r>
          </w:p>
        </w:tc>
        <w:tc>
          <w:tcPr>
            <w:tcW w:w="1191" w:type="dxa"/>
            <w:vAlign w:val="center"/>
          </w:tcPr>
          <w:p w:rsidR="00000000" w:rsidRDefault="00000000">
            <w:pPr>
              <w:tabs>
                <w:tab w:val="decimal" w:pos="770"/>
              </w:tabs>
              <w:rPr>
                <w:sz w:val="20"/>
                <w:szCs w:val="16"/>
              </w:rPr>
            </w:pPr>
            <w:r>
              <w:rPr>
                <w:sz w:val="20"/>
                <w:szCs w:val="16"/>
              </w:rPr>
              <w:t>1</w:t>
            </w:r>
          </w:p>
        </w:tc>
        <w:tc>
          <w:tcPr>
            <w:tcW w:w="1190" w:type="dxa"/>
            <w:vAlign w:val="center"/>
          </w:tcPr>
          <w:p w:rsidR="00000000" w:rsidRDefault="00000000">
            <w:pPr>
              <w:tabs>
                <w:tab w:val="decimal" w:pos="770"/>
              </w:tabs>
              <w:rPr>
                <w:sz w:val="20"/>
                <w:szCs w:val="16"/>
              </w:rPr>
            </w:pPr>
            <w:r>
              <w:rPr>
                <w:sz w:val="20"/>
                <w:szCs w:val="16"/>
              </w:rPr>
              <w:t>1</w:t>
            </w:r>
          </w:p>
        </w:tc>
        <w:tc>
          <w:tcPr>
            <w:tcW w:w="1191" w:type="dxa"/>
            <w:vAlign w:val="center"/>
          </w:tcPr>
          <w:p w:rsidR="00000000" w:rsidRDefault="00000000">
            <w:pPr>
              <w:tabs>
                <w:tab w:val="decimal" w:pos="770"/>
              </w:tabs>
              <w:rPr>
                <w:sz w:val="20"/>
                <w:szCs w:val="16"/>
              </w:rPr>
            </w:pPr>
            <w:r>
              <w:rPr>
                <w:sz w:val="20"/>
                <w:szCs w:val="16"/>
              </w:rPr>
              <w:t>2</w:t>
            </w:r>
          </w:p>
        </w:tc>
        <w:tc>
          <w:tcPr>
            <w:tcW w:w="1191" w:type="dxa"/>
            <w:vAlign w:val="center"/>
          </w:tcPr>
          <w:p w:rsidR="00000000" w:rsidRDefault="00000000">
            <w:pPr>
              <w:tabs>
                <w:tab w:val="decimal" w:pos="770"/>
              </w:tabs>
              <w:rPr>
                <w:sz w:val="20"/>
                <w:szCs w:val="16"/>
              </w:rPr>
            </w:pPr>
            <w:r>
              <w:rPr>
                <w:sz w:val="20"/>
                <w:szCs w:val="16"/>
              </w:rPr>
              <w:t>4</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Asunción</w:t>
            </w:r>
          </w:p>
        </w:tc>
        <w:tc>
          <w:tcPr>
            <w:tcW w:w="1190" w:type="dxa"/>
            <w:vAlign w:val="center"/>
          </w:tcPr>
          <w:p w:rsidR="00000000" w:rsidRDefault="00000000">
            <w:pPr>
              <w:tabs>
                <w:tab w:val="decimal" w:pos="770"/>
              </w:tabs>
              <w:rPr>
                <w:sz w:val="20"/>
                <w:szCs w:val="16"/>
              </w:rPr>
            </w:pPr>
            <w:r>
              <w:rPr>
                <w:sz w:val="20"/>
                <w:szCs w:val="16"/>
              </w:rPr>
              <w:t>2</w:t>
            </w:r>
          </w:p>
        </w:tc>
        <w:tc>
          <w:tcPr>
            <w:tcW w:w="1191" w:type="dxa"/>
            <w:vAlign w:val="center"/>
          </w:tcPr>
          <w:p w:rsidR="00000000" w:rsidRDefault="00000000">
            <w:pPr>
              <w:tabs>
                <w:tab w:val="decimal" w:pos="770"/>
              </w:tabs>
              <w:rPr>
                <w:sz w:val="20"/>
                <w:szCs w:val="16"/>
              </w:rPr>
            </w:pPr>
            <w:r>
              <w:rPr>
                <w:sz w:val="20"/>
                <w:szCs w:val="16"/>
              </w:rPr>
              <w:t>12</w:t>
            </w:r>
          </w:p>
        </w:tc>
        <w:tc>
          <w:tcPr>
            <w:tcW w:w="1191" w:type="dxa"/>
            <w:vAlign w:val="center"/>
          </w:tcPr>
          <w:p w:rsidR="00000000" w:rsidRDefault="00000000">
            <w:pPr>
              <w:tabs>
                <w:tab w:val="decimal" w:pos="770"/>
              </w:tabs>
              <w:rPr>
                <w:sz w:val="20"/>
                <w:szCs w:val="16"/>
              </w:rPr>
            </w:pPr>
            <w:r>
              <w:rPr>
                <w:sz w:val="20"/>
                <w:szCs w:val="16"/>
              </w:rPr>
              <w:t>9</w:t>
            </w:r>
          </w:p>
        </w:tc>
        <w:tc>
          <w:tcPr>
            <w:tcW w:w="1190" w:type="dxa"/>
            <w:vAlign w:val="center"/>
          </w:tcPr>
          <w:p w:rsidR="00000000" w:rsidRDefault="00000000">
            <w:pPr>
              <w:tabs>
                <w:tab w:val="decimal" w:pos="770"/>
              </w:tabs>
              <w:rPr>
                <w:sz w:val="20"/>
                <w:szCs w:val="16"/>
              </w:rPr>
            </w:pPr>
            <w:r>
              <w:rPr>
                <w:sz w:val="20"/>
                <w:szCs w:val="16"/>
              </w:rPr>
              <w:t>9</w:t>
            </w:r>
          </w:p>
        </w:tc>
        <w:tc>
          <w:tcPr>
            <w:tcW w:w="1191" w:type="dxa"/>
            <w:vAlign w:val="center"/>
          </w:tcPr>
          <w:p w:rsidR="00000000" w:rsidRDefault="00000000">
            <w:pPr>
              <w:tabs>
                <w:tab w:val="decimal" w:pos="770"/>
              </w:tabs>
              <w:rPr>
                <w:sz w:val="20"/>
                <w:szCs w:val="16"/>
              </w:rPr>
            </w:pPr>
            <w:r>
              <w:rPr>
                <w:sz w:val="20"/>
                <w:szCs w:val="16"/>
              </w:rPr>
              <w:t>8</w:t>
            </w:r>
          </w:p>
        </w:tc>
        <w:tc>
          <w:tcPr>
            <w:tcW w:w="1191" w:type="dxa"/>
            <w:vAlign w:val="center"/>
          </w:tcPr>
          <w:p w:rsidR="00000000" w:rsidRDefault="00000000">
            <w:pPr>
              <w:tabs>
                <w:tab w:val="decimal" w:pos="770"/>
              </w:tabs>
              <w:rPr>
                <w:sz w:val="20"/>
                <w:szCs w:val="16"/>
              </w:rPr>
            </w:pPr>
            <w:r>
              <w:rPr>
                <w:sz w:val="20"/>
                <w:szCs w:val="16"/>
              </w:rPr>
              <w:t>26</w:t>
            </w:r>
          </w:p>
        </w:tc>
      </w:tr>
      <w:tr w:rsidR="00000000">
        <w:tblPrEx>
          <w:tblCellMar>
            <w:top w:w="0" w:type="dxa"/>
            <w:bottom w:w="0" w:type="dxa"/>
          </w:tblCellMar>
        </w:tblPrEx>
        <w:tc>
          <w:tcPr>
            <w:tcW w:w="2350" w:type="dxa"/>
            <w:vAlign w:val="bottom"/>
          </w:tcPr>
          <w:p w:rsidR="00000000" w:rsidRDefault="00000000">
            <w:pPr>
              <w:rPr>
                <w:sz w:val="20"/>
                <w:szCs w:val="16"/>
              </w:rPr>
            </w:pPr>
            <w:r>
              <w:rPr>
                <w:sz w:val="20"/>
                <w:szCs w:val="16"/>
              </w:rPr>
              <w:t>Extranjeros</w:t>
            </w:r>
          </w:p>
        </w:tc>
        <w:tc>
          <w:tcPr>
            <w:tcW w:w="1190" w:type="dxa"/>
            <w:vAlign w:val="center"/>
          </w:tcPr>
          <w:p w:rsidR="00000000" w:rsidRDefault="00000000">
            <w:pPr>
              <w:tabs>
                <w:tab w:val="decimal" w:pos="770"/>
              </w:tabs>
              <w:rPr>
                <w:sz w:val="20"/>
                <w:szCs w:val="16"/>
              </w:rPr>
            </w:pPr>
            <w:r>
              <w:rPr>
                <w:sz w:val="20"/>
                <w:szCs w:val="16"/>
              </w:rPr>
              <w:t>0</w:t>
            </w:r>
          </w:p>
        </w:tc>
        <w:tc>
          <w:tcPr>
            <w:tcW w:w="1191" w:type="dxa"/>
            <w:vAlign w:val="center"/>
          </w:tcPr>
          <w:p w:rsidR="00000000" w:rsidRDefault="00000000">
            <w:pPr>
              <w:tabs>
                <w:tab w:val="decimal" w:pos="770"/>
              </w:tabs>
              <w:rPr>
                <w:sz w:val="20"/>
                <w:szCs w:val="16"/>
              </w:rPr>
            </w:pPr>
            <w:r>
              <w:rPr>
                <w:sz w:val="20"/>
                <w:szCs w:val="16"/>
              </w:rPr>
              <w:t>0</w:t>
            </w:r>
          </w:p>
        </w:tc>
        <w:tc>
          <w:tcPr>
            <w:tcW w:w="1191" w:type="dxa"/>
            <w:vAlign w:val="center"/>
          </w:tcPr>
          <w:p w:rsidR="00000000" w:rsidRDefault="00000000">
            <w:pPr>
              <w:tabs>
                <w:tab w:val="decimal" w:pos="770"/>
              </w:tabs>
              <w:rPr>
                <w:sz w:val="20"/>
                <w:szCs w:val="16"/>
              </w:rPr>
            </w:pPr>
            <w:r>
              <w:rPr>
                <w:sz w:val="20"/>
                <w:szCs w:val="16"/>
              </w:rPr>
              <w:t>0</w:t>
            </w:r>
          </w:p>
        </w:tc>
        <w:tc>
          <w:tcPr>
            <w:tcW w:w="1190" w:type="dxa"/>
            <w:vAlign w:val="center"/>
          </w:tcPr>
          <w:p w:rsidR="00000000" w:rsidRDefault="00000000">
            <w:pPr>
              <w:tabs>
                <w:tab w:val="decimal" w:pos="770"/>
              </w:tabs>
              <w:rPr>
                <w:sz w:val="20"/>
                <w:szCs w:val="16"/>
              </w:rPr>
            </w:pPr>
          </w:p>
        </w:tc>
        <w:tc>
          <w:tcPr>
            <w:tcW w:w="1191" w:type="dxa"/>
            <w:vAlign w:val="center"/>
          </w:tcPr>
          <w:p w:rsidR="00000000" w:rsidRDefault="00000000">
            <w:pPr>
              <w:tabs>
                <w:tab w:val="decimal" w:pos="770"/>
              </w:tabs>
              <w:rPr>
                <w:sz w:val="20"/>
                <w:szCs w:val="16"/>
              </w:rPr>
            </w:pPr>
          </w:p>
        </w:tc>
        <w:tc>
          <w:tcPr>
            <w:tcW w:w="1191" w:type="dxa"/>
            <w:vAlign w:val="center"/>
          </w:tcPr>
          <w:p w:rsidR="00000000" w:rsidRDefault="00000000">
            <w:pPr>
              <w:tabs>
                <w:tab w:val="decimal" w:pos="770"/>
              </w:tabs>
              <w:rPr>
                <w:sz w:val="20"/>
                <w:szCs w:val="16"/>
              </w:rPr>
            </w:pPr>
            <w:r>
              <w:rPr>
                <w:sz w:val="20"/>
                <w:szCs w:val="16"/>
              </w:rPr>
              <w:t>0</w:t>
            </w:r>
          </w:p>
        </w:tc>
      </w:tr>
      <w:tr w:rsidR="00000000">
        <w:tblPrEx>
          <w:tblCellMar>
            <w:top w:w="0" w:type="dxa"/>
            <w:bottom w:w="0" w:type="dxa"/>
          </w:tblCellMar>
        </w:tblPrEx>
        <w:tc>
          <w:tcPr>
            <w:tcW w:w="2350" w:type="dxa"/>
            <w:vAlign w:val="bottom"/>
          </w:tcPr>
          <w:p w:rsidR="00000000" w:rsidRDefault="00000000">
            <w:pPr>
              <w:tabs>
                <w:tab w:val="left" w:pos="240"/>
              </w:tabs>
              <w:rPr>
                <w:b/>
                <w:bCs/>
                <w:sz w:val="20"/>
                <w:szCs w:val="16"/>
              </w:rPr>
            </w:pPr>
            <w:r>
              <w:rPr>
                <w:b/>
                <w:bCs/>
                <w:sz w:val="20"/>
                <w:szCs w:val="16"/>
              </w:rPr>
              <w:tab/>
              <w:t>Total general</w:t>
            </w:r>
          </w:p>
        </w:tc>
        <w:tc>
          <w:tcPr>
            <w:tcW w:w="1190" w:type="dxa"/>
            <w:vAlign w:val="center"/>
          </w:tcPr>
          <w:p w:rsidR="00000000" w:rsidRDefault="00000000">
            <w:pPr>
              <w:tabs>
                <w:tab w:val="decimal" w:pos="770"/>
              </w:tabs>
              <w:rPr>
                <w:b/>
                <w:bCs/>
                <w:sz w:val="20"/>
                <w:szCs w:val="16"/>
              </w:rPr>
            </w:pPr>
            <w:r>
              <w:rPr>
                <w:b/>
                <w:bCs/>
                <w:sz w:val="20"/>
                <w:szCs w:val="16"/>
              </w:rPr>
              <w:t>134</w:t>
            </w:r>
          </w:p>
        </w:tc>
        <w:tc>
          <w:tcPr>
            <w:tcW w:w="1191" w:type="dxa"/>
            <w:vAlign w:val="center"/>
          </w:tcPr>
          <w:p w:rsidR="00000000" w:rsidRDefault="00000000">
            <w:pPr>
              <w:tabs>
                <w:tab w:val="decimal" w:pos="770"/>
              </w:tabs>
              <w:rPr>
                <w:b/>
                <w:bCs/>
                <w:sz w:val="20"/>
                <w:szCs w:val="16"/>
              </w:rPr>
            </w:pPr>
            <w:r>
              <w:rPr>
                <w:b/>
                <w:bCs/>
                <w:sz w:val="20"/>
                <w:szCs w:val="16"/>
              </w:rPr>
              <w:t>164</w:t>
            </w:r>
          </w:p>
        </w:tc>
        <w:tc>
          <w:tcPr>
            <w:tcW w:w="1191" w:type="dxa"/>
            <w:vAlign w:val="center"/>
          </w:tcPr>
          <w:p w:rsidR="00000000" w:rsidRDefault="00000000">
            <w:pPr>
              <w:tabs>
                <w:tab w:val="decimal" w:pos="770"/>
              </w:tabs>
              <w:rPr>
                <w:b/>
                <w:bCs/>
                <w:sz w:val="20"/>
                <w:szCs w:val="16"/>
              </w:rPr>
            </w:pPr>
            <w:r>
              <w:rPr>
                <w:b/>
                <w:bCs/>
                <w:sz w:val="20"/>
                <w:szCs w:val="16"/>
              </w:rPr>
              <w:t>151</w:t>
            </w:r>
          </w:p>
        </w:tc>
        <w:tc>
          <w:tcPr>
            <w:tcW w:w="1190" w:type="dxa"/>
            <w:vAlign w:val="center"/>
          </w:tcPr>
          <w:p w:rsidR="00000000" w:rsidRDefault="00000000">
            <w:pPr>
              <w:tabs>
                <w:tab w:val="decimal" w:pos="770"/>
              </w:tabs>
              <w:rPr>
                <w:b/>
                <w:bCs/>
                <w:sz w:val="20"/>
                <w:szCs w:val="16"/>
              </w:rPr>
            </w:pPr>
            <w:r>
              <w:rPr>
                <w:b/>
                <w:bCs/>
                <w:sz w:val="20"/>
                <w:szCs w:val="16"/>
              </w:rPr>
              <w:t>155</w:t>
            </w:r>
          </w:p>
        </w:tc>
        <w:tc>
          <w:tcPr>
            <w:tcW w:w="1191" w:type="dxa"/>
            <w:vAlign w:val="center"/>
          </w:tcPr>
          <w:p w:rsidR="00000000" w:rsidRDefault="00000000">
            <w:pPr>
              <w:tabs>
                <w:tab w:val="decimal" w:pos="770"/>
              </w:tabs>
              <w:rPr>
                <w:b/>
                <w:bCs/>
                <w:sz w:val="20"/>
                <w:szCs w:val="16"/>
              </w:rPr>
            </w:pPr>
            <w:r>
              <w:rPr>
                <w:b/>
                <w:bCs/>
                <w:sz w:val="20"/>
                <w:szCs w:val="16"/>
              </w:rPr>
              <w:t>134</w:t>
            </w:r>
          </w:p>
        </w:tc>
        <w:tc>
          <w:tcPr>
            <w:tcW w:w="1191" w:type="dxa"/>
            <w:vAlign w:val="center"/>
          </w:tcPr>
          <w:p w:rsidR="00000000" w:rsidRDefault="00000000">
            <w:pPr>
              <w:tabs>
                <w:tab w:val="decimal" w:pos="770"/>
              </w:tabs>
              <w:rPr>
                <w:b/>
                <w:bCs/>
                <w:sz w:val="20"/>
                <w:szCs w:val="16"/>
              </w:rPr>
            </w:pPr>
            <w:r>
              <w:rPr>
                <w:b/>
                <w:bCs/>
                <w:sz w:val="20"/>
                <w:szCs w:val="16"/>
              </w:rPr>
              <w:t>440</w:t>
            </w:r>
          </w:p>
        </w:tc>
      </w:tr>
    </w:tbl>
    <w:p w:rsidR="00000000" w:rsidRDefault="00000000">
      <w:pPr>
        <w:autoSpaceDE w:val="0"/>
        <w:autoSpaceDN w:val="0"/>
        <w:adjustRightInd w:val="0"/>
        <w:spacing w:before="200" w:after="480"/>
        <w:rPr>
          <w:sz w:val="20"/>
        </w:rPr>
      </w:pPr>
      <w:r>
        <w:rPr>
          <w:i/>
          <w:iCs/>
          <w:sz w:val="20"/>
        </w:rPr>
        <w:t xml:space="preserve">Fuente:  </w:t>
      </w:r>
      <w:r>
        <w:rPr>
          <w:sz w:val="20"/>
        </w:rPr>
        <w:t>Certificados de defunción registrados.  Departamento de Bioestadística M. S. P. y B. S.</w:t>
      </w:r>
    </w:p>
    <w:p w:rsidR="00000000" w:rsidRDefault="00000000">
      <w:pPr>
        <w:autoSpaceDE w:val="0"/>
        <w:autoSpaceDN w:val="0"/>
        <w:adjustRightInd w:val="0"/>
        <w:spacing w:after="240"/>
      </w:pPr>
      <w:r>
        <w:t>509.</w:t>
      </w:r>
      <w:r>
        <w:tab/>
        <w:t>En el año 2002 se registraron 164 casos de muertes m</w:t>
      </w:r>
      <w:r>
        <w:t>a</w:t>
      </w:r>
      <w:r>
        <w:t>ternas por cada 100.000 nacidos vivos.  En el 2003, datos preliminares denuncian 150 casos de muertes maternas por cada 100.000 nacidos vivos.  El análisis de la mortalidad materna en los últimos años muestra un mejoramiento en el registro de la información y un ligero descenso.</w:t>
      </w:r>
    </w:p>
    <w:p w:rsidR="00000000" w:rsidRDefault="00000000">
      <w:pPr>
        <w:autoSpaceDE w:val="0"/>
        <w:autoSpaceDN w:val="0"/>
        <w:adjustRightInd w:val="0"/>
        <w:spacing w:after="240"/>
      </w:pPr>
      <w:r>
        <w:t>510.</w:t>
      </w:r>
      <w:r>
        <w:tab/>
        <w:t>La causa más frecuente de la muerte materna registrada en el año 2003, ha sido la hemorragia, seguida por el aborto.  Sin embargo cada año se registran variaciones en las causas de muerte siendo últimamente muy importante también las infecciones ligadas a la sepsis.</w:t>
      </w:r>
    </w:p>
    <w:p w:rsidR="00000000" w:rsidRDefault="00000000">
      <w:pPr>
        <w:autoSpaceDE w:val="0"/>
        <w:autoSpaceDN w:val="0"/>
        <w:adjustRightInd w:val="0"/>
        <w:spacing w:after="240"/>
      </w:pPr>
      <w:r>
        <w:t>511.</w:t>
      </w:r>
      <w:r>
        <w:tab/>
        <w:t>El aborto ha sido, a través de los años una importante causa de muerte materna, siendo re</w:t>
      </w:r>
      <w:r>
        <w:t>s</w:t>
      </w:r>
      <w:r>
        <w:t>ponsable, según el año, de una de cada cuatro o de cada cinco muertes maternas.  Es probable que su importancia sea mayor en la realidad, debido al subregistro y ocultamiento de que es objeto por ser una actividad penada por la ley.</w:t>
      </w:r>
    </w:p>
    <w:p w:rsidR="00000000" w:rsidRDefault="00000000">
      <w:pPr>
        <w:autoSpaceDE w:val="0"/>
        <w:autoSpaceDN w:val="0"/>
        <w:adjustRightInd w:val="0"/>
        <w:jc w:val="center"/>
      </w:pPr>
      <w:r>
        <w:br w:type="page"/>
      </w:r>
    </w:p>
    <w:bookmarkStart w:id="76" w:name="_MON_1236515115"/>
    <w:bookmarkEnd w:id="76"/>
    <w:p w:rsidR="00000000" w:rsidRDefault="00000000">
      <w:pPr>
        <w:autoSpaceDE w:val="0"/>
        <w:autoSpaceDN w:val="0"/>
        <w:adjustRightInd w:val="0"/>
        <w:spacing w:before="200" w:after="240"/>
        <w:jc w:val="center"/>
      </w:pPr>
      <w:r>
        <w:object w:dxaOrig="6397" w:dyaOrig="4797">
          <v:shape id="_x0000_i1044" type="#_x0000_t75" style="width:396pt;height:327.75pt" o:ole="">
            <v:imagedata r:id="rId98" o:title=""/>
            <w10:bordertop type="single" width="4"/>
            <w10:borderleft type="single" width="4"/>
            <w10:borderbottom type="single" width="4"/>
            <w10:borderright type="single" width="4"/>
          </v:shape>
          <o:OLEObject Type="Embed" ProgID="PowerPoint.Slide.8" ShapeID="_x0000_i1044" DrawAspect="Content" ObjectID="_1394904864" r:id="rId99"/>
        </w:object>
      </w:r>
    </w:p>
    <w:p w:rsidR="00000000" w:rsidRDefault="00000000">
      <w:pPr>
        <w:autoSpaceDE w:val="0"/>
        <w:autoSpaceDN w:val="0"/>
        <w:adjustRightInd w:val="0"/>
        <w:spacing w:before="480" w:after="240"/>
      </w:pPr>
      <w:r>
        <w:t>512.</w:t>
      </w:r>
      <w:r>
        <w:tab/>
        <w:t>En cuanto a las muertes maternas por lugar de ocurrencia, el departamento Central, Capital y Alto Paraná tienen el mayor número de muertes.</w:t>
      </w:r>
    </w:p>
    <w:bookmarkStart w:id="77" w:name="_MON_1169614125"/>
    <w:bookmarkStart w:id="78" w:name="_MON_1234686707"/>
    <w:bookmarkStart w:id="79" w:name="_MON_1234696356"/>
    <w:bookmarkStart w:id="80" w:name="_MON_1234701253"/>
    <w:bookmarkStart w:id="81" w:name="_MON_1234701458"/>
    <w:bookmarkStart w:id="82" w:name="_MON_1234701845"/>
    <w:bookmarkStart w:id="83" w:name="_MON_1234702123"/>
    <w:bookmarkStart w:id="84" w:name="_MON_1234702306"/>
    <w:bookmarkStart w:id="85" w:name="_MON_1236057828"/>
    <w:bookmarkStart w:id="86" w:name="_MON_1236058247"/>
    <w:bookmarkStart w:id="87" w:name="_MON_1236058334"/>
    <w:bookmarkEnd w:id="77"/>
    <w:bookmarkEnd w:id="78"/>
    <w:bookmarkEnd w:id="79"/>
    <w:bookmarkEnd w:id="80"/>
    <w:bookmarkEnd w:id="81"/>
    <w:bookmarkEnd w:id="82"/>
    <w:bookmarkEnd w:id="83"/>
    <w:bookmarkEnd w:id="84"/>
    <w:bookmarkEnd w:id="85"/>
    <w:bookmarkEnd w:id="86"/>
    <w:bookmarkEnd w:id="87"/>
    <w:p w:rsidR="00000000" w:rsidRDefault="00000000">
      <w:pPr>
        <w:autoSpaceDE w:val="0"/>
        <w:autoSpaceDN w:val="0"/>
        <w:adjustRightInd w:val="0"/>
        <w:spacing w:after="240"/>
        <w:jc w:val="center"/>
      </w:pPr>
      <w:r>
        <w:object w:dxaOrig="2807" w:dyaOrig="2105">
          <v:shape id="_x0000_i1045" type="#_x0000_t75" style="width:312.75pt;height:231.75pt" o:ole="">
            <v:imagedata r:id="rId100" o:title=""/>
          </v:shape>
          <o:OLEObject Type="Embed" ProgID="PowerPoint.Slide.8" ShapeID="_x0000_i1045" DrawAspect="Content" ObjectID="_1394904865" r:id="rId101"/>
        </w:object>
      </w:r>
    </w:p>
    <w:p w:rsidR="00000000" w:rsidRDefault="00000000">
      <w:pPr>
        <w:autoSpaceDE w:val="0"/>
        <w:autoSpaceDN w:val="0"/>
        <w:adjustRightInd w:val="0"/>
        <w:spacing w:after="240"/>
      </w:pPr>
      <w:r>
        <w:t>513.</w:t>
      </w:r>
      <w:r>
        <w:tab/>
        <w:t>Las muertes maternas en adolescentes dejan ver las mismas causas de la mortalidad materna, pero las infecciones y el aborto juntos hacen más del 50%.</w:t>
      </w:r>
    </w:p>
    <w:p w:rsidR="00000000" w:rsidRDefault="00000000">
      <w:pPr>
        <w:keepNext/>
        <w:spacing w:after="240"/>
      </w:pPr>
      <w:r>
        <w:rPr>
          <w:b/>
        </w:rPr>
        <w:t>6.</w:t>
      </w:r>
      <w:r>
        <w:rPr>
          <w:b/>
        </w:rPr>
        <w:tab/>
        <w:t>Acceso a salud para grupos vulnerables</w:t>
      </w:r>
    </w:p>
    <w:p w:rsidR="00000000" w:rsidRDefault="00000000">
      <w:pPr>
        <w:autoSpaceDE w:val="0"/>
        <w:autoSpaceDN w:val="0"/>
        <w:adjustRightInd w:val="0"/>
        <w:spacing w:after="240"/>
      </w:pPr>
      <w:r>
        <w:t>514.</w:t>
      </w:r>
      <w:r>
        <w:tab/>
        <w:t>La provisión de servicios de salud puede aproximarse de manera adecuada a través del número de médicos y camas por habitante, más que por el número de establecimientos, debido a que este ú</w:t>
      </w:r>
      <w:r>
        <w:t>l</w:t>
      </w:r>
      <w:r>
        <w:t>timo indicador incluye una diversidad amplia de instancias de distinto tamaño y complejidad.  En este sentido, según información del Ministerio de Salud Pública y Bienestar Social, existe en promedio 4,0 médicos por cada 10.000 habitantes y 6,7 camas por cada 10.000 habitantes. A nivel de regiones y estratos de valores de esta variable refleja situaciones bien diferenciadas de la exclusión social en salud.  Así mientras en Asunción existen 19,5 médicos por cada 10.000 habitantes, en el resto del país sólo alrededor de dos médicos, mientras que la población del estrato con más ingresos tiene tres veces más médicos por habitante que la población del estrato más pobre.  Asimismo, el número de profesionales "no médicos" (licenciados en enfermería y obstetricia, incluyendo los pasantes rurales) por habitante muestra patrones similares al número de "médicos" por habitante.  En este sentido, en Asunción existen dos veces más de este tipo de profesionales que en el resto del país, al igual que en el estrato más rico respectivo al más pobre.  Con relación al número de camas puede indicarse que en el país existen un promedio de 6,7 camas por cada 10.000 habitantes, promedio que varía de manera importante a nivel de regiones y grupos poblacionales.  Mientras que en Asunción existen 20,9 camas por cada 10.000 habitantes, en el resto del país el promedio es de alrededor de 5 camas por 10.000 habitantes.  Esto significa que la población del estrato con más ingresos (quintil 5) tiene 65% más camas por hab</w:t>
      </w:r>
      <w:r>
        <w:t>i</w:t>
      </w:r>
      <w:r>
        <w:t>tante que la población del estrato más pobre (quintil 1) y que en 91 distritos del país (40% respe</w:t>
      </w:r>
      <w:r>
        <w:t>c</w:t>
      </w:r>
      <w:r>
        <w:t>to al total de distritos) el número de camas por 10.000 habitantes no llega a más de 3,8, implicando ello a la mitad de la pobl</w:t>
      </w:r>
      <w:r>
        <w:t>a</w:t>
      </w:r>
      <w:r>
        <w:t>ción del país.</w:t>
      </w:r>
    </w:p>
    <w:p w:rsidR="00000000" w:rsidRDefault="00000000">
      <w:pPr>
        <w:autoSpaceDE w:val="0"/>
        <w:autoSpaceDN w:val="0"/>
        <w:adjustRightInd w:val="0"/>
        <w:spacing w:after="240"/>
      </w:pPr>
      <w:r>
        <w:t>515.</w:t>
      </w:r>
      <w:r>
        <w:tab/>
        <w:t>Del total de la población que se enferma o accidenta (el 37,8% del total de la población) el 48,6% consulta en algún tipo de establecimiento.  De este porcentaje el 76,6% lo hace en algún hospital, cl</w:t>
      </w:r>
      <w:r>
        <w:t>í</w:t>
      </w:r>
      <w:r>
        <w:t>nica, puesto, centro o dispensario público o privado, y el resto en una farmacia, curandero u otros.</w:t>
      </w:r>
    </w:p>
    <w:p w:rsidR="00000000" w:rsidRDefault="00000000">
      <w:pPr>
        <w:autoSpaceDE w:val="0"/>
        <w:autoSpaceDN w:val="0"/>
        <w:adjustRightInd w:val="0"/>
        <w:spacing w:after="240"/>
      </w:pPr>
      <w:r>
        <w:t>516.</w:t>
      </w:r>
      <w:r>
        <w:tab/>
        <w:t>Los grupos más vulnerables lo constituyen los indígenas, los asentamientos campesinos,  las zonas marginales y rurales, donde las mujeres, los niños y las niñas.  La mortalidad indígena así como la morbilidad, son difíciles de analizar ya que en la historia clínica como así tampoco en el certificado de defunción no se discrimina la condición de indígena.</w:t>
      </w:r>
    </w:p>
    <w:p w:rsidR="00000000" w:rsidRDefault="00000000">
      <w:pPr>
        <w:autoSpaceDE w:val="0"/>
        <w:autoSpaceDN w:val="0"/>
        <w:adjustRightInd w:val="0"/>
        <w:spacing w:after="240"/>
      </w:pPr>
      <w:r>
        <w:t>517.</w:t>
      </w:r>
      <w:r>
        <w:tab/>
        <w:t>Con miras a mejorar la situación de los grupos vulnerables se han desarrollado modelos de atención y mecanismos de extensión de cobertura focalizada hacia poblaciones específicas con criterios de equidad:  poblaciones periurbanas, familias en condiciones de pobreza, asentamientos campesinos y urbanos pobres, comunidades indígenas, poblaciones fronterizas y migrantes.</w:t>
      </w:r>
    </w:p>
    <w:p w:rsidR="00000000" w:rsidRDefault="00000000">
      <w:pPr>
        <w:autoSpaceDE w:val="0"/>
        <w:autoSpaceDN w:val="0"/>
        <w:adjustRightInd w:val="0"/>
        <w:spacing w:after="240"/>
      </w:pPr>
      <w:r>
        <w:t>518.</w:t>
      </w:r>
      <w:r>
        <w:tab/>
        <w:t>Algunas actividades, programas y políticas orientadas a lograr el mejoramiento de la situación de los grupos vulnerables incluyen la atención integral mediante la extensión y universalización del aseguramiento y el suministro y uso racional de medicamentos.</w:t>
      </w:r>
    </w:p>
    <w:p w:rsidR="00000000" w:rsidRDefault="00000000">
      <w:pPr>
        <w:keepNext/>
        <w:autoSpaceDE w:val="0"/>
        <w:autoSpaceDN w:val="0"/>
        <w:adjustRightInd w:val="0"/>
        <w:spacing w:after="240"/>
      </w:pPr>
      <w:r>
        <w:t>519.</w:t>
      </w:r>
      <w:r>
        <w:tab/>
        <w:t>En cuanto a la lucha contra la muerte materna:</w:t>
      </w:r>
    </w:p>
    <w:p w:rsidR="00000000" w:rsidRDefault="00000000">
      <w:pPr>
        <w:spacing w:after="240"/>
        <w:ind w:left="924" w:hanging="357"/>
      </w:pPr>
      <w:r>
        <w:t>-</w:t>
      </w:r>
      <w:r>
        <w:tab/>
        <w:t>Plan Nacional de Salud Sexual y Reproductiva 2003-2008;</w:t>
      </w:r>
    </w:p>
    <w:p w:rsidR="00000000" w:rsidRDefault="00000000">
      <w:pPr>
        <w:spacing w:after="240"/>
        <w:ind w:left="924" w:hanging="357"/>
      </w:pPr>
      <w:r>
        <w:t>-</w:t>
      </w:r>
      <w:r>
        <w:tab/>
        <w:t>Plan Nacional Atención Integral a la Niñez con estrategia AIEPI;</w:t>
      </w:r>
    </w:p>
    <w:p w:rsidR="00000000" w:rsidRDefault="00000000">
      <w:pPr>
        <w:spacing w:after="240"/>
        <w:ind w:left="924" w:hanging="357"/>
      </w:pPr>
      <w:r>
        <w:t>-</w:t>
      </w:r>
      <w:r>
        <w:tab/>
        <w:t>Plan Nacional de Atención Integral a la Adolescencia;</w:t>
      </w:r>
    </w:p>
    <w:p w:rsidR="00000000" w:rsidRDefault="00000000">
      <w:pPr>
        <w:spacing w:after="240"/>
        <w:ind w:left="924" w:hanging="357"/>
      </w:pPr>
      <w:r>
        <w:t>-</w:t>
      </w:r>
      <w:r>
        <w:tab/>
        <w:t>Política Nacional de Atención a la Salud Integral de la Mujer;</w:t>
      </w:r>
    </w:p>
    <w:p w:rsidR="00000000" w:rsidRDefault="00000000">
      <w:pPr>
        <w:spacing w:after="240"/>
        <w:ind w:left="924" w:hanging="357"/>
      </w:pPr>
      <w:r>
        <w:t>-</w:t>
      </w:r>
      <w:r>
        <w:tab/>
        <w:t>Normas de Atención del Embarazo, Parto y Puerperio;</w:t>
      </w:r>
    </w:p>
    <w:p w:rsidR="00000000" w:rsidRDefault="00000000">
      <w:pPr>
        <w:spacing w:after="240"/>
        <w:ind w:left="924" w:hanging="357"/>
      </w:pPr>
      <w:r>
        <w:t>-</w:t>
      </w:r>
      <w:r>
        <w:tab/>
        <w:t xml:space="preserve">Distribución de </w:t>
      </w:r>
      <w:r>
        <w:rPr>
          <w:i/>
          <w:iCs/>
        </w:rPr>
        <w:t>kits</w:t>
      </w:r>
      <w:r>
        <w:t xml:space="preserve"> de partos;</w:t>
      </w:r>
    </w:p>
    <w:p w:rsidR="00000000" w:rsidRDefault="00000000">
      <w:pPr>
        <w:spacing w:after="240"/>
        <w:ind w:left="924" w:hanging="357"/>
      </w:pPr>
      <w:r>
        <w:t>-</w:t>
      </w:r>
      <w:r>
        <w:tab/>
        <w:t>Normas y Procedimientos de Atención de Emergencias Obstétricas;</w:t>
      </w:r>
    </w:p>
    <w:p w:rsidR="00000000" w:rsidRDefault="00000000">
      <w:pPr>
        <w:spacing w:after="240"/>
        <w:ind w:left="924" w:hanging="357"/>
      </w:pPr>
      <w:r>
        <w:t>-</w:t>
      </w:r>
      <w:r>
        <w:tab/>
        <w:t>Normas de Diagnóstico y Tratamiento de las Infecciones de Transmisión Sexual;</w:t>
      </w:r>
    </w:p>
    <w:p w:rsidR="00000000" w:rsidRDefault="00000000">
      <w:pPr>
        <w:spacing w:after="240"/>
        <w:ind w:left="924" w:hanging="357"/>
      </w:pPr>
      <w:r>
        <w:t>-</w:t>
      </w:r>
      <w:r>
        <w:tab/>
        <w:t>La Comisión Nacional de Vigilancia Epidemiológica de la Salud y la Mortalidad Materna (VESMM);</w:t>
      </w:r>
    </w:p>
    <w:p w:rsidR="00000000" w:rsidRDefault="00000000">
      <w:pPr>
        <w:spacing w:after="240"/>
        <w:ind w:left="924" w:hanging="357"/>
      </w:pPr>
      <w:r>
        <w:t>-</w:t>
      </w:r>
      <w:r>
        <w:tab/>
        <w:t>Programa Ampliado de Inmunización (AIEPI);</w:t>
      </w:r>
    </w:p>
    <w:p w:rsidR="00000000" w:rsidRDefault="00000000">
      <w:pPr>
        <w:spacing w:after="240"/>
        <w:ind w:left="924" w:hanging="357"/>
      </w:pPr>
      <w:r>
        <w:t>-</w:t>
      </w:r>
      <w:r>
        <w:tab/>
        <w:t>Control de Enfermedades Metaxémicas.</w:t>
      </w:r>
    </w:p>
    <w:p w:rsidR="00000000" w:rsidRDefault="00000000">
      <w:pPr>
        <w:autoSpaceDE w:val="0"/>
        <w:autoSpaceDN w:val="0"/>
        <w:adjustRightInd w:val="0"/>
        <w:spacing w:after="240"/>
      </w:pPr>
      <w:r>
        <w:t>520.</w:t>
      </w:r>
      <w:r>
        <w:tab/>
        <w:t>Si bien el impacto en salud no es de medición inmediata, es posible observar un leve descenso en las tasas de mortalidad maternoinfantil.  El acceso a los servicios de salud ha mejorado; las coberturas de vacunación con Pentavalente en menores de 1 año en el 2005 es del 86% (127.465 menores de 1 año vacunados con tercera dosis de Pentavalente); las coberturas de vacunación con SPR en niños y niñas de 1 año de edad en el 2005 es del 91% (130.295 niños y niñas de 1 año vacunados con SPR); las coberturas de vacunación con SPR en niños y niñas de 1 año de edad en el 2005 es del 91% (130.295 niños y niñas de 1 año vacunados con SPR) y durante la Campaña Nacional de Vacunación se vacunó con SR al 100% de la población de 5 a 39 años (3.761.308 vacunados).</w:t>
      </w:r>
    </w:p>
    <w:p w:rsidR="00000000" w:rsidRDefault="00000000">
      <w:pPr>
        <w:autoSpaceDE w:val="0"/>
        <w:autoSpaceDN w:val="0"/>
        <w:adjustRightInd w:val="0"/>
        <w:spacing w:after="240"/>
      </w:pPr>
      <w:r>
        <w:t>521.</w:t>
      </w:r>
      <w:r>
        <w:tab/>
        <w:t xml:space="preserve">En cuanto a las medidas tomadas para reducir la tasa de muertes de no natos y mortandad infantil y para proveer un desarrollo saludable del niño se encuentra en desarrollo el Programa Nacional de Aseguramiento Materno Infantil, PNAMI, como estrategia articuladora de la protección en salud y la equidad en el acceso a los servicios; distribución de </w:t>
      </w:r>
      <w:r>
        <w:rPr>
          <w:i/>
          <w:iCs/>
        </w:rPr>
        <w:t>kits</w:t>
      </w:r>
      <w:r>
        <w:t xml:space="preserve"> de parto; Cuidados Obstétricos y Neonatales Especializados (CONE); ampliación de la cobertura de inmunización correspondientes, entre otros.</w:t>
      </w:r>
    </w:p>
    <w:p w:rsidR="00000000" w:rsidRDefault="00000000">
      <w:pPr>
        <w:autoSpaceDE w:val="0"/>
        <w:autoSpaceDN w:val="0"/>
        <w:adjustRightInd w:val="0"/>
        <w:spacing w:after="240"/>
      </w:pPr>
      <w:r>
        <w:t>522.</w:t>
      </w:r>
      <w:r>
        <w:tab/>
        <w:t>Así también, la Secretaría de la Mujer, de forma conjunta con el Ministerio de Salud Pública y Bienestar Social, propiciaron mesas temáticas para establecer compromisos de forma conjunta e interinstitucional con relación a la sífilis y el VIH/SIDA en mujeres embarazadas. En la misma se logró la gratuidad del análisis y tratamiento de la sífilis y el VIH/SIDA en mujeres embarazadas.  La Secretaría de la Mujer ha logrado, con el apoyo de las agencias de cooperación internacional, instalar la temática de género en importantes programas y direcciones del Ministerio de Salud, así como en el Consejo Nacional de Salud Sexual y Reproductiva. Actualmente, la Política Nacional de Salud (2005-2008) "Construyendo juntos una política de Estado, salud para todos con equidad" tiene como principios la equidad social, étnica, cultural, generacional y de género, libre de todo tipo de discriminaciones.</w:t>
      </w:r>
    </w:p>
    <w:p w:rsidR="00000000" w:rsidRDefault="00000000">
      <w:pPr>
        <w:autoSpaceDE w:val="0"/>
        <w:autoSpaceDN w:val="0"/>
        <w:adjustRightInd w:val="0"/>
        <w:spacing w:after="240"/>
      </w:pPr>
      <w:r>
        <w:t>523.</w:t>
      </w:r>
      <w:r>
        <w:tab/>
        <w:t>Es importante destacar que la mayoría de los planes y programas emanados del Ministerio de Salud Pública y Bienestar Social tienen componente de género.</w:t>
      </w:r>
    </w:p>
    <w:p w:rsidR="00000000" w:rsidRDefault="00000000">
      <w:pPr>
        <w:spacing w:after="240"/>
        <w:rPr>
          <w:b/>
        </w:rPr>
      </w:pPr>
      <w:r>
        <w:rPr>
          <w:b/>
        </w:rPr>
        <w:t>7.</w:t>
      </w:r>
      <w:r>
        <w:rPr>
          <w:b/>
        </w:rPr>
        <w:tab/>
        <w:t>Salud ambiental</w:t>
      </w:r>
    </w:p>
    <w:p w:rsidR="00000000" w:rsidRDefault="00000000">
      <w:pPr>
        <w:autoSpaceDE w:val="0"/>
        <w:autoSpaceDN w:val="0"/>
        <w:adjustRightInd w:val="0"/>
        <w:spacing w:after="240"/>
      </w:pPr>
      <w:r>
        <w:t>524.</w:t>
      </w:r>
      <w:r>
        <w:tab/>
        <w:t>Existe un código sanitario, además existen disposiciones de ordenanzas municipales, que regulan ciertos parámetros para un ambiente de trabajo saludable.</w:t>
      </w:r>
    </w:p>
    <w:p w:rsidR="00000000" w:rsidRDefault="00000000">
      <w:pPr>
        <w:autoSpaceDE w:val="0"/>
        <w:autoSpaceDN w:val="0"/>
        <w:adjustRightInd w:val="0"/>
        <w:spacing w:after="240"/>
      </w:pPr>
      <w:r>
        <w:t>525.</w:t>
      </w:r>
      <w:r>
        <w:tab/>
        <w:t>Por otra parte, con la creación de la Dirección de Salud Ambiental - SENASA (2004), su misión es proteger la salud de la población de los efectos por la exposición innecesaria o excesiva a agentes físicos, químicos y biológicos que no dependen exclusivamente de la decisión personal.  Entre sus áreas de acción, incluye el suministro de agua segura, saneamiento básico, ambientes saludables, salud primaria ambiental.</w:t>
      </w:r>
    </w:p>
    <w:p w:rsidR="00000000" w:rsidRDefault="00000000">
      <w:pPr>
        <w:spacing w:after="240"/>
        <w:rPr>
          <w:b/>
        </w:rPr>
      </w:pPr>
      <w:r>
        <w:rPr>
          <w:b/>
        </w:rPr>
        <w:t>8.</w:t>
      </w:r>
      <w:r>
        <w:rPr>
          <w:b/>
        </w:rPr>
        <w:tab/>
        <w:t>Control de enfermedades epidémicas, endémicas, ocupacionales y de otro tipo</w:t>
      </w:r>
    </w:p>
    <w:p w:rsidR="00000000" w:rsidRDefault="00000000">
      <w:pPr>
        <w:autoSpaceDE w:val="0"/>
        <w:autoSpaceDN w:val="0"/>
        <w:adjustRightInd w:val="0"/>
        <w:spacing w:after="240"/>
      </w:pPr>
      <w:r>
        <w:t>526.</w:t>
      </w:r>
      <w:r>
        <w:tab/>
        <w:t xml:space="preserve">El Gobierno, a través de diferentes programas, establece la vigilancia sobre el control de enfermedades endémicas en el país.  A continuación se describen algunos puntos focales de las mismas. </w:t>
      </w:r>
    </w:p>
    <w:p w:rsidR="00000000" w:rsidRDefault="00000000">
      <w:pPr>
        <w:keepNext/>
        <w:keepLines/>
        <w:autoSpaceDE w:val="0"/>
        <w:autoSpaceDN w:val="0"/>
        <w:adjustRightInd w:val="0"/>
        <w:spacing w:after="240"/>
        <w:rPr>
          <w:b/>
        </w:rPr>
      </w:pPr>
      <w:r>
        <w:rPr>
          <w:b/>
        </w:rPr>
        <w:tab/>
        <w:t>8.1.</w:t>
      </w:r>
      <w:r>
        <w:rPr>
          <w:b/>
        </w:rPr>
        <w:tab/>
        <w:t>Paludismo o malaria</w:t>
      </w:r>
    </w:p>
    <w:p w:rsidR="00000000" w:rsidRDefault="00000000">
      <w:pPr>
        <w:autoSpaceDE w:val="0"/>
        <w:autoSpaceDN w:val="0"/>
        <w:adjustRightInd w:val="0"/>
        <w:spacing w:after="240"/>
      </w:pPr>
      <w:r>
        <w:t>527.</w:t>
      </w:r>
      <w:r>
        <w:tab/>
        <w:t xml:space="preserve">El comportamiento histórico del paludismo presenta variaciones inestables cíclicas, como se puede observar comparando las décadas de los ochenta y fines de los noventa.  El número de casos notificados disminuyó de 5.247 en 1989 (año epidémico) a 567 en 1997 (89,2% de reducción).  En los años noventa, el número de casos baja considerablemente a promedios de 1000 casos anuales, para mostrar a partir de 1995 un franco descenso en el número de casos, diagnosticándose un promedio de 600 casos en esos años. </w:t>
      </w:r>
    </w:p>
    <w:p w:rsidR="00000000" w:rsidRDefault="00000000">
      <w:pPr>
        <w:autoSpaceDE w:val="0"/>
        <w:autoSpaceDN w:val="0"/>
        <w:adjustRightInd w:val="0"/>
        <w:spacing w:after="240"/>
      </w:pPr>
      <w:r>
        <w:t>528.</w:t>
      </w:r>
      <w:r>
        <w:tab/>
        <w:t xml:space="preserve">Sin embargo hubo un incremento notable para 1998 con 2.091 casos, incluso con características epidémicas en 1999 alcanzando 9.946 casos, epidemia que se mantuvo hasta agosto del 2000, año que reportó un total de 6.853 casos.  A partir de 1999 la nueva estrategia empleada para el control de paludismo se centra en el diagnóstico precoz y tratamiento inmediato de los casos, como medidas integradas al rociado residual y espacial.  En el 2001 el número de casos reportados fue de 2.710 y en el año 2002 se alcanzaron 2.778 casos, lo cual equivale a una reducción de 77,1 % en el número de casos en un período de cuatro años. </w:t>
      </w:r>
    </w:p>
    <w:p w:rsidR="00000000" w:rsidRDefault="00000000">
      <w:pPr>
        <w:autoSpaceDE w:val="0"/>
        <w:autoSpaceDN w:val="0"/>
        <w:adjustRightInd w:val="0"/>
        <w:spacing w:after="240"/>
      </w:pPr>
      <w:r>
        <w:t>529.</w:t>
      </w:r>
      <w:r>
        <w:tab/>
        <w:t>En el 2003 se registraron 1.235 casos y 694 casos para 2004.  La serie histórica presentada en el Canal endémico revela una tendencia decreciente del número de casos registrados a partir de la gran epidemia del año 1999, observándose medias mensuales de 571 casos para el 2000, 226 el año 2001, 231 para el 2002, 116 para el 2003 y 58 para el 2004.  El 75% de la ocurrencia de los casos de paludismo, en los últimos cinco años, está concentrada en el área rural de Alto Paraná, Caaguazú y Canindeyú, de la zona centro-este (presentando casos esporádicos en aquellos ubicados alrededor de esta zona).</w:t>
      </w:r>
    </w:p>
    <w:p w:rsidR="00000000" w:rsidRDefault="00000000">
      <w:pPr>
        <w:keepNext/>
        <w:autoSpaceDE w:val="0"/>
        <w:autoSpaceDN w:val="0"/>
        <w:adjustRightInd w:val="0"/>
        <w:spacing w:after="200"/>
        <w:jc w:val="center"/>
        <w:rPr>
          <w:rFonts w:eastAsia="Batang"/>
          <w:b/>
          <w:bCs/>
          <w:sz w:val="20"/>
          <w:lang w:eastAsia="ko-KR"/>
        </w:rPr>
      </w:pPr>
      <w:r>
        <w:rPr>
          <w:rFonts w:eastAsia="Batang"/>
          <w:b/>
          <w:bCs/>
          <w:sz w:val="20"/>
          <w:lang w:eastAsia="ko-KR"/>
        </w:rPr>
        <w:t>Tabla</w:t>
      </w:r>
    </w:p>
    <w:p w:rsidR="00000000" w:rsidRDefault="00000000">
      <w:pPr>
        <w:keepNext/>
        <w:autoSpaceDE w:val="0"/>
        <w:autoSpaceDN w:val="0"/>
        <w:adjustRightInd w:val="0"/>
        <w:spacing w:after="200"/>
        <w:jc w:val="center"/>
        <w:rPr>
          <w:rFonts w:ascii="Arial" w:eastAsia="Batang" w:hAnsi="Arial" w:cs="Arial"/>
          <w:color w:val="333333"/>
          <w:sz w:val="20"/>
          <w:szCs w:val="20"/>
          <w:lang w:eastAsia="ko-KR"/>
        </w:rPr>
      </w:pPr>
      <w:r>
        <w:rPr>
          <w:rFonts w:eastAsia="Batang"/>
          <w:b/>
          <w:bCs/>
          <w:color w:val="333333"/>
          <w:sz w:val="20"/>
          <w:szCs w:val="20"/>
          <w:lang w:eastAsia="ko-KR"/>
        </w:rPr>
        <w:t>Casos positivos de paludismo distribuidos por grupos de edad, 1999-2004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8"/>
        <w:gridCol w:w="1055"/>
        <w:gridCol w:w="803"/>
        <w:gridCol w:w="801"/>
        <w:gridCol w:w="1042"/>
        <w:gridCol w:w="804"/>
        <w:gridCol w:w="804"/>
        <w:gridCol w:w="804"/>
        <w:gridCol w:w="718"/>
        <w:gridCol w:w="885"/>
        <w:gridCol w:w="930"/>
      </w:tblGrid>
      <w:tr w:rsidR="00000000">
        <w:tblPrEx>
          <w:tblCellMar>
            <w:top w:w="0" w:type="dxa"/>
            <w:bottom w:w="0" w:type="dxa"/>
          </w:tblCellMar>
        </w:tblPrEx>
        <w:trPr>
          <w:cantSplit/>
        </w:trPr>
        <w:tc>
          <w:tcPr>
            <w:tcW w:w="473" w:type="pct"/>
            <w:vMerge w:val="restart"/>
            <w:vAlign w:val="center"/>
          </w:tcPr>
          <w:p w:rsidR="00000000" w:rsidRDefault="00000000">
            <w:pPr>
              <w:pStyle w:val="BodyText"/>
              <w:spacing w:after="0"/>
              <w:jc w:val="center"/>
              <w:rPr>
                <w:b/>
                <w:bCs/>
                <w:color w:val="333333"/>
                <w:sz w:val="20"/>
                <w:lang w:val="es-MX"/>
              </w:rPr>
            </w:pPr>
            <w:r>
              <w:rPr>
                <w:b/>
                <w:bCs/>
                <w:color w:val="333333"/>
                <w:sz w:val="20"/>
                <w:lang w:val="es-MX"/>
              </w:rPr>
              <w:t>Años</w:t>
            </w:r>
          </w:p>
        </w:tc>
        <w:tc>
          <w:tcPr>
            <w:tcW w:w="450" w:type="pct"/>
            <w:vMerge w:val="restart"/>
            <w:vAlign w:val="center"/>
          </w:tcPr>
          <w:p w:rsidR="00000000" w:rsidRDefault="00000000">
            <w:pPr>
              <w:pStyle w:val="BodyText"/>
              <w:spacing w:after="0"/>
              <w:jc w:val="center"/>
              <w:rPr>
                <w:b/>
                <w:bCs/>
                <w:color w:val="333333"/>
                <w:sz w:val="20"/>
                <w:lang w:val="es-MX"/>
              </w:rPr>
            </w:pPr>
            <w:r>
              <w:rPr>
                <w:b/>
                <w:bCs/>
                <w:color w:val="333333"/>
                <w:sz w:val="20"/>
                <w:lang w:val="es-MX"/>
              </w:rPr>
              <w:t>Número de casos</w:t>
            </w:r>
          </w:p>
        </w:tc>
        <w:tc>
          <w:tcPr>
            <w:tcW w:w="4077" w:type="pct"/>
            <w:gridSpan w:val="9"/>
            <w:vAlign w:val="center"/>
          </w:tcPr>
          <w:p w:rsidR="00000000" w:rsidRDefault="00000000">
            <w:pPr>
              <w:pStyle w:val="BodyText"/>
              <w:spacing w:after="0"/>
              <w:jc w:val="center"/>
              <w:rPr>
                <w:b/>
                <w:bCs/>
                <w:color w:val="333333"/>
                <w:sz w:val="20"/>
                <w:lang w:val="es-MX"/>
              </w:rPr>
            </w:pPr>
            <w:r>
              <w:rPr>
                <w:b/>
                <w:bCs/>
                <w:color w:val="333333"/>
                <w:sz w:val="20"/>
                <w:lang w:val="es-MX"/>
              </w:rPr>
              <w:t>Grupos de edad</w:t>
            </w:r>
          </w:p>
        </w:tc>
      </w:tr>
      <w:tr w:rsidR="00000000">
        <w:tblPrEx>
          <w:tblCellMar>
            <w:top w:w="0" w:type="dxa"/>
            <w:bottom w:w="0" w:type="dxa"/>
          </w:tblCellMar>
        </w:tblPrEx>
        <w:trPr>
          <w:cantSplit/>
        </w:trPr>
        <w:tc>
          <w:tcPr>
            <w:tcW w:w="473" w:type="pct"/>
            <w:vMerge/>
          </w:tcPr>
          <w:p w:rsidR="00000000" w:rsidRDefault="00000000">
            <w:pPr>
              <w:pStyle w:val="BodyText"/>
              <w:spacing w:after="0"/>
              <w:jc w:val="left"/>
              <w:rPr>
                <w:color w:val="333333"/>
                <w:sz w:val="20"/>
                <w:lang w:val="es-MX"/>
              </w:rPr>
            </w:pPr>
          </w:p>
        </w:tc>
        <w:tc>
          <w:tcPr>
            <w:tcW w:w="450" w:type="pct"/>
            <w:vMerge/>
          </w:tcPr>
          <w:p w:rsidR="00000000" w:rsidRDefault="00000000">
            <w:pPr>
              <w:pStyle w:val="BodyText"/>
              <w:spacing w:after="0"/>
              <w:jc w:val="left"/>
              <w:rPr>
                <w:color w:val="333333"/>
                <w:sz w:val="20"/>
                <w:lang w:val="es-MX"/>
              </w:rPr>
            </w:pPr>
          </w:p>
        </w:tc>
        <w:tc>
          <w:tcPr>
            <w:tcW w:w="449"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&lt; 1</w:t>
            </w:r>
          </w:p>
        </w:tc>
        <w:tc>
          <w:tcPr>
            <w:tcW w:w="448"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1-4</w:t>
            </w:r>
          </w:p>
        </w:tc>
        <w:tc>
          <w:tcPr>
            <w:tcW w:w="449"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5-14</w:t>
            </w:r>
          </w:p>
        </w:tc>
        <w:tc>
          <w:tcPr>
            <w:tcW w:w="449"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15-19</w:t>
            </w:r>
          </w:p>
        </w:tc>
        <w:tc>
          <w:tcPr>
            <w:tcW w:w="449"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20-39</w:t>
            </w:r>
          </w:p>
        </w:tc>
        <w:tc>
          <w:tcPr>
            <w:tcW w:w="449"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40-49</w:t>
            </w:r>
          </w:p>
        </w:tc>
        <w:tc>
          <w:tcPr>
            <w:tcW w:w="404"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50-59</w:t>
            </w:r>
          </w:p>
        </w:tc>
        <w:tc>
          <w:tcPr>
            <w:tcW w:w="492"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60 y más</w:t>
            </w:r>
          </w:p>
        </w:tc>
        <w:tc>
          <w:tcPr>
            <w:tcW w:w="490" w:type="pct"/>
            <w:vAlign w:val="bottom"/>
          </w:tcPr>
          <w:p w:rsidR="00000000" w:rsidRDefault="00000000">
            <w:pPr>
              <w:jc w:val="center"/>
              <w:rPr>
                <w:rFonts w:eastAsia="Batang"/>
                <w:b/>
                <w:color w:val="333333"/>
                <w:sz w:val="20"/>
                <w:szCs w:val="16"/>
                <w:lang w:eastAsia="ko-KR"/>
              </w:rPr>
            </w:pPr>
            <w:r>
              <w:rPr>
                <w:rFonts w:eastAsia="Batang"/>
                <w:b/>
                <w:color w:val="333333"/>
                <w:sz w:val="20"/>
                <w:szCs w:val="16"/>
                <w:lang w:eastAsia="ko-KR"/>
              </w:rPr>
              <w:t>Ignorado</w:t>
            </w:r>
          </w:p>
        </w:tc>
      </w:tr>
      <w:tr w:rsidR="00000000">
        <w:tblPrEx>
          <w:tblCellMar>
            <w:top w:w="0" w:type="dxa"/>
            <w:bottom w:w="0" w:type="dxa"/>
          </w:tblCellMar>
        </w:tblPrEx>
        <w:tc>
          <w:tcPr>
            <w:tcW w:w="473" w:type="pct"/>
          </w:tcPr>
          <w:p w:rsidR="00000000" w:rsidRDefault="00000000">
            <w:pPr>
              <w:jc w:val="center"/>
              <w:rPr>
                <w:rFonts w:eastAsia="Batang"/>
                <w:bCs/>
                <w:color w:val="333333"/>
                <w:sz w:val="20"/>
                <w:szCs w:val="16"/>
                <w:lang w:eastAsia="ko-KR"/>
              </w:rPr>
            </w:pPr>
            <w:r>
              <w:rPr>
                <w:rFonts w:eastAsia="Batang"/>
                <w:bCs/>
                <w:color w:val="333333"/>
                <w:sz w:val="20"/>
                <w:szCs w:val="16"/>
                <w:lang w:eastAsia="ko-KR"/>
              </w:rPr>
              <w:t>1999</w:t>
            </w:r>
          </w:p>
        </w:tc>
        <w:tc>
          <w:tcPr>
            <w:tcW w:w="450" w:type="pct"/>
            <w:vAlign w:val="bottom"/>
          </w:tcPr>
          <w:p w:rsidR="00000000" w:rsidRDefault="00000000">
            <w:pPr>
              <w:tabs>
                <w:tab w:val="decimal" w:pos="565"/>
              </w:tabs>
              <w:rPr>
                <w:rFonts w:eastAsia="Batang"/>
                <w:bCs/>
                <w:color w:val="333333"/>
                <w:sz w:val="20"/>
                <w:szCs w:val="16"/>
                <w:lang w:eastAsia="ko-KR"/>
              </w:rPr>
            </w:pPr>
            <w:r>
              <w:rPr>
                <w:rFonts w:eastAsia="Batang"/>
                <w:bCs/>
                <w:color w:val="333333"/>
                <w:sz w:val="20"/>
                <w:szCs w:val="16"/>
                <w:lang w:eastAsia="ko-KR"/>
              </w:rPr>
              <w:t>9.946</w:t>
            </w:r>
          </w:p>
        </w:tc>
        <w:tc>
          <w:tcPr>
            <w:tcW w:w="449" w:type="pct"/>
            <w:vAlign w:val="bottom"/>
          </w:tcPr>
          <w:p w:rsidR="00000000" w:rsidRDefault="00000000">
            <w:pPr>
              <w:tabs>
                <w:tab w:val="decimal" w:pos="488"/>
              </w:tabs>
              <w:rPr>
                <w:rFonts w:eastAsia="Batang"/>
                <w:bCs/>
                <w:color w:val="333333"/>
                <w:sz w:val="20"/>
                <w:szCs w:val="16"/>
                <w:lang w:eastAsia="ko-KR"/>
              </w:rPr>
            </w:pPr>
            <w:r>
              <w:rPr>
                <w:rFonts w:eastAsia="Batang"/>
                <w:bCs/>
                <w:color w:val="333333"/>
                <w:sz w:val="20"/>
                <w:szCs w:val="16"/>
                <w:lang w:eastAsia="ko-KR"/>
              </w:rPr>
              <w:t>127</w:t>
            </w:r>
          </w:p>
        </w:tc>
        <w:tc>
          <w:tcPr>
            <w:tcW w:w="448" w:type="pct"/>
            <w:vAlign w:val="bottom"/>
          </w:tcPr>
          <w:p w:rsidR="00000000" w:rsidRDefault="00000000">
            <w:pPr>
              <w:tabs>
                <w:tab w:val="decimal" w:pos="469"/>
              </w:tabs>
              <w:rPr>
                <w:rFonts w:eastAsia="Batang"/>
                <w:bCs/>
                <w:color w:val="333333"/>
                <w:sz w:val="20"/>
                <w:szCs w:val="16"/>
                <w:lang w:eastAsia="ko-KR"/>
              </w:rPr>
            </w:pPr>
            <w:r>
              <w:rPr>
                <w:rFonts w:eastAsia="Batang"/>
                <w:bCs/>
                <w:color w:val="333333"/>
                <w:sz w:val="20"/>
                <w:szCs w:val="16"/>
                <w:lang w:eastAsia="ko-KR"/>
              </w:rPr>
              <w:t>961</w:t>
            </w:r>
          </w:p>
        </w:tc>
        <w:tc>
          <w:tcPr>
            <w:tcW w:w="449" w:type="pct"/>
            <w:vAlign w:val="bottom"/>
          </w:tcPr>
          <w:p w:rsidR="00000000" w:rsidRDefault="00000000">
            <w:pPr>
              <w:jc w:val="center"/>
              <w:rPr>
                <w:rFonts w:eastAsia="Batang"/>
                <w:bCs/>
                <w:color w:val="333333"/>
                <w:sz w:val="20"/>
                <w:szCs w:val="16"/>
                <w:lang w:eastAsia="ko-KR"/>
              </w:rPr>
            </w:pPr>
            <w:r>
              <w:rPr>
                <w:rFonts w:eastAsia="Batang"/>
                <w:bCs/>
                <w:color w:val="333333"/>
                <w:sz w:val="20"/>
                <w:szCs w:val="16"/>
                <w:lang w:eastAsia="ko-KR"/>
              </w:rPr>
              <w:t>2.297</w:t>
            </w:r>
          </w:p>
        </w:tc>
        <w:tc>
          <w:tcPr>
            <w:tcW w:w="449" w:type="pct"/>
            <w:vAlign w:val="bottom"/>
          </w:tcPr>
          <w:p w:rsidR="00000000" w:rsidRDefault="00000000">
            <w:pPr>
              <w:jc w:val="center"/>
              <w:rPr>
                <w:rFonts w:eastAsia="Batang"/>
                <w:bCs/>
                <w:color w:val="333333"/>
                <w:sz w:val="20"/>
                <w:szCs w:val="16"/>
                <w:lang w:eastAsia="ko-KR"/>
              </w:rPr>
            </w:pPr>
            <w:r>
              <w:rPr>
                <w:rFonts w:eastAsia="Batang"/>
                <w:bCs/>
                <w:color w:val="333333"/>
                <w:sz w:val="20"/>
                <w:szCs w:val="16"/>
                <w:lang w:eastAsia="ko-KR"/>
              </w:rPr>
              <w:t>1.123</w:t>
            </w:r>
          </w:p>
        </w:tc>
        <w:tc>
          <w:tcPr>
            <w:tcW w:w="449" w:type="pct"/>
            <w:vAlign w:val="bottom"/>
          </w:tcPr>
          <w:p w:rsidR="00000000" w:rsidRDefault="00000000">
            <w:pPr>
              <w:jc w:val="center"/>
              <w:rPr>
                <w:rFonts w:eastAsia="Batang"/>
                <w:bCs/>
                <w:color w:val="333333"/>
                <w:sz w:val="20"/>
                <w:szCs w:val="16"/>
                <w:lang w:eastAsia="ko-KR"/>
              </w:rPr>
            </w:pPr>
            <w:r>
              <w:rPr>
                <w:rFonts w:eastAsia="Batang"/>
                <w:bCs/>
                <w:color w:val="333333"/>
                <w:sz w:val="20"/>
                <w:szCs w:val="16"/>
                <w:lang w:eastAsia="ko-KR"/>
              </w:rPr>
              <w:t>3.245</w:t>
            </w:r>
          </w:p>
        </w:tc>
        <w:tc>
          <w:tcPr>
            <w:tcW w:w="449" w:type="pct"/>
            <w:vAlign w:val="bottom"/>
          </w:tcPr>
          <w:p w:rsidR="00000000" w:rsidRDefault="00000000">
            <w:pPr>
              <w:jc w:val="center"/>
              <w:rPr>
                <w:rFonts w:eastAsia="Batang"/>
                <w:bCs/>
                <w:color w:val="333333"/>
                <w:sz w:val="20"/>
                <w:szCs w:val="16"/>
                <w:lang w:eastAsia="ko-KR"/>
              </w:rPr>
            </w:pPr>
            <w:r>
              <w:rPr>
                <w:rFonts w:eastAsia="Batang"/>
                <w:bCs/>
                <w:color w:val="333333"/>
                <w:sz w:val="20"/>
                <w:szCs w:val="16"/>
                <w:lang w:eastAsia="ko-KR"/>
              </w:rPr>
              <w:t>1.082</w:t>
            </w:r>
          </w:p>
        </w:tc>
        <w:tc>
          <w:tcPr>
            <w:tcW w:w="404" w:type="pct"/>
            <w:vAlign w:val="bottom"/>
          </w:tcPr>
          <w:p w:rsidR="00000000" w:rsidRDefault="00000000">
            <w:pPr>
              <w:tabs>
                <w:tab w:val="decimal" w:pos="482"/>
              </w:tabs>
              <w:rPr>
                <w:rFonts w:eastAsia="Batang"/>
                <w:bCs/>
                <w:color w:val="333333"/>
                <w:sz w:val="20"/>
                <w:szCs w:val="16"/>
                <w:lang w:eastAsia="ko-KR"/>
              </w:rPr>
            </w:pPr>
            <w:r>
              <w:rPr>
                <w:rFonts w:eastAsia="Batang"/>
                <w:bCs/>
                <w:color w:val="333333"/>
                <w:sz w:val="20"/>
                <w:szCs w:val="16"/>
                <w:lang w:eastAsia="ko-KR"/>
              </w:rPr>
              <w:t>546</w:t>
            </w:r>
          </w:p>
        </w:tc>
        <w:tc>
          <w:tcPr>
            <w:tcW w:w="492" w:type="pct"/>
            <w:vAlign w:val="bottom"/>
          </w:tcPr>
          <w:p w:rsidR="00000000" w:rsidRDefault="00000000">
            <w:pPr>
              <w:tabs>
                <w:tab w:val="decimal" w:pos="476"/>
              </w:tabs>
              <w:rPr>
                <w:rFonts w:eastAsia="Batang"/>
                <w:bCs/>
                <w:color w:val="333333"/>
                <w:sz w:val="20"/>
                <w:szCs w:val="16"/>
                <w:lang w:eastAsia="ko-KR"/>
              </w:rPr>
            </w:pPr>
            <w:r>
              <w:rPr>
                <w:rFonts w:eastAsia="Batang"/>
                <w:bCs/>
                <w:color w:val="333333"/>
                <w:sz w:val="20"/>
                <w:szCs w:val="16"/>
                <w:lang w:eastAsia="ko-KR"/>
              </w:rPr>
              <w:t>327</w:t>
            </w:r>
          </w:p>
        </w:tc>
        <w:tc>
          <w:tcPr>
            <w:tcW w:w="490" w:type="pct"/>
            <w:vAlign w:val="bottom"/>
          </w:tcPr>
          <w:p w:rsidR="00000000" w:rsidRDefault="00000000">
            <w:pPr>
              <w:tabs>
                <w:tab w:val="decimal" w:pos="444"/>
              </w:tabs>
              <w:rPr>
                <w:rFonts w:eastAsia="Batang"/>
                <w:bCs/>
                <w:color w:val="333333"/>
                <w:sz w:val="20"/>
                <w:szCs w:val="16"/>
                <w:lang w:eastAsia="ko-KR"/>
              </w:rPr>
            </w:pPr>
            <w:r>
              <w:rPr>
                <w:rFonts w:eastAsia="Batang"/>
                <w:bCs/>
                <w:color w:val="333333"/>
                <w:sz w:val="20"/>
                <w:szCs w:val="16"/>
                <w:lang w:eastAsia="ko-KR"/>
              </w:rPr>
              <w:t>238</w:t>
            </w:r>
          </w:p>
        </w:tc>
      </w:tr>
      <w:tr w:rsidR="00000000">
        <w:tblPrEx>
          <w:tblCellMar>
            <w:top w:w="0" w:type="dxa"/>
            <w:bottom w:w="0" w:type="dxa"/>
          </w:tblCellMar>
        </w:tblPrEx>
        <w:tc>
          <w:tcPr>
            <w:tcW w:w="473" w:type="pct"/>
          </w:tcPr>
          <w:p w:rsidR="00000000" w:rsidRDefault="00000000">
            <w:pPr>
              <w:jc w:val="center"/>
              <w:rPr>
                <w:rFonts w:eastAsia="Batang"/>
                <w:bCs/>
                <w:color w:val="333333"/>
                <w:sz w:val="20"/>
                <w:szCs w:val="16"/>
                <w:lang w:eastAsia="ko-KR"/>
              </w:rPr>
            </w:pPr>
            <w:r>
              <w:rPr>
                <w:rFonts w:eastAsia="Batang"/>
                <w:bCs/>
                <w:color w:val="333333"/>
                <w:sz w:val="20"/>
                <w:szCs w:val="16"/>
                <w:lang w:eastAsia="ko-KR"/>
              </w:rPr>
              <w:t>2000</w:t>
            </w:r>
          </w:p>
        </w:tc>
        <w:tc>
          <w:tcPr>
            <w:tcW w:w="450" w:type="pct"/>
            <w:vAlign w:val="bottom"/>
          </w:tcPr>
          <w:p w:rsidR="00000000" w:rsidRDefault="00000000">
            <w:pPr>
              <w:tabs>
                <w:tab w:val="decimal" w:pos="565"/>
              </w:tabs>
              <w:rPr>
                <w:rFonts w:eastAsia="Batang"/>
                <w:bCs/>
                <w:color w:val="333333"/>
                <w:sz w:val="20"/>
                <w:szCs w:val="16"/>
                <w:lang w:eastAsia="ko-KR"/>
              </w:rPr>
            </w:pPr>
            <w:r>
              <w:rPr>
                <w:rFonts w:eastAsia="Batang"/>
                <w:bCs/>
                <w:color w:val="333333"/>
                <w:sz w:val="20"/>
                <w:szCs w:val="16"/>
                <w:lang w:eastAsia="ko-KR"/>
              </w:rPr>
              <w:t>6.853</w:t>
            </w:r>
          </w:p>
        </w:tc>
        <w:tc>
          <w:tcPr>
            <w:tcW w:w="449" w:type="pct"/>
            <w:vAlign w:val="bottom"/>
          </w:tcPr>
          <w:p w:rsidR="00000000" w:rsidRDefault="00000000">
            <w:pPr>
              <w:tabs>
                <w:tab w:val="decimal" w:pos="488"/>
              </w:tabs>
              <w:rPr>
                <w:rFonts w:eastAsia="Batang"/>
                <w:bCs/>
                <w:color w:val="333333"/>
                <w:sz w:val="20"/>
                <w:szCs w:val="16"/>
                <w:lang w:eastAsia="ko-KR"/>
              </w:rPr>
            </w:pPr>
            <w:r>
              <w:rPr>
                <w:rFonts w:eastAsia="Batang"/>
                <w:bCs/>
                <w:color w:val="333333"/>
                <w:sz w:val="20"/>
                <w:szCs w:val="16"/>
                <w:lang w:eastAsia="ko-KR"/>
              </w:rPr>
              <w:t>60</w:t>
            </w:r>
          </w:p>
        </w:tc>
        <w:tc>
          <w:tcPr>
            <w:tcW w:w="448" w:type="pct"/>
            <w:vAlign w:val="bottom"/>
          </w:tcPr>
          <w:p w:rsidR="00000000" w:rsidRDefault="00000000">
            <w:pPr>
              <w:tabs>
                <w:tab w:val="decimal" w:pos="469"/>
              </w:tabs>
              <w:rPr>
                <w:rFonts w:eastAsia="Batang"/>
                <w:bCs/>
                <w:color w:val="333333"/>
                <w:sz w:val="20"/>
                <w:szCs w:val="16"/>
                <w:lang w:eastAsia="ko-KR"/>
              </w:rPr>
            </w:pPr>
            <w:r>
              <w:rPr>
                <w:rFonts w:eastAsia="Batang"/>
                <w:bCs/>
                <w:color w:val="333333"/>
                <w:sz w:val="20"/>
                <w:szCs w:val="16"/>
                <w:lang w:eastAsia="ko-KR"/>
              </w:rPr>
              <w:t>718</w:t>
            </w:r>
          </w:p>
        </w:tc>
        <w:tc>
          <w:tcPr>
            <w:tcW w:w="449" w:type="pct"/>
            <w:vAlign w:val="bottom"/>
          </w:tcPr>
          <w:p w:rsidR="00000000" w:rsidRDefault="00000000">
            <w:pPr>
              <w:tabs>
                <w:tab w:val="decimal" w:pos="551"/>
              </w:tabs>
              <w:rPr>
                <w:rFonts w:eastAsia="Batang"/>
                <w:bCs/>
                <w:color w:val="333333"/>
                <w:sz w:val="20"/>
                <w:szCs w:val="16"/>
                <w:lang w:eastAsia="ko-KR"/>
              </w:rPr>
            </w:pPr>
            <w:r>
              <w:rPr>
                <w:rFonts w:eastAsia="Batang"/>
                <w:bCs/>
                <w:color w:val="333333"/>
                <w:sz w:val="20"/>
                <w:szCs w:val="16"/>
                <w:lang w:eastAsia="ko-KR"/>
              </w:rPr>
              <w:t>1.768</w:t>
            </w:r>
          </w:p>
        </w:tc>
        <w:tc>
          <w:tcPr>
            <w:tcW w:w="449" w:type="pct"/>
            <w:vAlign w:val="bottom"/>
          </w:tcPr>
          <w:p w:rsidR="00000000" w:rsidRDefault="00000000">
            <w:pPr>
              <w:tabs>
                <w:tab w:val="decimal" w:pos="561"/>
              </w:tabs>
              <w:ind w:right="101"/>
              <w:rPr>
                <w:rFonts w:eastAsia="Batang"/>
                <w:bCs/>
                <w:color w:val="333333"/>
                <w:sz w:val="20"/>
                <w:szCs w:val="16"/>
                <w:lang w:eastAsia="ko-KR"/>
              </w:rPr>
            </w:pPr>
            <w:r>
              <w:rPr>
                <w:rFonts w:eastAsia="Batang"/>
                <w:bCs/>
                <w:color w:val="333333"/>
                <w:sz w:val="20"/>
                <w:szCs w:val="16"/>
                <w:lang w:eastAsia="ko-KR"/>
              </w:rPr>
              <w:t>809</w:t>
            </w:r>
          </w:p>
        </w:tc>
        <w:tc>
          <w:tcPr>
            <w:tcW w:w="449" w:type="pct"/>
            <w:vAlign w:val="bottom"/>
          </w:tcPr>
          <w:p w:rsidR="00000000" w:rsidRDefault="00000000">
            <w:pPr>
              <w:jc w:val="center"/>
              <w:rPr>
                <w:rFonts w:eastAsia="Batang"/>
                <w:bCs/>
                <w:color w:val="333333"/>
                <w:sz w:val="20"/>
                <w:szCs w:val="16"/>
                <w:lang w:eastAsia="ko-KR"/>
              </w:rPr>
            </w:pPr>
            <w:r>
              <w:rPr>
                <w:rFonts w:eastAsia="Batang"/>
                <w:bCs/>
                <w:color w:val="333333"/>
                <w:sz w:val="20"/>
                <w:szCs w:val="16"/>
                <w:lang w:eastAsia="ko-KR"/>
              </w:rPr>
              <w:t>2.222</w:t>
            </w:r>
          </w:p>
        </w:tc>
        <w:tc>
          <w:tcPr>
            <w:tcW w:w="449" w:type="pct"/>
            <w:vAlign w:val="bottom"/>
          </w:tcPr>
          <w:p w:rsidR="00000000" w:rsidRDefault="00000000">
            <w:pPr>
              <w:tabs>
                <w:tab w:val="decimal" w:pos="566"/>
              </w:tabs>
              <w:rPr>
                <w:rFonts w:eastAsia="Batang"/>
                <w:bCs/>
                <w:color w:val="333333"/>
                <w:sz w:val="20"/>
                <w:szCs w:val="16"/>
                <w:lang w:eastAsia="ko-KR"/>
              </w:rPr>
            </w:pPr>
            <w:r>
              <w:rPr>
                <w:rFonts w:eastAsia="Batang"/>
                <w:bCs/>
                <w:color w:val="333333"/>
                <w:sz w:val="20"/>
                <w:szCs w:val="16"/>
                <w:lang w:eastAsia="ko-KR"/>
              </w:rPr>
              <w:t>677</w:t>
            </w:r>
          </w:p>
        </w:tc>
        <w:tc>
          <w:tcPr>
            <w:tcW w:w="404" w:type="pct"/>
            <w:vAlign w:val="bottom"/>
          </w:tcPr>
          <w:p w:rsidR="00000000" w:rsidRDefault="00000000">
            <w:pPr>
              <w:tabs>
                <w:tab w:val="decimal" w:pos="482"/>
              </w:tabs>
              <w:rPr>
                <w:rFonts w:eastAsia="Batang"/>
                <w:bCs/>
                <w:color w:val="333333"/>
                <w:sz w:val="20"/>
                <w:szCs w:val="16"/>
                <w:lang w:eastAsia="ko-KR"/>
              </w:rPr>
            </w:pPr>
            <w:r>
              <w:rPr>
                <w:rFonts w:eastAsia="Batang"/>
                <w:bCs/>
                <w:color w:val="333333"/>
                <w:sz w:val="20"/>
                <w:szCs w:val="16"/>
                <w:lang w:eastAsia="ko-KR"/>
              </w:rPr>
              <w:t>348</w:t>
            </w:r>
          </w:p>
        </w:tc>
        <w:tc>
          <w:tcPr>
            <w:tcW w:w="492" w:type="pct"/>
            <w:vAlign w:val="bottom"/>
          </w:tcPr>
          <w:p w:rsidR="00000000" w:rsidRDefault="00000000">
            <w:pPr>
              <w:tabs>
                <w:tab w:val="decimal" w:pos="476"/>
              </w:tabs>
              <w:rPr>
                <w:rFonts w:eastAsia="Batang"/>
                <w:bCs/>
                <w:color w:val="333333"/>
                <w:sz w:val="20"/>
                <w:szCs w:val="16"/>
                <w:lang w:eastAsia="ko-KR"/>
              </w:rPr>
            </w:pPr>
            <w:r>
              <w:rPr>
                <w:rFonts w:eastAsia="Batang"/>
                <w:bCs/>
                <w:color w:val="333333"/>
                <w:sz w:val="20"/>
                <w:szCs w:val="16"/>
                <w:lang w:eastAsia="ko-KR"/>
              </w:rPr>
              <w:t>195</w:t>
            </w:r>
          </w:p>
        </w:tc>
        <w:tc>
          <w:tcPr>
            <w:tcW w:w="490" w:type="pct"/>
            <w:vAlign w:val="bottom"/>
          </w:tcPr>
          <w:p w:rsidR="00000000" w:rsidRDefault="00000000">
            <w:pPr>
              <w:tabs>
                <w:tab w:val="decimal" w:pos="444"/>
              </w:tabs>
              <w:rPr>
                <w:rFonts w:eastAsia="Batang"/>
                <w:bCs/>
                <w:color w:val="333333"/>
                <w:sz w:val="20"/>
                <w:szCs w:val="16"/>
                <w:lang w:eastAsia="ko-KR"/>
              </w:rPr>
            </w:pPr>
            <w:r>
              <w:rPr>
                <w:rFonts w:eastAsia="Batang"/>
                <w:bCs/>
                <w:color w:val="333333"/>
                <w:sz w:val="20"/>
                <w:szCs w:val="16"/>
                <w:lang w:eastAsia="ko-KR"/>
              </w:rPr>
              <w:t>56</w:t>
            </w:r>
          </w:p>
        </w:tc>
      </w:tr>
      <w:tr w:rsidR="00000000">
        <w:tblPrEx>
          <w:tblCellMar>
            <w:top w:w="0" w:type="dxa"/>
            <w:bottom w:w="0" w:type="dxa"/>
          </w:tblCellMar>
        </w:tblPrEx>
        <w:tc>
          <w:tcPr>
            <w:tcW w:w="473" w:type="pct"/>
          </w:tcPr>
          <w:p w:rsidR="00000000" w:rsidRDefault="00000000">
            <w:pPr>
              <w:jc w:val="center"/>
              <w:rPr>
                <w:rFonts w:eastAsia="Batang"/>
                <w:bCs/>
                <w:color w:val="333333"/>
                <w:sz w:val="20"/>
                <w:szCs w:val="16"/>
                <w:lang w:eastAsia="ko-KR"/>
              </w:rPr>
            </w:pPr>
            <w:r>
              <w:rPr>
                <w:rFonts w:eastAsia="Batang"/>
                <w:bCs/>
                <w:color w:val="333333"/>
                <w:sz w:val="20"/>
                <w:szCs w:val="16"/>
                <w:lang w:eastAsia="ko-KR"/>
              </w:rPr>
              <w:t>2001</w:t>
            </w:r>
          </w:p>
        </w:tc>
        <w:tc>
          <w:tcPr>
            <w:tcW w:w="450" w:type="pct"/>
            <w:vAlign w:val="bottom"/>
          </w:tcPr>
          <w:p w:rsidR="00000000" w:rsidRDefault="00000000">
            <w:pPr>
              <w:tabs>
                <w:tab w:val="decimal" w:pos="565"/>
              </w:tabs>
              <w:rPr>
                <w:rFonts w:eastAsia="Batang"/>
                <w:bCs/>
                <w:color w:val="333333"/>
                <w:sz w:val="20"/>
                <w:szCs w:val="16"/>
                <w:lang w:eastAsia="ko-KR"/>
              </w:rPr>
            </w:pPr>
            <w:r>
              <w:rPr>
                <w:rFonts w:eastAsia="Batang"/>
                <w:bCs/>
                <w:color w:val="333333"/>
                <w:sz w:val="20"/>
                <w:szCs w:val="16"/>
                <w:lang w:eastAsia="ko-KR"/>
              </w:rPr>
              <w:t>2.710</w:t>
            </w:r>
          </w:p>
        </w:tc>
        <w:tc>
          <w:tcPr>
            <w:tcW w:w="449" w:type="pct"/>
            <w:vAlign w:val="bottom"/>
          </w:tcPr>
          <w:p w:rsidR="00000000" w:rsidRDefault="00000000">
            <w:pPr>
              <w:tabs>
                <w:tab w:val="decimal" w:pos="488"/>
              </w:tabs>
              <w:rPr>
                <w:rFonts w:eastAsia="Batang"/>
                <w:bCs/>
                <w:color w:val="333333"/>
                <w:sz w:val="20"/>
                <w:szCs w:val="16"/>
                <w:lang w:eastAsia="ko-KR"/>
              </w:rPr>
            </w:pPr>
            <w:r>
              <w:rPr>
                <w:rFonts w:eastAsia="Batang"/>
                <w:bCs/>
                <w:color w:val="333333"/>
                <w:sz w:val="20"/>
                <w:szCs w:val="16"/>
                <w:lang w:eastAsia="ko-KR"/>
              </w:rPr>
              <w:t>23</w:t>
            </w:r>
          </w:p>
        </w:tc>
        <w:tc>
          <w:tcPr>
            <w:tcW w:w="448" w:type="pct"/>
            <w:vAlign w:val="bottom"/>
          </w:tcPr>
          <w:p w:rsidR="00000000" w:rsidRDefault="00000000">
            <w:pPr>
              <w:tabs>
                <w:tab w:val="decimal" w:pos="469"/>
              </w:tabs>
              <w:rPr>
                <w:rFonts w:eastAsia="Batang"/>
                <w:bCs/>
                <w:color w:val="333333"/>
                <w:sz w:val="20"/>
                <w:szCs w:val="16"/>
                <w:lang w:eastAsia="ko-KR"/>
              </w:rPr>
            </w:pPr>
            <w:r>
              <w:rPr>
                <w:rFonts w:eastAsia="Batang"/>
                <w:bCs/>
                <w:color w:val="333333"/>
                <w:sz w:val="20"/>
                <w:szCs w:val="16"/>
                <w:lang w:eastAsia="ko-KR"/>
              </w:rPr>
              <w:t>319</w:t>
            </w:r>
          </w:p>
        </w:tc>
        <w:tc>
          <w:tcPr>
            <w:tcW w:w="449" w:type="pct"/>
            <w:vAlign w:val="bottom"/>
          </w:tcPr>
          <w:p w:rsidR="00000000" w:rsidRDefault="00000000">
            <w:pPr>
              <w:tabs>
                <w:tab w:val="decimal" w:pos="551"/>
              </w:tabs>
              <w:rPr>
                <w:rFonts w:eastAsia="Batang"/>
                <w:bCs/>
                <w:color w:val="333333"/>
                <w:sz w:val="20"/>
                <w:szCs w:val="16"/>
                <w:lang w:eastAsia="ko-KR"/>
              </w:rPr>
            </w:pPr>
            <w:r>
              <w:rPr>
                <w:rFonts w:eastAsia="Batang"/>
                <w:bCs/>
                <w:color w:val="333333"/>
                <w:sz w:val="20"/>
                <w:szCs w:val="16"/>
                <w:lang w:eastAsia="ko-KR"/>
              </w:rPr>
              <w:t>684</w:t>
            </w:r>
          </w:p>
        </w:tc>
        <w:tc>
          <w:tcPr>
            <w:tcW w:w="449" w:type="pct"/>
            <w:vAlign w:val="bottom"/>
          </w:tcPr>
          <w:p w:rsidR="00000000" w:rsidRDefault="00000000">
            <w:pPr>
              <w:tabs>
                <w:tab w:val="decimal" w:pos="561"/>
              </w:tabs>
              <w:ind w:right="101"/>
              <w:rPr>
                <w:rFonts w:eastAsia="Batang"/>
                <w:bCs/>
                <w:color w:val="333333"/>
                <w:sz w:val="20"/>
                <w:szCs w:val="16"/>
                <w:lang w:eastAsia="ko-KR"/>
              </w:rPr>
            </w:pPr>
            <w:r>
              <w:rPr>
                <w:rFonts w:eastAsia="Batang"/>
                <w:bCs/>
                <w:color w:val="333333"/>
                <w:sz w:val="20"/>
                <w:szCs w:val="16"/>
                <w:lang w:eastAsia="ko-KR"/>
              </w:rPr>
              <w:t>336</w:t>
            </w:r>
          </w:p>
        </w:tc>
        <w:tc>
          <w:tcPr>
            <w:tcW w:w="449" w:type="pct"/>
            <w:vAlign w:val="bottom"/>
          </w:tcPr>
          <w:p w:rsidR="00000000" w:rsidRDefault="00000000">
            <w:pPr>
              <w:tabs>
                <w:tab w:val="decimal" w:pos="563"/>
              </w:tabs>
              <w:rPr>
                <w:rFonts w:eastAsia="Batang"/>
                <w:bCs/>
                <w:color w:val="333333"/>
                <w:sz w:val="20"/>
                <w:szCs w:val="16"/>
                <w:lang w:eastAsia="ko-KR"/>
              </w:rPr>
            </w:pPr>
            <w:r>
              <w:rPr>
                <w:rFonts w:eastAsia="Batang"/>
                <w:bCs/>
                <w:color w:val="333333"/>
                <w:sz w:val="20"/>
                <w:szCs w:val="16"/>
                <w:lang w:eastAsia="ko-KR"/>
              </w:rPr>
              <w:t>858</w:t>
            </w:r>
          </w:p>
        </w:tc>
        <w:tc>
          <w:tcPr>
            <w:tcW w:w="449" w:type="pct"/>
            <w:vAlign w:val="bottom"/>
          </w:tcPr>
          <w:p w:rsidR="00000000" w:rsidRDefault="00000000">
            <w:pPr>
              <w:tabs>
                <w:tab w:val="decimal" w:pos="566"/>
              </w:tabs>
              <w:rPr>
                <w:rFonts w:eastAsia="Batang"/>
                <w:bCs/>
                <w:color w:val="333333"/>
                <w:sz w:val="20"/>
                <w:szCs w:val="16"/>
                <w:lang w:eastAsia="ko-KR"/>
              </w:rPr>
            </w:pPr>
            <w:r>
              <w:rPr>
                <w:rFonts w:eastAsia="Batang"/>
                <w:bCs/>
                <w:color w:val="333333"/>
                <w:sz w:val="20"/>
                <w:szCs w:val="16"/>
                <w:lang w:eastAsia="ko-KR"/>
              </w:rPr>
              <w:t>259</w:t>
            </w:r>
          </w:p>
        </w:tc>
        <w:tc>
          <w:tcPr>
            <w:tcW w:w="404" w:type="pct"/>
            <w:vAlign w:val="bottom"/>
          </w:tcPr>
          <w:p w:rsidR="00000000" w:rsidRDefault="00000000">
            <w:pPr>
              <w:tabs>
                <w:tab w:val="decimal" w:pos="482"/>
              </w:tabs>
              <w:rPr>
                <w:rFonts w:eastAsia="Batang"/>
                <w:bCs/>
                <w:color w:val="333333"/>
                <w:sz w:val="20"/>
                <w:szCs w:val="16"/>
                <w:lang w:eastAsia="ko-KR"/>
              </w:rPr>
            </w:pPr>
            <w:r>
              <w:rPr>
                <w:rFonts w:eastAsia="Batang"/>
                <w:bCs/>
                <w:color w:val="333333"/>
                <w:sz w:val="20"/>
                <w:szCs w:val="16"/>
                <w:lang w:eastAsia="ko-KR"/>
              </w:rPr>
              <w:t>131</w:t>
            </w:r>
          </w:p>
        </w:tc>
        <w:tc>
          <w:tcPr>
            <w:tcW w:w="492" w:type="pct"/>
            <w:vAlign w:val="bottom"/>
          </w:tcPr>
          <w:p w:rsidR="00000000" w:rsidRDefault="00000000">
            <w:pPr>
              <w:tabs>
                <w:tab w:val="decimal" w:pos="476"/>
              </w:tabs>
              <w:rPr>
                <w:rFonts w:eastAsia="Batang"/>
                <w:bCs/>
                <w:color w:val="333333"/>
                <w:sz w:val="20"/>
                <w:szCs w:val="16"/>
                <w:lang w:eastAsia="ko-KR"/>
              </w:rPr>
            </w:pPr>
            <w:r>
              <w:rPr>
                <w:rFonts w:eastAsia="Batang"/>
                <w:bCs/>
                <w:color w:val="333333"/>
                <w:sz w:val="20"/>
                <w:szCs w:val="16"/>
                <w:lang w:eastAsia="ko-KR"/>
              </w:rPr>
              <w:t>88</w:t>
            </w:r>
          </w:p>
        </w:tc>
        <w:tc>
          <w:tcPr>
            <w:tcW w:w="490" w:type="pct"/>
            <w:vAlign w:val="bottom"/>
          </w:tcPr>
          <w:p w:rsidR="00000000" w:rsidRDefault="00000000">
            <w:pPr>
              <w:tabs>
                <w:tab w:val="decimal" w:pos="444"/>
              </w:tabs>
              <w:rPr>
                <w:rFonts w:eastAsia="Batang"/>
                <w:bCs/>
                <w:color w:val="333333"/>
                <w:sz w:val="20"/>
                <w:szCs w:val="16"/>
                <w:lang w:eastAsia="ko-KR"/>
              </w:rPr>
            </w:pPr>
            <w:r>
              <w:rPr>
                <w:rFonts w:eastAsia="Batang"/>
                <w:bCs/>
                <w:color w:val="333333"/>
                <w:sz w:val="20"/>
                <w:szCs w:val="16"/>
                <w:lang w:eastAsia="ko-KR"/>
              </w:rPr>
              <w:t>12</w:t>
            </w:r>
          </w:p>
        </w:tc>
      </w:tr>
      <w:tr w:rsidR="00000000">
        <w:tblPrEx>
          <w:tblCellMar>
            <w:top w:w="0" w:type="dxa"/>
            <w:bottom w:w="0" w:type="dxa"/>
          </w:tblCellMar>
        </w:tblPrEx>
        <w:tc>
          <w:tcPr>
            <w:tcW w:w="473" w:type="pct"/>
          </w:tcPr>
          <w:p w:rsidR="00000000" w:rsidRDefault="00000000">
            <w:pPr>
              <w:jc w:val="center"/>
              <w:rPr>
                <w:rFonts w:eastAsia="Batang"/>
                <w:bCs/>
                <w:color w:val="333333"/>
                <w:sz w:val="20"/>
                <w:szCs w:val="16"/>
                <w:lang w:eastAsia="ko-KR"/>
              </w:rPr>
            </w:pPr>
            <w:r>
              <w:rPr>
                <w:rFonts w:eastAsia="Batang"/>
                <w:bCs/>
                <w:color w:val="333333"/>
                <w:sz w:val="20"/>
                <w:szCs w:val="16"/>
                <w:lang w:eastAsia="ko-KR"/>
              </w:rPr>
              <w:t>2002</w:t>
            </w:r>
          </w:p>
        </w:tc>
        <w:tc>
          <w:tcPr>
            <w:tcW w:w="450" w:type="pct"/>
            <w:vAlign w:val="bottom"/>
          </w:tcPr>
          <w:p w:rsidR="00000000" w:rsidRDefault="00000000">
            <w:pPr>
              <w:tabs>
                <w:tab w:val="decimal" w:pos="565"/>
              </w:tabs>
              <w:rPr>
                <w:rFonts w:eastAsia="Batang"/>
                <w:bCs/>
                <w:color w:val="333333"/>
                <w:sz w:val="20"/>
                <w:szCs w:val="16"/>
                <w:lang w:eastAsia="ko-KR"/>
              </w:rPr>
            </w:pPr>
            <w:r>
              <w:rPr>
                <w:rFonts w:eastAsia="Batang"/>
                <w:bCs/>
                <w:color w:val="333333"/>
                <w:sz w:val="20"/>
                <w:szCs w:val="16"/>
                <w:lang w:eastAsia="ko-KR"/>
              </w:rPr>
              <w:t>2.778</w:t>
            </w:r>
          </w:p>
        </w:tc>
        <w:tc>
          <w:tcPr>
            <w:tcW w:w="449" w:type="pct"/>
            <w:vAlign w:val="bottom"/>
          </w:tcPr>
          <w:p w:rsidR="00000000" w:rsidRDefault="00000000">
            <w:pPr>
              <w:tabs>
                <w:tab w:val="decimal" w:pos="488"/>
              </w:tabs>
              <w:rPr>
                <w:rFonts w:eastAsia="Batang"/>
                <w:bCs/>
                <w:color w:val="333333"/>
                <w:sz w:val="20"/>
                <w:szCs w:val="16"/>
                <w:lang w:eastAsia="ko-KR"/>
              </w:rPr>
            </w:pPr>
            <w:r>
              <w:rPr>
                <w:rFonts w:eastAsia="Batang"/>
                <w:bCs/>
                <w:color w:val="333333"/>
                <w:sz w:val="20"/>
                <w:szCs w:val="16"/>
                <w:lang w:eastAsia="ko-KR"/>
              </w:rPr>
              <w:t>41</w:t>
            </w:r>
          </w:p>
        </w:tc>
        <w:tc>
          <w:tcPr>
            <w:tcW w:w="448" w:type="pct"/>
            <w:vAlign w:val="bottom"/>
          </w:tcPr>
          <w:p w:rsidR="00000000" w:rsidRDefault="00000000">
            <w:pPr>
              <w:tabs>
                <w:tab w:val="decimal" w:pos="469"/>
              </w:tabs>
              <w:rPr>
                <w:rFonts w:eastAsia="Batang"/>
                <w:bCs/>
                <w:color w:val="333333"/>
                <w:sz w:val="20"/>
                <w:szCs w:val="16"/>
                <w:lang w:eastAsia="ko-KR"/>
              </w:rPr>
            </w:pPr>
            <w:r>
              <w:rPr>
                <w:rFonts w:eastAsia="Batang"/>
                <w:bCs/>
                <w:color w:val="333333"/>
                <w:sz w:val="20"/>
                <w:szCs w:val="16"/>
                <w:lang w:eastAsia="ko-KR"/>
              </w:rPr>
              <w:t>277</w:t>
            </w:r>
          </w:p>
        </w:tc>
        <w:tc>
          <w:tcPr>
            <w:tcW w:w="449" w:type="pct"/>
            <w:vAlign w:val="bottom"/>
          </w:tcPr>
          <w:p w:rsidR="00000000" w:rsidRDefault="00000000">
            <w:pPr>
              <w:tabs>
                <w:tab w:val="decimal" w:pos="551"/>
              </w:tabs>
              <w:rPr>
                <w:rFonts w:eastAsia="Batang"/>
                <w:bCs/>
                <w:color w:val="333333"/>
                <w:sz w:val="20"/>
                <w:szCs w:val="16"/>
                <w:lang w:eastAsia="ko-KR"/>
              </w:rPr>
            </w:pPr>
            <w:r>
              <w:rPr>
                <w:rFonts w:eastAsia="Batang"/>
                <w:bCs/>
                <w:color w:val="333333"/>
                <w:sz w:val="20"/>
                <w:szCs w:val="16"/>
                <w:lang w:eastAsia="ko-KR"/>
              </w:rPr>
              <w:t>628</w:t>
            </w:r>
          </w:p>
        </w:tc>
        <w:tc>
          <w:tcPr>
            <w:tcW w:w="449" w:type="pct"/>
            <w:vAlign w:val="bottom"/>
          </w:tcPr>
          <w:p w:rsidR="00000000" w:rsidRDefault="00000000">
            <w:pPr>
              <w:tabs>
                <w:tab w:val="decimal" w:pos="561"/>
              </w:tabs>
              <w:ind w:right="101"/>
              <w:rPr>
                <w:rFonts w:eastAsia="Batang"/>
                <w:bCs/>
                <w:color w:val="333333"/>
                <w:sz w:val="20"/>
                <w:szCs w:val="16"/>
                <w:lang w:eastAsia="ko-KR"/>
              </w:rPr>
            </w:pPr>
            <w:r>
              <w:rPr>
                <w:rFonts w:eastAsia="Batang"/>
                <w:bCs/>
                <w:color w:val="333333"/>
                <w:sz w:val="20"/>
                <w:szCs w:val="16"/>
                <w:lang w:eastAsia="ko-KR"/>
              </w:rPr>
              <w:t>363</w:t>
            </w:r>
          </w:p>
        </w:tc>
        <w:tc>
          <w:tcPr>
            <w:tcW w:w="449" w:type="pct"/>
            <w:vAlign w:val="bottom"/>
          </w:tcPr>
          <w:p w:rsidR="00000000" w:rsidRDefault="00000000">
            <w:pPr>
              <w:tabs>
                <w:tab w:val="decimal" w:pos="563"/>
              </w:tabs>
              <w:rPr>
                <w:rFonts w:eastAsia="Batang"/>
                <w:bCs/>
                <w:color w:val="333333"/>
                <w:sz w:val="20"/>
                <w:szCs w:val="16"/>
                <w:lang w:eastAsia="ko-KR"/>
              </w:rPr>
            </w:pPr>
            <w:r>
              <w:rPr>
                <w:rFonts w:eastAsia="Batang"/>
                <w:bCs/>
                <w:color w:val="333333"/>
                <w:sz w:val="20"/>
                <w:szCs w:val="16"/>
                <w:lang w:eastAsia="ko-KR"/>
              </w:rPr>
              <w:t>924</w:t>
            </w:r>
          </w:p>
        </w:tc>
        <w:tc>
          <w:tcPr>
            <w:tcW w:w="449" w:type="pct"/>
            <w:vAlign w:val="bottom"/>
          </w:tcPr>
          <w:p w:rsidR="00000000" w:rsidRDefault="00000000">
            <w:pPr>
              <w:tabs>
                <w:tab w:val="decimal" w:pos="566"/>
              </w:tabs>
              <w:rPr>
                <w:rFonts w:eastAsia="Batang"/>
                <w:bCs/>
                <w:color w:val="333333"/>
                <w:sz w:val="20"/>
                <w:szCs w:val="16"/>
                <w:lang w:eastAsia="ko-KR"/>
              </w:rPr>
            </w:pPr>
            <w:r>
              <w:rPr>
                <w:rFonts w:eastAsia="Batang"/>
                <w:bCs/>
                <w:color w:val="333333"/>
                <w:sz w:val="20"/>
                <w:szCs w:val="16"/>
                <w:lang w:eastAsia="ko-KR"/>
              </w:rPr>
              <w:t>289</w:t>
            </w:r>
          </w:p>
        </w:tc>
        <w:tc>
          <w:tcPr>
            <w:tcW w:w="404" w:type="pct"/>
            <w:vAlign w:val="bottom"/>
          </w:tcPr>
          <w:p w:rsidR="00000000" w:rsidRDefault="00000000">
            <w:pPr>
              <w:tabs>
                <w:tab w:val="decimal" w:pos="482"/>
              </w:tabs>
              <w:rPr>
                <w:rFonts w:eastAsia="Batang"/>
                <w:bCs/>
                <w:color w:val="333333"/>
                <w:sz w:val="20"/>
                <w:szCs w:val="16"/>
                <w:lang w:eastAsia="ko-KR"/>
              </w:rPr>
            </w:pPr>
            <w:r>
              <w:rPr>
                <w:rFonts w:eastAsia="Batang"/>
                <w:bCs/>
                <w:color w:val="333333"/>
                <w:sz w:val="20"/>
                <w:szCs w:val="16"/>
                <w:lang w:eastAsia="ko-KR"/>
              </w:rPr>
              <w:t>161</w:t>
            </w:r>
          </w:p>
        </w:tc>
        <w:tc>
          <w:tcPr>
            <w:tcW w:w="492" w:type="pct"/>
            <w:vAlign w:val="bottom"/>
          </w:tcPr>
          <w:p w:rsidR="00000000" w:rsidRDefault="00000000">
            <w:pPr>
              <w:tabs>
                <w:tab w:val="decimal" w:pos="476"/>
              </w:tabs>
              <w:rPr>
                <w:rFonts w:eastAsia="Batang"/>
                <w:bCs/>
                <w:color w:val="333333"/>
                <w:sz w:val="20"/>
                <w:szCs w:val="16"/>
                <w:lang w:eastAsia="ko-KR"/>
              </w:rPr>
            </w:pPr>
            <w:r>
              <w:rPr>
                <w:rFonts w:eastAsia="Batang"/>
                <w:bCs/>
                <w:color w:val="333333"/>
                <w:sz w:val="20"/>
                <w:szCs w:val="16"/>
                <w:lang w:eastAsia="ko-KR"/>
              </w:rPr>
              <w:t>92</w:t>
            </w:r>
          </w:p>
        </w:tc>
        <w:tc>
          <w:tcPr>
            <w:tcW w:w="490" w:type="pct"/>
            <w:vAlign w:val="bottom"/>
          </w:tcPr>
          <w:p w:rsidR="00000000" w:rsidRDefault="00000000">
            <w:pPr>
              <w:tabs>
                <w:tab w:val="decimal" w:pos="444"/>
              </w:tabs>
              <w:rPr>
                <w:rFonts w:eastAsia="Batang"/>
                <w:bCs/>
                <w:color w:val="333333"/>
                <w:sz w:val="20"/>
                <w:szCs w:val="16"/>
                <w:lang w:eastAsia="ko-KR"/>
              </w:rPr>
            </w:pPr>
            <w:r>
              <w:rPr>
                <w:rFonts w:eastAsia="Batang"/>
                <w:bCs/>
                <w:color w:val="333333"/>
                <w:sz w:val="20"/>
                <w:szCs w:val="16"/>
                <w:lang w:eastAsia="ko-KR"/>
              </w:rPr>
              <w:t>3</w:t>
            </w:r>
          </w:p>
        </w:tc>
      </w:tr>
      <w:tr w:rsidR="00000000">
        <w:tblPrEx>
          <w:tblCellMar>
            <w:top w:w="0" w:type="dxa"/>
            <w:bottom w:w="0" w:type="dxa"/>
          </w:tblCellMar>
        </w:tblPrEx>
        <w:tc>
          <w:tcPr>
            <w:tcW w:w="473" w:type="pct"/>
          </w:tcPr>
          <w:p w:rsidR="00000000" w:rsidRDefault="00000000">
            <w:pPr>
              <w:jc w:val="center"/>
              <w:rPr>
                <w:rFonts w:eastAsia="Batang"/>
                <w:bCs/>
                <w:color w:val="333333"/>
                <w:sz w:val="20"/>
                <w:szCs w:val="16"/>
                <w:lang w:eastAsia="ko-KR"/>
              </w:rPr>
            </w:pPr>
            <w:r>
              <w:rPr>
                <w:rFonts w:eastAsia="Batang"/>
                <w:bCs/>
                <w:color w:val="333333"/>
                <w:sz w:val="20"/>
                <w:szCs w:val="16"/>
                <w:lang w:eastAsia="ko-KR"/>
              </w:rPr>
              <w:t>2003</w:t>
            </w:r>
          </w:p>
        </w:tc>
        <w:tc>
          <w:tcPr>
            <w:tcW w:w="450" w:type="pct"/>
            <w:vAlign w:val="bottom"/>
          </w:tcPr>
          <w:p w:rsidR="00000000" w:rsidRDefault="00000000">
            <w:pPr>
              <w:tabs>
                <w:tab w:val="decimal" w:pos="565"/>
              </w:tabs>
              <w:rPr>
                <w:rFonts w:eastAsia="Batang"/>
                <w:bCs/>
                <w:color w:val="333333"/>
                <w:sz w:val="20"/>
                <w:szCs w:val="16"/>
                <w:lang w:eastAsia="ko-KR"/>
              </w:rPr>
            </w:pPr>
            <w:r>
              <w:rPr>
                <w:rFonts w:eastAsia="Batang"/>
                <w:bCs/>
                <w:color w:val="333333"/>
                <w:sz w:val="20"/>
                <w:szCs w:val="16"/>
                <w:lang w:eastAsia="ko-KR"/>
              </w:rPr>
              <w:t>1.392</w:t>
            </w:r>
          </w:p>
        </w:tc>
        <w:tc>
          <w:tcPr>
            <w:tcW w:w="449" w:type="pct"/>
            <w:vAlign w:val="bottom"/>
          </w:tcPr>
          <w:p w:rsidR="00000000" w:rsidRDefault="00000000">
            <w:pPr>
              <w:tabs>
                <w:tab w:val="decimal" w:pos="488"/>
              </w:tabs>
              <w:rPr>
                <w:rFonts w:eastAsia="Batang"/>
                <w:bCs/>
                <w:color w:val="333333"/>
                <w:sz w:val="20"/>
                <w:szCs w:val="16"/>
                <w:lang w:eastAsia="ko-KR"/>
              </w:rPr>
            </w:pPr>
            <w:r>
              <w:rPr>
                <w:rFonts w:eastAsia="Batang"/>
                <w:bCs/>
                <w:color w:val="333333"/>
                <w:sz w:val="20"/>
                <w:szCs w:val="16"/>
                <w:lang w:eastAsia="ko-KR"/>
              </w:rPr>
              <w:t>13</w:t>
            </w:r>
          </w:p>
        </w:tc>
        <w:tc>
          <w:tcPr>
            <w:tcW w:w="448" w:type="pct"/>
            <w:vAlign w:val="bottom"/>
          </w:tcPr>
          <w:p w:rsidR="00000000" w:rsidRDefault="00000000">
            <w:pPr>
              <w:tabs>
                <w:tab w:val="decimal" w:pos="469"/>
              </w:tabs>
              <w:rPr>
                <w:rFonts w:eastAsia="Batang"/>
                <w:bCs/>
                <w:color w:val="333333"/>
                <w:sz w:val="20"/>
                <w:szCs w:val="16"/>
                <w:lang w:eastAsia="ko-KR"/>
              </w:rPr>
            </w:pPr>
            <w:r>
              <w:rPr>
                <w:rFonts w:eastAsia="Batang"/>
                <w:bCs/>
                <w:color w:val="333333"/>
                <w:sz w:val="20"/>
                <w:szCs w:val="16"/>
                <w:lang w:eastAsia="ko-KR"/>
              </w:rPr>
              <w:t>156</w:t>
            </w:r>
          </w:p>
        </w:tc>
        <w:tc>
          <w:tcPr>
            <w:tcW w:w="449" w:type="pct"/>
            <w:vAlign w:val="bottom"/>
          </w:tcPr>
          <w:p w:rsidR="00000000" w:rsidRDefault="00000000">
            <w:pPr>
              <w:tabs>
                <w:tab w:val="decimal" w:pos="551"/>
              </w:tabs>
              <w:rPr>
                <w:rFonts w:eastAsia="Batang"/>
                <w:bCs/>
                <w:color w:val="333333"/>
                <w:sz w:val="20"/>
                <w:szCs w:val="16"/>
                <w:lang w:eastAsia="ko-KR"/>
              </w:rPr>
            </w:pPr>
            <w:r>
              <w:rPr>
                <w:rFonts w:eastAsia="Batang"/>
                <w:bCs/>
                <w:color w:val="333333"/>
                <w:sz w:val="20"/>
                <w:szCs w:val="16"/>
                <w:lang w:eastAsia="ko-KR"/>
              </w:rPr>
              <w:t>286</w:t>
            </w:r>
          </w:p>
        </w:tc>
        <w:tc>
          <w:tcPr>
            <w:tcW w:w="449" w:type="pct"/>
            <w:vAlign w:val="bottom"/>
          </w:tcPr>
          <w:p w:rsidR="00000000" w:rsidRDefault="00000000">
            <w:pPr>
              <w:tabs>
                <w:tab w:val="decimal" w:pos="561"/>
              </w:tabs>
              <w:ind w:right="101"/>
              <w:rPr>
                <w:rFonts w:eastAsia="Batang"/>
                <w:bCs/>
                <w:color w:val="333333"/>
                <w:sz w:val="20"/>
                <w:szCs w:val="16"/>
                <w:lang w:eastAsia="ko-KR"/>
              </w:rPr>
            </w:pPr>
            <w:r>
              <w:rPr>
                <w:rFonts w:eastAsia="Batang"/>
                <w:bCs/>
                <w:color w:val="333333"/>
                <w:sz w:val="20"/>
                <w:szCs w:val="16"/>
                <w:lang w:eastAsia="ko-KR"/>
              </w:rPr>
              <w:t>158</w:t>
            </w:r>
          </w:p>
        </w:tc>
        <w:tc>
          <w:tcPr>
            <w:tcW w:w="449" w:type="pct"/>
            <w:vAlign w:val="bottom"/>
          </w:tcPr>
          <w:p w:rsidR="00000000" w:rsidRDefault="00000000">
            <w:pPr>
              <w:tabs>
                <w:tab w:val="decimal" w:pos="563"/>
              </w:tabs>
              <w:rPr>
                <w:rFonts w:eastAsia="Batang"/>
                <w:bCs/>
                <w:color w:val="333333"/>
                <w:sz w:val="20"/>
                <w:szCs w:val="16"/>
                <w:lang w:eastAsia="ko-KR"/>
              </w:rPr>
            </w:pPr>
            <w:r>
              <w:rPr>
                <w:rFonts w:eastAsia="Batang"/>
                <w:bCs/>
                <w:color w:val="333333"/>
                <w:sz w:val="20"/>
                <w:szCs w:val="16"/>
                <w:lang w:eastAsia="ko-KR"/>
              </w:rPr>
              <w:t>633</w:t>
            </w:r>
          </w:p>
        </w:tc>
        <w:tc>
          <w:tcPr>
            <w:tcW w:w="449" w:type="pct"/>
            <w:vAlign w:val="bottom"/>
          </w:tcPr>
          <w:p w:rsidR="00000000" w:rsidRDefault="00000000">
            <w:pPr>
              <w:tabs>
                <w:tab w:val="decimal" w:pos="566"/>
              </w:tabs>
              <w:rPr>
                <w:rFonts w:eastAsia="Batang"/>
                <w:bCs/>
                <w:color w:val="333333"/>
                <w:sz w:val="20"/>
                <w:szCs w:val="16"/>
                <w:lang w:eastAsia="ko-KR"/>
              </w:rPr>
            </w:pPr>
            <w:r>
              <w:rPr>
                <w:rFonts w:eastAsia="Batang"/>
                <w:bCs/>
                <w:color w:val="333333"/>
                <w:sz w:val="20"/>
                <w:szCs w:val="16"/>
                <w:lang w:eastAsia="ko-KR"/>
              </w:rPr>
              <w:t>80</w:t>
            </w:r>
          </w:p>
        </w:tc>
        <w:tc>
          <w:tcPr>
            <w:tcW w:w="404" w:type="pct"/>
            <w:vAlign w:val="bottom"/>
          </w:tcPr>
          <w:p w:rsidR="00000000" w:rsidRDefault="00000000">
            <w:pPr>
              <w:tabs>
                <w:tab w:val="decimal" w:pos="482"/>
              </w:tabs>
              <w:rPr>
                <w:rFonts w:eastAsia="Batang"/>
                <w:bCs/>
                <w:color w:val="333333"/>
                <w:sz w:val="20"/>
                <w:szCs w:val="16"/>
                <w:lang w:eastAsia="ko-KR"/>
              </w:rPr>
            </w:pPr>
            <w:r>
              <w:rPr>
                <w:rFonts w:eastAsia="Batang"/>
                <w:bCs/>
                <w:color w:val="333333"/>
                <w:sz w:val="20"/>
                <w:szCs w:val="16"/>
                <w:lang w:eastAsia="ko-KR"/>
              </w:rPr>
              <w:t>61</w:t>
            </w:r>
          </w:p>
        </w:tc>
        <w:tc>
          <w:tcPr>
            <w:tcW w:w="492" w:type="pct"/>
            <w:vAlign w:val="bottom"/>
          </w:tcPr>
          <w:p w:rsidR="00000000" w:rsidRDefault="00000000">
            <w:pPr>
              <w:tabs>
                <w:tab w:val="decimal" w:pos="476"/>
              </w:tabs>
              <w:rPr>
                <w:rFonts w:eastAsia="Batang"/>
                <w:bCs/>
                <w:color w:val="333333"/>
                <w:sz w:val="20"/>
                <w:szCs w:val="16"/>
                <w:lang w:eastAsia="ko-KR"/>
              </w:rPr>
            </w:pPr>
            <w:r>
              <w:rPr>
                <w:rFonts w:eastAsia="Batang"/>
                <w:bCs/>
                <w:color w:val="333333"/>
                <w:sz w:val="20"/>
                <w:szCs w:val="16"/>
                <w:lang w:eastAsia="ko-KR"/>
              </w:rPr>
              <w:t>0</w:t>
            </w:r>
          </w:p>
        </w:tc>
        <w:tc>
          <w:tcPr>
            <w:tcW w:w="490" w:type="pct"/>
            <w:vAlign w:val="bottom"/>
          </w:tcPr>
          <w:p w:rsidR="00000000" w:rsidRDefault="00000000">
            <w:pPr>
              <w:tabs>
                <w:tab w:val="decimal" w:pos="444"/>
              </w:tabs>
              <w:rPr>
                <w:rFonts w:eastAsia="Batang"/>
                <w:bCs/>
                <w:color w:val="333333"/>
                <w:sz w:val="20"/>
                <w:szCs w:val="16"/>
                <w:lang w:eastAsia="ko-KR"/>
              </w:rPr>
            </w:pPr>
            <w:r>
              <w:rPr>
                <w:rFonts w:eastAsia="Batang"/>
                <w:bCs/>
                <w:color w:val="333333"/>
                <w:sz w:val="20"/>
                <w:szCs w:val="16"/>
                <w:lang w:eastAsia="ko-KR"/>
              </w:rPr>
              <w:t>5</w:t>
            </w:r>
          </w:p>
        </w:tc>
      </w:tr>
      <w:tr w:rsidR="00000000">
        <w:tblPrEx>
          <w:tblCellMar>
            <w:top w:w="0" w:type="dxa"/>
            <w:bottom w:w="0" w:type="dxa"/>
          </w:tblCellMar>
        </w:tblPrEx>
        <w:tc>
          <w:tcPr>
            <w:tcW w:w="473" w:type="pct"/>
          </w:tcPr>
          <w:p w:rsidR="00000000" w:rsidRDefault="00000000">
            <w:pPr>
              <w:jc w:val="center"/>
              <w:rPr>
                <w:rFonts w:eastAsia="Batang"/>
                <w:bCs/>
                <w:color w:val="333333"/>
                <w:sz w:val="20"/>
                <w:szCs w:val="16"/>
                <w:lang w:eastAsia="ko-KR"/>
              </w:rPr>
            </w:pPr>
            <w:r>
              <w:rPr>
                <w:rFonts w:eastAsia="Batang"/>
                <w:bCs/>
                <w:color w:val="333333"/>
                <w:sz w:val="20"/>
                <w:szCs w:val="16"/>
                <w:lang w:eastAsia="ko-KR"/>
              </w:rPr>
              <w:t>2004</w:t>
            </w:r>
          </w:p>
        </w:tc>
        <w:tc>
          <w:tcPr>
            <w:tcW w:w="450" w:type="pct"/>
            <w:vAlign w:val="bottom"/>
          </w:tcPr>
          <w:p w:rsidR="00000000" w:rsidRDefault="00000000">
            <w:pPr>
              <w:tabs>
                <w:tab w:val="decimal" w:pos="565"/>
              </w:tabs>
              <w:rPr>
                <w:rFonts w:eastAsia="Batang"/>
                <w:bCs/>
                <w:color w:val="333333"/>
                <w:sz w:val="20"/>
                <w:szCs w:val="16"/>
                <w:lang w:eastAsia="ko-KR"/>
              </w:rPr>
            </w:pPr>
            <w:r>
              <w:rPr>
                <w:rFonts w:eastAsia="Batang"/>
                <w:bCs/>
                <w:color w:val="333333"/>
                <w:sz w:val="20"/>
                <w:szCs w:val="16"/>
                <w:lang w:eastAsia="ko-KR"/>
              </w:rPr>
              <w:t>694</w:t>
            </w:r>
          </w:p>
        </w:tc>
        <w:tc>
          <w:tcPr>
            <w:tcW w:w="449" w:type="pct"/>
            <w:vAlign w:val="bottom"/>
          </w:tcPr>
          <w:p w:rsidR="00000000" w:rsidRDefault="00000000">
            <w:pPr>
              <w:tabs>
                <w:tab w:val="decimal" w:pos="488"/>
              </w:tabs>
              <w:rPr>
                <w:rFonts w:eastAsia="Batang"/>
                <w:bCs/>
                <w:color w:val="333333"/>
                <w:sz w:val="20"/>
                <w:szCs w:val="16"/>
                <w:lang w:eastAsia="ko-KR"/>
              </w:rPr>
            </w:pPr>
            <w:r>
              <w:rPr>
                <w:rFonts w:eastAsia="Batang"/>
                <w:bCs/>
                <w:color w:val="333333"/>
                <w:sz w:val="20"/>
                <w:szCs w:val="16"/>
                <w:lang w:eastAsia="ko-KR"/>
              </w:rPr>
              <w:t>5</w:t>
            </w:r>
          </w:p>
        </w:tc>
        <w:tc>
          <w:tcPr>
            <w:tcW w:w="448" w:type="pct"/>
            <w:vAlign w:val="bottom"/>
          </w:tcPr>
          <w:p w:rsidR="00000000" w:rsidRDefault="00000000">
            <w:pPr>
              <w:tabs>
                <w:tab w:val="decimal" w:pos="469"/>
              </w:tabs>
              <w:rPr>
                <w:rFonts w:eastAsia="Batang"/>
                <w:bCs/>
                <w:color w:val="333333"/>
                <w:sz w:val="20"/>
                <w:szCs w:val="16"/>
                <w:lang w:eastAsia="ko-KR"/>
              </w:rPr>
            </w:pPr>
            <w:r>
              <w:rPr>
                <w:rFonts w:eastAsia="Batang"/>
                <w:bCs/>
                <w:color w:val="333333"/>
                <w:sz w:val="20"/>
                <w:szCs w:val="16"/>
                <w:lang w:eastAsia="ko-KR"/>
              </w:rPr>
              <w:t>59</w:t>
            </w:r>
          </w:p>
        </w:tc>
        <w:tc>
          <w:tcPr>
            <w:tcW w:w="449" w:type="pct"/>
            <w:vAlign w:val="bottom"/>
          </w:tcPr>
          <w:p w:rsidR="00000000" w:rsidRDefault="00000000">
            <w:pPr>
              <w:tabs>
                <w:tab w:val="decimal" w:pos="551"/>
              </w:tabs>
              <w:rPr>
                <w:rFonts w:eastAsia="Batang"/>
                <w:bCs/>
                <w:color w:val="333333"/>
                <w:sz w:val="20"/>
                <w:szCs w:val="16"/>
                <w:lang w:eastAsia="ko-KR"/>
              </w:rPr>
            </w:pPr>
            <w:r>
              <w:rPr>
                <w:rFonts w:eastAsia="Batang"/>
                <w:bCs/>
                <w:color w:val="333333"/>
                <w:sz w:val="20"/>
                <w:szCs w:val="16"/>
                <w:lang w:eastAsia="ko-KR"/>
              </w:rPr>
              <w:t>139</w:t>
            </w:r>
          </w:p>
        </w:tc>
        <w:tc>
          <w:tcPr>
            <w:tcW w:w="449" w:type="pct"/>
            <w:vAlign w:val="bottom"/>
          </w:tcPr>
          <w:p w:rsidR="00000000" w:rsidRDefault="00000000">
            <w:pPr>
              <w:tabs>
                <w:tab w:val="decimal" w:pos="561"/>
              </w:tabs>
              <w:ind w:right="101"/>
              <w:rPr>
                <w:rFonts w:eastAsia="Batang"/>
                <w:bCs/>
                <w:color w:val="333333"/>
                <w:sz w:val="20"/>
                <w:szCs w:val="16"/>
                <w:lang w:eastAsia="ko-KR"/>
              </w:rPr>
            </w:pPr>
            <w:r>
              <w:rPr>
                <w:rFonts w:eastAsia="Batang"/>
                <w:bCs/>
                <w:color w:val="333333"/>
                <w:sz w:val="20"/>
                <w:szCs w:val="16"/>
                <w:lang w:eastAsia="ko-KR"/>
              </w:rPr>
              <w:t>80</w:t>
            </w:r>
          </w:p>
        </w:tc>
        <w:tc>
          <w:tcPr>
            <w:tcW w:w="449" w:type="pct"/>
            <w:vAlign w:val="bottom"/>
          </w:tcPr>
          <w:p w:rsidR="00000000" w:rsidRDefault="00000000">
            <w:pPr>
              <w:tabs>
                <w:tab w:val="decimal" w:pos="563"/>
              </w:tabs>
              <w:rPr>
                <w:rFonts w:eastAsia="Batang"/>
                <w:bCs/>
                <w:color w:val="333333"/>
                <w:sz w:val="20"/>
                <w:szCs w:val="16"/>
                <w:lang w:eastAsia="ko-KR"/>
              </w:rPr>
            </w:pPr>
            <w:r>
              <w:rPr>
                <w:rFonts w:eastAsia="Batang"/>
                <w:bCs/>
                <w:color w:val="333333"/>
                <w:sz w:val="20"/>
                <w:szCs w:val="16"/>
                <w:lang w:eastAsia="ko-KR"/>
              </w:rPr>
              <w:t>251</w:t>
            </w:r>
          </w:p>
        </w:tc>
        <w:tc>
          <w:tcPr>
            <w:tcW w:w="449" w:type="pct"/>
            <w:vAlign w:val="bottom"/>
          </w:tcPr>
          <w:p w:rsidR="00000000" w:rsidRDefault="00000000">
            <w:pPr>
              <w:tabs>
                <w:tab w:val="decimal" w:pos="566"/>
              </w:tabs>
              <w:rPr>
                <w:rFonts w:eastAsia="Batang"/>
                <w:bCs/>
                <w:color w:val="333333"/>
                <w:sz w:val="20"/>
                <w:szCs w:val="16"/>
                <w:lang w:eastAsia="ko-KR"/>
              </w:rPr>
            </w:pPr>
            <w:r>
              <w:rPr>
                <w:rFonts w:eastAsia="Batang"/>
                <w:bCs/>
                <w:color w:val="333333"/>
                <w:sz w:val="20"/>
                <w:szCs w:val="16"/>
                <w:lang w:eastAsia="ko-KR"/>
              </w:rPr>
              <w:t>92</w:t>
            </w:r>
          </w:p>
        </w:tc>
        <w:tc>
          <w:tcPr>
            <w:tcW w:w="404" w:type="pct"/>
            <w:vAlign w:val="bottom"/>
          </w:tcPr>
          <w:p w:rsidR="00000000" w:rsidRDefault="00000000">
            <w:pPr>
              <w:tabs>
                <w:tab w:val="decimal" w:pos="482"/>
              </w:tabs>
              <w:rPr>
                <w:rFonts w:eastAsia="Batang"/>
                <w:bCs/>
                <w:color w:val="333333"/>
                <w:sz w:val="20"/>
                <w:szCs w:val="16"/>
                <w:lang w:eastAsia="ko-KR"/>
              </w:rPr>
            </w:pPr>
            <w:r>
              <w:rPr>
                <w:rFonts w:eastAsia="Batang"/>
                <w:bCs/>
                <w:color w:val="333333"/>
                <w:sz w:val="20"/>
                <w:szCs w:val="16"/>
                <w:lang w:eastAsia="ko-KR"/>
              </w:rPr>
              <w:t>40</w:t>
            </w:r>
          </w:p>
        </w:tc>
        <w:tc>
          <w:tcPr>
            <w:tcW w:w="492" w:type="pct"/>
            <w:vAlign w:val="bottom"/>
          </w:tcPr>
          <w:p w:rsidR="00000000" w:rsidRDefault="00000000">
            <w:pPr>
              <w:tabs>
                <w:tab w:val="decimal" w:pos="476"/>
              </w:tabs>
              <w:rPr>
                <w:rFonts w:eastAsia="Batang"/>
                <w:bCs/>
                <w:color w:val="333333"/>
                <w:sz w:val="20"/>
                <w:szCs w:val="16"/>
                <w:lang w:eastAsia="ko-KR"/>
              </w:rPr>
            </w:pPr>
            <w:r>
              <w:rPr>
                <w:rFonts w:eastAsia="Batang"/>
                <w:bCs/>
                <w:color w:val="333333"/>
                <w:sz w:val="20"/>
                <w:szCs w:val="16"/>
                <w:lang w:eastAsia="ko-KR"/>
              </w:rPr>
              <w:t>23</w:t>
            </w:r>
          </w:p>
        </w:tc>
        <w:tc>
          <w:tcPr>
            <w:tcW w:w="490" w:type="pct"/>
            <w:vAlign w:val="bottom"/>
          </w:tcPr>
          <w:p w:rsidR="00000000" w:rsidRDefault="00000000">
            <w:pPr>
              <w:tabs>
                <w:tab w:val="decimal" w:pos="444"/>
              </w:tabs>
              <w:rPr>
                <w:rFonts w:eastAsia="Batang"/>
                <w:bCs/>
                <w:color w:val="333333"/>
                <w:sz w:val="20"/>
                <w:szCs w:val="16"/>
                <w:lang w:eastAsia="ko-KR"/>
              </w:rPr>
            </w:pPr>
            <w:r>
              <w:rPr>
                <w:rFonts w:eastAsia="Batang"/>
                <w:bCs/>
                <w:color w:val="333333"/>
                <w:sz w:val="20"/>
                <w:szCs w:val="16"/>
                <w:lang w:eastAsia="ko-KR"/>
              </w:rPr>
              <w:t>5</w:t>
            </w:r>
          </w:p>
        </w:tc>
      </w:tr>
    </w:tbl>
    <w:p w:rsidR="00000000" w:rsidRDefault="00000000">
      <w:pPr>
        <w:pStyle w:val="BodyText"/>
        <w:spacing w:before="200" w:after="480"/>
        <w:jc w:val="left"/>
        <w:rPr>
          <w:color w:val="333333"/>
          <w:sz w:val="20"/>
          <w:lang w:val="es-MX"/>
        </w:rPr>
      </w:pPr>
      <w:r>
        <w:rPr>
          <w:i/>
          <w:iCs/>
          <w:color w:val="333333"/>
          <w:sz w:val="20"/>
          <w:lang w:val="es-MX"/>
        </w:rPr>
        <w:t xml:space="preserve">Fuente:  </w:t>
      </w:r>
      <w:r>
        <w:rPr>
          <w:color w:val="333333"/>
          <w:sz w:val="20"/>
          <w:lang w:val="es-MX"/>
        </w:rPr>
        <w:t>Sección de Estadística - SENEPA.</w:t>
      </w:r>
    </w:p>
    <w:p w:rsidR="00000000" w:rsidRDefault="00000000">
      <w:pPr>
        <w:autoSpaceDE w:val="0"/>
        <w:autoSpaceDN w:val="0"/>
        <w:adjustRightInd w:val="0"/>
        <w:spacing w:after="240"/>
      </w:pPr>
      <w:r>
        <w:rPr>
          <w:lang w:val="es-MX"/>
        </w:rPr>
        <w:t>530.</w:t>
      </w:r>
      <w:r>
        <w:rPr>
          <w:lang w:val="es-MX"/>
        </w:rPr>
        <w:tab/>
      </w:r>
      <w:r>
        <w:t xml:space="preserve">Las comparaciones interanuales (2003-2004) muestran un descenso acentuado en relación al número de casos y al IPA, se redujo un 44% en cuanto a casos y de 0,89 de IPA a 0,44.  Para el 2004 la mayor proporción de los casos fue en el sexo masculino (68%) no difiriendo del patrón visto en años anteriores.  La faja etaria más afectada fue la de mayores de 20 años (60%). No obstante, la faja etaria de 4 a 15 años representa un 20%, aspecto resaltante.  </w:t>
      </w:r>
    </w:p>
    <w:p w:rsidR="00000000" w:rsidRDefault="00000000">
      <w:pPr>
        <w:autoSpaceDE w:val="0"/>
        <w:autoSpaceDN w:val="0"/>
        <w:adjustRightInd w:val="0"/>
        <w:spacing w:after="240"/>
      </w:pPr>
      <w:r>
        <w:pict>
          <v:shape id="_x0000_s1115" type="#_x0000_t75" style="position:absolute;margin-left:58.35pt;margin-top:0;width:361.65pt;height:259.3pt;z-index:25;mso-wrap-edited:f" wrapcoords="5557 1373 5557 1935 7977 2372 8559 2560 8559 3184 10800 3371 627 4183 448 4308 493 4557 986 4994 1568 5369 1568 7366 538 7429 538 7803 1568 8365 1568 9364 269 10176 269 11612 1568 12361 1568 13360 717 13984 717 14358 1568 14358 1568 16356 1076 17355 1076 18291 1658 18354 8246 18354 3585 18791 3585 20039 6050 20351 403 20476 403 20726 5109 20726 10800 20351 13085 20351 14564 19977 14520 19353 18956 18978 18911 18603 13085 18354 19315 18354 19718 18291 19494 17355 19539 4370 1389 4370 10800 3371 14878 3184 14878 2560 10800 2372 18015 1998 18149 1436 16671 1373 5557 1373">
            <v:imagedata r:id="rId102" o:title=""/>
            <w10:anchorlock/>
          </v:shape>
        </w:pict>
      </w: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pPr>
    </w:p>
    <w:p w:rsidR="00000000" w:rsidRDefault="00000000">
      <w:pPr>
        <w:autoSpaceDE w:val="0"/>
        <w:autoSpaceDN w:val="0"/>
        <w:adjustRightInd w:val="0"/>
        <w:spacing w:after="240"/>
      </w:pPr>
      <w:r>
        <w:t>531.</w:t>
      </w:r>
      <w:r>
        <w:tab/>
        <w:t>Por último, es de importancia destacar que el objetivo del programa es disminuir el número de casos de paludismo en las zonas endémicas en base a una estratificación epidemiológica de riesgo de las zonas geográficas afectadas.  La estrategia se basa en:</w:t>
      </w:r>
    </w:p>
    <w:p w:rsidR="00000000" w:rsidRDefault="00000000">
      <w:pPr>
        <w:spacing w:after="240"/>
        <w:ind w:left="1134" w:hanging="567"/>
        <w:rPr>
          <w:bCs/>
        </w:rPr>
      </w:pPr>
      <w:r>
        <w:rPr>
          <w:bCs/>
        </w:rPr>
        <w:t>a)</w:t>
      </w:r>
      <w:r>
        <w:rPr>
          <w:bCs/>
        </w:rPr>
        <w:tab/>
        <w:t>Enfoque epidemiológico por prioridad de riesgos:</w:t>
      </w:r>
    </w:p>
    <w:p w:rsidR="00000000" w:rsidRDefault="00000000">
      <w:pPr>
        <w:spacing w:after="240"/>
        <w:ind w:left="1491" w:hanging="357"/>
      </w:pPr>
      <w:r>
        <w:t>-</w:t>
      </w:r>
      <w:r>
        <w:tab/>
        <w:t>Estratificación por la intensidad de la incidencia del paludismo a nivel departamental y distrital;</w:t>
      </w:r>
    </w:p>
    <w:p w:rsidR="00000000" w:rsidRDefault="00000000">
      <w:pPr>
        <w:spacing w:after="240"/>
        <w:ind w:left="1491" w:hanging="357"/>
      </w:pPr>
      <w:r>
        <w:t>-</w:t>
      </w:r>
      <w:r>
        <w:tab/>
        <w:t>Determinación de objetivos de control apropiados para cada situación loca;</w:t>
      </w:r>
    </w:p>
    <w:p w:rsidR="00000000" w:rsidRDefault="00000000">
      <w:pPr>
        <w:spacing w:after="240"/>
        <w:ind w:left="1491" w:hanging="357"/>
      </w:pPr>
      <w:r>
        <w:t>-</w:t>
      </w:r>
      <w:r>
        <w:tab/>
        <w:t>Identificación de medidas de control a nivel local.</w:t>
      </w:r>
    </w:p>
    <w:p w:rsidR="00000000" w:rsidRDefault="00000000">
      <w:pPr>
        <w:spacing w:after="240"/>
        <w:ind w:left="1134" w:hanging="567"/>
      </w:pPr>
      <w:r>
        <w:rPr>
          <w:bCs/>
        </w:rPr>
        <w:t>b)</w:t>
      </w:r>
      <w:r>
        <w:rPr>
          <w:bCs/>
        </w:rPr>
        <w:tab/>
        <w:t>Atención prioritaria al enfermo:</w:t>
      </w:r>
    </w:p>
    <w:p w:rsidR="00000000" w:rsidRDefault="00000000">
      <w:pPr>
        <w:spacing w:after="240"/>
        <w:ind w:left="1491" w:hanging="357"/>
      </w:pPr>
      <w:r>
        <w:t>-</w:t>
      </w:r>
      <w:r>
        <w:tab/>
        <w:t>Diagnóstico precoz y preciso:  clínico y parasitológico;</w:t>
      </w:r>
    </w:p>
    <w:p w:rsidR="00000000" w:rsidRDefault="00000000">
      <w:pPr>
        <w:spacing w:after="240"/>
        <w:ind w:left="1491" w:hanging="357"/>
      </w:pPr>
      <w:r>
        <w:t>-</w:t>
      </w:r>
      <w:r>
        <w:tab/>
        <w:t>Tratamiento curativo oportuno y completo.</w:t>
      </w:r>
    </w:p>
    <w:p w:rsidR="00000000" w:rsidRDefault="00000000">
      <w:pPr>
        <w:spacing w:after="240"/>
        <w:ind w:left="1134" w:hanging="567"/>
        <w:rPr>
          <w:bCs/>
        </w:rPr>
      </w:pPr>
      <w:r>
        <w:rPr>
          <w:bCs/>
        </w:rPr>
        <w:t>c)</w:t>
      </w:r>
      <w:r>
        <w:rPr>
          <w:bCs/>
        </w:rPr>
        <w:tab/>
        <w:t>Control integral:</w:t>
      </w:r>
    </w:p>
    <w:p w:rsidR="00000000" w:rsidRDefault="00000000">
      <w:pPr>
        <w:spacing w:after="240"/>
        <w:ind w:left="1491" w:hanging="357"/>
        <w:rPr>
          <w:rFonts w:ascii="Arial" w:hAnsi="Arial" w:cs="Arial"/>
          <w:color w:val="333333"/>
          <w:sz w:val="20"/>
          <w:lang w:val="es-MX"/>
        </w:rPr>
      </w:pPr>
      <w:r>
        <w:t>-</w:t>
      </w:r>
      <w:r>
        <w:tab/>
        <w:t>Aplicación combinada de medidas de control de los factores locales de transmisión</w:t>
      </w:r>
      <w:r>
        <w:rPr>
          <w:rFonts w:ascii="Arial" w:hAnsi="Arial" w:cs="Arial"/>
          <w:color w:val="333333"/>
          <w:sz w:val="20"/>
          <w:lang w:val="es-MX"/>
        </w:rPr>
        <w:t>.</w:t>
      </w:r>
    </w:p>
    <w:p w:rsidR="00000000" w:rsidRDefault="00000000">
      <w:pPr>
        <w:spacing w:after="240"/>
        <w:ind w:left="567"/>
        <w:rPr>
          <w:b/>
        </w:rPr>
      </w:pPr>
      <w:r>
        <w:rPr>
          <w:b/>
        </w:rPr>
        <w:t>8.2.</w:t>
      </w:r>
      <w:r>
        <w:rPr>
          <w:b/>
        </w:rPr>
        <w:tab/>
        <w:t>Dengue</w:t>
      </w:r>
    </w:p>
    <w:p w:rsidR="00000000" w:rsidRDefault="00000000">
      <w:pPr>
        <w:autoSpaceDE w:val="0"/>
        <w:autoSpaceDN w:val="0"/>
        <w:adjustRightInd w:val="0"/>
        <w:spacing w:after="240"/>
      </w:pPr>
      <w:r>
        <w:t>532.</w:t>
      </w:r>
      <w:r>
        <w:tab/>
        <w:t xml:space="preserve">El Programa de Control Vectorial del Dengue en Paraguay, a partir de 1997 está basado en los objetivos propuestos por los países de la región en el Plan Continental, cual es el incremento de las acciones de combate al </w:t>
      </w:r>
      <w:r>
        <w:rPr>
          <w:iCs/>
        </w:rPr>
        <w:t>Aedes aegypti</w:t>
      </w:r>
      <w:r>
        <w:t xml:space="preserve"> con el apoyo de las comunidades, para alcanzar niveles de infestación inferiores a 1%, y así conseguir la eliminación de la circulación de los virus del dengue en la región del MERCOSUR o evitar epidemias de magnitudes incontrolables. En el marco de este Plan Continental, se delinearon los ejes principales de acción, centrándose en la eliminación de criaderos de Aedes aegypti con participación ciudadana, y ya no sólo al tradicional control químico como se estaba dando hasta ese momento.  Para lograr desarrollar estas actividades conjuntas con la comunidad, los roles de una Vigilancia Entomológica y la Promoción de la Salud, son cruciales y determinantes.  </w:t>
      </w:r>
    </w:p>
    <w:p w:rsidR="00000000" w:rsidRDefault="00000000">
      <w:pPr>
        <w:autoSpaceDE w:val="0"/>
        <w:autoSpaceDN w:val="0"/>
        <w:adjustRightInd w:val="0"/>
        <w:spacing w:after="240"/>
      </w:pPr>
      <w:r>
        <w:t>533.</w:t>
      </w:r>
      <w:r>
        <w:tab/>
        <w:t>En el año 2001, se lanza con mucha fuerza una nueva perspectiva para la gestión de los programas apuntando a una visión más holística para la solución del dengue teniendo como base la promoción de la salud.  El Programa Nacional de Control del Dengue depende de la Dirección General de Vigilancia de la Salud, según resolución S.G. 597/2000.  Está encargada en primer lugar de articular todos los componentes institucionales del sector público (Laboratorio Central, Regiones Sanitarias, Servicios de Salud, Vigilancia Epidemiológica, Promoción de la Salud, Control Vectorial entre otras), así como también los emprendimientos del sector privado, orientados todos a la disminución del riesgo de transmisión de esta patología reemergente. En este contexto, el Servicio Nacional para la Erradicación del Paludismo (SENEPA) es parte integrante en el abordaje del control vectorial, y actualmente las informaciones técnicas  generadas por el Servicio, así como la organización de las acciones de combate al vector, a través del Programa de Control Vectorial del Dengue, sirven de pilares fundamentales a este Programa Nacional.</w:t>
      </w:r>
    </w:p>
    <w:p w:rsidR="00000000" w:rsidRDefault="00000000">
      <w:pPr>
        <w:autoSpaceDE w:val="0"/>
        <w:autoSpaceDN w:val="0"/>
        <w:adjustRightInd w:val="0"/>
        <w:spacing w:after="240"/>
        <w:rPr>
          <w:b/>
        </w:rPr>
      </w:pPr>
      <w:r>
        <w:rPr>
          <w:b/>
        </w:rPr>
        <w:tab/>
        <w:t>8.3.</w:t>
      </w:r>
      <w:r>
        <w:rPr>
          <w:b/>
          <w:lang w:val="es-PY"/>
        </w:rPr>
        <w:tab/>
      </w:r>
      <w:r>
        <w:rPr>
          <w:b/>
        </w:rPr>
        <w:t>Mal de Chagas</w:t>
      </w:r>
    </w:p>
    <w:p w:rsidR="00000000" w:rsidRDefault="00000000">
      <w:pPr>
        <w:autoSpaceDE w:val="0"/>
        <w:autoSpaceDN w:val="0"/>
        <w:adjustRightInd w:val="0"/>
        <w:spacing w:after="240"/>
      </w:pPr>
      <w:r>
        <w:t>534.</w:t>
      </w:r>
      <w:r>
        <w:tab/>
        <w:t xml:space="preserve">El Programa ha considerado establecer tres tipos de vigilancia entomológica:  1) formación de líderes comunitarios;  2) participación activa de las escuelas;  3) vigilancia activa, vertical y por muestreo con especial énfasis en las localidades infestadas detectadas en las evaluaciones entomológicas previas al ataque químico. </w:t>
      </w:r>
    </w:p>
    <w:p w:rsidR="00000000" w:rsidRDefault="00000000">
      <w:pPr>
        <w:autoSpaceDE w:val="0"/>
        <w:autoSpaceDN w:val="0"/>
        <w:adjustRightInd w:val="0"/>
        <w:spacing w:after="240"/>
      </w:pPr>
      <w:r>
        <w:t>535.</w:t>
      </w:r>
      <w:r>
        <w:tab/>
        <w:t>A partir del año 1999, se observa una mayor atención en la construcción de datos entomológicos de base, en función de relevamientos hechos casa a casa y considerando variables que permiten el cálculo de todos los indicadores de uso corriente, tales como infestación (referida al intra y peridomicilio); infección natural, colonización, hacinamiento.  Eso representa un avance importante para el análisis y acompañamiento de resultados.</w:t>
      </w:r>
    </w:p>
    <w:p w:rsidR="00000000" w:rsidRDefault="00000000">
      <w:pPr>
        <w:autoSpaceDE w:val="0"/>
        <w:autoSpaceDN w:val="0"/>
        <w:adjustRightInd w:val="0"/>
        <w:spacing w:after="240"/>
      </w:pPr>
      <w:r>
        <w:t>536.</w:t>
      </w:r>
      <w:r>
        <w:tab/>
        <w:t>Se han desarrollado ajustes metodológicos que permiten un empleo racionalizado de los recursos, garantizando la continuidad y contigüidad de las actividades de control en las áreas endémicas priorizadas según grado de riesgo.  Así también, la sistemática adoptada para la colecta de datos, con infestación pre y posrociado, con la recolección de ejemplares después del tratamiento químico domiciliar hace posible perfeccionar la investigación entomológica o identificar condiciones de riesgo para la presencia de triatominos, aun en condiciones de baja densidad.</w:t>
      </w:r>
    </w:p>
    <w:p w:rsidR="00000000" w:rsidRDefault="00000000">
      <w:pPr>
        <w:autoSpaceDE w:val="0"/>
        <w:autoSpaceDN w:val="0"/>
        <w:adjustRightInd w:val="0"/>
        <w:spacing w:after="240"/>
      </w:pPr>
      <w:r>
        <w:t>537.</w:t>
      </w:r>
      <w:r>
        <w:tab/>
        <w:t xml:space="preserve">El descenso de la infestación domiciliar por Triatoma infestans es amplia en áreas endémicas del Paraguay. Se ha logrado sin embargo, la interrupción de la transmisión vectorial por Triatoma infestans en el departamento Amambay en el 2002 (certificación internacional).  Se han desarrollado estrategias de vigilancia en forma mediata a las acciones de control que permitirán sostener la actual situación epidemiológica y encaminarse hacia el objetivo final:  la eliminación del Triatoma infestans. </w:t>
      </w:r>
    </w:p>
    <w:p w:rsidR="00000000" w:rsidRDefault="00000000">
      <w:pPr>
        <w:autoSpaceDE w:val="0"/>
        <w:autoSpaceDN w:val="0"/>
        <w:adjustRightInd w:val="0"/>
        <w:spacing w:after="240"/>
      </w:pPr>
      <w:r>
        <w:t>538.</w:t>
      </w:r>
      <w:r>
        <w:tab/>
        <w:t xml:space="preserve">En cuanto a la participación comunitaria, esta se da mediante una coparticipación del Programa de Combate y Erradicación del Chagas en el Paraguay y los sistemas departamentales de educación, en operaciones de vigilancia que integran el alumnado y la comunidad a las actividades de notificación de focos y mejora de las condiciones de las viviendas, como resultado de las actividades de líderes comunitarios capacitados, vigilancia activa por muestreos y actividad escolar "Semana de Chaga". </w:t>
      </w:r>
    </w:p>
    <w:p w:rsidR="00000000" w:rsidRDefault="00000000">
      <w:pPr>
        <w:autoSpaceDE w:val="0"/>
        <w:autoSpaceDN w:val="0"/>
        <w:adjustRightInd w:val="0"/>
        <w:spacing w:after="240"/>
      </w:pPr>
      <w:r>
        <w:rPr>
          <w:b/>
          <w:lang w:val="es-PY"/>
        </w:rPr>
        <w:tab/>
        <w:t>8.4.</w:t>
      </w:r>
      <w:r>
        <w:rPr>
          <w:b/>
          <w:lang w:val="es-PY"/>
        </w:rPr>
        <w:tab/>
        <w:t>Fiebre amarilla</w:t>
      </w:r>
    </w:p>
    <w:p w:rsidR="00000000" w:rsidRDefault="00000000">
      <w:pPr>
        <w:autoSpaceDE w:val="0"/>
        <w:autoSpaceDN w:val="0"/>
        <w:adjustRightInd w:val="0"/>
        <w:spacing w:after="240"/>
      </w:pPr>
      <w:r>
        <w:t>539.</w:t>
      </w:r>
      <w:r>
        <w:tab/>
        <w:t>En los últimos diez años no se han reportado casos de fiebre amarilla, si bien debido al alto índice de infestación por Aedes aegypti y a los casos reportados en países limítrofes, el país se mantiene en alerta epidemiológica.  La situación epidemiológica de la fiebre amarilla en países limítrofes con el Paraguay y el índice de infestación del vector Aedes aegypti mayor del 5% sugieren que existe un alto riesgo para una eventual circulación y aparición de casos de fiebre amarilla urbana.  No se ha registrado igualmente ningún caso sospechoso.  El sistema de vigilancia ha establecido la notificación inmediata y la toma de muestras ante la presencia de un caso sospechoso y el diagnóstico lo realiza el Laboratorio Central de Salud Pública, utilizando el análisis serológico por el método ELISA IgM de captura desde el año 2001.</w:t>
      </w:r>
    </w:p>
    <w:p w:rsidR="00000000" w:rsidRDefault="00000000">
      <w:pPr>
        <w:autoSpaceDE w:val="0"/>
        <w:autoSpaceDN w:val="0"/>
        <w:adjustRightInd w:val="0"/>
        <w:spacing w:after="240"/>
      </w:pPr>
      <w:r>
        <w:t>540.</w:t>
      </w:r>
      <w:r>
        <w:tab/>
        <w:t>El Ministerio de Salud Pública y Bienestar Social dio inicio en el 2001 a un plan de vacunación antiamarílica por etapas, cuyo objetivo general es prevenir la aparición de la enfermedad en el Paraguay.  La vacunación está dirigida a personas mayores de 1 año de edad, de acuerdo a las zonas de riesgo y a la disponibilidad de vacunas.</w:t>
      </w:r>
    </w:p>
    <w:p w:rsidR="00000000" w:rsidRDefault="00000000">
      <w:pPr>
        <w:autoSpaceDE w:val="0"/>
        <w:autoSpaceDN w:val="0"/>
        <w:adjustRightInd w:val="0"/>
        <w:spacing w:after="240"/>
      </w:pPr>
      <w:r>
        <w:t>541.</w:t>
      </w:r>
      <w:r>
        <w:tab/>
        <w:t>La primera etapa consistió en vacunar 280.000 habitantes de las zonas fronterizas con países endémicos (Boquerón, Alto Paraguay, zona norte de Presidente Hayes y Amambay) y viajeros de todo el país a zonas endémicas.  Desde el 2002 se incluyó la población de Concepción, Canindeyú y Alto Paraná.  Para avanzar en la prevención de la fiebre amarilla, en 2003 se vacunó a la población de 1 a 4 años en el marco de la campaña de seguimiento para la erradicación del sarampión en los siete departamentos limítrofes.</w:t>
      </w:r>
    </w:p>
    <w:p w:rsidR="00000000" w:rsidRDefault="00000000">
      <w:pPr>
        <w:autoSpaceDE w:val="0"/>
        <w:autoSpaceDN w:val="0"/>
        <w:adjustRightInd w:val="0"/>
        <w:spacing w:after="240"/>
      </w:pPr>
      <w:r>
        <w:t>542.</w:t>
      </w:r>
      <w:r>
        <w:tab/>
        <w:t>Las coberturas de vacunación contra la fiebre amarilla no son homogéneas en las diferentes regiones sanitarias incluidas dentro del plan.  No obstante, considerando los compromisos internacionales, se ha realizado una evaluación de los avances redefiniendo las metas y estrategias conforme a la situación de riesgo de cada una de las regiones afectadas. Las coberturas de vacunación reportadas por las regiones incluidas dentro del plan se pueden valorar en la siguiente tabla.</w:t>
      </w:r>
    </w:p>
    <w:p w:rsidR="00000000" w:rsidRDefault="00000000">
      <w:pPr>
        <w:keepNext/>
        <w:keepLines/>
        <w:autoSpaceDE w:val="0"/>
        <w:autoSpaceDN w:val="0"/>
        <w:adjustRightInd w:val="0"/>
        <w:spacing w:after="240"/>
        <w:jc w:val="center"/>
        <w:rPr>
          <w:b/>
          <w:color w:val="333333"/>
          <w:szCs w:val="20"/>
        </w:rPr>
      </w:pPr>
      <w:r>
        <w:rPr>
          <w:b/>
          <w:color w:val="333333"/>
          <w:szCs w:val="20"/>
        </w:rPr>
        <w:t>Paraguay, coberturas de vacunación con AA según región sanitaria, 2001-2004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4"/>
        <w:gridCol w:w="2344"/>
        <w:gridCol w:w="2588"/>
        <w:gridCol w:w="2298"/>
      </w:tblGrid>
      <w:tr w:rsidR="00000000">
        <w:tblPrEx>
          <w:tblCellMar>
            <w:top w:w="0" w:type="dxa"/>
            <w:bottom w:w="0" w:type="dxa"/>
          </w:tblCellMar>
        </w:tblPrEx>
        <w:tc>
          <w:tcPr>
            <w:tcW w:w="2373" w:type="dxa"/>
            <w:vAlign w:val="center"/>
          </w:tcPr>
          <w:p w:rsidR="00000000" w:rsidRDefault="00000000">
            <w:pPr>
              <w:autoSpaceDE w:val="0"/>
              <w:autoSpaceDN w:val="0"/>
              <w:adjustRightInd w:val="0"/>
              <w:jc w:val="center"/>
              <w:rPr>
                <w:b/>
                <w:bCs/>
                <w:lang w:val="es-MX"/>
              </w:rPr>
            </w:pPr>
            <w:r>
              <w:rPr>
                <w:b/>
                <w:bCs/>
                <w:lang w:val="es-MX"/>
              </w:rPr>
              <w:t>Región</w:t>
            </w:r>
          </w:p>
        </w:tc>
        <w:tc>
          <w:tcPr>
            <w:tcW w:w="2374" w:type="dxa"/>
            <w:vAlign w:val="center"/>
          </w:tcPr>
          <w:p w:rsidR="00000000" w:rsidRDefault="00000000">
            <w:pPr>
              <w:autoSpaceDE w:val="0"/>
              <w:autoSpaceDN w:val="0"/>
              <w:adjustRightInd w:val="0"/>
              <w:jc w:val="center"/>
              <w:rPr>
                <w:b/>
                <w:bCs/>
                <w:lang w:val="es-MX"/>
              </w:rPr>
            </w:pPr>
            <w:r>
              <w:rPr>
                <w:b/>
                <w:bCs/>
                <w:lang w:val="es-MX"/>
              </w:rPr>
              <w:t>Población</w:t>
            </w:r>
          </w:p>
        </w:tc>
        <w:tc>
          <w:tcPr>
            <w:tcW w:w="2374" w:type="dxa"/>
            <w:vAlign w:val="center"/>
          </w:tcPr>
          <w:p w:rsidR="00000000" w:rsidRDefault="00000000">
            <w:pPr>
              <w:autoSpaceDE w:val="0"/>
              <w:autoSpaceDN w:val="0"/>
              <w:adjustRightInd w:val="0"/>
              <w:jc w:val="center"/>
              <w:rPr>
                <w:b/>
                <w:bCs/>
                <w:lang w:val="es-MX"/>
              </w:rPr>
            </w:pPr>
            <w:r>
              <w:rPr>
                <w:b/>
                <w:bCs/>
                <w:lang w:val="es-MX"/>
              </w:rPr>
              <w:t>Vacunados</w:t>
            </w:r>
          </w:p>
        </w:tc>
        <w:tc>
          <w:tcPr>
            <w:tcW w:w="2374" w:type="dxa"/>
            <w:vAlign w:val="center"/>
          </w:tcPr>
          <w:p w:rsidR="00000000" w:rsidRDefault="00000000">
            <w:pPr>
              <w:autoSpaceDE w:val="0"/>
              <w:autoSpaceDN w:val="0"/>
              <w:adjustRightInd w:val="0"/>
              <w:jc w:val="center"/>
              <w:rPr>
                <w:b/>
                <w:bCs/>
                <w:lang w:val="es-MX"/>
              </w:rPr>
            </w:pPr>
            <w:r>
              <w:rPr>
                <w:b/>
                <w:bCs/>
                <w:lang w:val="es-MX"/>
              </w:rPr>
              <w:t>Cumplimiento</w:t>
            </w:r>
            <w:r>
              <w:rPr>
                <w:b/>
                <w:bCs/>
                <w:lang w:val="es-MX"/>
              </w:rPr>
              <w:br/>
              <w:t>(porcentaje)</w:t>
            </w:r>
          </w:p>
        </w:tc>
      </w:tr>
      <w:tr w:rsidR="00000000">
        <w:tblPrEx>
          <w:tblCellMar>
            <w:top w:w="0" w:type="dxa"/>
            <w:bottom w:w="0" w:type="dxa"/>
          </w:tblCellMar>
        </w:tblPrEx>
        <w:tc>
          <w:tcPr>
            <w:tcW w:w="2373" w:type="dxa"/>
          </w:tcPr>
          <w:p w:rsidR="00000000" w:rsidRDefault="00000000">
            <w:pPr>
              <w:autoSpaceDE w:val="0"/>
              <w:autoSpaceDN w:val="0"/>
              <w:adjustRightInd w:val="0"/>
              <w:rPr>
                <w:lang w:val="es-MX"/>
              </w:rPr>
            </w:pPr>
            <w:r>
              <w:rPr>
                <w:lang w:val="es-MX"/>
              </w:rPr>
              <w:t>Boquerón</w:t>
            </w:r>
          </w:p>
        </w:tc>
        <w:tc>
          <w:tcPr>
            <w:tcW w:w="2374" w:type="dxa"/>
            <w:vAlign w:val="bottom"/>
          </w:tcPr>
          <w:p w:rsidR="00000000" w:rsidRDefault="00000000">
            <w:pPr>
              <w:tabs>
                <w:tab w:val="decimal" w:pos="1519"/>
              </w:tabs>
              <w:rPr>
                <w:color w:val="333333"/>
                <w:szCs w:val="18"/>
              </w:rPr>
            </w:pPr>
            <w:r>
              <w:rPr>
                <w:color w:val="333333"/>
                <w:szCs w:val="18"/>
              </w:rPr>
              <w:t>32.345</w:t>
            </w:r>
          </w:p>
        </w:tc>
        <w:tc>
          <w:tcPr>
            <w:tcW w:w="2374" w:type="dxa"/>
            <w:vAlign w:val="bottom"/>
          </w:tcPr>
          <w:p w:rsidR="00000000" w:rsidRDefault="00000000">
            <w:pPr>
              <w:tabs>
                <w:tab w:val="decimal" w:pos="1608"/>
              </w:tabs>
              <w:rPr>
                <w:color w:val="333333"/>
                <w:szCs w:val="18"/>
              </w:rPr>
            </w:pPr>
            <w:r>
              <w:rPr>
                <w:color w:val="333333"/>
                <w:szCs w:val="18"/>
              </w:rPr>
              <w:t>39.579</w:t>
            </w:r>
          </w:p>
        </w:tc>
        <w:tc>
          <w:tcPr>
            <w:tcW w:w="2374" w:type="dxa"/>
            <w:vAlign w:val="bottom"/>
          </w:tcPr>
          <w:p w:rsidR="00000000" w:rsidRDefault="00000000">
            <w:pPr>
              <w:jc w:val="center"/>
              <w:rPr>
                <w:color w:val="333333"/>
                <w:szCs w:val="18"/>
              </w:rPr>
            </w:pPr>
            <w:r>
              <w:rPr>
                <w:color w:val="333333"/>
                <w:szCs w:val="18"/>
              </w:rPr>
              <w:t>82</w:t>
            </w:r>
          </w:p>
        </w:tc>
      </w:tr>
      <w:tr w:rsidR="00000000">
        <w:tblPrEx>
          <w:tblCellMar>
            <w:top w:w="0" w:type="dxa"/>
            <w:bottom w:w="0" w:type="dxa"/>
          </w:tblCellMar>
        </w:tblPrEx>
        <w:tc>
          <w:tcPr>
            <w:tcW w:w="2373" w:type="dxa"/>
          </w:tcPr>
          <w:p w:rsidR="00000000" w:rsidRDefault="00000000">
            <w:pPr>
              <w:autoSpaceDE w:val="0"/>
              <w:autoSpaceDN w:val="0"/>
              <w:adjustRightInd w:val="0"/>
              <w:rPr>
                <w:lang w:val="es-MX"/>
              </w:rPr>
            </w:pPr>
            <w:r>
              <w:rPr>
                <w:lang w:val="es-MX"/>
              </w:rPr>
              <w:t>Ato Paraguay</w:t>
            </w:r>
          </w:p>
        </w:tc>
        <w:tc>
          <w:tcPr>
            <w:tcW w:w="2374" w:type="dxa"/>
            <w:vAlign w:val="bottom"/>
          </w:tcPr>
          <w:p w:rsidR="00000000" w:rsidRDefault="00000000">
            <w:pPr>
              <w:tabs>
                <w:tab w:val="decimal" w:pos="1519"/>
              </w:tabs>
              <w:rPr>
                <w:color w:val="333333"/>
                <w:szCs w:val="18"/>
              </w:rPr>
            </w:pPr>
            <w:r>
              <w:rPr>
                <w:color w:val="333333"/>
                <w:szCs w:val="18"/>
              </w:rPr>
              <w:t>9.136</w:t>
            </w:r>
          </w:p>
        </w:tc>
        <w:tc>
          <w:tcPr>
            <w:tcW w:w="2374" w:type="dxa"/>
            <w:vAlign w:val="bottom"/>
          </w:tcPr>
          <w:p w:rsidR="00000000" w:rsidRDefault="00000000">
            <w:pPr>
              <w:tabs>
                <w:tab w:val="decimal" w:pos="1608"/>
              </w:tabs>
              <w:rPr>
                <w:color w:val="333333"/>
                <w:szCs w:val="18"/>
              </w:rPr>
            </w:pPr>
            <w:r>
              <w:rPr>
                <w:color w:val="333333"/>
                <w:szCs w:val="18"/>
              </w:rPr>
              <w:t>11.228</w:t>
            </w:r>
          </w:p>
        </w:tc>
        <w:tc>
          <w:tcPr>
            <w:tcW w:w="2374" w:type="dxa"/>
            <w:vAlign w:val="bottom"/>
          </w:tcPr>
          <w:p w:rsidR="00000000" w:rsidRDefault="00000000">
            <w:pPr>
              <w:jc w:val="center"/>
              <w:rPr>
                <w:color w:val="333333"/>
                <w:szCs w:val="18"/>
              </w:rPr>
            </w:pPr>
            <w:r>
              <w:rPr>
                <w:color w:val="333333"/>
                <w:szCs w:val="18"/>
              </w:rPr>
              <w:t>81</w:t>
            </w:r>
          </w:p>
        </w:tc>
      </w:tr>
      <w:tr w:rsidR="00000000">
        <w:tblPrEx>
          <w:tblCellMar>
            <w:top w:w="0" w:type="dxa"/>
            <w:bottom w:w="0" w:type="dxa"/>
          </w:tblCellMar>
        </w:tblPrEx>
        <w:tc>
          <w:tcPr>
            <w:tcW w:w="2373" w:type="dxa"/>
          </w:tcPr>
          <w:p w:rsidR="00000000" w:rsidRDefault="00000000">
            <w:pPr>
              <w:autoSpaceDE w:val="0"/>
              <w:autoSpaceDN w:val="0"/>
              <w:adjustRightInd w:val="0"/>
              <w:rPr>
                <w:lang w:val="es-MX"/>
              </w:rPr>
            </w:pPr>
            <w:r>
              <w:rPr>
                <w:lang w:val="es-MX"/>
              </w:rPr>
              <w:t>Presidente Hayes</w:t>
            </w:r>
          </w:p>
        </w:tc>
        <w:tc>
          <w:tcPr>
            <w:tcW w:w="2374" w:type="dxa"/>
            <w:vAlign w:val="bottom"/>
          </w:tcPr>
          <w:p w:rsidR="00000000" w:rsidRDefault="00000000">
            <w:pPr>
              <w:tabs>
                <w:tab w:val="decimal" w:pos="1519"/>
              </w:tabs>
              <w:rPr>
                <w:color w:val="333333"/>
                <w:szCs w:val="18"/>
              </w:rPr>
            </w:pPr>
            <w:r>
              <w:rPr>
                <w:color w:val="333333"/>
                <w:szCs w:val="18"/>
              </w:rPr>
              <w:t>26.121</w:t>
            </w:r>
          </w:p>
        </w:tc>
        <w:tc>
          <w:tcPr>
            <w:tcW w:w="2374" w:type="dxa"/>
            <w:vAlign w:val="bottom"/>
          </w:tcPr>
          <w:p w:rsidR="00000000" w:rsidRDefault="00000000">
            <w:pPr>
              <w:tabs>
                <w:tab w:val="decimal" w:pos="1608"/>
              </w:tabs>
              <w:rPr>
                <w:color w:val="333333"/>
                <w:szCs w:val="18"/>
              </w:rPr>
            </w:pPr>
            <w:r>
              <w:rPr>
                <w:color w:val="333333"/>
                <w:szCs w:val="18"/>
              </w:rPr>
              <w:t>86.295</w:t>
            </w:r>
          </w:p>
        </w:tc>
        <w:tc>
          <w:tcPr>
            <w:tcW w:w="2374" w:type="dxa"/>
            <w:vAlign w:val="bottom"/>
          </w:tcPr>
          <w:p w:rsidR="00000000" w:rsidRDefault="00000000">
            <w:pPr>
              <w:jc w:val="center"/>
              <w:rPr>
                <w:color w:val="333333"/>
                <w:szCs w:val="18"/>
              </w:rPr>
            </w:pPr>
            <w:r>
              <w:rPr>
                <w:color w:val="333333"/>
                <w:szCs w:val="18"/>
              </w:rPr>
              <w:t>30</w:t>
            </w:r>
          </w:p>
        </w:tc>
      </w:tr>
      <w:tr w:rsidR="00000000">
        <w:tblPrEx>
          <w:tblCellMar>
            <w:top w:w="0" w:type="dxa"/>
            <w:bottom w:w="0" w:type="dxa"/>
          </w:tblCellMar>
        </w:tblPrEx>
        <w:tc>
          <w:tcPr>
            <w:tcW w:w="2373" w:type="dxa"/>
          </w:tcPr>
          <w:p w:rsidR="00000000" w:rsidRDefault="00000000">
            <w:pPr>
              <w:autoSpaceDE w:val="0"/>
              <w:autoSpaceDN w:val="0"/>
              <w:adjustRightInd w:val="0"/>
              <w:rPr>
                <w:lang w:val="es-MX"/>
              </w:rPr>
            </w:pPr>
            <w:r>
              <w:rPr>
                <w:lang w:val="es-MX"/>
              </w:rPr>
              <w:t>Concepción</w:t>
            </w:r>
          </w:p>
        </w:tc>
        <w:tc>
          <w:tcPr>
            <w:tcW w:w="2374" w:type="dxa"/>
            <w:vAlign w:val="bottom"/>
          </w:tcPr>
          <w:p w:rsidR="00000000" w:rsidRDefault="00000000">
            <w:pPr>
              <w:tabs>
                <w:tab w:val="decimal" w:pos="1519"/>
              </w:tabs>
              <w:rPr>
                <w:color w:val="333333"/>
                <w:szCs w:val="18"/>
              </w:rPr>
            </w:pPr>
            <w:r>
              <w:rPr>
                <w:color w:val="333333"/>
                <w:szCs w:val="18"/>
              </w:rPr>
              <w:t>31.812</w:t>
            </w:r>
          </w:p>
        </w:tc>
        <w:tc>
          <w:tcPr>
            <w:tcW w:w="2374" w:type="dxa"/>
            <w:vAlign w:val="bottom"/>
          </w:tcPr>
          <w:p w:rsidR="00000000" w:rsidRDefault="00000000">
            <w:pPr>
              <w:tabs>
                <w:tab w:val="decimal" w:pos="1608"/>
              </w:tabs>
              <w:rPr>
                <w:color w:val="333333"/>
                <w:szCs w:val="18"/>
              </w:rPr>
            </w:pPr>
            <w:r>
              <w:rPr>
                <w:color w:val="333333"/>
                <w:szCs w:val="18"/>
              </w:rPr>
              <w:t>191.226</w:t>
            </w:r>
          </w:p>
        </w:tc>
        <w:tc>
          <w:tcPr>
            <w:tcW w:w="2374" w:type="dxa"/>
            <w:vAlign w:val="bottom"/>
          </w:tcPr>
          <w:p w:rsidR="00000000" w:rsidRDefault="00000000">
            <w:pPr>
              <w:jc w:val="center"/>
              <w:rPr>
                <w:color w:val="333333"/>
                <w:szCs w:val="18"/>
              </w:rPr>
            </w:pPr>
            <w:r>
              <w:rPr>
                <w:color w:val="333333"/>
                <w:szCs w:val="18"/>
              </w:rPr>
              <w:t>17</w:t>
            </w:r>
          </w:p>
        </w:tc>
      </w:tr>
      <w:tr w:rsidR="00000000">
        <w:tblPrEx>
          <w:tblCellMar>
            <w:top w:w="0" w:type="dxa"/>
            <w:bottom w:w="0" w:type="dxa"/>
          </w:tblCellMar>
        </w:tblPrEx>
        <w:tc>
          <w:tcPr>
            <w:tcW w:w="2373" w:type="dxa"/>
          </w:tcPr>
          <w:p w:rsidR="00000000" w:rsidRDefault="00000000">
            <w:pPr>
              <w:autoSpaceDE w:val="0"/>
              <w:autoSpaceDN w:val="0"/>
              <w:adjustRightInd w:val="0"/>
              <w:rPr>
                <w:lang w:val="es-MX"/>
              </w:rPr>
            </w:pPr>
            <w:r>
              <w:rPr>
                <w:lang w:val="es-MX"/>
              </w:rPr>
              <w:t>Amambay</w:t>
            </w:r>
          </w:p>
        </w:tc>
        <w:tc>
          <w:tcPr>
            <w:tcW w:w="2374" w:type="dxa"/>
            <w:vAlign w:val="bottom"/>
          </w:tcPr>
          <w:p w:rsidR="00000000" w:rsidRDefault="00000000">
            <w:pPr>
              <w:tabs>
                <w:tab w:val="decimal" w:pos="1519"/>
              </w:tabs>
              <w:rPr>
                <w:color w:val="333333"/>
                <w:szCs w:val="18"/>
              </w:rPr>
            </w:pPr>
            <w:r>
              <w:rPr>
                <w:color w:val="333333"/>
                <w:szCs w:val="18"/>
              </w:rPr>
              <w:t>16.383</w:t>
            </w:r>
          </w:p>
        </w:tc>
        <w:tc>
          <w:tcPr>
            <w:tcW w:w="2374" w:type="dxa"/>
            <w:vAlign w:val="bottom"/>
          </w:tcPr>
          <w:p w:rsidR="00000000" w:rsidRDefault="00000000">
            <w:pPr>
              <w:tabs>
                <w:tab w:val="decimal" w:pos="1608"/>
              </w:tabs>
              <w:rPr>
                <w:color w:val="333333"/>
                <w:szCs w:val="18"/>
              </w:rPr>
            </w:pPr>
            <w:r>
              <w:rPr>
                <w:color w:val="333333"/>
                <w:szCs w:val="18"/>
              </w:rPr>
              <w:t>110.782</w:t>
            </w:r>
          </w:p>
        </w:tc>
        <w:tc>
          <w:tcPr>
            <w:tcW w:w="2374" w:type="dxa"/>
            <w:vAlign w:val="bottom"/>
          </w:tcPr>
          <w:p w:rsidR="00000000" w:rsidRDefault="00000000">
            <w:pPr>
              <w:jc w:val="center"/>
              <w:rPr>
                <w:color w:val="333333"/>
                <w:szCs w:val="18"/>
              </w:rPr>
            </w:pPr>
            <w:r>
              <w:rPr>
                <w:color w:val="333333"/>
                <w:szCs w:val="18"/>
              </w:rPr>
              <w:t>15</w:t>
            </w:r>
          </w:p>
        </w:tc>
      </w:tr>
      <w:tr w:rsidR="00000000">
        <w:tblPrEx>
          <w:tblCellMar>
            <w:top w:w="0" w:type="dxa"/>
            <w:bottom w:w="0" w:type="dxa"/>
          </w:tblCellMar>
        </w:tblPrEx>
        <w:tc>
          <w:tcPr>
            <w:tcW w:w="2373" w:type="dxa"/>
          </w:tcPr>
          <w:p w:rsidR="00000000" w:rsidRDefault="00000000">
            <w:pPr>
              <w:autoSpaceDE w:val="0"/>
              <w:autoSpaceDN w:val="0"/>
              <w:adjustRightInd w:val="0"/>
              <w:rPr>
                <w:lang w:val="es-MX"/>
              </w:rPr>
            </w:pPr>
            <w:r>
              <w:rPr>
                <w:lang w:val="es-MX"/>
              </w:rPr>
              <w:t>Canindeyú</w:t>
            </w:r>
          </w:p>
        </w:tc>
        <w:tc>
          <w:tcPr>
            <w:tcW w:w="2374" w:type="dxa"/>
            <w:vAlign w:val="bottom"/>
          </w:tcPr>
          <w:p w:rsidR="00000000" w:rsidRDefault="00000000">
            <w:pPr>
              <w:tabs>
                <w:tab w:val="decimal" w:pos="1519"/>
              </w:tabs>
              <w:rPr>
                <w:color w:val="333333"/>
                <w:szCs w:val="18"/>
              </w:rPr>
            </w:pPr>
            <w:r>
              <w:rPr>
                <w:color w:val="333333"/>
                <w:szCs w:val="18"/>
              </w:rPr>
              <w:t>24.630</w:t>
            </w:r>
          </w:p>
        </w:tc>
        <w:tc>
          <w:tcPr>
            <w:tcW w:w="2374" w:type="dxa"/>
            <w:vAlign w:val="bottom"/>
          </w:tcPr>
          <w:p w:rsidR="00000000" w:rsidRDefault="00000000">
            <w:pPr>
              <w:tabs>
                <w:tab w:val="decimal" w:pos="1608"/>
              </w:tabs>
              <w:rPr>
                <w:color w:val="333333"/>
                <w:szCs w:val="18"/>
              </w:rPr>
            </w:pPr>
            <w:r>
              <w:rPr>
                <w:color w:val="333333"/>
                <w:szCs w:val="18"/>
              </w:rPr>
              <w:t>153.292</w:t>
            </w:r>
          </w:p>
        </w:tc>
        <w:tc>
          <w:tcPr>
            <w:tcW w:w="2374" w:type="dxa"/>
            <w:vAlign w:val="bottom"/>
          </w:tcPr>
          <w:p w:rsidR="00000000" w:rsidRDefault="00000000">
            <w:pPr>
              <w:jc w:val="center"/>
              <w:rPr>
                <w:color w:val="333333"/>
                <w:szCs w:val="18"/>
              </w:rPr>
            </w:pPr>
            <w:r>
              <w:rPr>
                <w:color w:val="333333"/>
                <w:szCs w:val="18"/>
              </w:rPr>
              <w:t>16</w:t>
            </w:r>
          </w:p>
        </w:tc>
      </w:tr>
      <w:tr w:rsidR="00000000">
        <w:tblPrEx>
          <w:tblCellMar>
            <w:top w:w="0" w:type="dxa"/>
            <w:bottom w:w="0" w:type="dxa"/>
          </w:tblCellMar>
        </w:tblPrEx>
        <w:tc>
          <w:tcPr>
            <w:tcW w:w="2373" w:type="dxa"/>
          </w:tcPr>
          <w:p w:rsidR="00000000" w:rsidRDefault="00000000">
            <w:pPr>
              <w:autoSpaceDE w:val="0"/>
              <w:autoSpaceDN w:val="0"/>
              <w:adjustRightInd w:val="0"/>
              <w:rPr>
                <w:lang w:val="es-MX"/>
              </w:rPr>
            </w:pPr>
            <w:r>
              <w:rPr>
                <w:lang w:val="es-MX"/>
              </w:rPr>
              <w:t>Alto Paraná</w:t>
            </w:r>
          </w:p>
        </w:tc>
        <w:tc>
          <w:tcPr>
            <w:tcW w:w="2374" w:type="dxa"/>
            <w:vAlign w:val="bottom"/>
          </w:tcPr>
          <w:p w:rsidR="00000000" w:rsidRDefault="00000000">
            <w:pPr>
              <w:tabs>
                <w:tab w:val="decimal" w:pos="1519"/>
              </w:tabs>
              <w:rPr>
                <w:color w:val="333333"/>
                <w:szCs w:val="18"/>
              </w:rPr>
            </w:pPr>
            <w:r>
              <w:rPr>
                <w:color w:val="333333"/>
                <w:szCs w:val="18"/>
              </w:rPr>
              <w:t>59.745</w:t>
            </w:r>
          </w:p>
        </w:tc>
        <w:tc>
          <w:tcPr>
            <w:tcW w:w="2374" w:type="dxa"/>
            <w:vAlign w:val="bottom"/>
          </w:tcPr>
          <w:p w:rsidR="00000000" w:rsidRDefault="00000000">
            <w:pPr>
              <w:tabs>
                <w:tab w:val="decimal" w:pos="1608"/>
              </w:tabs>
              <w:rPr>
                <w:color w:val="333333"/>
                <w:szCs w:val="18"/>
              </w:rPr>
            </w:pPr>
            <w:r>
              <w:rPr>
                <w:color w:val="333333"/>
                <w:szCs w:val="18"/>
              </w:rPr>
              <w:t>598.613</w:t>
            </w:r>
          </w:p>
        </w:tc>
        <w:tc>
          <w:tcPr>
            <w:tcW w:w="2374" w:type="dxa"/>
            <w:vAlign w:val="bottom"/>
          </w:tcPr>
          <w:p w:rsidR="00000000" w:rsidRDefault="00000000">
            <w:pPr>
              <w:jc w:val="center"/>
              <w:rPr>
                <w:color w:val="333333"/>
                <w:szCs w:val="18"/>
              </w:rPr>
            </w:pPr>
            <w:r>
              <w:rPr>
                <w:color w:val="333333"/>
                <w:szCs w:val="18"/>
              </w:rPr>
              <w:t>10</w:t>
            </w:r>
          </w:p>
        </w:tc>
      </w:tr>
      <w:tr w:rsidR="00000000">
        <w:tblPrEx>
          <w:tblCellMar>
            <w:top w:w="0" w:type="dxa"/>
            <w:bottom w:w="0" w:type="dxa"/>
          </w:tblCellMar>
        </w:tblPrEx>
        <w:tc>
          <w:tcPr>
            <w:tcW w:w="2373" w:type="dxa"/>
          </w:tcPr>
          <w:p w:rsidR="00000000" w:rsidRDefault="00000000">
            <w:pPr>
              <w:tabs>
                <w:tab w:val="left" w:pos="360"/>
              </w:tabs>
              <w:autoSpaceDE w:val="0"/>
              <w:autoSpaceDN w:val="0"/>
              <w:adjustRightInd w:val="0"/>
              <w:rPr>
                <w:b/>
                <w:bCs/>
                <w:lang w:val="es-MX"/>
              </w:rPr>
            </w:pPr>
            <w:r>
              <w:rPr>
                <w:b/>
                <w:bCs/>
                <w:lang w:val="es-MX"/>
              </w:rPr>
              <w:tab/>
              <w:t>Total</w:t>
            </w:r>
          </w:p>
        </w:tc>
        <w:tc>
          <w:tcPr>
            <w:tcW w:w="2374" w:type="dxa"/>
          </w:tcPr>
          <w:p w:rsidR="00000000" w:rsidRDefault="00000000">
            <w:pPr>
              <w:tabs>
                <w:tab w:val="decimal" w:pos="1519"/>
              </w:tabs>
              <w:rPr>
                <w:b/>
                <w:bCs/>
                <w:color w:val="333333"/>
                <w:szCs w:val="18"/>
              </w:rPr>
            </w:pPr>
            <w:r>
              <w:rPr>
                <w:b/>
                <w:bCs/>
                <w:color w:val="333333"/>
                <w:szCs w:val="18"/>
              </w:rPr>
              <w:fldChar w:fldCharType="begin"/>
            </w:r>
            <w:r>
              <w:rPr>
                <w:b/>
                <w:bCs/>
                <w:color w:val="333333"/>
                <w:szCs w:val="18"/>
              </w:rPr>
              <w:instrText xml:space="preserve"> =SUM(ABOVE) </w:instrText>
            </w:r>
            <w:r>
              <w:rPr>
                <w:b/>
                <w:bCs/>
                <w:color w:val="333333"/>
                <w:szCs w:val="18"/>
              </w:rPr>
              <w:fldChar w:fldCharType="separate"/>
            </w:r>
            <w:r>
              <w:rPr>
                <w:b/>
                <w:bCs/>
                <w:color w:val="333333"/>
                <w:szCs w:val="18"/>
              </w:rPr>
              <w:t>200.172</w:t>
            </w:r>
            <w:r>
              <w:rPr>
                <w:b/>
                <w:bCs/>
                <w:color w:val="333333"/>
                <w:szCs w:val="18"/>
              </w:rPr>
              <w:fldChar w:fldCharType="end"/>
            </w:r>
          </w:p>
        </w:tc>
        <w:tc>
          <w:tcPr>
            <w:tcW w:w="2374" w:type="dxa"/>
          </w:tcPr>
          <w:p w:rsidR="00000000" w:rsidRDefault="00000000">
            <w:pPr>
              <w:tabs>
                <w:tab w:val="decimal" w:pos="1608"/>
              </w:tabs>
              <w:rPr>
                <w:b/>
                <w:bCs/>
                <w:color w:val="333333"/>
                <w:szCs w:val="18"/>
              </w:rPr>
            </w:pPr>
            <w:r>
              <w:rPr>
                <w:b/>
                <w:bCs/>
                <w:color w:val="333333"/>
                <w:szCs w:val="18"/>
              </w:rPr>
              <w:fldChar w:fldCharType="begin"/>
            </w:r>
            <w:r>
              <w:rPr>
                <w:b/>
                <w:bCs/>
                <w:color w:val="333333"/>
                <w:szCs w:val="18"/>
              </w:rPr>
              <w:instrText xml:space="preserve"> =SUM(ABOVE) </w:instrText>
            </w:r>
            <w:r>
              <w:rPr>
                <w:b/>
                <w:bCs/>
                <w:color w:val="333333"/>
                <w:szCs w:val="18"/>
              </w:rPr>
              <w:fldChar w:fldCharType="separate"/>
            </w:r>
            <w:r>
              <w:rPr>
                <w:b/>
                <w:bCs/>
                <w:color w:val="333333"/>
                <w:szCs w:val="18"/>
              </w:rPr>
              <w:t>1.191.015</w:t>
            </w:r>
            <w:r>
              <w:rPr>
                <w:b/>
                <w:bCs/>
                <w:color w:val="333333"/>
                <w:szCs w:val="18"/>
              </w:rPr>
              <w:fldChar w:fldCharType="end"/>
            </w:r>
          </w:p>
        </w:tc>
        <w:tc>
          <w:tcPr>
            <w:tcW w:w="2374" w:type="dxa"/>
          </w:tcPr>
          <w:p w:rsidR="00000000" w:rsidRDefault="00000000">
            <w:pPr>
              <w:jc w:val="center"/>
              <w:rPr>
                <w:b/>
                <w:bCs/>
                <w:color w:val="333333"/>
                <w:szCs w:val="18"/>
              </w:rPr>
            </w:pPr>
            <w:r>
              <w:rPr>
                <w:b/>
                <w:bCs/>
                <w:color w:val="333333"/>
                <w:szCs w:val="18"/>
              </w:rPr>
              <w:t>17</w:t>
            </w:r>
          </w:p>
        </w:tc>
      </w:tr>
    </w:tbl>
    <w:p w:rsidR="00000000" w:rsidRDefault="00000000">
      <w:pPr>
        <w:autoSpaceDE w:val="0"/>
        <w:autoSpaceDN w:val="0"/>
        <w:adjustRightInd w:val="0"/>
        <w:spacing w:before="480" w:after="240"/>
      </w:pPr>
      <w:r>
        <w:t>543.</w:t>
      </w:r>
      <w:r>
        <w:tab/>
        <w:t>En cuanto a la vigilancia, actualmente se está diseñando un sistema de vigilancia de síndrome febril ictérico en centros centinelas y el desarrollo de la vigilancia entomológica y control de epizootias en la región del Chaco.  El Paraguay mantiene a nivel internacional el requerimiento de la vacunación contra la fiebre amarilla para inmigrantes de zonas endémicas.</w:t>
      </w:r>
    </w:p>
    <w:p w:rsidR="00000000" w:rsidRDefault="00000000">
      <w:pPr>
        <w:autoSpaceDE w:val="0"/>
        <w:autoSpaceDN w:val="0"/>
        <w:adjustRightInd w:val="0"/>
        <w:spacing w:after="240"/>
      </w:pPr>
      <w:r>
        <w:t>544.</w:t>
      </w:r>
      <w:r>
        <w:tab/>
        <w:t>Se ha firmado un acuerdo binacional Paraguay-Bolivia para avanzar en la prevención y control de la fiebre amarilla en áreas de frontera que incluye alcanzar y mantener coberturas de 100% con AA en municipios de frontera, intercambio de datos de vacunación en estos municipios, fortalecimiento de la vigilancia y estandarización de la ficha de notificación.</w:t>
      </w:r>
    </w:p>
    <w:p w:rsidR="00000000" w:rsidRDefault="00000000">
      <w:pPr>
        <w:autoSpaceDE w:val="0"/>
        <w:autoSpaceDN w:val="0"/>
        <w:adjustRightInd w:val="0"/>
        <w:spacing w:after="240"/>
        <w:rPr>
          <w:b/>
          <w:bCs/>
          <w:lang w:val="es-PY"/>
        </w:rPr>
      </w:pPr>
      <w:r>
        <w:rPr>
          <w:rFonts w:ascii="Arial" w:hAnsi="Arial" w:cs="Arial"/>
          <w:color w:val="333333"/>
        </w:rPr>
        <w:tab/>
      </w:r>
      <w:r>
        <w:rPr>
          <w:b/>
          <w:bCs/>
          <w:lang w:val="es-PY"/>
        </w:rPr>
        <w:t>8.5.</w:t>
      </w:r>
      <w:r>
        <w:rPr>
          <w:b/>
          <w:bCs/>
          <w:lang w:val="es-PY"/>
        </w:rPr>
        <w:tab/>
        <w:t>Cólera</w:t>
      </w:r>
    </w:p>
    <w:p w:rsidR="00000000" w:rsidRDefault="00000000">
      <w:pPr>
        <w:autoSpaceDE w:val="0"/>
        <w:autoSpaceDN w:val="0"/>
        <w:adjustRightInd w:val="0"/>
        <w:spacing w:after="240"/>
      </w:pPr>
      <w:r>
        <w:t>545.</w:t>
      </w:r>
      <w:r>
        <w:tab/>
        <w:t xml:space="preserve">En el Paraguay se notificaron hasta la fecha cuatro casos de cólera, de los cuales tres fueron importados de la Argentina.  El diagnóstico se confirmó por laboratorio en el Instituto Carlos G. Malbián de Buenos Aires.  Las muestras examinadas han dado como resultado vibrio cholerae 01, biotipo EL TOR, serotipo Inaba.  Los estudios concluyeron que el brote se inició probablemente con la ingestión de alimentos contaminados. </w:t>
      </w:r>
    </w:p>
    <w:p w:rsidR="00000000" w:rsidRDefault="00000000">
      <w:pPr>
        <w:autoSpaceDE w:val="0"/>
        <w:autoSpaceDN w:val="0"/>
        <w:adjustRightInd w:val="0"/>
        <w:spacing w:after="240"/>
      </w:pPr>
      <w:r>
        <w:t>546.</w:t>
      </w:r>
      <w:r>
        <w:tab/>
        <w:t>Los casos que aparecieron fueron casos aislados, sin una fuente conexión de contaminación.  Los tres casos importados corresponden a paciente con residencia en áreas urbanas, es decir, con acceso a agua potable y saneamiento básico.  El caso nativo se registró en la localidad de San Antonio, a 22 km de Asunción, en un paciente del sexo masculino, pescador del río Paraguay.  En 1999 se ha declarado el riesgo inminente del ingreso del cólera en el país, debido a un brote que surgió en Paranaguá, puerto franco del Paraguay en el Brasil.</w:t>
      </w:r>
    </w:p>
    <w:p w:rsidR="00000000" w:rsidRDefault="00000000">
      <w:pPr>
        <w:autoSpaceDE w:val="0"/>
        <w:autoSpaceDN w:val="0"/>
        <w:adjustRightInd w:val="0"/>
        <w:spacing w:after="240"/>
      </w:pPr>
      <w:r>
        <w:t>547.</w:t>
      </w:r>
      <w:r>
        <w:tab/>
        <w:t>Se acepta que la proporción de diarreas en menores de 5 años, con relación al total de diarreas, no es superior a un 20-30%.  Cuando se observa semanalmente esta proporción (diarreas en mayores y menores de 5 años), puede advertirse que un aumento proporcional de diarreas en mayores de 5 años, precede en dos o tres semanas a la aparición de caso de cólera.</w:t>
      </w:r>
    </w:p>
    <w:p w:rsidR="00000000" w:rsidRDefault="00000000">
      <w:pPr>
        <w:autoSpaceDE w:val="0"/>
        <w:autoSpaceDN w:val="0"/>
        <w:adjustRightInd w:val="0"/>
        <w:spacing w:after="240"/>
        <w:rPr>
          <w:b/>
        </w:rPr>
      </w:pPr>
      <w:r>
        <w:rPr>
          <w:b/>
        </w:rPr>
        <w:tab/>
        <w:t>8.5.</w:t>
      </w:r>
      <w:r>
        <w:rPr>
          <w:b/>
        </w:rPr>
        <w:tab/>
        <w:t xml:space="preserve">Control de otras enfermedades </w:t>
      </w:r>
    </w:p>
    <w:p w:rsidR="00000000" w:rsidRDefault="00000000">
      <w:pPr>
        <w:autoSpaceDE w:val="0"/>
        <w:autoSpaceDN w:val="0"/>
        <w:adjustRightInd w:val="0"/>
        <w:spacing w:after="240"/>
      </w:pPr>
      <w:r>
        <w:t>548.</w:t>
      </w:r>
      <w:r>
        <w:tab/>
        <w:t>Con relación a la vigilancia sanitaria con relación a otras enfermedades, se encuentra en funcionamiento la Vigilancia Integrada de Gripe Aviar e Influenza en Humanos (2005) y el lanzamiento del Programa Nacional de Vigilancia y Control de Infecciones Intrahospitalarias (2005).</w:t>
      </w:r>
    </w:p>
    <w:p w:rsidR="00000000" w:rsidRDefault="00000000">
      <w:pPr>
        <w:keepNext/>
        <w:spacing w:after="240"/>
        <w:rPr>
          <w:b/>
        </w:rPr>
      </w:pPr>
      <w:r>
        <w:rPr>
          <w:b/>
        </w:rPr>
        <w:t>9.</w:t>
      </w:r>
      <w:r>
        <w:rPr>
          <w:b/>
        </w:rPr>
        <w:tab/>
        <w:t xml:space="preserve">Educación para la salud  </w:t>
      </w:r>
    </w:p>
    <w:p w:rsidR="00000000" w:rsidRDefault="00000000">
      <w:pPr>
        <w:autoSpaceDE w:val="0"/>
        <w:autoSpaceDN w:val="0"/>
        <w:adjustRightInd w:val="0"/>
        <w:spacing w:after="240"/>
      </w:pPr>
      <w:r>
        <w:t>549.</w:t>
      </w:r>
      <w:r>
        <w:tab/>
        <w:t>Uno de los mecanismos para promover los hábitos y entornos saludables que favorezcan la construcción de la salud y de la vida se da mediante el impulso de programas y campañas de municipios saludables, escuelas saludables, viviendas saludables, mercados saludables, cárceles saludables, transportes saludables, sistemas de producción orgánica, lugares de trabajo saludables, etc.</w:t>
      </w:r>
    </w:p>
    <w:p w:rsidR="00000000" w:rsidRDefault="00000000">
      <w:pPr>
        <w:autoSpaceDE w:val="0"/>
        <w:autoSpaceDN w:val="0"/>
        <w:adjustRightInd w:val="0"/>
        <w:spacing w:after="240"/>
      </w:pPr>
      <w:r>
        <w:t>550.</w:t>
      </w:r>
      <w:r>
        <w:tab/>
        <w:t>Asimismo, se promueven estilos de vida que favorezca la salud por grupos etéreos, género y ubicación geográfica para prevenir los factores de riesgo que afecten a la población, como la alimentación saludable, desarrollo de actividades físicas, prevención de adicciones y violencia, educación en valores, atención primaria ambiental, desarrollo de dispositivos de salud mental. También se incorpora al currículo de la educación formal, el desarrollo de los factores protectores de la salud y vigilancia del crecimiento y desarrollo del escolar y adolescente.</w:t>
      </w:r>
    </w:p>
    <w:p w:rsidR="00000000" w:rsidRDefault="00000000">
      <w:pPr>
        <w:autoSpaceDE w:val="0"/>
        <w:autoSpaceDN w:val="0"/>
        <w:adjustRightInd w:val="0"/>
        <w:spacing w:after="240"/>
      </w:pPr>
      <w:r>
        <w:t>551.</w:t>
      </w:r>
      <w:r>
        <w:tab/>
        <w:t xml:space="preserve">Desde el año 2004 se vienen realizando talleres de capacitación en género dirigido a responsables de programas de enfermedades de transmisión prioritaria (ITS/VIH SIDA, Chagas, tuberculosis e inmunización del niño(a) y la madre) capital e interior del país.  Hasta la fecha se han realizado 5 talleres con un total de 37 beneficiarios(as). </w:t>
      </w:r>
    </w:p>
    <w:p w:rsidR="00000000" w:rsidRDefault="00000000">
      <w:pPr>
        <w:autoSpaceDE w:val="0"/>
        <w:autoSpaceDN w:val="0"/>
        <w:adjustRightInd w:val="0"/>
        <w:spacing w:after="240"/>
      </w:pPr>
      <w:r>
        <w:t>552.</w:t>
      </w:r>
      <w:r>
        <w:tab/>
        <w:t>Por otro lado, se ha lanzado recientemente la campaña de sensibilización e información "No le des la espalda al SIDA, detén el SIDA, mantengamos la promesa" cuyo objetivo principal son las mujeres.  El Programa Nacional de Lucha contra el SIDA tiene plena conciencia de la feminización del VIH/SIDA y ha incluido en los talleres de capacitación para la  prevención, módulos de "Género" involucrando a la Secretaría de la Mujer en la concienciación sobre la importancia de cambiar conductas culturales.</w:t>
      </w:r>
    </w:p>
    <w:p w:rsidR="00000000" w:rsidRDefault="00000000">
      <w:pPr>
        <w:spacing w:after="240"/>
        <w:rPr>
          <w:b/>
          <w:lang w:val="es-MX"/>
        </w:rPr>
      </w:pPr>
      <w:r>
        <w:rPr>
          <w:b/>
          <w:lang w:val="es-MX"/>
        </w:rPr>
        <w:t>Artículo 13</w:t>
      </w:r>
    </w:p>
    <w:p w:rsidR="00000000" w:rsidRDefault="00000000">
      <w:pPr>
        <w:spacing w:after="240"/>
        <w:jc w:val="center"/>
        <w:rPr>
          <w:b/>
          <w:szCs w:val="22"/>
        </w:rPr>
      </w:pPr>
      <w:r>
        <w:rPr>
          <w:b/>
          <w:szCs w:val="22"/>
        </w:rPr>
        <w:t>A.  Derecho a la educación</w:t>
      </w:r>
    </w:p>
    <w:p w:rsidR="00000000" w:rsidRDefault="00000000">
      <w:pPr>
        <w:autoSpaceDE w:val="0"/>
        <w:autoSpaceDN w:val="0"/>
        <w:adjustRightInd w:val="0"/>
        <w:spacing w:after="240"/>
        <w:rPr>
          <w:szCs w:val="22"/>
        </w:rPr>
      </w:pPr>
      <w:r>
        <w:rPr>
          <w:szCs w:val="22"/>
        </w:rPr>
        <w:t>553.</w:t>
      </w:r>
      <w:r>
        <w:rPr>
          <w:szCs w:val="22"/>
        </w:rPr>
        <w:tab/>
        <w:t xml:space="preserve">En primer término, es importante señalar que la Constitución nacional en su artículo 76 deja explícito que "La educación escolar básica es obligatoria.  Las escuelas públicas tendrán carácter gratuito.  El Estado fomentará la enseñanza media, técnica, agropecuaria, industrial y la superior o universitaria, así como la investigación científica y </w:t>
      </w:r>
      <w:r>
        <w:t>tecnológica</w:t>
      </w:r>
      <w:r>
        <w:rPr>
          <w:szCs w:val="22"/>
        </w:rPr>
        <w:t>.  La organización del sistema educativo es responsabilidad esencial del Estado, con la participación de las distintas comunidades educativas.  Este sistema abarcará a los sectores públicos y privados, así como al ámbito escolar y extraescolar".  De igual manera, el artículo 73 de la Constitución nacional define clara y detalladamente el derecho de toda persona a la educación integral y permanente (…) así como los fines de la misma.</w:t>
      </w:r>
    </w:p>
    <w:p w:rsidR="00000000" w:rsidRDefault="00000000">
      <w:pPr>
        <w:autoSpaceDE w:val="0"/>
        <w:autoSpaceDN w:val="0"/>
        <w:adjustRightInd w:val="0"/>
        <w:spacing w:after="240"/>
        <w:rPr>
          <w:color w:val="000000"/>
        </w:rPr>
      </w:pPr>
      <w:r>
        <w:rPr>
          <w:color w:val="000000"/>
        </w:rPr>
        <w:t>554.</w:t>
      </w:r>
      <w:r>
        <w:rPr>
          <w:color w:val="000000"/>
        </w:rPr>
        <w:tab/>
        <w:t xml:space="preserve">La Ley general de educación Nº 1264 en el artículo 4 establece que "El Estado tendrá la responsabilidad de asegurar a toda la población del país el acceso a la educación y crear las condiciones de una real igualdad de oportunidades.  El Sistema Educativo Nacional será </w:t>
      </w:r>
      <w:r>
        <w:t>financiado</w:t>
      </w:r>
      <w:r>
        <w:rPr>
          <w:color w:val="000000"/>
        </w:rPr>
        <w:t xml:space="preserve"> básicamente con recursos del Presupuesto General de la Nación".</w:t>
      </w:r>
    </w:p>
    <w:p w:rsidR="00000000" w:rsidRDefault="00000000">
      <w:pPr>
        <w:autoSpaceDE w:val="0"/>
        <w:autoSpaceDN w:val="0"/>
        <w:adjustRightInd w:val="0"/>
        <w:spacing w:after="240"/>
      </w:pPr>
      <w:r>
        <w:t>555.</w:t>
      </w:r>
      <w:r>
        <w:tab/>
        <w:t>En el artículo 18 de la misma ley se establecen "las funciones del Estado, en el ámbito de la educación", que ejerce por medio del Ministerio de Educación y Cultura.</w:t>
      </w:r>
    </w:p>
    <w:p w:rsidR="00000000" w:rsidRDefault="00000000">
      <w:pPr>
        <w:autoSpaceDE w:val="0"/>
        <w:autoSpaceDN w:val="0"/>
        <w:adjustRightInd w:val="0"/>
        <w:spacing w:after="240"/>
        <w:rPr>
          <w:color w:val="000000"/>
        </w:rPr>
      </w:pPr>
      <w:r>
        <w:rPr>
          <w:color w:val="000000"/>
        </w:rPr>
        <w:t>556.</w:t>
      </w:r>
      <w:r>
        <w:rPr>
          <w:color w:val="000000"/>
        </w:rPr>
        <w:tab/>
        <w:t xml:space="preserve">Con </w:t>
      </w:r>
      <w:r>
        <w:t>relación</w:t>
      </w:r>
      <w:r>
        <w:rPr>
          <w:color w:val="000000"/>
        </w:rPr>
        <w:t xml:space="preserve"> a la forma en que el Estado delega su función de proveer educación se puede constatar a través de los siguientes artículos de la Ley general de educación Nº 1264:</w:t>
      </w:r>
    </w:p>
    <w:p w:rsidR="00000000" w:rsidRDefault="00000000">
      <w:pPr>
        <w:overflowPunct w:val="0"/>
        <w:autoSpaceDE w:val="0"/>
        <w:autoSpaceDN w:val="0"/>
        <w:adjustRightInd w:val="0"/>
        <w:spacing w:after="240"/>
        <w:ind w:left="924" w:hanging="357"/>
        <w:textAlignment w:val="baseline"/>
        <w:rPr>
          <w:color w:val="000000"/>
        </w:rPr>
      </w:pPr>
      <w:r>
        <w:rPr>
          <w:b/>
          <w:color w:val="000000"/>
        </w:rPr>
        <w:t>-</w:t>
      </w:r>
      <w:r>
        <w:rPr>
          <w:b/>
          <w:color w:val="000000"/>
        </w:rPr>
        <w:tab/>
        <w:t>Artículo 12:</w:t>
      </w:r>
      <w:r>
        <w:rPr>
          <w:color w:val="000000"/>
        </w:rPr>
        <w:t xml:space="preserve">  "La organización del Sistema Educativo Nacional es responsabilidad del Estado, con la participación de las distintas comunidades educativas.  Este sistema abarca los sectores públicos y privados, así como el ámbito escolar y extraescolar".</w:t>
      </w:r>
    </w:p>
    <w:p w:rsidR="00000000" w:rsidRDefault="00000000">
      <w:pPr>
        <w:autoSpaceDE w:val="0"/>
        <w:autoSpaceDN w:val="0"/>
        <w:adjustRightInd w:val="0"/>
        <w:spacing w:after="240"/>
        <w:ind w:left="924" w:hanging="357"/>
        <w:rPr>
          <w:color w:val="000000"/>
        </w:rPr>
      </w:pPr>
      <w:r>
        <w:rPr>
          <w:b/>
          <w:bCs/>
          <w:szCs w:val="22"/>
        </w:rPr>
        <w:t>-</w:t>
      </w:r>
      <w:r>
        <w:rPr>
          <w:b/>
          <w:bCs/>
          <w:szCs w:val="22"/>
        </w:rPr>
        <w:tab/>
        <w:t>Artículo 20:</w:t>
      </w:r>
      <w:r>
        <w:rPr>
          <w:bCs/>
          <w:szCs w:val="22"/>
        </w:rPr>
        <w:t xml:space="preserve">  </w:t>
      </w:r>
      <w:r>
        <w:t>El Ministerio de Educación y Cultura, las gobernaciones, los municipios y las comunidades educativas garantizarán la calidad  de la educación</w:t>
      </w:r>
      <w:r>
        <w:rPr>
          <w:color w:val="000000"/>
        </w:rPr>
        <w:t xml:space="preserve">.  </w:t>
      </w:r>
      <w:r>
        <w:t>Para ello se realizará una evaluación sistemática y permanente del sistema y los procesos educativos.</w:t>
      </w:r>
    </w:p>
    <w:p w:rsidR="00000000" w:rsidRDefault="00000000">
      <w:pPr>
        <w:overflowPunct w:val="0"/>
        <w:autoSpaceDE w:val="0"/>
        <w:autoSpaceDN w:val="0"/>
        <w:adjustRightInd w:val="0"/>
        <w:spacing w:after="240"/>
        <w:ind w:left="924" w:hanging="357"/>
        <w:textAlignment w:val="baseline"/>
        <w:rPr>
          <w:color w:val="000000"/>
        </w:rPr>
      </w:pPr>
      <w:r>
        <w:rPr>
          <w:b/>
          <w:color w:val="000000"/>
        </w:rPr>
        <w:t>-</w:t>
      </w:r>
      <w:r>
        <w:rPr>
          <w:b/>
          <w:color w:val="000000"/>
        </w:rPr>
        <w:tab/>
        <w:t>Artículo 109</w:t>
      </w:r>
      <w:r>
        <w:rPr>
          <w:color w:val="000000"/>
        </w:rPr>
        <w:t>:  El Ministerio de Educación y Cultura tiene la responsabilidad de la supervisión educativa de las instituciones públicas y privadas.  La supervisión será ejercida por supervisores de control y apoyo administrativo y supervisores de apoyo técnico pedagógico.</w:t>
      </w:r>
    </w:p>
    <w:p w:rsidR="00000000" w:rsidRDefault="00000000">
      <w:pPr>
        <w:overflowPunct w:val="0"/>
        <w:autoSpaceDE w:val="0"/>
        <w:autoSpaceDN w:val="0"/>
        <w:adjustRightInd w:val="0"/>
        <w:spacing w:after="240"/>
        <w:ind w:left="924" w:hanging="357"/>
        <w:textAlignment w:val="baseline"/>
        <w:rPr>
          <w:color w:val="000000"/>
        </w:rPr>
      </w:pPr>
      <w:r>
        <w:rPr>
          <w:b/>
          <w:color w:val="000000"/>
        </w:rPr>
        <w:t>-</w:t>
      </w:r>
      <w:r>
        <w:rPr>
          <w:b/>
          <w:color w:val="000000"/>
        </w:rPr>
        <w:tab/>
        <w:t>Artículo 112:</w:t>
      </w:r>
      <w:r>
        <w:rPr>
          <w:color w:val="000000"/>
        </w:rPr>
        <w:t xml:space="preserve">  El Ministerio de Educación y Cultura y los gobiernos departamentales y municipales establecerán el modo de coordinación de los servicios de educación y cultura que corresponda a cada una de ellas según su jurisdicción, en consonancia con términos de esta ley.</w:t>
      </w:r>
    </w:p>
    <w:p w:rsidR="00000000" w:rsidRDefault="00000000">
      <w:pPr>
        <w:overflowPunct w:val="0"/>
        <w:autoSpaceDE w:val="0"/>
        <w:autoSpaceDN w:val="0"/>
        <w:adjustRightInd w:val="0"/>
        <w:spacing w:after="240"/>
        <w:ind w:left="924" w:hanging="357"/>
        <w:textAlignment w:val="baseline"/>
        <w:rPr>
          <w:color w:val="000000"/>
        </w:rPr>
      </w:pPr>
      <w:r>
        <w:rPr>
          <w:b/>
          <w:color w:val="000000"/>
        </w:rPr>
        <w:t>-</w:t>
      </w:r>
      <w:r>
        <w:rPr>
          <w:b/>
          <w:color w:val="000000"/>
        </w:rPr>
        <w:tab/>
        <w:t>Artículo 113:</w:t>
      </w:r>
      <w:r>
        <w:rPr>
          <w:color w:val="000000"/>
        </w:rPr>
        <w:t xml:space="preserve">  El Ministerio de Educación y Cultura creará consejos departamentales de educación en todos los departamentos del país, en coordinación con las gobernaciones.  El Ministerio de Educación y Cultura determinará los aspectos relativos a la administración escolar en los centros educativos públicos y concertará con los centros educativos privados sobre los aspectos que, según las leyes vigentes, requieren de aprobación ministerial.  Fijará las fechas de admisión y matrícula de los centros educativos públicos, el calendario anual y el horario de trabajo diario para los diversos turnos y definirá los períodos escolares y de descanso.  Atenderá siempre con la diversidad de las circunstancias, características y ciclos de producción y cosecha agrícola de los departamentos.</w:t>
      </w:r>
    </w:p>
    <w:p w:rsidR="00000000" w:rsidRDefault="00000000">
      <w:pPr>
        <w:overflowPunct w:val="0"/>
        <w:autoSpaceDE w:val="0"/>
        <w:autoSpaceDN w:val="0"/>
        <w:adjustRightInd w:val="0"/>
        <w:spacing w:after="240"/>
        <w:ind w:left="924" w:hanging="357"/>
        <w:textAlignment w:val="baseline"/>
        <w:rPr>
          <w:color w:val="000000"/>
        </w:rPr>
      </w:pPr>
      <w:r>
        <w:rPr>
          <w:b/>
          <w:color w:val="000000"/>
        </w:rPr>
        <w:t>-</w:t>
      </w:r>
      <w:r>
        <w:rPr>
          <w:b/>
          <w:color w:val="000000"/>
        </w:rPr>
        <w:tab/>
        <w:t>Artículo 117:</w:t>
      </w:r>
      <w:r>
        <w:rPr>
          <w:color w:val="000000"/>
        </w:rPr>
        <w:t xml:space="preserve">  El Ministerio de Educación y Cultura diseñará los delineamientos generales de los procesos curriculares, definiendo los mínimos exigibles del currículum común para el ámbito nacional.  Su decisión tendrá en cuenta la descentralización, la necesidad de la pertinencia curricular y el derecho de las comunidades educativas.  En la elaboración de los planes y programas el Ministerio consultará especialmente a los gobiernos departamentales y a las instituciones educativas públicas y privadas.</w:t>
      </w:r>
    </w:p>
    <w:p w:rsidR="00000000" w:rsidRDefault="00000000">
      <w:pPr>
        <w:spacing w:after="240"/>
        <w:ind w:left="924" w:hanging="357"/>
        <w:rPr>
          <w:szCs w:val="22"/>
        </w:rPr>
      </w:pPr>
      <w:r>
        <w:rPr>
          <w:b/>
          <w:color w:val="000000"/>
        </w:rPr>
        <w:t>-</w:t>
      </w:r>
      <w:r>
        <w:rPr>
          <w:b/>
          <w:color w:val="000000"/>
        </w:rPr>
        <w:tab/>
        <w:t>Artículo 118:</w:t>
      </w:r>
      <w:r>
        <w:rPr>
          <w:color w:val="000000"/>
        </w:rPr>
        <w:t xml:space="preserve">  El Ministerio de Educación y Cultura establecerá sistemas de evaluación de la educación, tanto a los que corresponda a la educación de régimen general, como a la educación de régimen especial.  Tendrá por objeto velar por el cumplimiento de los fines y la calidad de la educación.</w:t>
      </w:r>
    </w:p>
    <w:p w:rsidR="00000000" w:rsidRDefault="00000000">
      <w:pPr>
        <w:widowControl w:val="0"/>
        <w:shd w:val="clear" w:color="auto" w:fill="FFFFFF"/>
        <w:autoSpaceDE w:val="0"/>
        <w:autoSpaceDN w:val="0"/>
        <w:adjustRightInd w:val="0"/>
        <w:spacing w:after="240"/>
        <w:rPr>
          <w:b/>
          <w:bCs/>
          <w:lang w:val="es-ES_tradnl"/>
        </w:rPr>
      </w:pPr>
      <w:r>
        <w:rPr>
          <w:b/>
          <w:bCs/>
          <w:spacing w:val="2"/>
          <w:lang w:val="es-ES_tradnl"/>
        </w:rPr>
        <w:t>1.</w:t>
      </w:r>
      <w:r>
        <w:rPr>
          <w:b/>
          <w:bCs/>
          <w:spacing w:val="2"/>
          <w:lang w:val="es-ES_tradnl"/>
        </w:rPr>
        <w:tab/>
        <w:t>Educación secundaria</w:t>
      </w:r>
    </w:p>
    <w:p w:rsidR="00000000" w:rsidRDefault="00000000">
      <w:pPr>
        <w:autoSpaceDE w:val="0"/>
        <w:autoSpaceDN w:val="0"/>
        <w:adjustRightInd w:val="0"/>
        <w:spacing w:after="240"/>
        <w:rPr>
          <w:bCs/>
          <w:szCs w:val="22"/>
        </w:rPr>
      </w:pPr>
      <w:r>
        <w:rPr>
          <w:bCs/>
          <w:szCs w:val="22"/>
        </w:rPr>
        <w:t>557.</w:t>
      </w:r>
      <w:r>
        <w:rPr>
          <w:bCs/>
          <w:szCs w:val="22"/>
        </w:rPr>
        <w:tab/>
        <w:t xml:space="preserve">Alrededor del 80% de la matrícula total de la educación media (educación secundaria, técnica y vocacional) corresponde al sector oficial, es decir, está sustentada con el presupuesto general de gastos de la nación.  En los colegios oficiales de enseñanza media no se abonan cuotas mensuales, excepto algunos aranceles como matrícula, derecho a </w:t>
      </w:r>
      <w:r>
        <w:t>exámenes</w:t>
      </w:r>
      <w:r>
        <w:rPr>
          <w:bCs/>
          <w:szCs w:val="22"/>
        </w:rPr>
        <w:t xml:space="preserve"> y otros aportes voluntarios administrados por las ACEs (destinados a cubrir diversos rubros como: mantenimiento escolar, compra de materiales, equipos informáticos, etc.).  Los aranceles varían de acuerdo a la modalidad de bachillerato que curse el alumno(a) y su valor monetario no es excesivo.</w:t>
      </w:r>
    </w:p>
    <w:p w:rsidR="00000000" w:rsidRDefault="00000000">
      <w:pPr>
        <w:widowControl w:val="0"/>
        <w:shd w:val="clear" w:color="auto" w:fill="FFFFFF"/>
        <w:autoSpaceDE w:val="0"/>
        <w:autoSpaceDN w:val="0"/>
        <w:adjustRightInd w:val="0"/>
        <w:spacing w:after="240"/>
        <w:rPr>
          <w:b/>
          <w:bCs/>
          <w:szCs w:val="22"/>
        </w:rPr>
      </w:pPr>
      <w:r>
        <w:rPr>
          <w:b/>
          <w:bCs/>
          <w:szCs w:val="22"/>
        </w:rPr>
        <w:t>2.</w:t>
      </w:r>
      <w:r>
        <w:rPr>
          <w:b/>
          <w:bCs/>
          <w:szCs w:val="22"/>
        </w:rPr>
        <w:tab/>
        <w:t>Acceso a la educación para adultos</w:t>
      </w:r>
    </w:p>
    <w:p w:rsidR="00000000" w:rsidRDefault="00000000">
      <w:pPr>
        <w:autoSpaceDE w:val="0"/>
        <w:autoSpaceDN w:val="0"/>
        <w:adjustRightInd w:val="0"/>
        <w:spacing w:after="240"/>
        <w:rPr>
          <w:szCs w:val="22"/>
        </w:rPr>
      </w:pPr>
      <w:r>
        <w:rPr>
          <w:szCs w:val="22"/>
        </w:rPr>
        <w:t>558.</w:t>
      </w:r>
      <w:r>
        <w:rPr>
          <w:szCs w:val="22"/>
        </w:rPr>
        <w:tab/>
        <w:t>La creación y puesta en marcha de una estructura administrativa adecuada para la formación básica de los jóvenes y adultos del país, en el Ministerio de Educación y Cultura (Dirección General de Educación Permanente), incluyendo la creación de un centro de capacitación, oficinas de la sede central, equipamientos necesarios, la creación y funcionamiento del sistema de organización, gestión y capacitación de recursos humanos, técnicos y administrativos.</w:t>
      </w:r>
    </w:p>
    <w:p w:rsidR="00000000" w:rsidRDefault="00000000">
      <w:pPr>
        <w:autoSpaceDE w:val="0"/>
        <w:autoSpaceDN w:val="0"/>
        <w:adjustRightInd w:val="0"/>
        <w:spacing w:after="240"/>
        <w:rPr>
          <w:szCs w:val="22"/>
        </w:rPr>
      </w:pPr>
      <w:r>
        <w:rPr>
          <w:szCs w:val="22"/>
        </w:rPr>
        <w:t>559.</w:t>
      </w:r>
      <w:r>
        <w:rPr>
          <w:szCs w:val="22"/>
        </w:rPr>
        <w:tab/>
        <w:t xml:space="preserve">Entre tales medidas se encuentra el desarrollo y la aplicación de un modelo pedagógico propio para la educación básica de jóvenes y adultos, en el marco de la reforma educativa del Paraguay, que incluye la elaboración de los lineamientos curriculares y </w:t>
      </w:r>
      <w:r>
        <w:t>materiales</w:t>
      </w:r>
      <w:r>
        <w:rPr>
          <w:szCs w:val="22"/>
        </w:rPr>
        <w:t xml:space="preserve"> didácticos adecuados y la capacitación de los responsables de la acción educativa (coordinadores departamentales, supervisores y promotores de educación, y docentes).</w:t>
      </w:r>
    </w:p>
    <w:p w:rsidR="00000000" w:rsidRDefault="00000000">
      <w:pPr>
        <w:autoSpaceDE w:val="0"/>
        <w:autoSpaceDN w:val="0"/>
        <w:adjustRightInd w:val="0"/>
        <w:spacing w:after="240"/>
        <w:rPr>
          <w:szCs w:val="22"/>
        </w:rPr>
      </w:pPr>
      <w:r>
        <w:rPr>
          <w:szCs w:val="22"/>
        </w:rPr>
        <w:t>560.</w:t>
      </w:r>
      <w:r>
        <w:rPr>
          <w:szCs w:val="22"/>
        </w:rPr>
        <w:tab/>
        <w:t xml:space="preserve">La creación de PRODEPA KO'E PYAHU (Programa del Paraguay Nuevo Amanecer), ofrece </w:t>
      </w:r>
      <w:r>
        <w:t>educación</w:t>
      </w:r>
      <w:r>
        <w:rPr>
          <w:szCs w:val="22"/>
        </w:rPr>
        <w:t xml:space="preserve"> a personas mayores de 15 años que no han accedido o no han concluido sus estudios de educación básica, que viven en las zonas rurales o en las zonas urbanas marginales y que están en situación de pobreza o pobreza extrema.</w:t>
      </w:r>
    </w:p>
    <w:p w:rsidR="00000000" w:rsidRDefault="00000000">
      <w:pPr>
        <w:shd w:val="clear" w:color="auto" w:fill="FFFFFF"/>
        <w:spacing w:after="240"/>
        <w:ind w:left="24" w:right="14"/>
        <w:rPr>
          <w:b/>
          <w:bCs/>
          <w:lang w:val="es-ES_tradnl"/>
        </w:rPr>
      </w:pPr>
      <w:r>
        <w:rPr>
          <w:b/>
          <w:bCs/>
          <w:lang w:val="es-ES_tradnl"/>
        </w:rPr>
        <w:t>3.</w:t>
      </w:r>
      <w:r>
        <w:rPr>
          <w:b/>
          <w:bCs/>
          <w:lang w:val="es-ES_tradnl"/>
        </w:rPr>
        <w:tab/>
        <w:t>Desafíos en materia de derecho a la educación</w:t>
      </w:r>
    </w:p>
    <w:p w:rsidR="00000000" w:rsidRDefault="00000000">
      <w:pPr>
        <w:autoSpaceDE w:val="0"/>
        <w:autoSpaceDN w:val="0"/>
        <w:adjustRightInd w:val="0"/>
        <w:spacing w:after="220"/>
        <w:rPr>
          <w:szCs w:val="22"/>
        </w:rPr>
      </w:pPr>
      <w:r>
        <w:rPr>
          <w:szCs w:val="22"/>
        </w:rPr>
        <w:t>561.</w:t>
      </w:r>
      <w:r>
        <w:rPr>
          <w:szCs w:val="22"/>
        </w:rPr>
        <w:tab/>
        <w:t>La reforma educativa iniciada en el año 1994 establece como política de interés prioritaria para el sector educativo la universalización del acceso a la educación básica y establece dos ejes prioritarios para la acción:  la educación escolar básica (EEB) y la educación general básica (EGB).  El primer eje incluye acciones referentes a la atención diferenciada de escuelas de alto riego educativo y el desarrollo de un programa de expansión gradual de la capacidad en el segundo y tercer ciclo, así como una columna de acciones para fortalecer la gestión escolar y la participación de la comunidad educativa en el proceso de reforma, entre otros.</w:t>
      </w:r>
    </w:p>
    <w:p w:rsidR="00000000" w:rsidRDefault="00000000">
      <w:pPr>
        <w:autoSpaceDE w:val="0"/>
        <w:autoSpaceDN w:val="0"/>
        <w:adjustRightInd w:val="0"/>
        <w:spacing w:after="220"/>
        <w:rPr>
          <w:szCs w:val="22"/>
        </w:rPr>
      </w:pPr>
      <w:r>
        <w:rPr>
          <w:szCs w:val="22"/>
        </w:rPr>
        <w:t>562.</w:t>
      </w:r>
      <w:r>
        <w:rPr>
          <w:szCs w:val="22"/>
        </w:rPr>
        <w:tab/>
        <w:t xml:space="preserve">Los logros más significativos a este respecto constituyen el aumento de la tasa neta de </w:t>
      </w:r>
      <w:r>
        <w:t>escolarización</w:t>
      </w:r>
      <w:r>
        <w:rPr>
          <w:szCs w:val="22"/>
        </w:rPr>
        <w:t xml:space="preserve"> para los dos primeros ciclos de la EEB que en el año 2004 fue del 97%.  No obstante, en este mismo período la tasa neta de escolarización para el tercer ciclo fue sólo del 54%. </w:t>
      </w:r>
    </w:p>
    <w:p w:rsidR="00000000" w:rsidRDefault="00000000">
      <w:pPr>
        <w:autoSpaceDE w:val="0"/>
        <w:autoSpaceDN w:val="0"/>
        <w:adjustRightInd w:val="0"/>
        <w:spacing w:after="220"/>
        <w:rPr>
          <w:szCs w:val="22"/>
        </w:rPr>
      </w:pPr>
      <w:r>
        <w:rPr>
          <w:szCs w:val="22"/>
        </w:rPr>
        <w:t>563.</w:t>
      </w:r>
      <w:r>
        <w:rPr>
          <w:szCs w:val="22"/>
        </w:rPr>
        <w:tab/>
        <w:t xml:space="preserve">A pesar de los esfuerzos realizados y avances obtenidos en el marco de la reforma persisten dificultades relativas al logro de la universalización del acceso a la EEB.  Estas </w:t>
      </w:r>
      <w:r>
        <w:t>dificultades</w:t>
      </w:r>
      <w:r>
        <w:rPr>
          <w:szCs w:val="22"/>
        </w:rPr>
        <w:t xml:space="preserve"> pueden clasificarse en internas y externas.  Externas:  la pobreza creciente dada la disminución sistemática del PIB entre 1990 y 2001, el desempleo (abierto y oculto) y subempleo que afecta principalmente a las mujeres y la zona rural y cuya tasa asciende a 15,9% en 2001, la dispersión geográfica de la población, la migración interna hacia las zonas urbanas en busca de mejores opciones laborales.</w:t>
      </w:r>
    </w:p>
    <w:p w:rsidR="00000000" w:rsidRDefault="00000000">
      <w:pPr>
        <w:autoSpaceDE w:val="0"/>
        <w:autoSpaceDN w:val="0"/>
        <w:adjustRightInd w:val="0"/>
        <w:spacing w:after="220"/>
        <w:rPr>
          <w:szCs w:val="22"/>
        </w:rPr>
      </w:pPr>
      <w:r>
        <w:rPr>
          <w:szCs w:val="22"/>
        </w:rPr>
        <w:t>564.</w:t>
      </w:r>
      <w:r>
        <w:rPr>
          <w:szCs w:val="22"/>
        </w:rPr>
        <w:tab/>
        <w:t xml:space="preserve">Las limitaciones presupuestarias que dificultan principalmente la construcción y reparación de aulas, la provisión de textos y materiales didácticos, así como la incorporación de docentes para la atención de nuevas secciones y el déficit en la formación </w:t>
      </w:r>
      <w:r>
        <w:t>de</w:t>
      </w:r>
      <w:r>
        <w:rPr>
          <w:szCs w:val="22"/>
        </w:rPr>
        <w:t xml:space="preserve"> los maestros para la atención de los ciclos más avanzados (más del 90% del presupuesto del Ministerio de Educación y Cultura se destina al pago de salarios, quedando poco margen para inversiones en infraestructura y otros gastos para funcionamiento de las escuelas, y para gerenciar con eficiencia el Sistema Educativo Nacional).</w:t>
      </w:r>
    </w:p>
    <w:p w:rsidR="00000000" w:rsidRDefault="00000000">
      <w:pPr>
        <w:spacing w:after="220"/>
        <w:ind w:left="567"/>
        <w:rPr>
          <w:b/>
          <w:szCs w:val="22"/>
        </w:rPr>
      </w:pPr>
      <w:r>
        <w:rPr>
          <w:b/>
          <w:szCs w:val="22"/>
        </w:rPr>
        <w:t>3.1.</w:t>
      </w:r>
      <w:r>
        <w:rPr>
          <w:b/>
          <w:szCs w:val="22"/>
        </w:rPr>
        <w:tab/>
        <w:t>Acciones concretas</w:t>
      </w:r>
    </w:p>
    <w:p w:rsidR="00000000" w:rsidRDefault="00000000">
      <w:pPr>
        <w:autoSpaceDE w:val="0"/>
        <w:autoSpaceDN w:val="0"/>
        <w:adjustRightInd w:val="0"/>
        <w:spacing w:after="220"/>
        <w:rPr>
          <w:szCs w:val="22"/>
        </w:rPr>
      </w:pPr>
      <w:r>
        <w:rPr>
          <w:szCs w:val="22"/>
        </w:rPr>
        <w:t>565.</w:t>
      </w:r>
      <w:r>
        <w:rPr>
          <w:szCs w:val="22"/>
        </w:rPr>
        <w:tab/>
        <w:t>Las principales medidas implementadas a fin de paliar los efectos de estas dificultades propiciando el acceso y la retención de la población en edad escolar, dentro del sistema educativo, fueron el diseño e implementación de programas y acciones.</w:t>
      </w:r>
    </w:p>
    <w:p w:rsidR="00000000" w:rsidRDefault="00000000">
      <w:pPr>
        <w:spacing w:after="220"/>
        <w:ind w:left="1247" w:hanging="680"/>
        <w:rPr>
          <w:szCs w:val="22"/>
        </w:rPr>
      </w:pPr>
      <w:r>
        <w:rPr>
          <w:b/>
          <w:szCs w:val="22"/>
        </w:rPr>
        <w:t>3.1.1.</w:t>
      </w:r>
      <w:r>
        <w:rPr>
          <w:b/>
          <w:szCs w:val="22"/>
        </w:rPr>
        <w:tab/>
        <w:t>Programa Escuela Viva Hekokatúva</w:t>
      </w:r>
      <w:r>
        <w:t xml:space="preserve"> </w:t>
      </w:r>
      <w:r>
        <w:rPr>
          <w:szCs w:val="22"/>
        </w:rPr>
        <w:t>para el fortalecimiento de la reforma educativa en la educación escolar básica.</w:t>
      </w:r>
    </w:p>
    <w:p w:rsidR="00000000" w:rsidRDefault="00000000">
      <w:pPr>
        <w:spacing w:after="220"/>
        <w:ind w:left="567" w:firstLine="567"/>
        <w:rPr>
          <w:b/>
          <w:szCs w:val="22"/>
        </w:rPr>
      </w:pPr>
      <w:r>
        <w:rPr>
          <w:b/>
          <w:szCs w:val="22"/>
        </w:rPr>
        <w:t>Objetivo general</w:t>
      </w:r>
    </w:p>
    <w:p w:rsidR="00000000" w:rsidRDefault="00000000">
      <w:pPr>
        <w:spacing w:after="220"/>
        <w:ind w:firstLine="567"/>
        <w:rPr>
          <w:szCs w:val="22"/>
        </w:rPr>
      </w:pPr>
      <w:r>
        <w:rPr>
          <w:szCs w:val="22"/>
        </w:rPr>
        <w:t>El objetivo general del programa es mejorar la calidad y equidad de la educación escolar básica paraguaya, contribuyendo así a la disminución de la pobreza y al desarrollo social y económico del país.</w:t>
      </w:r>
    </w:p>
    <w:p w:rsidR="00000000" w:rsidRDefault="00000000">
      <w:pPr>
        <w:keepNext/>
        <w:keepLines/>
        <w:spacing w:after="220"/>
        <w:ind w:left="567" w:firstLine="567"/>
        <w:rPr>
          <w:b/>
          <w:szCs w:val="22"/>
        </w:rPr>
      </w:pPr>
      <w:r>
        <w:rPr>
          <w:b/>
          <w:szCs w:val="22"/>
        </w:rPr>
        <w:t>Objetivos específicos</w:t>
      </w:r>
    </w:p>
    <w:p w:rsidR="00000000" w:rsidRDefault="00000000">
      <w:pPr>
        <w:autoSpaceDE w:val="0"/>
        <w:autoSpaceDN w:val="0"/>
        <w:adjustRightInd w:val="0"/>
        <w:spacing w:after="220"/>
        <w:ind w:left="924" w:hanging="357"/>
        <w:rPr>
          <w:szCs w:val="22"/>
        </w:rPr>
      </w:pPr>
      <w:r>
        <w:rPr>
          <w:szCs w:val="22"/>
        </w:rPr>
        <w:t>-</w:t>
      </w:r>
      <w:r>
        <w:rPr>
          <w:szCs w:val="22"/>
        </w:rPr>
        <w:tab/>
        <w:t>Mejorar los procesos tanto pedagógicos como de gestión de las escuelas del programa;</w:t>
      </w:r>
    </w:p>
    <w:p w:rsidR="00000000" w:rsidRDefault="00000000">
      <w:pPr>
        <w:autoSpaceDE w:val="0"/>
        <w:autoSpaceDN w:val="0"/>
        <w:adjustRightInd w:val="0"/>
        <w:spacing w:after="220"/>
        <w:ind w:left="924" w:hanging="357"/>
        <w:rPr>
          <w:szCs w:val="22"/>
        </w:rPr>
      </w:pPr>
      <w:r>
        <w:rPr>
          <w:szCs w:val="22"/>
        </w:rPr>
        <w:t>-</w:t>
      </w:r>
      <w:r>
        <w:rPr>
          <w:szCs w:val="22"/>
        </w:rPr>
        <w:tab/>
        <w:t>Disminuir la desigualdad dentro del sistema educativo;</w:t>
      </w:r>
    </w:p>
    <w:p w:rsidR="00000000" w:rsidRDefault="00000000">
      <w:pPr>
        <w:autoSpaceDE w:val="0"/>
        <w:autoSpaceDN w:val="0"/>
        <w:adjustRightInd w:val="0"/>
        <w:spacing w:after="220"/>
        <w:ind w:left="924" w:hanging="357"/>
        <w:rPr>
          <w:szCs w:val="22"/>
        </w:rPr>
      </w:pPr>
      <w:r>
        <w:rPr>
          <w:szCs w:val="22"/>
        </w:rPr>
        <w:t>-</w:t>
      </w:r>
      <w:r>
        <w:rPr>
          <w:szCs w:val="22"/>
        </w:rPr>
        <w:tab/>
        <w:t>Mejorar la calidad de la formación de los maestros;</w:t>
      </w:r>
    </w:p>
    <w:p w:rsidR="00000000" w:rsidRDefault="00000000">
      <w:pPr>
        <w:autoSpaceDE w:val="0"/>
        <w:autoSpaceDN w:val="0"/>
        <w:adjustRightInd w:val="0"/>
        <w:spacing w:after="240"/>
        <w:ind w:left="924" w:hanging="357"/>
        <w:rPr>
          <w:szCs w:val="22"/>
        </w:rPr>
      </w:pPr>
      <w:r>
        <w:rPr>
          <w:szCs w:val="22"/>
        </w:rPr>
        <w:t>-</w:t>
      </w:r>
      <w:r>
        <w:rPr>
          <w:szCs w:val="22"/>
        </w:rPr>
        <w:tab/>
        <w:t>Fortalecer la gestión del MEC.</w:t>
      </w:r>
    </w:p>
    <w:p w:rsidR="00000000" w:rsidRDefault="00000000">
      <w:pPr>
        <w:spacing w:after="240"/>
        <w:ind w:left="567" w:firstLine="567"/>
        <w:rPr>
          <w:b/>
          <w:szCs w:val="22"/>
        </w:rPr>
      </w:pPr>
      <w:r>
        <w:rPr>
          <w:b/>
          <w:szCs w:val="22"/>
        </w:rPr>
        <w:t>Líneas de acción</w:t>
      </w:r>
    </w:p>
    <w:p w:rsidR="00000000" w:rsidRDefault="00000000">
      <w:pPr>
        <w:spacing w:after="240"/>
        <w:ind w:left="924" w:hanging="357"/>
        <w:rPr>
          <w:szCs w:val="22"/>
        </w:rPr>
      </w:pPr>
      <w:r>
        <w:rPr>
          <w:szCs w:val="22"/>
        </w:rPr>
        <w:t>-</w:t>
      </w:r>
      <w:r>
        <w:rPr>
          <w:szCs w:val="22"/>
        </w:rPr>
        <w:tab/>
        <w:t>Intervenciones en escuelas básicas (en 150 escuelas urbanas y 1.000 escuelas rurales que más necesitan);</w:t>
      </w:r>
    </w:p>
    <w:p w:rsidR="00000000" w:rsidRDefault="00000000">
      <w:pPr>
        <w:spacing w:after="240"/>
        <w:ind w:left="924" w:hanging="357"/>
        <w:rPr>
          <w:szCs w:val="22"/>
        </w:rPr>
      </w:pPr>
      <w:r>
        <w:rPr>
          <w:szCs w:val="22"/>
        </w:rPr>
        <w:t>-</w:t>
      </w:r>
      <w:r>
        <w:rPr>
          <w:szCs w:val="22"/>
        </w:rPr>
        <w:tab/>
        <w:t>Mejoramiento de la formación inicial de los maestros;</w:t>
      </w:r>
    </w:p>
    <w:p w:rsidR="00000000" w:rsidRDefault="00000000">
      <w:pPr>
        <w:spacing w:after="240"/>
        <w:ind w:left="924" w:hanging="357"/>
        <w:rPr>
          <w:szCs w:val="22"/>
        </w:rPr>
      </w:pPr>
      <w:r>
        <w:rPr>
          <w:szCs w:val="22"/>
        </w:rPr>
        <w:t>-</w:t>
      </w:r>
      <w:r>
        <w:rPr>
          <w:szCs w:val="22"/>
        </w:rPr>
        <w:tab/>
        <w:t>Infraestructura y equipamiento para la expansión del 3</w:t>
      </w:r>
      <w:r>
        <w:rPr>
          <w:szCs w:val="22"/>
          <w:vertAlign w:val="superscript"/>
        </w:rPr>
        <w:t>er</w:t>
      </w:r>
      <w:r>
        <w:rPr>
          <w:szCs w:val="22"/>
        </w:rPr>
        <w:t xml:space="preserve"> ciclo de la EEB (7°, 8° y 9° grados);</w:t>
      </w:r>
    </w:p>
    <w:p w:rsidR="00000000" w:rsidRDefault="00000000">
      <w:pPr>
        <w:spacing w:after="240"/>
        <w:ind w:left="924" w:hanging="357"/>
        <w:rPr>
          <w:szCs w:val="22"/>
        </w:rPr>
      </w:pPr>
      <w:r>
        <w:rPr>
          <w:szCs w:val="22"/>
        </w:rPr>
        <w:t>-</w:t>
      </w:r>
      <w:r>
        <w:rPr>
          <w:szCs w:val="22"/>
        </w:rPr>
        <w:tab/>
        <w:t>Apoyo estratégico a las acciones del MEC.</w:t>
      </w:r>
    </w:p>
    <w:p w:rsidR="00000000" w:rsidRDefault="00000000">
      <w:pPr>
        <w:spacing w:after="240"/>
        <w:ind w:left="1247" w:hanging="680"/>
        <w:rPr>
          <w:b/>
          <w:bCs/>
          <w:iCs/>
          <w:szCs w:val="22"/>
        </w:rPr>
      </w:pPr>
      <w:r>
        <w:rPr>
          <w:b/>
          <w:bCs/>
          <w:iCs/>
          <w:szCs w:val="22"/>
        </w:rPr>
        <w:t>3.1.2.</w:t>
      </w:r>
      <w:r>
        <w:rPr>
          <w:b/>
          <w:bCs/>
          <w:iCs/>
          <w:szCs w:val="22"/>
        </w:rPr>
        <w:tab/>
        <w:t>Otras acciones implementadas para aumentar la retención escolar en este nivel son:</w:t>
      </w:r>
    </w:p>
    <w:p w:rsidR="00000000" w:rsidRDefault="00000000">
      <w:pPr>
        <w:spacing w:after="240"/>
        <w:ind w:left="1701" w:hanging="567"/>
        <w:rPr>
          <w:szCs w:val="22"/>
        </w:rPr>
      </w:pPr>
      <w:r>
        <w:rPr>
          <w:b/>
          <w:szCs w:val="22"/>
        </w:rPr>
        <w:t>a)</w:t>
      </w:r>
      <w:r>
        <w:rPr>
          <w:b/>
          <w:szCs w:val="22"/>
        </w:rPr>
        <w:tab/>
        <w:t xml:space="preserve">Distribución de </w:t>
      </w:r>
      <w:r>
        <w:rPr>
          <w:b/>
          <w:i/>
          <w:iCs/>
          <w:szCs w:val="22"/>
        </w:rPr>
        <w:t>kits</w:t>
      </w:r>
      <w:r>
        <w:rPr>
          <w:b/>
          <w:szCs w:val="22"/>
        </w:rPr>
        <w:t xml:space="preserve"> escolares</w:t>
      </w:r>
      <w:r>
        <w:t xml:space="preserve"> </w:t>
      </w:r>
      <w:r>
        <w:rPr>
          <w:szCs w:val="22"/>
        </w:rPr>
        <w:t xml:space="preserve">a escuelas de comunidades pobres de la zona metropolitana e interior del país.  Cada </w:t>
      </w:r>
      <w:r>
        <w:rPr>
          <w:i/>
          <w:iCs/>
          <w:szCs w:val="22"/>
        </w:rPr>
        <w:t>kit</w:t>
      </w:r>
      <w:r>
        <w:rPr>
          <w:szCs w:val="22"/>
        </w:rPr>
        <w:t xml:space="preserve"> contiene:  cuadernos, lápices de papel, lápices de colores, regla, borrador, sacapuntas, tijerita y plasticola.</w:t>
      </w:r>
    </w:p>
    <w:p w:rsidR="00000000" w:rsidRDefault="00000000">
      <w:pPr>
        <w:spacing w:after="240"/>
        <w:ind w:left="1701"/>
        <w:rPr>
          <w:szCs w:val="22"/>
        </w:rPr>
      </w:pPr>
      <w:r>
        <w:rPr>
          <w:b/>
          <w:szCs w:val="22"/>
        </w:rPr>
        <w:t>Objetivo</w:t>
      </w:r>
      <w:r>
        <w:rPr>
          <w:szCs w:val="22"/>
        </w:rPr>
        <w:t>:  mejorar la educación de los grupos sociales desfavorecidos contribuyendo a la igualdad de oportunidades educativas para los paraguayos.</w:t>
      </w:r>
    </w:p>
    <w:p w:rsidR="00000000" w:rsidRDefault="00000000">
      <w:pPr>
        <w:spacing w:after="240"/>
        <w:ind w:left="1701"/>
        <w:rPr>
          <w:szCs w:val="22"/>
        </w:rPr>
      </w:pPr>
      <w:r>
        <w:rPr>
          <w:b/>
          <w:szCs w:val="22"/>
        </w:rPr>
        <w:t>Beneficiarios</w:t>
      </w:r>
      <w:r>
        <w:rPr>
          <w:szCs w:val="22"/>
        </w:rPr>
        <w:t xml:space="preserve">:  450.000 </w:t>
      </w:r>
      <w:r>
        <w:rPr>
          <w:i/>
          <w:iCs/>
          <w:szCs w:val="22"/>
        </w:rPr>
        <w:t>kits</w:t>
      </w:r>
      <w:r>
        <w:rPr>
          <w:szCs w:val="22"/>
        </w:rPr>
        <w:t xml:space="preserve"> escolares para alumnas y alumnos de preescolar y 1</w:t>
      </w:r>
      <w:r>
        <w:rPr>
          <w:szCs w:val="22"/>
          <w:vertAlign w:val="superscript"/>
        </w:rPr>
        <w:t>er</w:t>
      </w:r>
      <w:r>
        <w:rPr>
          <w:szCs w:val="22"/>
        </w:rPr>
        <w:t> y 2º ciclo de EEB de comunidades pobres de Capital, Concepción, Cordillera, Guairá, Itaipú, Misiones, Paraguari, Central, Ñeembucú, Amambay, Presidente Hayes, Boquerón, Alto Paraguay, San Pedro, Alto Paraná, Itapúa.</w:t>
      </w:r>
    </w:p>
    <w:p w:rsidR="00000000" w:rsidRDefault="00000000">
      <w:pPr>
        <w:spacing w:after="240"/>
        <w:ind w:left="1701" w:hanging="567"/>
      </w:pPr>
      <w:r>
        <w:rPr>
          <w:b/>
          <w:szCs w:val="22"/>
          <w:lang w:val="es-PY"/>
        </w:rPr>
        <w:t>b)</w:t>
      </w:r>
      <w:r>
        <w:rPr>
          <w:b/>
          <w:szCs w:val="22"/>
          <w:lang w:val="es-PY"/>
        </w:rPr>
        <w:tab/>
        <w:t xml:space="preserve">Boleto </w:t>
      </w:r>
      <w:r>
        <w:rPr>
          <w:b/>
          <w:szCs w:val="22"/>
        </w:rPr>
        <w:t xml:space="preserve">estudiantil:  </w:t>
      </w:r>
      <w:r>
        <w:t>desde 1999 se encuentra vigente el régimen del boleto estudiantil, que consiste en un descuento del 50% en el pasaje de transporte público urbano, para los estudiantes de la educación básica y media</w:t>
      </w:r>
      <w:r>
        <w:rPr>
          <w:szCs w:val="22"/>
        </w:rPr>
        <w:t xml:space="preserve">.  </w:t>
      </w:r>
      <w:r>
        <w:t xml:space="preserve">Esto constituye un apoyo importante para </w:t>
      </w:r>
      <w:r>
        <w:rPr>
          <w:szCs w:val="22"/>
        </w:rPr>
        <w:t>los</w:t>
      </w:r>
      <w:r>
        <w:t xml:space="preserve"> estudiantes que deben utilizar este servicio diariamente para desplazarse desde y hasta sus lugares de estudio.  </w:t>
      </w:r>
    </w:p>
    <w:p w:rsidR="00000000" w:rsidRDefault="00000000">
      <w:pPr>
        <w:spacing w:after="240"/>
        <w:ind w:left="1134" w:firstLine="567"/>
      </w:pPr>
      <w:r>
        <w:rPr>
          <w:b/>
          <w:szCs w:val="22"/>
        </w:rPr>
        <w:t xml:space="preserve">Distribución del carné estudiantil </w:t>
      </w:r>
    </w:p>
    <w:p w:rsidR="00000000" w:rsidRDefault="00000000">
      <w:pPr>
        <w:spacing w:after="240"/>
        <w:ind w:left="1701"/>
        <w:rPr>
          <w:b/>
          <w:szCs w:val="22"/>
        </w:rPr>
      </w:pPr>
      <w:r>
        <w:rPr>
          <w:b/>
          <w:szCs w:val="22"/>
        </w:rPr>
        <w:t>Meta 2005:</w:t>
      </w:r>
    </w:p>
    <w:p w:rsidR="00000000" w:rsidRDefault="00000000">
      <w:pPr>
        <w:tabs>
          <w:tab w:val="left" w:pos="1440"/>
        </w:tabs>
        <w:spacing w:after="240"/>
        <w:ind w:left="2058" w:hanging="357"/>
        <w:rPr>
          <w:spacing w:val="-2"/>
          <w:szCs w:val="22"/>
        </w:rPr>
      </w:pPr>
      <w:r>
        <w:rPr>
          <w:spacing w:val="-2"/>
          <w:szCs w:val="22"/>
        </w:rPr>
        <w:t>-</w:t>
      </w:r>
      <w:r>
        <w:rPr>
          <w:spacing w:val="-2"/>
          <w:szCs w:val="22"/>
        </w:rPr>
        <w:tab/>
        <w:t>entregar 60.000 carnés en departamento Central, Capital e interior del país;</w:t>
      </w:r>
    </w:p>
    <w:p w:rsidR="00000000" w:rsidRDefault="00000000">
      <w:pPr>
        <w:tabs>
          <w:tab w:val="left" w:pos="1440"/>
        </w:tabs>
        <w:spacing w:after="240"/>
        <w:ind w:left="2058" w:hanging="357"/>
        <w:rPr>
          <w:szCs w:val="22"/>
        </w:rPr>
      </w:pPr>
      <w:r>
        <w:rPr>
          <w:szCs w:val="22"/>
        </w:rPr>
        <w:t>-</w:t>
      </w:r>
      <w:r>
        <w:rPr>
          <w:szCs w:val="22"/>
        </w:rPr>
        <w:tab/>
        <w:t>ejecución a septiembre:  34.248 carnés entregados.</w:t>
      </w:r>
    </w:p>
    <w:p w:rsidR="00000000" w:rsidRDefault="00000000">
      <w:pPr>
        <w:spacing w:after="240"/>
        <w:ind w:left="1701" w:hanging="567"/>
        <w:rPr>
          <w:b/>
          <w:szCs w:val="22"/>
        </w:rPr>
      </w:pPr>
      <w:r>
        <w:rPr>
          <w:b/>
          <w:szCs w:val="22"/>
        </w:rPr>
        <w:t>c)</w:t>
      </w:r>
      <w:r>
        <w:rPr>
          <w:b/>
          <w:szCs w:val="22"/>
        </w:rPr>
        <w:tab/>
        <w:t xml:space="preserve">Bonos </w:t>
      </w:r>
      <w:r>
        <w:rPr>
          <w:b/>
          <w:szCs w:val="22"/>
          <w:lang w:val="es-PY"/>
        </w:rPr>
        <w:t>de</w:t>
      </w:r>
      <w:r>
        <w:rPr>
          <w:b/>
          <w:szCs w:val="22"/>
        </w:rPr>
        <w:t xml:space="preserve"> medio pasaje</w:t>
      </w:r>
    </w:p>
    <w:p w:rsidR="00000000" w:rsidRDefault="00000000">
      <w:pPr>
        <w:spacing w:after="240"/>
        <w:ind w:left="1134" w:firstLine="567"/>
        <w:rPr>
          <w:b/>
          <w:szCs w:val="22"/>
        </w:rPr>
      </w:pPr>
      <w:r>
        <w:rPr>
          <w:b/>
          <w:szCs w:val="22"/>
        </w:rPr>
        <w:t>Meta 2005</w:t>
      </w:r>
    </w:p>
    <w:p w:rsidR="00000000" w:rsidRDefault="00000000">
      <w:pPr>
        <w:tabs>
          <w:tab w:val="left" w:pos="1440"/>
        </w:tabs>
        <w:spacing w:after="240"/>
        <w:ind w:left="2058" w:hanging="357"/>
        <w:rPr>
          <w:szCs w:val="22"/>
        </w:rPr>
      </w:pPr>
      <w:r>
        <w:rPr>
          <w:szCs w:val="22"/>
        </w:rPr>
        <w:t>-</w:t>
      </w:r>
      <w:r>
        <w:rPr>
          <w:szCs w:val="22"/>
        </w:rPr>
        <w:tab/>
        <w:t>entregar 32.400.000 bonos al año (60 bonos por alumno al mes);</w:t>
      </w:r>
    </w:p>
    <w:p w:rsidR="00000000" w:rsidRDefault="00000000">
      <w:pPr>
        <w:tabs>
          <w:tab w:val="left" w:pos="1440"/>
        </w:tabs>
        <w:spacing w:after="240"/>
        <w:ind w:left="2058" w:hanging="357"/>
        <w:rPr>
          <w:szCs w:val="22"/>
        </w:rPr>
      </w:pPr>
      <w:r>
        <w:rPr>
          <w:szCs w:val="22"/>
        </w:rPr>
        <w:t>-</w:t>
      </w:r>
      <w:r>
        <w:rPr>
          <w:szCs w:val="22"/>
        </w:rPr>
        <w:tab/>
        <w:t xml:space="preserve">ejecución a septiembre:  9.646.000 bonos entregados para 34.248 alumnos. </w:t>
      </w:r>
    </w:p>
    <w:p w:rsidR="00000000" w:rsidRDefault="00000000">
      <w:pPr>
        <w:autoSpaceDE w:val="0"/>
        <w:autoSpaceDN w:val="0"/>
        <w:adjustRightInd w:val="0"/>
        <w:spacing w:after="240"/>
        <w:rPr>
          <w:szCs w:val="22"/>
        </w:rPr>
      </w:pPr>
      <w:r>
        <w:rPr>
          <w:szCs w:val="22"/>
        </w:rPr>
        <w:t>566.</w:t>
      </w:r>
      <w:r>
        <w:rPr>
          <w:szCs w:val="22"/>
        </w:rPr>
        <w:tab/>
        <w:t>A nivel de metas macroeducativas, la principal meta consiste en lograr que todos los niños de 5 años estén matriculados en el preescolar al 2010 (Plan Nacional de Educación Inicial).  Dentro de este contexto, cada año se habilitan más secciones de preescolar a fin de llegar a la cobertura del 100% propuesto.</w:t>
      </w:r>
    </w:p>
    <w:p w:rsidR="00000000" w:rsidRDefault="00000000">
      <w:pPr>
        <w:autoSpaceDE w:val="0"/>
        <w:autoSpaceDN w:val="0"/>
        <w:adjustRightInd w:val="0"/>
        <w:spacing w:after="240"/>
        <w:rPr>
          <w:color w:val="000000"/>
        </w:rPr>
      </w:pPr>
      <w:r>
        <w:rPr>
          <w:szCs w:val="22"/>
        </w:rPr>
        <w:t>567.</w:t>
      </w:r>
      <w:r>
        <w:rPr>
          <w:szCs w:val="22"/>
        </w:rPr>
        <w:tab/>
        <w:t>Líneas</w:t>
      </w:r>
      <w:r>
        <w:rPr>
          <w:color w:val="000000"/>
        </w:rPr>
        <w:t xml:space="preserve"> de acción:</w:t>
      </w:r>
    </w:p>
    <w:p w:rsidR="00000000" w:rsidRDefault="00000000">
      <w:pPr>
        <w:autoSpaceDE w:val="0"/>
        <w:autoSpaceDN w:val="0"/>
        <w:adjustRightInd w:val="0"/>
        <w:spacing w:after="240"/>
        <w:ind w:left="924" w:hanging="357"/>
        <w:rPr>
          <w:color w:val="000000"/>
        </w:rPr>
      </w:pPr>
      <w:r>
        <w:rPr>
          <w:color w:val="000000"/>
        </w:rPr>
        <w:t>-</w:t>
      </w:r>
      <w:r>
        <w:rPr>
          <w:color w:val="000000"/>
        </w:rPr>
        <w:tab/>
        <w:t>Universalización de la educación inicial y escolar básica (84% de cobertura en la educación inicial, 100% de cobertura en el 1</w:t>
      </w:r>
      <w:r>
        <w:rPr>
          <w:color w:val="000000"/>
          <w:vertAlign w:val="superscript"/>
        </w:rPr>
        <w:t>er</w:t>
      </w:r>
      <w:r>
        <w:rPr>
          <w:color w:val="000000"/>
        </w:rPr>
        <w:t xml:space="preserve"> y 2º ciclo y 75% en el 3</w:t>
      </w:r>
      <w:r>
        <w:rPr>
          <w:color w:val="000000"/>
          <w:vertAlign w:val="superscript"/>
        </w:rPr>
        <w:t>er</w:t>
      </w:r>
      <w:r>
        <w:rPr>
          <w:color w:val="000000"/>
        </w:rPr>
        <w:t xml:space="preserve"> ciclo); </w:t>
      </w:r>
    </w:p>
    <w:p w:rsidR="00000000" w:rsidRDefault="00000000">
      <w:pPr>
        <w:autoSpaceDE w:val="0"/>
        <w:autoSpaceDN w:val="0"/>
        <w:adjustRightInd w:val="0"/>
        <w:spacing w:after="240"/>
        <w:ind w:left="924" w:hanging="357"/>
        <w:rPr>
          <w:color w:val="000000"/>
        </w:rPr>
      </w:pPr>
      <w:r>
        <w:rPr>
          <w:color w:val="000000"/>
        </w:rPr>
        <w:t>-</w:t>
      </w:r>
      <w:r>
        <w:rPr>
          <w:color w:val="000000"/>
        </w:rPr>
        <w:tab/>
        <w:t>Políticas compensatorias para mejorar la educación de los grupos sociales desfavorecidos mediante la provisión de textos, útiles escolares, almuerzo y merienda escolar;</w:t>
      </w:r>
    </w:p>
    <w:p w:rsidR="00000000" w:rsidRDefault="00000000">
      <w:pPr>
        <w:autoSpaceDE w:val="0"/>
        <w:autoSpaceDN w:val="0"/>
        <w:adjustRightInd w:val="0"/>
        <w:spacing w:after="240"/>
        <w:ind w:left="924" w:hanging="357"/>
        <w:rPr>
          <w:color w:val="000000"/>
        </w:rPr>
      </w:pPr>
      <w:r>
        <w:rPr>
          <w:color w:val="000000"/>
        </w:rPr>
        <w:t>-</w:t>
      </w:r>
      <w:r>
        <w:rPr>
          <w:color w:val="000000"/>
        </w:rPr>
        <w:tab/>
        <w:t>Modernización de la estructura administrativa y de gestión del sistema educativo.</w:t>
      </w:r>
    </w:p>
    <w:p w:rsidR="00000000" w:rsidRDefault="00000000">
      <w:pPr>
        <w:autoSpaceDE w:val="0"/>
        <w:autoSpaceDN w:val="0"/>
        <w:adjustRightInd w:val="0"/>
        <w:spacing w:after="240"/>
        <w:rPr>
          <w:color w:val="000000"/>
        </w:rPr>
      </w:pPr>
      <w:r>
        <w:rPr>
          <w:color w:val="000000"/>
        </w:rPr>
        <w:t>568.</w:t>
      </w:r>
      <w:r>
        <w:rPr>
          <w:color w:val="000000"/>
        </w:rPr>
        <w:tab/>
        <w:t>Otro objetivo se refiere a que todos los niños culminen nueve años de estudios al 2020 (Plan Estra</w:t>
      </w:r>
      <w:r>
        <w:t>t</w:t>
      </w:r>
      <w:r>
        <w:rPr>
          <w:color w:val="000000"/>
        </w:rPr>
        <w:t>égico Paraguay 2020).  Cobertura actual de 75%.  Reducir al 0% el número de analfabetos al 2008 (</w:t>
      </w:r>
      <w:r>
        <w:t>Plan</w:t>
      </w:r>
      <w:r>
        <w:rPr>
          <w:color w:val="000000"/>
        </w:rPr>
        <w:t xml:space="preserve"> Estratégico Paraguay 2020, Plan Nacional de Alfabetización y Meta Educación para Todos - Dakar).</w:t>
      </w:r>
    </w:p>
    <w:p w:rsidR="00000000" w:rsidRDefault="00000000">
      <w:pPr>
        <w:spacing w:after="240"/>
        <w:rPr>
          <w:b/>
          <w:bCs/>
        </w:rPr>
      </w:pPr>
      <w:r>
        <w:rPr>
          <w:b/>
          <w:bCs/>
        </w:rPr>
        <w:t>4.</w:t>
      </w:r>
      <w:r>
        <w:rPr>
          <w:b/>
          <w:bCs/>
        </w:rPr>
        <w:tab/>
        <w:t>Medidas para promover la alfabetización</w:t>
      </w:r>
    </w:p>
    <w:p w:rsidR="00000000" w:rsidRDefault="00000000">
      <w:pPr>
        <w:autoSpaceDE w:val="0"/>
        <w:autoSpaceDN w:val="0"/>
        <w:adjustRightInd w:val="0"/>
        <w:spacing w:after="240"/>
        <w:rPr>
          <w:bCs/>
        </w:rPr>
      </w:pPr>
      <w:r>
        <w:rPr>
          <w:bCs/>
        </w:rPr>
        <w:t>569.</w:t>
      </w:r>
      <w:r>
        <w:rPr>
          <w:bCs/>
        </w:rPr>
        <w:tab/>
        <w:t xml:space="preserve">Entre las medidas concretas llevadas a cabo por el Estado paraguayo con relación a la promoción de la </w:t>
      </w:r>
      <w:r>
        <w:t>alfabetización</w:t>
      </w:r>
      <w:r>
        <w:rPr>
          <w:bCs/>
        </w:rPr>
        <w:t>, se pueden citar a las siguientes:</w:t>
      </w:r>
    </w:p>
    <w:p w:rsidR="00000000" w:rsidRDefault="00000000">
      <w:pPr>
        <w:pStyle w:val="Heading2"/>
        <w:spacing w:before="0" w:after="240"/>
        <w:ind w:left="1134" w:hanging="567"/>
        <w:rPr>
          <w:rFonts w:ascii="Times New Roman" w:hAnsi="Times New Roman" w:cs="Times New Roman"/>
          <w:i w:val="0"/>
          <w:iCs w:val="0"/>
          <w:sz w:val="24"/>
          <w:szCs w:val="24"/>
        </w:rPr>
      </w:pPr>
      <w:r>
        <w:rPr>
          <w:rFonts w:ascii="Times New Roman" w:hAnsi="Times New Roman" w:cs="Times New Roman"/>
          <w:i w:val="0"/>
          <w:iCs w:val="0"/>
          <w:sz w:val="24"/>
          <w:szCs w:val="24"/>
        </w:rPr>
        <w:t>4.1.</w:t>
      </w:r>
      <w:r>
        <w:rPr>
          <w:rFonts w:ascii="Times New Roman" w:hAnsi="Times New Roman" w:cs="Times New Roman"/>
          <w:i w:val="0"/>
          <w:iCs w:val="0"/>
          <w:sz w:val="24"/>
          <w:szCs w:val="24"/>
        </w:rPr>
        <w:tab/>
        <w:t>Plan Nacional de Alfabetización (período 2004-2008) - Programas implementados</w:t>
      </w:r>
    </w:p>
    <w:p w:rsidR="00000000" w:rsidRDefault="00000000">
      <w:pPr>
        <w:autoSpaceDE w:val="0"/>
        <w:autoSpaceDN w:val="0"/>
        <w:adjustRightInd w:val="0"/>
        <w:spacing w:after="240"/>
        <w:ind w:left="1491" w:hanging="357"/>
      </w:pPr>
      <w:r>
        <w:t>-</w:t>
      </w:r>
      <w:r>
        <w:tab/>
      </w:r>
      <w:r>
        <w:rPr>
          <w:b/>
          <w:bCs/>
        </w:rPr>
        <w:t>Programa educación básica bilingüe de jóvenes y adultos</w:t>
      </w:r>
      <w:r>
        <w:t>:  los beneficiarios del año 2005 fueron 26.000 jóvenes y adultos alfabetizados, lográndose una reducción del analfabetismo del 12,1%.</w:t>
      </w:r>
    </w:p>
    <w:p w:rsidR="00000000" w:rsidRDefault="00000000">
      <w:pPr>
        <w:autoSpaceDE w:val="0"/>
        <w:autoSpaceDN w:val="0"/>
        <w:adjustRightInd w:val="0"/>
        <w:spacing w:after="240"/>
        <w:ind w:left="1491" w:hanging="357"/>
      </w:pPr>
      <w:r>
        <w:t>-</w:t>
      </w:r>
      <w:r>
        <w:tab/>
      </w:r>
      <w:r>
        <w:rPr>
          <w:b/>
          <w:bCs/>
        </w:rPr>
        <w:t>Programa de alfabetización bilingüe intensiva</w:t>
      </w:r>
      <w:r>
        <w:t>:  65.000 alumnos matriculados en cuatro años (período 2002-2004).  Los beneficiarios del año 2005 fueron 8.000 jóvenes y adultos alfabetizados, lográndose una reducción del analfabetismo del 4,2%.</w:t>
      </w:r>
    </w:p>
    <w:p w:rsidR="00000000" w:rsidRDefault="00000000">
      <w:pPr>
        <w:autoSpaceDE w:val="0"/>
        <w:autoSpaceDN w:val="0"/>
        <w:adjustRightInd w:val="0"/>
        <w:spacing w:after="240"/>
        <w:ind w:left="1491" w:hanging="357"/>
      </w:pPr>
      <w:r>
        <w:t>-</w:t>
      </w:r>
      <w:r>
        <w:tab/>
      </w:r>
      <w:r>
        <w:rPr>
          <w:b/>
          <w:bCs/>
        </w:rPr>
        <w:t>Programa de alfabetización por teleclases</w:t>
      </w:r>
      <w:r>
        <w:t>:  45.000 alumnos matriculados en cuatro  años (período 2002-2004).  Los beneficiarios del año 2005 fueron 6.000 jóvenes y adultos alfabetizados, lográndose una reducción del analfabetismo del 3,2%.</w:t>
      </w:r>
    </w:p>
    <w:p w:rsidR="00000000" w:rsidRDefault="00000000">
      <w:pPr>
        <w:autoSpaceDE w:val="0"/>
        <w:autoSpaceDN w:val="0"/>
        <w:adjustRightInd w:val="0"/>
        <w:spacing w:after="240"/>
        <w:ind w:left="1491" w:hanging="357"/>
        <w:rPr>
          <w:szCs w:val="22"/>
        </w:rPr>
      </w:pPr>
      <w:r>
        <w:t>-</w:t>
      </w:r>
      <w:r>
        <w:tab/>
      </w:r>
      <w:r>
        <w:rPr>
          <w:b/>
          <w:bCs/>
        </w:rPr>
        <w:t>Alfa prepara PRODEPA</w:t>
      </w:r>
      <w:r>
        <w:t>:  se desarrolla en convenios con IFDs.  Instituciones de educación media. Cobertura aproximada:  5.000 participantes.  Dicho programa c</w:t>
      </w:r>
      <w:r>
        <w:rPr>
          <w:szCs w:val="22"/>
        </w:rPr>
        <w:t>onsiste en la reforma curricular e implementación de programas de educación de jóvenes y adultos que no han tenido acceso o no han concluido la Educación Elemental Básica.  Beneficia a 185.000 personas jóvenes y adultas entre 15 y 30 años de edad, de la Capital y todos los departamentos geográficos del país.</w:t>
      </w:r>
    </w:p>
    <w:p w:rsidR="00000000" w:rsidRDefault="00000000">
      <w:pPr>
        <w:spacing w:after="240"/>
        <w:ind w:left="567"/>
        <w:rPr>
          <w:i/>
          <w:szCs w:val="22"/>
        </w:rPr>
      </w:pPr>
      <w:r>
        <w:rPr>
          <w:b/>
          <w:bCs/>
          <w:i/>
          <w:szCs w:val="22"/>
        </w:rPr>
        <w:t>Proyectos complementarios del programa PRODEPA</w:t>
      </w:r>
    </w:p>
    <w:p w:rsidR="00000000" w:rsidRDefault="00000000">
      <w:pPr>
        <w:autoSpaceDE w:val="0"/>
        <w:autoSpaceDN w:val="0"/>
        <w:adjustRightInd w:val="0"/>
        <w:spacing w:after="240"/>
        <w:ind w:left="1491" w:hanging="357"/>
        <w:rPr>
          <w:szCs w:val="22"/>
        </w:rPr>
      </w:pPr>
      <w:r>
        <w:t>-</w:t>
      </w:r>
      <w:r>
        <w:tab/>
        <w:t xml:space="preserve">Abordaje pedagógico </w:t>
      </w:r>
      <w:r>
        <w:rPr>
          <w:szCs w:val="22"/>
        </w:rPr>
        <w:t>de las necesidades educativas especiales asociadas a la discapacidad:  sordos, ciegos</w:t>
      </w:r>
      <w:r>
        <w:t>, retardo mental leve y problemas motóricos.</w:t>
      </w:r>
    </w:p>
    <w:p w:rsidR="00000000" w:rsidRDefault="00000000">
      <w:pPr>
        <w:autoSpaceDE w:val="0"/>
        <w:autoSpaceDN w:val="0"/>
        <w:adjustRightInd w:val="0"/>
        <w:spacing w:after="240"/>
        <w:ind w:left="1491" w:hanging="357"/>
        <w:rPr>
          <w:szCs w:val="22"/>
        </w:rPr>
      </w:pPr>
      <w:r>
        <w:rPr>
          <w:szCs w:val="22"/>
        </w:rPr>
        <w:t>-</w:t>
      </w:r>
      <w:r>
        <w:rPr>
          <w:szCs w:val="22"/>
        </w:rPr>
        <w:tab/>
      </w:r>
      <w:r>
        <w:rPr>
          <w:b/>
          <w:bCs/>
          <w:szCs w:val="22"/>
        </w:rPr>
        <w:t>Formación profesional</w:t>
      </w:r>
      <w:r>
        <w:rPr>
          <w:szCs w:val="22"/>
        </w:rPr>
        <w:t>:</w:t>
      </w:r>
      <w:r>
        <w:rPr>
          <w:szCs w:val="18"/>
        </w:rPr>
        <w:t xml:space="preserve">  l</w:t>
      </w:r>
      <w:r>
        <w:t xml:space="preserve">a educación permanente contempla la formación profesional como modalidad que implementa un currículum especial con enfoque a la formación de mano de obra calificada para una </w:t>
      </w:r>
      <w:r>
        <w:rPr>
          <w:szCs w:val="22"/>
        </w:rPr>
        <w:t>ocupación</w:t>
      </w:r>
      <w:r>
        <w:t xml:space="preserve"> laboral específica.  Es a nivel postescolar básica (2º y 3</w:t>
      </w:r>
      <w:r>
        <w:rPr>
          <w:vertAlign w:val="superscript"/>
        </w:rPr>
        <w:t>er</w:t>
      </w:r>
      <w:r>
        <w:t xml:space="preserve"> ciclo). </w:t>
      </w:r>
    </w:p>
    <w:p w:rsidR="00000000" w:rsidRDefault="00000000">
      <w:pPr>
        <w:autoSpaceDE w:val="0"/>
        <w:autoSpaceDN w:val="0"/>
        <w:adjustRightInd w:val="0"/>
        <w:spacing w:after="240"/>
        <w:ind w:left="1491" w:hanging="357"/>
      </w:pPr>
      <w:r>
        <w:rPr>
          <w:szCs w:val="22"/>
        </w:rPr>
        <w:t>-</w:t>
      </w:r>
      <w:r>
        <w:rPr>
          <w:szCs w:val="22"/>
        </w:rPr>
        <w:tab/>
      </w:r>
      <w:r>
        <w:rPr>
          <w:b/>
          <w:bCs/>
          <w:szCs w:val="22"/>
        </w:rPr>
        <w:t>Programa de capacitación laboral</w:t>
      </w:r>
      <w:r>
        <w:rPr>
          <w:szCs w:val="22"/>
        </w:rPr>
        <w:t>:  programa ofrecido a los participantes de centros de educación de jóvenes y adultos y personas interesadas de la comunidad; su objetivo es desarrollar en los participantes las competencias básicas para su inserción en el mundo laboral.  Son beneficiarios 20.000 participantes matriculados durante el año 2005.</w:t>
      </w:r>
    </w:p>
    <w:p w:rsidR="00000000" w:rsidRDefault="00000000">
      <w:pPr>
        <w:autoSpaceDE w:val="0"/>
        <w:autoSpaceDN w:val="0"/>
        <w:adjustRightInd w:val="0"/>
        <w:spacing w:after="240"/>
        <w:ind w:left="1491" w:hanging="357"/>
      </w:pPr>
      <w:r>
        <w:t>-</w:t>
      </w:r>
      <w:r>
        <w:tab/>
      </w:r>
      <w:r>
        <w:rPr>
          <w:b/>
          <w:bCs/>
        </w:rPr>
        <w:t>Aula mentor</w:t>
      </w:r>
      <w:r>
        <w:t xml:space="preserve">:  ofrece formación a través de Internet, por medio de cursos con asistencia tutorial telemática, a </w:t>
      </w:r>
      <w:r>
        <w:rPr>
          <w:szCs w:val="22"/>
        </w:rPr>
        <w:t>las</w:t>
      </w:r>
      <w:r>
        <w:t xml:space="preserve"> mujeres privadas de libertad del correccional de mujeres "Casa del Buen Pastor".</w:t>
      </w:r>
    </w:p>
    <w:p w:rsidR="00000000" w:rsidRDefault="00000000">
      <w:pPr>
        <w:autoSpaceDE w:val="0"/>
        <w:autoSpaceDN w:val="0"/>
        <w:adjustRightInd w:val="0"/>
        <w:spacing w:after="240"/>
      </w:pPr>
      <w:r>
        <w:t>570.</w:t>
      </w:r>
      <w:r>
        <w:tab/>
      </w:r>
      <w:r>
        <w:rPr>
          <w:b/>
          <w:bCs/>
        </w:rPr>
        <w:t>Proyecto educativo de centros penitenciarios.</w:t>
      </w:r>
      <w:r>
        <w:rPr>
          <w:szCs w:val="22"/>
        </w:rPr>
        <w:t xml:space="preserve">  B</w:t>
      </w:r>
      <w:r>
        <w:t>rinda a los jóvenes y adultos mayores de 15 años la oportunidad de acceder a una educación básica y a una capacitación laboral, que posibilite una mejor calidad de vida y la efectiva reinserción de los mismos a la sociedad paraguaya.  Se implementa en penitenciaría nacional, regionales, correccional de menores, correccional de mujeres.  Beneficia a 1.400 personas de las penitenciarias y participantes del PRODEPA de los centros penitenciarios, en los departamentos de Concepción, Amambay, San Pedro, Caaguazú, Guairá, Alto Paraná, Itapúa, Misiones, Cordillera, Central y Asunción, mediante un Convenio firmado entre el MEC y el Ministerio de Justicia y Trabajo.</w:t>
      </w:r>
    </w:p>
    <w:p w:rsidR="00000000" w:rsidRDefault="00000000">
      <w:pPr>
        <w:autoSpaceDE w:val="0"/>
        <w:autoSpaceDN w:val="0"/>
        <w:adjustRightInd w:val="0"/>
        <w:spacing w:after="240"/>
      </w:pPr>
      <w:r>
        <w:t>571.</w:t>
      </w:r>
      <w:r>
        <w:tab/>
        <w:t>En el marco de las políticas curriculares en el contenido de la educación y las estrategias de enseñanza-aprendizaje, particularmente en el ámbito de la educación de jóvenes y adultos, la reforma curricular de este subsistema es de carácter bilingüe, castellano-guaraní, atendiendo a la realidad sociolingüística del país, con un servicio educativo orientado hacia el desarrollo de competencias y el mejoramiento de las oportunidades educativas en el marco de la equidad.  El currículum se orienta al logro de una participación ciudadana autónoma y propicia la formación de ciudadanos para una convivencia democrática.</w:t>
      </w:r>
    </w:p>
    <w:p w:rsidR="00000000" w:rsidRDefault="00000000">
      <w:pPr>
        <w:autoSpaceDE w:val="0"/>
        <w:autoSpaceDN w:val="0"/>
        <w:adjustRightInd w:val="0"/>
        <w:spacing w:after="240"/>
      </w:pPr>
      <w:r>
        <w:t>572.</w:t>
      </w:r>
      <w:r>
        <w:tab/>
        <w:t>La estructura de la modalidad se describe en cuatro ciclos, con una duración de un año lectivo cada uno que incluye la capacitación laboral mediante el aprendizaje de la práctica de un oficio, que, una vez completados, permiten la obtención del título de graduado en educación básica.</w:t>
      </w:r>
    </w:p>
    <w:p w:rsidR="00000000" w:rsidRDefault="00000000">
      <w:pPr>
        <w:keepNext/>
        <w:shd w:val="clear" w:color="auto" w:fill="FFFFFF"/>
        <w:spacing w:after="240"/>
        <w:ind w:right="17"/>
        <w:jc w:val="center"/>
        <w:rPr>
          <w:b/>
          <w:bCs/>
          <w:spacing w:val="6"/>
          <w:lang w:val="es-ES_tradnl"/>
        </w:rPr>
      </w:pPr>
      <w:r>
        <w:rPr>
          <w:b/>
          <w:bCs/>
          <w:spacing w:val="6"/>
          <w:lang w:val="es-ES_tradnl"/>
        </w:rPr>
        <w:t>B.  Sistema educativo</w:t>
      </w:r>
    </w:p>
    <w:p w:rsidR="00000000" w:rsidRDefault="00000000">
      <w:pPr>
        <w:keepNext/>
        <w:shd w:val="clear" w:color="auto" w:fill="FFFFFF"/>
        <w:spacing w:after="240"/>
        <w:ind w:right="17"/>
        <w:rPr>
          <w:b/>
          <w:bCs/>
          <w:spacing w:val="6"/>
          <w:lang w:val="es-ES_tradnl"/>
        </w:rPr>
      </w:pPr>
      <w:r>
        <w:rPr>
          <w:b/>
          <w:bCs/>
          <w:spacing w:val="6"/>
          <w:lang w:val="es-ES_tradnl"/>
        </w:rPr>
        <w:t>1.</w:t>
      </w:r>
      <w:r>
        <w:rPr>
          <w:b/>
          <w:bCs/>
          <w:spacing w:val="6"/>
          <w:lang w:val="es-ES_tradnl"/>
        </w:rPr>
        <w:tab/>
        <w:t>Presupuesto de la educación</w:t>
      </w:r>
    </w:p>
    <w:p w:rsidR="00000000" w:rsidRDefault="00000000">
      <w:pPr>
        <w:autoSpaceDE w:val="0"/>
        <w:autoSpaceDN w:val="0"/>
        <w:adjustRightInd w:val="0"/>
        <w:spacing w:after="240"/>
      </w:pPr>
      <w:r>
        <w:rPr>
          <w:szCs w:val="22"/>
        </w:rPr>
        <w:t>573.</w:t>
      </w:r>
      <w:r>
        <w:rPr>
          <w:szCs w:val="22"/>
        </w:rPr>
        <w:tab/>
        <w:t xml:space="preserve">Del Presupuesto General de Gastos de la Nación para el año 2005, el 18,23% de lo asignado a la </w:t>
      </w:r>
      <w:r>
        <w:t>Administración</w:t>
      </w:r>
      <w:r>
        <w:rPr>
          <w:szCs w:val="22"/>
        </w:rPr>
        <w:t xml:space="preserve"> central corresponde al Ministerio de Educación y Cultura.</w:t>
      </w:r>
      <w:r>
        <w:rPr>
          <w:bCs/>
          <w:spacing w:val="2"/>
          <w:lang w:val="es-ES_tradnl"/>
        </w:rPr>
        <w:t xml:space="preserve">  Asimismo, en la Constitución nacional del Paraguay se encuentra establecido, en su artículo 85:</w:t>
      </w:r>
      <w:r>
        <w:t xml:space="preserve">  "Los recursos destinados a la educación en el Presupuesto General de la Nación no serán inferiores al 20% del total asignado a la Administración central, excluidos los préstamos y las donaciones".</w:t>
      </w:r>
    </w:p>
    <w:p w:rsidR="00000000" w:rsidRDefault="00000000">
      <w:pPr>
        <w:shd w:val="clear" w:color="auto" w:fill="FFFFFF"/>
        <w:spacing w:after="240"/>
        <w:ind w:right="19"/>
        <w:rPr>
          <w:b/>
        </w:rPr>
      </w:pPr>
      <w:r>
        <w:rPr>
          <w:b/>
        </w:rPr>
        <w:t>2.</w:t>
      </w:r>
      <w:r>
        <w:rPr>
          <w:b/>
        </w:rPr>
        <w:tab/>
        <w:t>Sistema de escuelas</w:t>
      </w:r>
    </w:p>
    <w:p w:rsidR="00000000" w:rsidRDefault="00000000">
      <w:pPr>
        <w:autoSpaceDE w:val="0"/>
        <w:autoSpaceDN w:val="0"/>
        <w:adjustRightInd w:val="0"/>
        <w:spacing w:after="240"/>
        <w:rPr>
          <w:szCs w:val="22"/>
        </w:rPr>
      </w:pPr>
      <w:r>
        <w:rPr>
          <w:szCs w:val="22"/>
        </w:rPr>
        <w:t>574.</w:t>
      </w:r>
      <w:r>
        <w:rPr>
          <w:szCs w:val="22"/>
        </w:rPr>
        <w:tab/>
        <w:t xml:space="preserve">Las </w:t>
      </w:r>
      <w:r>
        <w:t>escuelas</w:t>
      </w:r>
      <w:r>
        <w:rPr>
          <w:szCs w:val="22"/>
        </w:rPr>
        <w:t xml:space="preserve"> de acuerdo al tipo de gestión</w:t>
      </w:r>
      <w:r>
        <w:rPr>
          <w:b/>
          <w:bCs/>
          <w:szCs w:val="22"/>
        </w:rPr>
        <w:t xml:space="preserve"> </w:t>
      </w:r>
      <w:r>
        <w:rPr>
          <w:szCs w:val="22"/>
        </w:rPr>
        <w:t>pueden ser:</w:t>
      </w:r>
    </w:p>
    <w:p w:rsidR="00000000" w:rsidRDefault="00000000">
      <w:pPr>
        <w:spacing w:after="240"/>
        <w:ind w:left="924" w:hanging="357"/>
        <w:rPr>
          <w:color w:val="000000"/>
        </w:rPr>
      </w:pPr>
      <w:r>
        <w:rPr>
          <w:b/>
          <w:color w:val="000000"/>
        </w:rPr>
        <w:t>-</w:t>
      </w:r>
      <w:r>
        <w:rPr>
          <w:b/>
          <w:color w:val="000000"/>
        </w:rPr>
        <w:tab/>
        <w:t>Escuelas oficiales</w:t>
      </w:r>
      <w:r>
        <w:rPr>
          <w:color w:val="000000"/>
        </w:rPr>
        <w:t>:  del Estado, administradas directamente por el Gobierno;</w:t>
      </w:r>
    </w:p>
    <w:p w:rsidR="00000000" w:rsidRDefault="00000000">
      <w:pPr>
        <w:spacing w:after="240"/>
        <w:ind w:left="924" w:hanging="357"/>
        <w:rPr>
          <w:color w:val="000000"/>
        </w:rPr>
      </w:pPr>
      <w:r>
        <w:rPr>
          <w:b/>
          <w:color w:val="000000"/>
        </w:rPr>
        <w:t>-</w:t>
      </w:r>
      <w:r>
        <w:rPr>
          <w:b/>
          <w:color w:val="000000"/>
        </w:rPr>
        <w:tab/>
        <w:t>Escuelas privadas subvencionadas:</w:t>
      </w:r>
      <w:r>
        <w:rPr>
          <w:color w:val="000000"/>
        </w:rPr>
        <w:t xml:space="preserve">  de administración privada pero con docentes pagados por el Gobierno;</w:t>
      </w:r>
    </w:p>
    <w:p w:rsidR="00000000" w:rsidRDefault="00000000">
      <w:pPr>
        <w:spacing w:after="240"/>
        <w:ind w:left="924" w:hanging="357"/>
        <w:rPr>
          <w:b/>
          <w:color w:val="000000"/>
        </w:rPr>
      </w:pPr>
      <w:r>
        <w:rPr>
          <w:b/>
          <w:color w:val="000000"/>
        </w:rPr>
        <w:t>-</w:t>
      </w:r>
      <w:r>
        <w:rPr>
          <w:b/>
          <w:color w:val="000000"/>
        </w:rPr>
        <w:tab/>
        <w:t>Escuelas privadas.</w:t>
      </w:r>
    </w:p>
    <w:p w:rsidR="00000000" w:rsidRDefault="00000000">
      <w:pPr>
        <w:autoSpaceDE w:val="0"/>
        <w:autoSpaceDN w:val="0"/>
        <w:adjustRightInd w:val="0"/>
        <w:spacing w:after="240"/>
        <w:rPr>
          <w:color w:val="000000"/>
        </w:rPr>
      </w:pPr>
      <w:r>
        <w:rPr>
          <w:color w:val="000000"/>
        </w:rPr>
        <w:t>575.</w:t>
      </w:r>
      <w:r>
        <w:rPr>
          <w:color w:val="000000"/>
        </w:rPr>
        <w:tab/>
        <w:t xml:space="preserve">A </w:t>
      </w:r>
      <w:r>
        <w:t>continuación</w:t>
      </w:r>
      <w:r>
        <w:rPr>
          <w:color w:val="000000"/>
        </w:rPr>
        <w:t xml:space="preserve"> se detalla la distribución de los centros educativos según estos tipos de gestión.</w:t>
      </w:r>
    </w:p>
    <w:p w:rsidR="00000000" w:rsidRDefault="00000000">
      <w:pPr>
        <w:spacing w:after="160"/>
        <w:jc w:val="center"/>
        <w:rPr>
          <w:b/>
          <w:color w:val="000000"/>
          <w:sz w:val="16"/>
        </w:rPr>
      </w:pPr>
      <w:r>
        <w:rPr>
          <w:b/>
          <w:bCs/>
          <w:color w:val="000000"/>
          <w:sz w:val="16"/>
          <w:szCs w:val="18"/>
        </w:rPr>
        <w:t>Porcentaje de instituciones por sector y zona, según nivel,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64"/>
        <w:gridCol w:w="789"/>
        <w:gridCol w:w="522"/>
        <w:gridCol w:w="669"/>
        <w:gridCol w:w="531"/>
        <w:gridCol w:w="1070"/>
        <w:gridCol w:w="467"/>
        <w:gridCol w:w="850"/>
        <w:gridCol w:w="484"/>
        <w:gridCol w:w="836"/>
        <w:gridCol w:w="544"/>
        <w:gridCol w:w="784"/>
      </w:tblGrid>
      <w:tr w:rsidR="00000000">
        <w:tblPrEx>
          <w:tblCellMar>
            <w:top w:w="0" w:type="dxa"/>
            <w:bottom w:w="0" w:type="dxa"/>
          </w:tblCellMar>
        </w:tblPrEx>
        <w:tc>
          <w:tcPr>
            <w:tcW w:w="1034" w:type="pct"/>
            <w:vAlign w:val="center"/>
          </w:tcPr>
          <w:p w:rsidR="00000000" w:rsidRDefault="00000000">
            <w:pPr>
              <w:jc w:val="center"/>
              <w:rPr>
                <w:b/>
                <w:color w:val="000000"/>
                <w:sz w:val="16"/>
              </w:rPr>
            </w:pPr>
            <w:r>
              <w:rPr>
                <w:b/>
                <w:color w:val="000000"/>
                <w:sz w:val="16"/>
              </w:rPr>
              <w:t>Instituciones</w:t>
            </w:r>
          </w:p>
        </w:tc>
        <w:tc>
          <w:tcPr>
            <w:tcW w:w="355" w:type="pct"/>
            <w:vAlign w:val="center"/>
          </w:tcPr>
          <w:p w:rsidR="00000000" w:rsidRDefault="00000000">
            <w:pPr>
              <w:jc w:val="center"/>
              <w:rPr>
                <w:b/>
                <w:color w:val="000000"/>
                <w:sz w:val="16"/>
              </w:rPr>
            </w:pPr>
            <w:r>
              <w:rPr>
                <w:b/>
                <w:color w:val="000000"/>
                <w:sz w:val="16"/>
              </w:rPr>
              <w:t>Oficial</w:t>
            </w:r>
          </w:p>
        </w:tc>
        <w:tc>
          <w:tcPr>
            <w:tcW w:w="321" w:type="pct"/>
            <w:vAlign w:val="center"/>
          </w:tcPr>
          <w:p w:rsidR="00000000" w:rsidRDefault="00000000">
            <w:pPr>
              <w:jc w:val="center"/>
              <w:rPr>
                <w:b/>
                <w:color w:val="000000"/>
                <w:sz w:val="16"/>
              </w:rPr>
            </w:pPr>
            <w:r>
              <w:rPr>
                <w:b/>
                <w:color w:val="000000"/>
                <w:sz w:val="16"/>
              </w:rPr>
              <w:t>%</w:t>
            </w:r>
          </w:p>
        </w:tc>
        <w:tc>
          <w:tcPr>
            <w:tcW w:w="399" w:type="pct"/>
            <w:vAlign w:val="center"/>
          </w:tcPr>
          <w:p w:rsidR="00000000" w:rsidRDefault="00000000">
            <w:pPr>
              <w:jc w:val="center"/>
              <w:rPr>
                <w:b/>
                <w:color w:val="000000"/>
                <w:sz w:val="16"/>
              </w:rPr>
            </w:pPr>
            <w:r>
              <w:rPr>
                <w:b/>
                <w:color w:val="000000"/>
                <w:sz w:val="16"/>
              </w:rPr>
              <w:t>Privado</w:t>
            </w:r>
          </w:p>
        </w:tc>
        <w:tc>
          <w:tcPr>
            <w:tcW w:w="325" w:type="pct"/>
            <w:vAlign w:val="center"/>
          </w:tcPr>
          <w:p w:rsidR="00000000" w:rsidRDefault="00000000">
            <w:pPr>
              <w:jc w:val="center"/>
              <w:rPr>
                <w:b/>
                <w:color w:val="000000"/>
                <w:sz w:val="16"/>
              </w:rPr>
            </w:pPr>
            <w:r>
              <w:rPr>
                <w:b/>
                <w:color w:val="000000"/>
                <w:sz w:val="16"/>
              </w:rPr>
              <w:t>%</w:t>
            </w:r>
          </w:p>
        </w:tc>
        <w:tc>
          <w:tcPr>
            <w:tcW w:w="514" w:type="pct"/>
            <w:vAlign w:val="center"/>
          </w:tcPr>
          <w:p w:rsidR="00000000" w:rsidRDefault="00000000">
            <w:pPr>
              <w:jc w:val="center"/>
              <w:rPr>
                <w:b/>
                <w:color w:val="000000"/>
                <w:sz w:val="16"/>
              </w:rPr>
            </w:pPr>
            <w:r>
              <w:rPr>
                <w:b/>
                <w:color w:val="000000"/>
                <w:sz w:val="16"/>
              </w:rPr>
              <w:t>Privado subvencionado</w:t>
            </w:r>
          </w:p>
        </w:tc>
        <w:tc>
          <w:tcPr>
            <w:tcW w:w="291" w:type="pct"/>
            <w:vAlign w:val="center"/>
          </w:tcPr>
          <w:p w:rsidR="00000000" w:rsidRDefault="00000000">
            <w:pPr>
              <w:jc w:val="center"/>
              <w:rPr>
                <w:b/>
                <w:color w:val="000000"/>
                <w:sz w:val="16"/>
                <w:lang w:val="es-ES_tradnl"/>
              </w:rPr>
            </w:pPr>
            <w:r>
              <w:rPr>
                <w:b/>
                <w:color w:val="000000"/>
                <w:sz w:val="16"/>
                <w:lang w:val="es-ES_tradnl"/>
              </w:rPr>
              <w:t>%</w:t>
            </w:r>
          </w:p>
        </w:tc>
        <w:tc>
          <w:tcPr>
            <w:tcW w:w="406" w:type="pct"/>
            <w:vAlign w:val="center"/>
          </w:tcPr>
          <w:p w:rsidR="00000000" w:rsidRDefault="00000000">
            <w:pPr>
              <w:jc w:val="center"/>
              <w:rPr>
                <w:b/>
                <w:color w:val="000000"/>
                <w:sz w:val="16"/>
                <w:lang w:val="es-ES_tradnl"/>
              </w:rPr>
            </w:pPr>
            <w:r>
              <w:rPr>
                <w:b/>
                <w:color w:val="000000"/>
                <w:sz w:val="16"/>
                <w:lang w:val="es-ES_tradnl"/>
              </w:rPr>
              <w:t>Urbana</w:t>
            </w:r>
          </w:p>
        </w:tc>
        <w:tc>
          <w:tcPr>
            <w:tcW w:w="300" w:type="pct"/>
            <w:vAlign w:val="center"/>
          </w:tcPr>
          <w:p w:rsidR="00000000" w:rsidRDefault="00000000">
            <w:pPr>
              <w:jc w:val="center"/>
              <w:rPr>
                <w:b/>
                <w:color w:val="000000"/>
                <w:sz w:val="16"/>
                <w:lang w:val="es-ES_tradnl"/>
              </w:rPr>
            </w:pPr>
            <w:r>
              <w:rPr>
                <w:b/>
                <w:color w:val="000000"/>
                <w:sz w:val="16"/>
                <w:lang w:val="es-ES_tradnl"/>
              </w:rPr>
              <w:t>%</w:t>
            </w:r>
          </w:p>
        </w:tc>
        <w:tc>
          <w:tcPr>
            <w:tcW w:w="369" w:type="pct"/>
            <w:vAlign w:val="center"/>
          </w:tcPr>
          <w:p w:rsidR="00000000" w:rsidRDefault="00000000">
            <w:pPr>
              <w:jc w:val="center"/>
              <w:rPr>
                <w:b/>
                <w:color w:val="000000"/>
                <w:sz w:val="16"/>
                <w:lang w:val="es-ES_tradnl"/>
              </w:rPr>
            </w:pPr>
            <w:r>
              <w:rPr>
                <w:b/>
                <w:color w:val="000000"/>
                <w:sz w:val="16"/>
                <w:lang w:val="es-ES_tradnl"/>
              </w:rPr>
              <w:t>Rural</w:t>
            </w:r>
          </w:p>
        </w:tc>
        <w:tc>
          <w:tcPr>
            <w:tcW w:w="332" w:type="pct"/>
            <w:vAlign w:val="center"/>
          </w:tcPr>
          <w:p w:rsidR="00000000" w:rsidRDefault="00000000">
            <w:pPr>
              <w:jc w:val="center"/>
              <w:rPr>
                <w:b/>
                <w:color w:val="000000"/>
                <w:sz w:val="16"/>
                <w:lang w:val="es-ES_tradnl"/>
              </w:rPr>
            </w:pPr>
            <w:r>
              <w:rPr>
                <w:b/>
                <w:color w:val="000000"/>
                <w:sz w:val="16"/>
                <w:lang w:val="es-ES_tradnl"/>
              </w:rPr>
              <w:t>%</w:t>
            </w:r>
          </w:p>
        </w:tc>
        <w:tc>
          <w:tcPr>
            <w:tcW w:w="355" w:type="pct"/>
            <w:vAlign w:val="center"/>
          </w:tcPr>
          <w:p w:rsidR="00000000" w:rsidRDefault="00000000">
            <w:pPr>
              <w:jc w:val="center"/>
              <w:rPr>
                <w:b/>
                <w:color w:val="000000"/>
                <w:sz w:val="16"/>
                <w:lang w:val="es-ES_tradnl"/>
              </w:rPr>
            </w:pPr>
            <w:r>
              <w:rPr>
                <w:b/>
                <w:color w:val="000000"/>
                <w:sz w:val="16"/>
                <w:lang w:val="es-ES_tradnl"/>
              </w:rPr>
              <w:t>Total</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Educación inicial</w:t>
            </w:r>
          </w:p>
        </w:tc>
        <w:tc>
          <w:tcPr>
            <w:tcW w:w="355" w:type="pct"/>
            <w:vAlign w:val="bottom"/>
          </w:tcPr>
          <w:p w:rsidR="00000000" w:rsidRDefault="00000000">
            <w:pPr>
              <w:tabs>
                <w:tab w:val="decimal" w:pos="453"/>
              </w:tabs>
              <w:rPr>
                <w:bCs/>
                <w:color w:val="000000"/>
                <w:sz w:val="16"/>
              </w:rPr>
            </w:pPr>
            <w:r>
              <w:rPr>
                <w:bCs/>
                <w:color w:val="000000"/>
                <w:sz w:val="16"/>
              </w:rPr>
              <w:t>4.032</w:t>
            </w:r>
          </w:p>
        </w:tc>
        <w:tc>
          <w:tcPr>
            <w:tcW w:w="321" w:type="pct"/>
            <w:vAlign w:val="bottom"/>
          </w:tcPr>
          <w:p w:rsidR="00000000" w:rsidRDefault="00000000">
            <w:pPr>
              <w:tabs>
                <w:tab w:val="decimal" w:pos="396"/>
              </w:tabs>
              <w:rPr>
                <w:bCs/>
                <w:color w:val="000000"/>
                <w:sz w:val="16"/>
              </w:rPr>
            </w:pPr>
            <w:r>
              <w:rPr>
                <w:bCs/>
                <w:color w:val="000000"/>
                <w:sz w:val="16"/>
              </w:rPr>
              <w:t>78</w:t>
            </w:r>
          </w:p>
        </w:tc>
        <w:tc>
          <w:tcPr>
            <w:tcW w:w="399" w:type="pct"/>
            <w:vAlign w:val="bottom"/>
          </w:tcPr>
          <w:p w:rsidR="00000000" w:rsidRDefault="00000000">
            <w:pPr>
              <w:tabs>
                <w:tab w:val="decimal" w:pos="462"/>
              </w:tabs>
              <w:rPr>
                <w:bCs/>
                <w:color w:val="000000"/>
                <w:sz w:val="16"/>
              </w:rPr>
            </w:pPr>
            <w:r>
              <w:rPr>
                <w:bCs/>
                <w:color w:val="000000"/>
                <w:sz w:val="16"/>
              </w:rPr>
              <w:t>687</w:t>
            </w:r>
          </w:p>
        </w:tc>
        <w:tc>
          <w:tcPr>
            <w:tcW w:w="325" w:type="pct"/>
            <w:vAlign w:val="bottom"/>
          </w:tcPr>
          <w:p w:rsidR="00000000" w:rsidRDefault="00000000">
            <w:pPr>
              <w:tabs>
                <w:tab w:val="decimal" w:pos="378"/>
              </w:tabs>
              <w:rPr>
                <w:bCs/>
                <w:color w:val="000000"/>
                <w:sz w:val="16"/>
              </w:rPr>
            </w:pPr>
            <w:r>
              <w:rPr>
                <w:bCs/>
                <w:color w:val="000000"/>
                <w:sz w:val="16"/>
              </w:rPr>
              <w:t>13</w:t>
            </w:r>
          </w:p>
        </w:tc>
        <w:tc>
          <w:tcPr>
            <w:tcW w:w="514" w:type="pct"/>
            <w:vAlign w:val="bottom"/>
          </w:tcPr>
          <w:p w:rsidR="00000000" w:rsidRDefault="00000000">
            <w:pPr>
              <w:tabs>
                <w:tab w:val="decimal" w:pos="620"/>
              </w:tabs>
              <w:rPr>
                <w:bCs/>
                <w:color w:val="000000"/>
                <w:sz w:val="16"/>
              </w:rPr>
            </w:pPr>
            <w:r>
              <w:rPr>
                <w:bCs/>
                <w:color w:val="000000"/>
                <w:sz w:val="16"/>
              </w:rPr>
              <w:t>454</w:t>
            </w:r>
          </w:p>
        </w:tc>
        <w:tc>
          <w:tcPr>
            <w:tcW w:w="291" w:type="pct"/>
            <w:vAlign w:val="bottom"/>
          </w:tcPr>
          <w:p w:rsidR="00000000" w:rsidRDefault="00000000">
            <w:pPr>
              <w:tabs>
                <w:tab w:val="decimal" w:pos="306"/>
              </w:tabs>
              <w:rPr>
                <w:bCs/>
                <w:color w:val="000000"/>
                <w:sz w:val="16"/>
              </w:rPr>
            </w:pPr>
            <w:r>
              <w:rPr>
                <w:bCs/>
                <w:color w:val="000000"/>
                <w:sz w:val="16"/>
              </w:rPr>
              <w:t>9</w:t>
            </w:r>
          </w:p>
        </w:tc>
        <w:tc>
          <w:tcPr>
            <w:tcW w:w="406" w:type="pct"/>
            <w:vAlign w:val="bottom"/>
          </w:tcPr>
          <w:p w:rsidR="00000000" w:rsidRDefault="00000000">
            <w:pPr>
              <w:tabs>
                <w:tab w:val="decimal" w:pos="514"/>
              </w:tabs>
              <w:rPr>
                <w:bCs/>
                <w:color w:val="000000"/>
                <w:sz w:val="16"/>
              </w:rPr>
            </w:pPr>
            <w:r>
              <w:rPr>
                <w:bCs/>
                <w:color w:val="000000"/>
                <w:sz w:val="16"/>
              </w:rPr>
              <w:t>1.894</w:t>
            </w:r>
          </w:p>
        </w:tc>
        <w:tc>
          <w:tcPr>
            <w:tcW w:w="300" w:type="pct"/>
            <w:vAlign w:val="bottom"/>
          </w:tcPr>
          <w:p w:rsidR="00000000" w:rsidRDefault="00000000">
            <w:pPr>
              <w:jc w:val="center"/>
              <w:rPr>
                <w:bCs/>
                <w:color w:val="000000"/>
                <w:sz w:val="16"/>
              </w:rPr>
            </w:pPr>
            <w:r>
              <w:rPr>
                <w:bCs/>
                <w:color w:val="000000"/>
                <w:sz w:val="16"/>
              </w:rPr>
              <w:t>37</w:t>
            </w:r>
          </w:p>
        </w:tc>
        <w:tc>
          <w:tcPr>
            <w:tcW w:w="369" w:type="pct"/>
            <w:vAlign w:val="bottom"/>
          </w:tcPr>
          <w:p w:rsidR="00000000" w:rsidRDefault="00000000">
            <w:pPr>
              <w:tabs>
                <w:tab w:val="decimal" w:pos="500"/>
              </w:tabs>
              <w:rPr>
                <w:bCs/>
                <w:color w:val="000000"/>
                <w:sz w:val="16"/>
              </w:rPr>
            </w:pPr>
            <w:r>
              <w:rPr>
                <w:bCs/>
                <w:color w:val="000000"/>
                <w:sz w:val="16"/>
              </w:rPr>
              <w:t>3.279</w:t>
            </w:r>
          </w:p>
        </w:tc>
        <w:tc>
          <w:tcPr>
            <w:tcW w:w="332" w:type="pct"/>
            <w:vAlign w:val="bottom"/>
          </w:tcPr>
          <w:p w:rsidR="00000000" w:rsidRDefault="00000000">
            <w:pPr>
              <w:tabs>
                <w:tab w:val="decimal" w:pos="378"/>
              </w:tabs>
              <w:rPr>
                <w:bCs/>
                <w:color w:val="000000"/>
                <w:sz w:val="16"/>
              </w:rPr>
            </w:pPr>
            <w:r>
              <w:rPr>
                <w:bCs/>
                <w:color w:val="000000"/>
                <w:sz w:val="16"/>
              </w:rPr>
              <w:t>63</w:t>
            </w:r>
          </w:p>
        </w:tc>
        <w:tc>
          <w:tcPr>
            <w:tcW w:w="355" w:type="pct"/>
            <w:vAlign w:val="bottom"/>
          </w:tcPr>
          <w:p w:rsidR="00000000" w:rsidRDefault="00000000">
            <w:pPr>
              <w:tabs>
                <w:tab w:val="decimal" w:pos="448"/>
              </w:tabs>
              <w:rPr>
                <w:bCs/>
                <w:color w:val="000000"/>
                <w:sz w:val="16"/>
              </w:rPr>
            </w:pPr>
            <w:r>
              <w:rPr>
                <w:bCs/>
                <w:color w:val="000000"/>
                <w:sz w:val="16"/>
              </w:rPr>
              <w:t>5.173</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Educación escolar básica (1º, 2º y 3</w:t>
            </w:r>
            <w:r>
              <w:rPr>
                <w:bCs/>
                <w:color w:val="000000"/>
                <w:sz w:val="16"/>
                <w:vertAlign w:val="superscript"/>
              </w:rPr>
              <w:t>er</w:t>
            </w:r>
            <w:r>
              <w:rPr>
                <w:bCs/>
                <w:color w:val="000000"/>
                <w:sz w:val="16"/>
              </w:rPr>
              <w:t xml:space="preserve"> ciclos)</w:t>
            </w:r>
          </w:p>
        </w:tc>
        <w:tc>
          <w:tcPr>
            <w:tcW w:w="355" w:type="pct"/>
            <w:vAlign w:val="bottom"/>
          </w:tcPr>
          <w:p w:rsidR="00000000" w:rsidRDefault="00000000">
            <w:pPr>
              <w:tabs>
                <w:tab w:val="decimal" w:pos="453"/>
              </w:tabs>
              <w:rPr>
                <w:bCs/>
                <w:color w:val="000000"/>
                <w:sz w:val="16"/>
              </w:rPr>
            </w:pPr>
            <w:r>
              <w:rPr>
                <w:bCs/>
                <w:color w:val="000000"/>
                <w:sz w:val="16"/>
              </w:rPr>
              <w:t>6.920</w:t>
            </w:r>
          </w:p>
        </w:tc>
        <w:tc>
          <w:tcPr>
            <w:tcW w:w="321" w:type="pct"/>
            <w:vAlign w:val="bottom"/>
          </w:tcPr>
          <w:p w:rsidR="00000000" w:rsidRDefault="00000000">
            <w:pPr>
              <w:tabs>
                <w:tab w:val="decimal" w:pos="396"/>
              </w:tabs>
              <w:rPr>
                <w:bCs/>
                <w:color w:val="000000"/>
                <w:sz w:val="16"/>
              </w:rPr>
            </w:pPr>
            <w:r>
              <w:rPr>
                <w:bCs/>
                <w:color w:val="000000"/>
                <w:sz w:val="16"/>
              </w:rPr>
              <w:t>85</w:t>
            </w:r>
          </w:p>
        </w:tc>
        <w:tc>
          <w:tcPr>
            <w:tcW w:w="399" w:type="pct"/>
            <w:vAlign w:val="bottom"/>
          </w:tcPr>
          <w:p w:rsidR="00000000" w:rsidRDefault="00000000">
            <w:pPr>
              <w:tabs>
                <w:tab w:val="decimal" w:pos="462"/>
              </w:tabs>
              <w:rPr>
                <w:bCs/>
                <w:color w:val="000000"/>
                <w:sz w:val="16"/>
              </w:rPr>
            </w:pPr>
            <w:r>
              <w:rPr>
                <w:bCs/>
                <w:color w:val="000000"/>
                <w:sz w:val="16"/>
              </w:rPr>
              <w:t>646</w:t>
            </w:r>
          </w:p>
        </w:tc>
        <w:tc>
          <w:tcPr>
            <w:tcW w:w="325" w:type="pct"/>
            <w:vAlign w:val="bottom"/>
          </w:tcPr>
          <w:p w:rsidR="00000000" w:rsidRDefault="00000000">
            <w:pPr>
              <w:tabs>
                <w:tab w:val="decimal" w:pos="378"/>
              </w:tabs>
              <w:rPr>
                <w:bCs/>
                <w:color w:val="000000"/>
                <w:sz w:val="16"/>
              </w:rPr>
            </w:pPr>
            <w:r>
              <w:rPr>
                <w:bCs/>
                <w:color w:val="000000"/>
                <w:sz w:val="16"/>
              </w:rPr>
              <w:t>8</w:t>
            </w:r>
          </w:p>
        </w:tc>
        <w:tc>
          <w:tcPr>
            <w:tcW w:w="514" w:type="pct"/>
            <w:vAlign w:val="bottom"/>
          </w:tcPr>
          <w:p w:rsidR="00000000" w:rsidRDefault="00000000">
            <w:pPr>
              <w:tabs>
                <w:tab w:val="decimal" w:pos="620"/>
              </w:tabs>
              <w:rPr>
                <w:bCs/>
                <w:color w:val="000000"/>
                <w:sz w:val="16"/>
              </w:rPr>
            </w:pPr>
            <w:r>
              <w:rPr>
                <w:bCs/>
                <w:color w:val="000000"/>
                <w:sz w:val="16"/>
              </w:rPr>
              <w:t>590</w:t>
            </w:r>
          </w:p>
        </w:tc>
        <w:tc>
          <w:tcPr>
            <w:tcW w:w="291" w:type="pct"/>
            <w:vAlign w:val="bottom"/>
          </w:tcPr>
          <w:p w:rsidR="00000000" w:rsidRDefault="00000000">
            <w:pPr>
              <w:tabs>
                <w:tab w:val="decimal" w:pos="306"/>
              </w:tabs>
              <w:rPr>
                <w:bCs/>
                <w:color w:val="000000"/>
                <w:sz w:val="16"/>
              </w:rPr>
            </w:pPr>
            <w:r>
              <w:rPr>
                <w:bCs/>
                <w:color w:val="000000"/>
                <w:sz w:val="16"/>
              </w:rPr>
              <w:t>7</w:t>
            </w:r>
          </w:p>
        </w:tc>
        <w:tc>
          <w:tcPr>
            <w:tcW w:w="406" w:type="pct"/>
            <w:vAlign w:val="bottom"/>
          </w:tcPr>
          <w:p w:rsidR="00000000" w:rsidRDefault="00000000">
            <w:pPr>
              <w:tabs>
                <w:tab w:val="decimal" w:pos="514"/>
              </w:tabs>
              <w:rPr>
                <w:bCs/>
                <w:color w:val="000000"/>
                <w:sz w:val="16"/>
              </w:rPr>
            </w:pPr>
            <w:r>
              <w:rPr>
                <w:bCs/>
                <w:color w:val="000000"/>
                <w:sz w:val="16"/>
              </w:rPr>
              <w:t>2.338</w:t>
            </w:r>
          </w:p>
        </w:tc>
        <w:tc>
          <w:tcPr>
            <w:tcW w:w="300" w:type="pct"/>
            <w:vAlign w:val="bottom"/>
          </w:tcPr>
          <w:p w:rsidR="00000000" w:rsidRDefault="00000000">
            <w:pPr>
              <w:jc w:val="center"/>
              <w:rPr>
                <w:bCs/>
                <w:color w:val="000000"/>
                <w:sz w:val="16"/>
              </w:rPr>
            </w:pPr>
            <w:r>
              <w:rPr>
                <w:bCs/>
                <w:color w:val="000000"/>
                <w:sz w:val="16"/>
              </w:rPr>
              <w:t>29</w:t>
            </w:r>
          </w:p>
        </w:tc>
        <w:tc>
          <w:tcPr>
            <w:tcW w:w="369" w:type="pct"/>
            <w:vAlign w:val="bottom"/>
          </w:tcPr>
          <w:p w:rsidR="00000000" w:rsidRDefault="00000000">
            <w:pPr>
              <w:tabs>
                <w:tab w:val="decimal" w:pos="500"/>
              </w:tabs>
              <w:rPr>
                <w:bCs/>
                <w:color w:val="000000"/>
                <w:sz w:val="16"/>
              </w:rPr>
            </w:pPr>
            <w:r>
              <w:rPr>
                <w:bCs/>
                <w:color w:val="000000"/>
                <w:sz w:val="16"/>
              </w:rPr>
              <w:t>5.818</w:t>
            </w:r>
          </w:p>
        </w:tc>
        <w:tc>
          <w:tcPr>
            <w:tcW w:w="332" w:type="pct"/>
            <w:vAlign w:val="bottom"/>
          </w:tcPr>
          <w:p w:rsidR="00000000" w:rsidRDefault="00000000">
            <w:pPr>
              <w:tabs>
                <w:tab w:val="decimal" w:pos="378"/>
              </w:tabs>
              <w:rPr>
                <w:bCs/>
                <w:color w:val="000000"/>
                <w:sz w:val="16"/>
              </w:rPr>
            </w:pPr>
            <w:r>
              <w:rPr>
                <w:bCs/>
                <w:color w:val="000000"/>
                <w:sz w:val="16"/>
              </w:rPr>
              <w:t>71</w:t>
            </w:r>
          </w:p>
        </w:tc>
        <w:tc>
          <w:tcPr>
            <w:tcW w:w="355" w:type="pct"/>
            <w:vAlign w:val="bottom"/>
          </w:tcPr>
          <w:p w:rsidR="00000000" w:rsidRDefault="00000000">
            <w:pPr>
              <w:tabs>
                <w:tab w:val="decimal" w:pos="448"/>
              </w:tabs>
              <w:rPr>
                <w:bCs/>
                <w:color w:val="000000"/>
                <w:sz w:val="16"/>
              </w:rPr>
            </w:pPr>
            <w:r>
              <w:rPr>
                <w:bCs/>
                <w:color w:val="000000"/>
                <w:sz w:val="16"/>
              </w:rPr>
              <w:t>8.156</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Educación media</w:t>
            </w:r>
          </w:p>
        </w:tc>
        <w:tc>
          <w:tcPr>
            <w:tcW w:w="355" w:type="pct"/>
            <w:vAlign w:val="bottom"/>
          </w:tcPr>
          <w:p w:rsidR="00000000" w:rsidRDefault="00000000">
            <w:pPr>
              <w:tabs>
                <w:tab w:val="decimal" w:pos="453"/>
              </w:tabs>
              <w:rPr>
                <w:bCs/>
                <w:color w:val="000000"/>
                <w:sz w:val="16"/>
              </w:rPr>
            </w:pPr>
            <w:r>
              <w:rPr>
                <w:bCs/>
                <w:color w:val="000000"/>
                <w:sz w:val="16"/>
              </w:rPr>
              <w:t>1.521</w:t>
            </w:r>
          </w:p>
        </w:tc>
        <w:tc>
          <w:tcPr>
            <w:tcW w:w="321" w:type="pct"/>
            <w:vAlign w:val="bottom"/>
          </w:tcPr>
          <w:p w:rsidR="00000000" w:rsidRDefault="00000000">
            <w:pPr>
              <w:tabs>
                <w:tab w:val="decimal" w:pos="396"/>
              </w:tabs>
              <w:rPr>
                <w:bCs/>
                <w:color w:val="000000"/>
                <w:sz w:val="16"/>
              </w:rPr>
            </w:pPr>
            <w:r>
              <w:rPr>
                <w:bCs/>
                <w:color w:val="000000"/>
                <w:sz w:val="16"/>
              </w:rPr>
              <w:t>76</w:t>
            </w:r>
          </w:p>
        </w:tc>
        <w:tc>
          <w:tcPr>
            <w:tcW w:w="399" w:type="pct"/>
            <w:vAlign w:val="bottom"/>
          </w:tcPr>
          <w:p w:rsidR="00000000" w:rsidRDefault="00000000">
            <w:pPr>
              <w:tabs>
                <w:tab w:val="decimal" w:pos="462"/>
              </w:tabs>
              <w:rPr>
                <w:bCs/>
                <w:color w:val="000000"/>
                <w:sz w:val="16"/>
              </w:rPr>
            </w:pPr>
            <w:r>
              <w:rPr>
                <w:bCs/>
                <w:color w:val="000000"/>
                <w:sz w:val="16"/>
              </w:rPr>
              <w:t>304</w:t>
            </w:r>
          </w:p>
        </w:tc>
        <w:tc>
          <w:tcPr>
            <w:tcW w:w="325" w:type="pct"/>
            <w:vAlign w:val="bottom"/>
          </w:tcPr>
          <w:p w:rsidR="00000000" w:rsidRDefault="00000000">
            <w:pPr>
              <w:tabs>
                <w:tab w:val="decimal" w:pos="378"/>
              </w:tabs>
              <w:rPr>
                <w:bCs/>
                <w:color w:val="000000"/>
                <w:sz w:val="16"/>
              </w:rPr>
            </w:pPr>
            <w:r>
              <w:rPr>
                <w:bCs/>
                <w:color w:val="000000"/>
                <w:sz w:val="16"/>
              </w:rPr>
              <w:t>15</w:t>
            </w:r>
          </w:p>
        </w:tc>
        <w:tc>
          <w:tcPr>
            <w:tcW w:w="514" w:type="pct"/>
            <w:vAlign w:val="bottom"/>
          </w:tcPr>
          <w:p w:rsidR="00000000" w:rsidRDefault="00000000">
            <w:pPr>
              <w:tabs>
                <w:tab w:val="decimal" w:pos="620"/>
              </w:tabs>
              <w:rPr>
                <w:bCs/>
                <w:color w:val="000000"/>
                <w:sz w:val="16"/>
              </w:rPr>
            </w:pPr>
            <w:r>
              <w:rPr>
                <w:bCs/>
                <w:color w:val="000000"/>
                <w:sz w:val="16"/>
              </w:rPr>
              <w:t>189</w:t>
            </w:r>
          </w:p>
        </w:tc>
        <w:tc>
          <w:tcPr>
            <w:tcW w:w="291" w:type="pct"/>
            <w:vAlign w:val="bottom"/>
          </w:tcPr>
          <w:p w:rsidR="00000000" w:rsidRDefault="00000000">
            <w:pPr>
              <w:tabs>
                <w:tab w:val="decimal" w:pos="306"/>
              </w:tabs>
              <w:rPr>
                <w:bCs/>
                <w:color w:val="000000"/>
                <w:sz w:val="16"/>
              </w:rPr>
            </w:pPr>
            <w:r>
              <w:rPr>
                <w:bCs/>
                <w:color w:val="000000"/>
                <w:sz w:val="16"/>
              </w:rPr>
              <w:t>9</w:t>
            </w:r>
          </w:p>
        </w:tc>
        <w:tc>
          <w:tcPr>
            <w:tcW w:w="406" w:type="pct"/>
            <w:vAlign w:val="bottom"/>
          </w:tcPr>
          <w:p w:rsidR="00000000" w:rsidRDefault="00000000">
            <w:pPr>
              <w:tabs>
                <w:tab w:val="decimal" w:pos="514"/>
              </w:tabs>
              <w:rPr>
                <w:bCs/>
                <w:color w:val="000000"/>
                <w:sz w:val="16"/>
              </w:rPr>
            </w:pPr>
            <w:r>
              <w:rPr>
                <w:bCs/>
                <w:color w:val="000000"/>
                <w:sz w:val="16"/>
              </w:rPr>
              <w:t>987</w:t>
            </w:r>
          </w:p>
        </w:tc>
        <w:tc>
          <w:tcPr>
            <w:tcW w:w="300" w:type="pct"/>
            <w:vAlign w:val="bottom"/>
          </w:tcPr>
          <w:p w:rsidR="00000000" w:rsidRDefault="00000000">
            <w:pPr>
              <w:jc w:val="center"/>
              <w:rPr>
                <w:bCs/>
                <w:color w:val="000000"/>
                <w:sz w:val="16"/>
              </w:rPr>
            </w:pPr>
            <w:r>
              <w:rPr>
                <w:bCs/>
                <w:color w:val="000000"/>
                <w:sz w:val="16"/>
              </w:rPr>
              <w:t>49</w:t>
            </w:r>
          </w:p>
        </w:tc>
        <w:tc>
          <w:tcPr>
            <w:tcW w:w="369" w:type="pct"/>
            <w:vAlign w:val="bottom"/>
          </w:tcPr>
          <w:p w:rsidR="00000000" w:rsidRDefault="00000000">
            <w:pPr>
              <w:tabs>
                <w:tab w:val="decimal" w:pos="500"/>
              </w:tabs>
              <w:rPr>
                <w:bCs/>
                <w:color w:val="000000"/>
                <w:sz w:val="16"/>
              </w:rPr>
            </w:pPr>
            <w:r>
              <w:rPr>
                <w:bCs/>
                <w:color w:val="000000"/>
                <w:sz w:val="16"/>
              </w:rPr>
              <w:t>1.027</w:t>
            </w:r>
          </w:p>
        </w:tc>
        <w:tc>
          <w:tcPr>
            <w:tcW w:w="332" w:type="pct"/>
            <w:vAlign w:val="bottom"/>
          </w:tcPr>
          <w:p w:rsidR="00000000" w:rsidRDefault="00000000">
            <w:pPr>
              <w:tabs>
                <w:tab w:val="decimal" w:pos="378"/>
              </w:tabs>
              <w:rPr>
                <w:bCs/>
                <w:color w:val="000000"/>
                <w:sz w:val="16"/>
              </w:rPr>
            </w:pPr>
            <w:r>
              <w:rPr>
                <w:bCs/>
                <w:color w:val="000000"/>
                <w:sz w:val="16"/>
              </w:rPr>
              <w:t>51</w:t>
            </w:r>
          </w:p>
        </w:tc>
        <w:tc>
          <w:tcPr>
            <w:tcW w:w="355" w:type="pct"/>
            <w:vAlign w:val="bottom"/>
          </w:tcPr>
          <w:p w:rsidR="00000000" w:rsidRDefault="00000000">
            <w:pPr>
              <w:tabs>
                <w:tab w:val="decimal" w:pos="448"/>
              </w:tabs>
              <w:rPr>
                <w:bCs/>
                <w:color w:val="000000"/>
                <w:sz w:val="16"/>
              </w:rPr>
            </w:pPr>
            <w:r>
              <w:rPr>
                <w:bCs/>
                <w:color w:val="000000"/>
                <w:sz w:val="16"/>
              </w:rPr>
              <w:t>2.014</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Formación profesional</w:t>
            </w:r>
          </w:p>
        </w:tc>
        <w:tc>
          <w:tcPr>
            <w:tcW w:w="355" w:type="pct"/>
            <w:vAlign w:val="bottom"/>
          </w:tcPr>
          <w:p w:rsidR="00000000" w:rsidRDefault="00000000">
            <w:pPr>
              <w:tabs>
                <w:tab w:val="decimal" w:pos="453"/>
              </w:tabs>
              <w:rPr>
                <w:bCs/>
                <w:color w:val="000000"/>
                <w:sz w:val="16"/>
              </w:rPr>
            </w:pPr>
            <w:r>
              <w:rPr>
                <w:bCs/>
                <w:color w:val="000000"/>
                <w:sz w:val="16"/>
              </w:rPr>
              <w:t>11</w:t>
            </w:r>
          </w:p>
        </w:tc>
        <w:tc>
          <w:tcPr>
            <w:tcW w:w="321" w:type="pct"/>
            <w:vAlign w:val="bottom"/>
          </w:tcPr>
          <w:p w:rsidR="00000000" w:rsidRDefault="00000000">
            <w:pPr>
              <w:tabs>
                <w:tab w:val="decimal" w:pos="396"/>
              </w:tabs>
              <w:rPr>
                <w:bCs/>
                <w:color w:val="000000"/>
                <w:sz w:val="16"/>
              </w:rPr>
            </w:pPr>
            <w:r>
              <w:rPr>
                <w:bCs/>
                <w:color w:val="000000"/>
                <w:sz w:val="16"/>
              </w:rPr>
              <w:t>58</w:t>
            </w:r>
          </w:p>
        </w:tc>
        <w:tc>
          <w:tcPr>
            <w:tcW w:w="399" w:type="pct"/>
            <w:vAlign w:val="bottom"/>
          </w:tcPr>
          <w:p w:rsidR="00000000" w:rsidRDefault="00000000">
            <w:pPr>
              <w:tabs>
                <w:tab w:val="decimal" w:pos="462"/>
              </w:tabs>
              <w:rPr>
                <w:bCs/>
                <w:color w:val="000000"/>
                <w:sz w:val="16"/>
              </w:rPr>
            </w:pPr>
            <w:r>
              <w:rPr>
                <w:bCs/>
                <w:color w:val="000000"/>
                <w:sz w:val="16"/>
              </w:rPr>
              <w:t>3</w:t>
            </w:r>
          </w:p>
        </w:tc>
        <w:tc>
          <w:tcPr>
            <w:tcW w:w="325" w:type="pct"/>
            <w:vAlign w:val="bottom"/>
          </w:tcPr>
          <w:p w:rsidR="00000000" w:rsidRDefault="00000000">
            <w:pPr>
              <w:tabs>
                <w:tab w:val="decimal" w:pos="378"/>
              </w:tabs>
              <w:rPr>
                <w:bCs/>
                <w:color w:val="000000"/>
                <w:sz w:val="16"/>
              </w:rPr>
            </w:pPr>
            <w:r>
              <w:rPr>
                <w:bCs/>
                <w:color w:val="000000"/>
                <w:sz w:val="16"/>
              </w:rPr>
              <w:t>16</w:t>
            </w:r>
          </w:p>
        </w:tc>
        <w:tc>
          <w:tcPr>
            <w:tcW w:w="514" w:type="pct"/>
            <w:vAlign w:val="bottom"/>
          </w:tcPr>
          <w:p w:rsidR="00000000" w:rsidRDefault="00000000">
            <w:pPr>
              <w:tabs>
                <w:tab w:val="decimal" w:pos="620"/>
              </w:tabs>
              <w:rPr>
                <w:bCs/>
                <w:color w:val="000000"/>
                <w:sz w:val="16"/>
              </w:rPr>
            </w:pPr>
            <w:r>
              <w:rPr>
                <w:bCs/>
                <w:color w:val="000000"/>
                <w:sz w:val="16"/>
              </w:rPr>
              <w:t>5</w:t>
            </w:r>
          </w:p>
        </w:tc>
        <w:tc>
          <w:tcPr>
            <w:tcW w:w="291" w:type="pct"/>
            <w:vAlign w:val="bottom"/>
          </w:tcPr>
          <w:p w:rsidR="00000000" w:rsidRDefault="00000000">
            <w:pPr>
              <w:tabs>
                <w:tab w:val="decimal" w:pos="306"/>
              </w:tabs>
              <w:rPr>
                <w:bCs/>
                <w:color w:val="000000"/>
                <w:sz w:val="16"/>
              </w:rPr>
            </w:pPr>
            <w:r>
              <w:rPr>
                <w:bCs/>
                <w:color w:val="000000"/>
                <w:sz w:val="16"/>
              </w:rPr>
              <w:t>26</w:t>
            </w:r>
          </w:p>
        </w:tc>
        <w:tc>
          <w:tcPr>
            <w:tcW w:w="406" w:type="pct"/>
            <w:vAlign w:val="bottom"/>
          </w:tcPr>
          <w:p w:rsidR="00000000" w:rsidRDefault="00000000">
            <w:pPr>
              <w:tabs>
                <w:tab w:val="decimal" w:pos="514"/>
              </w:tabs>
              <w:rPr>
                <w:bCs/>
                <w:color w:val="000000"/>
                <w:sz w:val="16"/>
              </w:rPr>
            </w:pPr>
            <w:r>
              <w:rPr>
                <w:bCs/>
                <w:color w:val="000000"/>
                <w:sz w:val="16"/>
              </w:rPr>
              <w:t>16</w:t>
            </w:r>
          </w:p>
        </w:tc>
        <w:tc>
          <w:tcPr>
            <w:tcW w:w="300" w:type="pct"/>
            <w:vAlign w:val="bottom"/>
          </w:tcPr>
          <w:p w:rsidR="00000000" w:rsidRDefault="00000000">
            <w:pPr>
              <w:jc w:val="center"/>
              <w:rPr>
                <w:bCs/>
                <w:color w:val="000000"/>
                <w:sz w:val="16"/>
              </w:rPr>
            </w:pPr>
            <w:r>
              <w:rPr>
                <w:bCs/>
                <w:color w:val="000000"/>
                <w:sz w:val="16"/>
              </w:rPr>
              <w:t>84</w:t>
            </w:r>
          </w:p>
        </w:tc>
        <w:tc>
          <w:tcPr>
            <w:tcW w:w="369" w:type="pct"/>
            <w:vAlign w:val="bottom"/>
          </w:tcPr>
          <w:p w:rsidR="00000000" w:rsidRDefault="00000000">
            <w:pPr>
              <w:tabs>
                <w:tab w:val="decimal" w:pos="500"/>
              </w:tabs>
              <w:rPr>
                <w:bCs/>
                <w:color w:val="000000"/>
                <w:sz w:val="16"/>
              </w:rPr>
            </w:pPr>
            <w:r>
              <w:rPr>
                <w:bCs/>
                <w:color w:val="000000"/>
                <w:sz w:val="16"/>
              </w:rPr>
              <w:t>3</w:t>
            </w:r>
          </w:p>
        </w:tc>
        <w:tc>
          <w:tcPr>
            <w:tcW w:w="332" w:type="pct"/>
            <w:vAlign w:val="bottom"/>
          </w:tcPr>
          <w:p w:rsidR="00000000" w:rsidRDefault="00000000">
            <w:pPr>
              <w:tabs>
                <w:tab w:val="decimal" w:pos="378"/>
              </w:tabs>
              <w:rPr>
                <w:bCs/>
                <w:color w:val="000000"/>
                <w:sz w:val="16"/>
              </w:rPr>
            </w:pPr>
            <w:r>
              <w:rPr>
                <w:bCs/>
                <w:color w:val="000000"/>
                <w:sz w:val="16"/>
              </w:rPr>
              <w:t>16</w:t>
            </w:r>
          </w:p>
        </w:tc>
        <w:tc>
          <w:tcPr>
            <w:tcW w:w="355" w:type="pct"/>
            <w:vAlign w:val="bottom"/>
          </w:tcPr>
          <w:p w:rsidR="00000000" w:rsidRDefault="00000000">
            <w:pPr>
              <w:tabs>
                <w:tab w:val="decimal" w:pos="448"/>
              </w:tabs>
              <w:rPr>
                <w:bCs/>
                <w:color w:val="000000"/>
                <w:sz w:val="16"/>
              </w:rPr>
            </w:pPr>
            <w:r>
              <w:rPr>
                <w:bCs/>
                <w:color w:val="000000"/>
                <w:sz w:val="16"/>
              </w:rPr>
              <w:t>19</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Formación docente</w:t>
            </w:r>
          </w:p>
        </w:tc>
        <w:tc>
          <w:tcPr>
            <w:tcW w:w="355" w:type="pct"/>
            <w:vAlign w:val="bottom"/>
          </w:tcPr>
          <w:p w:rsidR="00000000" w:rsidRDefault="00000000">
            <w:pPr>
              <w:tabs>
                <w:tab w:val="decimal" w:pos="453"/>
              </w:tabs>
              <w:rPr>
                <w:bCs/>
                <w:color w:val="000000"/>
                <w:sz w:val="16"/>
              </w:rPr>
            </w:pPr>
            <w:r>
              <w:rPr>
                <w:bCs/>
                <w:color w:val="000000"/>
                <w:sz w:val="16"/>
              </w:rPr>
              <w:t>35</w:t>
            </w:r>
          </w:p>
        </w:tc>
        <w:tc>
          <w:tcPr>
            <w:tcW w:w="321" w:type="pct"/>
            <w:vAlign w:val="bottom"/>
          </w:tcPr>
          <w:p w:rsidR="00000000" w:rsidRDefault="00000000">
            <w:pPr>
              <w:tabs>
                <w:tab w:val="decimal" w:pos="396"/>
              </w:tabs>
              <w:rPr>
                <w:bCs/>
                <w:color w:val="000000"/>
                <w:sz w:val="16"/>
              </w:rPr>
            </w:pPr>
            <w:r>
              <w:rPr>
                <w:bCs/>
                <w:color w:val="000000"/>
                <w:sz w:val="16"/>
              </w:rPr>
              <w:t>33</w:t>
            </w:r>
          </w:p>
        </w:tc>
        <w:tc>
          <w:tcPr>
            <w:tcW w:w="399" w:type="pct"/>
            <w:vAlign w:val="bottom"/>
          </w:tcPr>
          <w:p w:rsidR="00000000" w:rsidRDefault="00000000">
            <w:pPr>
              <w:tabs>
                <w:tab w:val="decimal" w:pos="462"/>
              </w:tabs>
              <w:rPr>
                <w:bCs/>
                <w:color w:val="000000"/>
                <w:sz w:val="16"/>
              </w:rPr>
            </w:pPr>
            <w:r>
              <w:rPr>
                <w:bCs/>
                <w:color w:val="000000"/>
                <w:sz w:val="16"/>
              </w:rPr>
              <w:t>61</w:t>
            </w:r>
          </w:p>
        </w:tc>
        <w:tc>
          <w:tcPr>
            <w:tcW w:w="325" w:type="pct"/>
            <w:vAlign w:val="bottom"/>
          </w:tcPr>
          <w:p w:rsidR="00000000" w:rsidRDefault="00000000">
            <w:pPr>
              <w:tabs>
                <w:tab w:val="decimal" w:pos="378"/>
              </w:tabs>
              <w:rPr>
                <w:bCs/>
                <w:color w:val="000000"/>
                <w:sz w:val="16"/>
              </w:rPr>
            </w:pPr>
            <w:r>
              <w:rPr>
                <w:bCs/>
                <w:color w:val="000000"/>
                <w:sz w:val="16"/>
              </w:rPr>
              <w:t>58</w:t>
            </w:r>
          </w:p>
        </w:tc>
        <w:tc>
          <w:tcPr>
            <w:tcW w:w="514" w:type="pct"/>
            <w:vAlign w:val="bottom"/>
          </w:tcPr>
          <w:p w:rsidR="00000000" w:rsidRDefault="00000000">
            <w:pPr>
              <w:tabs>
                <w:tab w:val="decimal" w:pos="620"/>
              </w:tabs>
              <w:rPr>
                <w:bCs/>
                <w:color w:val="000000"/>
                <w:sz w:val="16"/>
              </w:rPr>
            </w:pPr>
            <w:r>
              <w:rPr>
                <w:bCs/>
                <w:color w:val="000000"/>
                <w:sz w:val="16"/>
              </w:rPr>
              <w:t>10</w:t>
            </w:r>
          </w:p>
        </w:tc>
        <w:tc>
          <w:tcPr>
            <w:tcW w:w="291" w:type="pct"/>
            <w:vAlign w:val="bottom"/>
          </w:tcPr>
          <w:p w:rsidR="00000000" w:rsidRDefault="00000000">
            <w:pPr>
              <w:tabs>
                <w:tab w:val="decimal" w:pos="306"/>
              </w:tabs>
              <w:rPr>
                <w:bCs/>
                <w:color w:val="000000"/>
                <w:sz w:val="16"/>
              </w:rPr>
            </w:pPr>
            <w:r>
              <w:rPr>
                <w:bCs/>
                <w:color w:val="000000"/>
                <w:sz w:val="16"/>
              </w:rPr>
              <w:t>9</w:t>
            </w:r>
          </w:p>
        </w:tc>
        <w:tc>
          <w:tcPr>
            <w:tcW w:w="406" w:type="pct"/>
            <w:vAlign w:val="bottom"/>
          </w:tcPr>
          <w:p w:rsidR="00000000" w:rsidRDefault="00000000">
            <w:pPr>
              <w:tabs>
                <w:tab w:val="decimal" w:pos="514"/>
              </w:tabs>
              <w:rPr>
                <w:bCs/>
                <w:color w:val="000000"/>
                <w:sz w:val="16"/>
              </w:rPr>
            </w:pPr>
            <w:r>
              <w:rPr>
                <w:bCs/>
                <w:color w:val="000000"/>
                <w:sz w:val="16"/>
              </w:rPr>
              <w:t>96</w:t>
            </w:r>
          </w:p>
        </w:tc>
        <w:tc>
          <w:tcPr>
            <w:tcW w:w="300" w:type="pct"/>
            <w:vAlign w:val="bottom"/>
          </w:tcPr>
          <w:p w:rsidR="00000000" w:rsidRDefault="00000000">
            <w:pPr>
              <w:jc w:val="center"/>
              <w:rPr>
                <w:bCs/>
                <w:color w:val="000000"/>
                <w:sz w:val="16"/>
              </w:rPr>
            </w:pPr>
            <w:r>
              <w:rPr>
                <w:bCs/>
                <w:color w:val="000000"/>
                <w:sz w:val="16"/>
              </w:rPr>
              <w:t>91</w:t>
            </w:r>
          </w:p>
        </w:tc>
        <w:tc>
          <w:tcPr>
            <w:tcW w:w="369" w:type="pct"/>
            <w:vAlign w:val="bottom"/>
          </w:tcPr>
          <w:p w:rsidR="00000000" w:rsidRDefault="00000000">
            <w:pPr>
              <w:tabs>
                <w:tab w:val="decimal" w:pos="500"/>
              </w:tabs>
              <w:rPr>
                <w:bCs/>
                <w:color w:val="000000"/>
                <w:sz w:val="16"/>
              </w:rPr>
            </w:pPr>
            <w:r>
              <w:rPr>
                <w:bCs/>
                <w:color w:val="000000"/>
                <w:sz w:val="16"/>
              </w:rPr>
              <w:t>10</w:t>
            </w:r>
          </w:p>
        </w:tc>
        <w:tc>
          <w:tcPr>
            <w:tcW w:w="332" w:type="pct"/>
            <w:vAlign w:val="bottom"/>
          </w:tcPr>
          <w:p w:rsidR="00000000" w:rsidRDefault="00000000">
            <w:pPr>
              <w:tabs>
                <w:tab w:val="decimal" w:pos="378"/>
              </w:tabs>
              <w:rPr>
                <w:bCs/>
                <w:color w:val="000000"/>
                <w:sz w:val="16"/>
              </w:rPr>
            </w:pPr>
            <w:r>
              <w:rPr>
                <w:bCs/>
                <w:color w:val="000000"/>
                <w:sz w:val="16"/>
              </w:rPr>
              <w:t>9</w:t>
            </w:r>
          </w:p>
        </w:tc>
        <w:tc>
          <w:tcPr>
            <w:tcW w:w="355" w:type="pct"/>
            <w:vAlign w:val="bottom"/>
          </w:tcPr>
          <w:p w:rsidR="00000000" w:rsidRDefault="00000000">
            <w:pPr>
              <w:tabs>
                <w:tab w:val="decimal" w:pos="448"/>
              </w:tabs>
              <w:rPr>
                <w:bCs/>
                <w:color w:val="000000"/>
                <w:sz w:val="16"/>
              </w:rPr>
            </w:pPr>
            <w:r>
              <w:rPr>
                <w:bCs/>
                <w:color w:val="000000"/>
                <w:sz w:val="16"/>
              </w:rPr>
              <w:t>106</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Educación técnica superior</w:t>
            </w:r>
          </w:p>
        </w:tc>
        <w:tc>
          <w:tcPr>
            <w:tcW w:w="355" w:type="pct"/>
            <w:vAlign w:val="bottom"/>
          </w:tcPr>
          <w:p w:rsidR="00000000" w:rsidRDefault="00000000">
            <w:pPr>
              <w:tabs>
                <w:tab w:val="decimal" w:pos="453"/>
              </w:tabs>
              <w:rPr>
                <w:bCs/>
                <w:color w:val="000000"/>
                <w:sz w:val="16"/>
              </w:rPr>
            </w:pPr>
            <w:r>
              <w:rPr>
                <w:bCs/>
                <w:color w:val="000000"/>
                <w:sz w:val="16"/>
              </w:rPr>
              <w:t>2</w:t>
            </w:r>
          </w:p>
        </w:tc>
        <w:tc>
          <w:tcPr>
            <w:tcW w:w="321" w:type="pct"/>
            <w:vAlign w:val="bottom"/>
          </w:tcPr>
          <w:p w:rsidR="00000000" w:rsidRDefault="00000000">
            <w:pPr>
              <w:tabs>
                <w:tab w:val="decimal" w:pos="396"/>
              </w:tabs>
              <w:rPr>
                <w:bCs/>
                <w:color w:val="000000"/>
                <w:sz w:val="16"/>
              </w:rPr>
            </w:pPr>
            <w:r>
              <w:rPr>
                <w:bCs/>
                <w:color w:val="000000"/>
                <w:sz w:val="16"/>
              </w:rPr>
              <w:t>13</w:t>
            </w:r>
          </w:p>
        </w:tc>
        <w:tc>
          <w:tcPr>
            <w:tcW w:w="399" w:type="pct"/>
            <w:vAlign w:val="bottom"/>
          </w:tcPr>
          <w:p w:rsidR="00000000" w:rsidRDefault="00000000">
            <w:pPr>
              <w:tabs>
                <w:tab w:val="decimal" w:pos="462"/>
              </w:tabs>
              <w:rPr>
                <w:bCs/>
                <w:color w:val="000000"/>
                <w:sz w:val="16"/>
              </w:rPr>
            </w:pPr>
            <w:r>
              <w:rPr>
                <w:bCs/>
                <w:color w:val="000000"/>
                <w:sz w:val="16"/>
              </w:rPr>
              <w:t>13</w:t>
            </w:r>
          </w:p>
        </w:tc>
        <w:tc>
          <w:tcPr>
            <w:tcW w:w="325" w:type="pct"/>
            <w:vAlign w:val="bottom"/>
          </w:tcPr>
          <w:p w:rsidR="00000000" w:rsidRDefault="00000000">
            <w:pPr>
              <w:tabs>
                <w:tab w:val="decimal" w:pos="378"/>
              </w:tabs>
              <w:rPr>
                <w:bCs/>
                <w:color w:val="000000"/>
                <w:sz w:val="16"/>
              </w:rPr>
            </w:pPr>
            <w:r>
              <w:rPr>
                <w:bCs/>
                <w:color w:val="000000"/>
                <w:sz w:val="16"/>
              </w:rPr>
              <w:t>87</w:t>
            </w:r>
          </w:p>
        </w:tc>
        <w:tc>
          <w:tcPr>
            <w:tcW w:w="514" w:type="pct"/>
            <w:vAlign w:val="bottom"/>
          </w:tcPr>
          <w:p w:rsidR="00000000" w:rsidRDefault="00000000">
            <w:pPr>
              <w:tabs>
                <w:tab w:val="decimal" w:pos="620"/>
              </w:tabs>
              <w:rPr>
                <w:bCs/>
                <w:color w:val="000000"/>
                <w:sz w:val="16"/>
              </w:rPr>
            </w:pPr>
            <w:r>
              <w:rPr>
                <w:bCs/>
                <w:color w:val="000000"/>
                <w:sz w:val="16"/>
              </w:rPr>
              <w:t>-</w:t>
            </w:r>
          </w:p>
        </w:tc>
        <w:tc>
          <w:tcPr>
            <w:tcW w:w="291" w:type="pct"/>
            <w:vAlign w:val="bottom"/>
          </w:tcPr>
          <w:p w:rsidR="00000000" w:rsidRDefault="00000000">
            <w:pPr>
              <w:tabs>
                <w:tab w:val="decimal" w:pos="306"/>
              </w:tabs>
              <w:rPr>
                <w:bCs/>
                <w:color w:val="000000"/>
                <w:sz w:val="16"/>
              </w:rPr>
            </w:pPr>
            <w:r>
              <w:rPr>
                <w:bCs/>
                <w:color w:val="000000"/>
                <w:sz w:val="16"/>
              </w:rPr>
              <w:t>-</w:t>
            </w:r>
          </w:p>
        </w:tc>
        <w:tc>
          <w:tcPr>
            <w:tcW w:w="406" w:type="pct"/>
            <w:vAlign w:val="bottom"/>
          </w:tcPr>
          <w:p w:rsidR="00000000" w:rsidRDefault="00000000">
            <w:pPr>
              <w:tabs>
                <w:tab w:val="decimal" w:pos="514"/>
              </w:tabs>
              <w:rPr>
                <w:bCs/>
                <w:color w:val="000000"/>
                <w:sz w:val="16"/>
              </w:rPr>
            </w:pPr>
            <w:r>
              <w:rPr>
                <w:bCs/>
                <w:color w:val="000000"/>
                <w:sz w:val="16"/>
              </w:rPr>
              <w:t>14</w:t>
            </w:r>
          </w:p>
        </w:tc>
        <w:tc>
          <w:tcPr>
            <w:tcW w:w="300" w:type="pct"/>
            <w:vAlign w:val="bottom"/>
          </w:tcPr>
          <w:p w:rsidR="00000000" w:rsidRDefault="00000000">
            <w:pPr>
              <w:jc w:val="center"/>
              <w:rPr>
                <w:bCs/>
                <w:color w:val="000000"/>
                <w:sz w:val="16"/>
              </w:rPr>
            </w:pPr>
            <w:r>
              <w:rPr>
                <w:bCs/>
                <w:color w:val="000000"/>
                <w:sz w:val="16"/>
              </w:rPr>
              <w:t>93</w:t>
            </w:r>
          </w:p>
        </w:tc>
        <w:tc>
          <w:tcPr>
            <w:tcW w:w="369" w:type="pct"/>
            <w:vAlign w:val="bottom"/>
          </w:tcPr>
          <w:p w:rsidR="00000000" w:rsidRDefault="00000000">
            <w:pPr>
              <w:tabs>
                <w:tab w:val="decimal" w:pos="500"/>
              </w:tabs>
              <w:rPr>
                <w:bCs/>
                <w:color w:val="000000"/>
                <w:sz w:val="16"/>
              </w:rPr>
            </w:pPr>
            <w:r>
              <w:rPr>
                <w:bCs/>
                <w:color w:val="000000"/>
                <w:sz w:val="16"/>
              </w:rPr>
              <w:t>1</w:t>
            </w:r>
          </w:p>
        </w:tc>
        <w:tc>
          <w:tcPr>
            <w:tcW w:w="332" w:type="pct"/>
            <w:vAlign w:val="bottom"/>
          </w:tcPr>
          <w:p w:rsidR="00000000" w:rsidRDefault="00000000">
            <w:pPr>
              <w:tabs>
                <w:tab w:val="decimal" w:pos="378"/>
              </w:tabs>
              <w:rPr>
                <w:bCs/>
                <w:color w:val="000000"/>
                <w:sz w:val="16"/>
              </w:rPr>
            </w:pPr>
            <w:r>
              <w:rPr>
                <w:bCs/>
                <w:color w:val="000000"/>
                <w:sz w:val="16"/>
              </w:rPr>
              <w:t>7</w:t>
            </w:r>
          </w:p>
        </w:tc>
        <w:tc>
          <w:tcPr>
            <w:tcW w:w="355" w:type="pct"/>
            <w:vAlign w:val="bottom"/>
          </w:tcPr>
          <w:p w:rsidR="00000000" w:rsidRDefault="00000000">
            <w:pPr>
              <w:tabs>
                <w:tab w:val="decimal" w:pos="448"/>
              </w:tabs>
              <w:rPr>
                <w:bCs/>
                <w:color w:val="000000"/>
                <w:sz w:val="16"/>
              </w:rPr>
            </w:pPr>
            <w:r>
              <w:rPr>
                <w:bCs/>
                <w:color w:val="000000"/>
                <w:sz w:val="16"/>
              </w:rPr>
              <w:t>15</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Educación especial</w:t>
            </w:r>
          </w:p>
        </w:tc>
        <w:tc>
          <w:tcPr>
            <w:tcW w:w="355" w:type="pct"/>
            <w:vAlign w:val="bottom"/>
          </w:tcPr>
          <w:p w:rsidR="00000000" w:rsidRDefault="00000000">
            <w:pPr>
              <w:tabs>
                <w:tab w:val="decimal" w:pos="453"/>
              </w:tabs>
              <w:rPr>
                <w:bCs/>
                <w:color w:val="000000"/>
                <w:sz w:val="16"/>
              </w:rPr>
            </w:pPr>
            <w:r>
              <w:rPr>
                <w:bCs/>
                <w:color w:val="000000"/>
                <w:sz w:val="16"/>
              </w:rPr>
              <w:t>26</w:t>
            </w:r>
          </w:p>
        </w:tc>
        <w:tc>
          <w:tcPr>
            <w:tcW w:w="321" w:type="pct"/>
            <w:vAlign w:val="bottom"/>
          </w:tcPr>
          <w:p w:rsidR="00000000" w:rsidRDefault="00000000">
            <w:pPr>
              <w:tabs>
                <w:tab w:val="decimal" w:pos="396"/>
              </w:tabs>
              <w:rPr>
                <w:bCs/>
                <w:color w:val="000000"/>
                <w:sz w:val="16"/>
              </w:rPr>
            </w:pPr>
            <w:r>
              <w:rPr>
                <w:bCs/>
                <w:color w:val="000000"/>
                <w:sz w:val="16"/>
              </w:rPr>
              <w:t>46</w:t>
            </w:r>
          </w:p>
        </w:tc>
        <w:tc>
          <w:tcPr>
            <w:tcW w:w="399" w:type="pct"/>
            <w:vAlign w:val="bottom"/>
          </w:tcPr>
          <w:p w:rsidR="00000000" w:rsidRDefault="00000000">
            <w:pPr>
              <w:tabs>
                <w:tab w:val="decimal" w:pos="462"/>
              </w:tabs>
              <w:rPr>
                <w:bCs/>
                <w:color w:val="000000"/>
                <w:sz w:val="16"/>
              </w:rPr>
            </w:pPr>
            <w:r>
              <w:rPr>
                <w:bCs/>
                <w:color w:val="000000"/>
                <w:sz w:val="16"/>
              </w:rPr>
              <w:t>9</w:t>
            </w:r>
          </w:p>
        </w:tc>
        <w:tc>
          <w:tcPr>
            <w:tcW w:w="325" w:type="pct"/>
            <w:vAlign w:val="bottom"/>
          </w:tcPr>
          <w:p w:rsidR="00000000" w:rsidRDefault="00000000">
            <w:pPr>
              <w:tabs>
                <w:tab w:val="decimal" w:pos="378"/>
              </w:tabs>
              <w:rPr>
                <w:bCs/>
                <w:color w:val="000000"/>
                <w:sz w:val="16"/>
              </w:rPr>
            </w:pPr>
            <w:r>
              <w:rPr>
                <w:bCs/>
                <w:color w:val="000000"/>
                <w:sz w:val="16"/>
              </w:rPr>
              <w:t>16</w:t>
            </w:r>
          </w:p>
        </w:tc>
        <w:tc>
          <w:tcPr>
            <w:tcW w:w="514" w:type="pct"/>
            <w:vAlign w:val="bottom"/>
          </w:tcPr>
          <w:p w:rsidR="00000000" w:rsidRDefault="00000000">
            <w:pPr>
              <w:tabs>
                <w:tab w:val="decimal" w:pos="620"/>
              </w:tabs>
              <w:rPr>
                <w:bCs/>
                <w:color w:val="000000"/>
                <w:sz w:val="16"/>
              </w:rPr>
            </w:pPr>
            <w:r>
              <w:rPr>
                <w:bCs/>
                <w:color w:val="000000"/>
                <w:sz w:val="16"/>
              </w:rPr>
              <w:t>22</w:t>
            </w:r>
          </w:p>
        </w:tc>
        <w:tc>
          <w:tcPr>
            <w:tcW w:w="291" w:type="pct"/>
            <w:vAlign w:val="bottom"/>
          </w:tcPr>
          <w:p w:rsidR="00000000" w:rsidRDefault="00000000">
            <w:pPr>
              <w:tabs>
                <w:tab w:val="decimal" w:pos="306"/>
              </w:tabs>
              <w:rPr>
                <w:bCs/>
                <w:color w:val="000000"/>
                <w:sz w:val="16"/>
              </w:rPr>
            </w:pPr>
            <w:r>
              <w:rPr>
                <w:bCs/>
                <w:color w:val="000000"/>
                <w:sz w:val="16"/>
              </w:rPr>
              <w:t>39</w:t>
            </w:r>
          </w:p>
        </w:tc>
        <w:tc>
          <w:tcPr>
            <w:tcW w:w="406" w:type="pct"/>
            <w:vAlign w:val="bottom"/>
          </w:tcPr>
          <w:p w:rsidR="00000000" w:rsidRDefault="00000000">
            <w:pPr>
              <w:tabs>
                <w:tab w:val="decimal" w:pos="514"/>
              </w:tabs>
              <w:rPr>
                <w:bCs/>
                <w:color w:val="000000"/>
                <w:sz w:val="16"/>
              </w:rPr>
            </w:pPr>
            <w:r>
              <w:rPr>
                <w:bCs/>
                <w:color w:val="000000"/>
                <w:sz w:val="16"/>
              </w:rPr>
              <w:t>55</w:t>
            </w:r>
          </w:p>
        </w:tc>
        <w:tc>
          <w:tcPr>
            <w:tcW w:w="300" w:type="pct"/>
            <w:vAlign w:val="bottom"/>
          </w:tcPr>
          <w:p w:rsidR="00000000" w:rsidRDefault="00000000">
            <w:pPr>
              <w:jc w:val="center"/>
              <w:rPr>
                <w:bCs/>
                <w:color w:val="000000"/>
                <w:sz w:val="16"/>
              </w:rPr>
            </w:pPr>
            <w:r>
              <w:rPr>
                <w:bCs/>
                <w:color w:val="000000"/>
                <w:sz w:val="16"/>
              </w:rPr>
              <w:t>96</w:t>
            </w:r>
          </w:p>
        </w:tc>
        <w:tc>
          <w:tcPr>
            <w:tcW w:w="369" w:type="pct"/>
            <w:vAlign w:val="bottom"/>
          </w:tcPr>
          <w:p w:rsidR="00000000" w:rsidRDefault="00000000">
            <w:pPr>
              <w:tabs>
                <w:tab w:val="decimal" w:pos="500"/>
              </w:tabs>
              <w:rPr>
                <w:bCs/>
                <w:color w:val="000000"/>
                <w:sz w:val="16"/>
              </w:rPr>
            </w:pPr>
            <w:r>
              <w:rPr>
                <w:bCs/>
                <w:color w:val="000000"/>
                <w:sz w:val="16"/>
              </w:rPr>
              <w:t>2</w:t>
            </w:r>
          </w:p>
        </w:tc>
        <w:tc>
          <w:tcPr>
            <w:tcW w:w="332" w:type="pct"/>
            <w:vAlign w:val="bottom"/>
          </w:tcPr>
          <w:p w:rsidR="00000000" w:rsidRDefault="00000000">
            <w:pPr>
              <w:tabs>
                <w:tab w:val="decimal" w:pos="378"/>
              </w:tabs>
              <w:rPr>
                <w:bCs/>
                <w:color w:val="000000"/>
                <w:sz w:val="16"/>
              </w:rPr>
            </w:pPr>
            <w:r>
              <w:rPr>
                <w:bCs/>
                <w:color w:val="000000"/>
                <w:sz w:val="16"/>
              </w:rPr>
              <w:t>4</w:t>
            </w:r>
          </w:p>
        </w:tc>
        <w:tc>
          <w:tcPr>
            <w:tcW w:w="355" w:type="pct"/>
            <w:vAlign w:val="bottom"/>
          </w:tcPr>
          <w:p w:rsidR="00000000" w:rsidRDefault="00000000">
            <w:pPr>
              <w:tabs>
                <w:tab w:val="decimal" w:pos="448"/>
              </w:tabs>
              <w:rPr>
                <w:bCs/>
                <w:color w:val="000000"/>
                <w:sz w:val="16"/>
              </w:rPr>
            </w:pPr>
            <w:r>
              <w:rPr>
                <w:bCs/>
                <w:color w:val="000000"/>
                <w:sz w:val="16"/>
              </w:rPr>
              <w:t>57</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Especial en educación escolar básica</w:t>
            </w:r>
          </w:p>
        </w:tc>
        <w:tc>
          <w:tcPr>
            <w:tcW w:w="355" w:type="pct"/>
            <w:vAlign w:val="bottom"/>
          </w:tcPr>
          <w:p w:rsidR="00000000" w:rsidRDefault="00000000">
            <w:pPr>
              <w:tabs>
                <w:tab w:val="decimal" w:pos="453"/>
              </w:tabs>
              <w:rPr>
                <w:bCs/>
                <w:color w:val="000000"/>
                <w:sz w:val="16"/>
              </w:rPr>
            </w:pPr>
            <w:r>
              <w:rPr>
                <w:bCs/>
                <w:color w:val="000000"/>
                <w:sz w:val="16"/>
              </w:rPr>
              <w:t>505</w:t>
            </w:r>
          </w:p>
        </w:tc>
        <w:tc>
          <w:tcPr>
            <w:tcW w:w="321" w:type="pct"/>
            <w:vAlign w:val="bottom"/>
          </w:tcPr>
          <w:p w:rsidR="00000000" w:rsidRDefault="00000000">
            <w:pPr>
              <w:tabs>
                <w:tab w:val="decimal" w:pos="396"/>
              </w:tabs>
              <w:rPr>
                <w:bCs/>
                <w:color w:val="000000"/>
                <w:sz w:val="16"/>
              </w:rPr>
            </w:pPr>
            <w:r>
              <w:rPr>
                <w:bCs/>
                <w:color w:val="000000"/>
                <w:sz w:val="16"/>
              </w:rPr>
              <w:t>88</w:t>
            </w:r>
          </w:p>
        </w:tc>
        <w:tc>
          <w:tcPr>
            <w:tcW w:w="399" w:type="pct"/>
            <w:vAlign w:val="bottom"/>
          </w:tcPr>
          <w:p w:rsidR="00000000" w:rsidRDefault="00000000">
            <w:pPr>
              <w:tabs>
                <w:tab w:val="decimal" w:pos="462"/>
              </w:tabs>
              <w:rPr>
                <w:bCs/>
                <w:color w:val="000000"/>
                <w:sz w:val="16"/>
              </w:rPr>
            </w:pPr>
            <w:r>
              <w:rPr>
                <w:bCs/>
                <w:color w:val="000000"/>
                <w:sz w:val="16"/>
              </w:rPr>
              <w:t>2</w:t>
            </w:r>
          </w:p>
        </w:tc>
        <w:tc>
          <w:tcPr>
            <w:tcW w:w="325" w:type="pct"/>
            <w:vAlign w:val="bottom"/>
          </w:tcPr>
          <w:p w:rsidR="00000000" w:rsidRDefault="00000000">
            <w:pPr>
              <w:tabs>
                <w:tab w:val="decimal" w:pos="378"/>
              </w:tabs>
              <w:rPr>
                <w:bCs/>
                <w:color w:val="000000"/>
                <w:sz w:val="16"/>
              </w:rPr>
            </w:pPr>
            <w:r>
              <w:rPr>
                <w:bCs/>
                <w:color w:val="000000"/>
                <w:sz w:val="16"/>
              </w:rPr>
              <w:t>0</w:t>
            </w:r>
          </w:p>
        </w:tc>
        <w:tc>
          <w:tcPr>
            <w:tcW w:w="514" w:type="pct"/>
            <w:vAlign w:val="bottom"/>
          </w:tcPr>
          <w:p w:rsidR="00000000" w:rsidRDefault="00000000">
            <w:pPr>
              <w:tabs>
                <w:tab w:val="decimal" w:pos="620"/>
              </w:tabs>
              <w:rPr>
                <w:bCs/>
                <w:color w:val="000000"/>
                <w:sz w:val="16"/>
              </w:rPr>
            </w:pPr>
            <w:r>
              <w:rPr>
                <w:bCs/>
                <w:color w:val="000000"/>
                <w:sz w:val="16"/>
              </w:rPr>
              <w:t>66</w:t>
            </w:r>
          </w:p>
        </w:tc>
        <w:tc>
          <w:tcPr>
            <w:tcW w:w="291" w:type="pct"/>
            <w:vAlign w:val="bottom"/>
          </w:tcPr>
          <w:p w:rsidR="00000000" w:rsidRDefault="00000000">
            <w:pPr>
              <w:tabs>
                <w:tab w:val="decimal" w:pos="306"/>
              </w:tabs>
              <w:rPr>
                <w:bCs/>
                <w:color w:val="000000"/>
                <w:sz w:val="16"/>
              </w:rPr>
            </w:pPr>
            <w:r>
              <w:rPr>
                <w:bCs/>
                <w:color w:val="000000"/>
                <w:sz w:val="16"/>
              </w:rPr>
              <w:t>12</w:t>
            </w:r>
          </w:p>
        </w:tc>
        <w:tc>
          <w:tcPr>
            <w:tcW w:w="406" w:type="pct"/>
            <w:vAlign w:val="bottom"/>
          </w:tcPr>
          <w:p w:rsidR="00000000" w:rsidRDefault="00000000">
            <w:pPr>
              <w:tabs>
                <w:tab w:val="decimal" w:pos="514"/>
              </w:tabs>
              <w:rPr>
                <w:bCs/>
                <w:color w:val="000000"/>
                <w:sz w:val="16"/>
              </w:rPr>
            </w:pPr>
            <w:r>
              <w:rPr>
                <w:bCs/>
                <w:color w:val="000000"/>
                <w:sz w:val="16"/>
              </w:rPr>
              <w:t>317</w:t>
            </w:r>
          </w:p>
        </w:tc>
        <w:tc>
          <w:tcPr>
            <w:tcW w:w="300" w:type="pct"/>
            <w:vAlign w:val="bottom"/>
          </w:tcPr>
          <w:p w:rsidR="00000000" w:rsidRDefault="00000000">
            <w:pPr>
              <w:jc w:val="center"/>
              <w:rPr>
                <w:bCs/>
                <w:color w:val="000000"/>
                <w:sz w:val="16"/>
              </w:rPr>
            </w:pPr>
            <w:r>
              <w:rPr>
                <w:bCs/>
                <w:color w:val="000000"/>
                <w:sz w:val="16"/>
              </w:rPr>
              <w:t>55</w:t>
            </w:r>
          </w:p>
        </w:tc>
        <w:tc>
          <w:tcPr>
            <w:tcW w:w="369" w:type="pct"/>
            <w:vAlign w:val="bottom"/>
          </w:tcPr>
          <w:p w:rsidR="00000000" w:rsidRDefault="00000000">
            <w:pPr>
              <w:tabs>
                <w:tab w:val="decimal" w:pos="500"/>
              </w:tabs>
              <w:rPr>
                <w:bCs/>
                <w:color w:val="000000"/>
                <w:sz w:val="16"/>
              </w:rPr>
            </w:pPr>
            <w:r>
              <w:rPr>
                <w:bCs/>
                <w:color w:val="000000"/>
                <w:sz w:val="16"/>
              </w:rPr>
              <w:t>256</w:t>
            </w:r>
          </w:p>
        </w:tc>
        <w:tc>
          <w:tcPr>
            <w:tcW w:w="332" w:type="pct"/>
            <w:vAlign w:val="bottom"/>
          </w:tcPr>
          <w:p w:rsidR="00000000" w:rsidRDefault="00000000">
            <w:pPr>
              <w:tabs>
                <w:tab w:val="decimal" w:pos="378"/>
              </w:tabs>
              <w:rPr>
                <w:bCs/>
                <w:color w:val="000000"/>
                <w:sz w:val="16"/>
              </w:rPr>
            </w:pPr>
            <w:r>
              <w:rPr>
                <w:bCs/>
                <w:color w:val="000000"/>
                <w:sz w:val="16"/>
              </w:rPr>
              <w:t>45</w:t>
            </w:r>
          </w:p>
        </w:tc>
        <w:tc>
          <w:tcPr>
            <w:tcW w:w="355" w:type="pct"/>
            <w:vAlign w:val="bottom"/>
          </w:tcPr>
          <w:p w:rsidR="00000000" w:rsidRDefault="00000000">
            <w:pPr>
              <w:tabs>
                <w:tab w:val="decimal" w:pos="448"/>
              </w:tabs>
              <w:rPr>
                <w:bCs/>
                <w:color w:val="000000"/>
                <w:sz w:val="16"/>
              </w:rPr>
            </w:pPr>
            <w:r>
              <w:rPr>
                <w:bCs/>
                <w:color w:val="000000"/>
                <w:sz w:val="16"/>
              </w:rPr>
              <w:t>573</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Régimen especial de enseñanza media</w:t>
            </w:r>
          </w:p>
        </w:tc>
        <w:tc>
          <w:tcPr>
            <w:tcW w:w="355" w:type="pct"/>
            <w:vAlign w:val="bottom"/>
          </w:tcPr>
          <w:p w:rsidR="00000000" w:rsidRDefault="00000000">
            <w:pPr>
              <w:tabs>
                <w:tab w:val="decimal" w:pos="453"/>
              </w:tabs>
              <w:rPr>
                <w:bCs/>
                <w:color w:val="000000"/>
                <w:sz w:val="16"/>
              </w:rPr>
            </w:pPr>
            <w:r>
              <w:rPr>
                <w:bCs/>
                <w:color w:val="000000"/>
                <w:sz w:val="16"/>
              </w:rPr>
              <w:t>-</w:t>
            </w:r>
          </w:p>
        </w:tc>
        <w:tc>
          <w:tcPr>
            <w:tcW w:w="321" w:type="pct"/>
            <w:vAlign w:val="bottom"/>
          </w:tcPr>
          <w:p w:rsidR="00000000" w:rsidRDefault="00000000">
            <w:pPr>
              <w:tabs>
                <w:tab w:val="decimal" w:pos="396"/>
              </w:tabs>
              <w:rPr>
                <w:bCs/>
                <w:color w:val="000000"/>
                <w:sz w:val="16"/>
              </w:rPr>
            </w:pPr>
            <w:r>
              <w:rPr>
                <w:bCs/>
                <w:color w:val="000000"/>
                <w:sz w:val="16"/>
              </w:rPr>
              <w:t>-</w:t>
            </w:r>
          </w:p>
        </w:tc>
        <w:tc>
          <w:tcPr>
            <w:tcW w:w="399" w:type="pct"/>
            <w:vAlign w:val="bottom"/>
          </w:tcPr>
          <w:p w:rsidR="00000000" w:rsidRDefault="00000000">
            <w:pPr>
              <w:tabs>
                <w:tab w:val="decimal" w:pos="462"/>
              </w:tabs>
              <w:rPr>
                <w:bCs/>
                <w:color w:val="000000"/>
                <w:sz w:val="16"/>
              </w:rPr>
            </w:pPr>
            <w:r>
              <w:rPr>
                <w:bCs/>
                <w:color w:val="000000"/>
                <w:sz w:val="16"/>
              </w:rPr>
              <w:t>141</w:t>
            </w:r>
          </w:p>
        </w:tc>
        <w:tc>
          <w:tcPr>
            <w:tcW w:w="325" w:type="pct"/>
            <w:vAlign w:val="bottom"/>
          </w:tcPr>
          <w:p w:rsidR="00000000" w:rsidRDefault="00000000">
            <w:pPr>
              <w:tabs>
                <w:tab w:val="decimal" w:pos="378"/>
              </w:tabs>
              <w:rPr>
                <w:bCs/>
                <w:color w:val="000000"/>
                <w:sz w:val="16"/>
              </w:rPr>
            </w:pPr>
            <w:r>
              <w:rPr>
                <w:bCs/>
                <w:color w:val="000000"/>
                <w:sz w:val="16"/>
              </w:rPr>
              <w:t>100</w:t>
            </w:r>
          </w:p>
        </w:tc>
        <w:tc>
          <w:tcPr>
            <w:tcW w:w="514" w:type="pct"/>
            <w:vAlign w:val="bottom"/>
          </w:tcPr>
          <w:p w:rsidR="00000000" w:rsidRDefault="00000000">
            <w:pPr>
              <w:tabs>
                <w:tab w:val="decimal" w:pos="620"/>
              </w:tabs>
              <w:rPr>
                <w:bCs/>
                <w:color w:val="000000"/>
                <w:sz w:val="16"/>
              </w:rPr>
            </w:pPr>
            <w:r>
              <w:rPr>
                <w:bCs/>
                <w:color w:val="000000"/>
                <w:sz w:val="16"/>
              </w:rPr>
              <w:t>-</w:t>
            </w:r>
          </w:p>
        </w:tc>
        <w:tc>
          <w:tcPr>
            <w:tcW w:w="291" w:type="pct"/>
            <w:vAlign w:val="bottom"/>
          </w:tcPr>
          <w:p w:rsidR="00000000" w:rsidRDefault="00000000">
            <w:pPr>
              <w:tabs>
                <w:tab w:val="decimal" w:pos="306"/>
              </w:tabs>
              <w:rPr>
                <w:bCs/>
                <w:color w:val="000000"/>
                <w:sz w:val="16"/>
              </w:rPr>
            </w:pPr>
            <w:r>
              <w:rPr>
                <w:bCs/>
                <w:color w:val="000000"/>
                <w:sz w:val="16"/>
              </w:rPr>
              <w:t>-</w:t>
            </w:r>
          </w:p>
        </w:tc>
        <w:tc>
          <w:tcPr>
            <w:tcW w:w="406" w:type="pct"/>
            <w:vAlign w:val="bottom"/>
          </w:tcPr>
          <w:p w:rsidR="00000000" w:rsidRDefault="00000000">
            <w:pPr>
              <w:tabs>
                <w:tab w:val="decimal" w:pos="514"/>
              </w:tabs>
              <w:rPr>
                <w:bCs/>
                <w:color w:val="000000"/>
                <w:sz w:val="16"/>
              </w:rPr>
            </w:pPr>
            <w:r>
              <w:rPr>
                <w:bCs/>
                <w:color w:val="000000"/>
                <w:sz w:val="16"/>
              </w:rPr>
              <w:t>121</w:t>
            </w:r>
          </w:p>
        </w:tc>
        <w:tc>
          <w:tcPr>
            <w:tcW w:w="300" w:type="pct"/>
            <w:vAlign w:val="bottom"/>
          </w:tcPr>
          <w:p w:rsidR="00000000" w:rsidRDefault="00000000">
            <w:pPr>
              <w:jc w:val="center"/>
              <w:rPr>
                <w:bCs/>
                <w:color w:val="000000"/>
                <w:sz w:val="16"/>
              </w:rPr>
            </w:pPr>
            <w:r>
              <w:rPr>
                <w:bCs/>
                <w:color w:val="000000"/>
                <w:sz w:val="16"/>
              </w:rPr>
              <w:t>86</w:t>
            </w:r>
          </w:p>
        </w:tc>
        <w:tc>
          <w:tcPr>
            <w:tcW w:w="369" w:type="pct"/>
            <w:vAlign w:val="bottom"/>
          </w:tcPr>
          <w:p w:rsidR="00000000" w:rsidRDefault="00000000">
            <w:pPr>
              <w:tabs>
                <w:tab w:val="decimal" w:pos="500"/>
              </w:tabs>
              <w:rPr>
                <w:bCs/>
                <w:color w:val="000000"/>
                <w:sz w:val="16"/>
              </w:rPr>
            </w:pPr>
            <w:r>
              <w:rPr>
                <w:bCs/>
                <w:color w:val="000000"/>
                <w:sz w:val="16"/>
              </w:rPr>
              <w:t>20</w:t>
            </w:r>
          </w:p>
        </w:tc>
        <w:tc>
          <w:tcPr>
            <w:tcW w:w="332" w:type="pct"/>
            <w:vAlign w:val="bottom"/>
          </w:tcPr>
          <w:p w:rsidR="00000000" w:rsidRDefault="00000000">
            <w:pPr>
              <w:tabs>
                <w:tab w:val="decimal" w:pos="378"/>
              </w:tabs>
              <w:rPr>
                <w:bCs/>
                <w:color w:val="000000"/>
                <w:sz w:val="16"/>
              </w:rPr>
            </w:pPr>
            <w:r>
              <w:rPr>
                <w:bCs/>
                <w:color w:val="000000"/>
                <w:sz w:val="16"/>
              </w:rPr>
              <w:t>14</w:t>
            </w:r>
          </w:p>
        </w:tc>
        <w:tc>
          <w:tcPr>
            <w:tcW w:w="355" w:type="pct"/>
            <w:vAlign w:val="bottom"/>
          </w:tcPr>
          <w:p w:rsidR="00000000" w:rsidRDefault="00000000">
            <w:pPr>
              <w:tabs>
                <w:tab w:val="decimal" w:pos="448"/>
              </w:tabs>
              <w:rPr>
                <w:bCs/>
                <w:color w:val="000000"/>
                <w:sz w:val="16"/>
              </w:rPr>
            </w:pPr>
            <w:r>
              <w:rPr>
                <w:bCs/>
                <w:color w:val="000000"/>
                <w:sz w:val="16"/>
              </w:rPr>
              <w:t>141</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Educación de jóvenes y adultos</w:t>
            </w:r>
          </w:p>
        </w:tc>
        <w:tc>
          <w:tcPr>
            <w:tcW w:w="355" w:type="pct"/>
            <w:vAlign w:val="bottom"/>
          </w:tcPr>
          <w:p w:rsidR="00000000" w:rsidRDefault="00000000">
            <w:pPr>
              <w:tabs>
                <w:tab w:val="decimal" w:pos="453"/>
              </w:tabs>
              <w:rPr>
                <w:bCs/>
                <w:color w:val="000000"/>
                <w:sz w:val="16"/>
              </w:rPr>
            </w:pPr>
            <w:r>
              <w:rPr>
                <w:bCs/>
                <w:color w:val="000000"/>
                <w:sz w:val="16"/>
              </w:rPr>
              <w:t>1.047</w:t>
            </w:r>
          </w:p>
        </w:tc>
        <w:tc>
          <w:tcPr>
            <w:tcW w:w="321" w:type="pct"/>
            <w:vAlign w:val="bottom"/>
          </w:tcPr>
          <w:p w:rsidR="00000000" w:rsidRDefault="00000000">
            <w:pPr>
              <w:tabs>
                <w:tab w:val="decimal" w:pos="396"/>
              </w:tabs>
              <w:rPr>
                <w:bCs/>
                <w:color w:val="000000"/>
                <w:sz w:val="16"/>
              </w:rPr>
            </w:pPr>
            <w:r>
              <w:rPr>
                <w:bCs/>
                <w:color w:val="000000"/>
                <w:sz w:val="16"/>
              </w:rPr>
              <w:t>70</w:t>
            </w:r>
          </w:p>
        </w:tc>
        <w:tc>
          <w:tcPr>
            <w:tcW w:w="399" w:type="pct"/>
            <w:vAlign w:val="bottom"/>
          </w:tcPr>
          <w:p w:rsidR="00000000" w:rsidRDefault="00000000">
            <w:pPr>
              <w:tabs>
                <w:tab w:val="decimal" w:pos="462"/>
              </w:tabs>
              <w:rPr>
                <w:bCs/>
                <w:color w:val="000000"/>
                <w:sz w:val="16"/>
              </w:rPr>
            </w:pPr>
            <w:r>
              <w:rPr>
                <w:bCs/>
                <w:color w:val="000000"/>
                <w:sz w:val="16"/>
              </w:rPr>
              <w:t>414</w:t>
            </w:r>
          </w:p>
        </w:tc>
        <w:tc>
          <w:tcPr>
            <w:tcW w:w="325" w:type="pct"/>
            <w:vAlign w:val="bottom"/>
          </w:tcPr>
          <w:p w:rsidR="00000000" w:rsidRDefault="00000000">
            <w:pPr>
              <w:tabs>
                <w:tab w:val="decimal" w:pos="378"/>
              </w:tabs>
              <w:rPr>
                <w:bCs/>
                <w:color w:val="000000"/>
                <w:sz w:val="16"/>
              </w:rPr>
            </w:pPr>
            <w:r>
              <w:rPr>
                <w:bCs/>
                <w:color w:val="000000"/>
                <w:sz w:val="16"/>
              </w:rPr>
              <w:t>28</w:t>
            </w:r>
          </w:p>
        </w:tc>
        <w:tc>
          <w:tcPr>
            <w:tcW w:w="514" w:type="pct"/>
            <w:vAlign w:val="bottom"/>
          </w:tcPr>
          <w:p w:rsidR="00000000" w:rsidRDefault="00000000">
            <w:pPr>
              <w:tabs>
                <w:tab w:val="decimal" w:pos="620"/>
              </w:tabs>
              <w:rPr>
                <w:bCs/>
                <w:color w:val="000000"/>
                <w:sz w:val="16"/>
              </w:rPr>
            </w:pPr>
            <w:r>
              <w:rPr>
                <w:bCs/>
                <w:color w:val="000000"/>
                <w:sz w:val="16"/>
              </w:rPr>
              <w:t>33</w:t>
            </w:r>
          </w:p>
        </w:tc>
        <w:tc>
          <w:tcPr>
            <w:tcW w:w="291" w:type="pct"/>
            <w:vAlign w:val="bottom"/>
          </w:tcPr>
          <w:p w:rsidR="00000000" w:rsidRDefault="00000000">
            <w:pPr>
              <w:tabs>
                <w:tab w:val="decimal" w:pos="306"/>
              </w:tabs>
              <w:rPr>
                <w:bCs/>
                <w:color w:val="000000"/>
                <w:sz w:val="16"/>
              </w:rPr>
            </w:pPr>
            <w:r>
              <w:rPr>
                <w:bCs/>
                <w:color w:val="000000"/>
                <w:sz w:val="16"/>
              </w:rPr>
              <w:t>2</w:t>
            </w:r>
          </w:p>
        </w:tc>
        <w:tc>
          <w:tcPr>
            <w:tcW w:w="406" w:type="pct"/>
            <w:vAlign w:val="bottom"/>
          </w:tcPr>
          <w:p w:rsidR="00000000" w:rsidRDefault="00000000">
            <w:pPr>
              <w:tabs>
                <w:tab w:val="decimal" w:pos="514"/>
              </w:tabs>
              <w:rPr>
                <w:bCs/>
                <w:color w:val="000000"/>
                <w:sz w:val="16"/>
              </w:rPr>
            </w:pPr>
            <w:r>
              <w:rPr>
                <w:bCs/>
                <w:color w:val="000000"/>
                <w:sz w:val="16"/>
              </w:rPr>
              <w:t>706</w:t>
            </w:r>
          </w:p>
        </w:tc>
        <w:tc>
          <w:tcPr>
            <w:tcW w:w="300" w:type="pct"/>
            <w:vAlign w:val="bottom"/>
          </w:tcPr>
          <w:p w:rsidR="00000000" w:rsidRDefault="00000000">
            <w:pPr>
              <w:jc w:val="center"/>
              <w:rPr>
                <w:bCs/>
                <w:color w:val="000000"/>
                <w:sz w:val="16"/>
              </w:rPr>
            </w:pPr>
            <w:r>
              <w:rPr>
                <w:bCs/>
                <w:color w:val="000000"/>
                <w:sz w:val="16"/>
              </w:rPr>
              <w:t>47</w:t>
            </w:r>
          </w:p>
        </w:tc>
        <w:tc>
          <w:tcPr>
            <w:tcW w:w="369" w:type="pct"/>
            <w:vAlign w:val="bottom"/>
          </w:tcPr>
          <w:p w:rsidR="00000000" w:rsidRDefault="00000000">
            <w:pPr>
              <w:tabs>
                <w:tab w:val="decimal" w:pos="500"/>
              </w:tabs>
              <w:rPr>
                <w:bCs/>
                <w:color w:val="000000"/>
                <w:sz w:val="16"/>
              </w:rPr>
            </w:pPr>
            <w:r>
              <w:rPr>
                <w:bCs/>
                <w:color w:val="000000"/>
                <w:sz w:val="16"/>
              </w:rPr>
              <w:t>788</w:t>
            </w:r>
          </w:p>
        </w:tc>
        <w:tc>
          <w:tcPr>
            <w:tcW w:w="332" w:type="pct"/>
            <w:vAlign w:val="bottom"/>
          </w:tcPr>
          <w:p w:rsidR="00000000" w:rsidRDefault="00000000">
            <w:pPr>
              <w:tabs>
                <w:tab w:val="decimal" w:pos="378"/>
              </w:tabs>
              <w:rPr>
                <w:bCs/>
                <w:color w:val="000000"/>
                <w:sz w:val="16"/>
              </w:rPr>
            </w:pPr>
            <w:r>
              <w:rPr>
                <w:bCs/>
                <w:color w:val="000000"/>
                <w:sz w:val="16"/>
              </w:rPr>
              <w:t>53</w:t>
            </w:r>
          </w:p>
        </w:tc>
        <w:tc>
          <w:tcPr>
            <w:tcW w:w="355" w:type="pct"/>
            <w:vAlign w:val="bottom"/>
          </w:tcPr>
          <w:p w:rsidR="00000000" w:rsidRDefault="00000000">
            <w:pPr>
              <w:tabs>
                <w:tab w:val="decimal" w:pos="448"/>
              </w:tabs>
              <w:rPr>
                <w:bCs/>
                <w:color w:val="000000"/>
                <w:sz w:val="16"/>
              </w:rPr>
            </w:pPr>
            <w:r>
              <w:rPr>
                <w:bCs/>
                <w:color w:val="000000"/>
                <w:sz w:val="16"/>
              </w:rPr>
              <w:t>1.494</w:t>
            </w:r>
          </w:p>
        </w:tc>
      </w:tr>
      <w:tr w:rsidR="00000000">
        <w:tblPrEx>
          <w:tblCellMar>
            <w:top w:w="0" w:type="dxa"/>
            <w:bottom w:w="0" w:type="dxa"/>
          </w:tblCellMar>
        </w:tblPrEx>
        <w:tc>
          <w:tcPr>
            <w:tcW w:w="1034" w:type="pct"/>
          </w:tcPr>
          <w:p w:rsidR="00000000" w:rsidRDefault="00000000">
            <w:pPr>
              <w:rPr>
                <w:bCs/>
                <w:color w:val="000000"/>
                <w:sz w:val="16"/>
              </w:rPr>
            </w:pPr>
            <w:r>
              <w:rPr>
                <w:bCs/>
                <w:color w:val="000000"/>
                <w:sz w:val="16"/>
              </w:rPr>
              <w:t>Enseñanza profesional</w:t>
            </w:r>
          </w:p>
        </w:tc>
        <w:tc>
          <w:tcPr>
            <w:tcW w:w="355" w:type="pct"/>
            <w:vAlign w:val="bottom"/>
          </w:tcPr>
          <w:p w:rsidR="00000000" w:rsidRDefault="00000000">
            <w:pPr>
              <w:tabs>
                <w:tab w:val="decimal" w:pos="453"/>
              </w:tabs>
              <w:rPr>
                <w:bCs/>
                <w:color w:val="000000"/>
                <w:sz w:val="16"/>
              </w:rPr>
            </w:pPr>
            <w:r>
              <w:rPr>
                <w:bCs/>
                <w:color w:val="000000"/>
                <w:sz w:val="16"/>
              </w:rPr>
              <w:t>33</w:t>
            </w:r>
          </w:p>
        </w:tc>
        <w:tc>
          <w:tcPr>
            <w:tcW w:w="321" w:type="pct"/>
            <w:vAlign w:val="bottom"/>
          </w:tcPr>
          <w:p w:rsidR="00000000" w:rsidRDefault="00000000">
            <w:pPr>
              <w:tabs>
                <w:tab w:val="decimal" w:pos="396"/>
              </w:tabs>
              <w:rPr>
                <w:bCs/>
                <w:color w:val="000000"/>
                <w:sz w:val="16"/>
              </w:rPr>
            </w:pPr>
            <w:r>
              <w:rPr>
                <w:bCs/>
                <w:color w:val="000000"/>
                <w:sz w:val="16"/>
              </w:rPr>
              <w:t>9</w:t>
            </w:r>
          </w:p>
        </w:tc>
        <w:tc>
          <w:tcPr>
            <w:tcW w:w="399" w:type="pct"/>
            <w:vAlign w:val="bottom"/>
          </w:tcPr>
          <w:p w:rsidR="00000000" w:rsidRDefault="00000000">
            <w:pPr>
              <w:tabs>
                <w:tab w:val="decimal" w:pos="462"/>
              </w:tabs>
              <w:rPr>
                <w:bCs/>
                <w:color w:val="000000"/>
                <w:sz w:val="16"/>
              </w:rPr>
            </w:pPr>
            <w:r>
              <w:rPr>
                <w:bCs/>
                <w:color w:val="000000"/>
                <w:sz w:val="16"/>
              </w:rPr>
              <w:t>258</w:t>
            </w:r>
          </w:p>
        </w:tc>
        <w:tc>
          <w:tcPr>
            <w:tcW w:w="325" w:type="pct"/>
            <w:vAlign w:val="bottom"/>
          </w:tcPr>
          <w:p w:rsidR="00000000" w:rsidRDefault="00000000">
            <w:pPr>
              <w:tabs>
                <w:tab w:val="decimal" w:pos="378"/>
              </w:tabs>
              <w:rPr>
                <w:bCs/>
                <w:color w:val="000000"/>
                <w:sz w:val="16"/>
              </w:rPr>
            </w:pPr>
            <w:r>
              <w:rPr>
                <w:bCs/>
                <w:color w:val="000000"/>
                <w:sz w:val="16"/>
              </w:rPr>
              <w:t>72</w:t>
            </w:r>
          </w:p>
        </w:tc>
        <w:tc>
          <w:tcPr>
            <w:tcW w:w="514" w:type="pct"/>
            <w:vAlign w:val="bottom"/>
          </w:tcPr>
          <w:p w:rsidR="00000000" w:rsidRDefault="00000000">
            <w:pPr>
              <w:tabs>
                <w:tab w:val="decimal" w:pos="620"/>
              </w:tabs>
              <w:rPr>
                <w:bCs/>
                <w:color w:val="000000"/>
                <w:sz w:val="16"/>
              </w:rPr>
            </w:pPr>
            <w:r>
              <w:rPr>
                <w:bCs/>
                <w:color w:val="000000"/>
                <w:sz w:val="16"/>
              </w:rPr>
              <w:t>66</w:t>
            </w:r>
          </w:p>
        </w:tc>
        <w:tc>
          <w:tcPr>
            <w:tcW w:w="291" w:type="pct"/>
            <w:vAlign w:val="bottom"/>
          </w:tcPr>
          <w:p w:rsidR="00000000" w:rsidRDefault="00000000">
            <w:pPr>
              <w:tabs>
                <w:tab w:val="decimal" w:pos="306"/>
              </w:tabs>
              <w:rPr>
                <w:bCs/>
                <w:color w:val="000000"/>
                <w:sz w:val="16"/>
              </w:rPr>
            </w:pPr>
            <w:r>
              <w:rPr>
                <w:bCs/>
                <w:color w:val="000000"/>
                <w:sz w:val="16"/>
              </w:rPr>
              <w:t>18</w:t>
            </w:r>
          </w:p>
        </w:tc>
        <w:tc>
          <w:tcPr>
            <w:tcW w:w="406" w:type="pct"/>
            <w:vAlign w:val="bottom"/>
          </w:tcPr>
          <w:p w:rsidR="00000000" w:rsidRDefault="00000000">
            <w:pPr>
              <w:tabs>
                <w:tab w:val="decimal" w:pos="514"/>
              </w:tabs>
              <w:rPr>
                <w:bCs/>
                <w:color w:val="000000"/>
                <w:sz w:val="16"/>
              </w:rPr>
            </w:pPr>
            <w:r>
              <w:rPr>
                <w:bCs/>
                <w:color w:val="000000"/>
                <w:sz w:val="16"/>
              </w:rPr>
              <w:t>332</w:t>
            </w:r>
          </w:p>
        </w:tc>
        <w:tc>
          <w:tcPr>
            <w:tcW w:w="300" w:type="pct"/>
            <w:vAlign w:val="bottom"/>
          </w:tcPr>
          <w:p w:rsidR="00000000" w:rsidRDefault="00000000">
            <w:pPr>
              <w:jc w:val="center"/>
              <w:rPr>
                <w:bCs/>
                <w:color w:val="000000"/>
                <w:sz w:val="16"/>
              </w:rPr>
            </w:pPr>
            <w:r>
              <w:rPr>
                <w:bCs/>
                <w:color w:val="000000"/>
                <w:sz w:val="16"/>
              </w:rPr>
              <w:t>93</w:t>
            </w:r>
          </w:p>
        </w:tc>
        <w:tc>
          <w:tcPr>
            <w:tcW w:w="369" w:type="pct"/>
            <w:vAlign w:val="bottom"/>
          </w:tcPr>
          <w:p w:rsidR="00000000" w:rsidRDefault="00000000">
            <w:pPr>
              <w:tabs>
                <w:tab w:val="decimal" w:pos="500"/>
              </w:tabs>
              <w:rPr>
                <w:bCs/>
                <w:color w:val="000000"/>
                <w:sz w:val="16"/>
              </w:rPr>
            </w:pPr>
            <w:r>
              <w:rPr>
                <w:bCs/>
                <w:color w:val="000000"/>
                <w:sz w:val="16"/>
              </w:rPr>
              <w:t>25</w:t>
            </w:r>
          </w:p>
        </w:tc>
        <w:tc>
          <w:tcPr>
            <w:tcW w:w="332" w:type="pct"/>
            <w:vAlign w:val="bottom"/>
          </w:tcPr>
          <w:p w:rsidR="00000000" w:rsidRDefault="00000000">
            <w:pPr>
              <w:tabs>
                <w:tab w:val="decimal" w:pos="378"/>
              </w:tabs>
              <w:rPr>
                <w:bCs/>
                <w:color w:val="000000"/>
                <w:sz w:val="16"/>
              </w:rPr>
            </w:pPr>
            <w:r>
              <w:rPr>
                <w:bCs/>
                <w:color w:val="000000"/>
                <w:sz w:val="16"/>
              </w:rPr>
              <w:t>7</w:t>
            </w:r>
          </w:p>
        </w:tc>
        <w:tc>
          <w:tcPr>
            <w:tcW w:w="355" w:type="pct"/>
            <w:vAlign w:val="bottom"/>
          </w:tcPr>
          <w:p w:rsidR="00000000" w:rsidRDefault="00000000">
            <w:pPr>
              <w:tabs>
                <w:tab w:val="decimal" w:pos="448"/>
              </w:tabs>
              <w:rPr>
                <w:bCs/>
                <w:color w:val="000000"/>
                <w:sz w:val="16"/>
              </w:rPr>
            </w:pPr>
            <w:r>
              <w:rPr>
                <w:bCs/>
                <w:color w:val="000000"/>
                <w:sz w:val="16"/>
              </w:rPr>
              <w:t>357</w:t>
            </w:r>
          </w:p>
        </w:tc>
      </w:tr>
    </w:tbl>
    <w:p w:rsidR="00000000" w:rsidRDefault="00000000">
      <w:pPr>
        <w:spacing w:before="160" w:after="160"/>
        <w:rPr>
          <w:bCs/>
          <w:color w:val="000000"/>
          <w:sz w:val="16"/>
        </w:rPr>
      </w:pPr>
      <w:r>
        <w:rPr>
          <w:bCs/>
          <w:i/>
          <w:iCs/>
          <w:color w:val="000000"/>
          <w:sz w:val="16"/>
        </w:rPr>
        <w:t>Fuente</w:t>
      </w:r>
      <w:r>
        <w:rPr>
          <w:bCs/>
          <w:color w:val="000000"/>
          <w:sz w:val="16"/>
        </w:rPr>
        <w:t>:  MEC, DGPEC.</w:t>
      </w:r>
    </w:p>
    <w:p w:rsidR="00000000" w:rsidRDefault="00000000">
      <w:pPr>
        <w:spacing w:after="360"/>
        <w:rPr>
          <w:bCs/>
          <w:color w:val="000000"/>
          <w:sz w:val="16"/>
        </w:rPr>
      </w:pPr>
      <w:r>
        <w:rPr>
          <w:bCs/>
          <w:i/>
          <w:iCs/>
          <w:color w:val="000000"/>
          <w:sz w:val="16"/>
        </w:rPr>
        <w:t>Nota</w:t>
      </w:r>
      <w:r>
        <w:rPr>
          <w:bCs/>
          <w:color w:val="000000"/>
          <w:sz w:val="16"/>
        </w:rPr>
        <w:t>:  Existen instituciones que ofrecen más de un nivel y/o modalidad educativa.</w:t>
      </w:r>
    </w:p>
    <w:p w:rsidR="00000000" w:rsidRDefault="00000000">
      <w:pPr>
        <w:keepNext/>
        <w:spacing w:after="240"/>
        <w:ind w:left="567"/>
        <w:rPr>
          <w:b/>
          <w:color w:val="000000"/>
        </w:rPr>
      </w:pPr>
      <w:r>
        <w:rPr>
          <w:b/>
          <w:color w:val="000000"/>
        </w:rPr>
        <w:t>2.1.</w:t>
      </w:r>
      <w:r>
        <w:rPr>
          <w:b/>
          <w:color w:val="000000"/>
        </w:rPr>
        <w:tab/>
        <w:t>Construcciones escolares</w:t>
      </w:r>
    </w:p>
    <w:p w:rsidR="00000000" w:rsidRDefault="00000000">
      <w:pPr>
        <w:autoSpaceDE w:val="0"/>
        <w:autoSpaceDN w:val="0"/>
        <w:adjustRightInd w:val="0"/>
        <w:spacing w:after="240"/>
        <w:rPr>
          <w:szCs w:val="22"/>
        </w:rPr>
      </w:pPr>
      <w:r>
        <w:rPr>
          <w:szCs w:val="20"/>
        </w:rPr>
        <w:t>576.</w:t>
      </w:r>
      <w:r>
        <w:rPr>
          <w:szCs w:val="20"/>
        </w:rPr>
        <w:tab/>
        <w:t>Se realizan en distintas modalidades y con distintas fuentes de financiamiento; por ejemplo, construcciones directas realizadas por el Ministerio de Educación y Cultura, construcciones a través de aportes entregados a A</w:t>
      </w:r>
      <w:r>
        <w:t>sociaciones</w:t>
      </w:r>
      <w:r>
        <w:rPr>
          <w:szCs w:val="20"/>
        </w:rPr>
        <w:t xml:space="preserve"> de Cooperadoras Escolares (ACEs), a través de donaciones o inversiones locales (por ejemplo, obras sociales de Itaipú, gobernaciones departamentales, etc.).  </w:t>
      </w:r>
      <w:r>
        <w:rPr>
          <w:szCs w:val="22"/>
        </w:rPr>
        <w:t>Las construcciones en el presente año se detallan a continuación (no incluye las obras realizadas por Itaipú y gobernaciones):</w:t>
      </w:r>
    </w:p>
    <w:p w:rsidR="00000000" w:rsidRDefault="00000000">
      <w:pPr>
        <w:spacing w:after="240"/>
        <w:ind w:left="924" w:hanging="357"/>
      </w:pPr>
      <w:r>
        <w:rPr>
          <w:b/>
          <w:bCs/>
        </w:rPr>
        <w:t>-</w:t>
      </w:r>
      <w:r>
        <w:rPr>
          <w:b/>
          <w:bCs/>
        </w:rPr>
        <w:tab/>
        <w:t xml:space="preserve">Programa Fortalecimiento de la reforma educativa en la educación escolar básica - "Escuela Viva Hekokatuva".  </w:t>
      </w:r>
      <w:r>
        <w:t>Beneficia con inversiones en infraestructura a 130 instituciones educativas para la construcción y reparación:  337 aulas nuevas, 97 servicios higiénicos diferenciados y 48 pozos artesianos.</w:t>
      </w:r>
    </w:p>
    <w:p w:rsidR="00000000" w:rsidRDefault="00000000">
      <w:pPr>
        <w:spacing w:after="240"/>
        <w:ind w:left="924" w:hanging="357"/>
      </w:pPr>
      <w:r>
        <w:rPr>
          <w:b/>
          <w:bCs/>
        </w:rPr>
        <w:t>-</w:t>
      </w:r>
      <w:r>
        <w:rPr>
          <w:b/>
          <w:bCs/>
        </w:rPr>
        <w:tab/>
        <w:t xml:space="preserve">Programa de mejoramiento de la educación inicial y preescolar.  </w:t>
      </w:r>
      <w:r>
        <w:t>Se prevé la construcción de 244 aulas nuevas, 258 servicios higiénicos diferenciados y 134 pozos artesianos.</w:t>
      </w:r>
    </w:p>
    <w:p w:rsidR="00000000" w:rsidRDefault="00000000">
      <w:pPr>
        <w:spacing w:after="240"/>
        <w:ind w:left="924" w:hanging="357"/>
      </w:pPr>
      <w:r>
        <w:rPr>
          <w:b/>
          <w:bCs/>
        </w:rPr>
        <w:t>-</w:t>
      </w:r>
      <w:r>
        <w:rPr>
          <w:b/>
          <w:bCs/>
        </w:rPr>
        <w:tab/>
        <w:t>Programa de reforma de la educación con énfasis en la educación media.</w:t>
      </w:r>
      <w:r>
        <w:t xml:space="preserve">  Se ha iniciado el diseño para la construcción de tres colegios prototipo, en zonas urbanomarginales de los departamentos de Caaguazú y Central.</w:t>
      </w:r>
    </w:p>
    <w:p w:rsidR="00000000" w:rsidRDefault="00000000">
      <w:pPr>
        <w:autoSpaceDE w:val="0"/>
        <w:autoSpaceDN w:val="0"/>
        <w:adjustRightInd w:val="0"/>
        <w:spacing w:after="240"/>
      </w:pPr>
      <w:r>
        <w:t>577.</w:t>
      </w:r>
      <w:r>
        <w:tab/>
        <w:t>Asimismo, con los recursos presupuestarios del Ministerio se ha previsto para el año 2005 la construcción de 476 aulas y 78 servicios higiénicos en los niveles de escolar básica y educación media.  Durante 2005 se han entregado aportes a las Asociaciones de Cooperadoras Escolares (ACEs) de instituciones educativas de educación escolar básica y educación media, para mejoramiento de infraestructura, en el marco de los Programas MEC-BID y MEC-BIRF.  Los aportes a 133 ACEs de educación escolar básica ascienden a 18 millones de guaraníes en promedio a cada cooperadora exclusivamente para mejorar, mantener o ampliar la estructura física de las instituciones escolares (suma total de 2.398.399.391 guaraníes aproximadamente).</w:t>
      </w:r>
    </w:p>
    <w:p w:rsidR="00000000" w:rsidRDefault="00000000">
      <w:pPr>
        <w:autoSpaceDE w:val="0"/>
        <w:autoSpaceDN w:val="0"/>
        <w:adjustRightInd w:val="0"/>
        <w:spacing w:after="240"/>
      </w:pPr>
      <w:r>
        <w:t>578.</w:t>
      </w:r>
      <w:r>
        <w:tab/>
        <w:t>Mientras que los aportes a 60 ACEs de educación media y técnica corresponde igualmente a 18 millones de guaraníes en promedio a cada cooperadora, exclusivamente para el mejoramiento de infraestructura física (suma total de 1.087.600.609 guaraníes aproximadamente).</w:t>
      </w:r>
    </w:p>
    <w:p w:rsidR="00000000" w:rsidRDefault="00000000">
      <w:pPr>
        <w:spacing w:after="240"/>
        <w:ind w:left="567"/>
        <w:rPr>
          <w:b/>
          <w:bCs/>
          <w:color w:val="000000"/>
          <w:szCs w:val="28"/>
        </w:rPr>
      </w:pPr>
      <w:r>
        <w:rPr>
          <w:b/>
          <w:bCs/>
          <w:color w:val="000000"/>
          <w:szCs w:val="28"/>
        </w:rPr>
        <w:t>2.3.</w:t>
      </w:r>
      <w:r>
        <w:rPr>
          <w:b/>
          <w:bCs/>
          <w:color w:val="000000"/>
          <w:szCs w:val="28"/>
        </w:rPr>
        <w:tab/>
        <w:t xml:space="preserve">Calendario escolar </w:t>
      </w:r>
    </w:p>
    <w:p w:rsidR="00000000" w:rsidRDefault="00000000">
      <w:pPr>
        <w:autoSpaceDE w:val="0"/>
        <w:autoSpaceDN w:val="0"/>
        <w:adjustRightInd w:val="0"/>
        <w:spacing w:after="240"/>
        <w:rPr>
          <w:color w:val="000000"/>
        </w:rPr>
      </w:pPr>
      <w:r>
        <w:rPr>
          <w:color w:val="000000"/>
        </w:rPr>
        <w:t>579.</w:t>
      </w:r>
      <w:r>
        <w:rPr>
          <w:color w:val="000000"/>
        </w:rPr>
        <w:tab/>
        <w:t>El calendario escolar se establece teniendo en cuenta los siguientes artículos de la Ley general de educación Nº 1264:</w:t>
      </w:r>
    </w:p>
    <w:p w:rsidR="00000000" w:rsidRDefault="00000000">
      <w:pPr>
        <w:spacing w:after="240"/>
        <w:ind w:left="924" w:hanging="357"/>
        <w:rPr>
          <w:color w:val="000000"/>
        </w:rPr>
      </w:pPr>
      <w:r>
        <w:rPr>
          <w:b/>
          <w:bCs/>
          <w:color w:val="000000"/>
        </w:rPr>
        <w:t>-</w:t>
      </w:r>
      <w:r>
        <w:rPr>
          <w:b/>
          <w:bCs/>
          <w:color w:val="000000"/>
        </w:rPr>
        <w:tab/>
        <w:t xml:space="preserve">Artículo 114.  </w:t>
      </w:r>
      <w:r>
        <w:rPr>
          <w:color w:val="000000"/>
        </w:rPr>
        <w:t>El año lectivo en la educación escolar básica, media y profesional tendrá como mínimo 200 días laborales contando cada día con no menos de cuatro horas en los cuales no se incluyen los días de exámenes.</w:t>
      </w:r>
    </w:p>
    <w:p w:rsidR="00000000" w:rsidRDefault="00000000">
      <w:pPr>
        <w:spacing w:after="240"/>
        <w:ind w:left="924" w:hanging="357"/>
        <w:rPr>
          <w:color w:val="000000"/>
        </w:rPr>
      </w:pPr>
      <w:r>
        <w:rPr>
          <w:b/>
          <w:bCs/>
          <w:color w:val="000000"/>
        </w:rPr>
        <w:t>-</w:t>
      </w:r>
      <w:r>
        <w:rPr>
          <w:b/>
          <w:bCs/>
          <w:color w:val="000000"/>
        </w:rPr>
        <w:tab/>
        <w:t xml:space="preserve">Artículo 115.  </w:t>
      </w:r>
      <w:r>
        <w:rPr>
          <w:color w:val="000000"/>
        </w:rPr>
        <w:t>El Ministerio de Educación y Cultura determinará los aspectos relativos a la administración escolar en los centros educativos públicos y concertará con los centros educativos privados sobre los aspectos que, según las leyes vigentes, requieren de aprobación ministerial.  Fijará las fechas de admisión y matrícula de los centros educativos públicos, el calendario anual y el horario de trabajo diario para los diversos turnos y definirá los períodos escolares y los días de descanso.  Atenderá siempre con la diversidad de circunstancias, características y ciclos de producción y cosecha agrícola de los departamentos.</w:t>
      </w:r>
    </w:p>
    <w:p w:rsidR="00000000" w:rsidRDefault="00000000">
      <w:pPr>
        <w:spacing w:after="240"/>
        <w:jc w:val="center"/>
        <w:rPr>
          <w:b/>
          <w:bCs/>
          <w:color w:val="000000"/>
        </w:rPr>
      </w:pPr>
      <w:r>
        <w:rPr>
          <w:b/>
          <w:bCs/>
          <w:color w:val="000000"/>
        </w:rPr>
        <w:t>Resumen de días de clases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0"/>
        <w:gridCol w:w="4560"/>
      </w:tblGrid>
      <w:tr w:rsidR="00000000">
        <w:tblPrEx>
          <w:tblCellMar>
            <w:top w:w="0" w:type="dxa"/>
            <w:bottom w:w="0" w:type="dxa"/>
          </w:tblCellMar>
        </w:tblPrEx>
        <w:trPr>
          <w:jc w:val="center"/>
        </w:trPr>
        <w:tc>
          <w:tcPr>
            <w:tcW w:w="1630" w:type="dxa"/>
          </w:tcPr>
          <w:p w:rsidR="00000000" w:rsidRDefault="00000000">
            <w:pPr>
              <w:rPr>
                <w:color w:val="000000"/>
              </w:rPr>
            </w:pPr>
            <w:r>
              <w:rPr>
                <w:color w:val="000000"/>
              </w:rPr>
              <w:t>Febrero</w:t>
            </w:r>
          </w:p>
        </w:tc>
        <w:tc>
          <w:tcPr>
            <w:tcW w:w="4560" w:type="dxa"/>
          </w:tcPr>
          <w:p w:rsidR="00000000" w:rsidRDefault="00000000">
            <w:pPr>
              <w:rPr>
                <w:color w:val="000000"/>
              </w:rPr>
            </w:pPr>
            <w:r>
              <w:rPr>
                <w:color w:val="000000"/>
              </w:rPr>
              <w:t>6 (a partir del 21 de febrero)</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Marzo</w:t>
            </w:r>
          </w:p>
        </w:tc>
        <w:tc>
          <w:tcPr>
            <w:tcW w:w="4560" w:type="dxa"/>
          </w:tcPr>
          <w:p w:rsidR="00000000" w:rsidRDefault="00000000">
            <w:pPr>
              <w:rPr>
                <w:color w:val="000000"/>
              </w:rPr>
            </w:pPr>
            <w:r>
              <w:rPr>
                <w:color w:val="000000"/>
              </w:rPr>
              <w:t>20</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Abril</w:t>
            </w:r>
          </w:p>
        </w:tc>
        <w:tc>
          <w:tcPr>
            <w:tcW w:w="4560" w:type="dxa"/>
          </w:tcPr>
          <w:p w:rsidR="00000000" w:rsidRDefault="00000000">
            <w:pPr>
              <w:rPr>
                <w:color w:val="000000"/>
              </w:rPr>
            </w:pPr>
            <w:r>
              <w:rPr>
                <w:color w:val="000000"/>
              </w:rPr>
              <w:t>21</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Mayo</w:t>
            </w:r>
          </w:p>
        </w:tc>
        <w:tc>
          <w:tcPr>
            <w:tcW w:w="4560" w:type="dxa"/>
          </w:tcPr>
          <w:p w:rsidR="00000000" w:rsidRDefault="00000000">
            <w:pPr>
              <w:rPr>
                <w:color w:val="000000"/>
              </w:rPr>
            </w:pPr>
            <w:r>
              <w:rPr>
                <w:color w:val="000000"/>
              </w:rPr>
              <w:t>22</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Junio</w:t>
            </w:r>
          </w:p>
        </w:tc>
        <w:tc>
          <w:tcPr>
            <w:tcW w:w="4560" w:type="dxa"/>
          </w:tcPr>
          <w:p w:rsidR="00000000" w:rsidRDefault="00000000">
            <w:pPr>
              <w:rPr>
                <w:color w:val="000000"/>
              </w:rPr>
            </w:pPr>
            <w:r>
              <w:rPr>
                <w:color w:val="000000"/>
              </w:rPr>
              <w:t>22</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Julio</w:t>
            </w:r>
          </w:p>
        </w:tc>
        <w:tc>
          <w:tcPr>
            <w:tcW w:w="4560" w:type="dxa"/>
          </w:tcPr>
          <w:p w:rsidR="00000000" w:rsidRDefault="00000000">
            <w:pPr>
              <w:rPr>
                <w:color w:val="000000"/>
              </w:rPr>
            </w:pPr>
            <w:r>
              <w:rPr>
                <w:color w:val="000000"/>
              </w:rPr>
              <w:t>11 (dos semanas de receso de invierno)</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Agosto</w:t>
            </w:r>
          </w:p>
        </w:tc>
        <w:tc>
          <w:tcPr>
            <w:tcW w:w="4560" w:type="dxa"/>
          </w:tcPr>
          <w:p w:rsidR="00000000" w:rsidRDefault="00000000">
            <w:pPr>
              <w:rPr>
                <w:color w:val="000000"/>
              </w:rPr>
            </w:pPr>
            <w:r>
              <w:rPr>
                <w:color w:val="000000"/>
              </w:rPr>
              <w:t>22</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Septiembre</w:t>
            </w:r>
          </w:p>
        </w:tc>
        <w:tc>
          <w:tcPr>
            <w:tcW w:w="4560" w:type="dxa"/>
          </w:tcPr>
          <w:p w:rsidR="00000000" w:rsidRDefault="00000000">
            <w:pPr>
              <w:rPr>
                <w:color w:val="000000"/>
              </w:rPr>
            </w:pPr>
            <w:r>
              <w:rPr>
                <w:color w:val="000000"/>
              </w:rPr>
              <w:t>21</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Octubre</w:t>
            </w:r>
          </w:p>
        </w:tc>
        <w:tc>
          <w:tcPr>
            <w:tcW w:w="4560" w:type="dxa"/>
          </w:tcPr>
          <w:p w:rsidR="00000000" w:rsidRDefault="00000000">
            <w:pPr>
              <w:rPr>
                <w:color w:val="000000"/>
              </w:rPr>
            </w:pPr>
            <w:r>
              <w:rPr>
                <w:color w:val="000000"/>
              </w:rPr>
              <w:t>21</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Noviembre</w:t>
            </w:r>
          </w:p>
        </w:tc>
        <w:tc>
          <w:tcPr>
            <w:tcW w:w="4560" w:type="dxa"/>
          </w:tcPr>
          <w:p w:rsidR="00000000" w:rsidRDefault="00000000">
            <w:pPr>
              <w:rPr>
                <w:color w:val="000000"/>
              </w:rPr>
            </w:pPr>
            <w:r>
              <w:rPr>
                <w:color w:val="000000"/>
              </w:rPr>
              <w:t>22</w:t>
            </w:r>
          </w:p>
        </w:tc>
      </w:tr>
      <w:tr w:rsidR="00000000">
        <w:tblPrEx>
          <w:tblCellMar>
            <w:top w:w="0" w:type="dxa"/>
            <w:bottom w:w="0" w:type="dxa"/>
          </w:tblCellMar>
        </w:tblPrEx>
        <w:trPr>
          <w:jc w:val="center"/>
        </w:trPr>
        <w:tc>
          <w:tcPr>
            <w:tcW w:w="1630" w:type="dxa"/>
          </w:tcPr>
          <w:p w:rsidR="00000000" w:rsidRDefault="00000000">
            <w:pPr>
              <w:rPr>
                <w:color w:val="000000"/>
              </w:rPr>
            </w:pPr>
            <w:r>
              <w:rPr>
                <w:color w:val="000000"/>
              </w:rPr>
              <w:t>Diciembre</w:t>
            </w:r>
          </w:p>
        </w:tc>
        <w:tc>
          <w:tcPr>
            <w:tcW w:w="4560" w:type="dxa"/>
          </w:tcPr>
          <w:p w:rsidR="00000000" w:rsidRDefault="00000000">
            <w:pPr>
              <w:rPr>
                <w:color w:val="000000"/>
              </w:rPr>
            </w:pPr>
            <w:r>
              <w:rPr>
                <w:color w:val="000000"/>
              </w:rPr>
              <w:t>11 (hasta la 16ª evaluación complementaria)</w:t>
            </w:r>
          </w:p>
        </w:tc>
      </w:tr>
      <w:tr w:rsidR="00000000">
        <w:tblPrEx>
          <w:tblCellMar>
            <w:top w:w="0" w:type="dxa"/>
            <w:bottom w:w="0" w:type="dxa"/>
          </w:tblCellMar>
        </w:tblPrEx>
        <w:trPr>
          <w:jc w:val="center"/>
        </w:trPr>
        <w:tc>
          <w:tcPr>
            <w:tcW w:w="1630" w:type="dxa"/>
          </w:tcPr>
          <w:p w:rsidR="00000000" w:rsidRDefault="00000000">
            <w:pPr>
              <w:tabs>
                <w:tab w:val="left" w:pos="268"/>
              </w:tabs>
              <w:rPr>
                <w:b/>
                <w:bCs/>
                <w:color w:val="000000"/>
              </w:rPr>
            </w:pPr>
            <w:r>
              <w:rPr>
                <w:b/>
                <w:bCs/>
                <w:color w:val="000000"/>
              </w:rPr>
              <w:tab/>
              <w:t>Total</w:t>
            </w:r>
          </w:p>
        </w:tc>
        <w:tc>
          <w:tcPr>
            <w:tcW w:w="4560" w:type="dxa"/>
          </w:tcPr>
          <w:p w:rsidR="00000000" w:rsidRDefault="00000000">
            <w:pPr>
              <w:rPr>
                <w:b/>
                <w:bCs/>
                <w:color w:val="000000"/>
              </w:rPr>
            </w:pPr>
            <w:r>
              <w:rPr>
                <w:b/>
                <w:bCs/>
                <w:color w:val="000000"/>
              </w:rPr>
              <w:t>199</w:t>
            </w:r>
          </w:p>
        </w:tc>
      </w:tr>
    </w:tbl>
    <w:p w:rsidR="00000000" w:rsidRDefault="00000000">
      <w:pPr>
        <w:pStyle w:val="BodyText"/>
        <w:spacing w:before="480"/>
        <w:ind w:right="-62"/>
        <w:jc w:val="left"/>
        <w:rPr>
          <w:b/>
        </w:rPr>
      </w:pPr>
      <w:r>
        <w:rPr>
          <w:b/>
        </w:rPr>
        <w:t>3.</w:t>
      </w:r>
      <w:r>
        <w:rPr>
          <w:b/>
        </w:rPr>
        <w:tab/>
        <w:t>Acceso a la alfabetización</w:t>
      </w:r>
    </w:p>
    <w:p w:rsidR="00000000" w:rsidRDefault="00000000">
      <w:pPr>
        <w:autoSpaceDE w:val="0"/>
        <w:autoSpaceDN w:val="0"/>
        <w:adjustRightInd w:val="0"/>
        <w:spacing w:after="240"/>
      </w:pPr>
      <w:r>
        <w:t>580.</w:t>
      </w:r>
      <w:r>
        <w:tab/>
        <w:t>La tasa de acceso al sistema educativo nos permite identificar el número de niños(as) que ingresan por primera vez a un nivel determinado como porcentaje de aquellos niños(as) que tienen derecho a ser admitidos.  En cuanto a la tasa bruta de admisión al primer grado de la educación escolar básica, es superior al 100% (129%, año 2004).  Esto demuestra que el sistema posee capacidad suficiente para absorber a toda la población en la edad oficial establecida.  El índice superior al 100% evidencia igualmente que existen niños(as) con extraedad en el sistema.</w:t>
      </w:r>
    </w:p>
    <w:p w:rsidR="00000000" w:rsidRDefault="00000000">
      <w:pPr>
        <w:autoSpaceDE w:val="0"/>
        <w:autoSpaceDN w:val="0"/>
        <w:adjustRightInd w:val="0"/>
        <w:spacing w:after="240"/>
        <w:rPr>
          <w:szCs w:val="20"/>
        </w:rPr>
      </w:pPr>
      <w:r>
        <w:rPr>
          <w:szCs w:val="20"/>
        </w:rPr>
        <w:t>581.</w:t>
      </w:r>
      <w:r>
        <w:rPr>
          <w:szCs w:val="20"/>
        </w:rPr>
        <w:tab/>
        <w:t xml:space="preserve">En cuanto a la matriculación, se registraron incrementos significativos en todos los niveles educativos, siendo en el nivel medio y preescolar donde se observa el mayor crecimiento </w:t>
      </w:r>
      <w:r>
        <w:t>porcentual,</w:t>
      </w:r>
      <w:r>
        <w:rPr>
          <w:szCs w:val="20"/>
        </w:rPr>
        <w:t xml:space="preserve"> 177 y 137%, respectivamente, en el período 1994-2004.</w:t>
      </w:r>
    </w:p>
    <w:p w:rsidR="00000000" w:rsidRDefault="00000000">
      <w:pPr>
        <w:autoSpaceDE w:val="0"/>
        <w:autoSpaceDN w:val="0"/>
        <w:adjustRightInd w:val="0"/>
        <w:spacing w:after="200"/>
        <w:jc w:val="center"/>
        <w:rPr>
          <w:b/>
          <w:bCs/>
          <w:sz w:val="20"/>
          <w:szCs w:val="20"/>
        </w:rPr>
      </w:pPr>
      <w:r>
        <w:rPr>
          <w:b/>
          <w:bCs/>
          <w:sz w:val="20"/>
          <w:szCs w:val="20"/>
        </w:rPr>
        <w:t>Matrícula por nivel y sexo, 1994-2004</w:t>
      </w:r>
    </w:p>
    <w:tbl>
      <w:tblPr>
        <w:tblW w:w="50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34"/>
        <w:gridCol w:w="840"/>
        <w:gridCol w:w="959"/>
        <w:gridCol w:w="1080"/>
        <w:gridCol w:w="961"/>
        <w:gridCol w:w="959"/>
        <w:gridCol w:w="959"/>
        <w:gridCol w:w="961"/>
        <w:gridCol w:w="802"/>
      </w:tblGrid>
      <w:tr w:rsidR="00000000">
        <w:trPr>
          <w:cantSplit/>
          <w:trHeight w:val="20"/>
          <w:tblHeader/>
          <w:jc w:val="center"/>
        </w:trPr>
        <w:tc>
          <w:tcPr>
            <w:tcW w:w="1023" w:type="pct"/>
            <w:vMerge w:val="restart"/>
            <w:noWrap/>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Año</w:t>
            </w:r>
          </w:p>
        </w:tc>
        <w:tc>
          <w:tcPr>
            <w:tcW w:w="951" w:type="pct"/>
            <w:gridSpan w:val="2"/>
            <w:vMerge w:val="restart"/>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Preescolar</w:t>
            </w:r>
          </w:p>
        </w:tc>
        <w:tc>
          <w:tcPr>
            <w:tcW w:w="2093" w:type="pct"/>
            <w:gridSpan w:val="4"/>
            <w:tcMar>
              <w:top w:w="15" w:type="dxa"/>
              <w:left w:w="15" w:type="dxa"/>
              <w:bottom w:w="0" w:type="dxa"/>
              <w:right w:w="15" w:type="dxa"/>
            </w:tcMar>
            <w:vAlign w:val="center"/>
          </w:tcPr>
          <w:p w:rsidR="00000000" w:rsidRDefault="00000000">
            <w:pPr>
              <w:jc w:val="center"/>
              <w:rPr>
                <w:b/>
                <w:bCs/>
                <w:sz w:val="20"/>
              </w:rPr>
            </w:pPr>
            <w:r>
              <w:rPr>
                <w:b/>
                <w:bCs/>
                <w:sz w:val="20"/>
              </w:rPr>
              <w:t>Educación escolar básica</w:t>
            </w:r>
          </w:p>
        </w:tc>
        <w:tc>
          <w:tcPr>
            <w:tcW w:w="932" w:type="pct"/>
            <w:gridSpan w:val="2"/>
            <w:vMerge w:val="restart"/>
            <w:vAlign w:val="center"/>
          </w:tcPr>
          <w:p w:rsidR="00000000" w:rsidRDefault="00000000">
            <w:pPr>
              <w:jc w:val="center"/>
              <w:rPr>
                <w:b/>
                <w:bCs/>
                <w:sz w:val="20"/>
              </w:rPr>
            </w:pPr>
            <w:r>
              <w:rPr>
                <w:b/>
                <w:bCs/>
                <w:sz w:val="20"/>
              </w:rPr>
              <w:t>Educación media</w:t>
            </w:r>
          </w:p>
        </w:tc>
      </w:tr>
      <w:tr w:rsidR="00000000">
        <w:trPr>
          <w:cantSplit/>
          <w:trHeight w:val="20"/>
          <w:tblHeader/>
          <w:jc w:val="center"/>
        </w:trPr>
        <w:tc>
          <w:tcPr>
            <w:tcW w:w="1023" w:type="pct"/>
            <w:vMerge/>
            <w:vAlign w:val="center"/>
          </w:tcPr>
          <w:p w:rsidR="00000000" w:rsidRDefault="00000000">
            <w:pPr>
              <w:jc w:val="center"/>
              <w:rPr>
                <w:rFonts w:eastAsia="Arial Unicode MS"/>
                <w:b/>
                <w:bCs/>
                <w:sz w:val="20"/>
              </w:rPr>
            </w:pPr>
          </w:p>
        </w:tc>
        <w:tc>
          <w:tcPr>
            <w:tcW w:w="951" w:type="pct"/>
            <w:gridSpan w:val="2"/>
            <w:vMerge/>
            <w:vAlign w:val="center"/>
          </w:tcPr>
          <w:p w:rsidR="00000000" w:rsidRDefault="00000000">
            <w:pPr>
              <w:jc w:val="center"/>
              <w:rPr>
                <w:rFonts w:eastAsia="Arial Unicode MS"/>
                <w:b/>
                <w:bCs/>
                <w:sz w:val="20"/>
              </w:rPr>
            </w:pPr>
          </w:p>
        </w:tc>
        <w:tc>
          <w:tcPr>
            <w:tcW w:w="1079" w:type="pct"/>
            <w:gridSpan w:val="2"/>
            <w:noWrap/>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1</w:t>
            </w:r>
            <w:r>
              <w:rPr>
                <w:b/>
                <w:bCs/>
                <w:sz w:val="20"/>
                <w:vertAlign w:val="superscript"/>
              </w:rPr>
              <w:t>er</w:t>
            </w:r>
            <w:r>
              <w:rPr>
                <w:b/>
                <w:bCs/>
                <w:sz w:val="20"/>
              </w:rPr>
              <w:t xml:space="preserve"> y 2° ciclo</w:t>
            </w:r>
          </w:p>
        </w:tc>
        <w:tc>
          <w:tcPr>
            <w:tcW w:w="1014" w:type="pct"/>
            <w:gridSpan w:val="2"/>
            <w:vAlign w:val="center"/>
          </w:tcPr>
          <w:p w:rsidR="00000000" w:rsidRDefault="00000000">
            <w:pPr>
              <w:jc w:val="center"/>
              <w:rPr>
                <w:rFonts w:eastAsia="Arial Unicode MS"/>
                <w:b/>
                <w:bCs/>
                <w:sz w:val="20"/>
              </w:rPr>
            </w:pPr>
            <w:r>
              <w:rPr>
                <w:b/>
                <w:bCs/>
                <w:sz w:val="20"/>
              </w:rPr>
              <w:t>3</w:t>
            </w:r>
            <w:r>
              <w:rPr>
                <w:b/>
                <w:bCs/>
                <w:sz w:val="20"/>
                <w:vertAlign w:val="superscript"/>
              </w:rPr>
              <w:t>er</w:t>
            </w:r>
            <w:r>
              <w:rPr>
                <w:b/>
                <w:bCs/>
                <w:sz w:val="20"/>
              </w:rPr>
              <w:t xml:space="preserve"> ciclo</w:t>
            </w:r>
          </w:p>
        </w:tc>
        <w:tc>
          <w:tcPr>
            <w:tcW w:w="932" w:type="pct"/>
            <w:gridSpan w:val="2"/>
            <w:vMerge/>
            <w:vAlign w:val="center"/>
          </w:tcPr>
          <w:p w:rsidR="00000000" w:rsidRDefault="00000000">
            <w:pPr>
              <w:jc w:val="center"/>
              <w:rPr>
                <w:rFonts w:eastAsia="Arial Unicode MS"/>
                <w:b/>
                <w:bCs/>
                <w:sz w:val="20"/>
              </w:rPr>
            </w:pPr>
          </w:p>
        </w:tc>
      </w:tr>
      <w:tr w:rsidR="00000000">
        <w:trPr>
          <w:cantSplit/>
          <w:trHeight w:val="20"/>
          <w:tblHeader/>
          <w:jc w:val="center"/>
        </w:trPr>
        <w:tc>
          <w:tcPr>
            <w:tcW w:w="1023" w:type="pct"/>
            <w:vMerge/>
            <w:vAlign w:val="center"/>
          </w:tcPr>
          <w:p w:rsidR="00000000" w:rsidRDefault="00000000">
            <w:pPr>
              <w:jc w:val="center"/>
              <w:rPr>
                <w:rFonts w:eastAsia="Arial Unicode MS"/>
                <w:b/>
                <w:bCs/>
                <w:sz w:val="20"/>
              </w:rPr>
            </w:pPr>
          </w:p>
        </w:tc>
        <w:tc>
          <w:tcPr>
            <w:tcW w:w="444" w:type="pct"/>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Hombres</w:t>
            </w:r>
          </w:p>
        </w:tc>
        <w:tc>
          <w:tcPr>
            <w:tcW w:w="507" w:type="pct"/>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Mujeres</w:t>
            </w:r>
          </w:p>
        </w:tc>
        <w:tc>
          <w:tcPr>
            <w:tcW w:w="571" w:type="pct"/>
            <w:vAlign w:val="center"/>
          </w:tcPr>
          <w:p w:rsidR="00000000" w:rsidRDefault="00000000">
            <w:pPr>
              <w:jc w:val="center"/>
              <w:rPr>
                <w:rFonts w:eastAsia="Arial Unicode MS"/>
                <w:b/>
                <w:bCs/>
                <w:sz w:val="20"/>
              </w:rPr>
            </w:pPr>
            <w:r>
              <w:rPr>
                <w:b/>
                <w:bCs/>
                <w:sz w:val="20"/>
              </w:rPr>
              <w:t>Hombres</w:t>
            </w:r>
          </w:p>
        </w:tc>
        <w:tc>
          <w:tcPr>
            <w:tcW w:w="508" w:type="pct"/>
            <w:vAlign w:val="center"/>
          </w:tcPr>
          <w:p w:rsidR="00000000" w:rsidRDefault="00000000">
            <w:pPr>
              <w:jc w:val="center"/>
              <w:rPr>
                <w:rFonts w:eastAsia="Arial Unicode MS"/>
                <w:b/>
                <w:bCs/>
                <w:sz w:val="20"/>
              </w:rPr>
            </w:pPr>
            <w:r>
              <w:rPr>
                <w:b/>
                <w:bCs/>
                <w:sz w:val="20"/>
              </w:rPr>
              <w:t>Mujeres</w:t>
            </w:r>
          </w:p>
        </w:tc>
        <w:tc>
          <w:tcPr>
            <w:tcW w:w="507" w:type="pct"/>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Hombres</w:t>
            </w:r>
          </w:p>
        </w:tc>
        <w:tc>
          <w:tcPr>
            <w:tcW w:w="507" w:type="pct"/>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Mujeres</w:t>
            </w:r>
          </w:p>
        </w:tc>
        <w:tc>
          <w:tcPr>
            <w:tcW w:w="508" w:type="pct"/>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Hombres</w:t>
            </w:r>
          </w:p>
        </w:tc>
        <w:tc>
          <w:tcPr>
            <w:tcW w:w="424" w:type="pct"/>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Mujeres</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1994</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26.056</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25.615</w:t>
            </w:r>
          </w:p>
        </w:tc>
        <w:tc>
          <w:tcPr>
            <w:tcW w:w="571" w:type="pct"/>
            <w:vAlign w:val="bottom"/>
          </w:tcPr>
          <w:p w:rsidR="00000000" w:rsidRDefault="00000000">
            <w:pPr>
              <w:ind w:right="170"/>
              <w:jc w:val="right"/>
              <w:rPr>
                <w:rFonts w:eastAsia="Arial Unicode MS"/>
                <w:color w:val="000000"/>
                <w:sz w:val="20"/>
              </w:rPr>
            </w:pPr>
            <w:r>
              <w:rPr>
                <w:color w:val="000000"/>
                <w:sz w:val="20"/>
              </w:rPr>
              <w:t>431.189</w:t>
            </w:r>
          </w:p>
        </w:tc>
        <w:tc>
          <w:tcPr>
            <w:tcW w:w="508" w:type="pct"/>
            <w:vAlign w:val="bottom"/>
          </w:tcPr>
          <w:p w:rsidR="00000000" w:rsidRDefault="00000000">
            <w:pPr>
              <w:ind w:right="113"/>
              <w:jc w:val="right"/>
              <w:rPr>
                <w:rFonts w:eastAsia="Arial Unicode MS"/>
                <w:sz w:val="20"/>
              </w:rPr>
            </w:pPr>
            <w:r>
              <w:rPr>
                <w:sz w:val="20"/>
              </w:rPr>
              <w:t>403.900</w:t>
            </w:r>
          </w:p>
        </w:tc>
        <w:tc>
          <w:tcPr>
            <w:tcW w:w="507" w:type="pct"/>
            <w:noWrap/>
            <w:tcMar>
              <w:top w:w="15" w:type="dxa"/>
              <w:left w:w="15" w:type="dxa"/>
              <w:bottom w:w="0" w:type="dxa"/>
              <w:right w:w="15" w:type="dxa"/>
            </w:tcMar>
            <w:vAlign w:val="center"/>
          </w:tcPr>
          <w:p w:rsidR="00000000" w:rsidRDefault="00000000">
            <w:pPr>
              <w:ind w:right="135"/>
              <w:jc w:val="right"/>
              <w:rPr>
                <w:rFonts w:eastAsia="Arial Unicode MS"/>
                <w:sz w:val="20"/>
              </w:rPr>
            </w:pPr>
            <w:r>
              <w:rPr>
                <w:sz w:val="20"/>
              </w:rPr>
              <w:t>79.721</w:t>
            </w:r>
          </w:p>
        </w:tc>
        <w:tc>
          <w:tcPr>
            <w:tcW w:w="507" w:type="pct"/>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79.954</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35.727</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40.512</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1995</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29.933</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29.680</w:t>
            </w:r>
          </w:p>
        </w:tc>
        <w:tc>
          <w:tcPr>
            <w:tcW w:w="571" w:type="pct"/>
            <w:vAlign w:val="bottom"/>
          </w:tcPr>
          <w:p w:rsidR="00000000" w:rsidRDefault="00000000">
            <w:pPr>
              <w:ind w:right="170"/>
              <w:jc w:val="right"/>
              <w:rPr>
                <w:rFonts w:eastAsia="Arial Unicode MS"/>
                <w:color w:val="000000"/>
                <w:sz w:val="20"/>
              </w:rPr>
            </w:pPr>
            <w:r>
              <w:rPr>
                <w:color w:val="000000"/>
                <w:sz w:val="20"/>
              </w:rPr>
              <w:t>449.050</w:t>
            </w:r>
          </w:p>
        </w:tc>
        <w:tc>
          <w:tcPr>
            <w:tcW w:w="508" w:type="pct"/>
            <w:vAlign w:val="bottom"/>
          </w:tcPr>
          <w:p w:rsidR="00000000" w:rsidRDefault="00000000">
            <w:pPr>
              <w:ind w:right="113"/>
              <w:jc w:val="right"/>
              <w:rPr>
                <w:rFonts w:eastAsia="Arial Unicode MS"/>
                <w:sz w:val="20"/>
              </w:rPr>
            </w:pPr>
            <w:r>
              <w:rPr>
                <w:sz w:val="20"/>
              </w:rPr>
              <w:t>420.553</w:t>
            </w:r>
          </w:p>
        </w:tc>
        <w:tc>
          <w:tcPr>
            <w:tcW w:w="507" w:type="pct"/>
            <w:noWrap/>
            <w:tcMar>
              <w:top w:w="15" w:type="dxa"/>
              <w:left w:w="15" w:type="dxa"/>
              <w:bottom w:w="0" w:type="dxa"/>
              <w:right w:w="15" w:type="dxa"/>
            </w:tcMar>
            <w:vAlign w:val="bottom"/>
          </w:tcPr>
          <w:p w:rsidR="00000000" w:rsidRDefault="00000000">
            <w:pPr>
              <w:ind w:right="135"/>
              <w:jc w:val="right"/>
              <w:rPr>
                <w:rFonts w:eastAsia="Arial Unicode MS"/>
                <w:sz w:val="20"/>
              </w:rPr>
            </w:pPr>
            <w:r>
              <w:rPr>
                <w:sz w:val="20"/>
              </w:rPr>
              <w:t>85.824</w:t>
            </w:r>
          </w:p>
        </w:tc>
        <w:tc>
          <w:tcPr>
            <w:tcW w:w="507" w:type="pct"/>
            <w:noWrap/>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86.856</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38.357</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43.969</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1996</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37.377</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37.336</w:t>
            </w:r>
          </w:p>
        </w:tc>
        <w:tc>
          <w:tcPr>
            <w:tcW w:w="571" w:type="pct"/>
            <w:vAlign w:val="bottom"/>
          </w:tcPr>
          <w:p w:rsidR="00000000" w:rsidRDefault="00000000">
            <w:pPr>
              <w:ind w:right="170"/>
              <w:jc w:val="right"/>
              <w:rPr>
                <w:rFonts w:eastAsia="Arial Unicode MS"/>
                <w:color w:val="000000"/>
                <w:sz w:val="20"/>
              </w:rPr>
            </w:pPr>
            <w:r>
              <w:rPr>
                <w:color w:val="000000"/>
                <w:sz w:val="20"/>
              </w:rPr>
              <w:t>461.657</w:t>
            </w:r>
          </w:p>
        </w:tc>
        <w:tc>
          <w:tcPr>
            <w:tcW w:w="508" w:type="pct"/>
            <w:vAlign w:val="center"/>
          </w:tcPr>
          <w:p w:rsidR="00000000" w:rsidRDefault="00000000">
            <w:pPr>
              <w:ind w:right="113"/>
              <w:jc w:val="right"/>
              <w:rPr>
                <w:rFonts w:eastAsia="Arial Unicode MS"/>
                <w:sz w:val="20"/>
              </w:rPr>
            </w:pPr>
            <w:r>
              <w:rPr>
                <w:sz w:val="20"/>
              </w:rPr>
              <w:t>434.120</w:t>
            </w:r>
          </w:p>
        </w:tc>
        <w:tc>
          <w:tcPr>
            <w:tcW w:w="507" w:type="pct"/>
            <w:noWrap/>
            <w:tcMar>
              <w:top w:w="15" w:type="dxa"/>
              <w:left w:w="15" w:type="dxa"/>
              <w:bottom w:w="0" w:type="dxa"/>
              <w:right w:w="15" w:type="dxa"/>
            </w:tcMar>
            <w:vAlign w:val="center"/>
          </w:tcPr>
          <w:p w:rsidR="00000000" w:rsidRDefault="00000000">
            <w:pPr>
              <w:ind w:right="135"/>
              <w:jc w:val="right"/>
              <w:rPr>
                <w:rFonts w:eastAsia="Arial Unicode MS"/>
                <w:sz w:val="20"/>
              </w:rPr>
            </w:pPr>
            <w:r>
              <w:rPr>
                <w:sz w:val="20"/>
              </w:rPr>
              <w:t>96.141</w:t>
            </w:r>
          </w:p>
        </w:tc>
        <w:tc>
          <w:tcPr>
            <w:tcW w:w="507" w:type="pct"/>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95.765</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47.631</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52.795</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1997</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43.998</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43.668</w:t>
            </w:r>
          </w:p>
        </w:tc>
        <w:tc>
          <w:tcPr>
            <w:tcW w:w="571" w:type="pct"/>
            <w:vAlign w:val="bottom"/>
          </w:tcPr>
          <w:p w:rsidR="00000000" w:rsidRDefault="00000000">
            <w:pPr>
              <w:ind w:right="170"/>
              <w:jc w:val="right"/>
              <w:rPr>
                <w:rFonts w:eastAsia="Arial Unicode MS"/>
                <w:color w:val="000000"/>
                <w:sz w:val="20"/>
              </w:rPr>
            </w:pPr>
            <w:r>
              <w:rPr>
                <w:color w:val="000000"/>
                <w:sz w:val="20"/>
              </w:rPr>
              <w:t>466.682</w:t>
            </w:r>
          </w:p>
        </w:tc>
        <w:tc>
          <w:tcPr>
            <w:tcW w:w="508" w:type="pct"/>
            <w:vAlign w:val="bottom"/>
          </w:tcPr>
          <w:p w:rsidR="00000000" w:rsidRDefault="00000000">
            <w:pPr>
              <w:ind w:right="113"/>
              <w:jc w:val="right"/>
              <w:rPr>
                <w:rFonts w:eastAsia="Arial Unicode MS"/>
                <w:sz w:val="20"/>
              </w:rPr>
            </w:pPr>
            <w:r>
              <w:rPr>
                <w:sz w:val="20"/>
              </w:rPr>
              <w:t>439.131</w:t>
            </w:r>
          </w:p>
        </w:tc>
        <w:tc>
          <w:tcPr>
            <w:tcW w:w="507" w:type="pct"/>
            <w:noWrap/>
            <w:tcMar>
              <w:top w:w="15" w:type="dxa"/>
              <w:left w:w="15" w:type="dxa"/>
              <w:bottom w:w="0" w:type="dxa"/>
              <w:right w:w="15" w:type="dxa"/>
            </w:tcMar>
            <w:vAlign w:val="bottom"/>
          </w:tcPr>
          <w:p w:rsidR="00000000" w:rsidRDefault="00000000">
            <w:pPr>
              <w:ind w:right="135"/>
              <w:jc w:val="right"/>
              <w:rPr>
                <w:rFonts w:eastAsia="Arial Unicode MS"/>
                <w:sz w:val="20"/>
              </w:rPr>
            </w:pPr>
            <w:r>
              <w:rPr>
                <w:sz w:val="20"/>
              </w:rPr>
              <w:t>109.403</w:t>
            </w:r>
          </w:p>
        </w:tc>
        <w:tc>
          <w:tcPr>
            <w:tcW w:w="507" w:type="pct"/>
            <w:noWrap/>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107.306</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52.592</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58.474</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1998</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48.457</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48.319</w:t>
            </w:r>
          </w:p>
        </w:tc>
        <w:tc>
          <w:tcPr>
            <w:tcW w:w="571" w:type="pct"/>
            <w:vAlign w:val="bottom"/>
          </w:tcPr>
          <w:p w:rsidR="00000000" w:rsidRDefault="00000000">
            <w:pPr>
              <w:ind w:right="170"/>
              <w:jc w:val="right"/>
              <w:rPr>
                <w:rFonts w:eastAsia="Arial Unicode MS"/>
                <w:color w:val="000000"/>
                <w:sz w:val="20"/>
              </w:rPr>
            </w:pPr>
            <w:r>
              <w:rPr>
                <w:color w:val="000000"/>
                <w:sz w:val="20"/>
              </w:rPr>
              <w:t>479.927</w:t>
            </w:r>
          </w:p>
        </w:tc>
        <w:tc>
          <w:tcPr>
            <w:tcW w:w="508" w:type="pct"/>
            <w:vAlign w:val="center"/>
          </w:tcPr>
          <w:p w:rsidR="00000000" w:rsidRDefault="00000000">
            <w:pPr>
              <w:ind w:right="113"/>
              <w:jc w:val="right"/>
              <w:rPr>
                <w:rFonts w:eastAsia="Arial Unicode MS"/>
                <w:sz w:val="20"/>
              </w:rPr>
            </w:pPr>
            <w:r>
              <w:rPr>
                <w:sz w:val="20"/>
              </w:rPr>
              <w:t>453.362</w:t>
            </w:r>
          </w:p>
        </w:tc>
        <w:tc>
          <w:tcPr>
            <w:tcW w:w="507" w:type="pct"/>
            <w:noWrap/>
            <w:tcMar>
              <w:top w:w="15" w:type="dxa"/>
              <w:left w:w="15" w:type="dxa"/>
              <w:bottom w:w="0" w:type="dxa"/>
              <w:right w:w="15" w:type="dxa"/>
            </w:tcMar>
            <w:vAlign w:val="center"/>
          </w:tcPr>
          <w:p w:rsidR="00000000" w:rsidRDefault="00000000">
            <w:pPr>
              <w:ind w:right="135"/>
              <w:jc w:val="right"/>
              <w:rPr>
                <w:rFonts w:eastAsia="Arial Unicode MS"/>
                <w:sz w:val="20"/>
              </w:rPr>
            </w:pPr>
            <w:r>
              <w:rPr>
                <w:sz w:val="20"/>
              </w:rPr>
              <w:t>116.670</w:t>
            </w:r>
          </w:p>
        </w:tc>
        <w:tc>
          <w:tcPr>
            <w:tcW w:w="507" w:type="pct"/>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113.961</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59.588</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64.996</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1999</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53.859</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53.426</w:t>
            </w:r>
          </w:p>
        </w:tc>
        <w:tc>
          <w:tcPr>
            <w:tcW w:w="571" w:type="pct"/>
            <w:vAlign w:val="bottom"/>
          </w:tcPr>
          <w:p w:rsidR="00000000" w:rsidRDefault="00000000">
            <w:pPr>
              <w:ind w:right="170"/>
              <w:jc w:val="right"/>
              <w:rPr>
                <w:rFonts w:eastAsia="Arial Unicode MS"/>
                <w:color w:val="000000"/>
                <w:sz w:val="20"/>
              </w:rPr>
            </w:pPr>
            <w:r>
              <w:rPr>
                <w:color w:val="000000"/>
                <w:sz w:val="20"/>
              </w:rPr>
              <w:t>481.055</w:t>
            </w:r>
          </w:p>
        </w:tc>
        <w:tc>
          <w:tcPr>
            <w:tcW w:w="508" w:type="pct"/>
            <w:vAlign w:val="bottom"/>
          </w:tcPr>
          <w:p w:rsidR="00000000" w:rsidRDefault="00000000">
            <w:pPr>
              <w:ind w:right="113"/>
              <w:jc w:val="right"/>
              <w:rPr>
                <w:rFonts w:eastAsia="Arial Unicode MS"/>
                <w:sz w:val="20"/>
              </w:rPr>
            </w:pPr>
            <w:r>
              <w:rPr>
                <w:sz w:val="20"/>
              </w:rPr>
              <w:t>451.943</w:t>
            </w:r>
          </w:p>
        </w:tc>
        <w:tc>
          <w:tcPr>
            <w:tcW w:w="507" w:type="pct"/>
            <w:noWrap/>
            <w:tcMar>
              <w:top w:w="15" w:type="dxa"/>
              <w:left w:w="15" w:type="dxa"/>
              <w:bottom w:w="0" w:type="dxa"/>
              <w:right w:w="15" w:type="dxa"/>
            </w:tcMar>
            <w:vAlign w:val="bottom"/>
          </w:tcPr>
          <w:p w:rsidR="00000000" w:rsidRDefault="00000000">
            <w:pPr>
              <w:ind w:right="135"/>
              <w:jc w:val="right"/>
              <w:rPr>
                <w:rFonts w:eastAsia="Arial Unicode MS"/>
                <w:sz w:val="20"/>
              </w:rPr>
            </w:pPr>
            <w:r>
              <w:rPr>
                <w:sz w:val="20"/>
              </w:rPr>
              <w:t>127.720</w:t>
            </w:r>
          </w:p>
        </w:tc>
        <w:tc>
          <w:tcPr>
            <w:tcW w:w="507" w:type="pct"/>
            <w:noWrap/>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125.532</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68.339</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72.455</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2000</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57.806</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56.710</w:t>
            </w:r>
          </w:p>
        </w:tc>
        <w:tc>
          <w:tcPr>
            <w:tcW w:w="571" w:type="pct"/>
            <w:vAlign w:val="bottom"/>
          </w:tcPr>
          <w:p w:rsidR="00000000" w:rsidRDefault="00000000">
            <w:pPr>
              <w:ind w:right="170"/>
              <w:jc w:val="right"/>
              <w:rPr>
                <w:rFonts w:eastAsia="Arial Unicode MS"/>
                <w:color w:val="000000"/>
                <w:sz w:val="20"/>
              </w:rPr>
            </w:pPr>
            <w:r>
              <w:rPr>
                <w:color w:val="000000"/>
                <w:sz w:val="20"/>
              </w:rPr>
              <w:t>489.171</w:t>
            </w:r>
          </w:p>
        </w:tc>
        <w:tc>
          <w:tcPr>
            <w:tcW w:w="508" w:type="pct"/>
            <w:vAlign w:val="center"/>
          </w:tcPr>
          <w:p w:rsidR="00000000" w:rsidRDefault="00000000">
            <w:pPr>
              <w:ind w:right="113"/>
              <w:jc w:val="right"/>
              <w:rPr>
                <w:rFonts w:eastAsia="Arial Unicode MS"/>
                <w:sz w:val="20"/>
              </w:rPr>
            </w:pPr>
            <w:r>
              <w:rPr>
                <w:sz w:val="20"/>
              </w:rPr>
              <w:t>459.038</w:t>
            </w:r>
          </w:p>
        </w:tc>
        <w:tc>
          <w:tcPr>
            <w:tcW w:w="507" w:type="pct"/>
            <w:noWrap/>
            <w:tcMar>
              <w:top w:w="15" w:type="dxa"/>
              <w:left w:w="15" w:type="dxa"/>
              <w:bottom w:w="0" w:type="dxa"/>
              <w:right w:w="15" w:type="dxa"/>
            </w:tcMar>
            <w:vAlign w:val="center"/>
          </w:tcPr>
          <w:p w:rsidR="00000000" w:rsidRDefault="00000000">
            <w:pPr>
              <w:ind w:right="135"/>
              <w:jc w:val="right"/>
              <w:rPr>
                <w:rFonts w:eastAsia="Arial Unicode MS"/>
                <w:sz w:val="20"/>
              </w:rPr>
            </w:pPr>
            <w:r>
              <w:rPr>
                <w:sz w:val="20"/>
              </w:rPr>
              <w:t>136.534</w:t>
            </w:r>
          </w:p>
        </w:tc>
        <w:tc>
          <w:tcPr>
            <w:tcW w:w="507" w:type="pct"/>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134.288</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75.251</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77.947</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2001</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60.337</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59.197</w:t>
            </w:r>
          </w:p>
        </w:tc>
        <w:tc>
          <w:tcPr>
            <w:tcW w:w="571" w:type="pct"/>
            <w:vAlign w:val="bottom"/>
          </w:tcPr>
          <w:p w:rsidR="00000000" w:rsidRDefault="00000000">
            <w:pPr>
              <w:ind w:right="170"/>
              <w:jc w:val="right"/>
              <w:rPr>
                <w:rFonts w:eastAsia="Arial Unicode MS"/>
                <w:color w:val="000000"/>
                <w:sz w:val="20"/>
              </w:rPr>
            </w:pPr>
            <w:r>
              <w:rPr>
                <w:color w:val="000000"/>
                <w:sz w:val="20"/>
              </w:rPr>
              <w:t>489.510</w:t>
            </w:r>
          </w:p>
        </w:tc>
        <w:tc>
          <w:tcPr>
            <w:tcW w:w="508" w:type="pct"/>
            <w:vAlign w:val="center"/>
          </w:tcPr>
          <w:p w:rsidR="00000000" w:rsidRDefault="00000000">
            <w:pPr>
              <w:ind w:right="113"/>
              <w:jc w:val="right"/>
              <w:rPr>
                <w:rFonts w:eastAsia="Arial Unicode MS"/>
                <w:sz w:val="20"/>
              </w:rPr>
            </w:pPr>
            <w:r>
              <w:rPr>
                <w:sz w:val="20"/>
              </w:rPr>
              <w:t>459.173</w:t>
            </w:r>
          </w:p>
        </w:tc>
        <w:tc>
          <w:tcPr>
            <w:tcW w:w="507" w:type="pct"/>
            <w:noWrap/>
            <w:tcMar>
              <w:top w:w="15" w:type="dxa"/>
              <w:left w:w="15" w:type="dxa"/>
              <w:bottom w:w="0" w:type="dxa"/>
              <w:right w:w="15" w:type="dxa"/>
            </w:tcMar>
            <w:vAlign w:val="center"/>
          </w:tcPr>
          <w:p w:rsidR="00000000" w:rsidRDefault="00000000">
            <w:pPr>
              <w:ind w:right="135"/>
              <w:jc w:val="right"/>
              <w:rPr>
                <w:rFonts w:eastAsia="Arial Unicode MS"/>
                <w:sz w:val="20"/>
              </w:rPr>
            </w:pPr>
            <w:r>
              <w:rPr>
                <w:sz w:val="20"/>
              </w:rPr>
              <w:t>148.230</w:t>
            </w:r>
          </w:p>
        </w:tc>
        <w:tc>
          <w:tcPr>
            <w:tcW w:w="507" w:type="pct"/>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144.478</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81.830</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83.054</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2002</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60.085</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57.918</w:t>
            </w:r>
          </w:p>
        </w:tc>
        <w:tc>
          <w:tcPr>
            <w:tcW w:w="571" w:type="pct"/>
            <w:vAlign w:val="bottom"/>
          </w:tcPr>
          <w:p w:rsidR="00000000" w:rsidRDefault="00000000">
            <w:pPr>
              <w:ind w:right="170"/>
              <w:jc w:val="right"/>
              <w:rPr>
                <w:rFonts w:eastAsia="Arial Unicode MS"/>
                <w:color w:val="000000"/>
                <w:sz w:val="20"/>
              </w:rPr>
            </w:pPr>
            <w:r>
              <w:rPr>
                <w:color w:val="000000"/>
                <w:sz w:val="20"/>
              </w:rPr>
              <w:t>484.053</w:t>
            </w:r>
          </w:p>
        </w:tc>
        <w:tc>
          <w:tcPr>
            <w:tcW w:w="508" w:type="pct"/>
            <w:vAlign w:val="center"/>
          </w:tcPr>
          <w:p w:rsidR="00000000" w:rsidRDefault="00000000">
            <w:pPr>
              <w:ind w:right="113"/>
              <w:jc w:val="right"/>
              <w:rPr>
                <w:rFonts w:eastAsia="Arial Unicode MS"/>
                <w:sz w:val="20"/>
              </w:rPr>
            </w:pPr>
            <w:r>
              <w:rPr>
                <w:sz w:val="20"/>
              </w:rPr>
              <w:t>451.835</w:t>
            </w:r>
          </w:p>
        </w:tc>
        <w:tc>
          <w:tcPr>
            <w:tcW w:w="507" w:type="pct"/>
            <w:noWrap/>
            <w:tcMar>
              <w:top w:w="15" w:type="dxa"/>
              <w:left w:w="15" w:type="dxa"/>
              <w:bottom w:w="0" w:type="dxa"/>
              <w:right w:w="15" w:type="dxa"/>
            </w:tcMar>
            <w:vAlign w:val="center"/>
          </w:tcPr>
          <w:p w:rsidR="00000000" w:rsidRDefault="00000000">
            <w:pPr>
              <w:ind w:right="135"/>
              <w:jc w:val="right"/>
              <w:rPr>
                <w:rFonts w:eastAsia="Arial Unicode MS"/>
                <w:sz w:val="20"/>
              </w:rPr>
            </w:pPr>
            <w:r>
              <w:rPr>
                <w:sz w:val="20"/>
              </w:rPr>
              <w:t>152.933</w:t>
            </w:r>
          </w:p>
        </w:tc>
        <w:tc>
          <w:tcPr>
            <w:tcW w:w="507" w:type="pct"/>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148.725</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90.454</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92.452</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2003</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62.310</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60.555</w:t>
            </w:r>
          </w:p>
        </w:tc>
        <w:tc>
          <w:tcPr>
            <w:tcW w:w="571" w:type="pct"/>
            <w:vAlign w:val="bottom"/>
          </w:tcPr>
          <w:p w:rsidR="00000000" w:rsidRDefault="00000000">
            <w:pPr>
              <w:ind w:right="170"/>
              <w:jc w:val="right"/>
              <w:rPr>
                <w:rFonts w:eastAsia="Arial Unicode MS"/>
                <w:color w:val="000000"/>
                <w:sz w:val="20"/>
              </w:rPr>
            </w:pPr>
            <w:r>
              <w:rPr>
                <w:color w:val="000000"/>
                <w:sz w:val="20"/>
              </w:rPr>
              <w:t>483.217</w:t>
            </w:r>
          </w:p>
        </w:tc>
        <w:tc>
          <w:tcPr>
            <w:tcW w:w="508" w:type="pct"/>
            <w:vAlign w:val="center"/>
          </w:tcPr>
          <w:p w:rsidR="00000000" w:rsidRDefault="00000000">
            <w:pPr>
              <w:ind w:right="113"/>
              <w:jc w:val="right"/>
              <w:rPr>
                <w:rFonts w:eastAsia="Arial Unicode MS"/>
                <w:sz w:val="20"/>
              </w:rPr>
            </w:pPr>
            <w:r>
              <w:rPr>
                <w:sz w:val="20"/>
              </w:rPr>
              <w:t>451.364</w:t>
            </w:r>
          </w:p>
        </w:tc>
        <w:tc>
          <w:tcPr>
            <w:tcW w:w="507" w:type="pct"/>
            <w:noWrap/>
            <w:tcMar>
              <w:top w:w="15" w:type="dxa"/>
              <w:left w:w="15" w:type="dxa"/>
              <w:bottom w:w="0" w:type="dxa"/>
              <w:right w:w="15" w:type="dxa"/>
            </w:tcMar>
            <w:vAlign w:val="center"/>
          </w:tcPr>
          <w:p w:rsidR="00000000" w:rsidRDefault="00000000">
            <w:pPr>
              <w:ind w:right="135"/>
              <w:jc w:val="right"/>
              <w:rPr>
                <w:rFonts w:eastAsia="Arial Unicode MS"/>
                <w:sz w:val="20"/>
              </w:rPr>
            </w:pPr>
            <w:r>
              <w:rPr>
                <w:sz w:val="20"/>
              </w:rPr>
              <w:t>156.632</w:t>
            </w:r>
          </w:p>
        </w:tc>
        <w:tc>
          <w:tcPr>
            <w:tcW w:w="507" w:type="pct"/>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152.621</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98.381</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100.420</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rPr>
                <w:rFonts w:eastAsia="Arial Unicode MS"/>
                <w:sz w:val="20"/>
              </w:rPr>
            </w:pPr>
            <w:r>
              <w:rPr>
                <w:sz w:val="20"/>
              </w:rPr>
              <w:t>2004</w:t>
            </w:r>
          </w:p>
        </w:tc>
        <w:tc>
          <w:tcPr>
            <w:tcW w:w="44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62.300</w:t>
            </w:r>
          </w:p>
        </w:tc>
        <w:tc>
          <w:tcPr>
            <w:tcW w:w="507" w:type="pct"/>
            <w:noWrap/>
            <w:tcMar>
              <w:top w:w="15" w:type="dxa"/>
              <w:left w:w="15" w:type="dxa"/>
              <w:bottom w:w="0" w:type="dxa"/>
              <w:right w:w="15" w:type="dxa"/>
            </w:tcMar>
            <w:vAlign w:val="bottom"/>
          </w:tcPr>
          <w:p w:rsidR="00000000" w:rsidRDefault="00000000">
            <w:pPr>
              <w:ind w:right="170"/>
              <w:jc w:val="right"/>
              <w:rPr>
                <w:rFonts w:eastAsia="Arial Unicode MS"/>
                <w:color w:val="000000"/>
                <w:sz w:val="20"/>
              </w:rPr>
            </w:pPr>
            <w:r>
              <w:rPr>
                <w:color w:val="000000"/>
                <w:sz w:val="20"/>
              </w:rPr>
              <w:t>60.174</w:t>
            </w:r>
          </w:p>
        </w:tc>
        <w:tc>
          <w:tcPr>
            <w:tcW w:w="571" w:type="pct"/>
            <w:vAlign w:val="bottom"/>
          </w:tcPr>
          <w:p w:rsidR="00000000" w:rsidRDefault="00000000">
            <w:pPr>
              <w:ind w:right="170"/>
              <w:jc w:val="right"/>
              <w:rPr>
                <w:rFonts w:eastAsia="Arial Unicode MS"/>
                <w:color w:val="000000"/>
                <w:sz w:val="20"/>
              </w:rPr>
            </w:pPr>
            <w:r>
              <w:rPr>
                <w:color w:val="000000"/>
                <w:sz w:val="20"/>
              </w:rPr>
              <w:t>479.989</w:t>
            </w:r>
          </w:p>
        </w:tc>
        <w:tc>
          <w:tcPr>
            <w:tcW w:w="508" w:type="pct"/>
            <w:vAlign w:val="center"/>
          </w:tcPr>
          <w:p w:rsidR="00000000" w:rsidRDefault="00000000">
            <w:pPr>
              <w:ind w:right="113"/>
              <w:jc w:val="right"/>
              <w:rPr>
                <w:rFonts w:eastAsia="Arial Unicode MS"/>
                <w:sz w:val="20"/>
              </w:rPr>
            </w:pPr>
            <w:r>
              <w:rPr>
                <w:sz w:val="20"/>
              </w:rPr>
              <w:t>449.489</w:t>
            </w:r>
          </w:p>
        </w:tc>
        <w:tc>
          <w:tcPr>
            <w:tcW w:w="507" w:type="pct"/>
            <w:noWrap/>
            <w:tcMar>
              <w:top w:w="15" w:type="dxa"/>
              <w:left w:w="15" w:type="dxa"/>
              <w:bottom w:w="0" w:type="dxa"/>
              <w:right w:w="15" w:type="dxa"/>
            </w:tcMar>
            <w:vAlign w:val="center"/>
          </w:tcPr>
          <w:p w:rsidR="00000000" w:rsidRDefault="00000000">
            <w:pPr>
              <w:ind w:right="135"/>
              <w:jc w:val="right"/>
              <w:rPr>
                <w:rFonts w:eastAsia="Arial Unicode MS"/>
                <w:sz w:val="20"/>
              </w:rPr>
            </w:pPr>
            <w:r>
              <w:rPr>
                <w:sz w:val="20"/>
              </w:rPr>
              <w:t>159.790</w:t>
            </w:r>
          </w:p>
        </w:tc>
        <w:tc>
          <w:tcPr>
            <w:tcW w:w="507" w:type="pct"/>
            <w:tcMar>
              <w:top w:w="15" w:type="dxa"/>
              <w:left w:w="15" w:type="dxa"/>
              <w:bottom w:w="0" w:type="dxa"/>
              <w:right w:w="15" w:type="dxa"/>
            </w:tcMar>
            <w:vAlign w:val="bottom"/>
          </w:tcPr>
          <w:p w:rsidR="00000000" w:rsidRDefault="00000000">
            <w:pPr>
              <w:ind w:right="144"/>
              <w:jc w:val="right"/>
              <w:rPr>
                <w:rFonts w:eastAsia="Arial Unicode MS"/>
                <w:color w:val="000000"/>
                <w:sz w:val="20"/>
              </w:rPr>
            </w:pPr>
            <w:r>
              <w:rPr>
                <w:color w:val="000000"/>
                <w:sz w:val="20"/>
              </w:rPr>
              <w:t>156.579</w:t>
            </w:r>
          </w:p>
        </w:tc>
        <w:tc>
          <w:tcPr>
            <w:tcW w:w="508" w:type="pct"/>
            <w:tcMar>
              <w:top w:w="15" w:type="dxa"/>
              <w:left w:w="15" w:type="dxa"/>
              <w:bottom w:w="0" w:type="dxa"/>
              <w:right w:w="15" w:type="dxa"/>
            </w:tcMar>
            <w:vAlign w:val="center"/>
          </w:tcPr>
          <w:p w:rsidR="00000000" w:rsidRDefault="00000000">
            <w:pPr>
              <w:ind w:right="170"/>
              <w:jc w:val="right"/>
              <w:rPr>
                <w:rFonts w:eastAsia="Arial Unicode MS"/>
                <w:sz w:val="20"/>
              </w:rPr>
            </w:pPr>
            <w:r>
              <w:rPr>
                <w:sz w:val="20"/>
              </w:rPr>
              <w:t>102.234</w:t>
            </w:r>
          </w:p>
        </w:tc>
        <w:tc>
          <w:tcPr>
            <w:tcW w:w="424" w:type="pct"/>
            <w:noWrap/>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104.623</w:t>
            </w:r>
          </w:p>
        </w:tc>
      </w:tr>
      <w:tr w:rsidR="00000000">
        <w:trPr>
          <w:cantSplit/>
          <w:trHeight w:val="20"/>
          <w:jc w:val="center"/>
        </w:trPr>
        <w:tc>
          <w:tcPr>
            <w:tcW w:w="1023" w:type="pct"/>
            <w:tcMar>
              <w:top w:w="15" w:type="dxa"/>
              <w:left w:w="15" w:type="dxa"/>
              <w:bottom w:w="0" w:type="dxa"/>
              <w:right w:w="15" w:type="dxa"/>
            </w:tcMar>
            <w:vAlign w:val="center"/>
          </w:tcPr>
          <w:p w:rsidR="00000000" w:rsidRDefault="00000000">
            <w:pPr>
              <w:rPr>
                <w:rFonts w:eastAsia="Arial Unicode MS"/>
                <w:sz w:val="20"/>
                <w:szCs w:val="18"/>
              </w:rPr>
            </w:pPr>
            <w:r>
              <w:rPr>
                <w:sz w:val="20"/>
                <w:szCs w:val="18"/>
              </w:rPr>
              <w:t>Crecimiento porcentual 1994</w:t>
            </w:r>
            <w:r>
              <w:rPr>
                <w:sz w:val="20"/>
                <w:szCs w:val="18"/>
              </w:rPr>
              <w:noBreakHyphen/>
              <w:t>2004</w:t>
            </w:r>
          </w:p>
        </w:tc>
        <w:tc>
          <w:tcPr>
            <w:tcW w:w="444" w:type="pct"/>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13,9</w:t>
            </w:r>
          </w:p>
        </w:tc>
        <w:tc>
          <w:tcPr>
            <w:tcW w:w="507" w:type="pct"/>
            <w:tcMar>
              <w:top w:w="15" w:type="dxa"/>
              <w:left w:w="15" w:type="dxa"/>
              <w:bottom w:w="0" w:type="dxa"/>
              <w:right w:w="15" w:type="dxa"/>
            </w:tcMar>
            <w:vAlign w:val="bottom"/>
          </w:tcPr>
          <w:p w:rsidR="00000000" w:rsidRDefault="00000000">
            <w:pPr>
              <w:ind w:right="170"/>
              <w:jc w:val="right"/>
              <w:rPr>
                <w:rFonts w:eastAsia="Arial Unicode MS"/>
                <w:sz w:val="20"/>
              </w:rPr>
            </w:pPr>
            <w:r>
              <w:rPr>
                <w:sz w:val="20"/>
              </w:rPr>
              <w:t>135</w:t>
            </w:r>
          </w:p>
        </w:tc>
        <w:tc>
          <w:tcPr>
            <w:tcW w:w="571" w:type="pct"/>
            <w:vAlign w:val="bottom"/>
          </w:tcPr>
          <w:p w:rsidR="00000000" w:rsidRDefault="00000000">
            <w:pPr>
              <w:ind w:right="170"/>
              <w:jc w:val="right"/>
              <w:rPr>
                <w:rFonts w:eastAsia="Arial Unicode MS"/>
                <w:sz w:val="20"/>
              </w:rPr>
            </w:pPr>
            <w:r>
              <w:rPr>
                <w:sz w:val="20"/>
              </w:rPr>
              <w:t>11</w:t>
            </w:r>
          </w:p>
        </w:tc>
        <w:tc>
          <w:tcPr>
            <w:tcW w:w="508" w:type="pct"/>
            <w:vAlign w:val="bottom"/>
          </w:tcPr>
          <w:p w:rsidR="00000000" w:rsidRDefault="00000000">
            <w:pPr>
              <w:ind w:right="113"/>
              <w:jc w:val="right"/>
              <w:rPr>
                <w:rFonts w:eastAsia="Arial Unicode MS"/>
                <w:sz w:val="20"/>
              </w:rPr>
            </w:pPr>
            <w:r>
              <w:rPr>
                <w:sz w:val="20"/>
              </w:rPr>
              <w:t>11</w:t>
            </w:r>
          </w:p>
        </w:tc>
        <w:tc>
          <w:tcPr>
            <w:tcW w:w="507" w:type="pct"/>
            <w:tcMar>
              <w:top w:w="15" w:type="dxa"/>
              <w:left w:w="15" w:type="dxa"/>
              <w:bottom w:w="0" w:type="dxa"/>
              <w:right w:w="15" w:type="dxa"/>
            </w:tcMar>
            <w:vAlign w:val="bottom"/>
          </w:tcPr>
          <w:p w:rsidR="00000000" w:rsidRDefault="00000000">
            <w:pPr>
              <w:ind w:right="144"/>
              <w:jc w:val="right"/>
              <w:rPr>
                <w:rFonts w:eastAsia="Arial Unicode MS"/>
                <w:sz w:val="20"/>
              </w:rPr>
            </w:pPr>
            <w:r>
              <w:rPr>
                <w:color w:val="000000"/>
                <w:sz w:val="20"/>
              </w:rPr>
              <w:t>100</w:t>
            </w:r>
          </w:p>
        </w:tc>
        <w:tc>
          <w:tcPr>
            <w:tcW w:w="507" w:type="pct"/>
            <w:tcMar>
              <w:top w:w="15" w:type="dxa"/>
              <w:left w:w="15" w:type="dxa"/>
              <w:bottom w:w="0" w:type="dxa"/>
              <w:right w:w="15" w:type="dxa"/>
            </w:tcMar>
            <w:vAlign w:val="bottom"/>
          </w:tcPr>
          <w:p w:rsidR="00000000" w:rsidRDefault="00000000">
            <w:pPr>
              <w:ind w:right="144"/>
              <w:jc w:val="right"/>
              <w:rPr>
                <w:rFonts w:eastAsia="Arial Unicode MS"/>
                <w:sz w:val="20"/>
              </w:rPr>
            </w:pPr>
            <w:r>
              <w:rPr>
                <w:color w:val="000000"/>
                <w:sz w:val="20"/>
              </w:rPr>
              <w:t>96</w:t>
            </w:r>
          </w:p>
        </w:tc>
        <w:tc>
          <w:tcPr>
            <w:tcW w:w="508" w:type="pct"/>
            <w:tcMar>
              <w:top w:w="15" w:type="dxa"/>
              <w:left w:w="15" w:type="dxa"/>
              <w:bottom w:w="0" w:type="dxa"/>
              <w:right w:w="15" w:type="dxa"/>
            </w:tcMar>
            <w:vAlign w:val="bottom"/>
          </w:tcPr>
          <w:p w:rsidR="00000000" w:rsidRDefault="00000000">
            <w:pPr>
              <w:ind w:right="170"/>
              <w:jc w:val="right"/>
              <w:rPr>
                <w:rFonts w:eastAsia="Arial Unicode MS"/>
                <w:sz w:val="20"/>
              </w:rPr>
            </w:pPr>
            <w:r>
              <w:rPr>
                <w:sz w:val="20"/>
              </w:rPr>
              <w:t>186</w:t>
            </w:r>
          </w:p>
        </w:tc>
        <w:tc>
          <w:tcPr>
            <w:tcW w:w="424" w:type="pct"/>
            <w:tcMar>
              <w:top w:w="15" w:type="dxa"/>
              <w:left w:w="15" w:type="dxa"/>
              <w:bottom w:w="0" w:type="dxa"/>
              <w:right w:w="15" w:type="dxa"/>
            </w:tcMar>
            <w:vAlign w:val="bottom"/>
          </w:tcPr>
          <w:p w:rsidR="00000000" w:rsidRDefault="00000000">
            <w:pPr>
              <w:ind w:right="57"/>
              <w:jc w:val="right"/>
              <w:rPr>
                <w:rFonts w:eastAsia="Arial Unicode MS"/>
                <w:sz w:val="20"/>
              </w:rPr>
            </w:pPr>
            <w:r>
              <w:rPr>
                <w:sz w:val="20"/>
              </w:rPr>
              <w:t>158</w:t>
            </w:r>
          </w:p>
        </w:tc>
      </w:tr>
    </w:tbl>
    <w:p w:rsidR="00000000" w:rsidRDefault="00000000">
      <w:pPr>
        <w:shd w:val="clear" w:color="auto" w:fill="FFFFFF"/>
        <w:spacing w:before="200" w:after="400"/>
        <w:rPr>
          <w:sz w:val="20"/>
        </w:rPr>
      </w:pPr>
      <w:r>
        <w:rPr>
          <w:i/>
          <w:iCs/>
          <w:sz w:val="20"/>
        </w:rPr>
        <w:t>Fuente</w:t>
      </w:r>
      <w:r>
        <w:rPr>
          <w:sz w:val="20"/>
        </w:rPr>
        <w:t>:  MEC, DGPEC-SIEC.</w:t>
      </w:r>
    </w:p>
    <w:p w:rsidR="00000000" w:rsidRDefault="00000000">
      <w:pPr>
        <w:autoSpaceDE w:val="0"/>
        <w:autoSpaceDN w:val="0"/>
        <w:adjustRightInd w:val="0"/>
        <w:spacing w:after="240"/>
        <w:rPr>
          <w:szCs w:val="20"/>
          <w:lang w:val="es-ES_tradnl" w:eastAsia="es-ES"/>
        </w:rPr>
      </w:pPr>
      <w:r>
        <w:rPr>
          <w:szCs w:val="20"/>
          <w:lang w:val="es-ES_tradnl"/>
        </w:rPr>
        <w:t>582.</w:t>
      </w:r>
      <w:r>
        <w:rPr>
          <w:szCs w:val="20"/>
          <w:lang w:val="es-ES_tradnl"/>
        </w:rPr>
        <w:tab/>
        <w:t>Asimismo, se expresa que forman parte del Programa de educación de jóvenes y adultos:  20.</w:t>
      </w:r>
      <w:r>
        <w:t>351</w:t>
      </w:r>
      <w:r>
        <w:rPr>
          <w:szCs w:val="20"/>
          <w:lang w:val="es-ES_tradnl"/>
        </w:rPr>
        <w:t xml:space="preserve"> hombres (44%) y 26.077 mujeres (56%) en la zona urbana, y en la zona rural 13.474 hombres (46%) y 15.546 mujeres (54%), siendo el porcentaje total de la zona urbana 62% y 38% en la zona rural</w:t>
      </w:r>
      <w:r>
        <w:rPr>
          <w:szCs w:val="20"/>
          <w:lang w:val="es-ES_tradnl" w:eastAsia="es-ES"/>
        </w:rPr>
        <w:t xml:space="preserve"> (</w:t>
      </w:r>
      <w:r>
        <w:rPr>
          <w:i/>
          <w:iCs/>
          <w:szCs w:val="20"/>
          <w:lang w:val="es-ES_tradnl" w:eastAsia="es-ES"/>
        </w:rPr>
        <w:t>Fuente</w:t>
      </w:r>
      <w:r>
        <w:rPr>
          <w:szCs w:val="20"/>
          <w:lang w:val="es-ES_tradnl" w:eastAsia="es-ES"/>
        </w:rPr>
        <w:t>:  MEC, DGPEC-SIEC).</w:t>
      </w:r>
    </w:p>
    <w:p w:rsidR="00000000" w:rsidRDefault="00000000">
      <w:pPr>
        <w:shd w:val="clear" w:color="auto" w:fill="FFFFFF"/>
        <w:spacing w:after="240"/>
        <w:ind w:left="567"/>
        <w:rPr>
          <w:b/>
        </w:rPr>
      </w:pPr>
      <w:r>
        <w:rPr>
          <w:b/>
        </w:rPr>
        <w:t>3.1.</w:t>
      </w:r>
      <w:r>
        <w:rPr>
          <w:b/>
        </w:rPr>
        <w:tab/>
        <w:t xml:space="preserve">Educación indígena </w:t>
      </w:r>
    </w:p>
    <w:p w:rsidR="00000000" w:rsidRDefault="00000000">
      <w:pPr>
        <w:autoSpaceDE w:val="0"/>
        <w:autoSpaceDN w:val="0"/>
        <w:adjustRightInd w:val="0"/>
        <w:spacing w:after="240"/>
        <w:rPr>
          <w:lang w:val="es-ES_tradnl"/>
        </w:rPr>
      </w:pPr>
      <w:r>
        <w:rPr>
          <w:lang w:val="es-ES_tradnl"/>
        </w:rPr>
        <w:t>583.</w:t>
      </w:r>
      <w:r>
        <w:rPr>
          <w:lang w:val="es-ES_tradnl"/>
        </w:rPr>
        <w:tab/>
        <w:t xml:space="preserve">En la actualidad existen 34.705 personas indígenas en edad escolar (censo 2002), comprendidas entre los 5 y 19 años, de los cuales 20.530 niños(as) gozan del derecho a la educación </w:t>
      </w:r>
      <w:r>
        <w:t>formal dentro de la educación inicial y escolar básica, distribuidos en 339 institucion</w:t>
      </w:r>
      <w:r>
        <w:rPr>
          <w:lang w:val="es-ES_tradnl"/>
        </w:rPr>
        <w:t>es educativas en la región oriental y occidental.  En la educación media existen 7 instituciones indígenas con énfasis en bachillerato humanístico y agropecuario con una matrícula de 334 jóvenes.  Para los cursos de alfabetización de jóvenes y adultos se inscribieron 2.000 participantes a nivel país, en 82 centros educativos.</w:t>
      </w:r>
    </w:p>
    <w:p w:rsidR="00000000" w:rsidRDefault="00000000">
      <w:pPr>
        <w:autoSpaceDE w:val="0"/>
        <w:autoSpaceDN w:val="0"/>
        <w:adjustRightInd w:val="0"/>
        <w:spacing w:after="240"/>
      </w:pPr>
      <w:r>
        <w:rPr>
          <w:lang w:val="es-ES_tradnl"/>
        </w:rPr>
        <w:t>584.</w:t>
      </w:r>
      <w:r>
        <w:rPr>
          <w:lang w:val="es-ES_tradnl"/>
        </w:rPr>
        <w:tab/>
        <w:t>En el nivel superior, curso de profesionalización docente a distancia para bachilleres indígenas, se matricularon 57 alumnos de la etnia ava guaraní.  Actualmente el Programa E</w:t>
      </w:r>
      <w:r>
        <w:t>scuela</w:t>
      </w:r>
      <w:r>
        <w:rPr>
          <w:lang w:val="es-ES_tradnl"/>
        </w:rPr>
        <w:t xml:space="preserve"> Viva, subcomponente Mejoramiento de las escuelas indígenas, está trabajando con el objetivo de contar con propuestas para una educación intercultural y bilingüe, construida de manera participativa con las comunidades indígenas para asegurar el derecho a la educación y el derecho de los pueblos indígenas del Paraguay al mantenimiento y desarrollo de sus culturas particulares originarias.</w:t>
      </w:r>
    </w:p>
    <w:p w:rsidR="00000000" w:rsidRDefault="00000000">
      <w:pPr>
        <w:autoSpaceDE w:val="0"/>
        <w:autoSpaceDN w:val="0"/>
        <w:adjustRightInd w:val="0"/>
        <w:spacing w:after="240"/>
        <w:rPr>
          <w:lang w:val="es-ES_tradnl"/>
        </w:rPr>
      </w:pPr>
      <w:r>
        <w:rPr>
          <w:lang w:val="es-ES_tradnl"/>
        </w:rPr>
        <w:t>585.</w:t>
      </w:r>
      <w:r>
        <w:rPr>
          <w:lang w:val="es-ES_tradnl"/>
        </w:rPr>
        <w:tab/>
        <w:t>Sigue siendo un desafío para el Gobierno mejorar en términos de cobertura, calidad y pertinencia de la educación indígena.</w:t>
      </w:r>
    </w:p>
    <w:p w:rsidR="00000000" w:rsidRDefault="00000000">
      <w:pPr>
        <w:shd w:val="clear" w:color="auto" w:fill="FFFFFF"/>
        <w:spacing w:after="240"/>
        <w:ind w:left="567" w:right="-65"/>
        <w:rPr>
          <w:b/>
          <w:bCs/>
          <w:lang w:val="es-ES_tradnl"/>
        </w:rPr>
      </w:pPr>
      <w:r>
        <w:rPr>
          <w:b/>
          <w:bCs/>
          <w:lang w:val="es-ES_tradnl"/>
        </w:rPr>
        <w:t>3.2.</w:t>
      </w:r>
      <w:r>
        <w:rPr>
          <w:b/>
          <w:bCs/>
          <w:lang w:val="es-ES_tradnl"/>
        </w:rPr>
        <w:tab/>
        <w:t xml:space="preserve">Acceso igualitario a la educación </w:t>
      </w:r>
    </w:p>
    <w:p w:rsidR="00000000" w:rsidRDefault="00000000">
      <w:pPr>
        <w:autoSpaceDE w:val="0"/>
        <w:autoSpaceDN w:val="0"/>
        <w:adjustRightInd w:val="0"/>
        <w:spacing w:after="240"/>
        <w:rPr>
          <w:lang w:val="es-ES_tradnl"/>
        </w:rPr>
      </w:pPr>
      <w:r>
        <w:t>586.</w:t>
      </w:r>
      <w:r>
        <w:tab/>
        <w:t>El Gobierno aplica distintas medidas para favorecer el acceso igualitario a todos los niveles de educación, entre ellas se describen las siguientes.</w:t>
      </w:r>
    </w:p>
    <w:p w:rsidR="00000000" w:rsidRDefault="00000000">
      <w:pPr>
        <w:spacing w:after="240"/>
        <w:ind w:left="1701" w:hanging="567"/>
        <w:rPr>
          <w:b/>
          <w:bCs/>
        </w:rPr>
      </w:pPr>
      <w:r>
        <w:rPr>
          <w:b/>
          <w:bCs/>
        </w:rPr>
        <w:t>a)</w:t>
      </w:r>
      <w:r>
        <w:rPr>
          <w:b/>
          <w:bCs/>
        </w:rPr>
        <w:tab/>
        <w:t>Programa fortalecimiento de la reforma educativa en la educación escolar básica - "Escuela Viva Hekokatuva"</w:t>
      </w:r>
    </w:p>
    <w:p w:rsidR="00000000" w:rsidRDefault="00000000">
      <w:pPr>
        <w:autoSpaceDE w:val="0"/>
        <w:autoSpaceDN w:val="0"/>
        <w:adjustRightInd w:val="0"/>
        <w:spacing w:after="240"/>
        <w:rPr>
          <w:rFonts w:eastAsia="Arial Unicode MS"/>
        </w:rPr>
      </w:pPr>
      <w:r>
        <w:t>587.</w:t>
      </w:r>
      <w:r>
        <w:tab/>
        <w:t>El objetivo general de este programa busca m</w:t>
      </w:r>
      <w:r>
        <w:rPr>
          <w:rFonts w:eastAsia="Arial Unicode MS"/>
        </w:rPr>
        <w:t xml:space="preserve">ejorar la calidad y equidad de la educación </w:t>
      </w:r>
      <w:r>
        <w:t>escolar</w:t>
      </w:r>
      <w:r>
        <w:rPr>
          <w:rFonts w:eastAsia="Arial Unicode MS"/>
        </w:rPr>
        <w:t xml:space="preserve"> básica paraguaya, contribuyendo con ello a la disminución de la pobreza y al desarrollo social y económico del país.  Se busca desarrollar intervenciones integrales que superen la perspectiva de la provisión de insumos y se concentren en el mejoramiento de los  procesos, de modo de poder garantizar resultados pertinentes y de calidad.</w:t>
      </w:r>
    </w:p>
    <w:p w:rsidR="00000000" w:rsidRDefault="00000000">
      <w:pPr>
        <w:autoSpaceDE w:val="0"/>
        <w:autoSpaceDN w:val="0"/>
        <w:adjustRightInd w:val="0"/>
        <w:spacing w:after="240"/>
      </w:pPr>
      <w:r>
        <w:rPr>
          <w:rFonts w:eastAsia="Arial Unicode MS"/>
        </w:rPr>
        <w:t>588.</w:t>
      </w:r>
      <w:r>
        <w:rPr>
          <w:rFonts w:eastAsia="Arial Unicode MS"/>
        </w:rPr>
        <w:tab/>
        <w:t xml:space="preserve">Escuela Viva focaliza su intervención en el </w:t>
      </w:r>
      <w:r>
        <w:rPr>
          <w:snapToGrid w:val="0"/>
          <w:lang w:val="es-MX"/>
        </w:rPr>
        <w:t>10% de las escuelas urbanas con mayor riesgo educativo y en aproximadamente el 25%</w:t>
      </w:r>
      <w:r>
        <w:rPr>
          <w:i/>
          <w:snapToGrid w:val="0"/>
          <w:lang w:val="es-MX"/>
        </w:rPr>
        <w:t xml:space="preserve"> </w:t>
      </w:r>
      <w:r>
        <w:rPr>
          <w:snapToGrid w:val="0"/>
          <w:lang w:val="es-MX"/>
        </w:rPr>
        <w:t xml:space="preserve">de las escuelas rurales con bajos resultados educativos.  En conjunto, </w:t>
      </w:r>
      <w:r>
        <w:t>y desde sus distintos subcomponentes, cubre  aproximadamente unas 2.500 escuelas oficiales, lo que corresponde al 43% del universo de escuelas públicas del país.</w:t>
      </w:r>
    </w:p>
    <w:p w:rsidR="00000000" w:rsidRDefault="00000000">
      <w:pPr>
        <w:autoSpaceDE w:val="0"/>
        <w:autoSpaceDN w:val="0"/>
        <w:adjustRightInd w:val="0"/>
        <w:spacing w:after="240"/>
      </w:pPr>
      <w:r>
        <w:rPr>
          <w:snapToGrid w:val="0"/>
          <w:lang w:val="es-MX"/>
        </w:rPr>
        <w:t>589.</w:t>
      </w:r>
      <w:r>
        <w:rPr>
          <w:snapToGrid w:val="0"/>
          <w:lang w:val="es-MX"/>
        </w:rPr>
        <w:tab/>
        <w:t xml:space="preserve">Para el mejoramiento de los aprendizajes en el contexto rural, el programa focaliza las acciones de la implementación de la propuesta pedagógica en 1.000 escuelas rurales distribuidas en </w:t>
      </w:r>
      <w:r>
        <w:t>seis</w:t>
      </w:r>
      <w:r>
        <w:rPr>
          <w:snapToGrid w:val="0"/>
          <w:lang w:val="es-MX"/>
        </w:rPr>
        <w:t xml:space="preserve"> regiones y 150 escuelas urbanas de alto riesgo en 3 áreas geográficas definidas como prioritarias.</w:t>
      </w:r>
      <w:r>
        <w:t xml:space="preserve"> </w:t>
      </w:r>
    </w:p>
    <w:p w:rsidR="00000000" w:rsidRDefault="00000000">
      <w:pPr>
        <w:autoSpaceDE w:val="0"/>
        <w:autoSpaceDN w:val="0"/>
        <w:adjustRightInd w:val="0"/>
        <w:spacing w:after="240"/>
      </w:pPr>
      <w:r>
        <w:rPr>
          <w:lang w:val="es-MX"/>
        </w:rPr>
        <w:t>590.</w:t>
      </w:r>
      <w:r>
        <w:rPr>
          <w:lang w:val="es-MX"/>
        </w:rPr>
        <w:tab/>
        <w:t xml:space="preserve">Los principales </w:t>
      </w:r>
      <w:r>
        <w:t>sub</w:t>
      </w:r>
      <w:r>
        <w:rPr>
          <w:lang w:val="es-MX"/>
        </w:rPr>
        <w:t>componentes de este programa que tienen que ver con las intervenciones en las escuelas básicas son:</w:t>
      </w:r>
    </w:p>
    <w:p w:rsidR="00000000" w:rsidRDefault="00000000">
      <w:pPr>
        <w:spacing w:after="240"/>
        <w:ind w:left="924" w:hanging="357"/>
      </w:pPr>
      <w:r>
        <w:rPr>
          <w:b/>
        </w:rPr>
        <w:t>-</w:t>
      </w:r>
      <w:r>
        <w:rPr>
          <w:b/>
        </w:rPr>
        <w:tab/>
        <w:t>Mejoramiento de las escuelas rurales</w:t>
      </w:r>
      <w:r>
        <w:t>.  Tiene como objetivo implementar, en 1.000 escuelas rurales (25% de la matrícula), una propuesta pedagógica bilingüe, orientada a mejorar los aprendizajes de los alumnos de los seis primeros años del sistema educativo (1</w:t>
      </w:r>
      <w:r>
        <w:rPr>
          <w:vertAlign w:val="superscript"/>
        </w:rPr>
        <w:t>er</w:t>
      </w:r>
      <w:r>
        <w:t xml:space="preserve"> y 2º ciclo).</w:t>
      </w:r>
    </w:p>
    <w:p w:rsidR="00000000" w:rsidRDefault="00000000">
      <w:pPr>
        <w:spacing w:after="240"/>
        <w:ind w:left="924" w:hanging="357"/>
      </w:pPr>
      <w:r>
        <w:rPr>
          <w:b/>
        </w:rPr>
        <w:t>-</w:t>
      </w:r>
      <w:r>
        <w:rPr>
          <w:b/>
        </w:rPr>
        <w:tab/>
        <w:t>Mejoramiento de las escuelas urbanas</w:t>
      </w:r>
      <w:r>
        <w:rPr>
          <w:bCs/>
        </w:rPr>
        <w:t xml:space="preserve">. </w:t>
      </w:r>
      <w:r>
        <w:t xml:space="preserve"> Busca implementar una intervención pedagógica integral en los dos primeros ciclos de la EEB que beneficie a 69.362 alumnos de 150 escuelas en condiciones de mayor riesgo educativo y pobreza.</w:t>
      </w:r>
    </w:p>
    <w:p w:rsidR="00000000" w:rsidRDefault="00000000">
      <w:pPr>
        <w:spacing w:after="240"/>
        <w:ind w:left="924" w:hanging="357"/>
      </w:pPr>
      <w:r>
        <w:rPr>
          <w:b/>
        </w:rPr>
        <w:t>-</w:t>
      </w:r>
      <w:r>
        <w:rPr>
          <w:b/>
        </w:rPr>
        <w:tab/>
        <w:t>Mejoramiento de las escuelas indígenas</w:t>
      </w:r>
      <w:r>
        <w:rPr>
          <w:bCs/>
        </w:rPr>
        <w:t>.</w:t>
      </w:r>
      <w:r>
        <w:t xml:space="preserve">  Busca implementar una propuesta pedagógica intercultural bilingüe con la participación de las comunidades en escuelas indígenas.</w:t>
      </w:r>
    </w:p>
    <w:p w:rsidR="00000000" w:rsidRDefault="00000000">
      <w:pPr>
        <w:autoSpaceDE w:val="0"/>
        <w:autoSpaceDN w:val="0"/>
        <w:adjustRightInd w:val="0"/>
        <w:spacing w:after="240"/>
      </w:pPr>
      <w:r>
        <w:t>591.</w:t>
      </w:r>
      <w:r>
        <w:tab/>
        <w:t>En términos educativos, el promedio de años de estudio de la población indígena de 15 años y más es de 2,2 años; en cambio, este promedio para la población en general, para el mismo grupo de edad, es de 7 años.</w:t>
      </w:r>
    </w:p>
    <w:p w:rsidR="00000000" w:rsidRDefault="00000000">
      <w:pPr>
        <w:autoSpaceDE w:val="0"/>
        <w:autoSpaceDN w:val="0"/>
        <w:adjustRightInd w:val="0"/>
        <w:spacing w:after="240"/>
      </w:pPr>
      <w:r>
        <w:t>592.</w:t>
      </w:r>
      <w:r>
        <w:tab/>
        <w:t>Para la atención diferenciada al sector indígena, desde hace varios años funcionan las Supervisiones de Educación Indígena, que son las encargadas de coordinar, apoyar y hacer un seguimiento de la aplicación de los programas en las comunidades indígenas.  Existen en total cinco supervisiones.</w:t>
      </w:r>
    </w:p>
    <w:p w:rsidR="00000000" w:rsidRDefault="00000000">
      <w:pPr>
        <w:autoSpaceDE w:val="0"/>
        <w:autoSpaceDN w:val="0"/>
        <w:adjustRightInd w:val="0"/>
        <w:spacing w:after="240"/>
      </w:pPr>
      <w:r>
        <w:t>593.</w:t>
      </w:r>
      <w:r>
        <w:tab/>
        <w:t>Desde el año 2002 se viene implementando, en el marco de un Programa de fortalecimiento de la reforma educativa, un componente dedicado a la educación indígena con el objetivo de crear propuestas educativas contextualizadas a la realidad de cada etnia.  Esta experiencia se lleva a cabo en forma focalizada.</w:t>
      </w:r>
    </w:p>
    <w:p w:rsidR="00000000" w:rsidRDefault="00000000">
      <w:pPr>
        <w:spacing w:after="240"/>
        <w:ind w:left="567" w:firstLine="567"/>
        <w:rPr>
          <w:b/>
          <w:szCs w:val="22"/>
        </w:rPr>
      </w:pPr>
      <w:r>
        <w:rPr>
          <w:b/>
          <w:szCs w:val="22"/>
        </w:rPr>
        <w:t>b)</w:t>
      </w:r>
      <w:r>
        <w:rPr>
          <w:b/>
          <w:szCs w:val="22"/>
        </w:rPr>
        <w:tab/>
      </w:r>
      <w:r>
        <w:rPr>
          <w:b/>
          <w:bCs/>
        </w:rPr>
        <w:t>Programa de reforma de la educación con énfasis en la educación media</w:t>
      </w:r>
    </w:p>
    <w:p w:rsidR="00000000" w:rsidRDefault="00000000">
      <w:pPr>
        <w:autoSpaceDE w:val="0"/>
        <w:autoSpaceDN w:val="0"/>
        <w:adjustRightInd w:val="0"/>
        <w:spacing w:after="240"/>
      </w:pPr>
      <w:r>
        <w:t>594.</w:t>
      </w:r>
      <w:r>
        <w:tab/>
        <w:t>Oferta alternativa de educación media abierta:  actualmente en proceso de diseño surge como alternativa, dirigida especialmente a jóvenes de entre 15 y 18 años, quienes han concluido la educación escolar básica y no han podido acceder a la educación media regular, pues necesitan trabajar.</w:t>
      </w:r>
    </w:p>
    <w:p w:rsidR="00000000" w:rsidRDefault="00000000">
      <w:pPr>
        <w:spacing w:after="240"/>
        <w:ind w:left="567" w:firstLine="567"/>
        <w:rPr>
          <w:b/>
          <w:bCs/>
        </w:rPr>
      </w:pPr>
      <w:r>
        <w:rPr>
          <w:b/>
          <w:bCs/>
        </w:rPr>
        <w:t>c)</w:t>
      </w:r>
      <w:r>
        <w:rPr>
          <w:b/>
          <w:bCs/>
        </w:rPr>
        <w:tab/>
        <w:t>Programa Escuela Activa Mitá Irú</w:t>
      </w:r>
    </w:p>
    <w:p w:rsidR="00000000" w:rsidRDefault="00000000">
      <w:pPr>
        <w:autoSpaceDE w:val="0"/>
        <w:autoSpaceDN w:val="0"/>
        <w:adjustRightInd w:val="0"/>
        <w:spacing w:after="240"/>
      </w:pPr>
      <w:r>
        <w:t>595.</w:t>
      </w:r>
      <w:r>
        <w:tab/>
        <w:t>El Ministerio de Educación y Cultura, a partir del año 1995, implementa este Programa con el apoyo de organismos internacionales de cooperación:  Plan Internacional, Fondo de las Naciones Unidas para la Infancia (UNICEF) y el Programa para el mejoramiento de la calidad de la educación MEC-BID, orientado a atender a las escuelas rurales con modalidad plurigrado y de esta manera acortar la brecha de inequidades en cuanto al servicio educativo, reconociendo al mismo tiempo a la educación como el motor fundamental de desarrollo y como la inversión de mayor retorno, y también como el mejor canal de movilidad social y una de las principales estrategias para mejorar las desigualdades.</w:t>
      </w:r>
    </w:p>
    <w:p w:rsidR="00000000" w:rsidRDefault="00000000">
      <w:pPr>
        <w:autoSpaceDE w:val="0"/>
        <w:autoSpaceDN w:val="0"/>
        <w:adjustRightInd w:val="0"/>
        <w:spacing w:after="240"/>
      </w:pPr>
      <w:r>
        <w:t>596.</w:t>
      </w:r>
      <w:r>
        <w:tab/>
        <w:t>La Escuela Activa es un programa educativo innovador expresamente dirigido al sector rural que utiliza la metodología activa que le facilita a los niños el aprender haciendo, jugando y solucionando problemas de su quehacer cotidiano.  Es decir, un programa que forma niños activos, creativos, participantes.  Usa el juego como vehículo de aprendizaje, respeta las diferencias individuales, tiene en cuenta las particularidades de los contextos rurales de los niños campesinos para ofrecerles un tratamiento positivamente diferencial e innovador, de tal manera que los niños que asisten a estas escuelas puedan ejercer el derecho a una educación de calidad acorde con su realidad y de esta manera puedan acceder y mantenerse en la escuela, aprendiendo en ellas las habilidades básicas para constituirse en ciudadanos productivos y participativos:</w:t>
      </w:r>
    </w:p>
    <w:p w:rsidR="00000000" w:rsidRDefault="00000000">
      <w:pPr>
        <w:autoSpaceDE w:val="0"/>
        <w:autoSpaceDN w:val="0"/>
        <w:adjustRightInd w:val="0"/>
        <w:spacing w:after="240"/>
        <w:ind w:left="924" w:hanging="357"/>
      </w:pPr>
      <w:r>
        <w:t>-</w:t>
      </w:r>
      <w:r>
        <w:tab/>
        <w:t xml:space="preserve">En la etapa inicial fueron seleccionadas 10 escuelas en el departamento Caaguazú; </w:t>
      </w:r>
    </w:p>
    <w:p w:rsidR="00000000" w:rsidRDefault="00000000">
      <w:pPr>
        <w:autoSpaceDE w:val="0"/>
        <w:autoSpaceDN w:val="0"/>
        <w:adjustRightInd w:val="0"/>
        <w:spacing w:after="240"/>
        <w:ind w:left="924" w:hanging="357"/>
      </w:pPr>
      <w:r>
        <w:t>-</w:t>
      </w:r>
      <w:r>
        <w:tab/>
        <w:t xml:space="preserve">A partir de 1997 se consolidó y extendió el programa a otros departamentos, afectando a 50 instituciones de los departamentos de Caaguazú, Paraguari y Presidente Hayes; </w:t>
      </w:r>
    </w:p>
    <w:p w:rsidR="00000000" w:rsidRDefault="00000000">
      <w:pPr>
        <w:autoSpaceDE w:val="0"/>
        <w:autoSpaceDN w:val="0"/>
        <w:adjustRightInd w:val="0"/>
        <w:spacing w:after="240"/>
        <w:ind w:left="924" w:hanging="357"/>
      </w:pPr>
      <w:r>
        <w:t>-</w:t>
      </w:r>
      <w:r>
        <w:tab/>
        <w:t xml:space="preserve">El proceso de consolidación y extensión continuó entre los años 1998-2000, abarcando a los departamentos de Guairá y San Pedro, totalizando 100 instituciones de carácter oficial; </w:t>
      </w:r>
    </w:p>
    <w:p w:rsidR="00000000" w:rsidRDefault="00000000">
      <w:pPr>
        <w:autoSpaceDE w:val="0"/>
        <w:autoSpaceDN w:val="0"/>
        <w:adjustRightInd w:val="0"/>
        <w:spacing w:after="240"/>
        <w:ind w:left="924" w:hanging="357"/>
      </w:pPr>
      <w:r>
        <w:t>-</w:t>
      </w:r>
      <w:r>
        <w:tab/>
        <w:t xml:space="preserve">En 2002 se realizan evaluaciones de impacto interno-externo que han sido los insumos fundamentales para el proceso de ampliación de la cobertura; en 2003 se inicia un proceso de ampliación de la cobertura a 43 escuelas en el departamento de San Pedro, 15 escuelas en Guaira y 16 escuelas en el departamento de Caaguazú, totalizando 164 escuelas activas financiadas en este tiempo; </w:t>
      </w:r>
    </w:p>
    <w:p w:rsidR="00000000" w:rsidRDefault="00000000">
      <w:pPr>
        <w:autoSpaceDE w:val="0"/>
        <w:autoSpaceDN w:val="0"/>
        <w:adjustRightInd w:val="0"/>
        <w:spacing w:after="240"/>
        <w:ind w:left="924" w:hanging="357"/>
      </w:pPr>
      <w:r>
        <w:t>-</w:t>
      </w:r>
      <w:r>
        <w:tab/>
        <w:t>Un convenio de cooperación entre PLAN y el MEC se realiza para la capacitación a maestros del Instituto del Mañana en la capital del país en 2004;</w:t>
      </w:r>
    </w:p>
    <w:p w:rsidR="00000000" w:rsidRDefault="00000000">
      <w:pPr>
        <w:autoSpaceDE w:val="0"/>
        <w:autoSpaceDN w:val="0"/>
        <w:adjustRightInd w:val="0"/>
        <w:spacing w:after="240"/>
        <w:ind w:left="924" w:hanging="357"/>
      </w:pPr>
      <w:r>
        <w:t>-</w:t>
      </w:r>
      <w:r>
        <w:tab/>
        <w:t>La cobertura del programa aumenta ese mismo año, afectando a un nuevo departamento que es Cordillera, alcanzando el apoyo a 218 escuelas en cinco departamentos.</w:t>
      </w:r>
    </w:p>
    <w:p w:rsidR="00000000" w:rsidRDefault="00000000">
      <w:pPr>
        <w:keepNext/>
        <w:keepLines/>
        <w:spacing w:after="240"/>
        <w:rPr>
          <w:b/>
          <w:bCs/>
        </w:rPr>
      </w:pPr>
      <w:r>
        <w:rPr>
          <w:b/>
          <w:bCs/>
        </w:rPr>
        <w:t>4.</w:t>
      </w:r>
      <w:r>
        <w:rPr>
          <w:b/>
          <w:bCs/>
        </w:rPr>
        <w:tab/>
        <w:t xml:space="preserve">Incentivos financieros a la educación </w:t>
      </w:r>
    </w:p>
    <w:p w:rsidR="00000000" w:rsidRDefault="00000000">
      <w:pPr>
        <w:spacing w:after="240"/>
        <w:ind w:left="1134" w:hanging="567"/>
      </w:pPr>
      <w:r>
        <w:rPr>
          <w:b/>
          <w:bCs/>
        </w:rPr>
        <w:t>4.1.</w:t>
      </w:r>
      <w:r>
        <w:rPr>
          <w:b/>
          <w:bCs/>
        </w:rPr>
        <w:tab/>
        <w:t>Fortalecimiento de las Asociaciones de Cooperación Escolar (ACEs)</w:t>
      </w:r>
      <w:r>
        <w:t>.  Fortalece la experiencia exitosa de participación y gestión comunitaria existente en el Paraguay, mediante la transferencia de recursos a las ACEs.  Con ello se pretende mejorar la capacidad de organización de la comunidad educativa, la infraestructura escolar y la adquisición de equipamiento.</w:t>
      </w:r>
    </w:p>
    <w:p w:rsidR="00000000" w:rsidRDefault="00000000">
      <w:pPr>
        <w:spacing w:after="240"/>
        <w:ind w:left="1134" w:hanging="567"/>
        <w:rPr>
          <w:b/>
          <w:bCs/>
        </w:rPr>
      </w:pPr>
      <w:r>
        <w:rPr>
          <w:b/>
          <w:bCs/>
        </w:rPr>
        <w:t>4.2.</w:t>
      </w:r>
      <w:r>
        <w:rPr>
          <w:b/>
          <w:bCs/>
        </w:rPr>
        <w:tab/>
        <w:t>Provisión de becas para jóvenes de escasos recursos para proseguir sus estudios de enseñanza media</w:t>
      </w:r>
    </w:p>
    <w:p w:rsidR="00000000" w:rsidRDefault="00000000">
      <w:pPr>
        <w:spacing w:after="240"/>
        <w:ind w:left="1701" w:hanging="567"/>
        <w:rPr>
          <w:szCs w:val="22"/>
        </w:rPr>
      </w:pPr>
      <w:r>
        <w:rPr>
          <w:b/>
          <w:bCs/>
        </w:rPr>
        <w:t>a)</w:t>
      </w:r>
      <w:r>
        <w:rPr>
          <w:b/>
          <w:bCs/>
        </w:rPr>
        <w:tab/>
        <w:t xml:space="preserve">Programa de reforma de la educación con énfasis en la educación media. </w:t>
      </w:r>
      <w:r>
        <w:t xml:space="preserve"> Pr</w:t>
      </w:r>
      <w:r>
        <w:rPr>
          <w:bCs/>
          <w:szCs w:val="22"/>
        </w:rPr>
        <w:t>ograma sostenible de becas</w:t>
      </w:r>
      <w:r>
        <w:rPr>
          <w:szCs w:val="22"/>
        </w:rPr>
        <w:t xml:space="preserve">:  busca aumentar el índice de retención de jóvenes de escasos recursos económicos de entre 15 a 17 años en la escuela media.  En 2005 ha favorecido a </w:t>
      </w:r>
      <w:r>
        <w:rPr>
          <w:bCs/>
          <w:szCs w:val="22"/>
        </w:rPr>
        <w:t xml:space="preserve">2.807 </w:t>
      </w:r>
      <w:r>
        <w:rPr>
          <w:szCs w:val="22"/>
        </w:rPr>
        <w:t>jóvenes de la media de los departamentos de San Pedro, Caaguazú, Itapúa, Central, Guairá y Alto Paraná.</w:t>
      </w:r>
    </w:p>
    <w:p w:rsidR="00000000" w:rsidRDefault="00000000">
      <w:pPr>
        <w:spacing w:after="240"/>
        <w:ind w:left="1701" w:hanging="567"/>
        <w:rPr>
          <w:szCs w:val="22"/>
        </w:rPr>
      </w:pPr>
      <w:r>
        <w:rPr>
          <w:b/>
          <w:bCs/>
          <w:szCs w:val="22"/>
        </w:rPr>
        <w:t>b)</w:t>
      </w:r>
      <w:r>
        <w:rPr>
          <w:b/>
          <w:bCs/>
          <w:szCs w:val="22"/>
        </w:rPr>
        <w:tab/>
      </w:r>
      <w:r>
        <w:rPr>
          <w:b/>
          <w:bCs/>
        </w:rPr>
        <w:t>Consejo</w:t>
      </w:r>
      <w:r>
        <w:rPr>
          <w:b/>
          <w:bCs/>
          <w:szCs w:val="22"/>
        </w:rPr>
        <w:t xml:space="preserve"> Nacional de Becas.  </w:t>
      </w:r>
      <w:r>
        <w:rPr>
          <w:szCs w:val="22"/>
        </w:rPr>
        <w:t>Las ayudas que el Consejo otorga están destinadas a estudios de nivel terciario, formación docente, carreras de grado y posgrado (especializaciones, diplomados, maestrías y doctorados).  Las ayudas otorgadas a becarios con recursos económicos por el Consejo en 2005, en los distintos niveles de estudio, son las siguientes:  435 becarios de grado, 38 becarios de posgrado, 194 becarios de formación docente y 89 becarios de diversos cursos de perfeccionamiento en distintos países.</w:t>
      </w:r>
    </w:p>
    <w:p w:rsidR="00000000" w:rsidRDefault="00000000">
      <w:pPr>
        <w:autoSpaceDE w:val="0"/>
        <w:autoSpaceDN w:val="0"/>
        <w:adjustRightInd w:val="0"/>
        <w:spacing w:after="240"/>
      </w:pPr>
      <w:r>
        <w:t>597.</w:t>
      </w:r>
      <w:r>
        <w:tab/>
        <w:t>Entre las otras mediadas tendientes a garantizar el acceso igualitario a todos los niveles de educación se puede citar al Programa de Mejoramiento de la Educación Inicial y Preescolar.</w:t>
      </w:r>
    </w:p>
    <w:p w:rsidR="00000000" w:rsidRDefault="00000000">
      <w:pPr>
        <w:shd w:val="clear" w:color="auto" w:fill="FFFFFF"/>
        <w:spacing w:after="240"/>
        <w:ind w:right="-65"/>
        <w:rPr>
          <w:b/>
          <w:bCs/>
          <w:spacing w:val="2"/>
          <w:lang w:val="es-ES_tradnl"/>
        </w:rPr>
      </w:pPr>
      <w:r>
        <w:rPr>
          <w:b/>
          <w:bCs/>
          <w:lang w:val="es-ES_tradnl"/>
        </w:rPr>
        <w:t>5.</w:t>
      </w:r>
      <w:r>
        <w:rPr>
          <w:b/>
          <w:bCs/>
          <w:lang w:val="es-ES_tradnl"/>
        </w:rPr>
        <w:tab/>
      </w:r>
      <w:r>
        <w:rPr>
          <w:b/>
          <w:bCs/>
          <w:spacing w:val="2"/>
          <w:lang w:val="es-ES_tradnl"/>
        </w:rPr>
        <w:t>Situación del plantel docente</w:t>
      </w:r>
    </w:p>
    <w:p w:rsidR="00000000" w:rsidRDefault="00000000">
      <w:pPr>
        <w:autoSpaceDE w:val="0"/>
        <w:autoSpaceDN w:val="0"/>
        <w:adjustRightInd w:val="0"/>
        <w:spacing w:after="240"/>
        <w:rPr>
          <w:color w:val="000000"/>
          <w:szCs w:val="28"/>
        </w:rPr>
      </w:pPr>
      <w:r>
        <w:rPr>
          <w:color w:val="000000"/>
          <w:szCs w:val="28"/>
        </w:rPr>
        <w:t>598.</w:t>
      </w:r>
      <w:r>
        <w:rPr>
          <w:color w:val="000000"/>
          <w:szCs w:val="28"/>
        </w:rPr>
        <w:tab/>
        <w:t xml:space="preserve">Con relación a las condiciones del plantel docente en el país, en particular teniendo en cuenta la recomendación adoptada el 5 de octubre de 1966 por la Conferencia </w:t>
      </w:r>
      <w:r>
        <w:t>Intergubernamental</w:t>
      </w:r>
      <w:r>
        <w:rPr>
          <w:color w:val="000000"/>
          <w:szCs w:val="28"/>
        </w:rPr>
        <w:t xml:space="preserve"> en el Estatus de Profesores, convenida por la UNESCO, con relación al estatus del profesor, el marco legal que sustenta actualmente el ordenamiento administrativo del Ministerio de Educación y Cultura es la Ley general de educación Nº 1264 de 26 de mayo de 1998 que, en su capítulo III, sección II, regula el ejercicio de profesión de educador en sus artículos 133 a 136.  Asimismo, en su sección III, cuyo único artículo es el 137, prevé la elaboración de un Estatuto del Personal de la Educación, el cual se ha establecido a través de la Ley Nº 1725 de 13 de septiembre de 2001, las leyes marco que encuentran lógicamente su sustento en la Constitución nacional vigente desde el año 1992.</w:t>
      </w:r>
    </w:p>
    <w:p w:rsidR="00000000" w:rsidRDefault="00000000">
      <w:pPr>
        <w:autoSpaceDE w:val="0"/>
        <w:autoSpaceDN w:val="0"/>
        <w:adjustRightInd w:val="0"/>
        <w:spacing w:after="240"/>
        <w:rPr>
          <w:color w:val="000000"/>
          <w:szCs w:val="28"/>
        </w:rPr>
      </w:pPr>
      <w:r>
        <w:rPr>
          <w:color w:val="000000"/>
          <w:szCs w:val="28"/>
        </w:rPr>
        <w:t>599.</w:t>
      </w:r>
      <w:r>
        <w:rPr>
          <w:color w:val="000000"/>
          <w:szCs w:val="28"/>
        </w:rPr>
        <w:tab/>
        <w:t xml:space="preserve">Al analizar la implementación de tales recomendaciones sobre la situación del personal docente aprobada el 5 de octubre de 1966 por la Conferencia </w:t>
      </w:r>
      <w:r>
        <w:t>Intergubernamental</w:t>
      </w:r>
      <w:r>
        <w:rPr>
          <w:color w:val="000000"/>
          <w:szCs w:val="28"/>
        </w:rPr>
        <w:t xml:space="preserve"> Especial sobre en la Situación del Personal Docente, se puede destacar que se han respetado dichas recomendaciones, lo cual se deduce de la simple lectura del ordenamiento legal vigente. </w:t>
      </w:r>
    </w:p>
    <w:p w:rsidR="00000000" w:rsidRDefault="00000000">
      <w:pPr>
        <w:autoSpaceDE w:val="0"/>
        <w:autoSpaceDN w:val="0"/>
        <w:adjustRightInd w:val="0"/>
        <w:spacing w:after="240"/>
        <w:rPr>
          <w:color w:val="000000"/>
          <w:szCs w:val="28"/>
        </w:rPr>
      </w:pPr>
      <w:r>
        <w:rPr>
          <w:color w:val="000000"/>
          <w:szCs w:val="28"/>
        </w:rPr>
        <w:t>600.</w:t>
      </w:r>
      <w:r>
        <w:rPr>
          <w:color w:val="000000"/>
          <w:szCs w:val="28"/>
        </w:rPr>
        <w:tab/>
        <w:t xml:space="preserve">En particular, en lo concerniente al apartado VII (Contracción y carrera profesional), específicamente en el </w:t>
      </w:r>
      <w:r>
        <w:rPr>
          <w:iCs/>
          <w:color w:val="000000"/>
          <w:szCs w:val="28"/>
        </w:rPr>
        <w:t xml:space="preserve">Ingreso en la profesión docente, </w:t>
      </w:r>
      <w:r>
        <w:rPr>
          <w:color w:val="000000"/>
          <w:szCs w:val="28"/>
        </w:rPr>
        <w:t xml:space="preserve">actualmente existe una </w:t>
      </w:r>
      <w:r>
        <w:t>reglamentación</w:t>
      </w:r>
      <w:r>
        <w:rPr>
          <w:color w:val="000000"/>
          <w:szCs w:val="28"/>
        </w:rPr>
        <w:t xml:space="preserve"> acorde a lo recomendado en los numerales 38 y 39 del documento de referencia, la cual está dada por el Manual de Selección del Educador Profesional aprobado por la Resolución ministerial Nº 2520/05, de vigencia experimental por un año, la cual establece los criterios para la evaluación de los títulos y méritos y las evaluaciones escritas y orales como condición previa al ingreso de educadores profesionales matriculados en el sistema educativo nacional.  Este reglamento fue redactado en el marco de la política de contratación definida previamente por la Ley general de educación, artículo 135:  "Los educadores tiene derecho a:  inciso b) ingresar al ejercicio de la profesión mediante un sistema de concursos", y por la Ley del estatuto docente, capítulo IV - Del ingreso, ascenso, duración y permanencia en la carrera de educador, que en su artículo 16 reza:  "Los concursos de oposición serán organizados de acuerdo a la reglamentación vigente y quedarán a cargo de los organismos creados a este efecto en cada región".  En ese sentido cabe aclarar que en virtud de la reestructuración ordenada por resolución ministerial vigente desde el año 2004, actualmente este proceso se encuentra a cargo de la Dirección General de Recursos Humanos, a través de su Dirección de Concursos, la cual se encarga de encaminar el proceso, ejerciendo el control administrativo y técnico del mismo, lo cual responde a la nueva visión y política que actualmente se tiene de la Administración de los Recursos Humanos, abandonando el antiguo concepto de la mera administración y control del personal administrativo a través de una Dirección del Personal, lo cual sigue en vigencia como órgano encargado del personal de la Administración central pero dentro del esquema de una Dirección General de Recursos Humanos, la cual cuenta además con una Dirección de Evaluación y Formación Continua y una Dirección de Concursos Públicos de Oposición para el ingreso y ascenso del personal docente propiamente dicho.</w:t>
      </w:r>
    </w:p>
    <w:p w:rsidR="00000000" w:rsidRDefault="00000000">
      <w:pPr>
        <w:autoSpaceDE w:val="0"/>
        <w:autoSpaceDN w:val="0"/>
        <w:adjustRightInd w:val="0"/>
        <w:spacing w:after="240"/>
        <w:rPr>
          <w:color w:val="000000"/>
          <w:szCs w:val="28"/>
        </w:rPr>
      </w:pPr>
      <w:r>
        <w:rPr>
          <w:color w:val="000000"/>
          <w:szCs w:val="28"/>
        </w:rPr>
        <w:t>601.</w:t>
      </w:r>
      <w:r>
        <w:rPr>
          <w:color w:val="000000"/>
          <w:szCs w:val="28"/>
        </w:rPr>
        <w:tab/>
        <w:t xml:space="preserve">Los antecedentes de la reglamentación vigente son los Manuales de Selección de 2000 y 2004.  Sin embargo, es importante aclarar que el primero de los mencionados establecía criterios para la puntuación del legajo personal del docente, en lo que se conocía como Concurso de Méritos, sin evaluaciones de otra índole.  Posteriormente, para adecuar la reglamentación a la Ley Nº 1725/05, y en un trabajo conjunto de colaboración con los gremios docentes, siguiendo la Recomendación Nº 38 del documento </w:t>
      </w:r>
      <w:r>
        <w:t>en</w:t>
      </w:r>
      <w:r>
        <w:rPr>
          <w:color w:val="000000"/>
          <w:szCs w:val="28"/>
        </w:rPr>
        <w:t xml:space="preserve"> cuestión, se logró el Manual de Selección aprobado por Resolución ministerial Nº 16731/03 y los Perfiles requeridos para cargos concursables y puntajes para los concursos públicos de oposición, aprobado por Resolución ministerial Nº 1176/04. </w:t>
      </w:r>
    </w:p>
    <w:p w:rsidR="00000000" w:rsidRDefault="00000000">
      <w:pPr>
        <w:autoSpaceDE w:val="0"/>
        <w:autoSpaceDN w:val="0"/>
        <w:adjustRightInd w:val="0"/>
        <w:spacing w:after="240"/>
        <w:rPr>
          <w:color w:val="000000"/>
          <w:szCs w:val="28"/>
        </w:rPr>
      </w:pPr>
      <w:r>
        <w:rPr>
          <w:color w:val="000000"/>
          <w:szCs w:val="28"/>
        </w:rPr>
        <w:t>602.</w:t>
      </w:r>
      <w:r>
        <w:rPr>
          <w:color w:val="000000"/>
          <w:szCs w:val="28"/>
        </w:rPr>
        <w:tab/>
        <w:t xml:space="preserve">En cuanto al numeral 39 de las recomendaciones, la Ley Nº 1725 establece el mencionado período de pruebas puesto a consideración en el documento, el cual queda </w:t>
      </w:r>
      <w:r>
        <w:t>establecido</w:t>
      </w:r>
      <w:r>
        <w:rPr>
          <w:color w:val="000000"/>
          <w:szCs w:val="28"/>
        </w:rPr>
        <w:t xml:space="preserve"> por el artículo 22 en un año durante el cual será evaluado en su desempeño profesional y luego del cual, de ser confirmado, adquirirá la estabilidad en el cargo y en cuyo caso se computará ese período a todos los efectos legales.</w:t>
      </w:r>
    </w:p>
    <w:p w:rsidR="00000000" w:rsidRDefault="00000000">
      <w:pPr>
        <w:autoSpaceDE w:val="0"/>
        <w:autoSpaceDN w:val="0"/>
        <w:adjustRightInd w:val="0"/>
        <w:spacing w:after="240"/>
        <w:rPr>
          <w:color w:val="000000"/>
          <w:szCs w:val="28"/>
        </w:rPr>
      </w:pPr>
      <w:r>
        <w:rPr>
          <w:color w:val="000000"/>
          <w:szCs w:val="28"/>
        </w:rPr>
        <w:t>603.</w:t>
      </w:r>
      <w:r>
        <w:rPr>
          <w:color w:val="000000"/>
          <w:szCs w:val="28"/>
        </w:rPr>
        <w:tab/>
        <w:t xml:space="preserve">En cuanto al </w:t>
      </w:r>
      <w:r>
        <w:t>Ascenso</w:t>
      </w:r>
      <w:r>
        <w:rPr>
          <w:i/>
          <w:color w:val="000000"/>
          <w:szCs w:val="28"/>
        </w:rPr>
        <w:t xml:space="preserve"> y promoción </w:t>
      </w:r>
      <w:r>
        <w:rPr>
          <w:color w:val="000000"/>
          <w:szCs w:val="28"/>
        </w:rPr>
        <w:t>(numerales 40 y 41 de las Recomendaciones), éstas también se encuentran insertas en nuestras normativas a través del Manual de Selección del Educador Profesional, Resolución ministerial Nº 2520/05, en la que se detallan los perfiles requeridos tanto para el ingreso como para ocupar cargos de mayor responsabilidad dentro del sistema educativo nacional y, si bien es cierto que los mismos sólo rigen obligatoriamente en las instituciones educativas públicas, todas las instituciones que presten el servicio público de la educación deben ajustarse a ella en lo referente el perfil mínimo requerido para el ejercicio profesional de educador y la correspondiente evaluación de la integridad ética del mismo.</w:t>
      </w:r>
    </w:p>
    <w:p w:rsidR="00000000" w:rsidRDefault="00000000">
      <w:pPr>
        <w:autoSpaceDE w:val="0"/>
        <w:autoSpaceDN w:val="0"/>
        <w:adjustRightInd w:val="0"/>
        <w:spacing w:after="240"/>
        <w:rPr>
          <w:color w:val="000000"/>
          <w:szCs w:val="28"/>
        </w:rPr>
      </w:pPr>
      <w:r>
        <w:rPr>
          <w:color w:val="000000"/>
          <w:szCs w:val="28"/>
        </w:rPr>
        <w:t>604.</w:t>
      </w:r>
      <w:r>
        <w:rPr>
          <w:color w:val="000000"/>
          <w:szCs w:val="28"/>
        </w:rPr>
        <w:tab/>
        <w:t xml:space="preserve">En ese sentido hemos dado un salto cualitativo en cuanto a la promoción de docentes a cargos directivos y de supervisión al no tener en cuenta sólo la cuantificación de sus méritos </w:t>
      </w:r>
      <w:r>
        <w:t>académicos</w:t>
      </w:r>
      <w:r>
        <w:rPr>
          <w:color w:val="000000"/>
          <w:szCs w:val="28"/>
        </w:rPr>
        <w:t>, lo cual constituye el 50% del proceso de selección, sino que se han implementado evaluaciones tanto escritas como orales basadas en pruebas de conocimientos, aptitudinales y actitudinales, todo esto teniendo en cuenta el fin precipuo de la educación y los destinatarios de la misma, todo ello dentro de un marco de igualdad y transparencia de las gestiones, dando a conocer los mecanismos adoptados y, lo más importante aún, no sólo dando oportunidad en la elaboración de los instrumentos de selección a los gremios docentes, sino también incorporando la participación como miembros de las comisiones de selección de las cuales son miembros activos con todas las prerrogativas que ello implica, conjuntamente con los</w:t>
      </w:r>
      <w:r>
        <w:rPr>
          <w:color w:val="0000FF"/>
          <w:szCs w:val="28"/>
        </w:rPr>
        <w:t xml:space="preserve"> </w:t>
      </w:r>
      <w:r>
        <w:rPr>
          <w:szCs w:val="28"/>
        </w:rPr>
        <w:t>se</w:t>
      </w:r>
      <w:r>
        <w:rPr>
          <w:color w:val="000000"/>
          <w:szCs w:val="28"/>
        </w:rPr>
        <w:t>cretarios de educación de las gobernaciones y representantes de las cooperadoras escolares y municipios, que acompañan el proceso y que apunta a encontrar la calidad en los educadores que quieran asumir los diferentes cargos.</w:t>
      </w:r>
    </w:p>
    <w:p w:rsidR="00000000" w:rsidRDefault="00000000">
      <w:pPr>
        <w:keepNext/>
        <w:spacing w:after="240"/>
        <w:ind w:left="567"/>
        <w:rPr>
          <w:b/>
          <w:iCs/>
          <w:color w:val="000000"/>
          <w:szCs w:val="28"/>
        </w:rPr>
      </w:pPr>
      <w:r>
        <w:rPr>
          <w:b/>
          <w:iCs/>
          <w:color w:val="000000"/>
          <w:szCs w:val="28"/>
        </w:rPr>
        <w:t>5.1.</w:t>
      </w:r>
      <w:r>
        <w:rPr>
          <w:b/>
          <w:iCs/>
          <w:color w:val="000000"/>
          <w:szCs w:val="28"/>
        </w:rPr>
        <w:tab/>
        <w:t>Otros aspectos importantes</w:t>
      </w:r>
    </w:p>
    <w:p w:rsidR="00000000" w:rsidRDefault="00000000">
      <w:pPr>
        <w:autoSpaceDE w:val="0"/>
        <w:autoSpaceDN w:val="0"/>
        <w:adjustRightInd w:val="0"/>
        <w:spacing w:after="240"/>
        <w:rPr>
          <w:color w:val="000000"/>
          <w:szCs w:val="28"/>
        </w:rPr>
      </w:pPr>
      <w:r>
        <w:rPr>
          <w:color w:val="000000"/>
          <w:szCs w:val="28"/>
        </w:rPr>
        <w:t>605.</w:t>
      </w:r>
      <w:r>
        <w:rPr>
          <w:color w:val="000000"/>
          <w:szCs w:val="28"/>
        </w:rPr>
        <w:tab/>
        <w:t xml:space="preserve">Actualmente se encuentran prestando servicios en el sistema educativo un gran número de docentes no matriculados, a razón de que para ello se requiere el título habilitante y para lo cual se encuentran realizando la correspondiente profesionalización.  Esto se da exclusivamente en zonas rurales en las cuales los mismos cumplen una tarea por demás importante debido a la falta de recursos humanos titulados en esas zonas.  En ese sentido, es importante destacar que en las Disposiciones </w:t>
      </w:r>
      <w:r>
        <w:t>Finales,</w:t>
      </w:r>
      <w:r>
        <w:rPr>
          <w:color w:val="000000"/>
          <w:szCs w:val="28"/>
        </w:rPr>
        <w:t xml:space="preserve"> capítulo XII de la Ley Nº 1725, artículo 60, se establece que el personal no profesional que ejerce la enseñanza o cumple tareas de apoyo técnico administrativo en la educación al tiempo de la promulgación de dicha ley, contará con un plazo máximo de cinco años a partir de la fecha de promulgación para obtener el título habilitante y su matrícula.  Este plazo, por lo tanto, se cumple el 13 de septiembre de 2006.  Con miras a ello, este Ministerio ha implementado en su momento las respectivas oportunidades de profesionalización y capacitación, así como la formación docente continua, todo lo cual se hizo observando las recomendaciones de 1966. </w:t>
      </w:r>
    </w:p>
    <w:p w:rsidR="00000000" w:rsidRDefault="00000000">
      <w:pPr>
        <w:autoSpaceDE w:val="0"/>
        <w:autoSpaceDN w:val="0"/>
        <w:adjustRightInd w:val="0"/>
        <w:spacing w:after="240"/>
      </w:pPr>
      <w:r>
        <w:t>606.</w:t>
      </w:r>
      <w:r>
        <w:tab/>
        <w:t>A manera de conclusión, en lo que respecta al cumplimiento de las recomendaciones sobre la situación del personal docente, han sido plenamente respetadas en el ordenamiento legal vigente para la educación.  Asimismo, el marco legal vigente, y por lo tanto las medidas administrativas acordes al mismo, se encuentran contenidas o previstas en la Ley general de educación, el Estatuto del Docente y el Manual de Selección del Educador Profesional.</w:t>
      </w:r>
    </w:p>
    <w:p w:rsidR="00000000" w:rsidRDefault="00000000">
      <w:pPr>
        <w:spacing w:after="240"/>
        <w:rPr>
          <w:b/>
        </w:rPr>
      </w:pPr>
      <w:r>
        <w:rPr>
          <w:b/>
        </w:rPr>
        <w:t>6.</w:t>
      </w:r>
      <w:r>
        <w:rPr>
          <w:b/>
        </w:rPr>
        <w:tab/>
        <w:t>Evolución del salario del personal docente</w:t>
      </w:r>
    </w:p>
    <w:p w:rsidR="00000000" w:rsidRDefault="00000000">
      <w:pPr>
        <w:autoSpaceDE w:val="0"/>
        <w:autoSpaceDN w:val="0"/>
        <w:adjustRightInd w:val="0"/>
        <w:spacing w:after="240"/>
      </w:pPr>
      <w:r>
        <w:t>607.</w:t>
      </w:r>
      <w:r>
        <w:tab/>
        <w:t>Como se puede apreciar del cuadro esquemático a continuación, se observa un aumento sostenido del salario docente en la última década.</w:t>
      </w:r>
    </w:p>
    <w:p w:rsidR="00000000" w:rsidRDefault="00000000">
      <w:pPr>
        <w:keepNext/>
        <w:keepLines/>
        <w:spacing w:after="240"/>
        <w:jc w:val="center"/>
        <w:rPr>
          <w:b/>
          <w:bCs/>
        </w:rPr>
      </w:pPr>
      <w:r>
        <w:rPr>
          <w:b/>
          <w:bCs/>
          <w:szCs w:val="20"/>
        </w:rPr>
        <w:t xml:space="preserve">Evolución del salario docente, </w:t>
      </w:r>
      <w:r>
        <w:rPr>
          <w:b/>
          <w:bCs/>
        </w:rPr>
        <w:t>1994-2005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414"/>
        <w:gridCol w:w="1800"/>
        <w:gridCol w:w="2040"/>
        <w:gridCol w:w="3080"/>
        <w:gridCol w:w="50"/>
      </w:tblGrid>
      <w:tr w:rsidR="00000000">
        <w:trPr>
          <w:cantSplit/>
          <w:tblHeader/>
          <w:jc w:val="center"/>
        </w:trPr>
        <w:tc>
          <w:tcPr>
            <w:tcW w:w="1287" w:type="pct"/>
            <w:vMerge w:val="restart"/>
            <w:noWrap/>
            <w:tcMar>
              <w:top w:w="15" w:type="dxa"/>
              <w:left w:w="15" w:type="dxa"/>
              <w:bottom w:w="0" w:type="dxa"/>
              <w:right w:w="15" w:type="dxa"/>
            </w:tcMar>
            <w:vAlign w:val="center"/>
          </w:tcPr>
          <w:p w:rsidR="00000000" w:rsidRDefault="00000000">
            <w:pPr>
              <w:keepNext/>
              <w:keepLines/>
              <w:jc w:val="center"/>
              <w:rPr>
                <w:rFonts w:eastAsia="Arial Unicode MS"/>
                <w:b/>
                <w:bCs/>
                <w:szCs w:val="16"/>
              </w:rPr>
            </w:pPr>
            <w:r>
              <w:rPr>
                <w:b/>
                <w:bCs/>
                <w:szCs w:val="16"/>
              </w:rPr>
              <w:t>Años</w:t>
            </w:r>
          </w:p>
        </w:tc>
        <w:tc>
          <w:tcPr>
            <w:tcW w:w="2046" w:type="pct"/>
            <w:gridSpan w:val="2"/>
            <w:tcMar>
              <w:top w:w="15" w:type="dxa"/>
              <w:left w:w="15" w:type="dxa"/>
              <w:bottom w:w="0" w:type="dxa"/>
              <w:right w:w="15" w:type="dxa"/>
            </w:tcMar>
            <w:vAlign w:val="center"/>
          </w:tcPr>
          <w:p w:rsidR="00000000" w:rsidRDefault="00000000">
            <w:pPr>
              <w:keepNext/>
              <w:keepLines/>
              <w:jc w:val="center"/>
              <w:rPr>
                <w:rFonts w:eastAsia="Arial Unicode MS"/>
                <w:b/>
              </w:rPr>
            </w:pPr>
            <w:r>
              <w:rPr>
                <w:b/>
              </w:rPr>
              <w:t>Educación escolar básica</w:t>
            </w:r>
            <w:r>
              <w:rPr>
                <w:b/>
              </w:rPr>
              <w:br/>
              <w:t>(1</w:t>
            </w:r>
            <w:r>
              <w:rPr>
                <w:b/>
                <w:vertAlign w:val="superscript"/>
              </w:rPr>
              <w:t>er</w:t>
            </w:r>
            <w:r>
              <w:rPr>
                <w:b/>
              </w:rPr>
              <w:t xml:space="preserve"> y 2º ciclo)</w:t>
            </w:r>
          </w:p>
        </w:tc>
        <w:tc>
          <w:tcPr>
            <w:tcW w:w="1641" w:type="pct"/>
            <w:tcMar>
              <w:top w:w="15" w:type="dxa"/>
              <w:left w:w="15" w:type="dxa"/>
              <w:bottom w:w="0" w:type="dxa"/>
              <w:right w:w="15" w:type="dxa"/>
            </w:tcMar>
            <w:vAlign w:val="center"/>
          </w:tcPr>
          <w:p w:rsidR="00000000" w:rsidRDefault="00000000">
            <w:pPr>
              <w:keepNext/>
              <w:keepLines/>
              <w:jc w:val="center"/>
              <w:rPr>
                <w:rFonts w:eastAsia="Arial Unicode MS"/>
                <w:b/>
                <w:bCs/>
              </w:rPr>
            </w:pPr>
            <w:r>
              <w:rPr>
                <w:b/>
                <w:bCs/>
              </w:rPr>
              <w:t>Educación escolar básica (3</w:t>
            </w:r>
            <w:r>
              <w:rPr>
                <w:b/>
                <w:bCs/>
                <w:vertAlign w:val="superscript"/>
              </w:rPr>
              <w:t>er</w:t>
            </w:r>
            <w:r>
              <w:rPr>
                <w:b/>
                <w:bCs/>
              </w:rPr>
              <w:t> ciclo) y educación media</w:t>
            </w:r>
          </w:p>
        </w:tc>
        <w:tc>
          <w:tcPr>
            <w:tcW w:w="27" w:type="pct"/>
            <w:noWrap/>
            <w:tcMar>
              <w:top w:w="15" w:type="dxa"/>
              <w:left w:w="15" w:type="dxa"/>
              <w:bottom w:w="0" w:type="dxa"/>
              <w:right w:w="15" w:type="dxa"/>
            </w:tcMar>
            <w:vAlign w:val="bottom"/>
          </w:tcPr>
          <w:p w:rsidR="00000000" w:rsidRDefault="00000000">
            <w:pPr>
              <w:keepNext/>
              <w:keepLines/>
              <w:rPr>
                <w:rFonts w:eastAsia="Arial Unicode MS"/>
              </w:rPr>
            </w:pPr>
          </w:p>
        </w:tc>
      </w:tr>
      <w:tr w:rsidR="00000000">
        <w:trPr>
          <w:cantSplit/>
          <w:tblHeader/>
          <w:jc w:val="center"/>
        </w:trPr>
        <w:tc>
          <w:tcPr>
            <w:tcW w:w="1287" w:type="pct"/>
            <w:vMerge/>
            <w:vAlign w:val="center"/>
          </w:tcPr>
          <w:p w:rsidR="00000000" w:rsidRDefault="00000000">
            <w:pPr>
              <w:keepNext/>
              <w:keepLines/>
              <w:jc w:val="center"/>
              <w:rPr>
                <w:rFonts w:eastAsia="Arial Unicode MS"/>
                <w:b/>
                <w:bCs/>
                <w:szCs w:val="16"/>
              </w:rPr>
            </w:pPr>
          </w:p>
        </w:tc>
        <w:tc>
          <w:tcPr>
            <w:tcW w:w="959" w:type="pct"/>
            <w:noWrap/>
            <w:tcMar>
              <w:top w:w="15" w:type="dxa"/>
              <w:left w:w="15" w:type="dxa"/>
              <w:bottom w:w="0" w:type="dxa"/>
              <w:right w:w="15" w:type="dxa"/>
            </w:tcMar>
            <w:vAlign w:val="bottom"/>
          </w:tcPr>
          <w:p w:rsidR="00000000" w:rsidRDefault="00000000">
            <w:pPr>
              <w:keepNext/>
              <w:keepLines/>
              <w:jc w:val="center"/>
              <w:rPr>
                <w:rFonts w:eastAsia="Arial Unicode MS"/>
                <w:b/>
                <w:bCs/>
                <w:lang w:val="es-ES_tradnl"/>
              </w:rPr>
            </w:pPr>
            <w:r>
              <w:rPr>
                <w:b/>
                <w:bCs/>
                <w:lang w:val="es-ES_tradnl"/>
              </w:rPr>
              <w:t>1ª categoría</w:t>
            </w:r>
          </w:p>
        </w:tc>
        <w:tc>
          <w:tcPr>
            <w:tcW w:w="1087" w:type="pct"/>
            <w:noWrap/>
            <w:tcMar>
              <w:top w:w="15" w:type="dxa"/>
              <w:left w:w="15" w:type="dxa"/>
              <w:bottom w:w="0" w:type="dxa"/>
              <w:right w:w="15" w:type="dxa"/>
            </w:tcMar>
            <w:vAlign w:val="bottom"/>
          </w:tcPr>
          <w:p w:rsidR="00000000" w:rsidRDefault="00000000">
            <w:pPr>
              <w:keepNext/>
              <w:keepLines/>
              <w:jc w:val="center"/>
              <w:rPr>
                <w:rFonts w:eastAsia="Arial Unicode MS"/>
                <w:b/>
                <w:bCs/>
                <w:lang w:val="es-ES_tradnl"/>
              </w:rPr>
            </w:pPr>
            <w:r>
              <w:rPr>
                <w:b/>
                <w:bCs/>
                <w:lang w:val="es-ES_tradnl"/>
              </w:rPr>
              <w:t>Bachiller docente</w:t>
            </w:r>
          </w:p>
        </w:tc>
        <w:tc>
          <w:tcPr>
            <w:tcW w:w="1641" w:type="pct"/>
            <w:noWrap/>
            <w:tcMar>
              <w:top w:w="15" w:type="dxa"/>
              <w:left w:w="15" w:type="dxa"/>
              <w:bottom w:w="0" w:type="dxa"/>
              <w:right w:w="15" w:type="dxa"/>
            </w:tcMar>
            <w:vAlign w:val="bottom"/>
          </w:tcPr>
          <w:p w:rsidR="00000000" w:rsidRDefault="00000000">
            <w:pPr>
              <w:keepNext/>
              <w:keepLines/>
              <w:jc w:val="center"/>
              <w:rPr>
                <w:rFonts w:eastAsia="Arial Unicode MS"/>
                <w:b/>
                <w:bCs/>
              </w:rPr>
            </w:pPr>
            <w:r>
              <w:rPr>
                <w:b/>
                <w:bCs/>
              </w:rPr>
              <w:t>Horas cátedra</w:t>
            </w:r>
          </w:p>
        </w:tc>
        <w:tc>
          <w:tcPr>
            <w:tcW w:w="27" w:type="pct"/>
            <w:noWrap/>
            <w:tcMar>
              <w:top w:w="15" w:type="dxa"/>
              <w:left w:w="15" w:type="dxa"/>
              <w:bottom w:w="0" w:type="dxa"/>
              <w:right w:w="15" w:type="dxa"/>
            </w:tcMar>
            <w:vAlign w:val="bottom"/>
          </w:tcPr>
          <w:p w:rsidR="00000000" w:rsidRDefault="00000000">
            <w:pPr>
              <w:keepNext/>
              <w:keepLines/>
              <w:rPr>
                <w:rFonts w:eastAsia="Arial Unicode MS"/>
              </w:rPr>
            </w:pPr>
          </w:p>
        </w:tc>
      </w:tr>
      <w:tr w:rsidR="00000000">
        <w:trPr>
          <w:cantSplit/>
          <w:tblHeader/>
          <w:jc w:val="center"/>
        </w:trPr>
        <w:tc>
          <w:tcPr>
            <w:tcW w:w="1287" w:type="pct"/>
            <w:vMerge/>
            <w:vAlign w:val="center"/>
          </w:tcPr>
          <w:p w:rsidR="00000000" w:rsidRDefault="00000000">
            <w:pPr>
              <w:keepNext/>
              <w:keepLines/>
              <w:jc w:val="center"/>
              <w:rPr>
                <w:rFonts w:eastAsia="Arial Unicode MS"/>
                <w:b/>
                <w:bCs/>
                <w:szCs w:val="16"/>
              </w:rPr>
            </w:pPr>
          </w:p>
        </w:tc>
        <w:tc>
          <w:tcPr>
            <w:tcW w:w="2046" w:type="pct"/>
            <w:gridSpan w:val="2"/>
            <w:noWrap/>
            <w:tcMar>
              <w:top w:w="15" w:type="dxa"/>
              <w:left w:w="15" w:type="dxa"/>
              <w:bottom w:w="0" w:type="dxa"/>
              <w:right w:w="15" w:type="dxa"/>
            </w:tcMar>
            <w:vAlign w:val="center"/>
          </w:tcPr>
          <w:p w:rsidR="00000000" w:rsidRDefault="00000000">
            <w:pPr>
              <w:keepNext/>
              <w:keepLines/>
              <w:jc w:val="center"/>
              <w:rPr>
                <w:rFonts w:eastAsia="Arial Unicode MS"/>
                <w:b/>
                <w:bCs/>
                <w:szCs w:val="16"/>
              </w:rPr>
            </w:pPr>
            <w:r>
              <w:rPr>
                <w:rFonts w:eastAsia="Arial Unicode MS"/>
                <w:b/>
                <w:bCs/>
                <w:szCs w:val="16"/>
              </w:rPr>
              <w:t>(Guaraníes)</w:t>
            </w:r>
          </w:p>
        </w:tc>
        <w:tc>
          <w:tcPr>
            <w:tcW w:w="1641" w:type="pct"/>
            <w:noWrap/>
            <w:tcMar>
              <w:top w:w="15" w:type="dxa"/>
              <w:left w:w="15" w:type="dxa"/>
              <w:bottom w:w="0" w:type="dxa"/>
              <w:right w:w="15" w:type="dxa"/>
            </w:tcMar>
            <w:vAlign w:val="bottom"/>
          </w:tcPr>
          <w:p w:rsidR="00000000" w:rsidRDefault="00000000">
            <w:pPr>
              <w:keepNext/>
              <w:keepLines/>
              <w:jc w:val="center"/>
              <w:rPr>
                <w:rFonts w:eastAsia="Arial Unicode MS"/>
                <w:b/>
                <w:bCs/>
                <w:szCs w:val="16"/>
              </w:rPr>
            </w:pPr>
            <w:r>
              <w:rPr>
                <w:b/>
                <w:bCs/>
                <w:szCs w:val="16"/>
              </w:rPr>
              <w:t>(Guaraníes por hora)</w:t>
            </w:r>
          </w:p>
        </w:tc>
        <w:tc>
          <w:tcPr>
            <w:tcW w:w="27" w:type="pct"/>
            <w:noWrap/>
            <w:tcMar>
              <w:top w:w="15" w:type="dxa"/>
              <w:left w:w="15" w:type="dxa"/>
              <w:bottom w:w="0" w:type="dxa"/>
              <w:right w:w="15" w:type="dxa"/>
            </w:tcMar>
            <w:vAlign w:val="bottom"/>
          </w:tcPr>
          <w:p w:rsidR="00000000" w:rsidRDefault="00000000">
            <w:pPr>
              <w:keepNext/>
              <w:keepLines/>
              <w:rPr>
                <w:rFonts w:eastAsia="Arial Unicode MS"/>
              </w:rPr>
            </w:pPr>
          </w:p>
        </w:tc>
      </w:tr>
      <w:tr w:rsidR="00000000">
        <w:trPr>
          <w:jc w:val="center"/>
        </w:trPr>
        <w:tc>
          <w:tcPr>
            <w:tcW w:w="1287" w:type="pct"/>
            <w:noWrap/>
            <w:tcMar>
              <w:top w:w="15" w:type="dxa"/>
              <w:left w:w="15" w:type="dxa"/>
              <w:bottom w:w="0" w:type="dxa"/>
              <w:right w:w="15" w:type="dxa"/>
            </w:tcMar>
            <w:vAlign w:val="center"/>
          </w:tcPr>
          <w:p w:rsidR="00000000" w:rsidRDefault="00000000">
            <w:pPr>
              <w:keepNext/>
              <w:keepLines/>
              <w:jc w:val="center"/>
              <w:rPr>
                <w:rFonts w:eastAsia="Arial Unicode MS"/>
                <w:lang w:val="es-ES_tradnl"/>
              </w:rPr>
            </w:pPr>
            <w:r>
              <w:rPr>
                <w:lang w:val="es-ES_tradnl"/>
              </w:rPr>
              <w:t>1994</w:t>
            </w:r>
          </w:p>
        </w:tc>
        <w:tc>
          <w:tcPr>
            <w:tcW w:w="959" w:type="pct"/>
            <w:noWrap/>
            <w:tcMar>
              <w:top w:w="15" w:type="dxa"/>
              <w:left w:w="15" w:type="dxa"/>
              <w:bottom w:w="0" w:type="dxa"/>
              <w:right w:w="15" w:type="dxa"/>
            </w:tcMar>
            <w:vAlign w:val="center"/>
          </w:tcPr>
          <w:p w:rsidR="00000000" w:rsidRDefault="00000000">
            <w:pPr>
              <w:keepNext/>
              <w:keepLines/>
              <w:jc w:val="center"/>
              <w:rPr>
                <w:rFonts w:eastAsia="Arial Unicode MS"/>
                <w:lang w:val="es-ES_tradnl"/>
              </w:rPr>
            </w:pPr>
            <w:r>
              <w:rPr>
                <w:lang w:val="es-ES_tradnl"/>
              </w:rPr>
              <w:t>423.700</w:t>
            </w:r>
          </w:p>
        </w:tc>
        <w:tc>
          <w:tcPr>
            <w:tcW w:w="1087" w:type="pct"/>
            <w:noWrap/>
            <w:tcMar>
              <w:top w:w="15" w:type="dxa"/>
              <w:left w:w="15" w:type="dxa"/>
              <w:bottom w:w="0" w:type="dxa"/>
              <w:right w:w="15" w:type="dxa"/>
            </w:tcMar>
            <w:vAlign w:val="center"/>
          </w:tcPr>
          <w:p w:rsidR="00000000" w:rsidRDefault="00000000">
            <w:pPr>
              <w:keepNext/>
              <w:keepLines/>
              <w:jc w:val="center"/>
              <w:rPr>
                <w:rFonts w:eastAsia="Arial Unicode MS"/>
                <w:lang w:val="es-ES_tradnl"/>
              </w:rPr>
            </w:pPr>
            <w:r>
              <w:rPr>
                <w:lang w:val="es-ES_tradnl"/>
              </w:rPr>
              <w:t>274.100</w:t>
            </w:r>
          </w:p>
        </w:tc>
        <w:tc>
          <w:tcPr>
            <w:tcW w:w="1641" w:type="pct"/>
            <w:noWrap/>
            <w:tcMar>
              <w:top w:w="15" w:type="dxa"/>
              <w:left w:w="15" w:type="dxa"/>
              <w:bottom w:w="0" w:type="dxa"/>
              <w:right w:w="15" w:type="dxa"/>
            </w:tcMar>
            <w:vAlign w:val="bottom"/>
          </w:tcPr>
          <w:p w:rsidR="00000000" w:rsidRDefault="00000000">
            <w:pPr>
              <w:keepNext/>
              <w:keepLines/>
              <w:ind w:right="1145"/>
              <w:jc w:val="right"/>
              <w:rPr>
                <w:rFonts w:eastAsia="Arial Unicode MS"/>
                <w:lang w:val="es-ES_tradnl"/>
              </w:rPr>
            </w:pPr>
            <w:r>
              <w:rPr>
                <w:lang w:val="es-ES_tradnl"/>
              </w:rPr>
              <w:t>5.300</w:t>
            </w:r>
          </w:p>
        </w:tc>
        <w:tc>
          <w:tcPr>
            <w:tcW w:w="27" w:type="pct"/>
            <w:noWrap/>
            <w:tcMar>
              <w:top w:w="15" w:type="dxa"/>
              <w:left w:w="15" w:type="dxa"/>
              <w:bottom w:w="0" w:type="dxa"/>
              <w:right w:w="15" w:type="dxa"/>
            </w:tcMar>
            <w:vAlign w:val="bottom"/>
          </w:tcPr>
          <w:p w:rsidR="00000000" w:rsidRDefault="00000000">
            <w:pPr>
              <w:keepNext/>
              <w:keepLines/>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1995</w:t>
            </w:r>
          </w:p>
        </w:tc>
        <w:tc>
          <w:tcPr>
            <w:tcW w:w="959"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489.400</w:t>
            </w:r>
          </w:p>
        </w:tc>
        <w:tc>
          <w:tcPr>
            <w:tcW w:w="10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316.600</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6.120</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1996</w:t>
            </w:r>
          </w:p>
        </w:tc>
        <w:tc>
          <w:tcPr>
            <w:tcW w:w="959"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538.300</w:t>
            </w:r>
          </w:p>
        </w:tc>
        <w:tc>
          <w:tcPr>
            <w:tcW w:w="10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348.300</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6.730</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1997</w:t>
            </w:r>
          </w:p>
        </w:tc>
        <w:tc>
          <w:tcPr>
            <w:tcW w:w="959"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538.300</w:t>
            </w:r>
          </w:p>
        </w:tc>
        <w:tc>
          <w:tcPr>
            <w:tcW w:w="10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348.300</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6.730</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1998</w:t>
            </w:r>
          </w:p>
        </w:tc>
        <w:tc>
          <w:tcPr>
            <w:tcW w:w="959"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613.660</w:t>
            </w:r>
          </w:p>
        </w:tc>
        <w:tc>
          <w:tcPr>
            <w:tcW w:w="10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397.060</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7.400</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1999</w:t>
            </w:r>
            <w:r>
              <w:rPr>
                <w:lang w:val="es-ES_tradnl"/>
              </w:rPr>
              <w:br/>
              <w:t>(1</w:t>
            </w:r>
            <w:r>
              <w:rPr>
                <w:vertAlign w:val="superscript"/>
                <w:lang w:val="es-ES_tradnl"/>
              </w:rPr>
              <w:t>er</w:t>
            </w:r>
            <w:r>
              <w:rPr>
                <w:lang w:val="es-ES_tradnl"/>
              </w:rPr>
              <w:t xml:space="preserve"> semestre)</w:t>
            </w:r>
          </w:p>
        </w:tc>
        <w:tc>
          <w:tcPr>
            <w:tcW w:w="959" w:type="pct"/>
            <w:noWrap/>
            <w:tcMar>
              <w:top w:w="15" w:type="dxa"/>
              <w:left w:w="15" w:type="dxa"/>
              <w:bottom w:w="0" w:type="dxa"/>
              <w:right w:w="15" w:type="dxa"/>
            </w:tcMar>
            <w:vAlign w:val="bottom"/>
          </w:tcPr>
          <w:p w:rsidR="00000000" w:rsidRDefault="00000000">
            <w:pPr>
              <w:jc w:val="center"/>
              <w:rPr>
                <w:rFonts w:eastAsia="Arial Unicode MS"/>
                <w:lang w:val="es-ES_tradnl"/>
              </w:rPr>
            </w:pPr>
            <w:r>
              <w:rPr>
                <w:lang w:val="es-ES_tradnl"/>
              </w:rPr>
              <w:t>650.480</w:t>
            </w:r>
          </w:p>
        </w:tc>
        <w:tc>
          <w:tcPr>
            <w:tcW w:w="1087" w:type="pct"/>
            <w:noWrap/>
            <w:tcMar>
              <w:top w:w="15" w:type="dxa"/>
              <w:left w:w="15" w:type="dxa"/>
              <w:bottom w:w="0" w:type="dxa"/>
              <w:right w:w="15" w:type="dxa"/>
            </w:tcMar>
            <w:vAlign w:val="bottom"/>
          </w:tcPr>
          <w:p w:rsidR="00000000" w:rsidRDefault="00000000">
            <w:pPr>
              <w:jc w:val="center"/>
              <w:rPr>
                <w:rFonts w:eastAsia="Arial Unicode MS"/>
                <w:lang w:val="es-ES_tradnl"/>
              </w:rPr>
            </w:pPr>
            <w:r>
              <w:rPr>
                <w:lang w:val="es-ES_tradnl"/>
              </w:rPr>
              <w:t>420.884</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7.844</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1999</w:t>
            </w:r>
            <w:r>
              <w:rPr>
                <w:lang w:val="es-ES_tradnl"/>
              </w:rPr>
              <w:br/>
              <w:t>(2º semestre)</w:t>
            </w:r>
          </w:p>
        </w:tc>
        <w:tc>
          <w:tcPr>
            <w:tcW w:w="959" w:type="pct"/>
            <w:noWrap/>
            <w:tcMar>
              <w:top w:w="15" w:type="dxa"/>
              <w:left w:w="15" w:type="dxa"/>
              <w:bottom w:w="0" w:type="dxa"/>
              <w:right w:w="15" w:type="dxa"/>
            </w:tcMar>
            <w:vAlign w:val="bottom"/>
          </w:tcPr>
          <w:p w:rsidR="00000000" w:rsidRDefault="00000000">
            <w:pPr>
              <w:jc w:val="center"/>
              <w:rPr>
                <w:rFonts w:eastAsia="Arial Unicode MS"/>
                <w:lang w:val="es-ES_tradnl"/>
              </w:rPr>
            </w:pPr>
            <w:r>
              <w:rPr>
                <w:lang w:val="es-ES_tradnl"/>
              </w:rPr>
              <w:t>689.508</w:t>
            </w:r>
          </w:p>
        </w:tc>
        <w:tc>
          <w:tcPr>
            <w:tcW w:w="1087" w:type="pct"/>
            <w:noWrap/>
            <w:tcMar>
              <w:top w:w="15" w:type="dxa"/>
              <w:left w:w="15" w:type="dxa"/>
              <w:bottom w:w="0" w:type="dxa"/>
              <w:right w:w="15" w:type="dxa"/>
            </w:tcMar>
            <w:vAlign w:val="bottom"/>
          </w:tcPr>
          <w:p w:rsidR="00000000" w:rsidRDefault="00000000">
            <w:pPr>
              <w:jc w:val="center"/>
              <w:rPr>
                <w:rFonts w:eastAsia="Arial Unicode MS"/>
                <w:lang w:val="es-ES_tradnl"/>
              </w:rPr>
            </w:pPr>
            <w:r>
              <w:rPr>
                <w:lang w:val="es-ES_tradnl"/>
              </w:rPr>
              <w:t>446.137</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8.315</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2000</w:t>
            </w:r>
          </w:p>
        </w:tc>
        <w:tc>
          <w:tcPr>
            <w:tcW w:w="959"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758.400</w:t>
            </w:r>
          </w:p>
        </w:tc>
        <w:tc>
          <w:tcPr>
            <w:tcW w:w="10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490.700</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9.100</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2001</w:t>
            </w:r>
          </w:p>
        </w:tc>
        <w:tc>
          <w:tcPr>
            <w:tcW w:w="959"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758.400</w:t>
            </w:r>
          </w:p>
        </w:tc>
        <w:tc>
          <w:tcPr>
            <w:tcW w:w="10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490.700</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9.100</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2002</w:t>
            </w:r>
          </w:p>
        </w:tc>
        <w:tc>
          <w:tcPr>
            <w:tcW w:w="959"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758.400</w:t>
            </w:r>
          </w:p>
        </w:tc>
        <w:tc>
          <w:tcPr>
            <w:tcW w:w="1087" w:type="pct"/>
            <w:noWrap/>
            <w:tcMar>
              <w:top w:w="15" w:type="dxa"/>
              <w:left w:w="15" w:type="dxa"/>
              <w:bottom w:w="0" w:type="dxa"/>
              <w:right w:w="15" w:type="dxa"/>
            </w:tcMar>
            <w:vAlign w:val="center"/>
          </w:tcPr>
          <w:p w:rsidR="00000000" w:rsidRDefault="00000000">
            <w:pPr>
              <w:jc w:val="center"/>
              <w:rPr>
                <w:rFonts w:eastAsia="Arial Unicode MS"/>
                <w:lang w:val="es-ES_tradnl"/>
              </w:rPr>
            </w:pPr>
            <w:r>
              <w:rPr>
                <w:lang w:val="es-ES_tradnl"/>
              </w:rPr>
              <w:t>490.700</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lang w:val="es-ES_tradnl"/>
              </w:rPr>
            </w:pPr>
            <w:r>
              <w:rPr>
                <w:lang w:val="es-ES_tradnl"/>
              </w:rPr>
              <w:t>9.100</w:t>
            </w:r>
          </w:p>
        </w:tc>
        <w:tc>
          <w:tcPr>
            <w:tcW w:w="27" w:type="pct"/>
            <w:noWrap/>
            <w:tcMar>
              <w:top w:w="15" w:type="dxa"/>
              <w:left w:w="15" w:type="dxa"/>
              <w:bottom w:w="0" w:type="dxa"/>
              <w:right w:w="15" w:type="dxa"/>
            </w:tcMar>
            <w:vAlign w:val="bottom"/>
          </w:tcPr>
          <w:p w:rsidR="00000000" w:rsidRDefault="00000000">
            <w:pPr>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keepNext/>
              <w:jc w:val="center"/>
              <w:rPr>
                <w:rFonts w:eastAsia="Arial Unicode MS"/>
                <w:lang w:val="es-ES_tradnl"/>
              </w:rPr>
            </w:pPr>
            <w:r>
              <w:rPr>
                <w:lang w:val="es-ES_tradnl"/>
              </w:rPr>
              <w:t>2003</w:t>
            </w:r>
          </w:p>
        </w:tc>
        <w:tc>
          <w:tcPr>
            <w:tcW w:w="959" w:type="pct"/>
            <w:noWrap/>
            <w:tcMar>
              <w:top w:w="15" w:type="dxa"/>
              <w:left w:w="15" w:type="dxa"/>
              <w:bottom w:w="0" w:type="dxa"/>
              <w:right w:w="15" w:type="dxa"/>
            </w:tcMar>
            <w:vAlign w:val="center"/>
          </w:tcPr>
          <w:p w:rsidR="00000000" w:rsidRDefault="00000000">
            <w:pPr>
              <w:keepNext/>
              <w:jc w:val="center"/>
              <w:rPr>
                <w:rFonts w:eastAsia="Arial Unicode MS"/>
                <w:lang w:val="es-ES_tradnl"/>
              </w:rPr>
            </w:pPr>
            <w:r>
              <w:rPr>
                <w:lang w:val="es-ES_tradnl"/>
              </w:rPr>
              <w:t>758.400</w:t>
            </w:r>
          </w:p>
        </w:tc>
        <w:tc>
          <w:tcPr>
            <w:tcW w:w="1087" w:type="pct"/>
            <w:noWrap/>
            <w:tcMar>
              <w:top w:w="15" w:type="dxa"/>
              <w:left w:w="15" w:type="dxa"/>
              <w:bottom w:w="0" w:type="dxa"/>
              <w:right w:w="15" w:type="dxa"/>
            </w:tcMar>
            <w:vAlign w:val="center"/>
          </w:tcPr>
          <w:p w:rsidR="00000000" w:rsidRDefault="00000000">
            <w:pPr>
              <w:keepNext/>
              <w:jc w:val="center"/>
              <w:rPr>
                <w:rFonts w:eastAsia="Arial Unicode MS"/>
                <w:lang w:val="es-ES_tradnl"/>
              </w:rPr>
            </w:pPr>
            <w:r>
              <w:rPr>
                <w:lang w:val="es-ES_tradnl"/>
              </w:rPr>
              <w:t>490.700</w:t>
            </w:r>
          </w:p>
        </w:tc>
        <w:tc>
          <w:tcPr>
            <w:tcW w:w="1641" w:type="pct"/>
            <w:noWrap/>
            <w:tcMar>
              <w:top w:w="15" w:type="dxa"/>
              <w:left w:w="15" w:type="dxa"/>
              <w:bottom w:w="0" w:type="dxa"/>
              <w:right w:w="15" w:type="dxa"/>
            </w:tcMar>
            <w:vAlign w:val="bottom"/>
          </w:tcPr>
          <w:p w:rsidR="00000000" w:rsidRDefault="00000000">
            <w:pPr>
              <w:keepNext/>
              <w:ind w:right="1145"/>
              <w:jc w:val="right"/>
              <w:rPr>
                <w:rFonts w:eastAsia="Arial Unicode MS"/>
                <w:lang w:val="es-ES_tradnl"/>
              </w:rPr>
            </w:pPr>
            <w:r>
              <w:rPr>
                <w:lang w:val="es-ES_tradnl"/>
              </w:rPr>
              <w:t>9.100</w:t>
            </w:r>
          </w:p>
        </w:tc>
        <w:tc>
          <w:tcPr>
            <w:tcW w:w="27" w:type="pct"/>
            <w:noWrap/>
            <w:tcMar>
              <w:top w:w="15" w:type="dxa"/>
              <w:left w:w="15" w:type="dxa"/>
              <w:bottom w:w="0" w:type="dxa"/>
              <w:right w:w="15" w:type="dxa"/>
            </w:tcMar>
            <w:vAlign w:val="bottom"/>
          </w:tcPr>
          <w:p w:rsidR="00000000" w:rsidRDefault="00000000">
            <w:pPr>
              <w:keepNext/>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keepNext/>
              <w:jc w:val="center"/>
              <w:rPr>
                <w:rFonts w:eastAsia="Arial Unicode MS"/>
                <w:lang w:val="es-ES_tradnl"/>
              </w:rPr>
            </w:pPr>
            <w:r>
              <w:rPr>
                <w:lang w:val="es-ES_tradnl"/>
              </w:rPr>
              <w:t>2004</w:t>
            </w:r>
          </w:p>
        </w:tc>
        <w:tc>
          <w:tcPr>
            <w:tcW w:w="959" w:type="pct"/>
            <w:noWrap/>
            <w:tcMar>
              <w:top w:w="15" w:type="dxa"/>
              <w:left w:w="15" w:type="dxa"/>
              <w:bottom w:w="0" w:type="dxa"/>
              <w:right w:w="15" w:type="dxa"/>
            </w:tcMar>
            <w:vAlign w:val="center"/>
          </w:tcPr>
          <w:p w:rsidR="00000000" w:rsidRDefault="00000000">
            <w:pPr>
              <w:keepNext/>
              <w:jc w:val="center"/>
              <w:rPr>
                <w:rFonts w:eastAsia="Arial Unicode MS"/>
                <w:lang w:val="es-ES_tradnl"/>
              </w:rPr>
            </w:pPr>
            <w:r>
              <w:rPr>
                <w:lang w:val="es-ES_tradnl"/>
              </w:rPr>
              <w:t>823.622</w:t>
            </w:r>
          </w:p>
        </w:tc>
        <w:tc>
          <w:tcPr>
            <w:tcW w:w="1087" w:type="pct"/>
            <w:noWrap/>
            <w:tcMar>
              <w:top w:w="15" w:type="dxa"/>
              <w:left w:w="15" w:type="dxa"/>
              <w:bottom w:w="0" w:type="dxa"/>
              <w:right w:w="15" w:type="dxa"/>
            </w:tcMar>
            <w:vAlign w:val="center"/>
          </w:tcPr>
          <w:p w:rsidR="00000000" w:rsidRDefault="00000000">
            <w:pPr>
              <w:keepNext/>
              <w:jc w:val="center"/>
              <w:rPr>
                <w:rFonts w:eastAsia="Arial Unicode MS"/>
                <w:lang w:val="es-ES_tradnl"/>
              </w:rPr>
            </w:pPr>
            <w:r>
              <w:rPr>
                <w:lang w:val="es-ES_tradnl"/>
              </w:rPr>
              <w:t>532.900</w:t>
            </w:r>
          </w:p>
        </w:tc>
        <w:tc>
          <w:tcPr>
            <w:tcW w:w="1641" w:type="pct"/>
            <w:noWrap/>
            <w:tcMar>
              <w:top w:w="15" w:type="dxa"/>
              <w:left w:w="15" w:type="dxa"/>
              <w:bottom w:w="0" w:type="dxa"/>
              <w:right w:w="15" w:type="dxa"/>
            </w:tcMar>
            <w:vAlign w:val="bottom"/>
          </w:tcPr>
          <w:p w:rsidR="00000000" w:rsidRDefault="00000000">
            <w:pPr>
              <w:keepNext/>
              <w:ind w:right="1145"/>
              <w:jc w:val="right"/>
              <w:rPr>
                <w:rFonts w:eastAsia="Arial Unicode MS"/>
                <w:lang w:val="es-ES_tradnl"/>
              </w:rPr>
            </w:pPr>
            <w:r>
              <w:rPr>
                <w:lang w:val="es-ES_tradnl"/>
              </w:rPr>
              <w:t>10.000</w:t>
            </w:r>
          </w:p>
        </w:tc>
        <w:tc>
          <w:tcPr>
            <w:tcW w:w="27" w:type="pct"/>
            <w:noWrap/>
            <w:tcMar>
              <w:top w:w="15" w:type="dxa"/>
              <w:left w:w="15" w:type="dxa"/>
              <w:bottom w:w="0" w:type="dxa"/>
              <w:right w:w="15" w:type="dxa"/>
            </w:tcMar>
            <w:vAlign w:val="bottom"/>
          </w:tcPr>
          <w:p w:rsidR="00000000" w:rsidRDefault="00000000">
            <w:pPr>
              <w:keepNext/>
              <w:rPr>
                <w:rFonts w:eastAsia="Arial Unicode MS"/>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jc w:val="center"/>
              <w:rPr>
                <w:rFonts w:eastAsia="Arial Unicode MS"/>
              </w:rPr>
            </w:pPr>
            <w:r>
              <w:t>2005</w:t>
            </w:r>
          </w:p>
        </w:tc>
        <w:tc>
          <w:tcPr>
            <w:tcW w:w="959" w:type="pct"/>
            <w:noWrap/>
            <w:tcMar>
              <w:top w:w="15" w:type="dxa"/>
              <w:left w:w="15" w:type="dxa"/>
              <w:bottom w:w="0" w:type="dxa"/>
              <w:right w:w="15" w:type="dxa"/>
            </w:tcMar>
            <w:vAlign w:val="center"/>
          </w:tcPr>
          <w:p w:rsidR="00000000" w:rsidRDefault="00000000">
            <w:pPr>
              <w:jc w:val="center"/>
              <w:rPr>
                <w:rFonts w:eastAsia="Arial Unicode MS"/>
              </w:rPr>
            </w:pPr>
            <w:r>
              <w:t>823.622</w:t>
            </w:r>
          </w:p>
        </w:tc>
        <w:tc>
          <w:tcPr>
            <w:tcW w:w="1087" w:type="pct"/>
            <w:noWrap/>
            <w:tcMar>
              <w:top w:w="15" w:type="dxa"/>
              <w:left w:w="15" w:type="dxa"/>
              <w:bottom w:w="0" w:type="dxa"/>
              <w:right w:w="15" w:type="dxa"/>
            </w:tcMar>
            <w:vAlign w:val="center"/>
          </w:tcPr>
          <w:p w:rsidR="00000000" w:rsidRDefault="00000000">
            <w:pPr>
              <w:jc w:val="center"/>
              <w:rPr>
                <w:rFonts w:eastAsia="Arial Unicode MS"/>
              </w:rPr>
            </w:pPr>
            <w:r>
              <w:t>532.900</w:t>
            </w:r>
          </w:p>
        </w:tc>
        <w:tc>
          <w:tcPr>
            <w:tcW w:w="1641" w:type="pct"/>
            <w:noWrap/>
            <w:tcMar>
              <w:top w:w="15" w:type="dxa"/>
              <w:left w:w="15" w:type="dxa"/>
              <w:bottom w:w="0" w:type="dxa"/>
              <w:right w:w="15" w:type="dxa"/>
            </w:tcMar>
            <w:vAlign w:val="bottom"/>
          </w:tcPr>
          <w:p w:rsidR="00000000" w:rsidRDefault="00000000">
            <w:pPr>
              <w:ind w:right="1145"/>
              <w:jc w:val="right"/>
              <w:rPr>
                <w:rFonts w:eastAsia="Arial Unicode MS"/>
              </w:rPr>
            </w:pPr>
            <w:r>
              <w:t>10.000</w:t>
            </w:r>
          </w:p>
        </w:tc>
        <w:tc>
          <w:tcPr>
            <w:tcW w:w="27" w:type="pct"/>
            <w:noWrap/>
            <w:tcMar>
              <w:top w:w="15" w:type="dxa"/>
              <w:left w:w="15" w:type="dxa"/>
              <w:bottom w:w="0" w:type="dxa"/>
              <w:right w:w="15" w:type="dxa"/>
            </w:tcMar>
            <w:vAlign w:val="bottom"/>
          </w:tcPr>
          <w:p w:rsidR="00000000" w:rsidRDefault="00000000">
            <w:pPr>
              <w:rPr>
                <w:rFonts w:eastAsia="Arial Unicode MS"/>
              </w:rPr>
            </w:pPr>
          </w:p>
        </w:tc>
      </w:tr>
    </w:tbl>
    <w:p w:rsidR="00000000" w:rsidRDefault="00000000">
      <w:pPr>
        <w:spacing w:before="240" w:after="480"/>
      </w:pPr>
      <w:r>
        <w:rPr>
          <w:i/>
          <w:iCs/>
        </w:rPr>
        <w:t>Fuente</w:t>
      </w:r>
      <w:r>
        <w:t>:  Presupuesto general de gastos de la nación - anexo del personal (1994-2005), Ministerio de Hacienda.</w:t>
      </w:r>
    </w:p>
    <w:p w:rsidR="00000000" w:rsidRDefault="00000000">
      <w:pPr>
        <w:spacing w:after="240"/>
      </w:pPr>
      <w:r>
        <w:rPr>
          <w:b/>
          <w:bCs/>
        </w:rPr>
        <w:t>Observaciones</w:t>
      </w:r>
    </w:p>
    <w:p w:rsidR="00000000" w:rsidRDefault="00000000">
      <w:pPr>
        <w:spacing w:after="240"/>
        <w:ind w:left="924" w:hanging="357"/>
      </w:pPr>
      <w:r>
        <w:t>-</w:t>
      </w:r>
      <w:r>
        <w:tab/>
        <w:t>Desde noviembre de 2005 está previsto un aumento del 10% del salario docente.</w:t>
      </w:r>
    </w:p>
    <w:p w:rsidR="00000000" w:rsidRDefault="00000000">
      <w:pPr>
        <w:spacing w:after="240"/>
        <w:ind w:left="924" w:hanging="357"/>
      </w:pPr>
      <w:r>
        <w:t>-</w:t>
      </w:r>
      <w:r>
        <w:tab/>
        <w:t>El sueldo mensual de un docente de educación escolar básica corresponde a un turno de enseñanza.</w:t>
      </w:r>
    </w:p>
    <w:p w:rsidR="00000000" w:rsidRDefault="00000000">
      <w:pPr>
        <w:spacing w:after="240"/>
        <w:ind w:left="924" w:hanging="357"/>
        <w:rPr>
          <w:lang w:val="es-ES_tradnl"/>
        </w:rPr>
      </w:pPr>
      <w:r>
        <w:t>-</w:t>
      </w:r>
      <w:r>
        <w:tab/>
        <w:t>Un catedrático de educación media puede enseñar en total 260 horas mensuales como máximo en los dos turnos.</w:t>
      </w:r>
    </w:p>
    <w:p w:rsidR="00000000" w:rsidRDefault="00000000">
      <w:pPr>
        <w:autoSpaceDE w:val="0"/>
        <w:autoSpaceDN w:val="0"/>
        <w:adjustRightInd w:val="0"/>
        <w:spacing w:after="240"/>
        <w:rPr>
          <w:lang w:val="es-ES_tradnl"/>
        </w:rPr>
      </w:pPr>
      <w:r>
        <w:rPr>
          <w:lang w:val="es-ES_tradnl"/>
        </w:rPr>
        <w:t>608.</w:t>
      </w:r>
      <w:r>
        <w:rPr>
          <w:lang w:val="es-ES_tradnl"/>
        </w:rPr>
        <w:tab/>
        <w:t>Por último</w:t>
      </w:r>
      <w:r>
        <w:t>, cabe destacar que durante</w:t>
      </w:r>
      <w:r>
        <w:rPr>
          <w:lang w:val="es-ES_tradnl"/>
        </w:rPr>
        <w:t xml:space="preserve"> el período de referencia no existen leyes de carácter especial en el ámbito educativo que violen los principios consagrados en el artículo 13.</w:t>
      </w:r>
    </w:p>
    <w:p w:rsidR="00000000" w:rsidRDefault="00000000">
      <w:pPr>
        <w:autoSpaceDE w:val="0"/>
        <w:autoSpaceDN w:val="0"/>
        <w:adjustRightInd w:val="0"/>
        <w:spacing w:after="240"/>
        <w:rPr>
          <w:lang w:val="es-ES_tradnl"/>
        </w:rPr>
      </w:pPr>
      <w:r>
        <w:rPr>
          <w:lang w:val="es-ES_tradnl"/>
        </w:rPr>
        <w:t>609.</w:t>
      </w:r>
      <w:r>
        <w:rPr>
          <w:lang w:val="es-ES_tradnl"/>
        </w:rPr>
        <w:tab/>
        <w:t>De igual manera, en el marco del derecho a la educación se debe señalar el proceso de reforma legal como componente de la reforma educativa (Política de Estado) en marcha en nuestro país.  En el componente de reforma legal se han promulgado las leyes:  Nº 1264/98 "g</w:t>
      </w:r>
      <w:r>
        <w:t>eneral</w:t>
      </w:r>
      <w:r>
        <w:rPr>
          <w:lang w:val="es-ES_tradnl"/>
        </w:rPr>
        <w:t xml:space="preserve"> de educación"; Nº 2072/2003 de creación de la "Agencia Nacional de Evaluación y Acreditación de la Educación Superior"; Nº 1680/2001 "Código de la Niñez y la Adolescencia"; Nº 1725/2001 "Estatuto del Educador" y su Decreto reglamentario Nº 468/03, entre las más sobresalientes.  Asimismo, las reglamentaciones emanadas del Ministerio de Educación y Cultura se encuentran ajustadas a las normas citadas.</w:t>
      </w:r>
    </w:p>
    <w:p w:rsidR="00000000" w:rsidRDefault="00000000">
      <w:pPr>
        <w:autoSpaceDE w:val="0"/>
        <w:autoSpaceDN w:val="0"/>
        <w:adjustRightInd w:val="0"/>
        <w:spacing w:after="240"/>
        <w:rPr>
          <w:lang w:val="es-ES_tradnl"/>
        </w:rPr>
      </w:pPr>
      <w:r>
        <w:rPr>
          <w:lang w:val="es-ES_tradnl"/>
        </w:rPr>
        <w:t>610.</w:t>
      </w:r>
      <w:r>
        <w:rPr>
          <w:lang w:val="es-ES_tradnl"/>
        </w:rPr>
        <w:tab/>
        <w:t>Las citadas normas han recogido fielmente los principios consagrados en el Pacto Internacional de Derechos Económicos, Sociales y Culturales, permitiendo consolidar los profundos cambios producidos en proceso de afianzamiento del pleno goce del derecho a la educación de todos los ciudadanos del país.</w:t>
      </w:r>
    </w:p>
    <w:p w:rsidR="00000000" w:rsidRDefault="00000000">
      <w:pPr>
        <w:shd w:val="clear" w:color="auto" w:fill="FFFFFF"/>
        <w:spacing w:after="240"/>
        <w:rPr>
          <w:b/>
          <w:bCs/>
        </w:rPr>
      </w:pPr>
      <w:r>
        <w:rPr>
          <w:b/>
          <w:bCs/>
          <w:spacing w:val="5"/>
          <w:lang w:val="es-ES_tradnl"/>
        </w:rPr>
        <w:t>Artículo 14</w:t>
      </w:r>
    </w:p>
    <w:p w:rsidR="00000000" w:rsidRDefault="00000000">
      <w:pPr>
        <w:autoSpaceDE w:val="0"/>
        <w:autoSpaceDN w:val="0"/>
        <w:adjustRightInd w:val="0"/>
        <w:spacing w:after="240"/>
        <w:rPr>
          <w:lang w:val="es-ES_tradnl"/>
        </w:rPr>
      </w:pPr>
      <w:r>
        <w:rPr>
          <w:lang w:val="es-ES_tradnl"/>
        </w:rPr>
        <w:t>611.</w:t>
      </w:r>
      <w:r>
        <w:rPr>
          <w:lang w:val="es-ES_tradnl"/>
        </w:rPr>
        <w:tab/>
        <w:t xml:space="preserve">La </w:t>
      </w:r>
      <w:r>
        <w:t>Constitución</w:t>
      </w:r>
      <w:r>
        <w:rPr>
          <w:lang w:val="es-ES_tradnl"/>
        </w:rPr>
        <w:t xml:space="preserve"> nacional, en su artículo 75 "De las obligaciones del Estado" consagra:  "La educación escolar básica es obligatoria.  En las escuelas públicas tendrá carácter gratuito...".</w:t>
      </w:r>
    </w:p>
    <w:p w:rsidR="00000000" w:rsidRDefault="00000000">
      <w:pPr>
        <w:autoSpaceDE w:val="0"/>
        <w:autoSpaceDN w:val="0"/>
        <w:adjustRightInd w:val="0"/>
        <w:spacing w:after="240"/>
        <w:rPr>
          <w:lang w:val="es-ES_tradnl"/>
        </w:rPr>
      </w:pPr>
      <w:r>
        <w:rPr>
          <w:lang w:val="es-ES_tradnl"/>
        </w:rPr>
        <w:t>612.</w:t>
      </w:r>
      <w:r>
        <w:rPr>
          <w:lang w:val="es-ES_tradnl"/>
        </w:rPr>
        <w:tab/>
        <w:t xml:space="preserve">Igualmente, se han obtenido logros importantes en materia de matriculación, desde la educación inicial hasta el nivel medio, así como en lo referente a la equidad de género y a la disminución del analfabetismo; sin embargo, el Paraguay enfrenta el desafío de </w:t>
      </w:r>
      <w:r>
        <w:t>aumentar</w:t>
      </w:r>
      <w:r>
        <w:rPr>
          <w:lang w:val="es-ES_tradnl"/>
        </w:rPr>
        <w:t xml:space="preserve"> la retención escolar, teniendo en cuenta que se necesitan 12 años de estudios, como mínimo, para obtener una ocupación que asegure una alta probabilidad de evitar la pobreza (CEPAL, 1999), así como en lo que respecta al mejoramiento de la calidad de la educación.</w:t>
      </w:r>
    </w:p>
    <w:p w:rsidR="00000000" w:rsidRDefault="00000000">
      <w:pPr>
        <w:autoSpaceDE w:val="0"/>
        <w:autoSpaceDN w:val="0"/>
        <w:adjustRightInd w:val="0"/>
        <w:spacing w:after="240"/>
        <w:rPr>
          <w:lang w:val="es-ES_tradnl"/>
        </w:rPr>
      </w:pPr>
      <w:r>
        <w:rPr>
          <w:lang w:val="es-ES_tradnl"/>
        </w:rPr>
        <w:t>613.</w:t>
      </w:r>
      <w:r>
        <w:rPr>
          <w:lang w:val="es-ES_tradnl"/>
        </w:rPr>
        <w:tab/>
        <w:t>En cuanto a las tasas de escolarización de los diferentes niveles educativos, muestran incrementos significativos.  El incremento de dichas tasas se debe en gran medida a la extensión de la obligatoriedad y gratuidad de la educación de 6 a 9 años producto de la implementación de la reforma educativa.  El incremento de dichos indicadores trajo consigo el incremento del promedio de años de estudio y la reducción del analfabetismo.</w:t>
      </w:r>
    </w:p>
    <w:p w:rsidR="00000000" w:rsidRDefault="00000000">
      <w:pPr>
        <w:shd w:val="clear" w:color="auto" w:fill="FFFFFF"/>
        <w:spacing w:after="240"/>
      </w:pPr>
      <w:r>
        <w:rPr>
          <w:b/>
          <w:bCs/>
          <w:lang w:val="es-ES_tradnl"/>
        </w:rPr>
        <w:t>Artículo 15</w:t>
      </w:r>
    </w:p>
    <w:p w:rsidR="00000000" w:rsidRDefault="00000000">
      <w:pPr>
        <w:shd w:val="clear" w:color="auto" w:fill="FFFFFF"/>
        <w:spacing w:after="240"/>
        <w:jc w:val="center"/>
        <w:rPr>
          <w:b/>
          <w:iCs/>
          <w:lang w:val="es-ES_tradnl"/>
        </w:rPr>
      </w:pPr>
      <w:r>
        <w:rPr>
          <w:b/>
          <w:iCs/>
          <w:lang w:val="es-ES_tradnl"/>
        </w:rPr>
        <w:t>A.  Situación general de la promoción de la cultura</w:t>
      </w:r>
    </w:p>
    <w:p w:rsidR="00000000" w:rsidRDefault="00000000">
      <w:pPr>
        <w:autoSpaceDE w:val="0"/>
        <w:autoSpaceDN w:val="0"/>
        <w:adjustRightInd w:val="0"/>
        <w:spacing w:after="240"/>
        <w:rPr>
          <w:lang w:val="es-ES_tradnl"/>
        </w:rPr>
      </w:pPr>
      <w:r>
        <w:rPr>
          <w:lang w:val="es-ES_tradnl"/>
        </w:rPr>
        <w:t>614.</w:t>
      </w:r>
      <w:r>
        <w:rPr>
          <w:lang w:val="es-ES_tradnl"/>
        </w:rPr>
        <w:tab/>
        <w:t>En el Paraguay se adoptan varias medidas, tanto legislativas como de otra índole, con miras a afirmar el goce del derecho a participar de la vida cultural y a promocionarla.  En particular,</w:t>
      </w:r>
      <w:r>
        <w:rPr>
          <w:bCs/>
          <w:lang w:val="es-ES_tradnl"/>
        </w:rPr>
        <w:t xml:space="preserve"> estas actividades se desarrollan a través del </w:t>
      </w:r>
      <w:r>
        <w:t>Fondo Nacional para el Desarrollo de la Cultura (FONDEC), que en el presente año ha distribuido la suma de 2.670 millones de guaraníes que fueron destinados a 68 proyectos culturales en el departamento Central y a 85 en el interior del país.</w:t>
      </w:r>
    </w:p>
    <w:p w:rsidR="00000000" w:rsidRDefault="00000000">
      <w:pPr>
        <w:autoSpaceDE w:val="0"/>
        <w:autoSpaceDN w:val="0"/>
        <w:adjustRightInd w:val="0"/>
        <w:spacing w:after="240"/>
        <w:rPr>
          <w:lang w:val="es-ES_tradnl"/>
        </w:rPr>
      </w:pPr>
      <w:r>
        <w:rPr>
          <w:lang w:val="es-ES_tradnl"/>
        </w:rPr>
        <w:t>615.</w:t>
      </w:r>
      <w:r>
        <w:rPr>
          <w:lang w:val="es-ES_tradnl"/>
        </w:rPr>
        <w:tab/>
        <w:t xml:space="preserve">Por otra parte, con relación a la infraestructura institucional establecida para la implementación de políticas que promueven la participación popular en la cultura, como centros culturales, museos, bibliotecas, teatros, cines y artes tradicionales, el Viceministerio de Cultura, dependiente del Ministerio de Educación, posee siete museos, el Archivo Nacional y la Biblioteca Nacional.  No obstante, colabora y hace uso de centros culturales que se encuentran en embajadas o representaciones diplomáticas (Argentina, Brasil, España, Norteamérica, etc.).  También utiliza el Teatro Lírico del Banco Central del Paraguay para trabajos del Ballet Nacional y de la Orquesta Sinfónica Nacional.  Esta modalidad híbrida de cooperación con organizaciones de la sociedad civil permite un mayor alcance y difusión de la cultura así como la participación de la población en la cultura.  </w:t>
      </w:r>
    </w:p>
    <w:p w:rsidR="00000000" w:rsidRDefault="00000000">
      <w:pPr>
        <w:autoSpaceDE w:val="0"/>
        <w:autoSpaceDN w:val="0"/>
        <w:adjustRightInd w:val="0"/>
        <w:spacing w:after="240"/>
        <w:rPr>
          <w:lang w:val="es-ES_tradnl"/>
        </w:rPr>
      </w:pPr>
      <w:r>
        <w:rPr>
          <w:lang w:val="es-ES_tradnl"/>
        </w:rPr>
        <w:t>616.</w:t>
      </w:r>
      <w:r>
        <w:rPr>
          <w:lang w:val="es-ES_tradnl"/>
        </w:rPr>
        <w:tab/>
        <w:t xml:space="preserve">Uno de los mecanismos para la promoción de la identidad cultural como factor de consideración mutua entre individuos, grupos, naciones y regiones se lleva a cabo mediante la promoción de resoluciones ministeriales que atestiguan la actividad, evento u objeto </w:t>
      </w:r>
      <w:r>
        <w:t>con</w:t>
      </w:r>
      <w:r>
        <w:rPr>
          <w:lang w:val="es-ES_tradnl"/>
        </w:rPr>
        <w:t xml:space="preserve"> la clasificación de "interés cultural".  Esto tiene el propósito de reconocer y potenciar las diferentes actividades y manifestaciones culturales realizadas por la comunidad.  En particular, en lo que hace a la promoción de la información y el goce del derecho a la herencia cultural de los grupos étnicos nacionales y minorías y de pueblos indígenas, se trabaja con grupos étnicos en diferentes manifestaciones.  Recientemente se concretó el Primer Encuentro del MERCOSUR de los Depositarios Fundamentales de la Cultura Guaraní.  Otro aspecto importante es el Segundo Censo Nacional Indígena, que tuvo lugar en 2002, el cual suministró el "Mapa de las Comunidades Indígenas en el Paraguay", trabajo que sirve de referencia y diagnóstico para evaluar la situación general de las poblaciones indígenas en el Paraguay.</w:t>
      </w:r>
    </w:p>
    <w:p w:rsidR="00000000" w:rsidRDefault="00000000">
      <w:pPr>
        <w:autoSpaceDE w:val="0"/>
        <w:autoSpaceDN w:val="0"/>
        <w:adjustRightInd w:val="0"/>
        <w:spacing w:after="240"/>
      </w:pPr>
      <w:r>
        <w:rPr>
          <w:bCs/>
          <w:lang w:val="es-ES_tradnl"/>
        </w:rPr>
        <w:t>617.</w:t>
      </w:r>
      <w:r>
        <w:rPr>
          <w:bCs/>
          <w:lang w:val="es-ES_tradnl"/>
        </w:rPr>
        <w:tab/>
        <w:t xml:space="preserve">El papel de los medios de comunicación en la promoción de la vida cultural es importante en el Paraguay, si bien la mayor parte de esta actividad se concreta </w:t>
      </w:r>
      <w:r>
        <w:t>a través de los medios periodísticos (diarios, radios, televisión) que difunden el material oficial y privado.  La Dirección de Teleducación registra los actos fundamentales del Viceministerio de Cultura.</w:t>
      </w:r>
    </w:p>
    <w:p w:rsidR="00000000" w:rsidRDefault="00000000">
      <w:pPr>
        <w:shd w:val="clear" w:color="auto" w:fill="FFFFFF"/>
        <w:spacing w:after="240"/>
        <w:rPr>
          <w:b/>
          <w:bCs/>
          <w:lang w:val="es-ES_tradnl"/>
        </w:rPr>
      </w:pPr>
      <w:r>
        <w:rPr>
          <w:b/>
          <w:bCs/>
          <w:lang w:val="es-ES_tradnl"/>
        </w:rPr>
        <w:t>1.</w:t>
      </w:r>
      <w:r>
        <w:rPr>
          <w:b/>
          <w:bCs/>
          <w:lang w:val="es-ES_tradnl"/>
        </w:rPr>
        <w:tab/>
        <w:t xml:space="preserve">Enfoque curricular de la cultura </w:t>
      </w:r>
    </w:p>
    <w:p w:rsidR="00000000" w:rsidRDefault="00000000">
      <w:pPr>
        <w:autoSpaceDE w:val="0"/>
        <w:autoSpaceDN w:val="0"/>
        <w:adjustRightInd w:val="0"/>
        <w:spacing w:after="240"/>
        <w:rPr>
          <w:lang w:val="es-ES_tradnl"/>
        </w:rPr>
      </w:pPr>
      <w:r>
        <w:rPr>
          <w:lang w:val="es-ES_tradnl"/>
        </w:rPr>
        <w:t>618.</w:t>
      </w:r>
      <w:r>
        <w:rPr>
          <w:lang w:val="es-ES_tradnl"/>
        </w:rPr>
        <w:tab/>
        <w:t>La propuesta curricular de la promoción de la cultura se encuentra inserta en los objetivos de educación paraguaya, específicamente en las competencias y capacidades a ser logradas por los estudiantes; se enfatiza principalmente:</w:t>
      </w:r>
    </w:p>
    <w:p w:rsidR="00000000" w:rsidRDefault="00000000">
      <w:pPr>
        <w:shd w:val="clear" w:color="auto" w:fill="FFFFFF"/>
        <w:autoSpaceDE w:val="0"/>
        <w:autoSpaceDN w:val="0"/>
        <w:adjustRightInd w:val="0"/>
        <w:spacing w:after="240"/>
        <w:ind w:left="924" w:hanging="357"/>
        <w:rPr>
          <w:lang w:val="es-ES_tradnl"/>
        </w:rPr>
      </w:pPr>
      <w:r>
        <w:rPr>
          <w:lang w:val="es-ES_tradnl"/>
        </w:rPr>
        <w:t>-</w:t>
      </w:r>
      <w:r>
        <w:rPr>
          <w:lang w:val="es-ES_tradnl"/>
        </w:rPr>
        <w:tab/>
        <w:t>la valoración y promoción de la identidad cultural;</w:t>
      </w:r>
    </w:p>
    <w:p w:rsidR="00000000" w:rsidRDefault="00000000">
      <w:pPr>
        <w:shd w:val="clear" w:color="auto" w:fill="FFFFFF"/>
        <w:autoSpaceDE w:val="0"/>
        <w:autoSpaceDN w:val="0"/>
        <w:adjustRightInd w:val="0"/>
        <w:spacing w:after="240"/>
        <w:ind w:left="924" w:hanging="357"/>
        <w:rPr>
          <w:lang w:val="es-ES_tradnl"/>
        </w:rPr>
      </w:pPr>
      <w:r>
        <w:rPr>
          <w:lang w:val="es-ES_tradnl"/>
        </w:rPr>
        <w:t>-</w:t>
      </w:r>
      <w:r>
        <w:rPr>
          <w:lang w:val="es-ES_tradnl"/>
        </w:rPr>
        <w:tab/>
        <w:t>el goce del derecho a la herencia de la cultura de grupos étnicos y minoritarios;</w:t>
      </w:r>
    </w:p>
    <w:p w:rsidR="00000000" w:rsidRDefault="00000000">
      <w:pPr>
        <w:shd w:val="clear" w:color="auto" w:fill="FFFFFF"/>
        <w:autoSpaceDE w:val="0"/>
        <w:autoSpaceDN w:val="0"/>
        <w:adjustRightInd w:val="0"/>
        <w:spacing w:after="240"/>
        <w:ind w:left="924" w:hanging="357"/>
        <w:rPr>
          <w:lang w:val="es-ES_tradnl"/>
        </w:rPr>
      </w:pPr>
      <w:r>
        <w:rPr>
          <w:lang w:val="es-ES_tradnl"/>
        </w:rPr>
        <w:t>-</w:t>
      </w:r>
      <w:r>
        <w:rPr>
          <w:lang w:val="es-ES_tradnl"/>
        </w:rPr>
        <w:tab/>
        <w:t>la conservación y difusión del patrimonio cultural de la humanidad.</w:t>
      </w:r>
    </w:p>
    <w:p w:rsidR="00000000" w:rsidRDefault="00000000">
      <w:pPr>
        <w:autoSpaceDE w:val="0"/>
        <w:autoSpaceDN w:val="0"/>
        <w:adjustRightInd w:val="0"/>
        <w:spacing w:after="240"/>
        <w:rPr>
          <w:lang w:val="es-ES_tradnl"/>
        </w:rPr>
      </w:pPr>
      <w:r>
        <w:rPr>
          <w:lang w:val="es-ES_tradnl"/>
        </w:rPr>
        <w:t>619.</w:t>
      </w:r>
      <w:r>
        <w:rPr>
          <w:lang w:val="es-ES_tradnl"/>
        </w:rPr>
        <w:tab/>
        <w:t xml:space="preserve">Estos </w:t>
      </w:r>
      <w:r>
        <w:t xml:space="preserve">temas son abordados en todos los niveles educativos con diferente grado de profundidad </w:t>
      </w:r>
      <w:r>
        <w:rPr>
          <w:lang w:val="es-ES_tradnl"/>
        </w:rPr>
        <w:t>y complejidad.</w:t>
      </w:r>
    </w:p>
    <w:p w:rsidR="00000000" w:rsidRDefault="00000000">
      <w:pPr>
        <w:autoSpaceDE w:val="0"/>
        <w:autoSpaceDN w:val="0"/>
        <w:adjustRightInd w:val="0"/>
        <w:spacing w:after="240"/>
        <w:rPr>
          <w:lang w:val="es-ES_tradnl"/>
        </w:rPr>
      </w:pPr>
      <w:r>
        <w:rPr>
          <w:lang w:val="es-ES_tradnl"/>
        </w:rPr>
        <w:t>620.</w:t>
      </w:r>
      <w:r>
        <w:rPr>
          <w:lang w:val="es-ES_tradnl"/>
        </w:rPr>
        <w:tab/>
        <w:t xml:space="preserve">Cabe destacar que el Ministerio de Educación y Cultura, en lo referente a la política de equidad de </w:t>
      </w:r>
      <w:r>
        <w:t>género,</w:t>
      </w:r>
      <w:r>
        <w:rPr>
          <w:lang w:val="es-ES_tradnl"/>
        </w:rPr>
        <w:t xml:space="preserve"> viene trabajando conjuntamente con la Secretaría de la Mujer a través del Programa nacional de igualdad de oportunidades y resultado para las mujeres en la educación (PRIOME).  El programa es una instancia asesora de las políticas de género en la educación, cuyo accionar está basado en el Plan Nacional de Igualdad de Oportunidades (2003-2007).</w:t>
      </w:r>
    </w:p>
    <w:p w:rsidR="00000000" w:rsidRDefault="00000000">
      <w:pPr>
        <w:autoSpaceDE w:val="0"/>
        <w:autoSpaceDN w:val="0"/>
        <w:adjustRightInd w:val="0"/>
        <w:spacing w:after="240"/>
        <w:rPr>
          <w:lang w:val="es-ES_tradnl"/>
        </w:rPr>
      </w:pPr>
      <w:r>
        <w:rPr>
          <w:lang w:val="es-ES_tradnl"/>
        </w:rPr>
        <w:t>621.</w:t>
      </w:r>
      <w:r>
        <w:rPr>
          <w:lang w:val="es-ES_tradnl"/>
        </w:rPr>
        <w:tab/>
        <w:t xml:space="preserve">Este programa, a través de sus líneas de acción, desarrolla estrategias con la finalidad de </w:t>
      </w:r>
      <w:r>
        <w:t>contribuir</w:t>
      </w:r>
      <w:r>
        <w:rPr>
          <w:lang w:val="es-ES_tradnl"/>
        </w:rPr>
        <w:t xml:space="preserve"> a la disminución de la inequidad de género y promover condiciones para transversalizar la perspectiva de género en el sistema educativo, con miras a lograr un desarrollo humano integral y sostenible.</w:t>
      </w:r>
    </w:p>
    <w:p w:rsidR="00000000" w:rsidRDefault="00000000">
      <w:pPr>
        <w:shd w:val="clear" w:color="auto" w:fill="FFFFFF"/>
        <w:spacing w:after="240"/>
        <w:rPr>
          <w:b/>
          <w:bCs/>
          <w:lang w:val="es-ES_tradnl"/>
        </w:rPr>
      </w:pPr>
      <w:r>
        <w:rPr>
          <w:b/>
          <w:bCs/>
          <w:lang w:val="es-ES_tradnl"/>
        </w:rPr>
        <w:t>2.</w:t>
      </w:r>
      <w:r>
        <w:rPr>
          <w:b/>
          <w:bCs/>
          <w:lang w:val="es-ES_tradnl"/>
        </w:rPr>
        <w:tab/>
        <w:t>Conservación y difusión de los patrimonios de la humanidad</w:t>
      </w:r>
    </w:p>
    <w:p w:rsidR="00000000" w:rsidRDefault="00000000">
      <w:pPr>
        <w:autoSpaceDE w:val="0"/>
        <w:autoSpaceDN w:val="0"/>
        <w:adjustRightInd w:val="0"/>
        <w:spacing w:after="240"/>
        <w:rPr>
          <w:lang w:val="es-ES_tradnl"/>
        </w:rPr>
      </w:pPr>
      <w:r>
        <w:rPr>
          <w:lang w:val="es-ES_tradnl"/>
        </w:rPr>
        <w:t>622.</w:t>
      </w:r>
      <w:r>
        <w:rPr>
          <w:lang w:val="es-ES_tradnl"/>
        </w:rPr>
        <w:tab/>
        <w:t xml:space="preserve">Corresponde a la Dirección de Patrimonio Histórico y Cultural, del Viceministerio de Cultura, la conservación y la difusión del patrimonio cultural de la humanidad presente en el </w:t>
      </w:r>
      <w:r>
        <w:t>Paraguay.  E</w:t>
      </w:r>
      <w:r>
        <w:rPr>
          <w:lang w:val="es-ES_tradnl"/>
        </w:rPr>
        <w:t xml:space="preserve">s por ello que ha organizado con el IILA </w:t>
      </w:r>
      <w:r>
        <w:rPr>
          <w:lang w:val="es-ES_tradnl"/>
        </w:rPr>
        <w:noBreakHyphen/>
        <w:t>Instituto Italolatinoamericano</w:t>
      </w:r>
      <w:r>
        <w:rPr>
          <w:lang w:val="es-ES_tradnl"/>
        </w:rPr>
        <w:noBreakHyphen/>
        <w:t xml:space="preserve"> cursos para el entrenamiento de funcionarios en el área.  Actualmente hay ocho becarios en Italia profundizando estudios en esta materia.</w:t>
      </w:r>
    </w:p>
    <w:p w:rsidR="00000000" w:rsidRDefault="00000000">
      <w:pPr>
        <w:shd w:val="clear" w:color="auto" w:fill="FFFFFF"/>
        <w:spacing w:after="240"/>
        <w:rPr>
          <w:b/>
          <w:bCs/>
          <w:lang w:val="es-ES_tradnl"/>
        </w:rPr>
      </w:pPr>
      <w:r>
        <w:rPr>
          <w:b/>
          <w:bCs/>
          <w:lang w:val="es-ES_tradnl"/>
        </w:rPr>
        <w:t>3.</w:t>
      </w:r>
      <w:r>
        <w:rPr>
          <w:b/>
          <w:bCs/>
          <w:lang w:val="es-ES_tradnl"/>
        </w:rPr>
        <w:tab/>
        <w:t>Libertad de creación y expresión artística</w:t>
      </w:r>
    </w:p>
    <w:p w:rsidR="00000000" w:rsidRDefault="00000000">
      <w:pPr>
        <w:autoSpaceDE w:val="0"/>
        <w:autoSpaceDN w:val="0"/>
        <w:adjustRightInd w:val="0"/>
        <w:spacing w:after="240"/>
      </w:pPr>
      <w:r>
        <w:t>623.</w:t>
      </w:r>
      <w:r>
        <w:tab/>
        <w:t>En la actualidad se está trabajando sobre una ley de cultura que pretende englobar diferentes aspectos que hacen a la promoción y protección del patrimonio cultural.  Sin embargo, existe la Ley que crea el FONDEC, la Ley de creación de protección de bienes culturales, la Ley del fomento a las artesanías, la Ley de creación del Conservatorio Nacional de Música, la Ley de creación del Instituto Superior de Bellas Artes.</w:t>
      </w:r>
    </w:p>
    <w:p w:rsidR="00000000" w:rsidRDefault="00000000">
      <w:pPr>
        <w:shd w:val="clear" w:color="auto" w:fill="FFFFFF"/>
        <w:spacing w:after="240"/>
        <w:rPr>
          <w:b/>
          <w:bCs/>
          <w:lang w:val="es-ES_tradnl"/>
        </w:rPr>
      </w:pPr>
      <w:r>
        <w:rPr>
          <w:b/>
          <w:bCs/>
          <w:lang w:val="es-ES_tradnl"/>
        </w:rPr>
        <w:t>4.</w:t>
      </w:r>
      <w:r>
        <w:rPr>
          <w:b/>
          <w:bCs/>
          <w:lang w:val="es-ES_tradnl"/>
        </w:rPr>
        <w:tab/>
        <w:t>Educación profesional en el campo de la cultura y el arte</w:t>
      </w:r>
    </w:p>
    <w:p w:rsidR="00000000" w:rsidRDefault="00000000">
      <w:pPr>
        <w:autoSpaceDE w:val="0"/>
        <w:autoSpaceDN w:val="0"/>
        <w:adjustRightInd w:val="0"/>
        <w:spacing w:after="240"/>
      </w:pPr>
      <w:r>
        <w:t>624.</w:t>
      </w:r>
      <w:r>
        <w:tab/>
        <w:t>Existe un instituto oficial de formación docente y artístico (ISBA) y otro dependiente de la Universidad Nacional, y además existen academias supervisadas por la Dirección de Difusión Cultural.  De igual manera, el plan nacional para el área de cultura se encuentra en proceso de elaboración, así como la ley de cultura respectiva.</w:t>
      </w:r>
    </w:p>
    <w:p w:rsidR="00000000" w:rsidRDefault="00000000">
      <w:pPr>
        <w:shd w:val="clear" w:color="auto" w:fill="FFFFFF"/>
        <w:spacing w:after="240"/>
        <w:jc w:val="center"/>
        <w:rPr>
          <w:b/>
        </w:rPr>
      </w:pPr>
      <w:r>
        <w:rPr>
          <w:b/>
        </w:rPr>
        <w:t>B.  Difusión de los avances científicos</w:t>
      </w:r>
    </w:p>
    <w:p w:rsidR="00000000" w:rsidRDefault="00000000">
      <w:pPr>
        <w:autoSpaceDE w:val="0"/>
        <w:autoSpaceDN w:val="0"/>
        <w:adjustRightInd w:val="0"/>
        <w:spacing w:after="240"/>
      </w:pPr>
      <w:r>
        <w:t>625.</w:t>
      </w:r>
      <w:r>
        <w:tab/>
        <w:t>En el marco de la promoción y difusión de los avances científicos y tecnológicos, el Paraguay cuenta con el Consejo Nacional de Ciencias y Tecnología (CONACYT), que se crea en virtud de la Ley Nº 1028 de 31 de enero de 1997, "Ley general de ciencia y tecnología" para dar paso a la Organización de la Ciencia y la Tecnología, dada la importancia de la ciencia y la tecnología en el desarrollo social y económico de un país moderno.  La concepción del CONACYT está sustentada en los principios más modernos en este tipo de gestión:  la creación de un organismo de administración y de coordinación del sector, el CONACYT; con la participación multidisciplinaria y representativa de los diversos actores de un sistema de ciencia, tecnología e innovación (Estado, instituciones académicas, instituciones de investigación y desarrollo, empresas y trabajadores) y la creación de incentivos fiscales para la inversión en investigación y desarrollo.</w:t>
      </w:r>
    </w:p>
    <w:p w:rsidR="00000000" w:rsidRDefault="00000000">
      <w:pPr>
        <w:autoSpaceDE w:val="0"/>
        <w:autoSpaceDN w:val="0"/>
        <w:adjustRightInd w:val="0"/>
        <w:spacing w:after="240"/>
      </w:pPr>
      <w:r>
        <w:t>626.</w:t>
      </w:r>
      <w:r>
        <w:tab/>
        <w:t>El CONACYT conformó su Consejo en julio de 1997.  El Organismo Nacional de Acreditación (ONA) fue creado en 1998, por medio del Decreto del poder ejecutivo Nº 20660/98, que lo vincula al CONACYT como el organismo para dar transparencia e independencia en el reconocimiento de calidad en los ámbitos nacional e internacional.</w:t>
      </w:r>
    </w:p>
    <w:p w:rsidR="00000000" w:rsidRDefault="00000000">
      <w:pPr>
        <w:autoSpaceDE w:val="0"/>
        <w:autoSpaceDN w:val="0"/>
        <w:adjustRightInd w:val="0"/>
        <w:spacing w:after="240"/>
      </w:pPr>
      <w:r>
        <w:t>627.</w:t>
      </w:r>
      <w:r>
        <w:tab/>
        <w:t>Con posterioridad, el Congreso de la Nación sancionó la Ley Nº 2279/03, "ley que modifica y amplía los artículos de la Ley general de ciencia y tecnología Nº 1028/97".  La Ley Nº 2279/03 instituye los sistemas nacionales de ciencia, tecnología, innovación y calidad.</w:t>
      </w:r>
    </w:p>
    <w:p w:rsidR="00000000" w:rsidRDefault="00000000">
      <w:pPr>
        <w:spacing w:after="240"/>
        <w:rPr>
          <w:b/>
        </w:rPr>
      </w:pPr>
      <w:r>
        <w:rPr>
          <w:b/>
        </w:rPr>
        <w:t>1.</w:t>
      </w:r>
      <w:r>
        <w:rPr>
          <w:b/>
        </w:rPr>
        <w:tab/>
        <w:t>Composición del Consejo Nacional de Ciencia y Tecnología</w:t>
      </w:r>
    </w:p>
    <w:p w:rsidR="00000000" w:rsidRDefault="00000000">
      <w:pPr>
        <w:autoSpaceDE w:val="0"/>
        <w:autoSpaceDN w:val="0"/>
        <w:adjustRightInd w:val="0"/>
        <w:spacing w:after="240"/>
      </w:pPr>
      <w:r>
        <w:t>628.</w:t>
      </w:r>
      <w:r>
        <w:tab/>
        <w:t>El CONACYT, de conformidad a la Ley Nº 2279/03, está compuesto de 14 consejeros titulares e igual número de suplentes, quienes representan a las instituciones y sectores siguientes:</w:t>
      </w:r>
    </w:p>
    <w:p w:rsidR="00000000" w:rsidRDefault="00000000">
      <w:pPr>
        <w:spacing w:after="240"/>
        <w:ind w:left="924" w:hanging="357"/>
      </w:pPr>
      <w:r>
        <w:t>-</w:t>
      </w:r>
      <w:r>
        <w:tab/>
        <w:t>la Secretaría Técnica de Planificación de la Presidencia de la República, STP;</w:t>
      </w:r>
    </w:p>
    <w:p w:rsidR="00000000" w:rsidRDefault="00000000">
      <w:pPr>
        <w:spacing w:after="240"/>
        <w:ind w:left="924" w:hanging="357"/>
      </w:pPr>
      <w:r>
        <w:t>-</w:t>
      </w:r>
      <w:r>
        <w:tab/>
        <w:t>el Ministerio de Industria y Comercio, a través del Instituto Nacional de Tecnología y Normalización (INTN);</w:t>
      </w:r>
    </w:p>
    <w:p w:rsidR="00000000" w:rsidRDefault="00000000">
      <w:pPr>
        <w:spacing w:after="240"/>
        <w:ind w:left="924" w:hanging="357"/>
      </w:pPr>
      <w:r>
        <w:t>-</w:t>
      </w:r>
      <w:r>
        <w:tab/>
        <w:t xml:space="preserve">el Ministerio de Agricultura y Ganadería; </w:t>
      </w:r>
    </w:p>
    <w:p w:rsidR="00000000" w:rsidRDefault="00000000">
      <w:pPr>
        <w:spacing w:after="240"/>
        <w:ind w:left="924" w:hanging="357"/>
      </w:pPr>
      <w:r>
        <w:t>-</w:t>
      </w:r>
      <w:r>
        <w:tab/>
        <w:t>el Ministerio de Educación y Cultura;</w:t>
      </w:r>
    </w:p>
    <w:p w:rsidR="00000000" w:rsidRDefault="00000000">
      <w:pPr>
        <w:spacing w:after="240"/>
        <w:ind w:left="924" w:hanging="357"/>
      </w:pPr>
      <w:r>
        <w:t>-</w:t>
      </w:r>
      <w:r>
        <w:tab/>
        <w:t>el Ministerio de Salud Pública y Bienestar Social;</w:t>
      </w:r>
    </w:p>
    <w:p w:rsidR="00000000" w:rsidRDefault="00000000">
      <w:pPr>
        <w:spacing w:after="240"/>
        <w:ind w:left="924" w:hanging="357"/>
      </w:pPr>
      <w:r>
        <w:t>-</w:t>
      </w:r>
      <w:r>
        <w:tab/>
        <w:t>las universidades estatales;</w:t>
      </w:r>
    </w:p>
    <w:p w:rsidR="00000000" w:rsidRDefault="00000000">
      <w:pPr>
        <w:spacing w:after="240"/>
        <w:ind w:left="924" w:hanging="357"/>
      </w:pPr>
      <w:r>
        <w:t>-</w:t>
      </w:r>
      <w:r>
        <w:tab/>
        <w:t>las universidades privadas;</w:t>
      </w:r>
    </w:p>
    <w:p w:rsidR="00000000" w:rsidRDefault="00000000">
      <w:pPr>
        <w:spacing w:after="240"/>
        <w:ind w:left="924" w:hanging="357"/>
      </w:pPr>
      <w:r>
        <w:t>-</w:t>
      </w:r>
      <w:r>
        <w:tab/>
        <w:t>la Unión Industrial Paraguaya, UIP;</w:t>
      </w:r>
    </w:p>
    <w:p w:rsidR="00000000" w:rsidRDefault="00000000">
      <w:pPr>
        <w:spacing w:after="240"/>
        <w:ind w:left="924" w:hanging="357"/>
      </w:pPr>
      <w:r>
        <w:t>-</w:t>
      </w:r>
      <w:r>
        <w:tab/>
        <w:t>la Asociación Rural del Paraguay, ARP;</w:t>
      </w:r>
    </w:p>
    <w:p w:rsidR="00000000" w:rsidRDefault="00000000">
      <w:pPr>
        <w:spacing w:after="240"/>
        <w:ind w:left="924" w:hanging="357"/>
      </w:pPr>
      <w:r>
        <w:t>-</w:t>
      </w:r>
      <w:r>
        <w:tab/>
        <w:t>la Federación de la Producción, la Industria y el Comercio, FEPRINCO;</w:t>
      </w:r>
    </w:p>
    <w:p w:rsidR="00000000" w:rsidRDefault="00000000">
      <w:pPr>
        <w:spacing w:after="240"/>
        <w:ind w:left="924" w:hanging="357"/>
      </w:pPr>
      <w:r>
        <w:t>-</w:t>
      </w:r>
      <w:r>
        <w:tab/>
        <w:t>la Asociación de Pequeñas y Medianas Empresas;</w:t>
      </w:r>
    </w:p>
    <w:p w:rsidR="00000000" w:rsidRDefault="00000000">
      <w:pPr>
        <w:spacing w:after="240"/>
        <w:ind w:left="924" w:hanging="357"/>
      </w:pPr>
      <w:r>
        <w:t>-</w:t>
      </w:r>
      <w:r>
        <w:tab/>
        <w:t>las centrales sindicales;</w:t>
      </w:r>
    </w:p>
    <w:p w:rsidR="00000000" w:rsidRDefault="00000000">
      <w:pPr>
        <w:spacing w:after="240"/>
        <w:ind w:left="924" w:hanging="357"/>
      </w:pPr>
      <w:r>
        <w:t>-</w:t>
      </w:r>
      <w:r>
        <w:tab/>
        <w:t>la Sociedad Científica del Paraguay; y</w:t>
      </w:r>
    </w:p>
    <w:p w:rsidR="00000000" w:rsidRDefault="00000000">
      <w:pPr>
        <w:spacing w:after="240"/>
        <w:ind w:left="924" w:hanging="357"/>
      </w:pPr>
      <w:r>
        <w:t>-</w:t>
      </w:r>
      <w:r>
        <w:tab/>
        <w:t>la Asociación Paraguaya para la Calidad.</w:t>
      </w:r>
    </w:p>
    <w:p w:rsidR="00000000" w:rsidRDefault="00000000">
      <w:pPr>
        <w:spacing w:after="240"/>
        <w:rPr>
          <w:b/>
        </w:rPr>
      </w:pPr>
      <w:r>
        <w:rPr>
          <w:b/>
        </w:rPr>
        <w:t>2.</w:t>
      </w:r>
      <w:r>
        <w:rPr>
          <w:b/>
        </w:rPr>
        <w:tab/>
        <w:t>Marco legal para la promoción de los avances científicos y tecnológicos</w:t>
      </w:r>
    </w:p>
    <w:p w:rsidR="00000000" w:rsidRDefault="00000000">
      <w:pPr>
        <w:autoSpaceDE w:val="0"/>
        <w:autoSpaceDN w:val="0"/>
        <w:adjustRightInd w:val="0"/>
        <w:spacing w:after="240"/>
      </w:pPr>
      <w:r>
        <w:t>629.</w:t>
      </w:r>
      <w:r>
        <w:tab/>
        <w:t>De conformidad a la Ley Nº 2279/03, se transcriben los artículos 1, 2 y 3 que se refieren a las atribuciones del CONACYT:</w:t>
      </w:r>
    </w:p>
    <w:p w:rsidR="00000000" w:rsidRDefault="00000000">
      <w:pPr>
        <w:spacing w:after="240"/>
        <w:ind w:left="924" w:hanging="357"/>
        <w:rPr>
          <w:lang w:val="es-ES_tradnl"/>
        </w:rPr>
      </w:pPr>
      <w:r>
        <w:rPr>
          <w:b/>
          <w:bCs/>
          <w:spacing w:val="-3"/>
        </w:rPr>
        <w:t>-</w:t>
      </w:r>
      <w:r>
        <w:rPr>
          <w:b/>
          <w:bCs/>
          <w:spacing w:val="-3"/>
        </w:rPr>
        <w:tab/>
        <w:t xml:space="preserve">Artículo 1 de la institución de los sistemas.  </w:t>
      </w:r>
      <w:r>
        <w:rPr>
          <w:lang w:val="es-ES_tradnl"/>
        </w:rPr>
        <w:t>Por la presente ley se instituye el Sistema N</w:t>
      </w:r>
      <w:r>
        <w:rPr>
          <w:lang w:val="es-ES_tradnl"/>
        </w:rPr>
        <w:t>a</w:t>
      </w:r>
      <w:r>
        <w:rPr>
          <w:lang w:val="es-ES_tradnl"/>
        </w:rPr>
        <w:t>cional de Ciencia, Tecnología e Innovación (SNCTI), integrado por el conjunto de organismos, instituciones nacionales públicas y privadas, personas físicas y jurídicas dedicadas o relacionadas a las actividades cie</w:t>
      </w:r>
      <w:r>
        <w:rPr>
          <w:lang w:val="es-ES_tradnl"/>
        </w:rPr>
        <w:t>n</w:t>
      </w:r>
      <w:r>
        <w:rPr>
          <w:lang w:val="es-ES_tradnl"/>
        </w:rPr>
        <w:t>tíficas, tecnol</w:t>
      </w:r>
      <w:r>
        <w:rPr>
          <w:lang w:val="es-ES_tradnl"/>
        </w:rPr>
        <w:t>ó</w:t>
      </w:r>
      <w:r>
        <w:rPr>
          <w:lang w:val="es-ES_tradnl"/>
        </w:rPr>
        <w:t>gicas y de innovación.</w:t>
      </w:r>
    </w:p>
    <w:p w:rsidR="00000000" w:rsidRDefault="00000000">
      <w:pPr>
        <w:spacing w:after="240"/>
        <w:ind w:left="924" w:firstLine="567"/>
        <w:rPr>
          <w:lang w:val="es-ES_tradnl"/>
        </w:rPr>
      </w:pPr>
      <w:r>
        <w:rPr>
          <w:lang w:val="es-ES_tradnl"/>
        </w:rPr>
        <w:t>Se instituye asimismo el Sistema Nacional de Calidad (SNC), integrado por el conjunto de organismos nacionales públicos y privados y por las personas físicas y jurídicas que desarrollan actividades vinculadas con la calidad.</w:t>
      </w:r>
    </w:p>
    <w:p w:rsidR="00000000" w:rsidRDefault="00000000">
      <w:pPr>
        <w:spacing w:after="240"/>
        <w:ind w:left="924" w:firstLine="567"/>
      </w:pPr>
      <w:r>
        <w:rPr>
          <w:lang w:val="es-ES_tradnl"/>
        </w:rPr>
        <w:t xml:space="preserve">El </w:t>
      </w:r>
      <w:r>
        <w:rPr>
          <w:b/>
          <w:bCs/>
          <w:spacing w:val="-3"/>
        </w:rPr>
        <w:t xml:space="preserve">Consejo Nacional de Ciencia y Tecnología (CONACYT) </w:t>
      </w:r>
      <w:r>
        <w:rPr>
          <w:lang w:val="es-ES_tradnl"/>
        </w:rPr>
        <w:t>podrá instituir otros sistemas nacionales, en áreas específicas de las ciencias y las tecnologías, cuando el avance en un campo determinado y la importancia de las mismas para el desarrollo científico y tecnológico del país lo hagan conveniente</w:t>
      </w:r>
      <w:r>
        <w:t>.</w:t>
      </w:r>
    </w:p>
    <w:p w:rsidR="00000000" w:rsidRDefault="00000000">
      <w:pPr>
        <w:spacing w:after="240"/>
        <w:ind w:left="924" w:hanging="357"/>
        <w:rPr>
          <w:lang w:val="es-ES_tradnl"/>
        </w:rPr>
      </w:pPr>
      <w:r>
        <w:rPr>
          <w:b/>
          <w:bCs/>
          <w:lang w:val="es-ES_tradnl"/>
        </w:rPr>
        <w:t>-</w:t>
      </w:r>
      <w:r>
        <w:rPr>
          <w:b/>
          <w:bCs/>
          <w:lang w:val="es-ES_tradnl"/>
        </w:rPr>
        <w:tab/>
        <w:t xml:space="preserve">Artículo 2 de las </w:t>
      </w:r>
      <w:r>
        <w:rPr>
          <w:b/>
          <w:bCs/>
          <w:spacing w:val="-3"/>
        </w:rPr>
        <w:t>competencias.</w:t>
      </w:r>
      <w:r>
        <w:rPr>
          <w:b/>
          <w:bCs/>
          <w:lang w:val="es-ES_tradnl"/>
        </w:rPr>
        <w:t xml:space="preserve">  </w:t>
      </w:r>
      <w:r>
        <w:rPr>
          <w:lang w:val="es-ES_tradnl"/>
        </w:rPr>
        <w:t>Compete al Sistema Nacional de Ciencia, Tecnología</w:t>
      </w:r>
      <w:r>
        <w:rPr>
          <w:spacing w:val="-3"/>
        </w:rPr>
        <w:t xml:space="preserve"> </w:t>
      </w:r>
      <w:r>
        <w:rPr>
          <w:bCs/>
          <w:spacing w:val="-3"/>
        </w:rPr>
        <w:t>e Innovación</w:t>
      </w:r>
      <w:r>
        <w:rPr>
          <w:lang w:val="es-ES_tradnl"/>
        </w:rPr>
        <w:t xml:space="preserve"> estimular y promover la investigación científica y tecnológica, la generación, difusión y transferencia del conocimiento, la invención, la innovación, la educación científica y tecnológica, el desarrollo de tecnologías nacionales y la gestión en materia de ciencia, tecnología e innovación.  Compete al Sistema Nacional de Calidad promover la investigación científica y tecnológica en el área de calidad y la aplicación y difusión de los servicios de acreditación, de metrología, de normalización y del sistema de evaluación de la conformidad. </w:t>
      </w:r>
    </w:p>
    <w:p w:rsidR="00000000" w:rsidRDefault="00000000">
      <w:pPr>
        <w:spacing w:after="240"/>
        <w:ind w:left="924" w:hanging="357"/>
        <w:rPr>
          <w:lang w:val="es-ES_tradnl"/>
        </w:rPr>
      </w:pPr>
      <w:r>
        <w:rPr>
          <w:b/>
          <w:lang w:val="es-ES_tradnl"/>
        </w:rPr>
        <w:t>-</w:t>
      </w:r>
      <w:r>
        <w:rPr>
          <w:b/>
          <w:lang w:val="es-ES_tradnl"/>
        </w:rPr>
        <w:tab/>
        <w:t xml:space="preserve">Artículo 3 de la ciencia, la tecnología, la </w:t>
      </w:r>
      <w:r>
        <w:rPr>
          <w:b/>
          <w:bCs/>
          <w:spacing w:val="-3"/>
        </w:rPr>
        <w:t>innovación</w:t>
      </w:r>
      <w:r>
        <w:rPr>
          <w:b/>
          <w:lang w:val="es-ES_tradnl"/>
        </w:rPr>
        <w:t>, la calidad y la política de desarrollo.</w:t>
      </w:r>
      <w:r>
        <w:rPr>
          <w:lang w:val="es-ES_tradnl"/>
        </w:rPr>
        <w:t xml:space="preserve">  El desarrollo de actividades científicas y tecnológicas y de innovación en el país, así como el desarrollo de actividades en el ámbito de la calidad, estarán orientados por políticas y programas específicos impulsados por el sector público y, cuando correspondiere, debidamente coordinados con el sector privado.  Estas políticas y programas deben responder a la política de desarrollo social y económico del país.  Las políticas nacionales de ciencia, tecnología e innovación y las políticas nacionales de calidad se desarrollarán basándose en programas preferentemente intersectoriales y multidisciplinarios.</w:t>
      </w:r>
    </w:p>
    <w:p w:rsidR="00000000" w:rsidRDefault="00000000">
      <w:pPr>
        <w:keepNext/>
        <w:spacing w:after="240"/>
        <w:rPr>
          <w:b/>
        </w:rPr>
      </w:pPr>
      <w:r>
        <w:rPr>
          <w:b/>
        </w:rPr>
        <w:t>3.</w:t>
      </w:r>
      <w:r>
        <w:rPr>
          <w:b/>
        </w:rPr>
        <w:tab/>
        <w:t>Atribuciones del CONACYT</w:t>
      </w:r>
    </w:p>
    <w:p w:rsidR="00000000" w:rsidRDefault="00000000">
      <w:pPr>
        <w:keepNext/>
        <w:autoSpaceDE w:val="0"/>
        <w:autoSpaceDN w:val="0"/>
        <w:adjustRightInd w:val="0"/>
        <w:spacing w:after="240"/>
      </w:pPr>
      <w:r>
        <w:t>630.</w:t>
      </w:r>
      <w:r>
        <w:tab/>
        <w:t>Son atribuciones del Consejo Nacional de Ciencia y Tecnología:</w:t>
      </w:r>
    </w:p>
    <w:p w:rsidR="00000000" w:rsidRDefault="00000000">
      <w:pPr>
        <w:spacing w:after="240"/>
        <w:ind w:left="1134" w:hanging="567"/>
      </w:pPr>
      <w:r>
        <w:t>a)</w:t>
      </w:r>
      <w:r>
        <w:tab/>
        <w:t>Formular y proponer al Gobierno nacional las políticas nacionales y estrategias de ciencia, tecnología e innovación y de calidad para el país, en concordancia con la política de desarrollo económico y social del Estado.  En coordinación con las instituciones relacionadas, supervisar y evaluar la implementación de estas políticas y estrategias.</w:t>
      </w:r>
    </w:p>
    <w:p w:rsidR="00000000" w:rsidRDefault="00000000">
      <w:pPr>
        <w:spacing w:after="240"/>
        <w:ind w:left="1134" w:hanging="567"/>
      </w:pPr>
      <w:r>
        <w:t>b)</w:t>
      </w:r>
      <w:r>
        <w:tab/>
        <w:t>Concertar los esfuerzos científicos, tecnológicos, de innovación y de calidad nacionales con los que se realizan en el extranjero, promoviendo las redes de investigación y desarrollo de los mismos.</w:t>
      </w:r>
    </w:p>
    <w:p w:rsidR="00000000" w:rsidRDefault="00000000">
      <w:pPr>
        <w:spacing w:after="240"/>
        <w:ind w:left="1134" w:hanging="567"/>
      </w:pPr>
      <w:r>
        <w:t>c)</w:t>
      </w:r>
      <w:r>
        <w:tab/>
        <w:t>Seleccionar, aprobar, supervisar y evaluar las investigaciones financiadas por el FONACYT, para que las mismas se lleven a cabo dentro de los lineamientos de la política nacional de ciencia, tecnología e innovación y de la política nacional de calidad formuladas por el CONACYT.</w:t>
      </w:r>
    </w:p>
    <w:p w:rsidR="00000000" w:rsidRDefault="00000000">
      <w:pPr>
        <w:spacing w:after="240"/>
        <w:ind w:left="1134" w:hanging="567"/>
      </w:pPr>
      <w:r>
        <w:t>d)</w:t>
      </w:r>
      <w:r>
        <w:tab/>
        <w:t>Asesorar a los poderes del Estado en todos los aspectos relacionados con las áreas de la competencia del CONACYT.</w:t>
      </w:r>
    </w:p>
    <w:p w:rsidR="00000000" w:rsidRDefault="00000000">
      <w:pPr>
        <w:spacing w:after="240"/>
        <w:ind w:left="1134" w:hanging="567"/>
      </w:pPr>
      <w:r>
        <w:t>e)</w:t>
      </w:r>
      <w:r>
        <w:tab/>
        <w:t>Determinar los criterios y/o principios de ciencia, tecnología e innovación y de calidad a ser incorporados en la formulación de políticas nacionales.</w:t>
      </w:r>
    </w:p>
    <w:p w:rsidR="00000000" w:rsidRDefault="00000000">
      <w:pPr>
        <w:spacing w:after="240"/>
        <w:ind w:left="1134" w:hanging="567"/>
      </w:pPr>
      <w:r>
        <w:t>f)</w:t>
      </w:r>
      <w:r>
        <w:tab/>
        <w:t>Reglamentar y ejecutar la política de asignaciones de recursos del FONACYT para la consecución de los fines de la política nacional de ciencia, tecnología e innovación y de la política nacional de la calidad.</w:t>
      </w:r>
    </w:p>
    <w:p w:rsidR="00000000" w:rsidRDefault="00000000">
      <w:pPr>
        <w:spacing w:after="240"/>
        <w:ind w:left="1134" w:hanging="567"/>
      </w:pPr>
      <w:r>
        <w:t>g)</w:t>
      </w:r>
      <w:r>
        <w:tab/>
        <w:t>Promover la difusión de actividades científicas, tecnológicas, de innovación y de la calidad, así como realizar su ordenamiento y sistematización.</w:t>
      </w:r>
    </w:p>
    <w:p w:rsidR="00000000" w:rsidRDefault="00000000">
      <w:pPr>
        <w:spacing w:after="240"/>
        <w:ind w:left="1134" w:hanging="567"/>
      </w:pPr>
      <w:r>
        <w:t>h)</w:t>
      </w:r>
      <w:r>
        <w:tab/>
        <w:t>Promover la normalización y la evaluación de la conformidad de los procesos, productos y servicios y la generación, uso y aplicación de la tecnología.</w:t>
      </w:r>
    </w:p>
    <w:p w:rsidR="00000000" w:rsidRDefault="00000000">
      <w:pPr>
        <w:spacing w:after="240"/>
        <w:ind w:left="1134" w:hanging="567"/>
      </w:pPr>
      <w:r>
        <w:t>i)</w:t>
      </w:r>
      <w:r>
        <w:tab/>
        <w:t>Auspiciar programas de formación y especialización de los recursos humanos necesarios para el desarrollo del Sistema Nacional de Calidad y del Sistema Nacional de Ciencia, Tecnología e Innovación.</w:t>
      </w:r>
    </w:p>
    <w:p w:rsidR="00000000" w:rsidRDefault="00000000">
      <w:pPr>
        <w:spacing w:after="240"/>
        <w:ind w:left="1134" w:hanging="567"/>
      </w:pPr>
      <w:r>
        <w:t>j)</w:t>
      </w:r>
      <w:r>
        <w:tab/>
        <w:t>Incentivar la generación, uso, difusión y aplicación de conocimientos científicos, tecnológicos, de innovación y calidad que sean cultural, social y ambientalmente sustentables.</w:t>
      </w:r>
    </w:p>
    <w:p w:rsidR="00000000" w:rsidRDefault="00000000">
      <w:pPr>
        <w:spacing w:after="240"/>
        <w:ind w:left="1134" w:hanging="567"/>
      </w:pPr>
      <w:r>
        <w:t>k)</w:t>
      </w:r>
      <w:r>
        <w:tab/>
        <w:t>Establecer y mantener relaciones con organismos similares públicos y privados del extranjero, así como propiciar la participación de representantes del país en congresos u otro tipo de actividades científicas o técnicas y apoyar el intercambio, la cooperación y la información recíproca en las áreas de competencia del CONACYT.</w:t>
      </w:r>
    </w:p>
    <w:p w:rsidR="00000000" w:rsidRDefault="00000000">
      <w:pPr>
        <w:spacing w:after="240"/>
        <w:ind w:left="1134" w:hanging="567"/>
      </w:pPr>
      <w:r>
        <w:t>l)</w:t>
      </w:r>
      <w:r>
        <w:tab/>
        <w:t>Concertar y apoyar la acción de entes públicos nacionales, asociaciones civiles y organismos no gubernamentales en materias de su competencia.</w:t>
      </w:r>
    </w:p>
    <w:p w:rsidR="00000000" w:rsidRDefault="00000000">
      <w:pPr>
        <w:spacing w:after="240"/>
        <w:ind w:left="1134" w:hanging="567"/>
      </w:pPr>
      <w:r>
        <w:t>m)</w:t>
      </w:r>
      <w:r>
        <w:tab/>
        <w:t>Promover la racionalización y transparencia en la gestión y aplicación de los recursos públicos y privados destinados a la investigación científica, el desarrollo tecnológico, la innovación y la calidad.</w:t>
      </w:r>
    </w:p>
    <w:p w:rsidR="00000000" w:rsidRDefault="00000000">
      <w:pPr>
        <w:spacing w:after="240"/>
        <w:ind w:left="1134" w:hanging="567"/>
      </w:pPr>
      <w:r>
        <w:t>n)</w:t>
      </w:r>
      <w:r>
        <w:tab/>
        <w:t>Definir los conceptos relacionados con las áreas de su competencia, de acuerdo a criterios establecidos y aceptados a nivel internacional.</w:t>
      </w:r>
    </w:p>
    <w:p w:rsidR="00000000" w:rsidRDefault="00000000">
      <w:pPr>
        <w:spacing w:after="240"/>
        <w:ind w:left="1134" w:hanging="567"/>
      </w:pPr>
      <w:r>
        <w:t>o)</w:t>
      </w:r>
      <w:r>
        <w:tab/>
        <w:t>Constituir comisiones permanentes o comisiones ad hoc para el tratamiento y estudio de temas específicos, así como para la evaluación de proyectos específicos, dentro de las áreas de su competencia.</w:t>
      </w:r>
    </w:p>
    <w:p w:rsidR="00000000" w:rsidRDefault="00000000">
      <w:pPr>
        <w:spacing w:after="240"/>
        <w:ind w:left="1134" w:hanging="567"/>
      </w:pPr>
      <w:r>
        <w:t>p)</w:t>
      </w:r>
      <w:r>
        <w:tab/>
        <w:t>Participar en las actividades, comisiones o colegiados de cualquier tipo o denominación vinculados a organismos oficiales relacionados con ciencia, tecnología, innovación y calidad.</w:t>
      </w:r>
    </w:p>
    <w:p w:rsidR="00000000" w:rsidRDefault="00000000">
      <w:pPr>
        <w:spacing w:after="240"/>
        <w:ind w:left="1134" w:hanging="567"/>
      </w:pPr>
      <w:r>
        <w:t>q)</w:t>
      </w:r>
      <w:r>
        <w:tab/>
        <w:t>Fomentar el desarrollo de la ciencia, la tecnología, la innovación y la calidad por medio de mecanismos de incentivos a instituciones, empresas y personas.</w:t>
      </w:r>
    </w:p>
    <w:p w:rsidR="00000000" w:rsidRDefault="00000000">
      <w:pPr>
        <w:spacing w:after="240"/>
        <w:ind w:left="1134" w:hanging="567"/>
      </w:pPr>
      <w:r>
        <w:t>r)</w:t>
      </w:r>
      <w:r>
        <w:tab/>
        <w:t>Autorizar la realización de convenios, acuerdos, contrataciones y otros instrumentos afines relacionados con el cumplimiento de sus objetivos.</w:t>
      </w:r>
    </w:p>
    <w:p w:rsidR="00000000" w:rsidRDefault="00000000">
      <w:pPr>
        <w:spacing w:after="240"/>
        <w:ind w:left="1134" w:hanging="567"/>
      </w:pPr>
      <w:r>
        <w:t>s)</w:t>
      </w:r>
      <w:r>
        <w:tab/>
        <w:t>Administrar sus recursos presupuestarios, realizando las gestiones administrativas que sean necesarias a tal efecto.</w:t>
      </w:r>
    </w:p>
    <w:p w:rsidR="00000000" w:rsidRDefault="00000000">
      <w:pPr>
        <w:spacing w:after="240"/>
        <w:ind w:left="1134" w:hanging="567"/>
      </w:pPr>
      <w:r>
        <w:t>t)</w:t>
      </w:r>
      <w:r>
        <w:tab/>
        <w:t>Dictar los reglamentos y resoluciones que se relacionen con las funciones del CONACYT.</w:t>
      </w:r>
    </w:p>
    <w:p w:rsidR="00000000" w:rsidRDefault="00000000">
      <w:pPr>
        <w:spacing w:after="240"/>
        <w:ind w:left="1134" w:hanging="567"/>
      </w:pPr>
      <w:r>
        <w:t>u)</w:t>
      </w:r>
      <w:r>
        <w:tab/>
        <w:t xml:space="preserve">Fijar los montos a percibir por prestación de servicios y actualizarlos periódicamente. </w:t>
      </w:r>
    </w:p>
    <w:p w:rsidR="00000000" w:rsidRDefault="00000000">
      <w:pPr>
        <w:spacing w:after="240"/>
        <w:ind w:left="1134" w:hanging="567"/>
      </w:pPr>
      <w:r>
        <w:t>v)</w:t>
      </w:r>
      <w:r>
        <w:tab/>
        <w:t>Fijar remuneraciones adicionales y extraordinarias a los funcionarios del CONACYT, a ser pagados con los fondos del FONACYT.</w:t>
      </w:r>
    </w:p>
    <w:p w:rsidR="00000000" w:rsidRDefault="00000000">
      <w:pPr>
        <w:spacing w:after="240"/>
        <w:ind w:left="1134" w:hanging="567"/>
      </w:pPr>
      <w:r>
        <w:t>w)</w:t>
      </w:r>
      <w:r>
        <w:tab/>
        <w:t>Aprobar el Informe Anual de Actividades, la Memoria y el Balance del año anterior, el anteproyecto de presupuesto debidamente justificado y los planes de trabajo que el presupuesto asignado al CONACYT permitan ejecutar.</w:t>
      </w:r>
    </w:p>
    <w:p w:rsidR="00000000" w:rsidRDefault="00000000">
      <w:pPr>
        <w:spacing w:after="240"/>
        <w:ind w:left="1134" w:hanging="567"/>
      </w:pPr>
      <w:r>
        <w:t>x)</w:t>
      </w:r>
      <w:r>
        <w:tab/>
        <w:t>Designar a los miembros del Consejo y a los funcionarios que, junto con el Presidente del CONACYT, han de suscribir los valores, títulos y otros documentos.</w:t>
      </w:r>
    </w:p>
    <w:p w:rsidR="00000000" w:rsidRDefault="00000000">
      <w:pPr>
        <w:spacing w:after="240"/>
        <w:ind w:left="567"/>
      </w:pPr>
      <w:r>
        <w:t>y)</w:t>
      </w:r>
      <w:r>
        <w:tab/>
        <w:t>Realizar los demás actos necesarios al cumplimiento de los fines del CONACYT.</w:t>
      </w:r>
    </w:p>
    <w:p w:rsidR="00000000" w:rsidRDefault="00000000">
      <w:pPr>
        <w:spacing w:after="240"/>
        <w:rPr>
          <w:b/>
        </w:rPr>
      </w:pPr>
      <w:r>
        <w:rPr>
          <w:b/>
        </w:rPr>
        <w:t>4.</w:t>
      </w:r>
      <w:r>
        <w:rPr>
          <w:b/>
        </w:rPr>
        <w:tab/>
        <w:t>Política Nacional de Ciencia y Tecnología</w:t>
      </w:r>
    </w:p>
    <w:p w:rsidR="00000000" w:rsidRDefault="00000000">
      <w:pPr>
        <w:autoSpaceDE w:val="0"/>
        <w:autoSpaceDN w:val="0"/>
        <w:adjustRightInd w:val="0"/>
        <w:spacing w:after="240"/>
      </w:pPr>
      <w:r>
        <w:t>631.</w:t>
      </w:r>
      <w:r>
        <w:tab/>
        <w:t>El Paraguay posee una Política Nacional de Ciencia y Tecnología, homologada por el poder ejecutivo en virtud del Decreto Nº 19007 de 15 de octubre de 2002.</w:t>
      </w:r>
      <w:r>
        <w:rPr>
          <w:b/>
        </w:rPr>
        <w:t xml:space="preserve">  </w:t>
      </w:r>
      <w:r>
        <w:t>La Política Nacional de Ciencia y Tecnología tiene como fines:  mejorar, aumentar y hacer más eficiente el esfuerzo nacional en ciencia y tecnología, promoviendo una mayor participación del sector privado y de los gobiernos locales.  En función de ello, los objetivos que componen dicha política tienen como principios rectores los siguientes:</w:t>
      </w:r>
    </w:p>
    <w:p w:rsidR="00000000" w:rsidRDefault="00000000">
      <w:pPr>
        <w:spacing w:after="240"/>
        <w:ind w:left="924" w:hanging="357"/>
      </w:pPr>
      <w:r>
        <w:t>-</w:t>
      </w:r>
      <w:r>
        <w:tab/>
        <w:t>El desarrollo de la ciencia y tecnología constituye uno de los pilares fundamentales del desarrollo social, económico y cultural del país y, por lo tanto, su política debe estar en concordancia con las políticas sociales y económicas de largo plazo.</w:t>
      </w:r>
    </w:p>
    <w:p w:rsidR="00000000" w:rsidRDefault="00000000">
      <w:pPr>
        <w:spacing w:after="240"/>
        <w:ind w:left="924" w:hanging="357"/>
      </w:pPr>
      <w:r>
        <w:t>-</w:t>
      </w:r>
      <w:r>
        <w:tab/>
        <w:t>El fortalecimiento de la capacidad tecnologicocientífica nacional colabora para otorgar a la ciencia y la tecnología el papel que le corresponde en un país moderno.</w:t>
      </w:r>
    </w:p>
    <w:p w:rsidR="00000000" w:rsidRDefault="00000000">
      <w:pPr>
        <w:spacing w:after="240"/>
        <w:ind w:left="924" w:hanging="357"/>
      </w:pPr>
      <w:r>
        <w:t>-</w:t>
      </w:r>
      <w:r>
        <w:tab/>
        <w:t>Las investigaciones deben ser clasificadas por nivel de prioridad de acuerdo a las necesidades nacionales.</w:t>
      </w:r>
    </w:p>
    <w:p w:rsidR="00000000" w:rsidRDefault="00000000">
      <w:pPr>
        <w:spacing w:after="240"/>
        <w:ind w:left="924" w:hanging="357"/>
      </w:pPr>
      <w:r>
        <w:t>-</w:t>
      </w:r>
      <w:r>
        <w:tab/>
        <w:t>La adecuación institucional del sector se orienta al fortalecimiento de la capacidad local de innovación y de utilizar los avances científicos y tecnológicos para beneficio de la sociedad.  En especial, debe fortalecerse el CONACYT como organismo rector del Sistema Nacional de Ciencia y Tecnología.</w:t>
      </w:r>
    </w:p>
    <w:p w:rsidR="00000000" w:rsidRDefault="00000000">
      <w:pPr>
        <w:spacing w:after="240"/>
        <w:ind w:left="924" w:hanging="357"/>
      </w:pPr>
      <w:r>
        <w:t>-</w:t>
      </w:r>
      <w:r>
        <w:tab/>
        <w:t>La articulación y los vínculos entre los actores e instituciones, tanto en el sector público como en el privado, y que participan directa e indirectamente en las actividades científicas y tecnológicas, es una necesidad para el diseño y ejecución de las políticas sectoriales.  En particular, tiene especial importancia la vinculación entre universidad</w:t>
      </w:r>
      <w:r>
        <w:noBreakHyphen/>
        <w:t>empresa para el cumplimiento de los objetivos de incremento de productividad, competitividad y calidad.</w:t>
      </w:r>
    </w:p>
    <w:p w:rsidR="00000000" w:rsidRDefault="00000000">
      <w:pPr>
        <w:spacing w:after="240"/>
        <w:ind w:left="924" w:hanging="357"/>
      </w:pPr>
      <w:r>
        <w:t>-</w:t>
      </w:r>
      <w:r>
        <w:tab/>
        <w:t>El impulso y la racionalización de los programas gubernamentales que tengan como objetivo la investigación y desarrollo deben constituirse en líneas básicas de acción del CONACYT.</w:t>
      </w:r>
    </w:p>
    <w:p w:rsidR="00000000" w:rsidRDefault="00000000">
      <w:pPr>
        <w:spacing w:after="240"/>
        <w:ind w:left="924" w:hanging="357"/>
      </w:pPr>
      <w:r>
        <w:t>-</w:t>
      </w:r>
      <w:r>
        <w:tab/>
        <w:t>La asignación de manera sostenida y de un monto creciente de recursos financieros del presupuesto público a la investigación a través del FONACYT es una obligación del Estado.  Para el manejo del Fondo deben contemplarse mecanismos de competencia por calidad y pertinencia.</w:t>
      </w:r>
    </w:p>
    <w:p w:rsidR="00000000" w:rsidRDefault="00000000">
      <w:pPr>
        <w:spacing w:after="240"/>
        <w:ind w:left="924" w:hanging="357"/>
      </w:pPr>
      <w:r>
        <w:t>-</w:t>
      </w:r>
      <w:r>
        <w:tab/>
        <w:t>Uno de los mecanismos de potenciación de los efectos del financiamiento público nacional a la ciencia y tecnología debe estar orientado a la cofinanciación de los proyectos respectivos por parte del sector privado, gobiernos locales y/o instituciones de otros países en el marco de la cooperación internacional.</w:t>
      </w:r>
    </w:p>
    <w:p w:rsidR="00000000" w:rsidRDefault="00000000">
      <w:pPr>
        <w:spacing w:after="240"/>
        <w:ind w:left="924" w:hanging="357"/>
      </w:pPr>
      <w:r>
        <w:t>-</w:t>
      </w:r>
      <w:r>
        <w:tab/>
        <w:t>Las inversiones públicas y privadas hacia actividades cada vez más intensivas en conocimientos serán favorecidas y fomentadas.</w:t>
      </w:r>
    </w:p>
    <w:p w:rsidR="00000000" w:rsidRDefault="00000000">
      <w:pPr>
        <w:autoSpaceDE w:val="0"/>
        <w:autoSpaceDN w:val="0"/>
        <w:adjustRightInd w:val="0"/>
        <w:spacing w:after="240"/>
      </w:pPr>
      <w:r>
        <w:t>632.</w:t>
      </w:r>
      <w:r>
        <w:tab/>
        <w:t>Cabe destacar que no se conoce restricción alguna al ejercicio del derecho al acceso a la información.</w:t>
      </w:r>
    </w:p>
    <w:p w:rsidR="00000000" w:rsidRDefault="00000000">
      <w:pPr>
        <w:keepNext/>
        <w:spacing w:after="240"/>
        <w:rPr>
          <w:b/>
        </w:rPr>
      </w:pPr>
      <w:r>
        <w:rPr>
          <w:b/>
        </w:rPr>
        <w:t>5.</w:t>
      </w:r>
      <w:r>
        <w:rPr>
          <w:b/>
        </w:rPr>
        <w:tab/>
        <w:t xml:space="preserve">Medidas para asegurar la aplicación del progreso científico </w:t>
      </w:r>
    </w:p>
    <w:p w:rsidR="00000000" w:rsidRDefault="00000000">
      <w:pPr>
        <w:autoSpaceDE w:val="0"/>
        <w:autoSpaceDN w:val="0"/>
        <w:adjustRightInd w:val="0"/>
        <w:spacing w:after="240"/>
      </w:pPr>
      <w:r>
        <w:t>633.</w:t>
      </w:r>
      <w:r>
        <w:tab/>
        <w:t xml:space="preserve">Promulgación de la Ley general de ciencia y tecnología Nº 1028, de 31 de enero de 1997, en virtud de la cual se crea el CONACYT; el Decreto Nº 19007 de 15 de octubre de 2002. a través del cual el poder ejecutivo homologa la Política Nacional de Ciencia y Tecnología; y la Ley Nº 2279 de 7 de noviembre de 2003 "que modifica y amplia artículos de la Ley general de ciencia y tecnología Nº 1028/97". </w:t>
      </w:r>
    </w:p>
    <w:p w:rsidR="00000000" w:rsidRDefault="00000000">
      <w:pPr>
        <w:autoSpaceDE w:val="0"/>
        <w:autoSpaceDN w:val="0"/>
        <w:adjustRightInd w:val="0"/>
        <w:spacing w:after="240"/>
      </w:pPr>
      <w:r>
        <w:t>634.</w:t>
      </w:r>
      <w:r>
        <w:tab/>
        <w:t xml:space="preserve">En cuanto a las actividades concretas en el ámbito de la aplicación efectiva del plan nacional se puede citar: </w:t>
      </w:r>
    </w:p>
    <w:p w:rsidR="00000000" w:rsidRDefault="00000000">
      <w:pPr>
        <w:spacing w:after="240"/>
        <w:ind w:left="924" w:hanging="357"/>
      </w:pPr>
      <w:r>
        <w:t>-</w:t>
      </w:r>
      <w:r>
        <w:tab/>
        <w:t>La firma del Proyecto PAR/02/005 "Fortalecimiento institucional para el desarrollo de la ciencia, tecnología, innovación y calidad en el Paraguay", entre el PNUD y el CONACYT;</w:t>
      </w:r>
    </w:p>
    <w:p w:rsidR="00000000" w:rsidRDefault="00000000">
      <w:pPr>
        <w:spacing w:after="240"/>
        <w:ind w:left="924" w:hanging="357"/>
      </w:pPr>
      <w:r>
        <w:t>-</w:t>
      </w:r>
      <w:r>
        <w:tab/>
        <w:t>Finalización de la recolección de datos a instituciones de ciencia y tecnología para la construcción de Indicadores de Ciencia y Tecnología correspondientes al año base 2001, en el marco del Proyecto AE/149/01;</w:t>
      </w:r>
    </w:p>
    <w:p w:rsidR="00000000" w:rsidRDefault="00000000">
      <w:pPr>
        <w:spacing w:after="240"/>
        <w:ind w:left="924" w:hanging="357"/>
      </w:pPr>
      <w:r>
        <w:t>-</w:t>
      </w:r>
      <w:r>
        <w:tab/>
        <w:t>Firma del Convenio Interinstitucional entre el CONACYT y la Secretaría de Ciencia, Técnica e Innovación Productiva del Ministerio de Educación de la República Argentina;</w:t>
      </w:r>
    </w:p>
    <w:p w:rsidR="00000000" w:rsidRDefault="00000000">
      <w:pPr>
        <w:spacing w:after="240"/>
        <w:ind w:left="924" w:hanging="357"/>
      </w:pPr>
      <w:r>
        <w:t>-</w:t>
      </w:r>
      <w:r>
        <w:tab/>
        <w:t>Organización de la Conferencia "Ciencia, Tecnología y Sociedad" a cargo del Dr. José Antonio López Cerezo, de la Universidad de Oviedo (España);</w:t>
      </w:r>
    </w:p>
    <w:p w:rsidR="00000000" w:rsidRDefault="00000000">
      <w:pPr>
        <w:spacing w:after="240"/>
        <w:ind w:left="924" w:hanging="357"/>
      </w:pPr>
      <w:r>
        <w:t>-</w:t>
      </w:r>
      <w:r>
        <w:tab/>
        <w:t>Organización del "Seminario Internacional de Ciencia, Tecnología, Sociedad y Globalización";</w:t>
      </w:r>
    </w:p>
    <w:p w:rsidR="00000000" w:rsidRDefault="00000000">
      <w:pPr>
        <w:spacing w:after="240"/>
        <w:ind w:left="924" w:hanging="357"/>
      </w:pPr>
      <w:r>
        <w:t>-</w:t>
      </w:r>
      <w:r>
        <w:tab/>
        <w:t>Ejecución del Proyecto PAR 02 M15 "Fortalecimiento del diálogo nacional sobre sociedad de la información";</w:t>
      </w:r>
    </w:p>
    <w:p w:rsidR="00000000" w:rsidRDefault="00000000">
      <w:pPr>
        <w:spacing w:after="240"/>
        <w:ind w:left="924" w:hanging="357"/>
      </w:pPr>
      <w:r>
        <w:t>-</w:t>
      </w:r>
      <w:r>
        <w:tab/>
        <w:t>Firma del Convenio Interinstitucional entre el CONACYT y el Servicio Brasilero de Apoyo a las Empresas (SEBRAE);</w:t>
      </w:r>
    </w:p>
    <w:p w:rsidR="00000000" w:rsidRDefault="00000000">
      <w:pPr>
        <w:spacing w:after="240"/>
        <w:ind w:left="924" w:hanging="357"/>
      </w:pPr>
      <w:r>
        <w:t>-</w:t>
      </w:r>
      <w:r>
        <w:tab/>
        <w:t>Apoyo al Forecasting Regional realizado en el marco del Convenio Andrés Bello para el período 2005-2015, con el empleo de la Plataforma DELPHI, orientado a establecer las principales tendencias de la ciencia y tecnología en el ámbito de los países miembros del CAB;</w:t>
      </w:r>
    </w:p>
    <w:p w:rsidR="00000000" w:rsidRDefault="00000000">
      <w:pPr>
        <w:spacing w:after="240"/>
        <w:ind w:left="924" w:hanging="357"/>
      </w:pPr>
      <w:r>
        <w:t>-</w:t>
      </w:r>
      <w:r>
        <w:tab/>
        <w:t>Formulación de la propuesta final del proyecto "Programa de apoyo al desarrollo de la ciencia, tecnología e innovación", CONACYT/Banco Interamericano de Desarrollo PR 126;</w:t>
      </w:r>
    </w:p>
    <w:p w:rsidR="00000000" w:rsidRDefault="00000000">
      <w:pPr>
        <w:spacing w:after="240"/>
        <w:ind w:left="924" w:hanging="357"/>
      </w:pPr>
      <w:r>
        <w:t>-</w:t>
      </w:r>
      <w:r>
        <w:tab/>
        <w:t>Formulación e implementación del Proyecto Génesis; fases I y II; Sistema de Incubación e Innovación Regional del Paraguay; BM-InfoDev;</w:t>
      </w:r>
    </w:p>
    <w:p w:rsidR="00000000" w:rsidRDefault="00000000">
      <w:pPr>
        <w:spacing w:after="240"/>
        <w:ind w:left="924" w:hanging="357"/>
      </w:pPr>
      <w:r>
        <w:t>-</w:t>
      </w:r>
      <w:r>
        <w:tab/>
        <w:t>Establecimiento de la Plataforma Nacional y Regional para el inicio de las actividades del Proyecto BIOTECH I UE-MERCOSUR;</w:t>
      </w:r>
    </w:p>
    <w:p w:rsidR="00000000" w:rsidRDefault="00000000">
      <w:pPr>
        <w:spacing w:after="240"/>
        <w:ind w:left="924" w:hanging="357"/>
      </w:pPr>
      <w:r>
        <w:t>-</w:t>
      </w:r>
      <w:r>
        <w:tab/>
        <w:t>Establecimiento del Premio Juvenil de Ciencias "Pierre et Marie Curie", de cobertura nacional CONACYT-MEC;</w:t>
      </w:r>
    </w:p>
    <w:p w:rsidR="00000000" w:rsidRDefault="00000000">
      <w:pPr>
        <w:spacing w:after="240"/>
        <w:ind w:left="924" w:hanging="357"/>
      </w:pPr>
      <w:r>
        <w:t>-</w:t>
      </w:r>
      <w:r>
        <w:tab/>
        <w:t>Establecimiento del Premio RECYT-MERCOSUR, en el ámbito regional con la participación de científicos de la Argentina, el Brasil, el Paraguay y el Uruguay;</w:t>
      </w:r>
    </w:p>
    <w:p w:rsidR="00000000" w:rsidRDefault="00000000">
      <w:pPr>
        <w:spacing w:after="240"/>
        <w:ind w:left="924" w:hanging="357"/>
      </w:pPr>
      <w:r>
        <w:t>-</w:t>
      </w:r>
      <w:r>
        <w:tab/>
        <w:t>Suscripción de acuerdos de cooperación con las universidades, tanto con las universidades del sector público como del sector privado con el interés de establecer los mecanismos necesarios que posibiliten el acompañamiento del progreso de la ciencia en los diferentes campos del saber.</w:t>
      </w:r>
    </w:p>
    <w:p w:rsidR="00000000" w:rsidRDefault="00000000">
      <w:pPr>
        <w:autoSpaceDE w:val="0"/>
        <w:autoSpaceDN w:val="0"/>
        <w:adjustRightInd w:val="0"/>
        <w:spacing w:after="240"/>
      </w:pPr>
      <w:r>
        <w:t>635.</w:t>
      </w:r>
      <w:r>
        <w:tab/>
        <w:t>Es igualmente importante destacar que el Gobierno nacional incentiva y desarrolla los contactos internacionales y de cooperación en el quehacer de la ciencia y la tecnología, con la participación de la Cancillería Nacional en el marco de los Acuerdos de Cooperación Bilateral o Multilateral Suscritos u otros instrumentos, acuerdos en los cuales el CONACYT participa de forma regular en el ámbito de sus atribuciones.</w:t>
      </w:r>
    </w:p>
    <w:p w:rsidR="00000000" w:rsidRDefault="00000000">
      <w:pPr>
        <w:autoSpaceDE w:val="0"/>
        <w:autoSpaceDN w:val="0"/>
        <w:adjustRightInd w:val="0"/>
        <w:spacing w:after="240"/>
      </w:pPr>
      <w:r>
        <w:t>636.</w:t>
      </w:r>
      <w:r>
        <w:tab/>
        <w:t>La participación de los científicos y/o escritores en conferencias, seminarios o simposios se efectúa en el contexto referido precedentemente, así como también en el marco de proyectos que cuentan con recursos de Organismos de Cooperación Financiera, o con los recursos disponibles en el Presupuesto General de Gastos y en ocasiones con la financiación de las asociaciones de profesionales, sean las mismas nacionales, regionales o internacionales.</w:t>
      </w:r>
    </w:p>
    <w:p w:rsidR="00000000" w:rsidRDefault="00000000">
      <w:pPr>
        <w:autoSpaceDE w:val="0"/>
        <w:autoSpaceDN w:val="0"/>
        <w:adjustRightInd w:val="0"/>
        <w:spacing w:after="240"/>
      </w:pPr>
      <w:r>
        <w:t>637.</w:t>
      </w:r>
      <w:r>
        <w:tab/>
        <w:t>Con relación a las actividades específicas del Consejo Nacional de Ciencia y Tecnología durante el año 2005, relativas a la vigencia del presente artículo del Pacto, ver anexo VII "Informe de las actividades del CONACYT, año 2005".</w:t>
      </w:r>
    </w:p>
    <w:p w:rsidR="00000000" w:rsidRDefault="00000000">
      <w:pPr>
        <w:spacing w:after="240"/>
        <w:ind w:left="567"/>
        <w:rPr>
          <w:b/>
        </w:rPr>
      </w:pPr>
      <w:r>
        <w:rPr>
          <w:b/>
        </w:rPr>
        <w:t>Cooperación Internacional</w:t>
      </w:r>
    </w:p>
    <w:p w:rsidR="00000000" w:rsidRDefault="00000000">
      <w:pPr>
        <w:autoSpaceDE w:val="0"/>
        <w:autoSpaceDN w:val="0"/>
        <w:adjustRightInd w:val="0"/>
        <w:spacing w:after="240"/>
      </w:pPr>
      <w:r>
        <w:t>638.</w:t>
      </w:r>
      <w:r>
        <w:tab/>
        <w:t>La cooperación internacional cumple un papel muy importante en la implementación efectiva de todos los derechos consagrados en el Pacto Internacional de Derechos Económicos, Sociales y Culturales.  En particular, con relación al apoyo a las gestiones del Gobierno nacional con miras a garantizar la amplia difusión y alcance de sus programas y proyectos de desarrollo y asistencia social.  La Secretaría Técnica de Planificación es la institución estatal encargada de recepcionar y dar seguimiento a las ofertas de cooperación internacional en distintas áreas.  En ese sentido, la Secretaría Técnica de Planificación ha elaborado un documento donde se detallan las contribuciones de las agencias cooperantes internacionales y la aplicación efectiva de los artículos del Pacto.  Ver anexo VIII, "Papel de la Cooperación Internacional en la vigencia de los DESC".</w:t>
      </w:r>
    </w:p>
    <w:p w:rsidR="00000000" w:rsidRDefault="00000000">
      <w:pPr>
        <w:autoSpaceDE w:val="0"/>
        <w:autoSpaceDN w:val="0"/>
        <w:adjustRightInd w:val="0"/>
        <w:spacing w:after="240"/>
        <w:jc w:val="center"/>
      </w:pPr>
      <w:r>
        <w:t>-----</w:t>
      </w:r>
    </w:p>
    <w:p w:rsidR="00000000" w:rsidRDefault="00000000">
      <w:pPr>
        <w:autoSpaceDE w:val="0"/>
        <w:autoSpaceDN w:val="0"/>
        <w:adjustRightInd w:val="0"/>
        <w:spacing w:after="240"/>
        <w:rPr>
          <w:bCs/>
        </w:rPr>
      </w:pPr>
    </w:p>
    <w:sectPr w:rsidR="00000000">
      <w:headerReference w:type="even" r:id="rId103"/>
      <w:headerReference w:type="default" r:id="rId104"/>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(E/1990/5/Add.23) relativo a los derechos comprendidos en los artículos 1 a 15 del Pacto, presentado por el Gobierno del Paraguay fue examinado por el Comité de Derechos Económicos, Sociales y Culturales en su 14º período de sesiones en 1996 (véanse los documentos E/C.12/1996/SR.1, 2 y 4).</w:t>
      </w:r>
    </w:p>
  </w:footnote>
  <w:footnote w:id="2">
    <w:p w:rsidR="00000000" w:rsidRDefault="00000000">
      <w:pPr>
        <w:pStyle w:val="FootnoteText"/>
        <w:spacing w:line="240" w:lineRule="auto"/>
      </w:pPr>
      <w:r>
        <w:rPr>
          <w:rStyle w:val="FootnoteReference"/>
        </w:rPr>
        <w:t>**</w:t>
      </w:r>
      <w:r>
        <w:t xml:space="preserve"> La información presentada de acuerdo con las directrices consolidadas para la parte inicial de los informes de los Estados Partes está contenida en el documento básico HRI/CORE/1/Add.24.</w:t>
      </w:r>
    </w:p>
    <w:p w:rsidR="00000000" w:rsidRDefault="00000000">
      <w:pPr>
        <w:pStyle w:val="FootnoteText"/>
        <w:spacing w:after="600" w:line="240" w:lineRule="auto"/>
      </w:pPr>
      <w:r>
        <w:rPr>
          <w:b/>
          <w:bCs/>
          <w:vertAlign w:val="superscript"/>
        </w:rPr>
        <w:t xml:space="preserve">*** </w:t>
      </w:r>
      <w: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t>GE.07-40679  (S)    270207    120407</w:t>
      </w:r>
    </w:p>
  </w:footnote>
  <w:footnote w:id="3">
    <w:p w:rsidR="00000000" w:rsidRDefault="00000000">
      <w:pPr>
        <w:pStyle w:val="FootnoteText"/>
        <w:spacing w:line="240" w:lineRule="auto"/>
      </w:pPr>
      <w:r>
        <w:rPr>
          <w:b/>
          <w:bCs/>
          <w:vertAlign w:val="superscript"/>
        </w:rPr>
        <w:footnoteRef/>
      </w:r>
      <w:r>
        <w:rPr>
          <w:vertAlign w:val="superscript"/>
        </w:rPr>
        <w:t xml:space="preserve"> </w:t>
      </w:r>
      <w:r>
        <w:t>Pueblos indígenas del Paraguay, resultados finales, Segundo Censo Nacional Indígena de Población y Viviendas 2002.  Este material ha sido realizado por el equipo técnico de la Dirección General de Estadísticas, Encuestas, Censos.</w:t>
      </w:r>
    </w:p>
  </w:footnote>
  <w:footnote w:id="4">
    <w:p w:rsidR="00000000" w:rsidRDefault="00000000">
      <w:pPr>
        <w:pStyle w:val="FootnoteText"/>
        <w:spacing w:after="0" w:line="240" w:lineRule="auto"/>
        <w:jc w:val="both"/>
      </w:pPr>
      <w:r>
        <w:rPr>
          <w:b/>
          <w:bCs/>
          <w:vertAlign w:val="superscript"/>
        </w:rPr>
        <w:footnoteRef/>
      </w:r>
      <w:r>
        <w:t xml:space="preserve"> Departamento de Bioestadística, 2003.</w:t>
      </w:r>
    </w:p>
  </w:footnote>
  <w:footnote w:id="5">
    <w:p w:rsidR="00000000" w:rsidRDefault="00000000">
      <w:pPr>
        <w:spacing w:after="240"/>
        <w:jc w:val="both"/>
        <w:rPr>
          <w:szCs w:val="20"/>
        </w:rPr>
      </w:pPr>
      <w:r>
        <w:rPr>
          <w:b/>
          <w:bCs/>
          <w:szCs w:val="20"/>
          <w:vertAlign w:val="superscript"/>
        </w:rPr>
        <w:footnoteRef/>
      </w:r>
      <w:r>
        <w:rPr>
          <w:szCs w:val="20"/>
          <w:vertAlign w:val="superscript"/>
        </w:rPr>
        <w:t xml:space="preserve"> </w:t>
      </w:r>
      <w:r>
        <w:rPr>
          <w:i/>
          <w:iCs/>
          <w:szCs w:val="20"/>
        </w:rPr>
        <w:t>Las condiciones de salud en las Américas</w:t>
      </w:r>
      <w:r>
        <w:rPr>
          <w:szCs w:val="20"/>
        </w:rPr>
        <w:t>, 1998, capítulo del Paraguay.</w:t>
      </w:r>
    </w:p>
  </w:footnote>
  <w:footnote w:id="6">
    <w:p w:rsidR="00000000" w:rsidRDefault="00000000">
      <w:pPr>
        <w:pStyle w:val="FootnoteText"/>
        <w:spacing w:line="240" w:lineRule="auto"/>
        <w:jc w:val="both"/>
      </w:pPr>
      <w:r>
        <w:rPr>
          <w:b/>
          <w:bCs/>
          <w:vertAlign w:val="superscript"/>
        </w:rPr>
        <w:footnoteRef/>
      </w:r>
      <w:r>
        <w:rPr>
          <w:vertAlign w:val="superscript"/>
        </w:rPr>
        <w:t xml:space="preserve"> </w:t>
      </w:r>
      <w:r>
        <w:t>Cifras provisorias al 22 de septiembre de 2004.</w:t>
      </w:r>
    </w:p>
  </w:footnote>
  <w:footnote w:id="7">
    <w:p w:rsidR="00000000" w:rsidRDefault="00000000">
      <w:pPr>
        <w:pStyle w:val="FootnoteText"/>
        <w:spacing w:line="240" w:lineRule="auto"/>
      </w:pPr>
      <w:r>
        <w:rPr>
          <w:b/>
          <w:bCs/>
          <w:vertAlign w:val="superscript"/>
        </w:rPr>
        <w:footnoteRef/>
      </w:r>
      <w:r>
        <w:rPr>
          <w:vertAlign w:val="superscript"/>
        </w:rPr>
        <w:t xml:space="preserve"> </w:t>
      </w:r>
      <w:r>
        <w:t>Ver anexo 1 "Datos estadísticos sobre alfabetismo" donde se discrimina la información relativa a las tasas de alfabetización correspondiente a los años comprendidos entre 1994 a 2003 desagregados por departamentos y según zonas urbanas o rurales.</w:t>
      </w:r>
    </w:p>
  </w:footnote>
  <w:footnote w:id="8">
    <w:p w:rsidR="00000000" w:rsidRDefault="00000000">
      <w:pPr>
        <w:pStyle w:val="FootnoteText"/>
        <w:spacing w:line="240" w:lineRule="auto"/>
        <w:jc w:val="both"/>
      </w:pPr>
      <w:r>
        <w:rPr>
          <w:b/>
          <w:bCs/>
          <w:vertAlign w:val="superscript"/>
        </w:rPr>
        <w:footnoteRef/>
      </w:r>
      <w:r>
        <w:t xml:space="preserve"> </w:t>
      </w:r>
      <w:r>
        <w:rPr>
          <w:i/>
          <w:iCs/>
        </w:rPr>
        <w:t>Estrategia de asistencia al país para la República del Paraguay</w:t>
      </w:r>
      <w:r>
        <w:t>, 2004/2007, Banco Mundial.</w:t>
      </w:r>
    </w:p>
  </w:footnote>
  <w:footnote w:id="9">
    <w:p w:rsidR="00000000" w:rsidRDefault="00000000">
      <w:pPr>
        <w:pStyle w:val="FootnoteText"/>
        <w:spacing w:line="240" w:lineRule="auto"/>
        <w:jc w:val="both"/>
      </w:pPr>
      <w:r>
        <w:rPr>
          <w:b/>
          <w:bCs/>
          <w:vertAlign w:val="superscript"/>
        </w:rPr>
        <w:footnoteRef/>
      </w:r>
      <w:r>
        <w:t xml:space="preserve"> </w:t>
      </w:r>
      <w:r>
        <w:rPr>
          <w:i/>
          <w:iCs/>
        </w:rPr>
        <w:t>Estrategia de asistencia al país para la República del Paraguay</w:t>
      </w:r>
      <w:r>
        <w:t>, 2004/2007, Banco Mundial.</w:t>
      </w:r>
    </w:p>
  </w:footnote>
  <w:footnote w:id="10">
    <w:p w:rsidR="00000000" w:rsidRDefault="00000000">
      <w:pPr>
        <w:pStyle w:val="FootnoteText"/>
        <w:spacing w:line="240" w:lineRule="auto"/>
        <w:jc w:val="both"/>
      </w:pPr>
      <w:r>
        <w:rPr>
          <w:b/>
          <w:bCs/>
          <w:vertAlign w:val="superscript"/>
        </w:rPr>
        <w:footnoteRef/>
      </w:r>
      <w:r>
        <w:rPr>
          <w:b/>
          <w:bCs/>
        </w:rPr>
        <w:t xml:space="preserve"> </w:t>
      </w:r>
      <w:r>
        <w:rPr>
          <w:i/>
          <w:iCs/>
        </w:rPr>
        <w:t>Estrategia de asistencia al país para la República del Paraguay</w:t>
      </w:r>
      <w:r>
        <w:t>, 2004/2007, Banco Mundial.</w:t>
      </w:r>
    </w:p>
  </w:footnote>
  <w:footnote w:id="11">
    <w:p w:rsidR="00000000" w:rsidRDefault="00000000">
      <w:pPr>
        <w:autoSpaceDE w:val="0"/>
        <w:autoSpaceDN w:val="0"/>
        <w:adjustRightInd w:val="0"/>
        <w:spacing w:after="240"/>
        <w:jc w:val="both"/>
        <w:rPr>
          <w:szCs w:val="20"/>
        </w:rPr>
      </w:pPr>
      <w:r>
        <w:rPr>
          <w:b/>
          <w:bCs/>
          <w:szCs w:val="20"/>
          <w:vertAlign w:val="superscript"/>
        </w:rPr>
        <w:footnoteRef/>
      </w:r>
      <w:r>
        <w:rPr>
          <w:b/>
          <w:bCs/>
          <w:szCs w:val="20"/>
        </w:rPr>
        <w:t xml:space="preserve"> </w:t>
      </w:r>
      <w:r>
        <w:rPr>
          <w:szCs w:val="20"/>
        </w:rPr>
        <w:t>El producto nacional bruto per cápita medido por la metodología Atlas del Banco Mundial cayó de 1.810 dólares de los EE.UU. en 1998 a 1.170 dólares de los EE.UU. en 2002.</w:t>
      </w:r>
    </w:p>
  </w:footnote>
  <w:footnote w:id="12">
    <w:p w:rsidR="00000000" w:rsidRDefault="00000000">
      <w:pPr>
        <w:autoSpaceDE w:val="0"/>
        <w:autoSpaceDN w:val="0"/>
        <w:adjustRightInd w:val="0"/>
        <w:spacing w:after="240"/>
        <w:rPr>
          <w:szCs w:val="20"/>
        </w:rPr>
      </w:pPr>
      <w:r>
        <w:rPr>
          <w:b/>
          <w:bCs/>
          <w:szCs w:val="20"/>
          <w:vertAlign w:val="superscript"/>
        </w:rPr>
        <w:footnoteRef/>
      </w:r>
      <w:r>
        <w:rPr>
          <w:szCs w:val="20"/>
          <w:vertAlign w:val="superscript"/>
        </w:rPr>
        <w:t xml:space="preserve"> </w:t>
      </w:r>
      <w:r>
        <w:rPr>
          <w:szCs w:val="20"/>
        </w:rPr>
        <w:t>El producto nacional bruto per cápita medido por la metodología Atlas del Banco Mundial cayó de 1.810 dólares de los EE.UU. en 1998 a 1.170 dólares de los EE.UU. en 2002.</w:t>
      </w:r>
    </w:p>
  </w:footnote>
  <w:footnote w:id="13">
    <w:p w:rsidR="00000000" w:rsidRDefault="00000000">
      <w:pPr>
        <w:pStyle w:val="FootnoteText"/>
        <w:spacing w:line="240" w:lineRule="auto"/>
        <w:rPr>
          <w:lang w:val="es-PY"/>
        </w:rPr>
      </w:pPr>
      <w:r>
        <w:rPr>
          <w:b/>
          <w:bCs/>
          <w:vertAlign w:val="superscript"/>
        </w:rPr>
        <w:footnoteRef/>
      </w:r>
      <w:r>
        <w:rPr>
          <w:vertAlign w:val="superscript"/>
        </w:rPr>
        <w:t xml:space="preserve"> </w:t>
      </w:r>
      <w:r>
        <w:rPr>
          <w:i/>
          <w:iCs/>
        </w:rPr>
        <w:t>Estrategia de asistencia al país para la República del Paraguay</w:t>
      </w:r>
      <w:r>
        <w:t>, 2004/2007, Banco Mundial.</w:t>
      </w:r>
    </w:p>
  </w:footnote>
  <w:footnote w:id="14">
    <w:p w:rsidR="00000000" w:rsidRDefault="00000000">
      <w:pPr>
        <w:tabs>
          <w:tab w:val="left" w:pos="900"/>
        </w:tabs>
        <w:spacing w:after="240"/>
      </w:pPr>
      <w:r>
        <w:rPr>
          <w:rStyle w:val="FootnoteReference"/>
          <w:szCs w:val="20"/>
        </w:rPr>
        <w:footnoteRef/>
      </w:r>
      <w:r>
        <w:t xml:space="preserve"> Ver anexo II "Marco Normativo de Protección de los Derechos Humanos", extracto de la parte relevante del informe periódico del Paraguay al Comité de Derechos Humanos, presentado el 28 de junio de 2004.  </w:t>
      </w:r>
    </w:p>
  </w:footnote>
  <w:footnote w:id="15">
    <w:p w:rsidR="00000000" w:rsidRDefault="00000000">
      <w:pPr>
        <w:spacing w:after="240"/>
      </w:pPr>
      <w:r>
        <w:rPr>
          <w:rStyle w:val="FootnoteReference"/>
          <w:szCs w:val="20"/>
        </w:rPr>
        <w:footnoteRef/>
      </w:r>
      <w:r>
        <w:t xml:space="preserve"> Esta segunda parte del informe periódico de la República del Paraguay correspondiente al período 1994-2005, contiene las respuestas del Estado a las preguntas contenidas en las Directrices generales revisadas sobre la forma y el contenido de los informes presentados por los Estados Partes, según lo establecen los artículos 16 y 17 del Pacto Internacional de Derechos Económicos, Sociales y Culturales (documento de referencia básica E/C.12/1991/1).  </w:t>
      </w:r>
    </w:p>
  </w:footnote>
  <w:footnote w:id="16">
    <w:p w:rsidR="00000000" w:rsidRDefault="00000000">
      <w:pPr>
        <w:spacing w:after="240"/>
      </w:pPr>
      <w:r>
        <w:rPr>
          <w:rStyle w:val="FootnoteReference"/>
          <w:szCs w:val="20"/>
        </w:rPr>
        <w:footnoteRef/>
      </w:r>
      <w:r>
        <w:t xml:space="preserve"> Ver documento adjunto anexo III:  "Tierras adquiridas por el Instituto Paraguayo del Indígena (INDI) para el asentamiento de comunidades indígenas". </w:t>
      </w:r>
    </w:p>
  </w:footnote>
  <w:footnote w:id="17">
    <w:p w:rsidR="00000000" w:rsidRDefault="00000000">
      <w:pPr>
        <w:spacing w:after="240"/>
      </w:pPr>
      <w:r>
        <w:rPr>
          <w:rStyle w:val="FootnoteReference"/>
          <w:szCs w:val="20"/>
        </w:rPr>
        <w:footnoteRef/>
      </w:r>
      <w:r>
        <w:t xml:space="preserve"> Ver anexo IV, "Actividades realizadas por el contingente paraguayo en misiones de las Naciones Unidas".</w:t>
      </w:r>
    </w:p>
  </w:footnote>
  <w:footnote w:id="18">
    <w:p w:rsidR="00000000" w:rsidRDefault="00000000">
      <w:pPr>
        <w:pStyle w:val="FootnoteText"/>
        <w:spacing w:line="240" w:lineRule="auto"/>
      </w:pPr>
      <w:r>
        <w:rPr>
          <w:rStyle w:val="FootnoteReference"/>
        </w:rPr>
        <w:footnoteRef/>
      </w:r>
      <w:r>
        <w:t xml:space="preserve"> </w:t>
      </w:r>
      <w:r>
        <w:rPr>
          <w:i/>
          <w:iCs/>
        </w:rPr>
        <w:t>Informe Social Watch 2005</w:t>
      </w:r>
      <w:r>
        <w:t>, Dirección General de Estadísticas, Encuestas y Censo.</w:t>
      </w:r>
    </w:p>
  </w:footnote>
  <w:footnote w:id="19">
    <w:p w:rsidR="00000000" w:rsidRDefault="00000000">
      <w:pPr>
        <w:spacing w:after="240"/>
        <w:rPr>
          <w:szCs w:val="20"/>
          <w:lang w:val="es-MX"/>
        </w:rPr>
      </w:pPr>
      <w:r>
        <w:rPr>
          <w:rStyle w:val="FootnoteReference"/>
          <w:szCs w:val="20"/>
        </w:rPr>
        <w:footnoteRef/>
      </w:r>
      <w:r>
        <w:rPr>
          <w:szCs w:val="20"/>
        </w:rPr>
        <w:t xml:space="preserve"> Comisión Nacional Tripartita para examinar y promover la participación de la mujer en el trabajo, se constituyó por Decreto Nº 21403, de 11 de junio de 1998.  La Comisión esta conformada de la siguiente manera:  representantes del Estado:  Ministerio de Justicia y Trabajo por la Dirección de Promoción Social de la Mujer Trabajadora, Secretaría de la Mujer de la Presidencia de la República por Acceso a los Recursos Económicos y al Trabajo.  Representantes de los empleadores:  Asociación de Empresarias, Ejecutivas, Profesionales (APEP), Federación de la Producción, Industria y Comercio (FEPRINCO), Asociación de las Pequeñas y Medianas Empresas (APYME), Red de Mujeres de Empresa.  Representantes de los trabajadores:  Confederación Paraguaya de Trabajadores (CPT), Central Nacional de Trabajadores (CNT), Central Unitaria de Trabajadores (CUT), Central Sindical de Trabajadores Paraguayos (CESITP), Central General de Trabajadores (CGT), Central Unitaria de Trabajadores Auténtica (CUT-A)</w:t>
      </w:r>
    </w:p>
  </w:footnote>
  <w:footnote w:id="20">
    <w:p w:rsidR="00000000" w:rsidRDefault="00000000">
      <w:pPr>
        <w:pStyle w:val="FootnoteText"/>
        <w:spacing w:line="240" w:lineRule="auto"/>
      </w:pPr>
      <w:r>
        <w:rPr>
          <w:rStyle w:val="FootnoteReference"/>
        </w:rPr>
        <w:footnoteRef/>
      </w:r>
      <w:r>
        <w:t xml:space="preserve"> Ratificado por Ley Nº 2332 del 19 de diciembre de 2003, depositado el 3 de marzo de 2004 y entrada en vigor para el Paraguay en fecha 3 de marzo de 2005.</w:t>
      </w:r>
    </w:p>
  </w:footnote>
  <w:footnote w:id="21">
    <w:p w:rsidR="00000000" w:rsidRDefault="00000000">
      <w:pPr>
        <w:pStyle w:val="FootnoteText"/>
        <w:spacing w:line="240" w:lineRule="auto"/>
      </w:pPr>
      <w:r>
        <w:rPr>
          <w:rStyle w:val="FootnoteReference"/>
          <w:color w:val="333333"/>
        </w:rPr>
        <w:footnoteRef/>
      </w:r>
      <w:r>
        <w:rPr>
          <w:b/>
          <w:bCs/>
          <w:color w:val="333333"/>
        </w:rPr>
        <w:t xml:space="preserve"> Convención sobre los Derechos del Niño</w:t>
      </w:r>
      <w:r>
        <w:rPr>
          <w:bCs/>
          <w:color w:val="333333"/>
        </w:rPr>
        <w:t xml:space="preserve">.  Firmado:  Nueva York, 4 de abril de 1990.  Ratificado por Ley N° 57 de fecha 20 de noviembre de 1990.  </w:t>
      </w:r>
      <w:r>
        <w:rPr>
          <w:b/>
          <w:bCs/>
          <w:color w:val="333333"/>
        </w:rPr>
        <w:t>Protocolo Facultativo de la Convención relativo a la participación de niños en conflictos armados</w:t>
      </w:r>
      <w:r>
        <w:rPr>
          <w:bCs/>
          <w:color w:val="333333"/>
        </w:rPr>
        <w:t xml:space="preserve">.  Firmado:  Nueva York, 13 de noviembre de 2000.  Ratificado por </w:t>
      </w:r>
      <w:r>
        <w:rPr>
          <w:bCs/>
        </w:rPr>
        <w:t xml:space="preserve">Ley </w:t>
      </w:r>
      <w:r>
        <w:t>Nº </w:t>
      </w:r>
      <w:r>
        <w:rPr>
          <w:bCs/>
        </w:rPr>
        <w:t>1897 de fecha 27 de mayo de 2002</w:t>
      </w:r>
      <w:r>
        <w:rPr>
          <w:bCs/>
          <w:color w:val="333333"/>
        </w:rPr>
        <w:t xml:space="preserve">.  </w:t>
      </w:r>
      <w:r>
        <w:rPr>
          <w:b/>
          <w:bCs/>
          <w:color w:val="333333"/>
        </w:rPr>
        <w:t>Protocolo Facultativo relativo a la venta, prostitución y utilización de niños en pornografía</w:t>
      </w:r>
      <w:r>
        <w:rPr>
          <w:bCs/>
          <w:color w:val="333333"/>
        </w:rPr>
        <w:t xml:space="preserve">.  Firmado:  Nueva York, 13 de noviembre de 2000.  Ratificado por Ley </w:t>
      </w:r>
      <w:r>
        <w:t>Nº </w:t>
      </w:r>
      <w:r>
        <w:rPr>
          <w:bCs/>
          <w:color w:val="333333"/>
        </w:rPr>
        <w:t>2134/03 de 22 de julio de 2003.</w:t>
      </w:r>
    </w:p>
  </w:footnote>
  <w:footnote w:id="22">
    <w:p w:rsidR="00000000" w:rsidRDefault="00000000">
      <w:pPr>
        <w:pStyle w:val="FootnoteText"/>
        <w:spacing w:line="240" w:lineRule="auto"/>
      </w:pPr>
      <w:r>
        <w:rPr>
          <w:rStyle w:val="FootnoteReference"/>
        </w:rPr>
        <w:footnoteRef/>
      </w:r>
      <w:r>
        <w:t xml:space="preserve"> Asimismo, el Código del Trabajo establece en su artículo 67, inciso d), que los trabajadores tienen los siguientes derechos "... percibir las indemnizaciones y demás prestaciones establecidas por la ley, en concepto de previsión y seguridad sociales...".  Concordantes:  Constitución nacional, artículo 95 </w:t>
      </w:r>
      <w:r>
        <w:rPr>
          <w:i/>
          <w:iCs/>
        </w:rPr>
        <w:t>in fine</w:t>
      </w:r>
      <w:r>
        <w:t>; Ley Nº 2053/05 del Presupuesto General de Gastos de la Nación, capítulo V "De la seguridad social y del régimen de jubilaciones", artículos 48 al 62; Ley Nº 375/56 actualizada por las Leyes Nos. 1085/65, 427/73 y 98/92 del Instituto de Previsión Social, artículos 30 a 61; Ley Nº 2.345/03 de reforma de la Caja Fiscal.  Sistema de jubilaciones y pensiones del sector público.</w:t>
      </w:r>
    </w:p>
  </w:footnote>
  <w:footnote w:id="23">
    <w:p w:rsidR="00000000" w:rsidRDefault="00000000">
      <w:pPr>
        <w:pStyle w:val="FootnoteText"/>
        <w:spacing w:line="240" w:lineRule="auto"/>
      </w:pPr>
      <w:r>
        <w:rPr>
          <w:rStyle w:val="FootnoteReference"/>
        </w:rPr>
        <w:footnoteRef/>
      </w:r>
      <w:r>
        <w:t xml:space="preserve"> Trascripción de Política Nacional de Niñez y Adolescencia (POLNA) y Plan Nacional de Acción por la niñez y adolescencia (PNA).  Secretaría Nacional de la Niñez y Adolescencia.  Consejo Nacional de la Niñez y Adolescencia.  Paraguay, julio 2003.</w:t>
      </w:r>
    </w:p>
  </w:footnote>
  <w:footnote w:id="24">
    <w:p w:rsidR="00000000" w:rsidRDefault="00000000">
      <w:pPr>
        <w:pStyle w:val="FootnoteText"/>
        <w:spacing w:line="240" w:lineRule="auto"/>
      </w:pPr>
      <w:r>
        <w:rPr>
          <w:rStyle w:val="FootnoteReference"/>
        </w:rPr>
        <w:footnoteRef/>
      </w:r>
      <w:r>
        <w:t xml:space="preserve"> Dirección General de Estadísticas, Encuestas y Censos.  Encuesta integrada de hogares 2000/01.  Informe sobre empleo infantil, 2002.</w:t>
      </w:r>
    </w:p>
  </w:footnote>
  <w:footnote w:id="25">
    <w:p w:rsidR="00000000" w:rsidRDefault="00000000">
      <w:pPr>
        <w:pStyle w:val="FootnoteText"/>
        <w:spacing w:line="240" w:lineRule="auto"/>
      </w:pPr>
      <w:r>
        <w:rPr>
          <w:rStyle w:val="FootnoteReference"/>
        </w:rPr>
        <w:footnoteRef/>
      </w:r>
      <w:r>
        <w:t xml:space="preserve"> Trabajo infantil rural en Canindeyú, Paraguay 2005, OIT-MPDL-AECI</w:t>
      </w:r>
    </w:p>
  </w:footnote>
  <w:footnote w:id="26">
    <w:p w:rsidR="00000000" w:rsidRDefault="00000000">
      <w:pPr>
        <w:pStyle w:val="FootnoteText"/>
        <w:spacing w:line="240" w:lineRule="auto"/>
      </w:pPr>
      <w:r>
        <w:rPr>
          <w:rStyle w:val="FootnoteReference"/>
        </w:rPr>
        <w:footnoteRef/>
      </w:r>
      <w:r>
        <w:t xml:space="preserve"> </w:t>
      </w:r>
      <w:r>
        <w:rPr>
          <w:i/>
          <w:iCs/>
        </w:rPr>
        <w:t>Fuente</w:t>
      </w:r>
      <w:r>
        <w:t xml:space="preserve">:  Política Nacional de Niñez y Adolescencia - POLNA.  Plan Nacional de Acción por la Niñez y Adolescencia - PNA.  </w:t>
      </w:r>
      <w:r>
        <w:rPr>
          <w:i/>
          <w:iCs/>
        </w:rPr>
        <w:t>Construir otro Paraguay para los niños, niñas y adolescentes</w:t>
      </w:r>
      <w:r>
        <w:t xml:space="preserve"> publicado por la Secretaría Nacional de la Niñez y Adolescencia.</w:t>
      </w:r>
    </w:p>
  </w:footnote>
  <w:footnote w:id="27">
    <w:p w:rsidR="00000000" w:rsidRDefault="00000000">
      <w:pPr>
        <w:pStyle w:val="FootnoteText"/>
        <w:spacing w:line="240" w:lineRule="auto"/>
      </w:pPr>
      <w:r>
        <w:rPr>
          <w:rStyle w:val="FootnoteReference"/>
        </w:rPr>
        <w:footnoteRef/>
      </w:r>
      <w:r>
        <w:t xml:space="preserve"> </w:t>
      </w:r>
      <w:r>
        <w:rPr>
          <w:i/>
          <w:iCs/>
        </w:rPr>
        <w:t>Fuente</w:t>
      </w:r>
      <w:r>
        <w:t xml:space="preserve">:  Informe de la Oficina de Distribución de Causas Penales de la Capital.  </w:t>
      </w:r>
    </w:p>
  </w:footnote>
  <w:footnote w:id="28">
    <w:p w:rsidR="00000000" w:rsidRDefault="00000000">
      <w:r>
        <w:rPr>
          <w:rStyle w:val="FootnoteReference"/>
          <w:szCs w:val="20"/>
        </w:rPr>
        <w:footnoteRef/>
      </w:r>
      <w:r>
        <w:rPr>
          <w:sz w:val="20"/>
        </w:rPr>
        <w:t xml:space="preserve"> </w:t>
      </w:r>
      <w:r>
        <w:t>La última información oficial que se tiene acerca del déficit habitacional, es una proyección realizada por la Gerencia de Planificación del Consejo Nacional de la Vivienda.</w:t>
      </w:r>
    </w:p>
  </w:footnote>
  <w:footnote w:id="29">
    <w:p w:rsidR="00000000" w:rsidRDefault="00000000">
      <w:pPr>
        <w:spacing w:after="240"/>
        <w:rPr>
          <w:szCs w:val="20"/>
        </w:rPr>
      </w:pPr>
      <w:r>
        <w:rPr>
          <w:rStyle w:val="FootnoteReference"/>
          <w:szCs w:val="20"/>
        </w:rPr>
        <w:footnoteRef/>
      </w:r>
      <w:r>
        <w:rPr>
          <w:szCs w:val="20"/>
        </w:rPr>
        <w:t xml:space="preserve"> </w:t>
      </w:r>
      <w:r>
        <w:rPr>
          <w:color w:val="333333"/>
          <w:szCs w:val="20"/>
        </w:rPr>
        <w:t>Servicio Nacional de Saneamiento Ambiental (SENASA), 2004.</w:t>
      </w:r>
    </w:p>
  </w:footnote>
  <w:footnote w:id="30">
    <w:p w:rsidR="00000000" w:rsidRDefault="00000000">
      <w:pPr>
        <w:pStyle w:val="FootnoteText"/>
        <w:spacing w:line="240" w:lineRule="auto"/>
        <w:jc w:val="both"/>
      </w:pPr>
      <w:r>
        <w:rPr>
          <w:rStyle w:val="FootnoteReference"/>
        </w:rPr>
        <w:footnoteRef/>
      </w:r>
      <w:r>
        <w:t xml:space="preserve"> </w:t>
      </w:r>
      <w:r>
        <w:rPr>
          <w:i/>
          <w:iCs/>
        </w:rPr>
        <w:t>Fuente:</w:t>
      </w:r>
      <w:r>
        <w:t xml:space="preserve">  Servicio Nacional de Saneamiento Ambiental SENASA, 2005.</w:t>
      </w:r>
    </w:p>
  </w:footnote>
  <w:footnote w:id="31">
    <w:p w:rsidR="00000000" w:rsidRDefault="00000000">
      <w:pPr>
        <w:pStyle w:val="FootnoteText"/>
        <w:spacing w:line="240" w:lineRule="auto"/>
        <w:jc w:val="both"/>
      </w:pPr>
      <w:r>
        <w:rPr>
          <w:rStyle w:val="FootnoteReference"/>
        </w:rPr>
        <w:footnoteRef/>
      </w:r>
      <w:r>
        <w:t xml:space="preserve"> </w:t>
      </w:r>
      <w:r>
        <w:rPr>
          <w:i/>
          <w:iCs/>
        </w:rPr>
        <w:t>Diagnóstico de Residuos Sólidos Hospitalarios en el Paraguay - MSP y BS, OPS/OMS - 2003</w:t>
      </w:r>
    </w:p>
  </w:footnote>
  <w:footnote w:id="32">
    <w:p w:rsidR="00000000" w:rsidRDefault="00000000">
      <w:pPr>
        <w:autoSpaceDE w:val="0"/>
        <w:autoSpaceDN w:val="0"/>
        <w:adjustRightInd w:val="0"/>
      </w:pPr>
      <w:r>
        <w:rPr>
          <w:rStyle w:val="FootnoteReference"/>
          <w:sz w:val="20"/>
          <w:szCs w:val="20"/>
        </w:rPr>
        <w:footnoteRef/>
      </w:r>
      <w:r>
        <w:t xml:space="preserve"> Determinantes del estado de salud y nutrición de niños menores de 5 años en situación de pobreza, Paraguay Eih 2000/01 - Marta Cristina Sanabria, Msc.</w:t>
      </w:r>
    </w:p>
  </w:footnote>
  <w:footnote w:id="33">
    <w:p w:rsidR="00000000" w:rsidRDefault="00000000">
      <w:pPr>
        <w:pStyle w:val="FootnoteText"/>
        <w:spacing w:line="240" w:lineRule="auto"/>
        <w:jc w:val="both"/>
      </w:pPr>
      <w:r>
        <w:rPr>
          <w:rStyle w:val="FootnoteReference"/>
        </w:rPr>
        <w:footnoteRef/>
      </w:r>
      <w:r>
        <w:t xml:space="preserve"> Exclusión Social en Salud, 2003.  Paraguay.</w:t>
      </w:r>
    </w:p>
  </w:footnote>
  <w:footnote w:id="34">
    <w:p w:rsidR="00000000" w:rsidRDefault="00000000">
      <w:pPr>
        <w:pStyle w:val="FootnoteText"/>
        <w:spacing w:line="240" w:lineRule="auto"/>
        <w:jc w:val="both"/>
        <w:rPr>
          <w:i/>
        </w:rPr>
      </w:pPr>
      <w:r>
        <w:rPr>
          <w:rStyle w:val="FootnoteReference"/>
        </w:rPr>
        <w:footnoteRef/>
      </w:r>
      <w:r>
        <w:t xml:space="preserve"> Ibíd.</w:t>
      </w:r>
    </w:p>
  </w:footnote>
  <w:footnote w:id="35">
    <w:p w:rsidR="00000000" w:rsidRDefault="00000000">
      <w:pPr>
        <w:pStyle w:val="FootnoteText"/>
        <w:spacing w:line="240" w:lineRule="auto"/>
        <w:jc w:val="both"/>
      </w:pPr>
      <w:r>
        <w:rPr>
          <w:rStyle w:val="FootnoteReference"/>
        </w:rPr>
        <w:footnoteRef/>
      </w:r>
      <w:r>
        <w:t xml:space="preserve"> </w:t>
      </w:r>
      <w:r>
        <w:rPr>
          <w:bCs/>
          <w:i/>
          <w:iCs/>
        </w:rPr>
        <w:t>Fuente</w:t>
      </w:r>
      <w:r>
        <w:rPr>
          <w:bCs/>
        </w:rPr>
        <w:t>:  DGEEC.  Encuesta permanente de hogares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E/C.12/PRY/3</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t>E/C.12/PRY/3</w:t>
    </w:r>
  </w:p>
  <w:p w:rsidR="00000000" w:rsidRDefault="00000000">
    <w:pPr>
      <w:pStyle w:val="Header"/>
      <w:tabs>
        <w:tab w:val="clear" w:pos="4252"/>
        <w:tab w:val="left" w:pos="7920"/>
      </w:tabs>
    </w:pPr>
    <w:r>
      <w:rPr>
        <w:noProof/>
        <w:sz w:val="20"/>
        <w:lang w:eastAsia="es-ES"/>
      </w:rPr>
      <w:pict>
        <v:shapetype id="_x0000_t202" coordsize="21600,21600" o:spt="202" path="m,l,21600r21600,l21600,xe">
          <v:stroke joinstyle="miter"/>
          <v:path gradientshapeok="t" o:connecttype="rect"/>
        </v:shapetype>
        <v:shape id="_x0000_s2053" type="#_x0000_t202" style="position:absolute;margin-left:685.95pt;margin-top:355.7pt;width:35pt;height:128pt;z-index:1" filled="f" stroked="f">
          <v:textbox style="layout-flow:vertical;mso-next-textbox:#_x0000_s2053"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11</w:t>
                </w:r>
                <w:r>
                  <w:fldChar w:fldCharType="end"/>
                </w:r>
              </w:p>
            </w:txbxContent>
          </v:textbox>
          <w10:anchorlock/>
        </v:shape>
      </w:pict>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r>
  </w:p>
  <w:p w:rsidR="00000000" w:rsidRDefault="00000000">
    <w:pPr>
      <w:pStyle w:val="Header"/>
      <w:tabs>
        <w:tab w:val="clear" w:pos="4252"/>
        <w:tab w:val="left" w:pos="7920"/>
      </w:tabs>
    </w:pPr>
    <w:r>
      <w:rPr>
        <w:noProof/>
        <w:sz w:val="20"/>
        <w:lang w:eastAsia="es-ES"/>
      </w:rPr>
      <w:pict>
        <v:shapetype id="_x0000_t202" coordsize="21600,21600" o:spt="202" path="m,l,21600r21600,l21600,xe">
          <v:stroke joinstyle="miter"/>
          <v:path gradientshapeok="t" o:connecttype="rect"/>
        </v:shapetype>
        <v:shape id="_x0000_s2054" type="#_x0000_t202" style="position:absolute;margin-left:685.95pt;margin-top:355.7pt;width:35pt;height:128pt;z-index:2" filled="f" stroked="f">
          <v:textbox style="layout-flow:vertical;mso-next-textbox:#_x0000_s2054"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13</w:t>
                </w:r>
                <w:r>
                  <w:fldChar w:fldCharType="end"/>
                </w:r>
              </w:p>
            </w:txbxContent>
          </v:textbox>
          <w10:anchorlock/>
        </v:shape>
      </w:pic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E/C.12/PRY/3</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t>E/C.12/PRY/3</w:t>
    </w:r>
  </w:p>
  <w:p w:rsidR="00000000" w:rsidRDefault="00000000">
    <w:pPr>
      <w:pStyle w:val="Header"/>
      <w:tabs>
        <w:tab w:val="clear" w:pos="4252"/>
        <w:tab w:val="left" w:pos="7920"/>
      </w:tabs>
    </w:pPr>
    <w:r>
      <w:rPr>
        <w:noProof/>
        <w:sz w:val="20"/>
        <w:lang w:eastAsia="es-ES"/>
      </w:rPr>
      <w:pict>
        <v:shapetype id="_x0000_t202" coordsize="21600,21600" o:spt="202" path="m,l,21600r21600,l21600,xe">
          <v:stroke joinstyle="miter"/>
          <v:path gradientshapeok="t" o:connecttype="rect"/>
        </v:shapetype>
        <v:shape id="_x0000_s2055" type="#_x0000_t202" style="position:absolute;margin-left:685.95pt;margin-top:355.7pt;width:35pt;height:128pt;z-index:3" filled="f" stroked="f">
          <v:textbox style="layout-flow:vertical;mso-next-textbox:#_x0000_s2055"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15</w:t>
                </w:r>
                <w:r>
                  <w:fldChar w:fldCharType="end"/>
                </w:r>
              </w:p>
            </w:txbxContent>
          </v:textbox>
          <w10:anchorlock/>
        </v:shape>
      </w:pict>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E/C.12/PRY/3</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sz w:val="20"/>
        <w:lang w:eastAsia="es-ES"/>
      </w:rPr>
      <w:pict>
        <v:shapetype id="_x0000_t202" coordsize="21600,21600" o:spt="202" path="m,l,21600r21600,l21600,xe">
          <v:stroke joinstyle="miter"/>
          <v:path gradientshapeok="t" o:connecttype="rect"/>
        </v:shapetype>
        <v:shape id="_x0000_s2057" type="#_x0000_t202" style="position:absolute;margin-left:685.95pt;margin-top:28.65pt;width:35pt;height:128pt;z-index:5;mso-position-horizontal-relative:margin" filled="f" stroked="f">
          <v:textbox style="layout-flow:vertical;mso-next-textbox:#_x0000_s2057"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18</w:t>
                </w:r>
                <w:r>
                  <w:fldChar w:fldCharType="end"/>
                </w:r>
              </w:p>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r>
  </w:p>
  <w:p w:rsidR="00000000" w:rsidRDefault="00000000">
    <w:pPr>
      <w:pStyle w:val="Header"/>
      <w:tabs>
        <w:tab w:val="clear" w:pos="4252"/>
        <w:tab w:val="left" w:pos="7920"/>
      </w:tabs>
    </w:pPr>
    <w:r>
      <w:rPr>
        <w:noProof/>
        <w:sz w:val="20"/>
        <w:lang w:eastAsia="es-ES"/>
      </w:rPr>
      <w:pict>
        <v:shapetype id="_x0000_t202" coordsize="21600,21600" o:spt="202" path="m,l,21600r21600,l21600,xe">
          <v:stroke joinstyle="miter"/>
          <v:path gradientshapeok="t" o:connecttype="rect"/>
        </v:shapetype>
        <v:shape id="_x0000_s2060" type="#_x0000_t202" style="position:absolute;margin-left:685.95pt;margin-top:355.7pt;width:35pt;height:128pt;z-index:6" filled="f" stroked="f">
          <v:textbox style="layout-flow:vertical;mso-next-textbox:#_x0000_s2060"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19</w:t>
                </w:r>
                <w:r>
                  <w:fldChar w:fldCharType="end"/>
                </w:r>
              </w:p>
            </w:txbxContent>
          </v:textbox>
          <w10:anchorlock/>
        </v:shape>
      </w:pict>
    </w:r>
    <w: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sz w:val="20"/>
        <w:lang w:eastAsia="es-ES"/>
      </w:rPr>
      <w:pict>
        <v:shapetype id="_x0000_t202" coordsize="21600,21600" o:spt="202" path="m,l,21600r21600,l21600,xe">
          <v:stroke joinstyle="miter"/>
          <v:path gradientshapeok="t" o:connecttype="rect"/>
        </v:shapetype>
        <v:shape id="_x0000_s2056" type="#_x0000_t202" style="position:absolute;margin-left:685.95pt;margin-top:355.65pt;width:35pt;height:128pt;z-index:4" filled="f" stroked="f">
          <v:textbox style="layout-flow:vertical;mso-next-textbox:#_x0000_s2056"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17</w:t>
                </w:r>
                <w:r>
                  <w:fldChar w:fldCharType="end"/>
                </w:r>
              </w:p>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E/C.12/PRY/3</w:t>
    </w:r>
  </w:p>
  <w:p w:rsidR="00000000" w:rsidRDefault="00000000">
    <w:pPr>
      <w:pStyle w:val="Header"/>
    </w:pPr>
    <w:r>
      <w:rPr>
        <w:noProof/>
        <w:sz w:val="20"/>
        <w:lang w:eastAsia="es-ES"/>
      </w:rPr>
      <w:pict>
        <v:shapetype id="_x0000_t202" coordsize="21600,21600" o:spt="202" path="m,l,21600r21600,l21600,xe">
          <v:stroke joinstyle="miter"/>
          <v:path gradientshapeok="t" o:connecttype="rect"/>
        </v:shapetype>
        <v:shape id="_x0000_s2067" type="#_x0000_t202" style="position:absolute;margin-left:728.45pt;margin-top:28.65pt;width:35pt;height:128pt;z-index:11;mso-position-horizontal-relative:margin" filled="f" stroked="f">
          <v:textbox style="layout-flow:vertical"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22</w:t>
                </w:r>
                <w:r>
                  <w:fldChar w:fldCharType="end"/>
                </w:r>
              </w:p>
            </w:txbxContent>
          </v:textbox>
          <w10:anchorlock/>
        </v:shape>
      </w:pict>
    </w:r>
    <w:r>
      <w:rPr>
        <w:noProof/>
        <w:sz w:val="20"/>
        <w:lang w:eastAsia="es-ES"/>
      </w:rPr>
      <w:pict>
        <v:shape id="_x0000_s2065" type="#_x0000_t202" style="position:absolute;margin-left:685.95pt;margin-top:28.65pt;width:35pt;height:128pt;z-index:9;mso-position-horizontal-relative:margin" filled="f" stroked="f">
          <v:textbox style="layout-flow:vertical;mso-next-textbox:#_x0000_s2065"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22</w:t>
                </w:r>
                <w:r>
                  <w:fldChar w:fldCharType="end"/>
                </w:r>
              </w:p>
            </w:txbxContent>
          </v:textbox>
          <w10:anchorlock/>
        </v:shape>
      </w:pict>
    </w: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t>E/C.12/PRY/3</w:t>
    </w:r>
  </w:p>
  <w:p w:rsidR="00000000" w:rsidRDefault="00000000">
    <w:pPr>
      <w:pStyle w:val="Header"/>
      <w:tabs>
        <w:tab w:val="clear" w:pos="4252"/>
        <w:tab w:val="left" w:pos="7920"/>
      </w:tabs>
    </w:pPr>
    <w:r>
      <w:rPr>
        <w:noProof/>
        <w:sz w:val="20"/>
        <w:lang w:eastAsia="es-ES"/>
      </w:rPr>
      <w:pict>
        <v:shapetype id="_x0000_t202" coordsize="21600,21600" o:spt="202" path="m,l,21600r21600,l21600,xe">
          <v:stroke joinstyle="miter"/>
          <v:path gradientshapeok="t" o:connecttype="rect"/>
        </v:shapetype>
        <v:shape id="_x0000_s2062" type="#_x0000_t202" style="position:absolute;margin-left:685.95pt;margin-top:355.7pt;width:35pt;height:128pt;z-index:8" filled="f" stroked="f">
          <v:textbox style="layout-flow:vertical;mso-next-textbox:#_x0000_s2062"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23</w:t>
                </w:r>
                <w:r>
                  <w:fldChar w:fldCharType="end"/>
                </w:r>
              </w:p>
            </w:txbxContent>
          </v:textbox>
          <w10:anchorlock/>
        </v:shape>
      </w:pict>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E/C.12/PRY/3</w:t>
    </w:r>
  </w:p>
  <w:p w:rsidR="00000000" w:rsidRDefault="00000000">
    <w:pPr>
      <w:pStyle w:val="Header"/>
    </w:pPr>
    <w:r>
      <w:rPr>
        <w:noProof/>
        <w:sz w:val="20"/>
        <w:lang w:eastAsia="es-ES"/>
      </w:rPr>
      <w:pict>
        <v:shapetype id="_x0000_t202" coordsize="21600,21600" o:spt="202" path="m,l,21600r21600,l21600,xe">
          <v:stroke joinstyle="miter"/>
          <v:path gradientshapeok="t" o:connecttype="rect"/>
        </v:shapetype>
        <v:shape id="_x0000_s2061" type="#_x0000_t202" style="position:absolute;margin-left:685.95pt;margin-top:355.65pt;width:35pt;height:128pt;z-index:7" filled="f" stroked="f">
          <v:textbox style="layout-flow:vertical;mso-next-textbox:#_x0000_s2061"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24</w:t>
                </w:r>
                <w:r>
                  <w:fldChar w:fldCharType="end"/>
                </w:r>
              </w:p>
            </w:txbxContent>
          </v:textbox>
          <w10:anchorlock/>
        </v:shape>
      </w:pict>
    </w: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r>
  </w:p>
  <w:p w:rsidR="00000000" w:rsidRDefault="00000000">
    <w:pPr>
      <w:pStyle w:val="Header"/>
      <w:tabs>
        <w:tab w:val="clear" w:pos="4252"/>
        <w:tab w:val="left" w:pos="7920"/>
      </w:tabs>
    </w:pPr>
    <w:r>
      <w:tab/>
    </w:r>
    <w:r>
      <w:pict>
        <v:shapetype id="_x0000_t202" coordsize="21600,21600" o:spt="202" path="m,l,21600r21600,l21600,xe">
          <v:stroke joinstyle="miter"/>
          <v:path gradientshapeok="t" o:connecttype="rect"/>
        </v:shapetype>
        <v:shape id="_x0000_s2068" type="#_x0000_t202" style="position:absolute;margin-left:685.95pt;margin-top:28.65pt;width:35pt;height:128pt;z-index:12;mso-position-horizontal-relative:margin;mso-position-vertical-relative:text" filled="f" stroked="f">
          <v:textbox style="layout-flow:vertical;mso-next-textbox:#_x0000_s2068"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24</w:t>
                </w:r>
                <w:r>
                  <w:fldChar w:fldCharType="end"/>
                </w:r>
              </w:p>
            </w:txbxContent>
          </v:textbox>
          <w10:anchorlock/>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E/C.12/PRY/3</w:t>
    </w:r>
  </w:p>
  <w:p w:rsidR="00000000" w:rsidRDefault="00000000">
    <w:pPr>
      <w:pStyle w:val="Header"/>
    </w:pPr>
    <w:r>
      <w:rPr>
        <w:noProof/>
        <w:sz w:val="20"/>
        <w:lang w:eastAsia="es-ES"/>
      </w:rPr>
      <w:pict>
        <v:shapetype id="_x0000_t202" coordsize="21600,21600" o:spt="202" path="m,l,21600r21600,l21600,xe">
          <v:stroke joinstyle="miter"/>
          <v:path gradientshapeok="t" o:connecttype="rect"/>
        </v:shapetype>
        <v:shape id="_x0000_s2066" type="#_x0000_t202" style="position:absolute;margin-left:685.95pt;margin-top:355.65pt;width:35pt;height:128pt;z-index:10" filled="f" stroked="f">
          <v:textbox style="layout-flow:vertical;mso-next-textbox:#_x0000_s2066"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24</w:t>
                </w:r>
                <w:r>
                  <w:fldChar w:fldCharType="end"/>
                </w:r>
              </w:p>
            </w:txbxContent>
          </v:textbox>
          <w10:anchorlock/>
        </v:shape>
      </w:pict>
    </w: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E/C.12/PRY/3</w:t>
    </w: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70" type="#_x0000_t202" style="position:absolute;margin-left:685.95pt;margin-top:28.65pt;width:35pt;height:128pt;z-index:13;mso-position-horizontal-relative:margin" filled="f" stroked="f">
          <v:textbox style="layout-flow:vertical;mso-next-textbox:#_x0000_s2070"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136</w:t>
                </w:r>
                <w:r>
                  <w:fldChar w:fldCharType="end"/>
                </w:r>
              </w:p>
            </w:txbxContent>
          </v:textbox>
          <w10:anchorlock/>
        </v:shape>
      </w:pict>
    </w: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136</w:t>
    </w:r>
    <w:r>
      <w:rPr>
        <w:rStyle w:val="PageNumber"/>
      </w:rP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920"/>
      </w:tabs>
      <w:rPr>
        <w:lang w:val="es-MX"/>
      </w:rPr>
    </w:pPr>
    <w:r>
      <w:rPr>
        <w:lang w:val="es-MX"/>
      </w:rPr>
      <w:tab/>
    </w:r>
    <w:r>
      <w:rPr>
        <w:lang w:val="es-MX"/>
      </w:rPr>
      <w:tab/>
      <w:t>E/C.12/PRY/3</w:t>
    </w:r>
  </w:p>
  <w:p w:rsidR="00000000" w:rsidRDefault="00000000">
    <w:pPr>
      <w:pStyle w:val="Header"/>
      <w:tabs>
        <w:tab w:val="left" w:pos="7920"/>
      </w:tabs>
      <w:rPr>
        <w:lang w:val="es-MX"/>
      </w:rPr>
    </w:pPr>
    <w:r>
      <w:rPr>
        <w:lang w:val="es-MX"/>
      </w:rPr>
      <w:tab/>
    </w:r>
    <w:r>
      <w:rPr>
        <w:lang w:val="es-MX"/>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135</w:t>
    </w:r>
    <w:r>
      <w:rPr>
        <w:rStyle w:val="PageNumber"/>
      </w:rP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800"/>
      </w:tabs>
      <w:rPr>
        <w:lang w:val="es-MX"/>
      </w:rPr>
    </w:pPr>
    <w:r>
      <w:rPr>
        <w:lang w:val="es-MX"/>
      </w:rPr>
      <w:tab/>
    </w:r>
  </w:p>
  <w:p w:rsidR="00000000" w:rsidRDefault="00000000">
    <w:pPr>
      <w:pStyle w:val="Header"/>
      <w:tabs>
        <w:tab w:val="clear" w:pos="4252"/>
        <w:tab w:val="left" w:pos="7800"/>
      </w:tabs>
      <w:rPr>
        <w:lang w:val="es-MX"/>
      </w:rPr>
    </w:pPr>
    <w:r>
      <w:rPr>
        <w:noProof/>
        <w:sz w:val="20"/>
        <w:lang w:eastAsia="es-ES"/>
      </w:rPr>
      <w:pict>
        <v:shapetype id="_x0000_t202" coordsize="21600,21600" o:spt="202" path="m,l,21600r21600,l21600,xe">
          <v:stroke joinstyle="miter"/>
          <v:path gradientshapeok="t" o:connecttype="rect"/>
        </v:shapetype>
        <v:shape id="_x0000_s2079" type="#_x0000_t202" style="position:absolute;margin-left:685.95pt;margin-top:355.65pt;width:35pt;height:128pt;z-index:14" filled="f" stroked="f">
          <v:textbox style="layout-flow:vertical"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137</w:t>
                </w:r>
                <w:r>
                  <w:fldChar w:fldCharType="end"/>
                </w:r>
              </w:p>
            </w:txbxContent>
          </v:textbox>
          <w10:anchorlock/>
        </v:shape>
      </w:pict>
    </w:r>
    <w:r>
      <w:rPr>
        <w:lang w:val="es-MX"/>
      </w:rPr>
      <w:tab/>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E/C.12/PRY/3</w:t>
    </w: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80" type="#_x0000_t202" style="position:absolute;margin-left:685.95pt;margin-top:28.65pt;width:35pt;height:128pt;z-index:15;mso-position-horizontal-relative:margin" filled="f" stroked="f">
          <v:textbox style="layout-flow:vertical;mso-next-textbox:#_x0000_s2080"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140</w:t>
                </w:r>
                <w:r>
                  <w:fldChar w:fldCharType="end"/>
                </w:r>
              </w:p>
            </w:txbxContent>
          </v:textbox>
          <w10:anchorlock/>
        </v:shape>
      </w:pict>
    </w: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140</w:t>
    </w:r>
    <w:r>
      <w:rPr>
        <w:rStyle w:val="PageNumber"/>
      </w:rP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800"/>
      </w:tabs>
      <w:rPr>
        <w:lang w:val="es-MX"/>
      </w:rPr>
    </w:pPr>
    <w:r>
      <w:rPr>
        <w:lang w:val="es-MX"/>
      </w:rPr>
      <w:tab/>
      <w:t>E/C.12/PRY/3</w:t>
    </w:r>
  </w:p>
  <w:p w:rsidR="00000000" w:rsidRDefault="00000000">
    <w:pPr>
      <w:pStyle w:val="Header"/>
      <w:tabs>
        <w:tab w:val="clear" w:pos="4252"/>
        <w:tab w:val="left" w:pos="7800"/>
      </w:tabs>
      <w:rPr>
        <w:lang w:val="es-MX"/>
      </w:rPr>
    </w:pPr>
    <w:r>
      <w:rPr>
        <w:noProof/>
        <w:sz w:val="20"/>
        <w:lang w:eastAsia="es-ES"/>
      </w:rPr>
      <w:pict>
        <v:shapetype id="_x0000_t202" coordsize="21600,21600" o:spt="202" path="m,l,21600r21600,l21600,xe">
          <v:stroke joinstyle="miter"/>
          <v:path gradientshapeok="t" o:connecttype="rect"/>
        </v:shapetype>
        <v:shape id="_x0000_s2081" type="#_x0000_t202" style="position:absolute;margin-left:685.95pt;margin-top:355.65pt;width:35pt;height:128pt;z-index:16" filled="f" stroked="f">
          <v:textbox style="layout-flow:vertical"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141</w:t>
                </w:r>
                <w:r>
                  <w:fldChar w:fldCharType="end"/>
                </w:r>
              </w:p>
            </w:txbxContent>
          </v:textbox>
          <w10:anchorlock/>
        </v:shape>
      </w:pict>
    </w:r>
    <w:r>
      <w:rPr>
        <w:lang w:val="es-MX"/>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141</w:t>
    </w:r>
    <w:r>
      <w:rPr>
        <w:rStyle w:val="PageNumber"/>
      </w:rPr>
      <w:fldChar w:fldCharType="end"/>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p>
  <w:p w:rsidR="00000000" w:rsidRDefault="00000000">
    <w:pPr>
      <w:pStyle w:val="Header"/>
      <w:tabs>
        <w:tab w:val="clear" w:pos="4252"/>
        <w:tab w:val="left" w:pos="7920"/>
      </w:tabs>
    </w:pPr>
    <w:r>
      <w:rPr>
        <w:noProof/>
        <w:sz w:val="20"/>
        <w:lang w:eastAsia="es-ES"/>
      </w:rPr>
      <w:pict>
        <v:shapetype id="_x0000_t202" coordsize="21600,21600" o:spt="202" path="m,l,21600r21600,l21600,xe">
          <v:stroke joinstyle="miter"/>
          <v:path gradientshapeok="t" o:connecttype="rect"/>
        </v:shapetype>
        <v:shape id="_x0000_s2087" type="#_x0000_t202" style="position:absolute;margin-left:685.95pt;margin-top:28.65pt;width:35pt;height:128pt;z-index:21;mso-position-horizontal-relative:margin" filled="f" stroked="f">
          <v:textbox style="layout-flow:vertical"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142</w:t>
                </w:r>
                <w:r>
                  <w:fldChar w:fldCharType="end"/>
                </w:r>
              </w:p>
            </w:txbxContent>
          </v:textbox>
          <w10:anchorlock/>
        </v:shape>
      </w:pict>
    </w:r>
    <w:r>
      <w:pict>
        <v:shape id="_x0000_s2082" type="#_x0000_t202" style="position:absolute;margin-left:685.95pt;margin-top:28.65pt;width:35pt;height:128pt;z-index:17;mso-position-horizontal-relative:margin" filled="f" stroked="f">
          <v:textbox style="layout-flow:vertical;mso-next-textbox:#_x0000_s2082"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142</w:t>
                </w:r>
                <w:r>
                  <w:fldChar w:fldCharType="end"/>
                </w:r>
              </w:p>
            </w:txbxContent>
          </v:textbox>
          <w10:anchorlock/>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E/C.12/PRY/3</w:t>
    </w: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84" type="#_x0000_t202" style="position:absolute;margin-left:685.95pt;margin-top:28.65pt;width:35pt;height:128pt;z-index:19;mso-position-horizontal-relative:margin" filled="f" stroked="f">
          <v:textbox style="layout-flow:vertical;mso-next-textbox:#_x0000_s2084"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148</w:t>
                </w:r>
                <w:r>
                  <w:fldChar w:fldCharType="end"/>
                </w:r>
              </w:p>
            </w:txbxContent>
          </v:textbox>
          <w10:anchorlock/>
        </v:shape>
      </w:pict>
    </w: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148</w:t>
    </w:r>
    <w:r>
      <w:rPr>
        <w:rStyle w:val="PageNumber"/>
      </w:rPr>
      <w:fldChar w:fldCharType="end"/>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800"/>
      </w:tabs>
      <w:rPr>
        <w:lang w:val="es-MX"/>
      </w:rPr>
    </w:pPr>
    <w:r>
      <w:rPr>
        <w:lang w:val="es-MX"/>
      </w:rPr>
      <w:tab/>
      <w:t>E/C.12/PRY/3</w:t>
    </w:r>
  </w:p>
  <w:p w:rsidR="00000000" w:rsidRDefault="00000000">
    <w:pPr>
      <w:pStyle w:val="Header"/>
      <w:tabs>
        <w:tab w:val="clear" w:pos="4252"/>
        <w:tab w:val="left" w:pos="7800"/>
      </w:tabs>
      <w:rPr>
        <w:lang w:val="es-MX"/>
      </w:rPr>
    </w:pPr>
    <w:r>
      <w:rPr>
        <w:noProof/>
        <w:sz w:val="20"/>
        <w:lang w:eastAsia="es-ES"/>
      </w:rPr>
      <w:pict>
        <v:shapetype id="_x0000_t202" coordsize="21600,21600" o:spt="202" path="m,l,21600r21600,l21600,xe">
          <v:stroke joinstyle="miter"/>
          <v:path gradientshapeok="t" o:connecttype="rect"/>
        </v:shapetype>
        <v:shape id="_x0000_s2083" type="#_x0000_t202" style="position:absolute;margin-left:685.95pt;margin-top:355.65pt;width:35pt;height:128pt;z-index:18" filled="f" stroked="f">
          <v:textbox style="layout-flow:vertical"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149</w:t>
                </w:r>
                <w:r>
                  <w:fldChar w:fldCharType="end"/>
                </w:r>
              </w:p>
            </w:txbxContent>
          </v:textbox>
          <w10:anchorlock/>
        </v:shape>
      </w:pict>
    </w:r>
    <w:r>
      <w:rPr>
        <w:lang w:val="es-MX"/>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149</w:t>
    </w:r>
    <w:r>
      <w:rPr>
        <w:rStyle w:val="PageNumber"/>
      </w:rPr>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85" type="#_x0000_t202" style="position:absolute;margin-left:685.95pt;margin-top:28.65pt;width:35pt;height:128pt;z-index:20;mso-position-horizontal-relative:margin" filled="f" stroked="f">
          <v:textbox style="layout-flow:vertical;mso-next-textbox:#_x0000_s2085"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150</w:t>
                </w:r>
                <w:r>
                  <w:fldChar w:fldCharType="end"/>
                </w:r>
              </w:p>
            </w:txbxContent>
          </v:textbox>
          <w10:anchorlock/>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E/C.12/PRY/3</w:t>
    </w: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88" type="#_x0000_t202" style="position:absolute;margin-left:685.95pt;margin-top:28.65pt;width:35pt;height:128pt;z-index:22;mso-position-horizontal-relative:margin" filled="f" stroked="f">
          <v:textbox style="layout-flow:vertical;mso-next-textbox:#_x0000_s2088"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206</w:t>
                </w:r>
                <w:r>
                  <w:fldChar w:fldCharType="end"/>
                </w:r>
              </w:p>
            </w:txbxContent>
          </v:textbox>
          <w10:anchorlock/>
        </v:shape>
      </w:pict>
    </w: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206</w:t>
    </w:r>
    <w:r>
      <w:rPr>
        <w:rStyle w:val="PageNumber"/>
      </w:rPr>
      <w:fldChar w:fldCharType="end"/>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rPr>
        <w:lang w:val="es-ES_tradnl"/>
      </w:rPr>
    </w:pPr>
    <w:r>
      <w:rPr>
        <w:lang w:val="en-US"/>
      </w:rPr>
      <w:tab/>
    </w:r>
    <w:r>
      <w:t>E/C.12/PRY/3</w:t>
    </w:r>
  </w:p>
  <w:p w:rsidR="00000000" w:rsidRDefault="00000000">
    <w:pPr>
      <w:pStyle w:val="Header"/>
      <w:tabs>
        <w:tab w:val="clear" w:pos="4252"/>
        <w:tab w:val="left" w:pos="792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205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604D2"/>
    <w:multiLevelType w:val="hybridMultilevel"/>
    <w:tmpl w:val="812C190C"/>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CCF1401"/>
    <w:multiLevelType w:val="hybridMultilevel"/>
    <w:tmpl w:val="BB5079BC"/>
    <w:lvl w:ilvl="0" w:tplc="AFA85F70">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1CA0659F"/>
    <w:multiLevelType w:val="hybridMultilevel"/>
    <w:tmpl w:val="288007E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34207D6C"/>
    <w:multiLevelType w:val="hybridMultilevel"/>
    <w:tmpl w:val="71F685F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4AB533D5"/>
    <w:multiLevelType w:val="hybridMultilevel"/>
    <w:tmpl w:val="420E903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5E006D93"/>
    <w:multiLevelType w:val="hybridMultilevel"/>
    <w:tmpl w:val="C240A4A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6">
    <w:nsid w:val="62884048"/>
    <w:multiLevelType w:val="hybridMultilevel"/>
    <w:tmpl w:val="A40CF58E"/>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6B864A0E"/>
    <w:multiLevelType w:val="hybridMultilevel"/>
    <w:tmpl w:val="B7642F9E"/>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1"/>
  </w:num>
  <w:num w:numId="2">
    <w:abstractNumId w:val="7"/>
  </w:num>
  <w:num w:numId="3">
    <w:abstractNumId w:val="3"/>
  </w:num>
  <w:num w:numId="4">
    <w:abstractNumId w:val="5"/>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eastAsia="es-E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s-PY"/>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xl23">
    <w:name w:val="xl23"/>
    <w:basedOn w:val="Normal"/>
    <w:pPr>
      <w:spacing w:before="100" w:beforeAutospacing="1" w:after="100" w:afterAutospacing="1"/>
    </w:pPr>
    <w:rPr>
      <w:rFonts w:ascii="Arial" w:hAnsi="Arial" w:cs="Arial"/>
      <w:b/>
      <w:bCs/>
      <w:lang w:eastAsia="es-ES"/>
    </w:rPr>
  </w:style>
  <w:style w:type="paragraph" w:customStyle="1" w:styleId="xl51">
    <w:name w:val="xl51"/>
    <w:basedOn w:val="Normal"/>
    <w:pPr>
      <w:pBdr>
        <w:right w:val="single" w:sz="4" w:space="0" w:color="auto"/>
      </w:pBdr>
      <w:spacing w:before="100" w:beforeAutospacing="1" w:after="100" w:afterAutospacing="1"/>
    </w:pPr>
    <w:rPr>
      <w:rFonts w:ascii="Arial Unicode MS" w:eastAsia="Arial Unicode MS" w:hAnsi="Arial Unicode MS" w:cs="Arial Unicode MS"/>
      <w:lang w:eastAsia="es-ES"/>
    </w:rPr>
  </w:style>
  <w:style w:type="paragraph" w:styleId="BodyText">
    <w:name w:val="Body Text"/>
    <w:basedOn w:val="Normal"/>
    <w:semiHidden/>
    <w:pPr>
      <w:spacing w:after="240"/>
      <w:jc w:val="both"/>
    </w:pPr>
    <w:rPr>
      <w:lang w:val="es-PY" w:eastAsia="es-ES"/>
    </w:rPr>
  </w:style>
  <w:style w:type="character" w:styleId="Hyperlink">
    <w:name w:val="Hyperlink"/>
    <w:semiHidden/>
    <w:rPr>
      <w:color w:val="0000FF"/>
      <w:u w:val="single"/>
    </w:rPr>
  </w:style>
  <w:style w:type="paragraph" w:styleId="BodyText2">
    <w:name w:val="Body Text 2"/>
    <w:basedOn w:val="Normal"/>
    <w:semiHidden/>
    <w:pPr>
      <w:spacing w:after="120" w:line="480" w:lineRule="auto"/>
    </w:pPr>
    <w:rPr>
      <w:lang w:eastAsia="es-ES"/>
    </w:rPr>
  </w:style>
  <w:style w:type="character" w:styleId="PageNumber">
    <w:name w:val="page number"/>
    <w:basedOn w:val="DefaultParagraphFont"/>
    <w:semiHidden/>
  </w:style>
  <w:style w:type="paragraph" w:styleId="BodyTextIndent">
    <w:name w:val="Body Text Indent"/>
    <w:basedOn w:val="Normal"/>
    <w:semiHidden/>
    <w:pPr>
      <w:spacing w:after="120"/>
      <w:ind w:left="283"/>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4.xml"/><Relationship Id="rId21" Type="http://schemas.openxmlformats.org/officeDocument/2006/relationships/header" Target="header9.xml"/><Relationship Id="rId42" Type="http://schemas.openxmlformats.org/officeDocument/2006/relationships/oleObject" Target="embeddings/oleObject10.bin"/><Relationship Id="rId47" Type="http://schemas.openxmlformats.org/officeDocument/2006/relationships/image" Target="media/image14.wmf"/><Relationship Id="rId63" Type="http://schemas.openxmlformats.org/officeDocument/2006/relationships/oleObject" Target="embeddings/oleObject19.bin"/><Relationship Id="rId68" Type="http://schemas.openxmlformats.org/officeDocument/2006/relationships/image" Target="media/image24.wmf"/><Relationship Id="rId84" Type="http://schemas.openxmlformats.org/officeDocument/2006/relationships/header" Target="header22.xml"/><Relationship Id="rId89" Type="http://schemas.openxmlformats.org/officeDocument/2006/relationships/image" Target="media/image33.wmf"/><Relationship Id="rId7" Type="http://schemas.openxmlformats.org/officeDocument/2006/relationships/image" Target="media/image1.png"/><Relationship Id="rId71" Type="http://schemas.openxmlformats.org/officeDocument/2006/relationships/oleObject" Target="embeddings/oleObject20.bin"/><Relationship Id="rId92" Type="http://schemas.openxmlformats.org/officeDocument/2006/relationships/image" Target="http://www.cepep.org.py/endssr2004/informe_final/imagen/grafico8_1.gif" TargetMode="External"/><Relationship Id="rId2" Type="http://schemas.openxmlformats.org/officeDocument/2006/relationships/styles" Target="styles.xml"/><Relationship Id="rId16" Type="http://schemas.openxmlformats.org/officeDocument/2006/relationships/header" Target="header4.xml"/><Relationship Id="rId29" Type="http://schemas.openxmlformats.org/officeDocument/2006/relationships/image" Target="media/image4.wmf"/><Relationship Id="rId11" Type="http://schemas.openxmlformats.org/officeDocument/2006/relationships/image" Target="media/image3.wmf"/><Relationship Id="rId24" Type="http://schemas.openxmlformats.org/officeDocument/2006/relationships/header" Target="header12.xml"/><Relationship Id="rId32" Type="http://schemas.openxmlformats.org/officeDocument/2006/relationships/oleObject" Target="embeddings/oleObject5.bin"/><Relationship Id="rId37" Type="http://schemas.openxmlformats.org/officeDocument/2006/relationships/image" Target="media/image8.wmf"/><Relationship Id="rId40" Type="http://schemas.openxmlformats.org/officeDocument/2006/relationships/oleObject" Target="embeddings/oleObject9.bin"/><Relationship Id="rId45" Type="http://schemas.openxmlformats.org/officeDocument/2006/relationships/image" Target="media/image13.wmf"/><Relationship Id="rId53" Type="http://schemas.openxmlformats.org/officeDocument/2006/relationships/image" Target="media/image17.png"/><Relationship Id="rId58" Type="http://schemas.openxmlformats.org/officeDocument/2006/relationships/image" Target="media/image20.wmf"/><Relationship Id="rId66" Type="http://schemas.openxmlformats.org/officeDocument/2006/relationships/header" Target="header18.xml"/><Relationship Id="rId74" Type="http://schemas.openxmlformats.org/officeDocument/2006/relationships/header" Target="header21.xml"/><Relationship Id="rId79" Type="http://schemas.openxmlformats.org/officeDocument/2006/relationships/image" Target="media/image29.wmf"/><Relationship Id="rId87" Type="http://schemas.openxmlformats.org/officeDocument/2006/relationships/image" Target="media/image32.wmf"/><Relationship Id="rId102" Type="http://schemas.openxmlformats.org/officeDocument/2006/relationships/image" Target="media/image39.wmf"/><Relationship Id="rId5" Type="http://schemas.openxmlformats.org/officeDocument/2006/relationships/footnotes" Target="footnotes.xml"/><Relationship Id="rId61" Type="http://schemas.openxmlformats.org/officeDocument/2006/relationships/oleObject" Target="embeddings/oleObject18.bin"/><Relationship Id="rId82" Type="http://schemas.openxmlformats.org/officeDocument/2006/relationships/oleObject" Target="embeddings/oleObject23.bin"/><Relationship Id="rId90" Type="http://schemas.openxmlformats.org/officeDocument/2006/relationships/oleObject" Target="embeddings/oleObject24.bin"/><Relationship Id="rId95" Type="http://schemas.openxmlformats.org/officeDocument/2006/relationships/image" Target="media/image36.wmf"/><Relationship Id="rId19" Type="http://schemas.openxmlformats.org/officeDocument/2006/relationships/header" Target="header7.xml"/><Relationship Id="rId14" Type="http://schemas.openxmlformats.org/officeDocument/2006/relationships/header" Target="header2.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oleObject" Target="embeddings/oleObject4.bin"/><Relationship Id="rId35" Type="http://schemas.openxmlformats.org/officeDocument/2006/relationships/image" Target="media/image7.wmf"/><Relationship Id="rId43" Type="http://schemas.openxmlformats.org/officeDocument/2006/relationships/image" Target="media/image11.wmf"/><Relationship Id="rId48" Type="http://schemas.openxmlformats.org/officeDocument/2006/relationships/oleObject" Target="embeddings/oleObject12.bin"/><Relationship Id="rId56" Type="http://schemas.openxmlformats.org/officeDocument/2006/relationships/image" Target="media/image19.wmf"/><Relationship Id="rId64" Type="http://schemas.openxmlformats.org/officeDocument/2006/relationships/header" Target="header16.xml"/><Relationship Id="rId69" Type="http://schemas.openxmlformats.org/officeDocument/2006/relationships/oleObject" Target="embeddings/Microsoft_Word_97_-_2003_Document1.doc"/><Relationship Id="rId77" Type="http://schemas.openxmlformats.org/officeDocument/2006/relationships/image" Target="media/image28.wmf"/><Relationship Id="rId100" Type="http://schemas.openxmlformats.org/officeDocument/2006/relationships/image" Target="media/image38.wmf"/><Relationship Id="rId105"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image" Target="media/image16.wmf"/><Relationship Id="rId72" Type="http://schemas.openxmlformats.org/officeDocument/2006/relationships/header" Target="header19.xml"/><Relationship Id="rId80" Type="http://schemas.openxmlformats.org/officeDocument/2006/relationships/oleObject" Target="embeddings/oleObject22.bin"/><Relationship Id="rId85" Type="http://schemas.openxmlformats.org/officeDocument/2006/relationships/header" Target="header23.xml"/><Relationship Id="rId93" Type="http://schemas.openxmlformats.org/officeDocument/2006/relationships/image" Target="media/image35.wmf"/><Relationship Id="rId98" Type="http://schemas.openxmlformats.org/officeDocument/2006/relationships/image" Target="media/image37.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header" Target="header5.xml"/><Relationship Id="rId25" Type="http://schemas.openxmlformats.org/officeDocument/2006/relationships/header" Target="header13.xml"/><Relationship Id="rId33" Type="http://schemas.openxmlformats.org/officeDocument/2006/relationships/image" Target="media/image6.wmf"/><Relationship Id="rId38" Type="http://schemas.openxmlformats.org/officeDocument/2006/relationships/oleObject" Target="embeddings/oleObject8.bin"/><Relationship Id="rId46" Type="http://schemas.openxmlformats.org/officeDocument/2006/relationships/oleObject" Target="embeddings/oleObject11.bin"/><Relationship Id="rId59" Type="http://schemas.openxmlformats.org/officeDocument/2006/relationships/oleObject" Target="embeddings/oleObject17.bin"/><Relationship Id="rId67" Type="http://schemas.openxmlformats.org/officeDocument/2006/relationships/image" Target="media/image23.wmf"/><Relationship Id="rId103" Type="http://schemas.openxmlformats.org/officeDocument/2006/relationships/header" Target="header25.xml"/><Relationship Id="rId20" Type="http://schemas.openxmlformats.org/officeDocument/2006/relationships/header" Target="header8.xml"/><Relationship Id="rId41" Type="http://schemas.openxmlformats.org/officeDocument/2006/relationships/image" Target="media/image10.wmf"/><Relationship Id="rId54" Type="http://schemas.openxmlformats.org/officeDocument/2006/relationships/image" Target="media/image18.wmf"/><Relationship Id="rId62" Type="http://schemas.openxmlformats.org/officeDocument/2006/relationships/image" Target="media/image22.wmf"/><Relationship Id="rId70" Type="http://schemas.openxmlformats.org/officeDocument/2006/relationships/image" Target="media/image25.wmf"/><Relationship Id="rId75" Type="http://schemas.openxmlformats.org/officeDocument/2006/relationships/image" Target="media/image26.wmf"/><Relationship Id="rId83" Type="http://schemas.openxmlformats.org/officeDocument/2006/relationships/image" Target="media/image31.png"/><Relationship Id="rId88" Type="http://schemas.openxmlformats.org/officeDocument/2006/relationships/oleObject" Target="embeddings/Microsoft_Excel_Chart2.xls"/><Relationship Id="rId91" Type="http://schemas.openxmlformats.org/officeDocument/2006/relationships/image" Target="media/image34.png"/><Relationship Id="rId96" Type="http://schemas.openxmlformats.org/officeDocument/2006/relationships/oleObject" Target="embeddings/oleObject26.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header" Target="header11.xml"/><Relationship Id="rId28" Type="http://schemas.openxmlformats.org/officeDocument/2006/relationships/hyperlink" Target="http://www.winnernet.org" TargetMode="External"/><Relationship Id="rId36" Type="http://schemas.openxmlformats.org/officeDocument/2006/relationships/oleObject" Target="embeddings/oleObject7.bin"/><Relationship Id="rId49" Type="http://schemas.openxmlformats.org/officeDocument/2006/relationships/image" Target="media/image15.wmf"/><Relationship Id="rId57" Type="http://schemas.openxmlformats.org/officeDocument/2006/relationships/oleObject" Target="embeddings/oleObject16.bin"/><Relationship Id="rId106" Type="http://schemas.openxmlformats.org/officeDocument/2006/relationships/theme" Target="theme/theme1.xml"/><Relationship Id="rId10" Type="http://schemas.openxmlformats.org/officeDocument/2006/relationships/oleObject" Target="embeddings/oleObject2.bin"/><Relationship Id="rId31" Type="http://schemas.openxmlformats.org/officeDocument/2006/relationships/image" Target="media/image5.wmf"/><Relationship Id="rId44" Type="http://schemas.openxmlformats.org/officeDocument/2006/relationships/image" Target="media/image12.wmf"/><Relationship Id="rId52" Type="http://schemas.openxmlformats.org/officeDocument/2006/relationships/oleObject" Target="embeddings/oleObject14.bin"/><Relationship Id="rId60" Type="http://schemas.openxmlformats.org/officeDocument/2006/relationships/image" Target="media/image21.wmf"/><Relationship Id="rId65" Type="http://schemas.openxmlformats.org/officeDocument/2006/relationships/header" Target="header17.xml"/><Relationship Id="rId73" Type="http://schemas.openxmlformats.org/officeDocument/2006/relationships/header" Target="header20.xml"/><Relationship Id="rId78" Type="http://schemas.openxmlformats.org/officeDocument/2006/relationships/oleObject" Target="embeddings/oleObject21.bin"/><Relationship Id="rId81" Type="http://schemas.openxmlformats.org/officeDocument/2006/relationships/image" Target="media/image30.wmf"/><Relationship Id="rId86" Type="http://schemas.openxmlformats.org/officeDocument/2006/relationships/header" Target="header24.xml"/><Relationship Id="rId94" Type="http://schemas.openxmlformats.org/officeDocument/2006/relationships/oleObject" Target="embeddings/oleObject25.bin"/><Relationship Id="rId99" Type="http://schemas.openxmlformats.org/officeDocument/2006/relationships/oleObject" Target="embeddings/oleObject27.bin"/><Relationship Id="rId101" Type="http://schemas.openxmlformats.org/officeDocument/2006/relationships/oleObject" Target="embeddings/oleObject28.bin"/><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header" Target="header1.xml"/><Relationship Id="rId18" Type="http://schemas.openxmlformats.org/officeDocument/2006/relationships/header" Target="header6.xml"/><Relationship Id="rId39" Type="http://schemas.openxmlformats.org/officeDocument/2006/relationships/image" Target="media/image9.wmf"/><Relationship Id="rId34" Type="http://schemas.openxmlformats.org/officeDocument/2006/relationships/oleObject" Target="embeddings/oleObject6.bin"/><Relationship Id="rId50" Type="http://schemas.openxmlformats.org/officeDocument/2006/relationships/oleObject" Target="embeddings/oleObject13.bin"/><Relationship Id="rId55" Type="http://schemas.openxmlformats.org/officeDocument/2006/relationships/oleObject" Target="embeddings/oleObject15.bin"/><Relationship Id="rId76" Type="http://schemas.openxmlformats.org/officeDocument/2006/relationships/image" Target="media/image27.wmf"/><Relationship Id="rId97" Type="http://schemas.openxmlformats.org/officeDocument/2006/relationships/hyperlink" Target="javascript:longPopUp(%20'imagen/grafico8_3.gif',%20565,%20445,%2050,%2050%20)" TargetMode="External"/><Relationship Id="rId104" Type="http://schemas.openxmlformats.org/officeDocument/2006/relationships/header" Target="header2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206</Pages>
  <Words>73592</Words>
  <Characters>419476</Characters>
  <Application>Microsoft Office Word</Application>
  <DocSecurity>4</DocSecurity>
  <Lines>3495</Lines>
  <Paragraphs>838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E/C.12/PRY/3  07-40679</vt:lpstr>
      <vt:lpstr>E/C.12/PRY/3  07-40679</vt:lpstr>
    </vt:vector>
  </TitlesOfParts>
  <Company>ONU</Company>
  <LinksUpToDate>false</LinksUpToDate>
  <CharactersWithSpaces>515145</CharactersWithSpaces>
  <SharedDoc>false</SharedDoc>
  <HLinks>
    <vt:vector size="24" baseType="variant">
      <vt:variant>
        <vt:i4>720938</vt:i4>
      </vt:variant>
      <vt:variant>
        <vt:i4>54</vt:i4>
      </vt:variant>
      <vt:variant>
        <vt:i4>0</vt:i4>
      </vt:variant>
      <vt:variant>
        <vt:i4>5</vt:i4>
      </vt:variant>
      <vt:variant>
        <vt:lpwstr>javascript:longPopUp( 'imagen/grafico8_3.gif', 565, 445, 50, 50 )</vt:lpwstr>
      </vt:variant>
      <vt:variant>
        <vt:lpwstr/>
      </vt:variant>
      <vt:variant>
        <vt:i4>4522012</vt:i4>
      </vt:variant>
      <vt:variant>
        <vt:i4>6</vt:i4>
      </vt:variant>
      <vt:variant>
        <vt:i4>0</vt:i4>
      </vt:variant>
      <vt:variant>
        <vt:i4>5</vt:i4>
      </vt:variant>
      <vt:variant>
        <vt:lpwstr>http://www.winnernet.org/</vt:lpwstr>
      </vt:variant>
      <vt:variant>
        <vt:lpwstr/>
      </vt:variant>
      <vt:variant>
        <vt:i4>4259951</vt:i4>
      </vt:variant>
      <vt:variant>
        <vt:i4>362899</vt:i4>
      </vt:variant>
      <vt:variant>
        <vt:i4>1025</vt:i4>
      </vt:variant>
      <vt:variant>
        <vt:i4>1</vt:i4>
      </vt:variant>
      <vt:variant>
        <vt:lpwstr>clip_image004</vt:lpwstr>
      </vt:variant>
      <vt:variant>
        <vt:lpwstr/>
      </vt:variant>
      <vt:variant>
        <vt:i4>8257631</vt:i4>
      </vt:variant>
      <vt:variant>
        <vt:i4>402992</vt:i4>
      </vt:variant>
      <vt:variant>
        <vt:i4>1026</vt:i4>
      </vt:variant>
      <vt:variant>
        <vt:i4>1</vt:i4>
      </vt:variant>
      <vt:variant>
        <vt:lpwstr>grafico8_1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E/C.12/PRY/3  07-40679</dc:title>
  <dc:subject>FINAL</dc:subject>
  <dc:creator>Javier Rodríguez</dc:creator>
  <cp:keywords/>
  <dc:description/>
  <cp:lastModifiedBy>csd</cp:lastModifiedBy>
  <cp:revision>2</cp:revision>
  <cp:lastPrinted>2007-04-12T12:22:00Z</cp:lastPrinted>
  <dcterms:created xsi:type="dcterms:W3CDTF">2007-10-19T09:52:00Z</dcterms:created>
  <dcterms:modified xsi:type="dcterms:W3CDTF">2007-10-19T09:52:00Z</dcterms:modified>
</cp:coreProperties>
</file>