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40079</w:t>
                  </w:r>
                  <w:r>
                    <w:rPr>
                      <w:lang w:val="en-US"/>
                    </w:rPr>
                    <w:fldChar w:fldCharType="end"/>
                  </w:r>
                  <w:r>
                    <w:rPr>
                      <w:lang w:val="en-US"/>
                    </w:rPr>
                    <w:t xml:space="preserve">   (R)    130406    </w:t>
                  </w:r>
                  <w:r>
                    <w:t>270406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proofErr w:type="spellStart"/>
            <w:r>
              <w:rPr>
                <w:b/>
                <w:i w:val="0"/>
                <w:sz w:val="72"/>
                <w:u w:val="none"/>
              </w:rPr>
              <w:t>CERD</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29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CERD</w:t>
            </w:r>
            <w:proofErr w:type="spellEnd"/>
            <w:r>
              <w:rPr>
                <w:sz w:val="22"/>
                <w:lang w:val="fr-FR"/>
              </w:rPr>
              <w:t>/C/</w:t>
            </w:r>
            <w:proofErr w:type="spellStart"/>
            <w:r>
              <w:rPr>
                <w:sz w:val="22"/>
                <w:lang w:val="fr-FR"/>
              </w:rPr>
              <w:t>CZE</w:t>
            </w:r>
            <w:proofErr w:type="spellEnd"/>
            <w:r>
              <w:rPr>
                <w:sz w:val="22"/>
                <w:lang w:val="fr-FR"/>
              </w:rPr>
              <w:t>/7</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11 January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rPr>
          <w:lang w:val="en-US"/>
        </w:rPr>
      </w:pPr>
    </w:p>
    <w:p w:rsidR="00000000" w:rsidRDefault="00000000">
      <w:pPr>
        <w:rPr>
          <w:b/>
          <w:bCs/>
        </w:rPr>
      </w:pPr>
      <w:r>
        <w:rPr>
          <w:b/>
          <w:bCs/>
        </w:rPr>
        <w:t>КОМИТЕТ ПО ЛИКВИДАЦИИ РАСОВОЙ ДИСКРИМИНАЦИИ</w:t>
      </w:r>
    </w:p>
    <w:p w:rsidR="00000000" w:rsidRDefault="00000000">
      <w:pPr>
        <w:rPr>
          <w:b/>
          <w:bCs/>
        </w:rPr>
      </w:pPr>
    </w:p>
    <w:p w:rsidR="00000000" w:rsidRDefault="00000000">
      <w:pPr>
        <w:rPr>
          <w:b/>
          <w:bCs/>
        </w:rPr>
      </w:pPr>
    </w:p>
    <w:p w:rsidR="00000000" w:rsidRDefault="00000000">
      <w:pPr>
        <w:rPr>
          <w:b/>
          <w:bCs/>
        </w:rPr>
      </w:pPr>
    </w:p>
    <w:p w:rsidR="00000000" w:rsidRDefault="00000000">
      <w:pPr>
        <w:jc w:val="center"/>
      </w:pPr>
      <w:r>
        <w:t>ДОКЛАДЫ, ПРЕДСТАВЛЕННЫЕ ГОСУДАРСТВАМИ-УЧАСТНИКАМИ В СООТВЕТСТВИИ СО СТАТЬЕЙ 9 КОНВЕНЦИИ</w:t>
      </w:r>
    </w:p>
    <w:p w:rsidR="00000000" w:rsidRDefault="00000000">
      <w:pPr>
        <w:jc w:val="center"/>
      </w:pPr>
    </w:p>
    <w:p w:rsidR="00000000" w:rsidRDefault="00000000">
      <w:pPr>
        <w:jc w:val="center"/>
        <w:rPr>
          <w:u w:val="single"/>
        </w:rPr>
      </w:pPr>
      <w:r>
        <w:rPr>
          <w:u w:val="single"/>
        </w:rPr>
        <w:t>Седьмые периодические доклады государств-участников</w:t>
      </w:r>
      <w:r>
        <w:t>,</w:t>
      </w:r>
    </w:p>
    <w:p w:rsidR="00000000" w:rsidRDefault="00000000">
      <w:pPr>
        <w:jc w:val="center"/>
        <w:rPr>
          <w:u w:val="single"/>
        </w:rPr>
      </w:pPr>
      <w:r>
        <w:rPr>
          <w:u w:val="single"/>
        </w:rPr>
        <w:t>подлежащие представлению в 2006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Чешская Республика</w:t>
      </w:r>
      <w:r>
        <w:rPr>
          <w:rStyle w:val="FootnoteReference"/>
        </w:rPr>
        <w:footnoteReference w:customMarkFollows="1" w:id="1"/>
        <w:t>*</w:t>
      </w:r>
      <w:r>
        <w:t xml:space="preserve"> </w:t>
      </w:r>
      <w:r>
        <w:rPr>
          <w:rStyle w:val="FootnoteReference"/>
        </w:rPr>
        <w:footnoteReference w:customMarkFollows="1" w:id="2"/>
        <w:t>**</w:t>
      </w:r>
    </w:p>
    <w:p w:rsidR="00000000" w:rsidRDefault="00000000">
      <w:pPr>
        <w:jc w:val="center"/>
      </w:pPr>
    </w:p>
    <w:p w:rsidR="00000000" w:rsidRDefault="00000000">
      <w:pPr>
        <w:jc w:val="right"/>
      </w:pPr>
      <w:r>
        <w:t>[9 января 2006 года]</w:t>
      </w:r>
    </w:p>
    <w:p w:rsidR="00000000" w:rsidRDefault="00000000">
      <w:pPr>
        <w:jc w:val="right"/>
      </w:pPr>
    </w:p>
    <w:p w:rsidR="00000000" w:rsidRDefault="00000000">
      <w:pPr>
        <w:pageBreakBefore/>
        <w:jc w:val="center"/>
        <w:rPr>
          <w:b/>
          <w:bCs/>
        </w:rPr>
      </w:pP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rPr>
          <w:b/>
          <w:bCs/>
        </w:rPr>
        <w:t>Введение</w:t>
      </w:r>
      <w:r>
        <w:rPr>
          <w:b/>
          <w:bCs/>
        </w:rPr>
        <w:tab/>
      </w:r>
      <w:r>
        <w:rPr>
          <w:b/>
          <w:bCs/>
        </w:rPr>
        <w:tab/>
      </w:r>
      <w:r>
        <w:t>1 - 2</w:t>
      </w:r>
      <w:r>
        <w:tab/>
        <w:t>7</w:t>
      </w:r>
    </w:p>
    <w:p w:rsidR="00000000" w:rsidRDefault="00000000">
      <w:pPr>
        <w:tabs>
          <w:tab w:val="clear" w:pos="1134"/>
          <w:tab w:val="clear" w:pos="1701"/>
          <w:tab w:val="clear" w:pos="2268"/>
          <w:tab w:val="clear" w:pos="6237"/>
          <w:tab w:val="decimal" w:pos="567"/>
          <w:tab w:val="right" w:leader="dot" w:pos="7172"/>
          <w:tab w:val="center" w:pos="8039"/>
          <w:tab w:val="center" w:pos="9122"/>
        </w:tabs>
        <w:rPr>
          <w:b/>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lang w:val="en-US"/>
        </w:rPr>
        <w:t>I</w:t>
      </w:r>
      <w:r>
        <w:rPr>
          <w:b/>
          <w:bCs/>
        </w:rPr>
        <w:t>.</w:t>
      </w:r>
      <w:r>
        <w:rPr>
          <w:b/>
          <w:bCs/>
        </w:rPr>
        <w:tab/>
        <w:t>Общая часть</w:t>
      </w:r>
      <w:r>
        <w:rPr>
          <w:b/>
          <w:bCs/>
        </w:rPr>
        <w:tab/>
      </w:r>
      <w:r>
        <w:rPr>
          <w:b/>
          <w:bCs/>
        </w:rPr>
        <w:tab/>
      </w:r>
      <w:r>
        <w:t>3 - 15</w:t>
      </w:r>
      <w:r>
        <w:rPr>
          <w:b/>
          <w:bCs/>
        </w:rPr>
        <w:tab/>
      </w:r>
      <w:r>
        <w:t>8</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Общие сведения о меньшинствах</w:t>
      </w:r>
      <w:r>
        <w:rPr>
          <w:i/>
          <w:iCs/>
        </w:rPr>
        <w:tab/>
      </w:r>
      <w:r>
        <w:rPr>
          <w:i/>
          <w:iCs/>
        </w:rPr>
        <w:tab/>
      </w:r>
      <w:r>
        <w:t>3 - 5</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Иностранцы</w:t>
      </w:r>
      <w:r>
        <w:rPr>
          <w:i/>
          <w:iCs/>
        </w:rPr>
        <w:tab/>
      </w:r>
      <w:r>
        <w:rPr>
          <w:i/>
          <w:iCs/>
        </w:rPr>
        <w:tab/>
      </w:r>
      <w:r>
        <w:t>6 - 12</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Беженцы и просители убежища</w:t>
      </w:r>
      <w:r>
        <w:rPr>
          <w:i/>
          <w:iCs/>
        </w:rPr>
        <w:tab/>
      </w:r>
      <w:r>
        <w:rPr>
          <w:i/>
          <w:iCs/>
        </w:rPr>
        <w:tab/>
      </w:r>
      <w:r>
        <w:t>13 - 15</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lang w:val="en-US"/>
        </w:rPr>
        <w:t>II</w:t>
      </w:r>
      <w:r>
        <w:rPr>
          <w:b/>
          <w:bCs/>
        </w:rPr>
        <w:t>.</w:t>
      </w:r>
      <w:r>
        <w:rPr>
          <w:b/>
          <w:bCs/>
        </w:rPr>
        <w:tab/>
        <w:t>Отдельная часть:  Выполнение статей 2-7 Конвенции</w:t>
      </w:r>
      <w:r>
        <w:rPr>
          <w:b/>
          <w:bCs/>
        </w:rPr>
        <w:tab/>
      </w:r>
      <w:r>
        <w:rPr>
          <w:b/>
          <w:bCs/>
        </w:rPr>
        <w:tab/>
      </w:r>
      <w:r>
        <w:t>16 - 196</w:t>
      </w:r>
      <w:r>
        <w:rPr>
          <w:b/>
          <w:bCs/>
        </w:rPr>
        <w:tab/>
      </w:r>
      <w:r>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tab/>
      </w:r>
      <w:r>
        <w:tab/>
      </w:r>
      <w:r>
        <w:rPr>
          <w:b/>
          <w:bCs/>
        </w:rPr>
        <w:t xml:space="preserve">Статья 2:  Правовые и административные меры по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борьбе против расовой дискриминации</w:t>
      </w:r>
      <w:r>
        <w:rPr>
          <w:b/>
          <w:bCs/>
        </w:rPr>
        <w:tab/>
      </w:r>
      <w:r>
        <w:rPr>
          <w:b/>
          <w:bCs/>
        </w:rPr>
        <w:tab/>
      </w:r>
      <w:r>
        <w:t>16 - 41</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rPr>
          <w:i/>
          <w:iCs/>
        </w:rPr>
        <w:t xml:space="preserve">Присоединение Чешской Республики к международным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t>договорам по правам человека</w:t>
      </w:r>
      <w:r>
        <w:rPr>
          <w:i/>
          <w:iCs/>
        </w:rPr>
        <w:tab/>
      </w:r>
      <w:r>
        <w:rPr>
          <w:i/>
          <w:iCs/>
        </w:rPr>
        <w:tab/>
      </w:r>
      <w:r>
        <w:t>16 - 19</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rPr>
          <w:i/>
          <w:iCs/>
        </w:rPr>
        <w:t>Национальное законодательство по защите от</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t>расовой дискриминации</w:t>
      </w:r>
      <w:r>
        <w:rPr>
          <w:i/>
          <w:iCs/>
        </w:rPr>
        <w:tab/>
      </w:r>
      <w:r>
        <w:rPr>
          <w:i/>
          <w:iCs/>
        </w:rPr>
        <w:tab/>
      </w:r>
      <w:r>
        <w:t>20 - 24</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rPr>
          <w:i/>
          <w:iCs/>
        </w:rPr>
        <w:t>Национальные меры незаконодательного характера по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t>защите от расовой дискриминации</w:t>
      </w:r>
      <w:r>
        <w:rPr>
          <w:i/>
          <w:iCs/>
        </w:rPr>
        <w:tab/>
      </w:r>
      <w:r>
        <w:rPr>
          <w:i/>
          <w:iCs/>
        </w:rPr>
        <w:tab/>
      </w:r>
      <w:r>
        <w:t>25 - 30</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Институциональные гарантии</w:t>
      </w:r>
      <w:r>
        <w:rPr>
          <w:i/>
          <w:iCs/>
        </w:rPr>
        <w:tab/>
      </w:r>
      <w:r>
        <w:rPr>
          <w:i/>
          <w:iCs/>
        </w:rPr>
        <w:tab/>
      </w:r>
      <w:r>
        <w:t>31 - 38</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rPr>
          <w:i/>
          <w:iCs/>
        </w:rPr>
        <w:t xml:space="preserve">Советники, помощники и координаторы по делам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t>общин рома</w:t>
      </w:r>
      <w:r>
        <w:rPr>
          <w:i/>
          <w:iCs/>
        </w:rPr>
        <w:tab/>
      </w:r>
      <w:r>
        <w:rPr>
          <w:i/>
          <w:iCs/>
        </w:rPr>
        <w:tab/>
      </w:r>
      <w:r>
        <w:t>39 - 41</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b/>
          <w:bCs/>
        </w:rPr>
        <w:t>Статья 3:  Запрещение расовой сегрегации и апартеида</w:t>
      </w:r>
      <w:r>
        <w:rPr>
          <w:b/>
          <w:bCs/>
        </w:rPr>
        <w:tab/>
      </w:r>
      <w:r>
        <w:t>42 - 44</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p>
    <w:p w:rsidR="00000000" w:rsidRDefault="00000000">
      <w:pPr>
        <w:jc w:val="center"/>
      </w:pPr>
      <w:r>
        <w:br w:type="page"/>
      </w:r>
      <w:r>
        <w:rPr>
          <w:b/>
          <w:bCs/>
        </w:rPr>
        <w:t>СОДЕРЖАНИЕ</w:t>
      </w:r>
      <w:r>
        <w:t xml:space="preserve">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tab/>
      </w:r>
      <w:r>
        <w:tab/>
      </w:r>
      <w:r>
        <w:rPr>
          <w:b/>
          <w:bCs/>
        </w:rPr>
        <w:t xml:space="preserve">Статья 4:  Законодательные, административные и </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rPr>
          <w:b/>
          <w:bCs/>
        </w:rPr>
        <w:tab/>
      </w:r>
      <w:r>
        <w:rPr>
          <w:b/>
          <w:bCs/>
        </w:rPr>
        <w:tab/>
        <w:t xml:space="preserve">прочие меры, направленные против пропаганды </w:t>
      </w:r>
    </w:p>
    <w:p w:rsidR="00000000" w:rsidRDefault="00000000">
      <w:pPr>
        <w:tabs>
          <w:tab w:val="clear" w:pos="6237"/>
          <w:tab w:val="decimal" w:pos="567"/>
          <w:tab w:val="left" w:pos="1134"/>
          <w:tab w:val="left" w:pos="1701"/>
          <w:tab w:val="left" w:pos="2268"/>
          <w:tab w:val="left" w:pos="4370"/>
          <w:tab w:val="right" w:leader="dot" w:pos="7172"/>
          <w:tab w:val="center" w:pos="8039"/>
          <w:tab w:val="center" w:pos="9122"/>
        </w:tabs>
        <w:rPr>
          <w:b/>
          <w:bCs/>
        </w:rPr>
      </w:pPr>
      <w:r>
        <w:rPr>
          <w:b/>
          <w:bCs/>
        </w:rPr>
        <w:tab/>
      </w:r>
      <w:r>
        <w:rPr>
          <w:b/>
          <w:bCs/>
        </w:rPr>
        <w:tab/>
        <w:t xml:space="preserve">расовой  нетерпимости и насилия в отношении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расовых и этнических меньшинств</w:t>
      </w:r>
      <w:r>
        <w:rPr>
          <w:b/>
          <w:bCs/>
        </w:rPr>
        <w:tab/>
      </w:r>
      <w:r>
        <w:rPr>
          <w:b/>
          <w:bCs/>
        </w:rPr>
        <w:tab/>
      </w:r>
      <w:r>
        <w:t>45 - 69</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r>
      <w:r>
        <w:rPr>
          <w:i/>
          <w:iCs/>
        </w:rPr>
        <w:t>Преступные действия с экстремистским уклоном</w:t>
      </w:r>
      <w:r>
        <w:rPr>
          <w:i/>
          <w:iCs/>
        </w:rPr>
        <w:tab/>
      </w:r>
      <w:r>
        <w:rPr>
          <w:i/>
          <w:iCs/>
        </w:rPr>
        <w:tab/>
      </w:r>
      <w:r>
        <w:t>46 - 62</w:t>
      </w:r>
      <w:r>
        <w:tab/>
        <w:t>29</w:t>
      </w:r>
    </w:p>
    <w:p w:rsidR="00000000" w:rsidRDefault="00000000">
      <w:pPr>
        <w:tabs>
          <w:tab w:val="clear" w:pos="6237"/>
          <w:tab w:val="decimal"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Международное сотрудничество в борьбе с экстремизмом</w:t>
      </w:r>
      <w:r>
        <w:rPr>
          <w:i/>
          <w:iCs/>
        </w:rPr>
        <w:tab/>
      </w:r>
      <w:r>
        <w:t>63 - 66</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Экстремистские движения</w:t>
      </w:r>
      <w:r>
        <w:rPr>
          <w:i/>
          <w:iCs/>
        </w:rPr>
        <w:tab/>
      </w:r>
      <w:r>
        <w:rPr>
          <w:i/>
          <w:iCs/>
        </w:rPr>
        <w:tab/>
      </w:r>
      <w:r>
        <w:t>67 - 69</w:t>
      </w:r>
      <w: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tab/>
      </w:r>
      <w:r>
        <w:rPr>
          <w:b/>
          <w:bCs/>
        </w:rPr>
        <w:tab/>
        <w:t>Статья 5:  Права, конкретно гарантируемые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Конвенцией</w:t>
      </w:r>
      <w:r>
        <w:rPr>
          <w:b/>
          <w:bCs/>
        </w:rPr>
        <w:tab/>
      </w:r>
      <w:r>
        <w:rPr>
          <w:b/>
          <w:bCs/>
        </w:rPr>
        <w:tab/>
      </w:r>
      <w:r>
        <w:t>70 - 159</w:t>
      </w:r>
      <w: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Право на равенство перед судом и всеми другими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государственными органами, отправляющими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правосудие</w:t>
      </w:r>
      <w:r>
        <w:tab/>
      </w:r>
      <w:r>
        <w:tab/>
        <w:t>70</w:t>
      </w:r>
      <w: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Право на личную безопасность и защиту со стороны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государства от насилия и телесных повреждений</w:t>
      </w:r>
      <w:r>
        <w:tab/>
      </w:r>
      <w:r>
        <w:tab/>
        <w:t>71 - 72</w:t>
      </w:r>
      <w: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Политические права, в частности право на участие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в выборах</w:t>
      </w:r>
      <w:r>
        <w:tab/>
      </w:r>
      <w:r>
        <w:tab/>
        <w:t>73 - 74</w:t>
      </w:r>
      <w: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Другие гражданские права</w:t>
      </w:r>
      <w:r>
        <w:tab/>
      </w:r>
      <w:r>
        <w:tab/>
        <w:t>75 - 86</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свободу передвижения и выбора места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жительства в пределах государства</w:t>
      </w:r>
      <w:r>
        <w:tab/>
      </w:r>
      <w:r>
        <w:tab/>
        <w:t>75 - 76</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покидать любую страну, включая свою</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собственную, и возвращаться в свою страну</w:t>
      </w:r>
      <w:r>
        <w:tab/>
      </w:r>
      <w:r>
        <w:tab/>
        <w:t>77 - 78</w:t>
      </w:r>
      <w:r>
        <w:tab/>
        <w:t>48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гражданство</w:t>
      </w:r>
      <w:r>
        <w:tab/>
      </w:r>
      <w:r>
        <w:tab/>
        <w:t>79 - 81</w:t>
      </w:r>
      <w:r>
        <w:tab/>
        <w:t>49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вступление в брак и на выбор супруга</w:t>
      </w:r>
      <w:r>
        <w:tab/>
      </w:r>
      <w:r>
        <w:tab/>
        <w:t>82</w:t>
      </w:r>
      <w:r>
        <w:tab/>
        <w:t>50</w:t>
      </w:r>
    </w:p>
    <w:p w:rsidR="00000000" w:rsidRDefault="00000000">
      <w:pPr>
        <w:jc w:val="center"/>
      </w:pPr>
      <w:r>
        <w:rPr>
          <w:b/>
          <w:bCs/>
        </w:rPr>
        <w:t>СОДЕРЖАНИЕ</w:t>
      </w:r>
      <w:r>
        <w:t xml:space="preserve">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Право на владение имуществом, право на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наследование</w:t>
      </w:r>
      <w:r>
        <w:tab/>
      </w:r>
      <w:r>
        <w:tab/>
        <w:t>83</w:t>
      </w:r>
      <w:r>
        <w:tab/>
        <w:t>50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свободу мысли, совести и религии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Право на свободу убеждений и их свободное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выражение</w:t>
      </w:r>
      <w:r>
        <w:tab/>
      </w:r>
      <w:r>
        <w:tab/>
        <w:t>84</w:t>
      </w:r>
      <w:r>
        <w:tab/>
        <w:t>50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свободу мирных собраний и ассоциаций</w:t>
      </w:r>
      <w:r>
        <w:tab/>
      </w:r>
      <w:r>
        <w:tab/>
        <w:t>85 - 86</w:t>
      </w:r>
      <w:r>
        <w:tab/>
        <w:t>51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Экономические, социальные и культурные права</w:t>
      </w:r>
      <w:r>
        <w:tab/>
      </w:r>
      <w:r>
        <w:tab/>
        <w:t>87 - 154</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труд</w:t>
      </w:r>
      <w:r>
        <w:tab/>
      </w:r>
      <w:r>
        <w:tab/>
        <w:t>87 - 99</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Законодательные меры</w:t>
      </w:r>
      <w:r>
        <w:rPr>
          <w:i/>
          <w:iCs/>
        </w:rPr>
        <w:tab/>
      </w:r>
      <w:r>
        <w:rPr>
          <w:i/>
          <w:iCs/>
        </w:rPr>
        <w:tab/>
      </w:r>
      <w:r>
        <w:t>87 - 91</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proofErr w:type="spellStart"/>
      <w:r>
        <w:rPr>
          <w:i/>
          <w:iCs/>
        </w:rPr>
        <w:t>Незаконодательные</w:t>
      </w:r>
      <w:proofErr w:type="spellEnd"/>
      <w:r>
        <w:rPr>
          <w:i/>
          <w:iCs/>
        </w:rPr>
        <w:t xml:space="preserve"> меры </w:t>
      </w:r>
      <w:r>
        <w:rPr>
          <w:i/>
          <w:iCs/>
        </w:rPr>
        <w:tab/>
        <w:t>направленные на расширение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занятости</w:t>
      </w:r>
      <w:r>
        <w:rPr>
          <w:i/>
          <w:iCs/>
        </w:rPr>
        <w:tab/>
      </w:r>
      <w:r>
        <w:rPr>
          <w:i/>
          <w:iCs/>
        </w:rPr>
        <w:tab/>
      </w:r>
      <w:r>
        <w:t>92 - 97</w:t>
      </w:r>
      <w: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Контроль за объявлениями о наличии рабочих мест</w:t>
      </w:r>
      <w:r>
        <w:rPr>
          <w:i/>
          <w:iCs/>
        </w:rPr>
        <w:tab/>
      </w:r>
      <w:r>
        <w:rPr>
          <w:i/>
          <w:iCs/>
        </w:rPr>
        <w:tab/>
      </w:r>
      <w:r>
        <w:t>98</w:t>
      </w:r>
      <w:r>
        <w:tab/>
        <w:t>57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 xml:space="preserve">Контроль за дискриминацией в области доступа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к занятости</w:t>
      </w:r>
      <w:r>
        <w:rPr>
          <w:i/>
          <w:iCs/>
        </w:rPr>
        <w:tab/>
      </w:r>
      <w:r>
        <w:rPr>
          <w:i/>
          <w:iCs/>
        </w:rPr>
        <w:tab/>
      </w:r>
      <w:r>
        <w:t>99</w:t>
      </w:r>
      <w:r>
        <w:tab/>
        <w:t>58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создавать профессиональные союзы и вступать</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в них</w:t>
      </w:r>
      <w:r>
        <w:tab/>
      </w:r>
      <w:r>
        <w:tab/>
      </w:r>
      <w:r>
        <w:tab/>
        <w:t>100</w:t>
      </w:r>
      <w:r>
        <w:tab/>
        <w:t>58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жилище</w:t>
      </w:r>
      <w:r>
        <w:tab/>
      </w:r>
      <w:r>
        <w:tab/>
        <w:t>101 - 125</w:t>
      </w:r>
      <w:r>
        <w:tab/>
        <w:t>58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proofErr w:type="spellStart"/>
      <w:r>
        <w:rPr>
          <w:i/>
          <w:iCs/>
        </w:rPr>
        <w:t>Незаконодательные</w:t>
      </w:r>
      <w:proofErr w:type="spellEnd"/>
      <w:r>
        <w:rPr>
          <w:i/>
          <w:iCs/>
        </w:rPr>
        <w:t xml:space="preserve"> меры жилищной поддержки</w:t>
      </w:r>
      <w:r>
        <w:rPr>
          <w:i/>
          <w:iCs/>
        </w:rPr>
        <w:tab/>
      </w:r>
      <w:r>
        <w:rPr>
          <w:i/>
          <w:iCs/>
        </w:rPr>
        <w:tab/>
      </w:r>
      <w:r>
        <w:t>111 - 113</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 xml:space="preserve">Особенности мест компактного проживания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рома</w:t>
      </w:r>
      <w:r>
        <w:rPr>
          <w:i/>
          <w:iCs/>
        </w:rPr>
        <w:tab/>
      </w:r>
      <w:r>
        <w:rPr>
          <w:i/>
          <w:iCs/>
        </w:rPr>
        <w:tab/>
      </w:r>
      <w:r>
        <w:rPr>
          <w:i/>
          <w:iCs/>
        </w:rPr>
        <w:tab/>
      </w:r>
      <w:r>
        <w:t>114 - 115</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keepNext/>
        <w:jc w:val="center"/>
      </w:pPr>
      <w:r>
        <w:rPr>
          <w:b/>
          <w:bCs/>
        </w:rPr>
        <w:t>СОДЕРЖАНИЕ</w:t>
      </w:r>
      <w:r>
        <w:t xml:space="preserve"> (</w:t>
      </w:r>
      <w:r>
        <w:rPr>
          <w:u w:val="single"/>
        </w:rPr>
        <w:t>продолжение</w:t>
      </w:r>
      <w:r>
        <w:t>)</w:t>
      </w:r>
    </w:p>
    <w:p w:rsidR="00000000" w:rsidRDefault="00000000">
      <w:pPr>
        <w:keepNext/>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Комментарии в связи с Заключительной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рекомендацией № 13</w:t>
      </w:r>
      <w:r>
        <w:rPr>
          <w:i/>
          <w:iCs/>
        </w:rPr>
        <w:tab/>
      </w:r>
      <w:r>
        <w:rPr>
          <w:i/>
          <w:iCs/>
        </w:rPr>
        <w:tab/>
      </w:r>
      <w:r>
        <w:t>116 - 118</w:t>
      </w:r>
      <w:r>
        <w:tab/>
        <w:t>66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rPr>
          <w:i/>
          <w:iCs/>
        </w:rPr>
        <w:tab/>
      </w:r>
      <w:r>
        <w:rPr>
          <w:i/>
          <w:iCs/>
        </w:rPr>
        <w:tab/>
      </w:r>
      <w:r>
        <w:rPr>
          <w:i/>
          <w:iCs/>
        </w:rPr>
        <w:tab/>
        <w:t xml:space="preserve">Исследовательские проекты по проблематике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рома</w:t>
      </w:r>
      <w:r>
        <w:rPr>
          <w:i/>
          <w:iCs/>
        </w:rPr>
        <w:tab/>
      </w:r>
      <w:r>
        <w:rPr>
          <w:i/>
          <w:iCs/>
        </w:rPr>
        <w:tab/>
      </w:r>
      <w:r>
        <w:rPr>
          <w:i/>
          <w:iCs/>
        </w:rPr>
        <w:tab/>
      </w:r>
      <w:r>
        <w:t>119 - 124</w:t>
      </w:r>
      <w:r>
        <w:tab/>
        <w:t>67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Мониторинг случаев дискриминации в области</w:t>
      </w: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rPr>
          <w:i/>
          <w:iCs/>
        </w:rPr>
        <w:tab/>
      </w:r>
      <w:r>
        <w:rPr>
          <w:i/>
          <w:iCs/>
        </w:rPr>
        <w:tab/>
      </w:r>
      <w:r>
        <w:rPr>
          <w:i/>
          <w:iCs/>
        </w:rPr>
        <w:tab/>
        <w:t>доступа к жилью</w:t>
      </w:r>
      <w:r>
        <w:rPr>
          <w:i/>
          <w:iCs/>
        </w:rPr>
        <w:tab/>
      </w:r>
      <w:r>
        <w:rPr>
          <w:i/>
          <w:iCs/>
        </w:rPr>
        <w:tab/>
      </w:r>
      <w:r>
        <w:t>125</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r>
      <w:r>
        <w:t>Право на здравоохранение, медицинскую помощь,</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социальное обеспечение и социальное обслуживание</w:t>
      </w:r>
      <w:r>
        <w:tab/>
      </w:r>
      <w:r>
        <w:tab/>
        <w:t>126 - 135</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Предполагаемые случаи принудительной стерилизации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женщин из числа рома</w:t>
      </w:r>
      <w:r>
        <w:rPr>
          <w:i/>
          <w:iCs/>
        </w:rPr>
        <w:tab/>
      </w:r>
      <w:r>
        <w:rPr>
          <w:i/>
          <w:iCs/>
        </w:rPr>
        <w:tab/>
      </w:r>
      <w:r>
        <w:t>126 - 132</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tab/>
      </w:r>
      <w:r>
        <w:rPr>
          <w:i/>
          <w:iCs/>
        </w:rPr>
        <w:t>Комментарии в связи с Заключительной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r>
      <w:r>
        <w:rPr>
          <w:i/>
          <w:iCs/>
        </w:rPr>
        <w:tab/>
        <w:t>рекомендацией № 12</w:t>
      </w:r>
      <w:r>
        <w:rPr>
          <w:i/>
          <w:iCs/>
        </w:rPr>
        <w:tab/>
      </w:r>
      <w:r>
        <w:rPr>
          <w:i/>
          <w:iCs/>
        </w:rPr>
        <w:tab/>
      </w:r>
      <w:r>
        <w:t>133 - 135</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образование и профессиональную подготовку</w:t>
      </w:r>
      <w:r>
        <w:tab/>
        <w:t>136 - 148</w:t>
      </w:r>
      <w:r>
        <w:tab/>
        <w:t>73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Специализированные школы</w:t>
      </w:r>
      <w:r>
        <w:rPr>
          <w:i/>
          <w:iCs/>
        </w:rPr>
        <w:tab/>
      </w:r>
      <w:r>
        <w:rPr>
          <w:i/>
          <w:iCs/>
        </w:rPr>
        <w:tab/>
      </w:r>
      <w:r>
        <w:t>139 - 141</w:t>
      </w:r>
      <w:r>
        <w:tab/>
        <w:t>74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Педагог-ассистент</w:t>
      </w:r>
      <w:r>
        <w:rPr>
          <w:i/>
          <w:iCs/>
        </w:rPr>
        <w:tab/>
      </w:r>
      <w:r>
        <w:rPr>
          <w:i/>
          <w:iCs/>
        </w:rPr>
        <w:tab/>
      </w:r>
      <w:r>
        <w:t>142</w:t>
      </w:r>
      <w:r>
        <w:tab/>
        <w:t>76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Подготовительные классы</w:t>
      </w:r>
      <w:r>
        <w:rPr>
          <w:i/>
          <w:iCs/>
        </w:rPr>
        <w:tab/>
      </w:r>
      <w:r>
        <w:rPr>
          <w:i/>
          <w:iCs/>
        </w:rPr>
        <w:tab/>
      </w:r>
      <w:r>
        <w:t>143 - 145</w:t>
      </w:r>
      <w:r>
        <w:tab/>
        <w:t>76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rPr>
          <w:i/>
          <w:iCs/>
        </w:rPr>
        <w:t>Образование для иностранцев</w:t>
      </w:r>
      <w:r>
        <w:rPr>
          <w:i/>
          <w:iCs/>
        </w:rPr>
        <w:tab/>
      </w:r>
      <w:r>
        <w:rPr>
          <w:i/>
          <w:iCs/>
        </w:rPr>
        <w:tab/>
      </w:r>
      <w:r>
        <w:t>148</w:t>
      </w:r>
      <w:r>
        <w:tab/>
        <w:t>78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 на равное участие в культурной жизни</w:t>
      </w:r>
      <w:r>
        <w:tab/>
      </w:r>
      <w:r>
        <w:tab/>
        <w:t>149 - 154</w:t>
      </w:r>
      <w:r>
        <w:tab/>
        <w:t>79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F</w:t>
      </w:r>
      <w:r>
        <w:t>.</w:t>
      </w:r>
      <w:r>
        <w:tab/>
        <w:t>Право на доступ к любому месту или любому виду</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обслуживания, предназначенному для общественного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пользования</w:t>
      </w:r>
      <w:r>
        <w:tab/>
      </w:r>
      <w:r>
        <w:tab/>
        <w:t>155 - 159</w:t>
      </w:r>
      <w:r>
        <w:tab/>
        <w:t>81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r>
      <w:r>
        <w:rPr>
          <w:b/>
          <w:bCs/>
        </w:rPr>
        <w:t>СОДЕРЖАНИЕ</w:t>
      </w:r>
      <w:r>
        <w:t xml:space="preserve">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tab/>
      </w:r>
      <w:r>
        <w:tab/>
      </w:r>
      <w:r>
        <w:rPr>
          <w:b/>
          <w:bCs/>
        </w:rPr>
        <w:t xml:space="preserve">Статья 6:  Защита от всех проявлений расовой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дискриминации</w:t>
      </w:r>
      <w:r>
        <w:rPr>
          <w:b/>
          <w:bCs/>
        </w:rPr>
        <w:tab/>
      </w:r>
      <w:r>
        <w:rPr>
          <w:b/>
          <w:bCs/>
        </w:rPr>
        <w:tab/>
      </w:r>
      <w:r>
        <w:t>160 - 178</w:t>
      </w:r>
      <w:r>
        <w:tab/>
        <w:t>83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i/>
          <w:iCs/>
        </w:rPr>
      </w:pPr>
      <w:r>
        <w:tab/>
      </w:r>
      <w:r>
        <w:tab/>
      </w:r>
      <w:r>
        <w:rPr>
          <w:i/>
          <w:iCs/>
        </w:rPr>
        <w:t>Закон о правовых механизмах защиты от расовой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i/>
          <w:iCs/>
        </w:rPr>
        <w:tab/>
      </w:r>
      <w:r>
        <w:rPr>
          <w:i/>
          <w:iCs/>
        </w:rPr>
        <w:tab/>
        <w:t>дискриминации</w:t>
      </w:r>
      <w:r>
        <w:rPr>
          <w:i/>
          <w:iCs/>
        </w:rPr>
        <w:tab/>
      </w:r>
      <w:r>
        <w:rPr>
          <w:i/>
          <w:iCs/>
        </w:rPr>
        <w:tab/>
      </w:r>
      <w:r>
        <w:t>170 - 178</w:t>
      </w:r>
      <w:r>
        <w:tab/>
        <w:t>86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tab/>
      </w:r>
      <w:r>
        <w:tab/>
      </w:r>
      <w:r>
        <w:rPr>
          <w:b/>
          <w:bCs/>
        </w:rPr>
        <w:t xml:space="preserve">Статья 7:  Роль государства в деле просвещения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по вопросам борьбы против расовой дискриминации</w:t>
      </w:r>
      <w:r>
        <w:rPr>
          <w:b/>
          <w:bCs/>
        </w:rPr>
        <w:tab/>
      </w:r>
      <w:r>
        <w:rPr>
          <w:b/>
          <w:bCs/>
        </w:rPr>
        <w:tab/>
      </w:r>
      <w:r>
        <w:t>179 - 196</w:t>
      </w:r>
      <w:r>
        <w:tab/>
        <w:t>90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Школьное воспитание</w:t>
      </w:r>
      <w:r>
        <w:rPr>
          <w:i/>
          <w:iCs/>
        </w:rPr>
        <w:tab/>
      </w:r>
      <w:r>
        <w:rPr>
          <w:i/>
          <w:iCs/>
        </w:rPr>
        <w:tab/>
      </w:r>
      <w:r>
        <w:t>179 - 182</w:t>
      </w:r>
      <w:r>
        <w:tab/>
        <w:t>90</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Подготовка сотрудников полиции</w:t>
      </w:r>
      <w:r>
        <w:rPr>
          <w:i/>
          <w:iCs/>
        </w:rPr>
        <w:tab/>
      </w:r>
      <w:r>
        <w:rPr>
          <w:i/>
          <w:iCs/>
        </w:rPr>
        <w:tab/>
      </w:r>
      <w:r>
        <w:t>183 - 187</w:t>
      </w:r>
      <w:r>
        <w:tab/>
        <w:t>92</w:t>
      </w:r>
    </w:p>
    <w:p w:rsidR="00000000" w:rsidRDefault="00000000">
      <w:pPr>
        <w:tabs>
          <w:tab w:val="clear" w:pos="567"/>
          <w:tab w:val="clear" w:pos="1134"/>
          <w:tab w:val="clear" w:pos="1701"/>
          <w:tab w:val="clear" w:pos="2268"/>
          <w:tab w:val="clear" w:pos="6237"/>
          <w:tab w:val="left" w:pos="3717"/>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Подготовка военнослужащих чешской армии</w:t>
      </w:r>
      <w:r>
        <w:rPr>
          <w:i/>
          <w:iCs/>
        </w:rPr>
        <w:tab/>
      </w:r>
      <w:r>
        <w:rPr>
          <w:i/>
          <w:iCs/>
        </w:rPr>
        <w:tab/>
      </w:r>
      <w:r>
        <w:t>188</w:t>
      </w:r>
      <w:r>
        <w:tab/>
        <w:t>94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Подготовка судей и юристов-стажеров</w:t>
      </w:r>
      <w:r>
        <w:rPr>
          <w:i/>
          <w:iCs/>
        </w:rPr>
        <w:tab/>
      </w:r>
      <w:r>
        <w:rPr>
          <w:i/>
          <w:iCs/>
        </w:rPr>
        <w:tab/>
      </w:r>
      <w:r>
        <w:t>189</w:t>
      </w:r>
      <w:r>
        <w:tab/>
        <w:t>95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i/>
          <w:iCs/>
        </w:rPr>
        <w:t>Распространение информации</w:t>
      </w:r>
      <w:r>
        <w:rPr>
          <w:i/>
          <w:iCs/>
        </w:rPr>
        <w:tab/>
      </w:r>
      <w:r>
        <w:rPr>
          <w:i/>
          <w:iCs/>
        </w:rPr>
        <w:tab/>
      </w:r>
      <w:r>
        <w:t>190 - 196</w:t>
      </w:r>
      <w:r>
        <w:tab/>
        <w:t>95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rPr>
          <w:b/>
          <w:bCs/>
        </w:rPr>
        <w:tab/>
      </w:r>
      <w:r>
        <w:rPr>
          <w:b/>
          <w:bCs/>
          <w:lang w:val="en-US"/>
        </w:rPr>
        <w:t>III</w:t>
      </w:r>
      <w:r>
        <w:rPr>
          <w:b/>
          <w:bCs/>
        </w:rPr>
        <w:t>.</w:t>
      </w:r>
      <w:r>
        <w:rPr>
          <w:b/>
          <w:bCs/>
        </w:rPr>
        <w:tab/>
        <w:t xml:space="preserve">Информация о выполнении заключительных </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rPr>
          <w:b/>
          <w:bCs/>
        </w:rPr>
        <w:tab/>
      </w:r>
      <w:r>
        <w:rPr>
          <w:b/>
          <w:bCs/>
        </w:rPr>
        <w:tab/>
        <w:t xml:space="preserve">рекомендаций Комитета по ликвидации расовой </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r>
        <w:rPr>
          <w:b/>
          <w:bCs/>
        </w:rPr>
        <w:tab/>
      </w:r>
      <w:r>
        <w:rPr>
          <w:b/>
          <w:bCs/>
        </w:rPr>
        <w:tab/>
        <w:t>дискриминации в связи с пятым периодическим докладом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ab/>
      </w:r>
      <w:r>
        <w:rPr>
          <w:b/>
          <w:bCs/>
        </w:rPr>
        <w:tab/>
        <w:t>Чешской Республики</w:t>
      </w:r>
      <w:r>
        <w:rPr>
          <w:b/>
          <w:bCs/>
        </w:rPr>
        <w:tab/>
      </w:r>
      <w:r>
        <w:rPr>
          <w:b/>
          <w:bCs/>
        </w:rPr>
        <w:tab/>
      </w:r>
      <w:r>
        <w:t>197 - 211</w:t>
      </w:r>
      <w:r>
        <w:tab/>
        <w:t>98</w:t>
      </w:r>
    </w:p>
    <w:p w:rsidR="00000000" w:rsidRDefault="00000000">
      <w:pPr>
        <w:tabs>
          <w:tab w:val="clear" w:pos="6237"/>
          <w:tab w:val="decimal" w:pos="567"/>
          <w:tab w:val="left" w:pos="1134"/>
          <w:tab w:val="left" w:pos="1701"/>
          <w:tab w:val="left" w:pos="2268"/>
          <w:tab w:val="right" w:leader="dot" w:pos="7172"/>
          <w:tab w:val="center" w:pos="8039"/>
          <w:tab w:val="center" w:pos="9122"/>
        </w:tabs>
        <w:rPr>
          <w:b/>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r>
        <w:rPr>
          <w:b/>
          <w:bCs/>
        </w:rPr>
        <w:br w:type="page"/>
        <w:t>ВВЕДЕНИЕ</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p>
    <w:p w:rsidR="00000000" w:rsidRDefault="00000000">
      <w:r>
        <w:t>1.</w:t>
      </w:r>
      <w:r>
        <w:tab/>
        <w:t>Чешская Республика (далее по тексту "ЧР") является стороной, подписавшей Международную конвенцию о ликвидации всех форм расовой дискриминации (далее по тексту "Конвенция"), которая была подписана бывшей Чехословацкой Социалистической Республикой 7 марта 1966 года.  В этой связи она представляет Комитету по ликвидации расовой дискриминации периодические доклады о выполнении вытекающих из этой Конвенции обязательств.  Свой пятый периодический доклад ЧР представила в ноябре 2002 года.</w:t>
      </w:r>
    </w:p>
    <w:p w:rsidR="00000000" w:rsidRDefault="00000000"/>
    <w:p w:rsidR="00000000" w:rsidRDefault="00000000">
      <w:r>
        <w:t>2.</w:t>
      </w:r>
      <w:r>
        <w:tab/>
        <w:t>В соответствии с заключительной рекомендацией № 21 по пятому периодическому докладу ЧР представляет шестой и седьмой доклады о выполнении обязательств, вытекающих из Конвенции, за период с 1 июня 2002 года по 31 марта 2005 года.</w:t>
      </w:r>
    </w:p>
    <w:p w:rsidR="00000000" w:rsidRDefault="00000000"/>
    <w:p w:rsidR="00000000" w:rsidRDefault="00000000">
      <w:pPr>
        <w:jc w:val="center"/>
        <w:rPr>
          <w:b/>
          <w:bCs/>
        </w:rPr>
      </w:pPr>
      <w:r>
        <w:rPr>
          <w:b/>
          <w:bCs/>
          <w:lang w:val="en-US"/>
        </w:rPr>
        <w:br w:type="page"/>
        <w:t>I</w:t>
      </w:r>
      <w:r>
        <w:rPr>
          <w:b/>
          <w:bCs/>
        </w:rPr>
        <w:t>.</w:t>
      </w:r>
      <w:r>
        <w:rPr>
          <w:b/>
          <w:bCs/>
        </w:rPr>
        <w:tab/>
        <w:t>ОБЩАЯ ЧАСТЬ</w:t>
      </w:r>
    </w:p>
    <w:p w:rsidR="00000000" w:rsidRDefault="00000000">
      <w:pPr>
        <w:jc w:val="center"/>
        <w:rPr>
          <w:b/>
          <w:bCs/>
        </w:rPr>
      </w:pPr>
    </w:p>
    <w:p w:rsidR="00000000" w:rsidRDefault="00000000">
      <w:pPr>
        <w:rPr>
          <w:u w:val="single"/>
        </w:rPr>
      </w:pPr>
      <w:r>
        <w:rPr>
          <w:u w:val="single"/>
        </w:rPr>
        <w:t>Общие сведения о меньшинствах</w:t>
      </w:r>
    </w:p>
    <w:p w:rsidR="00000000" w:rsidRDefault="00000000">
      <w:pPr>
        <w:rPr>
          <w:u w:val="single"/>
        </w:rPr>
      </w:pPr>
    </w:p>
    <w:p w:rsidR="00000000" w:rsidRDefault="00000000">
      <w:r>
        <w:t>3.</w:t>
      </w:r>
      <w:r>
        <w:tab/>
        <w:t xml:space="preserve">Последняя перепись населения в ЧР была проведена в 2001 году.  9,9% от общей численности населения (1 022 318 человек) не относились к чешской национальности, что на 490 630 человек больше в сравнении с предыдущей переписью.  Большинство из них (373 294 человека) отнесли себя к моравской национальной группе, за которой следуют словаки (183 749 человек), поляки (50 971 человек), немцы (38 321 человек) и уроженцы Селезии (11 248 человек).  Лишь 11 716 человек отнесли себя к национальности рома.  Вместе с тем, согласно квалифицированным оценкам, в ЧР проживают около 200 000 человек, которые обычно считаются и сами идентифицируют себя как рома.  </w:t>
      </w:r>
    </w:p>
    <w:p w:rsidR="00000000" w:rsidRDefault="00000000"/>
    <w:p w:rsidR="00000000" w:rsidRDefault="00000000">
      <w:r>
        <w:t>4.</w:t>
      </w:r>
      <w:r>
        <w:tab/>
        <w:t>По состоянию на 31 декабря 2002 года численность населения Чешской Республики по результатам окончательной обработки данных переписи 2001 года составляла 10 204 000 человек.  По состоянию на 31 марта 2005 года общая численность населения ЧР достигала почти 10 224 000 человек.</w:t>
      </w:r>
    </w:p>
    <w:p w:rsidR="00000000" w:rsidRDefault="00000000"/>
    <w:p w:rsidR="00000000" w:rsidRDefault="00000000">
      <w:r>
        <w:t>5.</w:t>
      </w:r>
      <w:r>
        <w:tab/>
        <w:t>К традиционным национальным меньшинствам, исконно проживающим в ЧР, относятся:  болгары, хорваты, венгры, немцы, поляки, рома, русины, русские, греки, словаки, сербы и украинцы.  Эти меньшинства также имеют своих представителей в Государственном совете по делам национальных меньшинств, который является постоянным консультативным и директивным органом по вопросам, касающимся национальных меньшинств и лиц, к ним относящихся</w:t>
      </w:r>
      <w:r>
        <w:rPr>
          <w:rStyle w:val="FootnoteReference"/>
        </w:rPr>
        <w:footnoteReference w:id="3"/>
      </w:r>
      <w:r>
        <w:t>.  Информация о статусе и положении этих национальных меньшинств приводится в ежегодных оценочных докладах, которые обсуждаются в правительстве и представляются в парламент Чешской Республики в целях информации</w:t>
      </w:r>
      <w:r>
        <w:rPr>
          <w:rStyle w:val="FootnoteReference"/>
        </w:rPr>
        <w:footnoteReference w:id="4"/>
      </w:r>
      <w:r>
        <w:t>.  Также большую информационную ценность имеют доклады, представляемые правительству Советом по делам общины рома</w:t>
      </w:r>
      <w:r>
        <w:rPr>
          <w:rStyle w:val="FootnoteReference"/>
        </w:rPr>
        <w:footnoteReference w:id="5"/>
      </w:r>
      <w:r>
        <w:t>.</w:t>
      </w:r>
    </w:p>
    <w:p w:rsidR="00000000" w:rsidRDefault="00000000"/>
    <w:p w:rsidR="00000000" w:rsidRDefault="00000000">
      <w:pPr>
        <w:rPr>
          <w:u w:val="single"/>
        </w:rPr>
      </w:pPr>
      <w:r>
        <w:rPr>
          <w:u w:val="single"/>
        </w:rPr>
        <w:br w:type="page"/>
        <w:t>Иностранцы</w:t>
      </w:r>
    </w:p>
    <w:p w:rsidR="00000000" w:rsidRDefault="00000000">
      <w:pPr>
        <w:rPr>
          <w:u w:val="single"/>
        </w:rPr>
      </w:pPr>
    </w:p>
    <w:p w:rsidR="00000000" w:rsidRDefault="00000000">
      <w:r>
        <w:t>6.</w:t>
      </w:r>
      <w:r>
        <w:tab/>
        <w:t>По состоянию на 31 мая 2005 года в ЧР проживали в общей сложности 252 316 иностранцев, из которых 41% составляли женщины (102 843 человека).  Из этого общего числа 102 391 человек имели постоянный вид на жительство</w:t>
      </w:r>
      <w:r>
        <w:rPr>
          <w:rStyle w:val="FootnoteReference"/>
        </w:rPr>
        <w:footnoteReference w:id="6"/>
      </w:r>
      <w:r>
        <w:t>, из которых (</w:t>
      </w:r>
      <w:proofErr w:type="spellStart"/>
      <w:r>
        <w:t>49%</w:t>
      </w:r>
      <w:proofErr w:type="spellEnd"/>
      <w:r>
        <w:t> составляли женщины), а 149 925 иностранцев имели то или иное разрешение на временное проживание на срок свыше 90 дней</w:t>
      </w:r>
      <w:r>
        <w:rPr>
          <w:rStyle w:val="FootnoteReference"/>
        </w:rPr>
        <w:footnoteReference w:id="7"/>
      </w:r>
      <w:r>
        <w:t xml:space="preserve">, из которых женщины составляли </w:t>
      </w:r>
      <w:proofErr w:type="spellStart"/>
      <w:r>
        <w:t>35%</w:t>
      </w:r>
      <w:proofErr w:type="spellEnd"/>
      <w:r>
        <w:t>.  По сравнению с 2004 годом количество иностранцев снизилось на 1 978 человек, что свидетельствует об изменении тенденции за предыдущие три года на обратную (с</w:t>
      </w:r>
      <w:r>
        <w:rPr>
          <w:lang w:val="en-US"/>
        </w:rPr>
        <w:t> </w:t>
      </w:r>
      <w:r>
        <w:t xml:space="preserve">2001 года численность иностранцев в </w:t>
      </w:r>
      <w:proofErr w:type="spellStart"/>
      <w:r>
        <w:t>ЧР</w:t>
      </w:r>
      <w:proofErr w:type="spellEnd"/>
      <w:r>
        <w:t xml:space="preserve"> постоянно возрастала:  в 2002 году приблизительно на 20 000 человек, в 2003 и 2004 годах - приблизительно на 10 000</w:t>
      </w:r>
      <w:r>
        <w:rPr>
          <w:lang w:val="en-US"/>
        </w:rPr>
        <w:t> </w:t>
      </w:r>
      <w:r>
        <w:t xml:space="preserve">человек).  В таблице 1 указаны страны, из которых наиболее часто приезжают иностранцы, проживающие в </w:t>
      </w:r>
      <w:proofErr w:type="spellStart"/>
      <w:r>
        <w:t>ЧР</w:t>
      </w:r>
      <w:proofErr w:type="spellEnd"/>
      <w:r>
        <w:t>.</w:t>
      </w:r>
    </w:p>
    <w:p w:rsidR="00000000" w:rsidRDefault="00000000"/>
    <w:p w:rsidR="00000000" w:rsidRDefault="00000000">
      <w:r>
        <w:t>7.</w:t>
      </w:r>
      <w:r>
        <w:tab/>
        <w:t xml:space="preserve">С 2003 года в </w:t>
      </w:r>
      <w:proofErr w:type="spellStart"/>
      <w:r>
        <w:t>ЧР</w:t>
      </w:r>
      <w:proofErr w:type="spellEnd"/>
      <w:r>
        <w:t xml:space="preserve"> также ведется учет доли женщин в отдельных категориях иностранцев.  Этот показатель является стабильным, составляя около </w:t>
      </w:r>
      <w:proofErr w:type="spellStart"/>
      <w:r>
        <w:t>40%</w:t>
      </w:r>
      <w:proofErr w:type="spellEnd"/>
      <w:r>
        <w:t xml:space="preserve">, и незначительно увеличивается каждый год (на </w:t>
      </w:r>
      <w:proofErr w:type="spellStart"/>
      <w:r>
        <w:t>1%</w:t>
      </w:r>
      <w:proofErr w:type="spellEnd"/>
      <w:r>
        <w:t>).</w:t>
      </w:r>
    </w:p>
    <w:p w:rsidR="00000000" w:rsidRDefault="00000000"/>
    <w:p w:rsidR="00000000" w:rsidRDefault="00000000">
      <w:r>
        <w:t>8.</w:t>
      </w:r>
      <w:r>
        <w:tab/>
        <w:t xml:space="preserve">С присоединением </w:t>
      </w:r>
      <w:proofErr w:type="spellStart"/>
      <w:r>
        <w:t>ЧР</w:t>
      </w:r>
      <w:proofErr w:type="spellEnd"/>
      <w:r>
        <w:t xml:space="preserve"> к Европейскому Союзу (далее по тексту "ЕС")</w:t>
      </w:r>
      <w:r>
        <w:rPr>
          <w:rStyle w:val="FootnoteReference"/>
        </w:rPr>
        <w:footnoteReference w:id="8"/>
      </w:r>
      <w:r>
        <w:t xml:space="preserve"> в вопросе о статусе иностранцев произошли кардинальные изменения</w:t>
      </w:r>
      <w:r>
        <w:rPr>
          <w:rStyle w:val="FootnoteReference"/>
        </w:rPr>
        <w:footnoteReference w:id="9"/>
      </w:r>
      <w:r>
        <w:t xml:space="preserve">.  Типы разрешения на проживание были классифицированы в зависимости от того, является ли иностранец гражданином или родственником гражданина государства - члена ЕС.  Гражданин ЕС может въезжать в </w:t>
      </w:r>
      <w:proofErr w:type="spellStart"/>
      <w:r>
        <w:t>ЧР</w:t>
      </w:r>
      <w:proofErr w:type="spellEnd"/>
      <w:r>
        <w:t xml:space="preserve"> и проживать на ее территории без специальных ограничений на основе действующего проездного документа, которым может также быть документ, удостоверяющий личность.  Если гражданин другого государства - члена ЕС проживает на территории </w:t>
      </w:r>
      <w:proofErr w:type="spellStart"/>
      <w:r>
        <w:t>ЧР</w:t>
      </w:r>
      <w:proofErr w:type="spellEnd"/>
      <w:r>
        <w:t xml:space="preserve"> свыше трех месяцев, например в связи с работой, обучением, деловой или иной деятельностью, то он/она имеет право (но не обязанность) подать просьбу о получении временного разрешения на жительство в соответствии с Законом о порядке проживания иностранцев (№ 326/1999 </w:t>
      </w:r>
      <w:proofErr w:type="spellStart"/>
      <w:r>
        <w:t>Coll</w:t>
      </w:r>
      <w:proofErr w:type="spellEnd"/>
      <w:r>
        <w:t xml:space="preserve">.).  Вместе с тем указанное разрешение не является условием для его/ее проживания в </w:t>
      </w:r>
      <w:proofErr w:type="spellStart"/>
      <w:r>
        <w:t>ЧР</w:t>
      </w:r>
      <w:proofErr w:type="spellEnd"/>
      <w:r>
        <w:t xml:space="preserve">, в том числе в случае, если он/она находится в стране с целью работы, бизнеса, обучения или занятия иной деятельностью.  Однако в ряде случаев гражданин ЕС обязан обратиться за получением специального разрешения на проживание, например, с тем чтобы родственник гражданина ЕС, не являющийся гражданином ЕС, также мог подать ходатайство о получении такого разрешения, и т.д.  Также были упрощены условия для граждан и родственников граждан ЕС, желающих обосноваться в </w:t>
      </w:r>
      <w:proofErr w:type="spellStart"/>
      <w:r>
        <w:t>ЧР</w:t>
      </w:r>
      <w:proofErr w:type="spellEnd"/>
      <w:r>
        <w:t xml:space="preserve"> на постоянной основе.  Гражданин ЕС обязан сообщить о своем месте проживания в </w:t>
      </w:r>
      <w:proofErr w:type="spellStart"/>
      <w:r>
        <w:t>ЧР</w:t>
      </w:r>
      <w:proofErr w:type="spellEnd"/>
      <w:r>
        <w:t xml:space="preserve"> не позднее 30 суток с момента въезда в страну в том случае, если период его планируемого пребывания в стране превышает 30 дней.  Эта обязанность по уведомлению полиции о месте жительства не распространяется на иностранцев, сообщающих о своем проживании районному инспектору.</w:t>
      </w:r>
    </w:p>
    <w:p w:rsidR="00000000" w:rsidRDefault="00000000"/>
    <w:p w:rsidR="00000000" w:rsidRDefault="00000000">
      <w:r>
        <w:t>9.</w:t>
      </w:r>
      <w:r>
        <w:tab/>
        <w:t>В 2002 и 2003 годах было зарегистрировано около 10 000 ходатайств на получение разрешения для постоянного проживания.  В 2004 году такое же количество ходатайств было получено от граждан ЕС и около 15 000 от граждан третьих стран (т.е. государств, не входящих в состав ЕС).  С 2002 года было подано около 42 000 ходатайств на получение долгосрочной визы на срок свыше 90 дней, что примерно в два раза больше, чем в 2000 году.</w:t>
      </w:r>
    </w:p>
    <w:p w:rsidR="00000000" w:rsidRDefault="00000000"/>
    <w:p w:rsidR="00000000" w:rsidRDefault="00000000">
      <w:pPr>
        <w:keepNext/>
        <w:jc w:val="center"/>
        <w:rPr>
          <w:b/>
          <w:lang w:val="en-US"/>
        </w:rPr>
      </w:pPr>
      <w:r>
        <w:rPr>
          <w:b/>
        </w:rPr>
        <w:t>Таблица 1</w:t>
      </w:r>
    </w:p>
    <w:p w:rsidR="00000000" w:rsidRDefault="00000000">
      <w:pPr>
        <w:keepNext/>
        <w:jc w:val="center"/>
        <w:rPr>
          <w:b/>
          <w:sz w:val="12"/>
          <w:lang w:val="en-US"/>
        </w:rPr>
      </w:pPr>
    </w:p>
    <w:p w:rsidR="00000000" w:rsidRDefault="00000000">
      <w:pPr>
        <w:keepNext/>
        <w:jc w:val="center"/>
        <w:rPr>
          <w:b/>
        </w:rPr>
      </w:pPr>
      <w:r>
        <w:rPr>
          <w:b/>
        </w:rPr>
        <w:t xml:space="preserve">Иностранцы в </w:t>
      </w:r>
      <w:proofErr w:type="spellStart"/>
      <w:r>
        <w:rPr>
          <w:b/>
        </w:rPr>
        <w:t>ЧР</w:t>
      </w:r>
      <w:proofErr w:type="spellEnd"/>
      <w:r>
        <w:rPr>
          <w:b/>
        </w:rPr>
        <w:t xml:space="preserve"> в разбивке по гражданству, 2002-2005 годы</w:t>
      </w:r>
    </w:p>
    <w:p w:rsidR="00000000" w:rsidRDefault="00000000">
      <w:pPr>
        <w:keepNext/>
        <w:jc w:val="center"/>
        <w:rPr>
          <w:b/>
          <w:sz w:val="12"/>
          <w:lang w:val="en-US"/>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30" w:type="dxa"/>
          <w:right w:w="30" w:type="dxa"/>
        </w:tblCellMar>
        <w:tblLook w:val="0000" w:firstRow="0" w:lastRow="0" w:firstColumn="0" w:lastColumn="0" w:noHBand="0" w:noVBand="0"/>
      </w:tblPr>
      <w:tblGrid>
        <w:gridCol w:w="1266"/>
        <w:gridCol w:w="2265"/>
        <w:gridCol w:w="1422"/>
        <w:gridCol w:w="1423"/>
        <w:gridCol w:w="1422"/>
        <w:gridCol w:w="1423"/>
      </w:tblGrid>
      <w:tr w:rsidR="00000000">
        <w:tblPrEx>
          <w:tblCellMar>
            <w:top w:w="0" w:type="dxa"/>
            <w:bottom w:w="0" w:type="dxa"/>
          </w:tblCellMar>
        </w:tblPrEx>
        <w:trPr>
          <w:trHeight w:val="360"/>
          <w:jc w:val="center"/>
        </w:trPr>
        <w:tc>
          <w:tcPr>
            <w:tcW w:w="3531" w:type="dxa"/>
            <w:gridSpan w:val="2"/>
          </w:tcPr>
          <w:p w:rsidR="00000000" w:rsidRDefault="00000000">
            <w:pPr>
              <w:spacing w:line="240" w:lineRule="auto"/>
              <w:jc w:val="center"/>
              <w:rPr>
                <w:snapToGrid w:val="0"/>
                <w:sz w:val="22"/>
              </w:rPr>
            </w:pPr>
            <w:r>
              <w:rPr>
                <w:snapToGrid w:val="0"/>
                <w:sz w:val="22"/>
              </w:rPr>
              <w:t>Гражданство/численность за конкретные годы</w:t>
            </w:r>
          </w:p>
        </w:tc>
        <w:tc>
          <w:tcPr>
            <w:tcW w:w="1422" w:type="dxa"/>
          </w:tcPr>
          <w:p w:rsidR="00000000" w:rsidRDefault="00000000">
            <w:pPr>
              <w:spacing w:line="240" w:lineRule="auto"/>
              <w:jc w:val="center"/>
              <w:rPr>
                <w:snapToGrid w:val="0"/>
                <w:sz w:val="22"/>
              </w:rPr>
            </w:pPr>
            <w:r>
              <w:rPr>
                <w:snapToGrid w:val="0"/>
                <w:sz w:val="22"/>
              </w:rPr>
              <w:t>31 декабря 2002 года</w:t>
            </w:r>
          </w:p>
        </w:tc>
        <w:tc>
          <w:tcPr>
            <w:tcW w:w="1423" w:type="dxa"/>
          </w:tcPr>
          <w:p w:rsidR="00000000" w:rsidRDefault="00000000">
            <w:pPr>
              <w:spacing w:line="240" w:lineRule="auto"/>
              <w:jc w:val="center"/>
              <w:rPr>
                <w:snapToGrid w:val="0"/>
                <w:sz w:val="22"/>
              </w:rPr>
            </w:pPr>
            <w:r>
              <w:rPr>
                <w:snapToGrid w:val="0"/>
                <w:sz w:val="22"/>
              </w:rPr>
              <w:t>31 декабря 2003 года</w:t>
            </w:r>
          </w:p>
        </w:tc>
        <w:tc>
          <w:tcPr>
            <w:tcW w:w="1422" w:type="dxa"/>
          </w:tcPr>
          <w:p w:rsidR="00000000" w:rsidRDefault="00000000">
            <w:pPr>
              <w:spacing w:line="240" w:lineRule="auto"/>
              <w:jc w:val="center"/>
              <w:rPr>
                <w:snapToGrid w:val="0"/>
                <w:sz w:val="22"/>
              </w:rPr>
            </w:pPr>
            <w:r>
              <w:rPr>
                <w:snapToGrid w:val="0"/>
                <w:sz w:val="22"/>
              </w:rPr>
              <w:t>31 декабря 2004 года</w:t>
            </w:r>
          </w:p>
        </w:tc>
        <w:tc>
          <w:tcPr>
            <w:tcW w:w="1423" w:type="dxa"/>
          </w:tcPr>
          <w:p w:rsidR="00000000" w:rsidRDefault="00000000">
            <w:pPr>
              <w:spacing w:line="240" w:lineRule="auto"/>
              <w:jc w:val="center"/>
              <w:rPr>
                <w:snapToGrid w:val="0"/>
                <w:sz w:val="22"/>
              </w:rPr>
            </w:pPr>
            <w:r>
              <w:rPr>
                <w:snapToGrid w:val="0"/>
                <w:sz w:val="22"/>
              </w:rPr>
              <w:t>31 марта 2005 года</w:t>
            </w:r>
          </w:p>
        </w:tc>
      </w:tr>
      <w:tr w:rsidR="00000000">
        <w:tblPrEx>
          <w:tblCellMar>
            <w:top w:w="0" w:type="dxa"/>
            <w:bottom w:w="0" w:type="dxa"/>
          </w:tblCellMar>
        </w:tblPrEx>
        <w:trPr>
          <w:cantSplit/>
          <w:trHeight w:val="294"/>
          <w:jc w:val="center"/>
        </w:trPr>
        <w:tc>
          <w:tcPr>
            <w:tcW w:w="1266" w:type="dxa"/>
            <w:vMerge w:val="restart"/>
            <w:vAlign w:val="center"/>
          </w:tcPr>
          <w:p w:rsidR="00000000" w:rsidRDefault="00000000">
            <w:pPr>
              <w:spacing w:line="240" w:lineRule="auto"/>
              <w:jc w:val="center"/>
              <w:rPr>
                <w:snapToGrid w:val="0"/>
                <w:sz w:val="22"/>
              </w:rPr>
            </w:pPr>
            <w:r>
              <w:rPr>
                <w:b/>
                <w:snapToGrid w:val="0"/>
                <w:sz w:val="22"/>
              </w:rPr>
              <w:t>Словакия</w:t>
            </w:r>
          </w:p>
        </w:tc>
        <w:tc>
          <w:tcPr>
            <w:tcW w:w="2265" w:type="dxa"/>
          </w:tcPr>
          <w:p w:rsidR="00000000" w:rsidRDefault="00000000">
            <w:pPr>
              <w:spacing w:line="240" w:lineRule="auto"/>
              <w:jc w:val="center"/>
              <w:rPr>
                <w:snapToGrid w:val="0"/>
                <w:sz w:val="22"/>
              </w:rPr>
            </w:pPr>
            <w:r>
              <w:rPr>
                <w:snapToGrid w:val="0"/>
                <w:sz w:val="22"/>
              </w:rPr>
              <w:t>Всего</w:t>
            </w:r>
          </w:p>
        </w:tc>
        <w:tc>
          <w:tcPr>
            <w:tcW w:w="1422" w:type="dxa"/>
          </w:tcPr>
          <w:p w:rsidR="00000000" w:rsidRDefault="00000000">
            <w:pPr>
              <w:spacing w:line="240" w:lineRule="auto"/>
              <w:ind w:right="398"/>
              <w:jc w:val="right"/>
              <w:rPr>
                <w:snapToGrid w:val="0"/>
                <w:sz w:val="22"/>
                <w:lang w:val="en-GB"/>
              </w:rPr>
            </w:pPr>
            <w:r>
              <w:rPr>
                <w:snapToGrid w:val="0"/>
                <w:sz w:val="22"/>
                <w:lang w:val="en-GB"/>
              </w:rPr>
              <w:t>61 102</w:t>
            </w:r>
          </w:p>
        </w:tc>
        <w:tc>
          <w:tcPr>
            <w:tcW w:w="1423" w:type="dxa"/>
          </w:tcPr>
          <w:p w:rsidR="00000000" w:rsidRDefault="00000000">
            <w:pPr>
              <w:spacing w:line="240" w:lineRule="auto"/>
              <w:ind w:right="398"/>
              <w:jc w:val="right"/>
              <w:rPr>
                <w:snapToGrid w:val="0"/>
                <w:sz w:val="22"/>
                <w:lang w:val="en-GB"/>
              </w:rPr>
            </w:pPr>
            <w:r>
              <w:rPr>
                <w:snapToGrid w:val="0"/>
                <w:sz w:val="22"/>
                <w:lang w:val="en-GB"/>
              </w:rPr>
              <w:t>64 879</w:t>
            </w:r>
          </w:p>
        </w:tc>
        <w:tc>
          <w:tcPr>
            <w:tcW w:w="1422" w:type="dxa"/>
          </w:tcPr>
          <w:p w:rsidR="00000000" w:rsidRDefault="00000000">
            <w:pPr>
              <w:spacing w:line="240" w:lineRule="auto"/>
              <w:ind w:right="398"/>
              <w:jc w:val="right"/>
              <w:rPr>
                <w:snapToGrid w:val="0"/>
                <w:sz w:val="22"/>
                <w:lang w:val="en-GB"/>
              </w:rPr>
            </w:pPr>
            <w:r>
              <w:rPr>
                <w:snapToGrid w:val="0"/>
                <w:sz w:val="22"/>
                <w:lang w:val="en-GB"/>
              </w:rPr>
              <w:t>47 354</w:t>
            </w:r>
          </w:p>
        </w:tc>
        <w:tc>
          <w:tcPr>
            <w:tcW w:w="1423" w:type="dxa"/>
          </w:tcPr>
          <w:p w:rsidR="00000000" w:rsidRDefault="00000000">
            <w:pPr>
              <w:spacing w:line="240" w:lineRule="auto"/>
              <w:ind w:right="398"/>
              <w:jc w:val="right"/>
              <w:rPr>
                <w:snapToGrid w:val="0"/>
                <w:sz w:val="22"/>
                <w:lang w:val="en-GB"/>
              </w:rPr>
            </w:pPr>
            <w:r>
              <w:rPr>
                <w:snapToGrid w:val="0"/>
                <w:sz w:val="22"/>
                <w:lang w:val="en-GB"/>
              </w:rPr>
              <w:t>42 102</w:t>
            </w:r>
          </w:p>
        </w:tc>
      </w:tr>
      <w:tr w:rsidR="00000000">
        <w:tblPrEx>
          <w:tblCellMar>
            <w:top w:w="0" w:type="dxa"/>
            <w:bottom w:w="0" w:type="dxa"/>
          </w:tblCellMar>
        </w:tblPrEx>
        <w:trPr>
          <w:cantSplit/>
          <w:trHeight w:val="398"/>
          <w:jc w:val="center"/>
        </w:trPr>
        <w:tc>
          <w:tcPr>
            <w:tcW w:w="1266" w:type="dxa"/>
            <w:vMerge/>
            <w:vAlign w:val="center"/>
          </w:tcPr>
          <w:p w:rsidR="00000000" w:rsidRDefault="00000000">
            <w:pPr>
              <w:spacing w:line="240" w:lineRule="auto"/>
              <w:jc w:val="center"/>
              <w:rPr>
                <w:snapToGrid w:val="0"/>
                <w:sz w:val="22"/>
                <w:lang w:val="en-GB"/>
              </w:rPr>
            </w:pPr>
          </w:p>
        </w:tc>
        <w:tc>
          <w:tcPr>
            <w:tcW w:w="2265" w:type="dxa"/>
          </w:tcPr>
          <w:p w:rsidR="00000000" w:rsidRDefault="00000000">
            <w:pPr>
              <w:spacing w:line="240" w:lineRule="auto"/>
              <w:jc w:val="center"/>
              <w:rPr>
                <w:snapToGrid w:val="0"/>
                <w:sz w:val="22"/>
              </w:rPr>
            </w:pPr>
            <w:r>
              <w:rPr>
                <w:snapToGrid w:val="0"/>
                <w:sz w:val="22"/>
              </w:rPr>
              <w:t>В том числе</w:t>
            </w:r>
            <w:r>
              <w:rPr>
                <w:snapToGrid w:val="0"/>
                <w:sz w:val="22"/>
              </w:rPr>
              <w:br/>
              <w:t>проживают постоянно</w:t>
            </w:r>
          </w:p>
        </w:tc>
        <w:tc>
          <w:tcPr>
            <w:tcW w:w="1422" w:type="dxa"/>
          </w:tcPr>
          <w:p w:rsidR="00000000" w:rsidRDefault="00000000">
            <w:pPr>
              <w:spacing w:line="240" w:lineRule="auto"/>
              <w:ind w:right="398"/>
              <w:jc w:val="right"/>
              <w:rPr>
                <w:snapToGrid w:val="0"/>
                <w:sz w:val="22"/>
                <w:lang w:val="en-GB"/>
              </w:rPr>
            </w:pPr>
            <w:r>
              <w:rPr>
                <w:snapToGrid w:val="0"/>
                <w:sz w:val="22"/>
                <w:lang w:val="en-GB"/>
              </w:rPr>
              <w:t>18%</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18%</w:t>
            </w:r>
          </w:p>
        </w:tc>
        <w:tc>
          <w:tcPr>
            <w:tcW w:w="1422" w:type="dxa"/>
          </w:tcPr>
          <w:p w:rsidR="00000000" w:rsidRDefault="00000000">
            <w:pPr>
              <w:spacing w:line="240" w:lineRule="auto"/>
              <w:ind w:right="398"/>
              <w:jc w:val="right"/>
              <w:rPr>
                <w:snapToGrid w:val="0"/>
                <w:sz w:val="22"/>
                <w:lang w:val="en-GB"/>
              </w:rPr>
            </w:pPr>
            <w:r>
              <w:rPr>
                <w:snapToGrid w:val="0"/>
                <w:sz w:val="22"/>
                <w:lang w:val="en-GB"/>
              </w:rPr>
              <w:t>36%</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43%</w:t>
            </w:r>
          </w:p>
        </w:tc>
      </w:tr>
      <w:tr w:rsidR="00000000">
        <w:tblPrEx>
          <w:tblCellMar>
            <w:top w:w="0" w:type="dxa"/>
            <w:bottom w:w="0" w:type="dxa"/>
          </w:tblCellMar>
        </w:tblPrEx>
        <w:trPr>
          <w:cantSplit/>
          <w:trHeight w:val="206"/>
          <w:jc w:val="center"/>
        </w:trPr>
        <w:tc>
          <w:tcPr>
            <w:tcW w:w="1266" w:type="dxa"/>
            <w:vMerge w:val="restart"/>
            <w:vAlign w:val="center"/>
          </w:tcPr>
          <w:p w:rsidR="00000000" w:rsidRDefault="00000000">
            <w:pPr>
              <w:spacing w:line="240" w:lineRule="auto"/>
              <w:jc w:val="center"/>
              <w:rPr>
                <w:snapToGrid w:val="0"/>
                <w:sz w:val="22"/>
              </w:rPr>
            </w:pPr>
            <w:r>
              <w:rPr>
                <w:b/>
                <w:snapToGrid w:val="0"/>
                <w:sz w:val="22"/>
              </w:rPr>
              <w:t>Украина</w:t>
            </w:r>
          </w:p>
        </w:tc>
        <w:tc>
          <w:tcPr>
            <w:tcW w:w="2265" w:type="dxa"/>
          </w:tcPr>
          <w:p w:rsidR="00000000" w:rsidRDefault="00000000">
            <w:pPr>
              <w:spacing w:line="240" w:lineRule="auto"/>
              <w:jc w:val="center"/>
              <w:rPr>
                <w:snapToGrid w:val="0"/>
                <w:sz w:val="22"/>
              </w:rPr>
            </w:pPr>
            <w:r>
              <w:rPr>
                <w:snapToGrid w:val="0"/>
                <w:sz w:val="22"/>
              </w:rPr>
              <w:t>Всего</w:t>
            </w:r>
          </w:p>
        </w:tc>
        <w:tc>
          <w:tcPr>
            <w:tcW w:w="1422" w:type="dxa"/>
          </w:tcPr>
          <w:p w:rsidR="00000000" w:rsidRDefault="00000000">
            <w:pPr>
              <w:spacing w:line="240" w:lineRule="auto"/>
              <w:ind w:right="398"/>
              <w:jc w:val="right"/>
              <w:rPr>
                <w:snapToGrid w:val="0"/>
                <w:sz w:val="22"/>
                <w:lang w:val="en-GB"/>
              </w:rPr>
            </w:pPr>
            <w:r>
              <w:rPr>
                <w:snapToGrid w:val="0"/>
                <w:sz w:val="22"/>
                <w:lang w:val="en-GB"/>
              </w:rPr>
              <w:t>59 145</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62 282</w:t>
            </w:r>
          </w:p>
        </w:tc>
        <w:tc>
          <w:tcPr>
            <w:tcW w:w="1422" w:type="dxa"/>
          </w:tcPr>
          <w:p w:rsidR="00000000" w:rsidRDefault="00000000">
            <w:pPr>
              <w:spacing w:line="240" w:lineRule="auto"/>
              <w:ind w:right="398"/>
              <w:jc w:val="right"/>
              <w:rPr>
                <w:snapToGrid w:val="0"/>
                <w:sz w:val="22"/>
                <w:lang w:val="en-GB"/>
              </w:rPr>
            </w:pPr>
            <w:r>
              <w:rPr>
                <w:snapToGrid w:val="0"/>
                <w:sz w:val="22"/>
                <w:lang w:val="en-GB"/>
              </w:rPr>
              <w:t>78 263</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79 179</w:t>
            </w:r>
          </w:p>
        </w:tc>
      </w:tr>
      <w:tr w:rsidR="00000000">
        <w:tblPrEx>
          <w:tblCellMar>
            <w:top w:w="0" w:type="dxa"/>
            <w:bottom w:w="0" w:type="dxa"/>
          </w:tblCellMar>
        </w:tblPrEx>
        <w:trPr>
          <w:cantSplit/>
          <w:trHeight w:val="270"/>
          <w:jc w:val="center"/>
        </w:trPr>
        <w:tc>
          <w:tcPr>
            <w:tcW w:w="1266" w:type="dxa"/>
            <w:vMerge/>
            <w:vAlign w:val="center"/>
          </w:tcPr>
          <w:p w:rsidR="00000000" w:rsidRDefault="00000000">
            <w:pPr>
              <w:spacing w:line="240" w:lineRule="auto"/>
              <w:jc w:val="center"/>
              <w:rPr>
                <w:snapToGrid w:val="0"/>
                <w:sz w:val="22"/>
                <w:lang w:val="en-GB"/>
              </w:rPr>
            </w:pPr>
          </w:p>
        </w:tc>
        <w:tc>
          <w:tcPr>
            <w:tcW w:w="2265" w:type="dxa"/>
          </w:tcPr>
          <w:p w:rsidR="00000000" w:rsidRDefault="00000000">
            <w:pPr>
              <w:spacing w:line="240" w:lineRule="auto"/>
              <w:jc w:val="center"/>
              <w:rPr>
                <w:snapToGrid w:val="0"/>
                <w:sz w:val="22"/>
              </w:rPr>
            </w:pPr>
            <w:r>
              <w:rPr>
                <w:snapToGrid w:val="0"/>
                <w:sz w:val="22"/>
              </w:rPr>
              <w:t>В том числе</w:t>
            </w:r>
            <w:r>
              <w:rPr>
                <w:snapToGrid w:val="0"/>
                <w:sz w:val="22"/>
              </w:rPr>
              <w:br/>
              <w:t xml:space="preserve"> проживают постоянно</w:t>
            </w:r>
          </w:p>
        </w:tc>
        <w:tc>
          <w:tcPr>
            <w:tcW w:w="1422" w:type="dxa"/>
          </w:tcPr>
          <w:p w:rsidR="00000000" w:rsidRDefault="00000000">
            <w:pPr>
              <w:spacing w:line="240" w:lineRule="auto"/>
              <w:ind w:right="398"/>
              <w:jc w:val="right"/>
              <w:rPr>
                <w:snapToGrid w:val="0"/>
                <w:sz w:val="22"/>
              </w:rPr>
            </w:pPr>
            <w:proofErr w:type="spellStart"/>
            <w:r>
              <w:rPr>
                <w:snapToGrid w:val="0"/>
                <w:sz w:val="22"/>
              </w:rPr>
              <w:t>18%</w:t>
            </w:r>
            <w:proofErr w:type="spellEnd"/>
          </w:p>
        </w:tc>
        <w:tc>
          <w:tcPr>
            <w:tcW w:w="1423" w:type="dxa"/>
            <w:shd w:val="solid" w:color="FFFFFF" w:fill="auto"/>
          </w:tcPr>
          <w:p w:rsidR="00000000" w:rsidRDefault="00000000">
            <w:pPr>
              <w:spacing w:line="240" w:lineRule="auto"/>
              <w:ind w:right="398"/>
              <w:jc w:val="right"/>
              <w:rPr>
                <w:snapToGrid w:val="0"/>
                <w:sz w:val="22"/>
              </w:rPr>
            </w:pPr>
            <w:proofErr w:type="spellStart"/>
            <w:r>
              <w:rPr>
                <w:snapToGrid w:val="0"/>
                <w:sz w:val="22"/>
              </w:rPr>
              <w:t>18%</w:t>
            </w:r>
            <w:proofErr w:type="spellEnd"/>
          </w:p>
        </w:tc>
        <w:tc>
          <w:tcPr>
            <w:tcW w:w="1422" w:type="dxa"/>
          </w:tcPr>
          <w:p w:rsidR="00000000" w:rsidRDefault="00000000">
            <w:pPr>
              <w:spacing w:line="240" w:lineRule="auto"/>
              <w:ind w:right="398"/>
              <w:jc w:val="right"/>
              <w:rPr>
                <w:snapToGrid w:val="0"/>
                <w:sz w:val="22"/>
              </w:rPr>
            </w:pPr>
            <w:proofErr w:type="spellStart"/>
            <w:r>
              <w:rPr>
                <w:snapToGrid w:val="0"/>
                <w:sz w:val="22"/>
              </w:rPr>
              <w:t>17%</w:t>
            </w:r>
            <w:proofErr w:type="spellEnd"/>
          </w:p>
        </w:tc>
        <w:tc>
          <w:tcPr>
            <w:tcW w:w="1423" w:type="dxa"/>
            <w:shd w:val="solid" w:color="FFFFFF" w:fill="auto"/>
          </w:tcPr>
          <w:p w:rsidR="00000000" w:rsidRDefault="00000000">
            <w:pPr>
              <w:spacing w:line="240" w:lineRule="auto"/>
              <w:ind w:right="398"/>
              <w:jc w:val="right"/>
              <w:rPr>
                <w:snapToGrid w:val="0"/>
                <w:sz w:val="22"/>
              </w:rPr>
            </w:pPr>
            <w:proofErr w:type="spellStart"/>
            <w:r>
              <w:rPr>
                <w:snapToGrid w:val="0"/>
                <w:sz w:val="22"/>
              </w:rPr>
              <w:t>17%</w:t>
            </w:r>
            <w:proofErr w:type="spellEnd"/>
          </w:p>
        </w:tc>
      </w:tr>
      <w:tr w:rsidR="00000000">
        <w:tblPrEx>
          <w:tblCellMar>
            <w:top w:w="0" w:type="dxa"/>
            <w:bottom w:w="0" w:type="dxa"/>
          </w:tblCellMar>
        </w:tblPrEx>
        <w:trPr>
          <w:cantSplit/>
          <w:trHeight w:val="188"/>
          <w:jc w:val="center"/>
        </w:trPr>
        <w:tc>
          <w:tcPr>
            <w:tcW w:w="1266" w:type="dxa"/>
            <w:vMerge w:val="restart"/>
            <w:vAlign w:val="center"/>
          </w:tcPr>
          <w:p w:rsidR="00000000" w:rsidRDefault="00000000">
            <w:pPr>
              <w:spacing w:line="240" w:lineRule="auto"/>
              <w:jc w:val="center"/>
              <w:rPr>
                <w:snapToGrid w:val="0"/>
                <w:sz w:val="22"/>
              </w:rPr>
            </w:pPr>
            <w:r>
              <w:rPr>
                <w:b/>
                <w:snapToGrid w:val="0"/>
                <w:sz w:val="22"/>
              </w:rPr>
              <w:t>Вьетнам</w:t>
            </w:r>
          </w:p>
        </w:tc>
        <w:tc>
          <w:tcPr>
            <w:tcW w:w="2265" w:type="dxa"/>
          </w:tcPr>
          <w:p w:rsidR="00000000" w:rsidRDefault="00000000">
            <w:pPr>
              <w:spacing w:line="240" w:lineRule="auto"/>
              <w:jc w:val="center"/>
              <w:rPr>
                <w:snapToGrid w:val="0"/>
                <w:sz w:val="22"/>
              </w:rPr>
            </w:pPr>
            <w:r>
              <w:rPr>
                <w:snapToGrid w:val="0"/>
                <w:sz w:val="22"/>
              </w:rPr>
              <w:t>Всего</w:t>
            </w:r>
          </w:p>
        </w:tc>
        <w:tc>
          <w:tcPr>
            <w:tcW w:w="1422" w:type="dxa"/>
          </w:tcPr>
          <w:p w:rsidR="00000000" w:rsidRDefault="00000000">
            <w:pPr>
              <w:spacing w:line="240" w:lineRule="auto"/>
              <w:ind w:right="398"/>
              <w:jc w:val="right"/>
              <w:rPr>
                <w:snapToGrid w:val="0"/>
                <w:sz w:val="22"/>
                <w:lang w:val="en-GB"/>
              </w:rPr>
            </w:pPr>
            <w:r>
              <w:rPr>
                <w:snapToGrid w:val="0"/>
                <w:sz w:val="22"/>
                <w:lang w:val="en-GB"/>
              </w:rPr>
              <w:t>27 143</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29 046</w:t>
            </w:r>
          </w:p>
        </w:tc>
        <w:tc>
          <w:tcPr>
            <w:tcW w:w="1422" w:type="dxa"/>
          </w:tcPr>
          <w:p w:rsidR="00000000" w:rsidRDefault="00000000">
            <w:pPr>
              <w:spacing w:line="240" w:lineRule="auto"/>
              <w:ind w:right="398"/>
              <w:jc w:val="right"/>
              <w:rPr>
                <w:snapToGrid w:val="0"/>
                <w:sz w:val="22"/>
                <w:lang w:val="en-GB"/>
              </w:rPr>
            </w:pPr>
            <w:r>
              <w:rPr>
                <w:snapToGrid w:val="0"/>
                <w:sz w:val="22"/>
                <w:lang w:val="en-GB"/>
              </w:rPr>
              <w:t>34 179</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34 875</w:t>
            </w:r>
          </w:p>
        </w:tc>
      </w:tr>
      <w:tr w:rsidR="00000000">
        <w:tblPrEx>
          <w:tblCellMar>
            <w:top w:w="0" w:type="dxa"/>
            <w:bottom w:w="0" w:type="dxa"/>
          </w:tblCellMar>
        </w:tblPrEx>
        <w:trPr>
          <w:cantSplit/>
          <w:trHeight w:val="337"/>
          <w:jc w:val="center"/>
        </w:trPr>
        <w:tc>
          <w:tcPr>
            <w:tcW w:w="1266" w:type="dxa"/>
            <w:vMerge/>
            <w:vAlign w:val="center"/>
          </w:tcPr>
          <w:p w:rsidR="00000000" w:rsidRDefault="00000000">
            <w:pPr>
              <w:spacing w:line="240" w:lineRule="auto"/>
              <w:jc w:val="center"/>
              <w:rPr>
                <w:snapToGrid w:val="0"/>
                <w:sz w:val="22"/>
                <w:lang w:val="en-GB"/>
              </w:rPr>
            </w:pPr>
          </w:p>
        </w:tc>
        <w:tc>
          <w:tcPr>
            <w:tcW w:w="2265" w:type="dxa"/>
          </w:tcPr>
          <w:p w:rsidR="00000000" w:rsidRDefault="00000000">
            <w:pPr>
              <w:spacing w:line="240" w:lineRule="auto"/>
              <w:jc w:val="center"/>
              <w:rPr>
                <w:snapToGrid w:val="0"/>
                <w:sz w:val="22"/>
              </w:rPr>
            </w:pPr>
            <w:r>
              <w:rPr>
                <w:snapToGrid w:val="0"/>
                <w:sz w:val="22"/>
              </w:rPr>
              <w:t>В том числе</w:t>
            </w:r>
            <w:r>
              <w:rPr>
                <w:snapToGrid w:val="0"/>
                <w:sz w:val="22"/>
              </w:rPr>
              <w:br/>
              <w:t xml:space="preserve"> проживают постоянно</w:t>
            </w:r>
          </w:p>
        </w:tc>
        <w:tc>
          <w:tcPr>
            <w:tcW w:w="1422" w:type="dxa"/>
          </w:tcPr>
          <w:p w:rsidR="00000000" w:rsidRDefault="00000000">
            <w:pPr>
              <w:spacing w:line="240" w:lineRule="auto"/>
              <w:ind w:right="398"/>
              <w:jc w:val="right"/>
              <w:rPr>
                <w:snapToGrid w:val="0"/>
                <w:sz w:val="22"/>
                <w:lang w:val="en-GB"/>
              </w:rPr>
            </w:pPr>
            <w:r>
              <w:rPr>
                <w:snapToGrid w:val="0"/>
                <w:sz w:val="22"/>
                <w:lang w:val="en-GB"/>
              </w:rPr>
              <w:t>49%</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58%</w:t>
            </w:r>
          </w:p>
        </w:tc>
        <w:tc>
          <w:tcPr>
            <w:tcW w:w="1422" w:type="dxa"/>
          </w:tcPr>
          <w:p w:rsidR="00000000" w:rsidRDefault="00000000">
            <w:pPr>
              <w:spacing w:line="240" w:lineRule="auto"/>
              <w:ind w:right="398"/>
              <w:jc w:val="right"/>
              <w:rPr>
                <w:snapToGrid w:val="0"/>
                <w:sz w:val="22"/>
                <w:lang w:val="en-GB"/>
              </w:rPr>
            </w:pPr>
            <w:r>
              <w:rPr>
                <w:snapToGrid w:val="0"/>
                <w:sz w:val="22"/>
                <w:lang w:val="en-GB"/>
              </w:rPr>
              <w:t>61%</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61%</w:t>
            </w:r>
          </w:p>
        </w:tc>
      </w:tr>
      <w:tr w:rsidR="00000000">
        <w:tblPrEx>
          <w:tblCellMar>
            <w:top w:w="0" w:type="dxa"/>
            <w:bottom w:w="0" w:type="dxa"/>
          </w:tblCellMar>
        </w:tblPrEx>
        <w:trPr>
          <w:cantSplit/>
          <w:trHeight w:val="200"/>
          <w:jc w:val="center"/>
        </w:trPr>
        <w:tc>
          <w:tcPr>
            <w:tcW w:w="1266" w:type="dxa"/>
            <w:vMerge w:val="restart"/>
            <w:vAlign w:val="center"/>
          </w:tcPr>
          <w:p w:rsidR="00000000" w:rsidRDefault="00000000">
            <w:pPr>
              <w:spacing w:line="240" w:lineRule="auto"/>
              <w:jc w:val="center"/>
              <w:rPr>
                <w:snapToGrid w:val="0"/>
                <w:sz w:val="22"/>
              </w:rPr>
            </w:pPr>
            <w:r>
              <w:rPr>
                <w:b/>
                <w:snapToGrid w:val="0"/>
                <w:sz w:val="22"/>
              </w:rPr>
              <w:t>Польша</w:t>
            </w:r>
          </w:p>
        </w:tc>
        <w:tc>
          <w:tcPr>
            <w:tcW w:w="2265" w:type="dxa"/>
          </w:tcPr>
          <w:p w:rsidR="00000000" w:rsidRDefault="00000000">
            <w:pPr>
              <w:spacing w:line="240" w:lineRule="auto"/>
              <w:jc w:val="center"/>
              <w:rPr>
                <w:snapToGrid w:val="0"/>
                <w:sz w:val="22"/>
              </w:rPr>
            </w:pPr>
            <w:r>
              <w:rPr>
                <w:snapToGrid w:val="0"/>
                <w:sz w:val="22"/>
              </w:rPr>
              <w:t>Всего</w:t>
            </w:r>
          </w:p>
        </w:tc>
        <w:tc>
          <w:tcPr>
            <w:tcW w:w="1422" w:type="dxa"/>
          </w:tcPr>
          <w:p w:rsidR="00000000" w:rsidRDefault="00000000">
            <w:pPr>
              <w:spacing w:line="240" w:lineRule="auto"/>
              <w:ind w:right="398"/>
              <w:jc w:val="right"/>
              <w:rPr>
                <w:snapToGrid w:val="0"/>
                <w:sz w:val="22"/>
                <w:lang w:val="en-GB"/>
              </w:rPr>
            </w:pPr>
            <w:r>
              <w:rPr>
                <w:snapToGrid w:val="0"/>
                <w:sz w:val="22"/>
                <w:lang w:val="en-GB"/>
              </w:rPr>
              <w:t>15 996</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15 766</w:t>
            </w:r>
          </w:p>
        </w:tc>
        <w:tc>
          <w:tcPr>
            <w:tcW w:w="1422" w:type="dxa"/>
          </w:tcPr>
          <w:p w:rsidR="00000000" w:rsidRDefault="00000000">
            <w:pPr>
              <w:spacing w:line="240" w:lineRule="auto"/>
              <w:ind w:right="398"/>
              <w:jc w:val="right"/>
              <w:rPr>
                <w:snapToGrid w:val="0"/>
                <w:sz w:val="22"/>
                <w:lang w:val="en-GB"/>
              </w:rPr>
            </w:pPr>
            <w:r>
              <w:rPr>
                <w:snapToGrid w:val="0"/>
                <w:sz w:val="22"/>
                <w:lang w:val="en-GB"/>
              </w:rPr>
              <w:t>16 265</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16663</w:t>
            </w:r>
          </w:p>
        </w:tc>
      </w:tr>
      <w:tr w:rsidR="00000000">
        <w:tblPrEx>
          <w:tblCellMar>
            <w:top w:w="0" w:type="dxa"/>
            <w:bottom w:w="0" w:type="dxa"/>
          </w:tblCellMar>
        </w:tblPrEx>
        <w:trPr>
          <w:cantSplit/>
          <w:trHeight w:val="389"/>
          <w:jc w:val="center"/>
        </w:trPr>
        <w:tc>
          <w:tcPr>
            <w:tcW w:w="1266" w:type="dxa"/>
            <w:vMerge/>
            <w:vAlign w:val="center"/>
          </w:tcPr>
          <w:p w:rsidR="00000000" w:rsidRDefault="00000000">
            <w:pPr>
              <w:spacing w:line="240" w:lineRule="auto"/>
              <w:jc w:val="center"/>
              <w:rPr>
                <w:snapToGrid w:val="0"/>
                <w:sz w:val="22"/>
                <w:lang w:val="en-GB"/>
              </w:rPr>
            </w:pPr>
          </w:p>
        </w:tc>
        <w:tc>
          <w:tcPr>
            <w:tcW w:w="2265" w:type="dxa"/>
          </w:tcPr>
          <w:p w:rsidR="00000000" w:rsidRDefault="00000000">
            <w:pPr>
              <w:spacing w:line="240" w:lineRule="auto"/>
              <w:jc w:val="center"/>
              <w:rPr>
                <w:snapToGrid w:val="0"/>
                <w:sz w:val="22"/>
              </w:rPr>
            </w:pPr>
            <w:r>
              <w:rPr>
                <w:snapToGrid w:val="0"/>
                <w:sz w:val="22"/>
              </w:rPr>
              <w:t>В том числе</w:t>
            </w:r>
            <w:r>
              <w:rPr>
                <w:snapToGrid w:val="0"/>
                <w:sz w:val="22"/>
              </w:rPr>
              <w:br/>
              <w:t xml:space="preserve"> проживают постоянно</w:t>
            </w:r>
          </w:p>
        </w:tc>
        <w:tc>
          <w:tcPr>
            <w:tcW w:w="1422" w:type="dxa"/>
          </w:tcPr>
          <w:p w:rsidR="00000000" w:rsidRDefault="00000000">
            <w:pPr>
              <w:spacing w:line="240" w:lineRule="auto"/>
              <w:ind w:right="398"/>
              <w:jc w:val="right"/>
              <w:rPr>
                <w:snapToGrid w:val="0"/>
                <w:sz w:val="22"/>
                <w:lang w:val="en-GB"/>
              </w:rPr>
            </w:pPr>
            <w:r>
              <w:rPr>
                <w:snapToGrid w:val="0"/>
                <w:sz w:val="22"/>
                <w:lang w:val="en-GB"/>
              </w:rPr>
              <w:t>71%</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71%</w:t>
            </w:r>
          </w:p>
        </w:tc>
        <w:tc>
          <w:tcPr>
            <w:tcW w:w="1422" w:type="dxa"/>
          </w:tcPr>
          <w:p w:rsidR="00000000" w:rsidRDefault="00000000">
            <w:pPr>
              <w:spacing w:line="240" w:lineRule="auto"/>
              <w:ind w:right="398"/>
              <w:jc w:val="right"/>
              <w:rPr>
                <w:snapToGrid w:val="0"/>
                <w:sz w:val="22"/>
                <w:lang w:val="en-GB"/>
              </w:rPr>
            </w:pPr>
            <w:r>
              <w:rPr>
                <w:snapToGrid w:val="0"/>
                <w:sz w:val="22"/>
                <w:lang w:val="en-GB"/>
              </w:rPr>
              <w:t>71%</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69 %</w:t>
            </w:r>
          </w:p>
        </w:tc>
      </w:tr>
      <w:tr w:rsidR="00000000">
        <w:tblPrEx>
          <w:tblCellMar>
            <w:top w:w="0" w:type="dxa"/>
            <w:bottom w:w="0" w:type="dxa"/>
          </w:tblCellMar>
        </w:tblPrEx>
        <w:trPr>
          <w:cantSplit/>
          <w:trHeight w:val="282"/>
          <w:jc w:val="center"/>
        </w:trPr>
        <w:tc>
          <w:tcPr>
            <w:tcW w:w="1266" w:type="dxa"/>
            <w:vMerge w:val="restart"/>
            <w:vAlign w:val="center"/>
          </w:tcPr>
          <w:p w:rsidR="00000000" w:rsidRDefault="00000000">
            <w:pPr>
              <w:spacing w:line="240" w:lineRule="auto"/>
              <w:jc w:val="center"/>
              <w:rPr>
                <w:snapToGrid w:val="0"/>
                <w:sz w:val="22"/>
              </w:rPr>
            </w:pPr>
            <w:r>
              <w:rPr>
                <w:b/>
                <w:snapToGrid w:val="0"/>
                <w:sz w:val="22"/>
              </w:rPr>
              <w:t>Россия</w:t>
            </w:r>
          </w:p>
        </w:tc>
        <w:tc>
          <w:tcPr>
            <w:tcW w:w="2265" w:type="dxa"/>
          </w:tcPr>
          <w:p w:rsidR="00000000" w:rsidRDefault="00000000">
            <w:pPr>
              <w:spacing w:line="240" w:lineRule="auto"/>
              <w:jc w:val="center"/>
              <w:rPr>
                <w:snapToGrid w:val="0"/>
                <w:sz w:val="22"/>
              </w:rPr>
            </w:pPr>
            <w:r>
              <w:rPr>
                <w:snapToGrid w:val="0"/>
                <w:sz w:val="22"/>
              </w:rPr>
              <w:t>Всего</w:t>
            </w:r>
          </w:p>
        </w:tc>
        <w:tc>
          <w:tcPr>
            <w:tcW w:w="1422" w:type="dxa"/>
          </w:tcPr>
          <w:p w:rsidR="00000000" w:rsidRDefault="00000000">
            <w:pPr>
              <w:spacing w:line="240" w:lineRule="auto"/>
              <w:ind w:right="398"/>
              <w:jc w:val="right"/>
              <w:rPr>
                <w:snapToGrid w:val="0"/>
                <w:sz w:val="22"/>
                <w:lang w:val="en-GB"/>
              </w:rPr>
            </w:pPr>
            <w:r>
              <w:rPr>
                <w:snapToGrid w:val="0"/>
                <w:sz w:val="22"/>
                <w:lang w:val="en-GB"/>
              </w:rPr>
              <w:t>12 814</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12 605</w:t>
            </w:r>
          </w:p>
        </w:tc>
        <w:tc>
          <w:tcPr>
            <w:tcW w:w="1422" w:type="dxa"/>
          </w:tcPr>
          <w:p w:rsidR="00000000" w:rsidRDefault="00000000">
            <w:pPr>
              <w:spacing w:line="240" w:lineRule="auto"/>
              <w:ind w:right="398"/>
              <w:jc w:val="right"/>
              <w:rPr>
                <w:snapToGrid w:val="0"/>
                <w:sz w:val="22"/>
                <w:lang w:val="en-GB"/>
              </w:rPr>
            </w:pPr>
            <w:r>
              <w:rPr>
                <w:snapToGrid w:val="0"/>
                <w:sz w:val="22"/>
                <w:lang w:val="en-GB"/>
              </w:rPr>
              <w:t>14 747</w:t>
            </w:r>
          </w:p>
        </w:tc>
        <w:tc>
          <w:tcPr>
            <w:tcW w:w="1423" w:type="dxa"/>
            <w:shd w:val="solid" w:color="FFFFFF" w:fill="auto"/>
          </w:tcPr>
          <w:p w:rsidR="00000000" w:rsidRDefault="00000000">
            <w:pPr>
              <w:spacing w:line="240" w:lineRule="auto"/>
              <w:ind w:right="398"/>
              <w:jc w:val="right"/>
              <w:rPr>
                <w:snapToGrid w:val="0"/>
                <w:sz w:val="22"/>
                <w:lang w:val="en-GB"/>
              </w:rPr>
            </w:pPr>
            <w:r>
              <w:rPr>
                <w:snapToGrid w:val="0"/>
                <w:sz w:val="22"/>
                <w:lang w:val="en-GB"/>
              </w:rPr>
              <w:t>14 933</w:t>
            </w:r>
          </w:p>
        </w:tc>
      </w:tr>
      <w:tr w:rsidR="00000000">
        <w:tblPrEx>
          <w:tblCellMar>
            <w:top w:w="0" w:type="dxa"/>
            <w:bottom w:w="0" w:type="dxa"/>
          </w:tblCellMar>
        </w:tblPrEx>
        <w:trPr>
          <w:cantSplit/>
          <w:trHeight w:val="400"/>
          <w:jc w:val="center"/>
        </w:trPr>
        <w:tc>
          <w:tcPr>
            <w:tcW w:w="1266" w:type="dxa"/>
            <w:vMerge/>
          </w:tcPr>
          <w:p w:rsidR="00000000" w:rsidRDefault="00000000">
            <w:pPr>
              <w:spacing w:line="240" w:lineRule="auto"/>
              <w:rPr>
                <w:snapToGrid w:val="0"/>
                <w:sz w:val="22"/>
                <w:lang w:val="en-GB"/>
              </w:rPr>
            </w:pPr>
          </w:p>
        </w:tc>
        <w:tc>
          <w:tcPr>
            <w:tcW w:w="2265" w:type="dxa"/>
          </w:tcPr>
          <w:p w:rsidR="00000000" w:rsidRDefault="00000000">
            <w:pPr>
              <w:spacing w:line="240" w:lineRule="auto"/>
              <w:jc w:val="center"/>
              <w:rPr>
                <w:snapToGrid w:val="0"/>
                <w:sz w:val="22"/>
              </w:rPr>
            </w:pPr>
            <w:r>
              <w:rPr>
                <w:snapToGrid w:val="0"/>
                <w:sz w:val="22"/>
              </w:rPr>
              <w:t>В том числе</w:t>
            </w:r>
            <w:r>
              <w:rPr>
                <w:snapToGrid w:val="0"/>
                <w:sz w:val="22"/>
              </w:rPr>
              <w:br/>
              <w:t xml:space="preserve"> проживают постоянно</w:t>
            </w:r>
          </w:p>
        </w:tc>
        <w:tc>
          <w:tcPr>
            <w:tcW w:w="1422" w:type="dxa"/>
          </w:tcPr>
          <w:p w:rsidR="00000000" w:rsidRDefault="00000000">
            <w:pPr>
              <w:spacing w:line="240" w:lineRule="auto"/>
              <w:ind w:right="398"/>
              <w:jc w:val="right"/>
              <w:rPr>
                <w:snapToGrid w:val="0"/>
                <w:sz w:val="22"/>
              </w:rPr>
            </w:pPr>
            <w:proofErr w:type="spellStart"/>
            <w:r>
              <w:rPr>
                <w:snapToGrid w:val="0"/>
                <w:sz w:val="22"/>
              </w:rPr>
              <w:t>35%</w:t>
            </w:r>
            <w:proofErr w:type="spellEnd"/>
          </w:p>
        </w:tc>
        <w:tc>
          <w:tcPr>
            <w:tcW w:w="1423" w:type="dxa"/>
            <w:shd w:val="solid" w:color="FFFFFF" w:fill="auto"/>
          </w:tcPr>
          <w:p w:rsidR="00000000" w:rsidRDefault="00000000">
            <w:pPr>
              <w:spacing w:line="240" w:lineRule="auto"/>
              <w:ind w:right="398"/>
              <w:jc w:val="right"/>
              <w:rPr>
                <w:snapToGrid w:val="0"/>
                <w:sz w:val="22"/>
              </w:rPr>
            </w:pPr>
            <w:proofErr w:type="spellStart"/>
            <w:r>
              <w:rPr>
                <w:snapToGrid w:val="0"/>
                <w:sz w:val="22"/>
              </w:rPr>
              <w:t>37%</w:t>
            </w:r>
            <w:proofErr w:type="spellEnd"/>
          </w:p>
        </w:tc>
        <w:tc>
          <w:tcPr>
            <w:tcW w:w="1422" w:type="dxa"/>
          </w:tcPr>
          <w:p w:rsidR="00000000" w:rsidRDefault="00000000">
            <w:pPr>
              <w:spacing w:line="240" w:lineRule="auto"/>
              <w:ind w:right="398"/>
              <w:jc w:val="right"/>
              <w:rPr>
                <w:snapToGrid w:val="0"/>
                <w:sz w:val="22"/>
              </w:rPr>
            </w:pPr>
            <w:proofErr w:type="spellStart"/>
            <w:r>
              <w:rPr>
                <w:snapToGrid w:val="0"/>
                <w:sz w:val="22"/>
              </w:rPr>
              <w:t>38%</w:t>
            </w:r>
            <w:proofErr w:type="spellEnd"/>
          </w:p>
        </w:tc>
        <w:tc>
          <w:tcPr>
            <w:tcW w:w="1423" w:type="dxa"/>
            <w:shd w:val="solid" w:color="FFFFFF" w:fill="auto"/>
          </w:tcPr>
          <w:p w:rsidR="00000000" w:rsidRDefault="00000000">
            <w:pPr>
              <w:spacing w:line="240" w:lineRule="auto"/>
              <w:ind w:right="398"/>
              <w:jc w:val="right"/>
              <w:rPr>
                <w:snapToGrid w:val="0"/>
                <w:sz w:val="22"/>
              </w:rPr>
            </w:pPr>
            <w:proofErr w:type="spellStart"/>
            <w:r>
              <w:rPr>
                <w:snapToGrid w:val="0"/>
                <w:sz w:val="22"/>
              </w:rPr>
              <w:t>38%</w:t>
            </w:r>
            <w:proofErr w:type="spellEnd"/>
          </w:p>
        </w:tc>
      </w:tr>
    </w:tbl>
    <w:p w:rsidR="00000000" w:rsidRDefault="00000000">
      <w:pPr>
        <w:keepNext/>
        <w:jc w:val="center"/>
        <w:rPr>
          <w:b/>
          <w:sz w:val="12"/>
          <w:lang w:val="en-US"/>
        </w:rPr>
      </w:pPr>
    </w:p>
    <w:p w:rsidR="00000000" w:rsidRDefault="00000000">
      <w:r>
        <w:t>10.</w:t>
      </w:r>
      <w:r>
        <w:tab/>
        <w:t xml:space="preserve">С 2002 года министерство внутренних дел инициирует и оказывает финансовую поддержку в осуществлении проектов неправительственных некоммерческих организаций, которые направлены на предоставление бесплатной юридической помощи иностранцам по вопросам получения разрешений на проживание в </w:t>
      </w:r>
      <w:proofErr w:type="spellStart"/>
      <w:r>
        <w:t>ЧР</w:t>
      </w:r>
      <w:proofErr w:type="spellEnd"/>
      <w:r>
        <w:t>, позволяющим им находиться на территории страны более одного года.  Имеются и другие программы, ориентированные на оказание поддержки этим организациям в их дальнейшей информационной деятельности в целях решения проблем совместного существования коренного большинства населения и иностранцев.</w:t>
      </w:r>
    </w:p>
    <w:p w:rsidR="00000000" w:rsidRDefault="00000000">
      <w:pPr>
        <w:keepNext/>
        <w:jc w:val="center"/>
        <w:rPr>
          <w:b/>
          <w:sz w:val="12"/>
          <w:lang w:val="en-US"/>
        </w:rPr>
      </w:pPr>
    </w:p>
    <w:p w:rsidR="00000000" w:rsidRDefault="00000000">
      <w:r>
        <w:t>11.</w:t>
      </w:r>
      <w:r>
        <w:tab/>
        <w:t xml:space="preserve">С 1 января 2004 года вопросы осуществления политики интеграции иностранцев, которые до конца 2003 года находились в ведении министерства внутренних дел, были переданы министерству труда и социальных вопросов.  Это министерство создало межведомственную комиссию при министре труда и социальных вопросов, которая занимается вопросами интеграции иностранцев вместо ранее действовавшей Комиссии министерства внутренних дел по разработке и осуществлению политики правительства </w:t>
      </w:r>
      <w:proofErr w:type="spellStart"/>
      <w:r>
        <w:t>ЧР</w:t>
      </w:r>
      <w:proofErr w:type="spellEnd"/>
      <w:r>
        <w:t xml:space="preserve"> в области интеграции иностранцев и развития взаимоотношений между общинами.</w:t>
      </w:r>
    </w:p>
    <w:p w:rsidR="00000000" w:rsidRDefault="00000000">
      <w:pPr>
        <w:keepNext/>
        <w:jc w:val="center"/>
        <w:rPr>
          <w:b/>
          <w:sz w:val="12"/>
          <w:lang w:val="en-US"/>
        </w:rPr>
      </w:pPr>
    </w:p>
    <w:p w:rsidR="00000000" w:rsidRDefault="00000000">
      <w:r>
        <w:t>12.</w:t>
      </w:r>
      <w:r>
        <w:tab/>
        <w:t>Контролем за миграцией рома из Словакии</w:t>
      </w:r>
      <w:r>
        <w:rPr>
          <w:rStyle w:val="FootnoteReference"/>
        </w:rPr>
        <w:footnoteReference w:id="10"/>
      </w:r>
      <w:r>
        <w:t xml:space="preserve"> занимается центральное полицейское управление </w:t>
      </w:r>
      <w:proofErr w:type="spellStart"/>
      <w:r>
        <w:t>ЧР</w:t>
      </w:r>
      <w:proofErr w:type="spellEnd"/>
      <w:r>
        <w:t xml:space="preserve">.  Основная цель заключается в получении оперативной информации попытках представителей рома из Словакии обосноваться на территории </w:t>
      </w:r>
      <w:proofErr w:type="spellStart"/>
      <w:r>
        <w:t>ЧР</w:t>
      </w:r>
      <w:proofErr w:type="spellEnd"/>
      <w:r>
        <w:t xml:space="preserve"> и предупреждении бесконтрольности такого расселения.</w:t>
      </w:r>
    </w:p>
    <w:p w:rsidR="00000000" w:rsidRDefault="00000000"/>
    <w:p w:rsidR="00000000" w:rsidRDefault="00000000">
      <w:pPr>
        <w:keepNext/>
        <w:rPr>
          <w:u w:val="single"/>
        </w:rPr>
      </w:pPr>
      <w:r>
        <w:rPr>
          <w:u w:val="single"/>
        </w:rPr>
        <w:t>Беженцы и просители убежища</w:t>
      </w:r>
    </w:p>
    <w:p w:rsidR="00000000" w:rsidRDefault="00000000">
      <w:pPr>
        <w:keepNext/>
        <w:rPr>
          <w:u w:val="single"/>
        </w:rPr>
      </w:pPr>
    </w:p>
    <w:p w:rsidR="00000000" w:rsidRDefault="00000000">
      <w:r>
        <w:t>13.</w:t>
      </w:r>
      <w:r>
        <w:tab/>
        <w:t>В 2002 году по сравнению с предыдущим годом был зарегистрирован резкий рост числа просителей убежища, что обусловлено, главным образом, изменениями в законодательстве в связи с присоединением ЧР к ЕС.  Значительное увеличение числа просителей убежища также связано с введением так называемых Дублинских соглашений ("Дублин</w:t>
      </w:r>
      <w:r>
        <w:noBreakHyphen/>
      </w:r>
      <w:r>
        <w:rPr>
          <w:lang w:val="en-US"/>
        </w:rPr>
        <w:t>II</w:t>
      </w:r>
      <w:r>
        <w:t>")</w:t>
      </w:r>
      <w:r>
        <w:rPr>
          <w:rStyle w:val="FootnoteReference"/>
          <w:lang w:val="en-GB"/>
        </w:rPr>
        <w:footnoteReference w:id="11"/>
      </w:r>
      <w:r>
        <w:t>.  В приведенной ниже таблице показано количество просителей убежища, решений о предоставлении убежища и лиц, которым на данный момент предоставлено убежище в течение обзорного периода.</w:t>
      </w:r>
    </w:p>
    <w:p w:rsidR="00000000" w:rsidRDefault="00000000">
      <w:pPr>
        <w:rPr>
          <w:sz w:val="16"/>
        </w:rPr>
      </w:pPr>
    </w:p>
    <w:p w:rsidR="00000000" w:rsidRDefault="00000000">
      <w:pPr>
        <w:keepNext/>
        <w:ind w:left="1701" w:hanging="1701"/>
        <w:jc w:val="center"/>
        <w:rPr>
          <w:b/>
          <w:bCs/>
          <w:lang w:val="en-GB"/>
        </w:rPr>
      </w:pPr>
      <w:r>
        <w:rPr>
          <w:b/>
          <w:bCs/>
        </w:rPr>
        <w:t>Таблица</w:t>
      </w:r>
      <w:r>
        <w:rPr>
          <w:b/>
          <w:bCs/>
          <w:lang w:val="en-GB"/>
        </w:rPr>
        <w:t xml:space="preserve"> 2</w:t>
      </w:r>
    </w:p>
    <w:p w:rsidR="00000000" w:rsidRDefault="00000000">
      <w:pPr>
        <w:rPr>
          <w:sz w:val="16"/>
        </w:rPr>
      </w:pPr>
    </w:p>
    <w:p w:rsidR="00000000" w:rsidRDefault="00000000">
      <w:pPr>
        <w:keepNext/>
        <w:ind w:left="1701" w:hanging="1701"/>
        <w:jc w:val="center"/>
        <w:rPr>
          <w:b/>
        </w:rPr>
      </w:pPr>
      <w:r>
        <w:rPr>
          <w:b/>
          <w:bCs/>
        </w:rPr>
        <w:t xml:space="preserve">Предоставление </w:t>
      </w:r>
      <w:r>
        <w:rPr>
          <w:b/>
        </w:rPr>
        <w:t>убежища</w:t>
      </w:r>
    </w:p>
    <w:p w:rsidR="00000000" w:rsidRDefault="00000000">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610"/>
        <w:gridCol w:w="766"/>
        <w:gridCol w:w="767"/>
        <w:gridCol w:w="767"/>
        <w:gridCol w:w="767"/>
        <w:gridCol w:w="766"/>
        <w:gridCol w:w="767"/>
        <w:gridCol w:w="767"/>
        <w:gridCol w:w="767"/>
        <w:gridCol w:w="767"/>
        <w:gridCol w:w="900"/>
      </w:tblGrid>
      <w:tr w:rsidR="00000000">
        <w:trPr>
          <w:cantSplit/>
        </w:trPr>
        <w:tc>
          <w:tcPr>
            <w:tcW w:w="1610" w:type="dxa"/>
            <w:vAlign w:val="center"/>
          </w:tcPr>
          <w:p w:rsidR="00000000" w:rsidRDefault="00000000">
            <w:pPr>
              <w:keepNext/>
              <w:spacing w:line="240" w:lineRule="auto"/>
              <w:jc w:val="center"/>
              <w:rPr>
                <w:sz w:val="20"/>
              </w:rPr>
            </w:pPr>
            <w:r>
              <w:rPr>
                <w:sz w:val="20"/>
              </w:rPr>
              <w:t>По состоянию на</w:t>
            </w:r>
          </w:p>
        </w:tc>
        <w:tc>
          <w:tcPr>
            <w:tcW w:w="2300" w:type="dxa"/>
            <w:gridSpan w:val="3"/>
            <w:vAlign w:val="center"/>
          </w:tcPr>
          <w:p w:rsidR="00000000" w:rsidRDefault="00000000">
            <w:pPr>
              <w:keepNext/>
              <w:spacing w:line="240" w:lineRule="auto"/>
              <w:jc w:val="center"/>
              <w:rPr>
                <w:sz w:val="20"/>
              </w:rPr>
            </w:pPr>
            <w:r>
              <w:rPr>
                <w:sz w:val="20"/>
              </w:rPr>
              <w:t>31 декабря 2002 года</w:t>
            </w:r>
          </w:p>
        </w:tc>
        <w:tc>
          <w:tcPr>
            <w:tcW w:w="2300" w:type="dxa"/>
            <w:gridSpan w:val="3"/>
            <w:vAlign w:val="center"/>
          </w:tcPr>
          <w:p w:rsidR="00000000" w:rsidRDefault="00000000">
            <w:pPr>
              <w:keepNext/>
              <w:spacing w:line="240" w:lineRule="auto"/>
              <w:jc w:val="center"/>
              <w:rPr>
                <w:sz w:val="20"/>
              </w:rPr>
            </w:pPr>
            <w:r>
              <w:rPr>
                <w:sz w:val="20"/>
              </w:rPr>
              <w:t>31 декабря 2003 года</w:t>
            </w:r>
          </w:p>
        </w:tc>
        <w:tc>
          <w:tcPr>
            <w:tcW w:w="2301" w:type="dxa"/>
            <w:gridSpan w:val="3"/>
            <w:vAlign w:val="center"/>
          </w:tcPr>
          <w:p w:rsidR="00000000" w:rsidRDefault="00000000">
            <w:pPr>
              <w:keepNext/>
              <w:spacing w:line="240" w:lineRule="auto"/>
              <w:jc w:val="center"/>
              <w:rPr>
                <w:sz w:val="20"/>
              </w:rPr>
            </w:pPr>
            <w:r>
              <w:rPr>
                <w:sz w:val="20"/>
              </w:rPr>
              <w:t>31 декабря 2004 года</w:t>
            </w:r>
          </w:p>
        </w:tc>
        <w:tc>
          <w:tcPr>
            <w:tcW w:w="900" w:type="dxa"/>
            <w:vAlign w:val="center"/>
          </w:tcPr>
          <w:p w:rsidR="00000000" w:rsidRDefault="00000000">
            <w:pPr>
              <w:keepNext/>
              <w:spacing w:line="240" w:lineRule="auto"/>
              <w:jc w:val="center"/>
              <w:rPr>
                <w:sz w:val="20"/>
              </w:rPr>
            </w:pPr>
            <w:r>
              <w:rPr>
                <w:sz w:val="20"/>
              </w:rPr>
              <w:t>31 марта 2005 года</w:t>
            </w:r>
          </w:p>
        </w:tc>
      </w:tr>
      <w:tr w:rsidR="00000000">
        <w:trPr>
          <w:cantSplit/>
        </w:trPr>
        <w:tc>
          <w:tcPr>
            <w:tcW w:w="1610" w:type="dxa"/>
            <w:vAlign w:val="center"/>
          </w:tcPr>
          <w:p w:rsidR="00000000" w:rsidRDefault="00000000">
            <w:pPr>
              <w:keepNext/>
              <w:spacing w:line="240" w:lineRule="auto"/>
              <w:jc w:val="center"/>
              <w:rPr>
                <w:sz w:val="20"/>
              </w:rPr>
            </w:pPr>
            <w:r>
              <w:rPr>
                <w:sz w:val="20"/>
              </w:rPr>
              <w:t>Пол</w:t>
            </w:r>
          </w:p>
        </w:tc>
        <w:tc>
          <w:tcPr>
            <w:tcW w:w="766" w:type="dxa"/>
            <w:vAlign w:val="center"/>
          </w:tcPr>
          <w:p w:rsidR="00000000" w:rsidRDefault="00000000">
            <w:pPr>
              <w:keepNext/>
              <w:spacing w:line="240" w:lineRule="auto"/>
              <w:jc w:val="center"/>
              <w:rPr>
                <w:sz w:val="20"/>
              </w:rPr>
            </w:pPr>
            <w:r>
              <w:rPr>
                <w:sz w:val="20"/>
              </w:rPr>
              <w:t>Жен-щины</w:t>
            </w:r>
          </w:p>
        </w:tc>
        <w:tc>
          <w:tcPr>
            <w:tcW w:w="767" w:type="dxa"/>
            <w:vAlign w:val="center"/>
          </w:tcPr>
          <w:p w:rsidR="00000000" w:rsidRDefault="00000000">
            <w:pPr>
              <w:keepNext/>
              <w:spacing w:line="240" w:lineRule="auto"/>
              <w:jc w:val="center"/>
              <w:rPr>
                <w:sz w:val="20"/>
              </w:rPr>
            </w:pPr>
            <w:r>
              <w:rPr>
                <w:sz w:val="20"/>
              </w:rPr>
              <w:t>Муж-чины</w:t>
            </w:r>
          </w:p>
        </w:tc>
        <w:tc>
          <w:tcPr>
            <w:tcW w:w="767" w:type="dxa"/>
            <w:vAlign w:val="center"/>
          </w:tcPr>
          <w:p w:rsidR="00000000" w:rsidRDefault="00000000">
            <w:pPr>
              <w:keepNext/>
              <w:spacing w:line="240" w:lineRule="auto"/>
              <w:jc w:val="center"/>
              <w:rPr>
                <w:sz w:val="20"/>
              </w:rPr>
            </w:pPr>
            <w:r>
              <w:rPr>
                <w:sz w:val="20"/>
              </w:rPr>
              <w:t>Всего</w:t>
            </w:r>
          </w:p>
        </w:tc>
        <w:tc>
          <w:tcPr>
            <w:tcW w:w="767" w:type="dxa"/>
            <w:vAlign w:val="center"/>
          </w:tcPr>
          <w:p w:rsidR="00000000" w:rsidRDefault="00000000">
            <w:pPr>
              <w:keepNext/>
              <w:spacing w:line="240" w:lineRule="auto"/>
              <w:jc w:val="center"/>
              <w:rPr>
                <w:sz w:val="20"/>
              </w:rPr>
            </w:pPr>
            <w:r>
              <w:rPr>
                <w:sz w:val="20"/>
              </w:rPr>
              <w:t>Жен-щины</w:t>
            </w:r>
          </w:p>
        </w:tc>
        <w:tc>
          <w:tcPr>
            <w:tcW w:w="766" w:type="dxa"/>
            <w:vAlign w:val="center"/>
          </w:tcPr>
          <w:p w:rsidR="00000000" w:rsidRDefault="00000000">
            <w:pPr>
              <w:keepNext/>
              <w:spacing w:line="240" w:lineRule="auto"/>
              <w:jc w:val="center"/>
              <w:rPr>
                <w:sz w:val="20"/>
              </w:rPr>
            </w:pPr>
            <w:r>
              <w:rPr>
                <w:sz w:val="20"/>
              </w:rPr>
              <w:t>Муж-чины</w:t>
            </w:r>
          </w:p>
        </w:tc>
        <w:tc>
          <w:tcPr>
            <w:tcW w:w="767" w:type="dxa"/>
            <w:vAlign w:val="center"/>
          </w:tcPr>
          <w:p w:rsidR="00000000" w:rsidRDefault="00000000">
            <w:pPr>
              <w:keepNext/>
              <w:spacing w:line="240" w:lineRule="auto"/>
              <w:jc w:val="center"/>
              <w:rPr>
                <w:sz w:val="20"/>
              </w:rPr>
            </w:pPr>
            <w:r>
              <w:rPr>
                <w:sz w:val="20"/>
              </w:rPr>
              <w:t>Всего</w:t>
            </w:r>
          </w:p>
        </w:tc>
        <w:tc>
          <w:tcPr>
            <w:tcW w:w="767" w:type="dxa"/>
            <w:vAlign w:val="center"/>
          </w:tcPr>
          <w:p w:rsidR="00000000" w:rsidRDefault="00000000">
            <w:pPr>
              <w:keepNext/>
              <w:spacing w:line="240" w:lineRule="auto"/>
              <w:jc w:val="center"/>
              <w:rPr>
                <w:sz w:val="20"/>
              </w:rPr>
            </w:pPr>
            <w:r>
              <w:rPr>
                <w:sz w:val="20"/>
              </w:rPr>
              <w:t>Жен-щины</w:t>
            </w:r>
          </w:p>
        </w:tc>
        <w:tc>
          <w:tcPr>
            <w:tcW w:w="767" w:type="dxa"/>
            <w:vAlign w:val="center"/>
          </w:tcPr>
          <w:p w:rsidR="00000000" w:rsidRDefault="00000000">
            <w:pPr>
              <w:keepNext/>
              <w:spacing w:line="240" w:lineRule="auto"/>
              <w:jc w:val="center"/>
              <w:rPr>
                <w:sz w:val="20"/>
              </w:rPr>
            </w:pPr>
            <w:r>
              <w:rPr>
                <w:sz w:val="20"/>
              </w:rPr>
              <w:t>Муж-чины</w:t>
            </w:r>
          </w:p>
        </w:tc>
        <w:tc>
          <w:tcPr>
            <w:tcW w:w="767" w:type="dxa"/>
            <w:vAlign w:val="center"/>
          </w:tcPr>
          <w:p w:rsidR="00000000" w:rsidRDefault="00000000">
            <w:pPr>
              <w:keepNext/>
              <w:spacing w:line="240" w:lineRule="auto"/>
              <w:jc w:val="center"/>
              <w:rPr>
                <w:sz w:val="20"/>
              </w:rPr>
            </w:pPr>
            <w:r>
              <w:rPr>
                <w:sz w:val="20"/>
              </w:rPr>
              <w:t>Всего</w:t>
            </w:r>
          </w:p>
        </w:tc>
        <w:tc>
          <w:tcPr>
            <w:tcW w:w="900" w:type="dxa"/>
            <w:vAlign w:val="center"/>
          </w:tcPr>
          <w:p w:rsidR="00000000" w:rsidRDefault="00000000">
            <w:pPr>
              <w:keepNext/>
              <w:spacing w:line="240" w:lineRule="auto"/>
              <w:jc w:val="center"/>
              <w:rPr>
                <w:sz w:val="20"/>
                <w:lang w:val="en-GB"/>
              </w:rPr>
            </w:pPr>
            <w:r>
              <w:rPr>
                <w:sz w:val="20"/>
              </w:rPr>
              <w:t>Всего</w:t>
            </w:r>
          </w:p>
        </w:tc>
      </w:tr>
      <w:tr w:rsidR="00000000">
        <w:trPr>
          <w:cantSplit/>
        </w:trPr>
        <w:tc>
          <w:tcPr>
            <w:tcW w:w="1610" w:type="dxa"/>
          </w:tcPr>
          <w:p w:rsidR="00000000" w:rsidRDefault="00000000">
            <w:pPr>
              <w:spacing w:line="240" w:lineRule="auto"/>
              <w:rPr>
                <w:sz w:val="20"/>
              </w:rPr>
            </w:pPr>
            <w:r>
              <w:rPr>
                <w:sz w:val="20"/>
              </w:rPr>
              <w:t>Количество просителей убежища</w:t>
            </w:r>
          </w:p>
        </w:tc>
        <w:tc>
          <w:tcPr>
            <w:tcW w:w="766"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2 653</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5 831</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8 484</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4 423</w:t>
            </w:r>
          </w:p>
        </w:tc>
        <w:tc>
          <w:tcPr>
            <w:tcW w:w="766"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6 977</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z w:val="20"/>
                <w:lang w:val="en-GB"/>
              </w:rPr>
              <w:t>11 400</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1 980</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3 479</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5 459</w:t>
            </w:r>
          </w:p>
        </w:tc>
        <w:tc>
          <w:tcPr>
            <w:tcW w:w="900"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951</w:t>
            </w:r>
          </w:p>
        </w:tc>
      </w:tr>
      <w:tr w:rsidR="00000000">
        <w:trPr>
          <w:cantSplit/>
        </w:trPr>
        <w:tc>
          <w:tcPr>
            <w:tcW w:w="1610" w:type="dxa"/>
          </w:tcPr>
          <w:p w:rsidR="00000000" w:rsidRDefault="00000000">
            <w:pPr>
              <w:spacing w:line="240" w:lineRule="auto"/>
              <w:rPr>
                <w:sz w:val="20"/>
              </w:rPr>
            </w:pPr>
            <w:r>
              <w:rPr>
                <w:sz w:val="20"/>
              </w:rPr>
              <w:t>Количество решений о предоставлении убежища</w:t>
            </w:r>
          </w:p>
        </w:tc>
        <w:tc>
          <w:tcPr>
            <w:tcW w:w="766"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0</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103</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103</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99</w:t>
            </w:r>
          </w:p>
        </w:tc>
        <w:tc>
          <w:tcPr>
            <w:tcW w:w="766"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109</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208</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0</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z w:val="20"/>
                <w:lang w:val="en-GB"/>
              </w:rPr>
              <w:t>142</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142</w:t>
            </w:r>
          </w:p>
        </w:tc>
        <w:tc>
          <w:tcPr>
            <w:tcW w:w="900"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69</w:t>
            </w:r>
          </w:p>
        </w:tc>
      </w:tr>
      <w:tr w:rsidR="00000000">
        <w:trPr>
          <w:cantSplit/>
        </w:trPr>
        <w:tc>
          <w:tcPr>
            <w:tcW w:w="1610" w:type="dxa"/>
          </w:tcPr>
          <w:p w:rsidR="00000000" w:rsidRDefault="00000000">
            <w:pPr>
              <w:spacing w:line="240" w:lineRule="auto"/>
              <w:rPr>
                <w:sz w:val="20"/>
              </w:rPr>
            </w:pPr>
            <w:r>
              <w:rPr>
                <w:sz w:val="20"/>
              </w:rPr>
              <w:t>Количество лиц, которым в настоящее время предоставлено убежище</w:t>
            </w:r>
          </w:p>
        </w:tc>
        <w:tc>
          <w:tcPr>
            <w:tcW w:w="766"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606</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859</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1 465</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623</w:t>
            </w:r>
          </w:p>
        </w:tc>
        <w:tc>
          <w:tcPr>
            <w:tcW w:w="766"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890</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1 513</w:t>
            </w:r>
          </w:p>
        </w:tc>
        <w:tc>
          <w:tcPr>
            <w:tcW w:w="767" w:type="dxa"/>
          </w:tcPr>
          <w:p w:rsidR="00000000" w:rsidRDefault="00000000">
            <w:pPr>
              <w:tabs>
                <w:tab w:val="clear" w:pos="1134"/>
                <w:tab w:val="clear" w:pos="1701"/>
                <w:tab w:val="clear" w:pos="2268"/>
                <w:tab w:val="clear" w:pos="6237"/>
                <w:tab w:val="decimal" w:pos="567"/>
              </w:tabs>
              <w:spacing w:line="240" w:lineRule="auto"/>
              <w:rPr>
                <w:sz w:val="20"/>
                <w:lang w:val="en-GB"/>
              </w:rPr>
            </w:pPr>
            <w:r>
              <w:rPr>
                <w:snapToGrid w:val="0"/>
                <w:sz w:val="20"/>
                <w:lang w:val="en-GB"/>
              </w:rPr>
              <w:t>674</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949</w:t>
            </w:r>
          </w:p>
        </w:tc>
        <w:tc>
          <w:tcPr>
            <w:tcW w:w="767"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1 623</w:t>
            </w:r>
          </w:p>
        </w:tc>
        <w:tc>
          <w:tcPr>
            <w:tcW w:w="900" w:type="dxa"/>
          </w:tcPr>
          <w:p w:rsidR="00000000" w:rsidRDefault="00000000">
            <w:pPr>
              <w:tabs>
                <w:tab w:val="clear" w:pos="1134"/>
                <w:tab w:val="clear" w:pos="1701"/>
                <w:tab w:val="clear" w:pos="2268"/>
                <w:tab w:val="clear" w:pos="6237"/>
                <w:tab w:val="decimal" w:pos="567"/>
              </w:tabs>
              <w:spacing w:line="240" w:lineRule="auto"/>
              <w:rPr>
                <w:snapToGrid w:val="0"/>
                <w:sz w:val="20"/>
                <w:lang w:val="en-GB"/>
              </w:rPr>
            </w:pPr>
            <w:r>
              <w:rPr>
                <w:snapToGrid w:val="0"/>
                <w:sz w:val="20"/>
                <w:lang w:val="en-GB"/>
              </w:rPr>
              <w:t>1 686</w:t>
            </w:r>
          </w:p>
        </w:tc>
      </w:tr>
    </w:tbl>
    <w:p w:rsidR="00000000" w:rsidRDefault="00000000">
      <w:pPr>
        <w:rPr>
          <w:lang w:val="en-GB"/>
        </w:rPr>
      </w:pPr>
    </w:p>
    <w:p w:rsidR="00000000" w:rsidRDefault="00000000">
      <w:r>
        <w:t>14.</w:t>
      </w:r>
      <w:r>
        <w:tab/>
        <w:t>В 2005 году (по состоянию на 31 марта) почти треть просителей убежища составляли граждане Украины (299 человек).  За ними со значительным отставанием следовали граждане Китая (157 человек), Словакии (78 человек), России (63 человека), Беларуси (59 человека) и Вьетнама (57 человек).  Это свидетельствует об изменении национальной структуры просителей убежища, поскольку в 2002 году наиболее многочисленными категориями (после граждан Украины) были граждане Молдовы (724 человека) и Грузии (678 человек).  Наиболее часто убежище представляется гражданам России (почти 50%), Беларуси и Казахстана.</w:t>
      </w:r>
    </w:p>
    <w:p w:rsidR="00000000" w:rsidRDefault="00000000"/>
    <w:p w:rsidR="00000000" w:rsidRDefault="00000000">
      <w:r>
        <w:t>15.</w:t>
      </w:r>
      <w:r>
        <w:tab/>
        <w:t>С 1 января 2003 года была введена в действие новая административно-судебная система, в том числе новый механизм правовой защиты </w:t>
      </w:r>
      <w:r>
        <w:noBreakHyphen/>
        <w:t xml:space="preserve"> кассационные жалобы на решение регионального суда.  В случае отклонения ходатайства о предоставлении убежища иностранец вправе подать кассационную жалобу в Верховный административный суд.  Одновременно с этим иностранец может подать кассационную жалобу, обладающую приостанавливающим воздействием, с тем чтобы он имел возможность продолжать проживать на территории ЧР.  При наличии запроса иммиграционная и пограничная служба выдадут ему визу по гуманитарным соображениям.  В 2003 году было подано в общей сложности 1 069 кассационных жалоб.  В 2004 году количество новых кассационных жалоб утроилось (достигнув 3 130).  За оба года большинство жалоб было подано гражданами Украины и Вьетнама.</w:t>
      </w:r>
    </w:p>
    <w:p w:rsidR="00000000" w:rsidRDefault="00000000"/>
    <w:p w:rsidR="00000000" w:rsidRDefault="00000000">
      <w:pPr>
        <w:keepNext/>
        <w:ind w:left="1701" w:hanging="1701"/>
        <w:jc w:val="center"/>
        <w:rPr>
          <w:b/>
          <w:lang w:val="en-US"/>
        </w:rPr>
      </w:pPr>
      <w:r>
        <w:rPr>
          <w:b/>
        </w:rPr>
        <w:t>Таблица 3</w:t>
      </w:r>
    </w:p>
    <w:p w:rsidR="00000000" w:rsidRDefault="00000000">
      <w:pPr>
        <w:keepNext/>
        <w:ind w:left="1701" w:hanging="1701"/>
        <w:jc w:val="center"/>
        <w:rPr>
          <w:b/>
          <w:lang w:val="en-US"/>
        </w:rPr>
      </w:pPr>
    </w:p>
    <w:p w:rsidR="00000000" w:rsidRDefault="00000000">
      <w:pPr>
        <w:keepNext/>
        <w:ind w:left="1701" w:hanging="1701"/>
        <w:jc w:val="center"/>
        <w:rPr>
          <w:b/>
        </w:rPr>
      </w:pPr>
      <w:r>
        <w:rPr>
          <w:b/>
        </w:rPr>
        <w:t xml:space="preserve">Количество незаконных мигрантов, пересекающих границу </w:t>
      </w:r>
      <w:proofErr w:type="spellStart"/>
      <w:r>
        <w:rPr>
          <w:b/>
        </w:rPr>
        <w:t>ЧР</w:t>
      </w:r>
      <w:proofErr w:type="spellEnd"/>
    </w:p>
    <w:p w:rsidR="00000000" w:rsidRDefault="00000000">
      <w:pPr>
        <w:keepNext/>
        <w:ind w:left="1701" w:hanging="1701"/>
        <w:jc w:val="center"/>
        <w:rPr>
          <w:b/>
          <w:lang w:val="en-US"/>
        </w:rPr>
      </w:pPr>
    </w:p>
    <w:tbl>
      <w:tblPr>
        <w:tblW w:w="0" w:type="auto"/>
        <w:tblInd w:w="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57" w:type="dxa"/>
          <w:left w:w="57" w:type="dxa"/>
          <w:bottom w:w="57" w:type="dxa"/>
          <w:right w:w="57" w:type="dxa"/>
        </w:tblCellMar>
        <w:tblLook w:val="0000" w:firstRow="0" w:lastRow="0" w:firstColumn="0" w:lastColumn="0" w:noHBand="0" w:noVBand="0"/>
      </w:tblPr>
      <w:tblGrid>
        <w:gridCol w:w="1870"/>
        <w:gridCol w:w="1870"/>
        <w:gridCol w:w="1870"/>
        <w:gridCol w:w="1870"/>
        <w:gridCol w:w="1871"/>
      </w:tblGrid>
      <w:tr w:rsidR="00000000">
        <w:trPr>
          <w:cantSplit/>
        </w:trPr>
        <w:tc>
          <w:tcPr>
            <w:tcW w:w="1870" w:type="dxa"/>
            <w:vAlign w:val="center"/>
          </w:tcPr>
          <w:p w:rsidR="00000000" w:rsidRDefault="00000000">
            <w:pPr>
              <w:keepNext/>
              <w:jc w:val="center"/>
            </w:pPr>
            <w:r>
              <w:t>Год</w:t>
            </w:r>
          </w:p>
        </w:tc>
        <w:tc>
          <w:tcPr>
            <w:tcW w:w="1870" w:type="dxa"/>
            <w:vAlign w:val="center"/>
          </w:tcPr>
          <w:p w:rsidR="00000000" w:rsidRDefault="00000000">
            <w:pPr>
              <w:keepNext/>
              <w:jc w:val="center"/>
              <w:rPr>
                <w:lang w:val="en-GB"/>
              </w:rPr>
            </w:pPr>
            <w:r>
              <w:rPr>
                <w:lang w:val="en-GB"/>
              </w:rPr>
              <w:t>2002</w:t>
            </w:r>
          </w:p>
        </w:tc>
        <w:tc>
          <w:tcPr>
            <w:tcW w:w="1870" w:type="dxa"/>
            <w:vAlign w:val="center"/>
          </w:tcPr>
          <w:p w:rsidR="00000000" w:rsidRDefault="00000000">
            <w:pPr>
              <w:keepNext/>
              <w:jc w:val="center"/>
              <w:rPr>
                <w:lang w:val="en-GB"/>
              </w:rPr>
            </w:pPr>
            <w:r>
              <w:rPr>
                <w:lang w:val="en-GB"/>
              </w:rPr>
              <w:t>2003</w:t>
            </w:r>
          </w:p>
        </w:tc>
        <w:tc>
          <w:tcPr>
            <w:tcW w:w="1870" w:type="dxa"/>
            <w:vAlign w:val="center"/>
          </w:tcPr>
          <w:p w:rsidR="00000000" w:rsidRDefault="00000000">
            <w:pPr>
              <w:keepNext/>
              <w:jc w:val="center"/>
              <w:rPr>
                <w:lang w:val="en-GB"/>
              </w:rPr>
            </w:pPr>
            <w:r>
              <w:rPr>
                <w:lang w:val="en-GB"/>
              </w:rPr>
              <w:t>2004</w:t>
            </w:r>
          </w:p>
        </w:tc>
        <w:tc>
          <w:tcPr>
            <w:tcW w:w="1871" w:type="dxa"/>
            <w:vAlign w:val="center"/>
          </w:tcPr>
          <w:p w:rsidR="00000000" w:rsidRDefault="00000000">
            <w:pPr>
              <w:keepNext/>
              <w:jc w:val="center"/>
            </w:pPr>
            <w:r>
              <w:t>Первый квартал 2005 года</w:t>
            </w:r>
          </w:p>
        </w:tc>
      </w:tr>
      <w:tr w:rsidR="00000000">
        <w:trPr>
          <w:cantSplit/>
        </w:trPr>
        <w:tc>
          <w:tcPr>
            <w:tcW w:w="1870" w:type="dxa"/>
            <w:vAlign w:val="center"/>
          </w:tcPr>
          <w:p w:rsidR="00000000" w:rsidRDefault="00000000">
            <w:r>
              <w:t>Мужчины</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11 429</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10 146</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7 755</w:t>
            </w:r>
          </w:p>
        </w:tc>
        <w:tc>
          <w:tcPr>
            <w:tcW w:w="1871" w:type="dxa"/>
            <w:vAlign w:val="bottom"/>
          </w:tcPr>
          <w:p w:rsidR="00000000" w:rsidRDefault="00000000">
            <w:pPr>
              <w:tabs>
                <w:tab w:val="clear" w:pos="567"/>
                <w:tab w:val="clear" w:pos="1701"/>
                <w:tab w:val="clear" w:pos="2268"/>
                <w:tab w:val="clear" w:pos="6237"/>
                <w:tab w:val="decimal" w:pos="1134"/>
              </w:tabs>
              <w:rPr>
                <w:lang w:val="en-GB"/>
              </w:rPr>
            </w:pPr>
            <w:r>
              <w:rPr>
                <w:lang w:val="en-GB"/>
              </w:rPr>
              <w:t>1 121</w:t>
            </w:r>
          </w:p>
        </w:tc>
      </w:tr>
      <w:tr w:rsidR="00000000">
        <w:trPr>
          <w:cantSplit/>
        </w:trPr>
        <w:tc>
          <w:tcPr>
            <w:tcW w:w="1870" w:type="dxa"/>
            <w:vAlign w:val="center"/>
          </w:tcPr>
          <w:p w:rsidR="00000000" w:rsidRDefault="00000000">
            <w:r>
              <w:t>Женщины</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3 312</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3 060</w:t>
            </w:r>
          </w:p>
        </w:tc>
        <w:tc>
          <w:tcPr>
            <w:tcW w:w="1870" w:type="dxa"/>
            <w:vAlign w:val="bottom"/>
          </w:tcPr>
          <w:p w:rsidR="00000000" w:rsidRDefault="00000000">
            <w:pPr>
              <w:tabs>
                <w:tab w:val="clear" w:pos="567"/>
                <w:tab w:val="clear" w:pos="1701"/>
                <w:tab w:val="clear" w:pos="2268"/>
                <w:tab w:val="clear" w:pos="6237"/>
                <w:tab w:val="decimal" w:pos="1134"/>
              </w:tabs>
              <w:rPr>
                <w:lang w:val="en-GB"/>
              </w:rPr>
            </w:pPr>
            <w:r>
              <w:rPr>
                <w:lang w:val="en-GB"/>
              </w:rPr>
              <w:t>2 940</w:t>
            </w:r>
          </w:p>
        </w:tc>
        <w:tc>
          <w:tcPr>
            <w:tcW w:w="1871" w:type="dxa"/>
            <w:vAlign w:val="bottom"/>
          </w:tcPr>
          <w:p w:rsidR="00000000" w:rsidRDefault="00000000">
            <w:pPr>
              <w:tabs>
                <w:tab w:val="clear" w:pos="567"/>
                <w:tab w:val="clear" w:pos="1701"/>
                <w:tab w:val="clear" w:pos="2268"/>
                <w:tab w:val="clear" w:pos="6237"/>
                <w:tab w:val="decimal" w:pos="1134"/>
              </w:tabs>
              <w:rPr>
                <w:lang w:val="en-GB"/>
              </w:rPr>
            </w:pPr>
            <w:r>
              <w:rPr>
                <w:lang w:val="en-GB"/>
              </w:rPr>
              <w:t>442</w:t>
            </w:r>
          </w:p>
        </w:tc>
      </w:tr>
      <w:tr w:rsidR="00000000">
        <w:trPr>
          <w:cantSplit/>
        </w:trPr>
        <w:tc>
          <w:tcPr>
            <w:tcW w:w="1870" w:type="dxa"/>
            <w:vAlign w:val="center"/>
          </w:tcPr>
          <w:p w:rsidR="00000000" w:rsidRDefault="00000000">
            <w:r>
              <w:t>Всего</w:t>
            </w:r>
          </w:p>
        </w:tc>
        <w:tc>
          <w:tcPr>
            <w:tcW w:w="1870" w:type="dxa"/>
            <w:vAlign w:val="center"/>
          </w:tcPr>
          <w:p w:rsidR="00000000" w:rsidRDefault="00000000">
            <w:pPr>
              <w:tabs>
                <w:tab w:val="clear" w:pos="567"/>
                <w:tab w:val="clear" w:pos="1701"/>
                <w:tab w:val="clear" w:pos="2268"/>
                <w:tab w:val="clear" w:pos="6237"/>
                <w:tab w:val="decimal" w:pos="1134"/>
              </w:tabs>
              <w:rPr>
                <w:lang w:val="en-GB"/>
              </w:rPr>
            </w:pPr>
            <w:r>
              <w:rPr>
                <w:lang w:val="en-GB"/>
              </w:rPr>
              <w:t>14 741</w:t>
            </w:r>
          </w:p>
        </w:tc>
        <w:tc>
          <w:tcPr>
            <w:tcW w:w="1870" w:type="dxa"/>
            <w:vAlign w:val="center"/>
          </w:tcPr>
          <w:p w:rsidR="00000000" w:rsidRDefault="00000000">
            <w:pPr>
              <w:tabs>
                <w:tab w:val="clear" w:pos="567"/>
                <w:tab w:val="clear" w:pos="1701"/>
                <w:tab w:val="clear" w:pos="2268"/>
                <w:tab w:val="clear" w:pos="6237"/>
                <w:tab w:val="decimal" w:pos="1134"/>
              </w:tabs>
              <w:rPr>
                <w:lang w:val="en-GB"/>
              </w:rPr>
            </w:pPr>
            <w:r>
              <w:rPr>
                <w:lang w:val="en-GB"/>
              </w:rPr>
              <w:t>13 206</w:t>
            </w:r>
          </w:p>
        </w:tc>
        <w:tc>
          <w:tcPr>
            <w:tcW w:w="1870" w:type="dxa"/>
            <w:vAlign w:val="center"/>
          </w:tcPr>
          <w:p w:rsidR="00000000" w:rsidRDefault="00000000">
            <w:pPr>
              <w:tabs>
                <w:tab w:val="clear" w:pos="567"/>
                <w:tab w:val="clear" w:pos="1701"/>
                <w:tab w:val="clear" w:pos="2268"/>
                <w:tab w:val="clear" w:pos="6237"/>
                <w:tab w:val="decimal" w:pos="1134"/>
              </w:tabs>
              <w:rPr>
                <w:lang w:val="en-GB"/>
              </w:rPr>
            </w:pPr>
            <w:r>
              <w:rPr>
                <w:lang w:val="en-GB"/>
              </w:rPr>
              <w:t>10 695</w:t>
            </w:r>
          </w:p>
        </w:tc>
        <w:tc>
          <w:tcPr>
            <w:tcW w:w="1871" w:type="dxa"/>
            <w:vAlign w:val="center"/>
          </w:tcPr>
          <w:p w:rsidR="00000000" w:rsidRDefault="00000000">
            <w:pPr>
              <w:tabs>
                <w:tab w:val="clear" w:pos="567"/>
                <w:tab w:val="clear" w:pos="1701"/>
                <w:tab w:val="clear" w:pos="2268"/>
                <w:tab w:val="clear" w:pos="6237"/>
                <w:tab w:val="decimal" w:pos="1134"/>
              </w:tabs>
              <w:rPr>
                <w:lang w:val="en-GB"/>
              </w:rPr>
            </w:pPr>
            <w:r>
              <w:rPr>
                <w:lang w:val="en-GB"/>
              </w:rPr>
              <w:t>1 563</w:t>
            </w:r>
          </w:p>
        </w:tc>
      </w:tr>
    </w:tbl>
    <w:p w:rsidR="00000000" w:rsidRDefault="00000000">
      <w:pPr>
        <w:rPr>
          <w:lang w:val="en-GB"/>
        </w:rPr>
      </w:pPr>
    </w:p>
    <w:p w:rsidR="00000000" w:rsidRDefault="00000000">
      <w:pPr>
        <w:keepNext/>
        <w:ind w:left="1701" w:hanging="1701"/>
        <w:jc w:val="center"/>
        <w:rPr>
          <w:b/>
          <w:lang w:val="en-US"/>
        </w:rPr>
      </w:pPr>
      <w:r>
        <w:rPr>
          <w:b/>
        </w:rPr>
        <w:br w:type="page"/>
        <w:t>Таблица 4</w:t>
      </w:r>
    </w:p>
    <w:p w:rsidR="00000000" w:rsidRDefault="00000000">
      <w:pPr>
        <w:keepNext/>
        <w:ind w:left="1701" w:hanging="1701"/>
        <w:jc w:val="center"/>
        <w:rPr>
          <w:b/>
          <w:lang w:val="en-US"/>
        </w:rPr>
      </w:pPr>
    </w:p>
    <w:p w:rsidR="00000000" w:rsidRDefault="00000000">
      <w:pPr>
        <w:keepNext/>
        <w:jc w:val="center"/>
        <w:rPr>
          <w:b/>
          <w:lang w:val="en-US"/>
        </w:rPr>
      </w:pPr>
      <w:r>
        <w:rPr>
          <w:b/>
        </w:rPr>
        <w:t xml:space="preserve">Количество незаконных мигрантов, пересекающих границу </w:t>
      </w:r>
      <w:proofErr w:type="spellStart"/>
      <w:r>
        <w:rPr>
          <w:b/>
        </w:rPr>
        <w:t>ЧР</w:t>
      </w:r>
      <w:proofErr w:type="spellEnd"/>
      <w:r>
        <w:rPr>
          <w:b/>
        </w:rPr>
        <w:t>,</w:t>
      </w:r>
    </w:p>
    <w:p w:rsidR="00000000" w:rsidRDefault="00000000">
      <w:pPr>
        <w:keepNext/>
        <w:jc w:val="center"/>
        <w:rPr>
          <w:b/>
        </w:rPr>
      </w:pPr>
      <w:r>
        <w:rPr>
          <w:b/>
        </w:rPr>
        <w:t>в разбивке по гражданству</w:t>
      </w:r>
    </w:p>
    <w:p w:rsidR="00000000" w:rsidRDefault="00000000">
      <w:pPr>
        <w:keepNext/>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504"/>
        <w:gridCol w:w="1134"/>
        <w:gridCol w:w="851"/>
        <w:gridCol w:w="1134"/>
        <w:gridCol w:w="851"/>
        <w:gridCol w:w="1134"/>
        <w:gridCol w:w="851"/>
        <w:gridCol w:w="1134"/>
        <w:gridCol w:w="737"/>
      </w:tblGrid>
      <w:tr w:rsidR="00000000">
        <w:trPr>
          <w:cantSplit/>
        </w:trPr>
        <w:tc>
          <w:tcPr>
            <w:tcW w:w="1504" w:type="dxa"/>
            <w:vAlign w:val="center"/>
          </w:tcPr>
          <w:p w:rsidR="00000000" w:rsidRDefault="00000000">
            <w:pPr>
              <w:jc w:val="center"/>
            </w:pPr>
            <w:r>
              <w:t>Год</w:t>
            </w:r>
          </w:p>
        </w:tc>
        <w:tc>
          <w:tcPr>
            <w:tcW w:w="1985" w:type="dxa"/>
            <w:gridSpan w:val="2"/>
            <w:vAlign w:val="center"/>
          </w:tcPr>
          <w:p w:rsidR="00000000" w:rsidRDefault="00000000">
            <w:pPr>
              <w:jc w:val="center"/>
              <w:rPr>
                <w:lang w:val="en-GB"/>
              </w:rPr>
            </w:pPr>
            <w:r>
              <w:rPr>
                <w:lang w:val="en-GB"/>
              </w:rPr>
              <w:t>2002</w:t>
            </w:r>
          </w:p>
        </w:tc>
        <w:tc>
          <w:tcPr>
            <w:tcW w:w="1985" w:type="dxa"/>
            <w:gridSpan w:val="2"/>
            <w:vAlign w:val="center"/>
          </w:tcPr>
          <w:p w:rsidR="00000000" w:rsidRDefault="00000000">
            <w:pPr>
              <w:jc w:val="center"/>
              <w:rPr>
                <w:lang w:val="en-GB"/>
              </w:rPr>
            </w:pPr>
            <w:r>
              <w:rPr>
                <w:lang w:val="en-GB"/>
              </w:rPr>
              <w:t>2003</w:t>
            </w:r>
          </w:p>
        </w:tc>
        <w:tc>
          <w:tcPr>
            <w:tcW w:w="1985" w:type="dxa"/>
            <w:gridSpan w:val="2"/>
            <w:vAlign w:val="center"/>
          </w:tcPr>
          <w:p w:rsidR="00000000" w:rsidRDefault="00000000">
            <w:pPr>
              <w:jc w:val="center"/>
              <w:rPr>
                <w:lang w:val="en-GB"/>
              </w:rPr>
            </w:pPr>
            <w:r>
              <w:rPr>
                <w:lang w:val="en-GB"/>
              </w:rPr>
              <w:t>2004</w:t>
            </w:r>
          </w:p>
        </w:tc>
        <w:tc>
          <w:tcPr>
            <w:tcW w:w="1871" w:type="dxa"/>
            <w:gridSpan w:val="2"/>
            <w:vAlign w:val="center"/>
          </w:tcPr>
          <w:p w:rsidR="00000000" w:rsidRDefault="00000000">
            <w:pPr>
              <w:jc w:val="center"/>
            </w:pPr>
            <w:r>
              <w:t>Первый квартал 2005 года</w:t>
            </w:r>
          </w:p>
        </w:tc>
      </w:tr>
      <w:tr w:rsidR="00000000">
        <w:trPr>
          <w:cantSplit/>
        </w:trPr>
        <w:tc>
          <w:tcPr>
            <w:tcW w:w="1504" w:type="dxa"/>
            <w:vMerge w:val="restart"/>
            <w:vAlign w:val="center"/>
          </w:tcPr>
          <w:p w:rsidR="00000000" w:rsidRDefault="00000000">
            <w:r>
              <w:t>Гражданство</w:t>
            </w:r>
          </w:p>
        </w:tc>
        <w:tc>
          <w:tcPr>
            <w:tcW w:w="1134" w:type="dxa"/>
            <w:vAlign w:val="center"/>
          </w:tcPr>
          <w:p w:rsidR="00000000" w:rsidRDefault="00000000">
            <w:pPr>
              <w:rPr>
                <w:lang w:val="en-GB"/>
              </w:rPr>
            </w:pPr>
            <w:r>
              <w:rPr>
                <w:lang w:val="en-GB"/>
              </w:rPr>
              <w:t>Китай</w:t>
            </w:r>
          </w:p>
        </w:tc>
        <w:tc>
          <w:tcPr>
            <w:tcW w:w="851" w:type="dxa"/>
            <w:vAlign w:val="center"/>
          </w:tcPr>
          <w:p w:rsidR="00000000" w:rsidRDefault="00000000">
            <w:pPr>
              <w:jc w:val="center"/>
              <w:rPr>
                <w:lang w:val="en-GB"/>
              </w:rPr>
            </w:pPr>
            <w:r>
              <w:rPr>
                <w:lang w:val="en-GB"/>
              </w:rPr>
              <w:t>2 301</w:t>
            </w:r>
          </w:p>
        </w:tc>
        <w:tc>
          <w:tcPr>
            <w:tcW w:w="1134" w:type="dxa"/>
            <w:vAlign w:val="center"/>
          </w:tcPr>
          <w:p w:rsidR="00000000" w:rsidRDefault="00000000">
            <w:pPr>
              <w:rPr>
                <w:lang w:val="en-GB"/>
              </w:rPr>
            </w:pPr>
            <w:r>
              <w:rPr>
                <w:lang w:val="en-GB"/>
              </w:rPr>
              <w:t>Россия</w:t>
            </w:r>
          </w:p>
        </w:tc>
        <w:tc>
          <w:tcPr>
            <w:tcW w:w="851" w:type="dxa"/>
            <w:vAlign w:val="center"/>
          </w:tcPr>
          <w:p w:rsidR="00000000" w:rsidRDefault="00000000">
            <w:pPr>
              <w:jc w:val="center"/>
              <w:rPr>
                <w:lang w:val="en-GB"/>
              </w:rPr>
            </w:pPr>
            <w:r>
              <w:rPr>
                <w:lang w:val="en-GB"/>
              </w:rPr>
              <w:t>2 912</w:t>
            </w:r>
          </w:p>
        </w:tc>
        <w:tc>
          <w:tcPr>
            <w:tcW w:w="1134" w:type="dxa"/>
            <w:vAlign w:val="center"/>
          </w:tcPr>
          <w:p w:rsidR="00000000" w:rsidRDefault="00000000">
            <w:pPr>
              <w:rPr>
                <w:lang w:val="en-GB"/>
              </w:rPr>
            </w:pPr>
            <w:r>
              <w:rPr>
                <w:lang w:val="en-GB"/>
              </w:rPr>
              <w:t>Россия</w:t>
            </w:r>
          </w:p>
        </w:tc>
        <w:tc>
          <w:tcPr>
            <w:tcW w:w="851" w:type="dxa"/>
            <w:vAlign w:val="center"/>
          </w:tcPr>
          <w:p w:rsidR="00000000" w:rsidRDefault="00000000">
            <w:pPr>
              <w:jc w:val="center"/>
              <w:rPr>
                <w:lang w:val="en-GB"/>
              </w:rPr>
            </w:pPr>
            <w:r>
              <w:rPr>
                <w:lang w:val="en-GB"/>
              </w:rPr>
              <w:t>3 725</w:t>
            </w:r>
          </w:p>
        </w:tc>
        <w:tc>
          <w:tcPr>
            <w:tcW w:w="1134" w:type="dxa"/>
            <w:vAlign w:val="center"/>
          </w:tcPr>
          <w:p w:rsidR="00000000" w:rsidRDefault="00000000">
            <w:pPr>
              <w:rPr>
                <w:lang w:val="en-GB"/>
              </w:rPr>
            </w:pPr>
            <w:r>
              <w:rPr>
                <w:lang w:val="en-GB"/>
              </w:rPr>
              <w:t>Россия</w:t>
            </w:r>
          </w:p>
        </w:tc>
        <w:tc>
          <w:tcPr>
            <w:tcW w:w="737" w:type="dxa"/>
            <w:vAlign w:val="center"/>
          </w:tcPr>
          <w:p w:rsidR="00000000" w:rsidRDefault="00000000">
            <w:pPr>
              <w:jc w:val="center"/>
              <w:rPr>
                <w:lang w:val="en-GB"/>
              </w:rPr>
            </w:pPr>
            <w:r>
              <w:rPr>
                <w:lang w:val="en-GB"/>
              </w:rPr>
              <w:t>328</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r>
              <w:t>Индия</w:t>
            </w:r>
          </w:p>
        </w:tc>
        <w:tc>
          <w:tcPr>
            <w:tcW w:w="851" w:type="dxa"/>
            <w:vAlign w:val="center"/>
          </w:tcPr>
          <w:p w:rsidR="00000000" w:rsidRDefault="00000000">
            <w:pPr>
              <w:jc w:val="center"/>
              <w:rPr>
                <w:lang w:val="en-GB"/>
              </w:rPr>
            </w:pPr>
            <w:r>
              <w:rPr>
                <w:lang w:val="en-GB"/>
              </w:rPr>
              <w:t>1 190</w:t>
            </w:r>
          </w:p>
        </w:tc>
        <w:tc>
          <w:tcPr>
            <w:tcW w:w="1134" w:type="dxa"/>
            <w:vAlign w:val="center"/>
          </w:tcPr>
          <w:p w:rsidR="00000000" w:rsidRDefault="00000000">
            <w:pPr>
              <w:rPr>
                <w:lang w:val="en-GB"/>
              </w:rPr>
            </w:pPr>
            <w:r>
              <w:rPr>
                <w:lang w:val="en-GB"/>
              </w:rPr>
              <w:t>Китай</w:t>
            </w:r>
          </w:p>
        </w:tc>
        <w:tc>
          <w:tcPr>
            <w:tcW w:w="851" w:type="dxa"/>
            <w:vAlign w:val="center"/>
          </w:tcPr>
          <w:p w:rsidR="00000000" w:rsidRDefault="00000000">
            <w:pPr>
              <w:jc w:val="center"/>
              <w:rPr>
                <w:lang w:val="en-GB"/>
              </w:rPr>
            </w:pPr>
            <w:r>
              <w:rPr>
                <w:lang w:val="en-GB"/>
              </w:rPr>
              <w:t>2 152</w:t>
            </w:r>
          </w:p>
        </w:tc>
        <w:tc>
          <w:tcPr>
            <w:tcW w:w="1134" w:type="dxa"/>
            <w:vAlign w:val="center"/>
          </w:tcPr>
          <w:p w:rsidR="00000000" w:rsidRDefault="00000000">
            <w:pPr>
              <w:rPr>
                <w:lang w:val="en-GB"/>
              </w:rPr>
            </w:pPr>
            <w:r>
              <w:rPr>
                <w:lang w:val="en-GB"/>
              </w:rPr>
              <w:t>Китай</w:t>
            </w:r>
          </w:p>
        </w:tc>
        <w:tc>
          <w:tcPr>
            <w:tcW w:w="851" w:type="dxa"/>
            <w:vAlign w:val="center"/>
          </w:tcPr>
          <w:p w:rsidR="00000000" w:rsidRDefault="00000000">
            <w:pPr>
              <w:jc w:val="center"/>
              <w:rPr>
                <w:lang w:val="en-GB"/>
              </w:rPr>
            </w:pPr>
            <w:r>
              <w:rPr>
                <w:lang w:val="en-GB"/>
              </w:rPr>
              <w:t>1 009</w:t>
            </w:r>
          </w:p>
        </w:tc>
        <w:tc>
          <w:tcPr>
            <w:tcW w:w="1134" w:type="dxa"/>
            <w:vAlign w:val="center"/>
          </w:tcPr>
          <w:p w:rsidR="00000000" w:rsidRDefault="00000000">
            <w:r>
              <w:t>Украина</w:t>
            </w:r>
          </w:p>
        </w:tc>
        <w:tc>
          <w:tcPr>
            <w:tcW w:w="737" w:type="dxa"/>
            <w:vAlign w:val="center"/>
          </w:tcPr>
          <w:p w:rsidR="00000000" w:rsidRDefault="00000000">
            <w:pPr>
              <w:jc w:val="center"/>
              <w:rPr>
                <w:lang w:val="en-GB"/>
              </w:rPr>
            </w:pPr>
            <w:r>
              <w:rPr>
                <w:lang w:val="en-GB"/>
              </w:rPr>
              <w:t>158</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pPr>
              <w:rPr>
                <w:lang w:val="en-GB"/>
              </w:rPr>
            </w:pPr>
            <w:r>
              <w:rPr>
                <w:lang w:val="en-GB"/>
              </w:rPr>
              <w:t>Вьетнам</w:t>
            </w:r>
          </w:p>
        </w:tc>
        <w:tc>
          <w:tcPr>
            <w:tcW w:w="851" w:type="dxa"/>
            <w:vAlign w:val="center"/>
          </w:tcPr>
          <w:p w:rsidR="00000000" w:rsidRDefault="00000000">
            <w:pPr>
              <w:jc w:val="center"/>
              <w:rPr>
                <w:lang w:val="en-GB"/>
              </w:rPr>
            </w:pPr>
            <w:r>
              <w:rPr>
                <w:lang w:val="en-GB"/>
              </w:rPr>
              <w:t>1 074</w:t>
            </w:r>
          </w:p>
        </w:tc>
        <w:tc>
          <w:tcPr>
            <w:tcW w:w="1134" w:type="dxa"/>
            <w:vAlign w:val="center"/>
          </w:tcPr>
          <w:p w:rsidR="00000000" w:rsidRDefault="00000000">
            <w:r>
              <w:t>Польша</w:t>
            </w:r>
          </w:p>
        </w:tc>
        <w:tc>
          <w:tcPr>
            <w:tcW w:w="851" w:type="dxa"/>
            <w:vAlign w:val="center"/>
          </w:tcPr>
          <w:p w:rsidR="00000000" w:rsidRDefault="00000000">
            <w:pPr>
              <w:jc w:val="center"/>
              <w:rPr>
                <w:lang w:val="en-GB"/>
              </w:rPr>
            </w:pPr>
            <w:r>
              <w:rPr>
                <w:lang w:val="en-GB"/>
              </w:rPr>
              <w:t>793</w:t>
            </w:r>
          </w:p>
        </w:tc>
        <w:tc>
          <w:tcPr>
            <w:tcW w:w="1134" w:type="dxa"/>
            <w:vAlign w:val="center"/>
          </w:tcPr>
          <w:p w:rsidR="00000000" w:rsidRDefault="00000000">
            <w:r>
              <w:t>Украина</w:t>
            </w:r>
          </w:p>
        </w:tc>
        <w:tc>
          <w:tcPr>
            <w:tcW w:w="851" w:type="dxa"/>
            <w:vAlign w:val="center"/>
          </w:tcPr>
          <w:p w:rsidR="00000000" w:rsidRDefault="00000000">
            <w:pPr>
              <w:jc w:val="center"/>
              <w:rPr>
                <w:lang w:val="en-GB"/>
              </w:rPr>
            </w:pPr>
            <w:r>
              <w:rPr>
                <w:lang w:val="en-GB"/>
              </w:rPr>
              <w:t>878</w:t>
            </w:r>
          </w:p>
        </w:tc>
        <w:tc>
          <w:tcPr>
            <w:tcW w:w="1134" w:type="dxa"/>
            <w:vAlign w:val="center"/>
          </w:tcPr>
          <w:p w:rsidR="00000000" w:rsidRDefault="00000000">
            <w:pPr>
              <w:rPr>
                <w:lang w:val="en-GB"/>
              </w:rPr>
            </w:pPr>
            <w:r>
              <w:rPr>
                <w:lang w:val="en-GB"/>
              </w:rPr>
              <w:t>Китай</w:t>
            </w:r>
          </w:p>
        </w:tc>
        <w:tc>
          <w:tcPr>
            <w:tcW w:w="737" w:type="dxa"/>
            <w:vAlign w:val="center"/>
          </w:tcPr>
          <w:p w:rsidR="00000000" w:rsidRDefault="00000000">
            <w:pPr>
              <w:jc w:val="center"/>
              <w:rPr>
                <w:lang w:val="en-GB"/>
              </w:rPr>
            </w:pPr>
            <w:r>
              <w:rPr>
                <w:lang w:val="en-GB"/>
              </w:rPr>
              <w:t>111</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r>
              <w:t>Германия</w:t>
            </w:r>
          </w:p>
        </w:tc>
        <w:tc>
          <w:tcPr>
            <w:tcW w:w="851" w:type="dxa"/>
            <w:vAlign w:val="center"/>
          </w:tcPr>
          <w:p w:rsidR="00000000" w:rsidRDefault="00000000">
            <w:pPr>
              <w:jc w:val="center"/>
              <w:rPr>
                <w:lang w:val="en-GB"/>
              </w:rPr>
            </w:pPr>
            <w:r>
              <w:rPr>
                <w:lang w:val="en-GB"/>
              </w:rPr>
              <w:t>1 022</w:t>
            </w:r>
          </w:p>
        </w:tc>
        <w:tc>
          <w:tcPr>
            <w:tcW w:w="1134" w:type="dxa"/>
            <w:vAlign w:val="center"/>
          </w:tcPr>
          <w:p w:rsidR="00000000" w:rsidRDefault="00000000">
            <w:r>
              <w:t>Германия</w:t>
            </w:r>
          </w:p>
        </w:tc>
        <w:tc>
          <w:tcPr>
            <w:tcW w:w="851" w:type="dxa"/>
            <w:vAlign w:val="center"/>
          </w:tcPr>
          <w:p w:rsidR="00000000" w:rsidRDefault="00000000">
            <w:pPr>
              <w:jc w:val="center"/>
              <w:rPr>
                <w:lang w:val="en-GB"/>
              </w:rPr>
            </w:pPr>
            <w:r>
              <w:rPr>
                <w:lang w:val="en-GB"/>
              </w:rPr>
              <w:t>602</w:t>
            </w:r>
          </w:p>
        </w:tc>
        <w:tc>
          <w:tcPr>
            <w:tcW w:w="1134" w:type="dxa"/>
            <w:vAlign w:val="center"/>
          </w:tcPr>
          <w:p w:rsidR="00000000" w:rsidRDefault="00000000">
            <w:r>
              <w:t>Грузия</w:t>
            </w:r>
          </w:p>
        </w:tc>
        <w:tc>
          <w:tcPr>
            <w:tcW w:w="851" w:type="dxa"/>
            <w:vAlign w:val="center"/>
          </w:tcPr>
          <w:p w:rsidR="00000000" w:rsidRDefault="00000000">
            <w:pPr>
              <w:jc w:val="center"/>
              <w:rPr>
                <w:lang w:val="en-GB"/>
              </w:rPr>
            </w:pPr>
            <w:r>
              <w:rPr>
                <w:lang w:val="en-GB"/>
              </w:rPr>
              <w:t>564</w:t>
            </w:r>
          </w:p>
        </w:tc>
        <w:tc>
          <w:tcPr>
            <w:tcW w:w="1134" w:type="dxa"/>
            <w:vAlign w:val="center"/>
          </w:tcPr>
          <w:p w:rsidR="00000000" w:rsidRDefault="00000000">
            <w:r>
              <w:t>Молдова</w:t>
            </w:r>
          </w:p>
        </w:tc>
        <w:tc>
          <w:tcPr>
            <w:tcW w:w="737" w:type="dxa"/>
            <w:vAlign w:val="center"/>
          </w:tcPr>
          <w:p w:rsidR="00000000" w:rsidRDefault="00000000">
            <w:pPr>
              <w:jc w:val="center"/>
              <w:rPr>
                <w:lang w:val="en-GB"/>
              </w:rPr>
            </w:pPr>
            <w:r>
              <w:rPr>
                <w:lang w:val="en-GB"/>
              </w:rPr>
              <w:t>102</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r>
              <w:t>Польша</w:t>
            </w:r>
          </w:p>
        </w:tc>
        <w:tc>
          <w:tcPr>
            <w:tcW w:w="851" w:type="dxa"/>
            <w:vAlign w:val="center"/>
          </w:tcPr>
          <w:p w:rsidR="00000000" w:rsidRDefault="00000000">
            <w:pPr>
              <w:jc w:val="center"/>
              <w:rPr>
                <w:lang w:val="fr-FR"/>
              </w:rPr>
            </w:pPr>
            <w:r>
              <w:rPr>
                <w:lang w:val="fr-FR"/>
              </w:rPr>
              <w:t>1 019</w:t>
            </w:r>
          </w:p>
        </w:tc>
        <w:tc>
          <w:tcPr>
            <w:tcW w:w="1134" w:type="dxa"/>
            <w:vAlign w:val="center"/>
          </w:tcPr>
          <w:p w:rsidR="00000000" w:rsidRDefault="00000000">
            <w:r>
              <w:t>Украина</w:t>
            </w:r>
          </w:p>
        </w:tc>
        <w:tc>
          <w:tcPr>
            <w:tcW w:w="851" w:type="dxa"/>
            <w:vAlign w:val="center"/>
          </w:tcPr>
          <w:p w:rsidR="00000000" w:rsidRDefault="00000000">
            <w:pPr>
              <w:jc w:val="center"/>
              <w:rPr>
                <w:lang w:val="fr-FR"/>
              </w:rPr>
            </w:pPr>
            <w:r>
              <w:rPr>
                <w:lang w:val="fr-FR"/>
              </w:rPr>
              <w:t>575</w:t>
            </w:r>
          </w:p>
        </w:tc>
        <w:tc>
          <w:tcPr>
            <w:tcW w:w="1134" w:type="dxa"/>
            <w:vAlign w:val="center"/>
          </w:tcPr>
          <w:p w:rsidR="00000000" w:rsidRDefault="00000000">
            <w:r>
              <w:t>Польша</w:t>
            </w:r>
          </w:p>
        </w:tc>
        <w:tc>
          <w:tcPr>
            <w:tcW w:w="851" w:type="dxa"/>
            <w:vAlign w:val="center"/>
          </w:tcPr>
          <w:p w:rsidR="00000000" w:rsidRDefault="00000000">
            <w:pPr>
              <w:jc w:val="center"/>
              <w:rPr>
                <w:lang w:val="fr-FR"/>
              </w:rPr>
            </w:pPr>
            <w:r>
              <w:rPr>
                <w:lang w:val="fr-FR"/>
              </w:rPr>
              <w:t>553</w:t>
            </w:r>
          </w:p>
        </w:tc>
        <w:tc>
          <w:tcPr>
            <w:tcW w:w="1134" w:type="dxa"/>
            <w:vAlign w:val="center"/>
          </w:tcPr>
          <w:p w:rsidR="00000000" w:rsidRDefault="00000000">
            <w:r>
              <w:t>Болгария</w:t>
            </w:r>
          </w:p>
        </w:tc>
        <w:tc>
          <w:tcPr>
            <w:tcW w:w="737" w:type="dxa"/>
            <w:vAlign w:val="center"/>
          </w:tcPr>
          <w:p w:rsidR="00000000" w:rsidRDefault="00000000">
            <w:pPr>
              <w:jc w:val="center"/>
              <w:rPr>
                <w:lang w:val="en-GB"/>
              </w:rPr>
            </w:pPr>
            <w:r>
              <w:rPr>
                <w:lang w:val="en-GB"/>
              </w:rPr>
              <w:t>97</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r>
              <w:t>Грузия</w:t>
            </w:r>
          </w:p>
        </w:tc>
        <w:tc>
          <w:tcPr>
            <w:tcW w:w="851" w:type="dxa"/>
            <w:vAlign w:val="center"/>
          </w:tcPr>
          <w:p w:rsidR="00000000" w:rsidRDefault="00000000">
            <w:pPr>
              <w:jc w:val="center"/>
              <w:rPr>
                <w:lang w:val="en-GB"/>
              </w:rPr>
            </w:pPr>
            <w:r>
              <w:rPr>
                <w:lang w:val="en-GB"/>
              </w:rPr>
              <w:t>895</w:t>
            </w:r>
          </w:p>
        </w:tc>
        <w:tc>
          <w:tcPr>
            <w:tcW w:w="1134" w:type="dxa"/>
            <w:vAlign w:val="center"/>
          </w:tcPr>
          <w:p w:rsidR="00000000" w:rsidRDefault="00000000">
            <w:pPr>
              <w:rPr>
                <w:lang w:val="en-GB"/>
              </w:rPr>
            </w:pPr>
            <w:r>
              <w:rPr>
                <w:lang w:val="en-GB"/>
              </w:rPr>
              <w:t>Вьетнам</w:t>
            </w:r>
          </w:p>
        </w:tc>
        <w:tc>
          <w:tcPr>
            <w:tcW w:w="851" w:type="dxa"/>
            <w:vAlign w:val="center"/>
          </w:tcPr>
          <w:p w:rsidR="00000000" w:rsidRDefault="00000000">
            <w:pPr>
              <w:jc w:val="center"/>
              <w:rPr>
                <w:lang w:val="en-GB"/>
              </w:rPr>
            </w:pPr>
            <w:r>
              <w:rPr>
                <w:lang w:val="en-GB"/>
              </w:rPr>
              <w:t>550</w:t>
            </w:r>
          </w:p>
        </w:tc>
        <w:tc>
          <w:tcPr>
            <w:tcW w:w="1134" w:type="dxa"/>
            <w:vAlign w:val="center"/>
          </w:tcPr>
          <w:p w:rsidR="00000000" w:rsidRDefault="00000000">
            <w:r>
              <w:t>Германия</w:t>
            </w:r>
          </w:p>
        </w:tc>
        <w:tc>
          <w:tcPr>
            <w:tcW w:w="851" w:type="dxa"/>
            <w:vAlign w:val="center"/>
          </w:tcPr>
          <w:p w:rsidR="00000000" w:rsidRDefault="00000000">
            <w:pPr>
              <w:jc w:val="center"/>
              <w:rPr>
                <w:lang w:val="en-GB"/>
              </w:rPr>
            </w:pPr>
            <w:r>
              <w:rPr>
                <w:lang w:val="en-GB"/>
              </w:rPr>
              <w:t>456</w:t>
            </w:r>
          </w:p>
        </w:tc>
        <w:tc>
          <w:tcPr>
            <w:tcW w:w="1134" w:type="dxa"/>
            <w:vAlign w:val="center"/>
          </w:tcPr>
          <w:p w:rsidR="00000000" w:rsidRDefault="00000000">
            <w:r>
              <w:t>Польша</w:t>
            </w:r>
          </w:p>
        </w:tc>
        <w:tc>
          <w:tcPr>
            <w:tcW w:w="737" w:type="dxa"/>
            <w:vAlign w:val="center"/>
          </w:tcPr>
          <w:p w:rsidR="00000000" w:rsidRDefault="00000000">
            <w:pPr>
              <w:jc w:val="center"/>
              <w:rPr>
                <w:lang w:val="en-GB"/>
              </w:rPr>
            </w:pPr>
            <w:r>
              <w:rPr>
                <w:lang w:val="en-GB"/>
              </w:rPr>
              <w:t>63</w:t>
            </w:r>
          </w:p>
        </w:tc>
      </w:tr>
      <w:tr w:rsidR="00000000">
        <w:trPr>
          <w:cantSplit/>
        </w:trPr>
        <w:tc>
          <w:tcPr>
            <w:tcW w:w="1504" w:type="dxa"/>
            <w:vMerge/>
            <w:vAlign w:val="center"/>
          </w:tcPr>
          <w:p w:rsidR="00000000" w:rsidRDefault="00000000">
            <w:pPr>
              <w:rPr>
                <w:lang w:val="en-GB"/>
              </w:rPr>
            </w:pPr>
          </w:p>
        </w:tc>
        <w:tc>
          <w:tcPr>
            <w:tcW w:w="1134" w:type="dxa"/>
            <w:vAlign w:val="center"/>
          </w:tcPr>
          <w:p w:rsidR="00000000" w:rsidRDefault="00000000">
            <w:r>
              <w:t>Россия</w:t>
            </w:r>
          </w:p>
        </w:tc>
        <w:tc>
          <w:tcPr>
            <w:tcW w:w="851" w:type="dxa"/>
            <w:vAlign w:val="center"/>
          </w:tcPr>
          <w:p w:rsidR="00000000" w:rsidRDefault="00000000">
            <w:pPr>
              <w:jc w:val="center"/>
            </w:pPr>
            <w:r>
              <w:t>368</w:t>
            </w:r>
          </w:p>
        </w:tc>
        <w:tc>
          <w:tcPr>
            <w:tcW w:w="1134" w:type="dxa"/>
            <w:vAlign w:val="center"/>
          </w:tcPr>
          <w:p w:rsidR="00000000" w:rsidRDefault="00000000">
            <w:r>
              <w:t>Словакия</w:t>
            </w:r>
          </w:p>
        </w:tc>
        <w:tc>
          <w:tcPr>
            <w:tcW w:w="851" w:type="dxa"/>
            <w:vAlign w:val="center"/>
          </w:tcPr>
          <w:p w:rsidR="00000000" w:rsidRDefault="00000000">
            <w:pPr>
              <w:jc w:val="center"/>
              <w:rPr>
                <w:lang w:val="en-GB"/>
              </w:rPr>
            </w:pPr>
            <w:r>
              <w:rPr>
                <w:lang w:val="en-GB"/>
              </w:rPr>
              <w:t>263</w:t>
            </w:r>
          </w:p>
        </w:tc>
        <w:tc>
          <w:tcPr>
            <w:tcW w:w="1134" w:type="dxa"/>
            <w:vAlign w:val="center"/>
          </w:tcPr>
          <w:p w:rsidR="00000000" w:rsidRDefault="00000000">
            <w:r>
              <w:t>Румыния</w:t>
            </w:r>
          </w:p>
        </w:tc>
        <w:tc>
          <w:tcPr>
            <w:tcW w:w="851" w:type="dxa"/>
            <w:vAlign w:val="center"/>
          </w:tcPr>
          <w:p w:rsidR="00000000" w:rsidRDefault="00000000">
            <w:pPr>
              <w:jc w:val="center"/>
              <w:rPr>
                <w:lang w:val="en-GB"/>
              </w:rPr>
            </w:pPr>
            <w:r>
              <w:rPr>
                <w:lang w:val="en-GB"/>
              </w:rPr>
              <w:t>152</w:t>
            </w:r>
          </w:p>
        </w:tc>
        <w:tc>
          <w:tcPr>
            <w:tcW w:w="1134" w:type="dxa"/>
            <w:vAlign w:val="center"/>
          </w:tcPr>
          <w:p w:rsidR="00000000" w:rsidRDefault="00000000">
            <w:pPr>
              <w:rPr>
                <w:lang w:val="en-GB"/>
              </w:rPr>
            </w:pPr>
            <w:r>
              <w:rPr>
                <w:lang w:val="en-GB"/>
              </w:rPr>
              <w:t>Вьетнам</w:t>
            </w:r>
          </w:p>
        </w:tc>
        <w:tc>
          <w:tcPr>
            <w:tcW w:w="737" w:type="dxa"/>
            <w:vAlign w:val="center"/>
          </w:tcPr>
          <w:p w:rsidR="00000000" w:rsidRDefault="00000000">
            <w:pPr>
              <w:jc w:val="center"/>
              <w:rPr>
                <w:lang w:val="en-GB"/>
              </w:rPr>
            </w:pPr>
            <w:r>
              <w:rPr>
                <w:lang w:val="en-GB"/>
              </w:rPr>
              <w:t>39</w:t>
            </w:r>
          </w:p>
        </w:tc>
      </w:tr>
      <w:tr w:rsidR="00000000">
        <w:trPr>
          <w:cantSplit/>
        </w:trPr>
        <w:tc>
          <w:tcPr>
            <w:tcW w:w="1504" w:type="dxa"/>
            <w:vMerge/>
            <w:vAlign w:val="bottom"/>
          </w:tcPr>
          <w:p w:rsidR="00000000" w:rsidRDefault="00000000">
            <w:pPr>
              <w:rPr>
                <w:lang w:val="en-GB"/>
              </w:rPr>
            </w:pPr>
          </w:p>
        </w:tc>
        <w:tc>
          <w:tcPr>
            <w:tcW w:w="1134" w:type="dxa"/>
            <w:vAlign w:val="center"/>
          </w:tcPr>
          <w:p w:rsidR="00000000" w:rsidRDefault="00000000">
            <w:r>
              <w:t>Другие</w:t>
            </w:r>
          </w:p>
        </w:tc>
        <w:tc>
          <w:tcPr>
            <w:tcW w:w="851" w:type="dxa"/>
            <w:vAlign w:val="center"/>
          </w:tcPr>
          <w:p w:rsidR="00000000" w:rsidRDefault="00000000">
            <w:pPr>
              <w:jc w:val="center"/>
              <w:rPr>
                <w:lang w:val="en-GB"/>
              </w:rPr>
            </w:pPr>
            <w:r>
              <w:rPr>
                <w:lang w:val="en-GB"/>
              </w:rPr>
              <w:t>6 872</w:t>
            </w:r>
          </w:p>
        </w:tc>
        <w:tc>
          <w:tcPr>
            <w:tcW w:w="1134" w:type="dxa"/>
            <w:vAlign w:val="center"/>
          </w:tcPr>
          <w:p w:rsidR="00000000" w:rsidRDefault="00000000">
            <w:r>
              <w:t>Другие</w:t>
            </w:r>
          </w:p>
        </w:tc>
        <w:tc>
          <w:tcPr>
            <w:tcW w:w="851" w:type="dxa"/>
            <w:vAlign w:val="center"/>
          </w:tcPr>
          <w:p w:rsidR="00000000" w:rsidRDefault="00000000">
            <w:pPr>
              <w:jc w:val="center"/>
              <w:rPr>
                <w:lang w:val="en-GB"/>
              </w:rPr>
            </w:pPr>
            <w:r>
              <w:rPr>
                <w:lang w:val="en-GB"/>
              </w:rPr>
              <w:t>5 359</w:t>
            </w:r>
          </w:p>
        </w:tc>
        <w:tc>
          <w:tcPr>
            <w:tcW w:w="1134" w:type="dxa"/>
          </w:tcPr>
          <w:p w:rsidR="00000000" w:rsidRDefault="00000000">
            <w:r>
              <w:t>Другие</w:t>
            </w:r>
          </w:p>
        </w:tc>
        <w:tc>
          <w:tcPr>
            <w:tcW w:w="851" w:type="dxa"/>
          </w:tcPr>
          <w:p w:rsidR="00000000" w:rsidRDefault="00000000">
            <w:pPr>
              <w:jc w:val="center"/>
              <w:rPr>
                <w:lang w:val="en-GB"/>
              </w:rPr>
            </w:pPr>
            <w:r>
              <w:rPr>
                <w:lang w:val="en-GB"/>
              </w:rPr>
              <w:t>3 358</w:t>
            </w:r>
          </w:p>
        </w:tc>
        <w:tc>
          <w:tcPr>
            <w:tcW w:w="1134" w:type="dxa"/>
            <w:vAlign w:val="center"/>
          </w:tcPr>
          <w:p w:rsidR="00000000" w:rsidRDefault="00000000">
            <w:r>
              <w:t>Другие</w:t>
            </w:r>
          </w:p>
        </w:tc>
        <w:tc>
          <w:tcPr>
            <w:tcW w:w="737" w:type="dxa"/>
            <w:vAlign w:val="center"/>
          </w:tcPr>
          <w:p w:rsidR="00000000" w:rsidRDefault="00000000">
            <w:pPr>
              <w:jc w:val="center"/>
              <w:rPr>
                <w:lang w:val="en-GB"/>
              </w:rPr>
            </w:pPr>
            <w:r>
              <w:rPr>
                <w:lang w:val="en-GB"/>
              </w:rPr>
              <w:t>665</w:t>
            </w:r>
          </w:p>
        </w:tc>
      </w:tr>
      <w:tr w:rsidR="00000000">
        <w:trPr>
          <w:cantSplit/>
        </w:trPr>
        <w:tc>
          <w:tcPr>
            <w:tcW w:w="1504" w:type="dxa"/>
            <w:vAlign w:val="bottom"/>
          </w:tcPr>
          <w:p w:rsidR="00000000" w:rsidRDefault="00000000">
            <w:pPr>
              <w:rPr>
                <w:lang w:val="en-GB"/>
              </w:rPr>
            </w:pPr>
            <w:r>
              <w:t>Всего</w:t>
            </w:r>
          </w:p>
        </w:tc>
        <w:tc>
          <w:tcPr>
            <w:tcW w:w="1985" w:type="dxa"/>
            <w:gridSpan w:val="2"/>
            <w:vAlign w:val="center"/>
          </w:tcPr>
          <w:p w:rsidR="00000000" w:rsidRDefault="00000000">
            <w:pPr>
              <w:jc w:val="center"/>
              <w:rPr>
                <w:lang w:val="en-GB"/>
              </w:rPr>
            </w:pPr>
            <w:r>
              <w:rPr>
                <w:lang w:val="en-GB"/>
              </w:rPr>
              <w:t>14 741</w:t>
            </w:r>
          </w:p>
        </w:tc>
        <w:tc>
          <w:tcPr>
            <w:tcW w:w="1985" w:type="dxa"/>
            <w:gridSpan w:val="2"/>
            <w:vAlign w:val="center"/>
          </w:tcPr>
          <w:p w:rsidR="00000000" w:rsidRDefault="00000000">
            <w:pPr>
              <w:jc w:val="center"/>
              <w:rPr>
                <w:lang w:val="en-GB"/>
              </w:rPr>
            </w:pPr>
            <w:r>
              <w:rPr>
                <w:lang w:val="en-GB"/>
              </w:rPr>
              <w:t>13 206</w:t>
            </w:r>
          </w:p>
        </w:tc>
        <w:tc>
          <w:tcPr>
            <w:tcW w:w="1985" w:type="dxa"/>
            <w:gridSpan w:val="2"/>
          </w:tcPr>
          <w:p w:rsidR="00000000" w:rsidRDefault="00000000">
            <w:pPr>
              <w:jc w:val="center"/>
              <w:rPr>
                <w:lang w:val="en-GB"/>
              </w:rPr>
            </w:pPr>
            <w:r>
              <w:rPr>
                <w:lang w:val="en-GB"/>
              </w:rPr>
              <w:t>10 695</w:t>
            </w:r>
          </w:p>
        </w:tc>
        <w:tc>
          <w:tcPr>
            <w:tcW w:w="1871" w:type="dxa"/>
            <w:gridSpan w:val="2"/>
            <w:vAlign w:val="center"/>
          </w:tcPr>
          <w:p w:rsidR="00000000" w:rsidRDefault="00000000">
            <w:pPr>
              <w:jc w:val="center"/>
              <w:rPr>
                <w:lang w:val="en-GB"/>
              </w:rPr>
            </w:pPr>
            <w:r>
              <w:rPr>
                <w:lang w:val="en-GB"/>
              </w:rPr>
              <w:t>1 563</w:t>
            </w:r>
          </w:p>
        </w:tc>
      </w:tr>
    </w:tbl>
    <w:p w:rsidR="00000000" w:rsidRDefault="00000000">
      <w:pPr>
        <w:jc w:val="center"/>
        <w:rPr>
          <w:b/>
          <w:bCs/>
          <w:lang w:val="en-GB"/>
        </w:rPr>
      </w:pPr>
    </w:p>
    <w:p w:rsidR="00000000" w:rsidRDefault="00000000">
      <w:pPr>
        <w:jc w:val="center"/>
        <w:rPr>
          <w:b/>
          <w:bCs/>
        </w:rPr>
      </w:pPr>
      <w:r>
        <w:rPr>
          <w:b/>
          <w:bCs/>
          <w:lang w:val="en-GB"/>
        </w:rPr>
        <w:br w:type="page"/>
        <w:t>II</w:t>
      </w:r>
      <w:r>
        <w:rPr>
          <w:b/>
          <w:bCs/>
        </w:rPr>
        <w:t>.</w:t>
      </w:r>
      <w:r>
        <w:rPr>
          <w:b/>
          <w:bCs/>
        </w:rPr>
        <w:tab/>
        <w:t>ОТДЕЛЬНАЯ ЧАСТЬ</w:t>
      </w:r>
    </w:p>
    <w:p w:rsidR="00000000" w:rsidRDefault="00000000">
      <w:pPr>
        <w:jc w:val="center"/>
        <w:rPr>
          <w:b/>
          <w:bCs/>
        </w:rPr>
      </w:pPr>
    </w:p>
    <w:p w:rsidR="00000000" w:rsidRDefault="00000000">
      <w:pPr>
        <w:jc w:val="center"/>
        <w:rPr>
          <w:b/>
          <w:bCs/>
        </w:rPr>
      </w:pPr>
      <w:r>
        <w:rPr>
          <w:b/>
          <w:bCs/>
        </w:rPr>
        <w:t>Выполнение статей 2</w:t>
      </w:r>
      <w:r>
        <w:rPr>
          <w:b/>
          <w:bCs/>
        </w:rPr>
        <w:noBreakHyphen/>
        <w:t>7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Правовые и административные меры по борьбе против дискриминации</w:t>
      </w:r>
    </w:p>
    <w:p w:rsidR="00000000" w:rsidRDefault="00000000">
      <w:pPr>
        <w:jc w:val="center"/>
        <w:rPr>
          <w:b/>
          <w:bCs/>
        </w:rPr>
      </w:pPr>
    </w:p>
    <w:p w:rsidR="00000000" w:rsidRDefault="00000000">
      <w:pPr>
        <w:keepNext/>
        <w:rPr>
          <w:u w:val="single"/>
        </w:rPr>
      </w:pPr>
      <w:r>
        <w:rPr>
          <w:u w:val="single"/>
        </w:rPr>
        <w:t>Присоединение ЧР к международным договорам по правам человека</w:t>
      </w:r>
    </w:p>
    <w:p w:rsidR="00000000" w:rsidRDefault="00000000">
      <w:pPr>
        <w:keepNext/>
        <w:rPr>
          <w:u w:val="single"/>
        </w:rPr>
      </w:pPr>
    </w:p>
    <w:p w:rsidR="00000000" w:rsidRDefault="00000000">
      <w:r>
        <w:t>16.</w:t>
      </w:r>
      <w:r>
        <w:tab/>
        <w:t>4</w:t>
      </w:r>
      <w:r>
        <w:rPr>
          <w:lang w:val="en-GB"/>
        </w:rPr>
        <w:t> </w:t>
      </w:r>
      <w:r>
        <w:t>ноября 2000</w:t>
      </w:r>
      <w:r>
        <w:rPr>
          <w:lang w:val="en-GB"/>
        </w:rPr>
        <w:t> </w:t>
      </w:r>
      <w:r>
        <w:t>года ЧР подписала Протокол</w:t>
      </w:r>
      <w:r>
        <w:rPr>
          <w:lang w:val="en-GB"/>
        </w:rPr>
        <w:t> </w:t>
      </w:r>
      <w:r>
        <w:t>№ 12 к Европейской конвенции о защите прав человека и основных свобод.  В нем расширительно толкуется запрещение дискриминации, предусмотренное в статье 14 Конвенции, и учитываются все случаи дискриминации.  ЧР пока еще не ратифицировала этот Протокол, и в сентябре 2004 года премьер-министр по просьбе министра иностранных дел принял решение отложить его ратификацию до 30 июля 2007 года.  Осторожность подхода ЧР связана с исками по имущественным вопросам против ЧР, поданными в Европейский суд по правам человека и Комитет ООН по правам человека в Женеве, в которых подход ЧР в ряде случаев был признан дискриминационным.</w:t>
      </w:r>
    </w:p>
    <w:p w:rsidR="00000000" w:rsidRDefault="00000000"/>
    <w:p w:rsidR="00000000" w:rsidRDefault="00000000">
      <w:r>
        <w:t>17.</w:t>
      </w:r>
      <w:r>
        <w:tab/>
        <w:t>9 ноября 2000 года ЧР подписала Европейскую хартию региональных языков и языков меньшинств, цель которой состоит в сохранении и укреплении европейского лингвистического разнообразия.  ЧР пока еще не ратифицировала эту Хартию.  Предложение о ее ратификации будет представлено правительству до 31 декабря 2005 года.</w:t>
      </w:r>
    </w:p>
    <w:p w:rsidR="00000000" w:rsidRDefault="00000000"/>
    <w:p w:rsidR="00000000" w:rsidRDefault="00000000">
      <w:r>
        <w:t>18.</w:t>
      </w:r>
      <w:r>
        <w:tab/>
        <w:t>В 2004 году ЧР ратифицировала Европейскую конвенцию о гражданстве, представляющую собой современный правовой документ, охватывающий вопросы гражданства, цель которого, в частности, состоит в борьбе с дискриминацией в области гражданства.</w:t>
      </w:r>
    </w:p>
    <w:p w:rsidR="00000000" w:rsidRDefault="00000000"/>
    <w:p w:rsidR="00000000" w:rsidRDefault="00000000">
      <w:r>
        <w:t>19.</w:t>
      </w:r>
      <w:r>
        <w:tab/>
        <w:t>В 2004 году ЧР также ратифицировала Конвенцию о статусе лиц без гражданства.</w:t>
      </w:r>
    </w:p>
    <w:p w:rsidR="00000000" w:rsidRDefault="00000000"/>
    <w:p w:rsidR="00000000" w:rsidRDefault="00000000">
      <w:pPr>
        <w:keepNext/>
        <w:rPr>
          <w:u w:val="single"/>
        </w:rPr>
      </w:pPr>
      <w:r>
        <w:rPr>
          <w:u w:val="single"/>
        </w:rPr>
        <w:t>Национальное законодательство о защите от расовой дискриминации</w:t>
      </w:r>
    </w:p>
    <w:p w:rsidR="00000000" w:rsidRDefault="00000000">
      <w:pPr>
        <w:keepNext/>
        <w:rPr>
          <w:u w:val="single"/>
        </w:rPr>
      </w:pPr>
    </w:p>
    <w:p w:rsidR="00000000" w:rsidRDefault="00000000">
      <w:r>
        <w:t>20.</w:t>
      </w:r>
      <w:r>
        <w:tab/>
        <w:t>Национальное законодательство о защите от расовой дискриминации было подробно описано в предыдущих докладах.  Основополагающей правовой нормой, на которую опирается защита основных прав и свобод, является Хартия об основных правах и свободах, которая является одним из элементов конституционного порядка.  В</w:t>
      </w:r>
      <w:r>
        <w:rPr>
          <w:lang w:val="en-GB"/>
        </w:rPr>
        <w:t> </w:t>
      </w:r>
      <w:r>
        <w:t>своей статье</w:t>
      </w:r>
      <w:r>
        <w:rPr>
          <w:lang w:val="en-GB"/>
        </w:rPr>
        <w:t> </w:t>
      </w:r>
      <w:r>
        <w:t>3 она предусматривает общее запрещение дискриминации и гарантирует "основные права и свободы человека для всех вне зависимости от пола, расы, цвета кожи, языка, религии и вероисповедания, политических или иных убеждений, этнического или социального происхождения, принадлежности к национальному или этническому меньшинству, имущественного положения, рождения или другого положения".  Защита от дискриминации также обеспечивается международными договорами, имеющими обязательную силу для ЧР</w:t>
      </w:r>
      <w:r>
        <w:rPr>
          <w:rStyle w:val="FootnoteReference"/>
        </w:rPr>
        <w:footnoteReference w:id="12"/>
      </w:r>
      <w:r>
        <w:t>.</w:t>
      </w:r>
    </w:p>
    <w:p w:rsidR="00000000" w:rsidRDefault="00000000"/>
    <w:p w:rsidR="00000000" w:rsidRDefault="00000000">
      <w:r>
        <w:t>21.</w:t>
      </w:r>
      <w:r>
        <w:tab/>
        <w:t>До 31 мая 2002 года в статье 10 Конституции ЧР признавалась лишь одна категория международных договоров - договоры о правах человека и основных свободах, которые на конституционном уровне имели преимущество перед внутренним законодательством.  Все другие договоры могли непосредственно применяться на национальном уровне лишь в случаях, установленных законодательством.  Такая ситуация приводила к отсутствию транспарентности, непоследовательности и отсутствию единообразия в применении соответствующих договоров судами и другими органами, и соответственно сказывалась на практике применения.</w:t>
      </w:r>
    </w:p>
    <w:p w:rsidR="00000000" w:rsidRDefault="00000000"/>
    <w:p w:rsidR="00000000" w:rsidRDefault="00000000">
      <w:r>
        <w:t>22.</w:t>
      </w:r>
      <w:r>
        <w:tab/>
        <w:t>Внесенные в статью 10 Конституции изменения, вступившие в силу с 1 июня 2002 года (Конституционный закон № 395/2001 </w:t>
      </w:r>
      <w:r>
        <w:rPr>
          <w:lang w:val="en-US"/>
        </w:rPr>
        <w:t>Coll</w:t>
      </w:r>
      <w:r>
        <w:t>.), представляют собой значительный позитивный сдвиг, поскольку в них предусмотрено, что "обнародованные</w:t>
      </w:r>
      <w:r>
        <w:rPr>
          <w:rStyle w:val="FootnoteReference"/>
        </w:rPr>
        <w:footnoteReference w:id="13"/>
      </w:r>
      <w:r>
        <w:t xml:space="preserve"> международные договоры, ратификация которых была одобрена парламентом, и обязательства, которые приняла на себя Чешская Республика, являются частью законодательства.  Если международным договором предусмотрено иное, применяются положения международного договора".  Эта поправка к Конституции устанавливает преимущество международных договоров перед внутренним законодательством.  Если установлено, что какой-либо законодательный акт не соответствует положениям международного договора, составляющего часть правового режима ЧР, преимущественную силу в правовой практике должен иметь этот международный договор.  В случае, если такое несоответствие не позволяет обеспечить эффективного осуществления прав, предусмотренных в международных договорах, это является основанием для оспаривания таких законов, иных правовых норм или их отдельных элементов с целью их отмены в Конституционном суде.  Изменения к статье 10 Конституции наделили Конституционный суд новыми полномочиями:  он вправе принимать решение о возбуждении ходатайства в целях оценки соответствия международного договора конституционному порядку, в том числе до его ратификации</w:t>
      </w:r>
      <w:r>
        <w:rPr>
          <w:rStyle w:val="FootnoteReference"/>
        </w:rPr>
        <w:footnoteReference w:id="14"/>
      </w:r>
      <w:r>
        <w:t>.  Право на возбуждение ходатайства о проведении проверки соответствия положений международных договоров положениям Конституции до их ратификации имеют президент Республики, определенное количество членов парламента и сенаторы.  Если Конституционный суд устанавливает наличие противоречия между положениями Конституции и какого-либо договора, это противоречие должно быть устранено, поскольку в противном случае будет иметь место нарушение Конституции.</w:t>
      </w:r>
    </w:p>
    <w:p w:rsidR="00000000" w:rsidRDefault="00000000"/>
    <w:p w:rsidR="00000000" w:rsidRDefault="00000000">
      <w:r>
        <w:t>23.</w:t>
      </w:r>
      <w:r>
        <w:tab/>
        <w:t>В период 2002-2005 годов были приняты поправки к правовым нормам и несколько новых законов, которые касаются вопроса о дискриминации.  Среди них в первую очередь нужно отметить следующие:</w:t>
      </w:r>
    </w:p>
    <w:p w:rsidR="00000000" w:rsidRDefault="00000000"/>
    <w:p w:rsidR="00000000" w:rsidRDefault="00000000">
      <w:r>
        <w:tab/>
        <w:t>а)</w:t>
      </w:r>
      <w:r>
        <w:tab/>
        <w:t>поправка к Гражданско-процессуальному кодексу (Закон № 99/1963 </w:t>
      </w:r>
      <w:r>
        <w:rPr>
          <w:lang w:val="en-US"/>
        </w:rPr>
        <w:t>Coll</w:t>
      </w:r>
      <w:r>
        <w:t>.) устанавливает принцип переноса бремени доказывания в случаях предполагаемой дискриминации на основе расового или этнического происхождения в делах, связанных с предоставлением услуг в области здравоохранения и социального обслуживания, доступом к образованию и специальной профессиональной подготовкой, доступом к государственным заказам, членством в организациях работников или работодателей и членством в профессиональных и профильных ассоциациях, а также продажей товаров в магазинах или предоставлением услуг</w:t>
      </w:r>
      <w:r>
        <w:rPr>
          <w:rStyle w:val="FootnoteReference"/>
        </w:rPr>
        <w:footnoteReference w:id="15"/>
      </w:r>
      <w:r>
        <w:t>.</w:t>
      </w:r>
    </w:p>
    <w:p w:rsidR="00000000" w:rsidRDefault="00000000"/>
    <w:p w:rsidR="00000000" w:rsidRDefault="00000000">
      <w:r>
        <w:tab/>
      </w:r>
      <w:r>
        <w:rPr>
          <w:lang w:val="en-US"/>
        </w:rPr>
        <w:t>b</w:t>
      </w:r>
      <w:r>
        <w:t>)</w:t>
      </w:r>
      <w:r>
        <w:tab/>
        <w:t>Поправка к Трудовому кодексу (Закон № 65/1965 </w:t>
      </w:r>
      <w:r>
        <w:rPr>
          <w:lang w:val="en-US"/>
        </w:rPr>
        <w:t>Coll</w:t>
      </w:r>
      <w:r>
        <w:t xml:space="preserve">.) запрещает прямую и косвенную дискриминацию, в частности по признакам расового или этнического происхождения, запрещает преследования и сексуальные домогательства, определяет условия, относящиеся к дискриминации, и дает более четкое определение сексуального </w:t>
      </w:r>
    </w:p>
    <w:p w:rsidR="00000000" w:rsidRDefault="00000000">
      <w:r>
        <w:br w:type="page"/>
        <w:t>домогательства на рабочем месте</w:t>
      </w:r>
      <w:r>
        <w:rPr>
          <w:rStyle w:val="FootnoteReference"/>
        </w:rPr>
        <w:footnoteReference w:id="16"/>
      </w:r>
      <w:r>
        <w:t>.  В Трудовом кодексе также предусмотрено, что в случае, если в сфере трудовых отношений работника имеет место нарушение прав и обязательств в части равного обращения с мужчинами и женщинами или наличия дискриминации, работники имеют право на прекращение подобного нарушения, на устранение его последствий и на получение соответствующей компенсации.  Данная поправка была принята частично на основе Директивы ЕС о равном обращении и запрещении дискриминации</w:t>
      </w:r>
      <w:r>
        <w:rPr>
          <w:rStyle w:val="FootnoteReference"/>
        </w:rPr>
        <w:footnoteReference w:id="17"/>
      </w:r>
      <w:r>
        <w:t>.</w:t>
      </w:r>
    </w:p>
    <w:p w:rsidR="00000000" w:rsidRDefault="00000000"/>
    <w:p w:rsidR="00000000" w:rsidRDefault="00000000">
      <w:r>
        <w:tab/>
        <w:t>с)</w:t>
      </w:r>
      <w:r>
        <w:tab/>
        <w:t xml:space="preserve">Был принят новый Закон о занятости (№ 435/2004 </w:t>
      </w:r>
      <w:r>
        <w:rPr>
          <w:lang w:val="en-US"/>
        </w:rPr>
        <w:t>Coll</w:t>
      </w:r>
      <w:r>
        <w:t>.), который, как и Трудовой кодекс, содержит более развернутые законодательные нормы по вопросу о дискриминации.  Этот закон охватывает доступ к трудоустройству и устанавливает некоторые позитивные меры для представителей национальных и этнических меньшинств.  Он запрещает прямую и косвенную дискриминацию в области осуществления права на труд по признаку пола, сексуальной ориентации, расового или этнического происхождения, национальности, гражданства, социального происхождения, семейной принадлежности, языка, состояния здоровья, религии или вероисповедания, имущественного, гражданского или семейного статуса, возраста или семейных обязательств, политической или иной ориентации, членства и участия в политических движениях, профессиональных союзах или организациях трудящихся</w:t>
      </w:r>
      <w:r>
        <w:rPr>
          <w:rStyle w:val="FootnoteReference"/>
        </w:rPr>
        <w:footnoteReference w:id="18"/>
      </w:r>
      <w:r>
        <w:t>.</w:t>
      </w:r>
    </w:p>
    <w:p w:rsidR="00000000" w:rsidRDefault="00000000"/>
    <w:p w:rsidR="00000000" w:rsidRDefault="00000000">
      <w:r>
        <w:tab/>
      </w:r>
      <w:r>
        <w:rPr>
          <w:lang w:val="en-US"/>
        </w:rPr>
        <w:t>d</w:t>
      </w:r>
      <w:r>
        <w:t>)</w:t>
      </w:r>
      <w:r>
        <w:tab/>
        <w:t xml:space="preserve">Поправка к Закону о регулярной воинской службе (№ 221/1999 </w:t>
      </w:r>
      <w:r>
        <w:rPr>
          <w:lang w:val="en-US"/>
        </w:rPr>
        <w:t>Coll</w:t>
      </w:r>
      <w:r>
        <w:t>.) предусматривает обязательство военных учреждений обеспечивать равный доступ и равные возможности для всех кандидатов на выполнение определенных служебных функций, а также для всех военнослужащих в части создания условий для надлежащего исполнения ими служебных обязанностей</w:t>
      </w:r>
      <w:r>
        <w:rPr>
          <w:rStyle w:val="FootnoteReference"/>
        </w:rPr>
        <w:footnoteReference w:id="19"/>
      </w:r>
      <w:r>
        <w:t>.  Данный Закон включает антидискриминационные положения, запрещающие дискриминацию по широкому спектру признаков;  в их число были включены новые признаки, касающиеся национальности, беременности, материнства и грудного вскармливания.  Положения Закона также охватывают служебные взаимоотношения, в том числе до начала исполнения служебных обязанностей, и, таким образом, также действуют применительно к процедуре отбора для исполнения тех или иных служебных функций.  Косвенно дискриминация определяется как "поведение, которое является дискриминационным не непосредственно, а по своим последствиям".  Закон также включает определение преследования как "неприемлемой формы поведения, нарушающей права и обязательства, связанные с исполнением служебных обязанностей", а также квалифицирует сексуальное домогательство.</w:t>
      </w:r>
    </w:p>
    <w:p w:rsidR="00000000" w:rsidRDefault="00000000"/>
    <w:p w:rsidR="00000000" w:rsidRDefault="00000000">
      <w:r>
        <w:tab/>
        <w:t>е)</w:t>
      </w:r>
      <w:r>
        <w:tab/>
        <w:t xml:space="preserve">В 2002 году было принято комплексное законодательство, охватывающее вопросы трудовых отношений государственных служащих в тех случаях, когда такие взаимоотношения приобретают характер служебных взаимоотношений.  Так называемый Закон о службе (№ 218/2002 </w:t>
      </w:r>
      <w:r>
        <w:rPr>
          <w:lang w:val="en-US"/>
        </w:rPr>
        <w:t>Coll</w:t>
      </w:r>
      <w:r>
        <w:t>.) предусматривает принцип равных возможностей для всех государственных служащих в отношении условий выполнения служебных обязанностей, вознаграждения и других финансовых выплат, образования и возможностей продвижения по службе, независимо, в частности, от расового или этнического происхождения.  Закон вступил в силу 1 января 2007 года.</w:t>
      </w:r>
    </w:p>
    <w:p w:rsidR="00000000" w:rsidRDefault="00000000"/>
    <w:p w:rsidR="00000000" w:rsidRDefault="00000000">
      <w:r>
        <w:tab/>
      </w:r>
      <w:proofErr w:type="spellStart"/>
      <w:r>
        <w:t>f</w:t>
      </w:r>
      <w:proofErr w:type="spellEnd"/>
      <w:r>
        <w:t>)</w:t>
      </w:r>
      <w:r>
        <w:tab/>
        <w:t>Закон о служебных взаимоотношениях сотрудников служб безопасности (Nо. 361/2003 Соll.) также включает подробные нормы, касающиеся выполнения служебных функций сотрудниками чешской полиции, пожарной охраны, таможенных органов, тюремной администрации, разведывательных служб и министерства иностранных дел.  Положения Закона запрещают дискриминацию в сфере исполнения служебных обязанностей, в том числе по признаку национальности, расового, семейного или этнического происхождения, определяют условия, относящиеся к дискриминации, а также устанавливают право потерпевшего на юридическую защиту в случае дискриминации.  Закон определяет прямую дискриминацию (</w:t>
      </w:r>
      <w:r>
        <w:rPr>
          <w:i/>
          <w:iCs/>
        </w:rPr>
        <w:t>"поведение, в результате которого на основе признаков, указанных в пункте 2, сотрудник был поставлен, ставится или может быть поставлен в менее благоприятные условия по сравнению с другими сотрудниками в аналогичной ситуации"</w:t>
      </w:r>
      <w:r>
        <w:t xml:space="preserve">), квалифицирует косвенную дискриминацию как внешне </w:t>
      </w:r>
      <w:proofErr w:type="spellStart"/>
      <w:r>
        <w:t>недискриминационное</w:t>
      </w:r>
      <w:proofErr w:type="spellEnd"/>
      <w:r>
        <w:t xml:space="preserve"> поведение, ставящее какого-либо сотрудника в менее благоприятные условия по отношению к другим сотрудникам на основе указанных признаков, запрещает преследования (</w:t>
      </w:r>
      <w:r>
        <w:rPr>
          <w:i/>
          <w:iCs/>
        </w:rPr>
        <w:t>"поведение, которое обоснованно воспринимается другим сотрудником как враждебное и цель или последствия которого состоят в унижении достоинства лица или создания враждебных или унижающих условий"</w:t>
      </w:r>
      <w:r>
        <w:t>), сексуальные домогательства, а также устанавливает исключения, которые не рассматриваются как дискриминационные действия.  Закон вступит в силу 1 января 2006 года.</w:t>
      </w:r>
    </w:p>
    <w:p w:rsidR="00000000" w:rsidRDefault="00000000"/>
    <w:p w:rsidR="00000000" w:rsidRDefault="00000000">
      <w:r>
        <w:tab/>
      </w:r>
      <w:proofErr w:type="spellStart"/>
      <w:r>
        <w:t>g</w:t>
      </w:r>
      <w:proofErr w:type="spellEnd"/>
      <w:r>
        <w:t>)</w:t>
      </w:r>
      <w:r>
        <w:tab/>
        <w:t>Новый Закон об образовании (Nо. 561/2004 Соll.)</w:t>
      </w:r>
      <w:r>
        <w:rPr>
          <w:rStyle w:val="FootnoteReference"/>
        </w:rPr>
        <w:footnoteReference w:id="20"/>
      </w:r>
      <w:r>
        <w:t>, который вступил в силу 1 января 2005 года, предусматривает равный подход в сфере образования без какой бы то ни было дискриминации (в том числе по признаку расовой принадлежности).</w:t>
      </w:r>
    </w:p>
    <w:p w:rsidR="00000000" w:rsidRDefault="00000000"/>
    <w:p w:rsidR="00000000" w:rsidRDefault="00000000">
      <w:r>
        <w:tab/>
      </w:r>
      <w:proofErr w:type="spellStart"/>
      <w:r>
        <w:t>h</w:t>
      </w:r>
      <w:proofErr w:type="spellEnd"/>
      <w:r>
        <w:t>)</w:t>
      </w:r>
      <w:r>
        <w:tab/>
        <w:t>Поправка к Уголовно-процессуальному кодексу регулирует особые условия для пострадавшей стороны в отношении согласия на возбуждение или отказа от возбуждения уголовного преследования.  Например, уголовное преследование в отношении преступления, связанного с насилием против группы лиц или отдельного лица, может быть возбуждено только при наличии согласия потерпевшего</w:t>
      </w:r>
      <w:r>
        <w:rPr>
          <w:rStyle w:val="FootnoteReference"/>
        </w:rPr>
        <w:footnoteReference w:id="21"/>
      </w:r>
      <w:r>
        <w:t>.</w:t>
      </w:r>
    </w:p>
    <w:p w:rsidR="00000000" w:rsidRDefault="00000000"/>
    <w:p w:rsidR="00000000" w:rsidRDefault="00000000">
      <w:r>
        <w:tab/>
      </w:r>
      <w:proofErr w:type="spellStart"/>
      <w:r>
        <w:t>i</w:t>
      </w:r>
      <w:proofErr w:type="spellEnd"/>
      <w:r>
        <w:t>)</w:t>
      </w:r>
      <w:r>
        <w:tab/>
        <w:t>Поправка к Закону о радио- и телевизионном вещании (Nо. 231/2001 Соll.)</w:t>
      </w:r>
      <w:r>
        <w:rPr>
          <w:rStyle w:val="FootnoteReference"/>
        </w:rPr>
        <w:footnoteReference w:id="22"/>
      </w:r>
      <w:r>
        <w:t xml:space="preserve"> предусматривает запрещение рекламы или продажи товаров по телевидению, которые посягают на религиозные или политические убеждения, а также запрещение рекламы и телевизионной продажи товаров, которые имеют дискриминационный характер по признаку пола, расы, цвета кожи, языка, национального или социального происхождения или принадлежности к этническому меньшинству</w:t>
      </w:r>
      <w:r>
        <w:rPr>
          <w:rStyle w:val="FootnoteReference"/>
        </w:rPr>
        <w:footnoteReference w:id="23"/>
      </w:r>
      <w:r>
        <w:t>.</w:t>
      </w:r>
    </w:p>
    <w:p w:rsidR="00000000" w:rsidRDefault="00000000"/>
    <w:p w:rsidR="00000000" w:rsidRDefault="00000000">
      <w:r>
        <w:tab/>
      </w:r>
      <w:proofErr w:type="spellStart"/>
      <w:r>
        <w:t>j</w:t>
      </w:r>
      <w:proofErr w:type="spellEnd"/>
      <w:r>
        <w:t>)</w:t>
      </w:r>
      <w:r>
        <w:tab/>
        <w:t>В июле 2005 года был принят новый Закон о трудовых инспекциях (Nо. 251/2005 Соll.), который расширяет полномочия органов трудовой инспекции и наделяет их правом контролировать выполнение обязательств в соответствии с нормативными правилами, касающимися прав и обязанностей трудящихся в сфере трудовых отношений, включая законодательные нормы, регулирующие вопросы вознаграждения трудящихся.  Это означает, что в вопросах, связанных с дискриминацией, органы трудовой инспекции пользуются полномочиями управлений по вопросам труда.</w:t>
      </w:r>
    </w:p>
    <w:p w:rsidR="00000000" w:rsidRDefault="00000000"/>
    <w:p w:rsidR="00000000" w:rsidRDefault="00000000">
      <w:r>
        <w:t>24.</w:t>
      </w:r>
      <w:r>
        <w:tab/>
        <w:t xml:space="preserve">В декабре 2004 года правительство одобрило антидискриминационный законопроект, который, в частности, </w:t>
      </w:r>
      <w:proofErr w:type="spellStart"/>
      <w:r>
        <w:t>имплементирует</w:t>
      </w:r>
      <w:proofErr w:type="spellEnd"/>
      <w:r>
        <w:t xml:space="preserve"> директивы ЕС в отношении равных условий и защиты от дискриминации</w:t>
      </w:r>
      <w:r>
        <w:rPr>
          <w:rStyle w:val="FootnoteReference"/>
        </w:rPr>
        <w:footnoteReference w:id="24"/>
      </w:r>
      <w:r>
        <w:t>.  Данный закон обеспечивает гармонизацию законодательства, касающегося защиты от дискриминации, и устраняет все недостатки чешских законов с точки зрения директив ЕС.  В</w:t>
      </w:r>
      <w:r>
        <w:rPr>
          <w:lang w:val="en-US"/>
        </w:rPr>
        <w:t> </w:t>
      </w:r>
      <w:r>
        <w:t xml:space="preserve"> этом законопроекте предусматривается введение должности </w:t>
      </w:r>
      <w:proofErr w:type="spellStart"/>
      <w:r>
        <w:t>омбудсмена</w:t>
      </w:r>
      <w:proofErr w:type="spellEnd"/>
      <w:r>
        <w:t>, который будет систематически заниматься вопросами равного обращения и оказывать содействие жертвам дискриминации.  Правительство утвердило данный законопроект в декабре 2004 года и в январе 2005 года представило его палате депутатов</w:t>
      </w:r>
      <w:r>
        <w:rPr>
          <w:rStyle w:val="FootnoteReference"/>
        </w:rPr>
        <w:footnoteReference w:id="25"/>
      </w:r>
      <w:r>
        <w:t xml:space="preserve">.  </w:t>
      </w:r>
    </w:p>
    <w:p w:rsidR="00000000" w:rsidRDefault="00000000"/>
    <w:p w:rsidR="00000000" w:rsidRDefault="00000000">
      <w:pPr>
        <w:rPr>
          <w:u w:val="single"/>
        </w:rPr>
      </w:pPr>
      <w:r>
        <w:rPr>
          <w:u w:val="single"/>
        </w:rPr>
        <w:t xml:space="preserve">Национальные меры </w:t>
      </w:r>
      <w:proofErr w:type="spellStart"/>
      <w:r>
        <w:rPr>
          <w:u w:val="single"/>
        </w:rPr>
        <w:t>незаконодательного</w:t>
      </w:r>
      <w:proofErr w:type="spellEnd"/>
      <w:r>
        <w:rPr>
          <w:u w:val="single"/>
        </w:rPr>
        <w:t xml:space="preserve"> характера по защите от расовой дискриминации </w:t>
      </w:r>
    </w:p>
    <w:p w:rsidR="00000000" w:rsidRDefault="00000000">
      <w:pPr>
        <w:rPr>
          <w:u w:val="single"/>
        </w:rPr>
      </w:pPr>
    </w:p>
    <w:p w:rsidR="00000000" w:rsidRDefault="00000000">
      <w:r>
        <w:t>25.</w:t>
      </w:r>
      <w:r>
        <w:tab/>
        <w:t>Во исполнение Заключительных рекомендаций Комитета по ликвидации расовой дискриминации и, в частности рекомендации № 9</w:t>
      </w:r>
      <w:r>
        <w:rPr>
          <w:rStyle w:val="FootnoteReference"/>
        </w:rPr>
        <w:footnoteReference w:id="26"/>
      </w:r>
      <w:r>
        <w:t>, с января 2003 года министерство внутренних дел координирует осуществление Национальной стратегии деятельности полиции в отношении национальных и этнических меньшинств (далее по тексту "Стратегия").  25 августа 2004 года правительство утвердило первый Доклад по процедуре и текущим результатам осуществления данной Стратегии (далее по тексту - "Доклад об осуществлении Стратегии)</w:t>
      </w:r>
      <w:r>
        <w:rPr>
          <w:rStyle w:val="FootnoteReference"/>
        </w:rPr>
        <w:footnoteReference w:id="27"/>
      </w:r>
      <w:r>
        <w:t>.</w:t>
      </w:r>
    </w:p>
    <w:p w:rsidR="00000000" w:rsidRDefault="00000000"/>
    <w:p w:rsidR="00000000" w:rsidRDefault="00000000">
      <w:r>
        <w:t>26.</w:t>
      </w:r>
      <w:r>
        <w:tab/>
        <w:t xml:space="preserve">Данная Стратегия явилась результатом сотрудничества министерства внутренних дел, полиции, правительственных и неправительственных организаций в </w:t>
      </w:r>
      <w:proofErr w:type="spellStart"/>
      <w:r>
        <w:t>ЧР</w:t>
      </w:r>
      <w:proofErr w:type="spellEnd"/>
      <w:r>
        <w:t xml:space="preserve"> в целях создания эффективного инструмента по борьбе с ксенофобией и расовой нетерпимостью внутри органов полиции и в целом в обществе, а также в целях содействия формированию культурного разнообразия и обстановки терпимости.  Стратегия предусматривает три основных превентивных инструмента для работы сотрудников полиции с меньшинствами:  план оперативных действий полиции в отношении национальных и этнических меньшинств, должность сотрудника-координатора по вопросу о меньшинствах и должность полицейского помощника по работе в социально маргинализованных общинах рома</w:t>
      </w:r>
      <w:r>
        <w:rPr>
          <w:rStyle w:val="FootnoteReference"/>
        </w:rPr>
        <w:footnoteReference w:id="28"/>
      </w:r>
      <w:r>
        <w:t>.</w:t>
      </w:r>
    </w:p>
    <w:p w:rsidR="00000000" w:rsidRDefault="00000000"/>
    <w:p w:rsidR="00000000" w:rsidRDefault="00000000">
      <w:r>
        <w:t>27.</w:t>
      </w:r>
      <w:r>
        <w:tab/>
        <w:t>План оперативных действий органов полиции в отношении национальных и этнических меньшинств (далее по тексту - "оперативный план") представляет собой документ, в котором описываются конкретные приоритетные направления работы полиции в отношении представителей общин меньшинств.  Оперативный план - это базовый стратегический инструмент, позволяющий органам полиции формулировать конкретные цели в отношении представителей и общин меньшинств, определять средства для достижения этих целей, а также создавать механизмы определения эффективности работы.  В этом документе органы полиции конкретного района определяют следующее:  цели (например, формы сотрудничества с представителями органов самоуправления, государственной администрации, неправительственными организациями и школами в данном районе и профилактические меры;  системный мониторинг состава представителей или общин национальных меньшинств и иностранцев в данной местности;  формы сотрудничества с общинами меньшинств;  стратегии укрепления доверия между органами полиции и представителями или общинами национальных и этнических меньшинств;  полицейские меры в отношении иностранцев и т.д.), конкретные мероприятия по достижению этих целей, те подразделения полиции в данном районе, которые отвечают за осуществление целей, а также сроки реализации и достижения поставленных целей.  Решению задач, предусмотренных в оперативном плане, должна в значительной степени содействовать деятельность сотрудника-координатора по вопросам меньшинств.  План оперативной деятельности полиции ежегодно пересматривается на региональном и центральном уровнях.  В 2003 и 2004 годах оперативный план прошел экспериментальную проверку на практике в двух регионах ЧР.  В общенациональном масштабе он начал применяться лишь с 2005 года.</w:t>
      </w:r>
    </w:p>
    <w:p w:rsidR="00000000" w:rsidRDefault="00000000"/>
    <w:p w:rsidR="00000000" w:rsidRDefault="00000000">
      <w:r>
        <w:t>28.</w:t>
      </w:r>
      <w:r>
        <w:tab/>
        <w:t>Механизм сотрудника-координатора по делам меньшинств уравновешивает репрессивный подход полиции к преступлениям на почве экстремизма и увязывается с базовой профилактической деятельностью среди представителей и общин меньшинств.  Сотрудник-координатор является штатным сотрудником полиции, специализирующемся на работе полиции с меньшинствами, и его услугами могут пользоваться различные полицейские подразделения в целях решения входящих в их компетенцию задач</w:t>
      </w:r>
      <w:r>
        <w:rPr>
          <w:rStyle w:val="FootnoteReference"/>
        </w:rPr>
        <w:footnoteReference w:id="29"/>
      </w:r>
      <w:r>
        <w:t xml:space="preserve">.  </w:t>
      </w:r>
    </w:p>
    <w:p w:rsidR="00000000" w:rsidRDefault="00000000"/>
    <w:p w:rsidR="00000000" w:rsidRDefault="00000000">
      <w:r>
        <w:t>29.</w:t>
      </w:r>
      <w:r>
        <w:tab/>
        <w:t>В 2003 и 2004 годах оба проекта (оперативный план и механизм сотрудника-координатора по делам меньшинств) прошли этап экспериментальной проверки на практике.  Результаты оценки показали их пользу и эффективность, и в январе 2005 года оба проекта начали осуществляться во всех региональных управлениях полиции</w:t>
      </w:r>
      <w:r>
        <w:rPr>
          <w:rStyle w:val="FootnoteReference"/>
        </w:rPr>
        <w:footnoteReference w:id="30"/>
      </w:r>
      <w:r>
        <w:t xml:space="preserve">.  </w:t>
      </w:r>
    </w:p>
    <w:p w:rsidR="00000000" w:rsidRDefault="00000000"/>
    <w:p w:rsidR="00000000" w:rsidRDefault="00000000">
      <w:r>
        <w:t>30.</w:t>
      </w:r>
      <w:r>
        <w:tab/>
        <w:t xml:space="preserve">Задача полицейского помощника в работе среди социально </w:t>
      </w:r>
      <w:proofErr w:type="spellStart"/>
      <w:r>
        <w:t>маргинализованных</w:t>
      </w:r>
      <w:proofErr w:type="spellEnd"/>
      <w:r>
        <w:t xml:space="preserve"> общин рома состоит в упрощении контактов и связи сотрудников полиции с представителями данной общины.  В своей работе помощник полиции дополняет деятельность сотрудников-координаторов в неблагополучных районах</w:t>
      </w:r>
      <w:r>
        <w:rPr>
          <w:rStyle w:val="FootnoteReference"/>
        </w:rPr>
        <w:footnoteReference w:id="31"/>
      </w:r>
      <w:r>
        <w:t xml:space="preserve">.  В настоящее время полицейские помощники работают в городах </w:t>
      </w:r>
      <w:proofErr w:type="spellStart"/>
      <w:r>
        <w:t>Острава</w:t>
      </w:r>
      <w:proofErr w:type="spellEnd"/>
      <w:r>
        <w:t xml:space="preserve"> и </w:t>
      </w:r>
      <w:proofErr w:type="spellStart"/>
      <w:r>
        <w:t>Чеб</w:t>
      </w:r>
      <w:proofErr w:type="spellEnd"/>
      <w:r>
        <w:t xml:space="preserve">.  Деятельность рабочих групп полиции и полицейских помощников облегчает органам полиции решение задачи выявления латентной преступности в социально </w:t>
      </w:r>
      <w:proofErr w:type="spellStart"/>
      <w:r>
        <w:t>маргинализованных</w:t>
      </w:r>
      <w:proofErr w:type="spellEnd"/>
      <w:r>
        <w:t xml:space="preserve"> общинах</w:t>
      </w:r>
      <w:r>
        <w:rPr>
          <w:rStyle w:val="FootnoteReference"/>
        </w:rPr>
        <w:footnoteReference w:id="32"/>
      </w:r>
      <w:r>
        <w:t xml:space="preserve">.    </w:t>
      </w:r>
    </w:p>
    <w:p w:rsidR="00000000" w:rsidRDefault="00000000"/>
    <w:p w:rsidR="00000000" w:rsidRDefault="00000000">
      <w:pPr>
        <w:rPr>
          <w:u w:val="single"/>
        </w:rPr>
      </w:pPr>
      <w:r>
        <w:rPr>
          <w:u w:val="single"/>
        </w:rPr>
        <w:t>Институциональные гарантии</w:t>
      </w:r>
    </w:p>
    <w:p w:rsidR="00000000" w:rsidRDefault="00000000">
      <w:pPr>
        <w:rPr>
          <w:u w:val="single"/>
        </w:rPr>
      </w:pPr>
    </w:p>
    <w:p w:rsidR="00000000" w:rsidRDefault="00000000">
      <w:r>
        <w:t>31.</w:t>
      </w:r>
      <w:r>
        <w:tab/>
        <w:t xml:space="preserve">В </w:t>
      </w:r>
      <w:proofErr w:type="spellStart"/>
      <w:r>
        <w:t>ЧР</w:t>
      </w:r>
      <w:proofErr w:type="spellEnd"/>
      <w:r>
        <w:t xml:space="preserve"> защита от дискриминации гарантируется общими судами (иски по защите личных прав в гражданском праве - подробнее см. статью 6).  Судебное преследование действий, связанных с расовой или этнической нетерпимостью, гарантируется соответствующими положениями Уголовно-процессуального кодекса (Закон № 141/1961 </w:t>
      </w:r>
      <w:proofErr w:type="spellStart"/>
      <w:r>
        <w:t>Coll</w:t>
      </w:r>
      <w:proofErr w:type="spellEnd"/>
      <w:r>
        <w:t xml:space="preserve">.) и Уголовного кодекса (Закон № 140/1961 </w:t>
      </w:r>
      <w:proofErr w:type="spellStart"/>
      <w:r>
        <w:t>Coll</w:t>
      </w:r>
      <w:proofErr w:type="spellEnd"/>
      <w:r>
        <w:t>.)</w:t>
      </w:r>
      <w:r>
        <w:rPr>
          <w:rStyle w:val="FootnoteReference"/>
        </w:rPr>
        <w:footnoteReference w:id="33"/>
      </w:r>
      <w:r>
        <w:t xml:space="preserve">.  Муниципальные органы власти также обеспечивают защиту от дискриминационного поведения путем использования положений об ответственности за </w:t>
      </w:r>
      <w:proofErr w:type="spellStart"/>
      <w:r>
        <w:t>мисдиминор</w:t>
      </w:r>
      <w:proofErr w:type="spellEnd"/>
      <w:r>
        <w:rPr>
          <w:rStyle w:val="FootnoteReference"/>
        </w:rPr>
        <w:footnoteReference w:id="34"/>
      </w:r>
      <w:r>
        <w:t xml:space="preserve">.   </w:t>
      </w:r>
    </w:p>
    <w:p w:rsidR="00000000" w:rsidRDefault="00000000"/>
    <w:p w:rsidR="00000000" w:rsidRDefault="00000000">
      <w:r>
        <w:t>32.</w:t>
      </w:r>
      <w:r>
        <w:tab/>
        <w:t>Вопросы защиты от различных проявлений дискриминации, в частности на уровне планирования и формулирования политики, относятся к сфере компетенции трех государственных консультативных органов:  Государственного совета по правам человека, Государственного совета по делам национальных меньшинств и Государственного совета по делам общины рома</w:t>
      </w:r>
      <w:r>
        <w:rPr>
          <w:rStyle w:val="FootnoteReference"/>
        </w:rPr>
        <w:footnoteReference w:id="35"/>
      </w:r>
      <w:r>
        <w:t>.</w:t>
      </w:r>
    </w:p>
    <w:p w:rsidR="00000000" w:rsidRDefault="00000000"/>
    <w:p w:rsidR="00000000" w:rsidRDefault="00000000">
      <w:r>
        <w:t>33.</w:t>
      </w:r>
      <w:r>
        <w:tab/>
        <w:t>Борьба с экстремизмом и преступлениями на расовой почве относится к сфере ответственности специального межведомственного органа:  Комиссии по борьбе с экстремизмом, расизмом и ксенофобией, которая является консультативным органом министерства внутренних дел</w:t>
      </w:r>
      <w:r>
        <w:rPr>
          <w:rStyle w:val="FootnoteReference"/>
        </w:rPr>
        <w:footnoteReference w:id="36"/>
      </w:r>
      <w:r>
        <w:t>.</w:t>
      </w:r>
    </w:p>
    <w:p w:rsidR="00000000" w:rsidRDefault="00000000"/>
    <w:p w:rsidR="00000000" w:rsidRDefault="00000000">
      <w:r>
        <w:t>34.</w:t>
      </w:r>
      <w:r>
        <w:tab/>
        <w:t xml:space="preserve">Защита основных прав и свобод также относится к сфере компетенции </w:t>
      </w:r>
      <w:proofErr w:type="spellStart"/>
      <w:r>
        <w:t>омбудсмена</w:t>
      </w:r>
      <w:proofErr w:type="spellEnd"/>
      <w:r>
        <w:t>, который обеспечивает защиту от действий государственных административных органов в случае возникновения конфликта последних с законом или нормами демократического государства, основанного на принципах правопорядка и эффективного управления</w:t>
      </w:r>
      <w:r>
        <w:rPr>
          <w:rStyle w:val="FootnoteReference"/>
        </w:rPr>
        <w:footnoteReference w:id="37"/>
      </w:r>
      <w:r>
        <w:t xml:space="preserve">.  В течение отчетного периода Управление </w:t>
      </w:r>
      <w:proofErr w:type="spellStart"/>
      <w:r>
        <w:t>омбудсмена</w:t>
      </w:r>
      <w:proofErr w:type="spellEnd"/>
      <w:r>
        <w:t xml:space="preserve"> получило лишь несколько жалоб, связанных с расовой дискриминацией.  Поскольку </w:t>
      </w:r>
      <w:proofErr w:type="spellStart"/>
      <w:r>
        <w:t>омбудсмен</w:t>
      </w:r>
      <w:proofErr w:type="spellEnd"/>
      <w:r>
        <w:t xml:space="preserve"> не ведет учета этих жалоб, оценить эту информацию каким-либо образом невозможно.  Наиболее серьезные жалобы были поданы женщинами из числа рома, которые утверждают, что они были подвергнуты принудительной стерилизации в определенных медицинских учреждениях.  С 2004 года </w:t>
      </w:r>
      <w:proofErr w:type="spellStart"/>
      <w:r>
        <w:t>омбудсмен</w:t>
      </w:r>
      <w:proofErr w:type="spellEnd"/>
      <w:r>
        <w:t xml:space="preserve"> ведет расследование этих жалоб</w:t>
      </w:r>
      <w:r>
        <w:rPr>
          <w:rStyle w:val="FootnoteReference"/>
        </w:rPr>
        <w:footnoteReference w:id="38"/>
      </w:r>
      <w:r>
        <w:t>.</w:t>
      </w:r>
    </w:p>
    <w:p w:rsidR="00000000" w:rsidRDefault="00000000"/>
    <w:p w:rsidR="00000000" w:rsidRDefault="00000000">
      <w:r>
        <w:t>35.</w:t>
      </w:r>
      <w:r>
        <w:tab/>
        <w:t xml:space="preserve">Разрабатываемое в настоящее время </w:t>
      </w:r>
      <w:proofErr w:type="spellStart"/>
      <w:r>
        <w:t>антидискриминационное</w:t>
      </w:r>
      <w:proofErr w:type="spellEnd"/>
      <w:r>
        <w:t xml:space="preserve"> законодательство предусматривает значительное расширение полномочий </w:t>
      </w:r>
      <w:proofErr w:type="spellStart"/>
      <w:r>
        <w:t>омбудсмена</w:t>
      </w:r>
      <w:proofErr w:type="spellEnd"/>
      <w:r>
        <w:t xml:space="preserve"> в отношении частных лиц.  В </w:t>
      </w:r>
      <w:proofErr w:type="spellStart"/>
      <w:r>
        <w:t>антидискриминационном</w:t>
      </w:r>
      <w:proofErr w:type="spellEnd"/>
      <w:r>
        <w:t xml:space="preserve"> законопроекте </w:t>
      </w:r>
      <w:proofErr w:type="spellStart"/>
      <w:r>
        <w:t>омбудсмен</w:t>
      </w:r>
      <w:proofErr w:type="spellEnd"/>
      <w:r>
        <w:t xml:space="preserve"> определяется как инстанция, которая будет систематически заниматься вопросами равного обращения и оказывать помощь жертвам дискриминации</w:t>
      </w:r>
      <w:r>
        <w:rPr>
          <w:rStyle w:val="FootnoteReference"/>
        </w:rPr>
        <w:footnoteReference w:id="39"/>
      </w:r>
      <w:r>
        <w:t>.</w:t>
      </w:r>
    </w:p>
    <w:p w:rsidR="00000000" w:rsidRDefault="00000000"/>
    <w:p w:rsidR="00000000" w:rsidRDefault="00000000">
      <w:r>
        <w:t>36.</w:t>
      </w:r>
      <w:r>
        <w:tab/>
        <w:t>Чешская торговая инспекция представляет собой инспекционный орган, обеспечивающий надзор за соблюдением условий, оговоренных специальными правовыми нормами, и других юридически обязывающих механизмов, регулирующих порядок осуществления деятельности в сфере продажи и производства товаров и продуктов, а также порядок предоставления услуг, включая соблюдение принципа запрещения дискриминации</w:t>
      </w:r>
      <w:r>
        <w:rPr>
          <w:rStyle w:val="FootnoteReference"/>
        </w:rPr>
        <w:footnoteReference w:id="40"/>
      </w:r>
      <w:r>
        <w:t>.</w:t>
      </w:r>
    </w:p>
    <w:p w:rsidR="00000000" w:rsidRDefault="00000000"/>
    <w:p w:rsidR="00000000" w:rsidRDefault="00000000">
      <w:r>
        <w:t>37.</w:t>
      </w:r>
      <w:r>
        <w:tab/>
        <w:t xml:space="preserve">В области занятости инспекционная деятельность в соответствии с законодательством относится к сфере компетенции министерства труда и социальных вопросов, а также управлений по вопросам труда.  Инспекционные функции управлений по вопросам труда состоят прежде всего в соблюдении запрещения дискриминации в сфере применения права на труд, т.е. доступа к занятости.  С 1 июля 2005 года, когда вступил в силу Закон о трудовых инспекциях (№ 251/2005 </w:t>
      </w:r>
      <w:proofErr w:type="spellStart"/>
      <w:r>
        <w:rPr>
          <w:lang w:val="en-US"/>
        </w:rPr>
        <w:t>Coll</w:t>
      </w:r>
      <w:proofErr w:type="spellEnd"/>
      <w:r>
        <w:t>.), деятельность по проведению инспекций в целях контроля за соблюдением трудового законодательства, касающегося равного обращения и запрещения дискриминации в сфере трудовых отношений в соответствии с положениями Трудового кодекса, была передана от управления по вопросам труда органам трудовой инспекции и региональным трудовым инспекторатам.</w:t>
      </w:r>
    </w:p>
    <w:p w:rsidR="00000000" w:rsidRDefault="00000000"/>
    <w:p w:rsidR="00000000" w:rsidRDefault="00000000">
      <w:r>
        <w:t>38.</w:t>
      </w:r>
      <w:r>
        <w:tab/>
        <w:t>Поддержка национальных меньшинств на местном уровне осуществляется комитетами по делам национальных меньшинств или иными органами (комиссиями) по делам национальных меньшинств.  После местных выборов в 2004 году в четырех регионах и 35 муниципальных образованиях Моравско-Силезского района были созданы комитеты по делам национальных меньшинств.  Кроме того, в установленных законом городах</w:t>
      </w:r>
      <w:r>
        <w:rPr>
          <w:rStyle w:val="FootnoteReference"/>
        </w:rPr>
        <w:footnoteReference w:id="41"/>
      </w:r>
      <w:r>
        <w:t xml:space="preserve"> были также созданы комиссии по делам национальных меньшинств в качестве консультативных органов при советах.</w:t>
      </w:r>
    </w:p>
    <w:p w:rsidR="00000000" w:rsidRDefault="00000000"/>
    <w:p w:rsidR="00000000" w:rsidRDefault="00000000">
      <w:pPr>
        <w:rPr>
          <w:u w:val="single"/>
        </w:rPr>
      </w:pPr>
      <w:r>
        <w:rPr>
          <w:u w:val="single"/>
        </w:rPr>
        <w:t>Советники, помощники и координаторы по делам общин рома</w:t>
      </w:r>
    </w:p>
    <w:p w:rsidR="00000000" w:rsidRDefault="00000000">
      <w:pPr>
        <w:rPr>
          <w:u w:val="single"/>
        </w:rPr>
      </w:pPr>
    </w:p>
    <w:p w:rsidR="00000000" w:rsidRDefault="00000000">
      <w:r>
        <w:t>39.</w:t>
      </w:r>
      <w:r>
        <w:tab/>
        <w:t>Советники и помощники по делам общин рома работали в районных органах самоуправления с 1997 по конец 2002 года.  После их роспуска в результате реформы государственной администрации округов советники и помощники по делам рома с 1 января 2003 года были переведены в соответствующие муниципальные органы.  В 2001 году была учреждена должность региональных координаторов при консультантах по делам рома.  В 2002 году региональные координаторы при советниках по делам общин рома были назначены во всех регионах (таким образом, на территории ЧР действуют в общей сложности 14 региональных координаторов)</w:t>
      </w:r>
      <w:r>
        <w:rPr>
          <w:rStyle w:val="FootnoteReference"/>
        </w:rPr>
        <w:footnoteReference w:id="42"/>
      </w:r>
      <w:r>
        <w:t xml:space="preserve">.  В результате реформ государственной администрации региональные координаторы и муниципальные советники по делам общин рома стали сотрудниками аппарата самоуправления, сохранив за собой функции государственного управления в соответствии с Законом о правах членов национальных меньшинств (№ 273/2001 </w:t>
      </w:r>
      <w:r>
        <w:rPr>
          <w:lang w:val="en-US"/>
        </w:rPr>
        <w:t>Coll</w:t>
      </w:r>
      <w:r>
        <w:t>.)</w:t>
      </w:r>
      <w:r>
        <w:rPr>
          <w:rStyle w:val="FootnoteReference"/>
        </w:rPr>
        <w:footnoteReference w:id="43"/>
      </w:r>
      <w:r>
        <w:t>.</w:t>
      </w:r>
    </w:p>
    <w:p w:rsidR="00000000" w:rsidRDefault="00000000">
      <w:r>
        <w:t>40.</w:t>
      </w:r>
      <w:r>
        <w:tab/>
        <w:t>В сотрудничестве с экспертами из многих областей Государственный совет по делам общины рома разработал концепцию политики интеграции представителей общин рома, которая, в частности, содержит общие руководящие принципы деятельности региональных координаторов для советников по делам общин рома и помощников при муниципальных органах власти, а также работников на местах.  Сфера ведения региональных координаторов включает в себя координацию работы советников по делам рома, помощников при муниципалитетах и местных работников, действующих в соответствующем регионе.  Для обеспечения эффективности их работы регионам необходимо разработать региональную концепцию политики интеграции представителей общин рома, которая бы учитывала конкретные потребности данного региона</w:t>
      </w:r>
      <w:r>
        <w:rPr>
          <w:rStyle w:val="FootnoteReference"/>
        </w:rPr>
        <w:footnoteReference w:id="44"/>
      </w:r>
      <w:r>
        <w:t>.</w:t>
      </w:r>
    </w:p>
    <w:p w:rsidR="00000000" w:rsidRDefault="00000000">
      <w:pPr>
        <w:rPr>
          <w:sz w:val="12"/>
        </w:rPr>
      </w:pPr>
    </w:p>
    <w:p w:rsidR="00000000" w:rsidRDefault="00000000">
      <w:r>
        <w:t>41.</w:t>
      </w:r>
      <w:r>
        <w:tab/>
        <w:t>Деятельность советников и помощников по делам общин рома в муниципальных образованиях не имеет четкой регламентации и может варьироваться в зависимости от муниципалитета.  Функции большинства советников и помощников по делам рома совмещаются с другими видами деятельности.  Это приводит к возникновению случаев, когда функции советника по делам общины рома вступают в прямое противоречие с другой деятельностью, осуществление которой вменяется в обязанность данному сотруднику (забота о детях), тогда как в других случаях такое сочетание различных видов деятельности является нецелесообразным, поскольку сотрудник обслуживает клиентов, которые не должны контактировать между собой (например, представители общины рома и наркоманы).</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jc w:val="center"/>
      </w:pPr>
      <w:r>
        <w:rPr>
          <w:b/>
          <w:bCs/>
        </w:rPr>
        <w:t>Запрещение расовой сегрегации и апартеида</w:t>
      </w:r>
    </w:p>
    <w:p w:rsidR="00000000" w:rsidRDefault="00000000">
      <w:pPr>
        <w:jc w:val="center"/>
      </w:pPr>
    </w:p>
    <w:p w:rsidR="00000000" w:rsidRDefault="00000000">
      <w:r>
        <w:t>42.</w:t>
      </w:r>
      <w:r>
        <w:tab/>
        <w:t>Как упоминалось в предыдущем докладе, ЧР является государством - участником Международной конвенции о пресечении преступления апартеида и наказании за него.  Практика апартеида и другие преступления против человечности, обусловленные расовой дискриминацией и совершенные в военное время, запрещены Уголовным кодексом.  За отчетный период каких-либо изменений в законодательстве по данному вопросу не произошло.</w:t>
      </w:r>
    </w:p>
    <w:p w:rsidR="00000000" w:rsidRDefault="00000000"/>
    <w:p w:rsidR="00000000" w:rsidRDefault="00000000">
      <w:r>
        <w:t>43.</w:t>
      </w:r>
      <w:r>
        <w:tab/>
        <w:t>Аспект сегрегации связан с проблемой возникновения анклавов представителей рома</w:t>
      </w:r>
      <w:r>
        <w:rPr>
          <w:rStyle w:val="FootnoteReference"/>
        </w:rPr>
        <w:footnoteReference w:id="45"/>
      </w:r>
      <w:r>
        <w:t>.  В 2004 году министерство регионального развития заказало исследование под названием "Использование средств местного планирования для предупреждения территориальной сегрегации", в котором сделан обзор базовых аспектов сегрегации, ее последствий и возможностей предупреждения ее дальнейшего углубления.</w:t>
      </w:r>
    </w:p>
    <w:p w:rsidR="00000000" w:rsidRDefault="00000000"/>
    <w:p w:rsidR="00000000" w:rsidRDefault="00000000">
      <w:r>
        <w:t>44.</w:t>
      </w:r>
      <w:r>
        <w:tab/>
        <w:t xml:space="preserve">В 2005 году министерство регионального развития подготовило публикацию, которая включает обзор экспертных мнений по вопросу о территориальной сегрегации.  Кроме того, в 2005 году министерство регионального развития организовало публичную конференцию на тему сегрегации, ее последствий и возможностей ее предупреждения, которая является одним из инструментов повышения осведомленности по данному вопросу сотрудников органов самоуправления, а также инструментом содействия проведению публичных дебатов по данной проблеме.  В предстоящие годы по итогам этой деятельности должен быть разработан долгосрочный научно-исследовательский проект под названием "Сегрегация в ЧР:  нынешнее положение и динамика, причины и последствия, профилактика и корректирующие действия".  Одним из результатов исследований должна стать методология сбора информации в </w:t>
      </w:r>
      <w:proofErr w:type="spellStart"/>
      <w:r>
        <w:t>сегрегированных</w:t>
      </w:r>
      <w:proofErr w:type="spellEnd"/>
      <w:r>
        <w:t xml:space="preserve"> районах, которая в свою очередь позволит подготовить рекомендации по инструментам и процедурам на национальном, региональном и местном уровнях в отношении мер по профилактике и сокращению масштабов сегрегации.</w:t>
      </w:r>
    </w:p>
    <w:p w:rsidR="00000000" w:rsidRDefault="00000000">
      <w:pPr>
        <w:jc w:val="center"/>
        <w:rPr>
          <w:b/>
          <w:bCs/>
        </w:rPr>
      </w:pPr>
      <w:r>
        <w:br w:type="page"/>
      </w:r>
      <w:r>
        <w:rPr>
          <w:b/>
          <w:bCs/>
        </w:rPr>
        <w:t>Статья 4</w:t>
      </w:r>
    </w:p>
    <w:p w:rsidR="00000000" w:rsidRDefault="00000000">
      <w:pPr>
        <w:jc w:val="center"/>
        <w:rPr>
          <w:b/>
          <w:bCs/>
        </w:rPr>
      </w:pPr>
    </w:p>
    <w:p w:rsidR="00000000" w:rsidRDefault="00000000">
      <w:pPr>
        <w:jc w:val="center"/>
        <w:rPr>
          <w:b/>
          <w:bCs/>
        </w:rPr>
      </w:pPr>
      <w:r>
        <w:rPr>
          <w:b/>
          <w:bCs/>
        </w:rPr>
        <w:t>Законодательные, административные и прочие меры, направленные против пропаганды расовой нетерпимости и насилия в отношении расовых</w:t>
      </w:r>
    </w:p>
    <w:p w:rsidR="00000000" w:rsidRDefault="00000000">
      <w:pPr>
        <w:jc w:val="center"/>
        <w:rPr>
          <w:b/>
          <w:bCs/>
        </w:rPr>
      </w:pPr>
      <w:r>
        <w:rPr>
          <w:b/>
          <w:bCs/>
        </w:rPr>
        <w:t>и этнических меньшинств</w:t>
      </w:r>
    </w:p>
    <w:p w:rsidR="00000000" w:rsidRDefault="00000000">
      <w:pPr>
        <w:jc w:val="center"/>
        <w:rPr>
          <w:b/>
          <w:bCs/>
        </w:rPr>
      </w:pPr>
    </w:p>
    <w:p w:rsidR="00000000" w:rsidRDefault="00000000">
      <w:r>
        <w:t>45.</w:t>
      </w:r>
      <w:r>
        <w:tab/>
        <w:t>За отчетный период в законодательстве, касающемся мер по борьбе с расовой ненавистью и насилием в отношении расовых и этнических групп, каких-либо изменений не произошло.  Правительство продолжает деятельность по контролю за ситуацией в данной области.  С 1997 года министерство внутренних дел представляет правительству ежегодный доклад по вопросу об экстремизме в ЧР</w:t>
      </w:r>
      <w:r>
        <w:rPr>
          <w:rStyle w:val="FootnoteReference"/>
        </w:rPr>
        <w:footnoteReference w:id="46"/>
      </w:r>
      <w:r>
        <w:t>.</w:t>
      </w:r>
    </w:p>
    <w:p w:rsidR="00000000" w:rsidRDefault="00000000"/>
    <w:p w:rsidR="00000000" w:rsidRDefault="00000000">
      <w:pPr>
        <w:rPr>
          <w:u w:val="single"/>
        </w:rPr>
      </w:pPr>
      <w:r>
        <w:rPr>
          <w:u w:val="single"/>
        </w:rPr>
        <w:t>Преступные действия с экстремистским уклоном</w:t>
      </w:r>
    </w:p>
    <w:p w:rsidR="00000000" w:rsidRDefault="00000000">
      <w:pPr>
        <w:rPr>
          <w:u w:val="single"/>
        </w:rPr>
      </w:pPr>
    </w:p>
    <w:p w:rsidR="00000000" w:rsidRDefault="00000000">
      <w:r>
        <w:t>46.</w:t>
      </w:r>
      <w:r>
        <w:tab/>
        <w:t>Чешская полиция отмечает снижение случаев публикации экстремистской документации правового толка, что связано с расширением использования Интернета.  Кроме того, отмечается резкое снижение случаев публичных проявлений, которые могут преследоваться в уголовном порядке, т.е. случаев ношения экстремистской символики на одежде, к примеру, на концертах правоэкстремистской направленности.  По</w:t>
      </w:r>
      <w:r>
        <w:noBreakHyphen/>
        <w:t>прежнему существует проблема проведения расследований в связи с использованием всевозможной фашистской и неонацистской символики, включая расистские надписи и рисунки, в том числе на стенах зданий, когда нет возможности определить правонарушителя, или в случае товаров, продаваемых в так называемых армейских магазинах, где воинские знаки отличия и прочие предметы времен Третьего рейха выдаются за экспонаты, представляющие коллекционную ценность.  Здесь следует упомянуть конкретные дела, по которым обвиняемые были признаны невиновными в ходе судебного разбирательства.  Так, в одном из дел предприниматель продавал военную форму и воинские знаки различия с нацистской символикой в своем армейском магазине, а по другому делу турист занимался перевозкой в Россию материалов, пропагандирующих неонацистское движение.  Еще одно дело касалось издательства, выпустившего на чешском языке книгу Адольфа Гитлера "Моя борьба" без каких-либо комментариев и распространявшего его в широкой продаже.</w:t>
      </w:r>
    </w:p>
    <w:p w:rsidR="00000000" w:rsidRDefault="00000000"/>
    <w:p w:rsidR="00000000" w:rsidRDefault="00000000">
      <w:r>
        <w:t>47.</w:t>
      </w:r>
      <w:r>
        <w:tab/>
        <w:t>Согласно данным полиции в структуре преступности продолжает прослеживаться тенденция, впервые зарегистрированная в 1998 году, в соответствии с которой наиболее многочисленными являются преступления, квалифицируемые как "поддержка и поощрение движений, направленных на ограничение личных прав и свобод" (статьи 260, 261 и 261а Уголовного кодекса)</w:t>
      </w:r>
      <w:r>
        <w:rPr>
          <w:rStyle w:val="FootnoteReference"/>
        </w:rPr>
        <w:footnoteReference w:id="47"/>
      </w:r>
      <w:r>
        <w:t>, за которыми следуют преступления, связанные с "диффамацией нации, этнической группы, расы и убеждений" (статья 198 Уголовного кодекса)</w:t>
      </w:r>
      <w:r>
        <w:rPr>
          <w:rStyle w:val="FootnoteReference"/>
        </w:rPr>
        <w:footnoteReference w:id="48"/>
      </w:r>
      <w:r>
        <w:t>, "разжигание ненависти по отношению к группе лиц или ограничение их прав и свобод" (статья 198а Уголовного кодекса)</w:t>
      </w:r>
      <w:r>
        <w:rPr>
          <w:rStyle w:val="FootnoteReference"/>
        </w:rPr>
        <w:t xml:space="preserve"> </w:t>
      </w:r>
      <w:r>
        <w:rPr>
          <w:rStyle w:val="FootnoteReference"/>
        </w:rPr>
        <w:footnoteReference w:id="49"/>
      </w:r>
      <w:r>
        <w:t>, и "насильственные действия по отношению к группе лиц или отдельным лицам" (статья 196 Уголовного кодекса)</w:t>
      </w:r>
      <w:r>
        <w:rPr>
          <w:rStyle w:val="FootnoteReference"/>
        </w:rPr>
        <w:footnoteReference w:id="50"/>
      </w:r>
      <w:r>
        <w:t xml:space="preserve">.  Большинство лиц, совершающих такие преступления, являются мужчинами, при этом количество женщин-правонарушителей по этой категории преступлений остается статистически незначительным.  Среди преступников встречаются как последователи движения скинхедов, так и простые граждане, не имеющие никакого отношения к правым экстремистским организациям.  Вместе с тем в некоторых случаях среди преступников также встречаются представители общины рома.  В приведенных ниже таблицах </w:t>
      </w:r>
    </w:p>
    <w:p w:rsidR="00000000" w:rsidRDefault="00000000">
      <w:r>
        <w:br w:type="page"/>
        <w:t>приведена информация о преступлениях с экстремистским уклоном</w:t>
      </w:r>
      <w:r>
        <w:rPr>
          <w:rStyle w:val="FootnoteReference"/>
        </w:rPr>
        <w:footnoteReference w:id="51"/>
      </w:r>
      <w:r>
        <w:t xml:space="preserve"> и характеристики правонарушителей.</w:t>
      </w:r>
    </w:p>
    <w:p w:rsidR="00000000" w:rsidRDefault="00000000"/>
    <w:p w:rsidR="00000000" w:rsidRDefault="00000000">
      <w:pPr>
        <w:jc w:val="center"/>
        <w:rPr>
          <w:b/>
          <w:bCs/>
        </w:rPr>
      </w:pPr>
      <w:r>
        <w:rPr>
          <w:b/>
          <w:bCs/>
        </w:rPr>
        <w:t>Таблица 5</w:t>
      </w:r>
    </w:p>
    <w:p w:rsidR="00000000" w:rsidRDefault="00000000">
      <w:pPr>
        <w:jc w:val="center"/>
        <w:rPr>
          <w:b/>
          <w:bCs/>
        </w:rPr>
      </w:pPr>
    </w:p>
    <w:p w:rsidR="00000000" w:rsidRDefault="00000000">
      <w:pPr>
        <w:jc w:val="center"/>
        <w:rPr>
          <w:b/>
          <w:bCs/>
        </w:rPr>
      </w:pPr>
      <w:r>
        <w:rPr>
          <w:b/>
          <w:bCs/>
        </w:rPr>
        <w:t>Общее количество преступлений с экстремистским уклоном,</w:t>
      </w:r>
    </w:p>
    <w:p w:rsidR="00000000" w:rsidRDefault="00000000">
      <w:pPr>
        <w:jc w:val="center"/>
        <w:rPr>
          <w:b/>
          <w:bCs/>
        </w:rPr>
      </w:pPr>
      <w:r>
        <w:rPr>
          <w:b/>
          <w:bCs/>
        </w:rPr>
        <w:t>зарегистрированных за период 2002-2005 годов</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96"/>
        <w:gridCol w:w="922"/>
        <w:gridCol w:w="922"/>
        <w:gridCol w:w="922"/>
        <w:gridCol w:w="2149"/>
      </w:tblGrid>
      <w:tr w:rsidR="00000000">
        <w:tblPrEx>
          <w:tblCellMar>
            <w:top w:w="0" w:type="dxa"/>
            <w:bottom w:w="0" w:type="dxa"/>
          </w:tblCellMar>
        </w:tblPrEx>
        <w:trPr>
          <w:cantSplit/>
        </w:trPr>
        <w:tc>
          <w:tcPr>
            <w:tcW w:w="4496" w:type="dxa"/>
            <w:vAlign w:val="center"/>
          </w:tcPr>
          <w:p w:rsidR="00000000" w:rsidRDefault="00000000">
            <w:pPr>
              <w:pStyle w:val="NormlnG"/>
              <w:widowControl/>
              <w:spacing w:line="288" w:lineRule="auto"/>
              <w:jc w:val="center"/>
              <w:rPr>
                <w:lang w:val="ru-RU"/>
              </w:rPr>
            </w:pPr>
            <w:r>
              <w:rPr>
                <w:lang w:val="ru-RU"/>
              </w:rPr>
              <w:t>Год</w:t>
            </w:r>
          </w:p>
        </w:tc>
        <w:tc>
          <w:tcPr>
            <w:tcW w:w="922" w:type="dxa"/>
            <w:vAlign w:val="center"/>
          </w:tcPr>
          <w:p w:rsidR="00000000" w:rsidRDefault="00000000">
            <w:pPr>
              <w:pStyle w:val="NormlnG"/>
              <w:widowControl/>
              <w:spacing w:line="288" w:lineRule="auto"/>
              <w:jc w:val="center"/>
              <w:rPr>
                <w:lang w:val="ru-RU"/>
              </w:rPr>
            </w:pPr>
            <w:r>
              <w:rPr>
                <w:lang w:val="ru-RU"/>
              </w:rPr>
              <w:t>2002</w:t>
            </w:r>
          </w:p>
        </w:tc>
        <w:tc>
          <w:tcPr>
            <w:tcW w:w="922" w:type="dxa"/>
            <w:vAlign w:val="center"/>
          </w:tcPr>
          <w:p w:rsidR="00000000" w:rsidRDefault="00000000">
            <w:pPr>
              <w:pStyle w:val="NormlnG"/>
              <w:widowControl/>
              <w:spacing w:line="288" w:lineRule="auto"/>
              <w:jc w:val="center"/>
              <w:rPr>
                <w:lang w:val="ru-RU"/>
              </w:rPr>
            </w:pPr>
            <w:r>
              <w:rPr>
                <w:lang w:val="ru-RU"/>
              </w:rPr>
              <w:t>2003</w:t>
            </w:r>
          </w:p>
        </w:tc>
        <w:tc>
          <w:tcPr>
            <w:tcW w:w="922" w:type="dxa"/>
            <w:vAlign w:val="center"/>
          </w:tcPr>
          <w:p w:rsidR="00000000" w:rsidRDefault="00000000">
            <w:pPr>
              <w:pStyle w:val="NormlnG"/>
              <w:widowControl/>
              <w:spacing w:line="288" w:lineRule="auto"/>
              <w:jc w:val="center"/>
              <w:rPr>
                <w:lang w:val="ru-RU"/>
              </w:rPr>
            </w:pPr>
            <w:r>
              <w:rPr>
                <w:lang w:val="ru-RU"/>
              </w:rPr>
              <w:t>2004</w:t>
            </w:r>
          </w:p>
        </w:tc>
        <w:tc>
          <w:tcPr>
            <w:tcW w:w="2149" w:type="dxa"/>
            <w:vAlign w:val="center"/>
          </w:tcPr>
          <w:p w:rsidR="00000000" w:rsidRDefault="00000000">
            <w:pPr>
              <w:pStyle w:val="NormlnG"/>
              <w:widowControl/>
              <w:spacing w:line="288" w:lineRule="auto"/>
              <w:jc w:val="center"/>
              <w:rPr>
                <w:lang w:val="ru-RU"/>
              </w:rPr>
            </w:pPr>
            <w:r>
              <w:rPr>
                <w:lang w:val="ru-RU"/>
              </w:rPr>
              <w:t>2005</w:t>
            </w:r>
          </w:p>
          <w:p w:rsidR="00000000" w:rsidRDefault="00000000">
            <w:pPr>
              <w:pStyle w:val="NormlnG"/>
              <w:widowControl/>
              <w:spacing w:line="288" w:lineRule="auto"/>
              <w:jc w:val="center"/>
              <w:rPr>
                <w:lang w:val="ru-RU"/>
              </w:rPr>
            </w:pPr>
            <w:r>
              <w:rPr>
                <w:lang w:val="ru-RU"/>
              </w:rPr>
              <w:t>(1 января - 31 мая)</w:t>
            </w:r>
          </w:p>
        </w:tc>
      </w:tr>
      <w:tr w:rsidR="00000000">
        <w:tblPrEx>
          <w:tblCellMar>
            <w:top w:w="0" w:type="dxa"/>
            <w:bottom w:w="0" w:type="dxa"/>
          </w:tblCellMar>
        </w:tblPrEx>
        <w:trPr>
          <w:cantSplit/>
        </w:trPr>
        <w:tc>
          <w:tcPr>
            <w:tcW w:w="4496" w:type="dxa"/>
          </w:tcPr>
          <w:p w:rsidR="00000000" w:rsidRDefault="00000000">
            <w:pPr>
              <w:pStyle w:val="NormlnG"/>
              <w:widowControl/>
              <w:spacing w:line="288" w:lineRule="auto"/>
              <w:jc w:val="left"/>
              <w:rPr>
                <w:lang w:val="ru-RU"/>
              </w:rPr>
            </w:pPr>
            <w:r>
              <w:rPr>
                <w:lang w:val="ru-RU"/>
              </w:rPr>
              <w:t>Количество зарегистрированных преступлений</w:t>
            </w:r>
          </w:p>
        </w:tc>
        <w:tc>
          <w:tcPr>
            <w:tcW w:w="922" w:type="dxa"/>
          </w:tcPr>
          <w:p w:rsidR="00000000" w:rsidRDefault="00000000">
            <w:pPr>
              <w:pStyle w:val="NormlnG"/>
              <w:widowControl/>
              <w:spacing w:line="288" w:lineRule="auto"/>
              <w:jc w:val="right"/>
              <w:rPr>
                <w:lang w:val="ru-RU"/>
              </w:rPr>
            </w:pPr>
            <w:r>
              <w:rPr>
                <w:lang w:val="ru-RU"/>
              </w:rPr>
              <w:t>473</w:t>
            </w:r>
          </w:p>
        </w:tc>
        <w:tc>
          <w:tcPr>
            <w:tcW w:w="922" w:type="dxa"/>
          </w:tcPr>
          <w:p w:rsidR="00000000" w:rsidRDefault="00000000">
            <w:pPr>
              <w:pStyle w:val="NormlnG"/>
              <w:widowControl/>
              <w:spacing w:line="288" w:lineRule="auto"/>
              <w:jc w:val="right"/>
              <w:rPr>
                <w:lang w:val="ru-RU"/>
              </w:rPr>
            </w:pPr>
            <w:r>
              <w:rPr>
                <w:lang w:val="ru-RU"/>
              </w:rPr>
              <w:t>335</w:t>
            </w:r>
          </w:p>
        </w:tc>
        <w:tc>
          <w:tcPr>
            <w:tcW w:w="922" w:type="dxa"/>
          </w:tcPr>
          <w:p w:rsidR="00000000" w:rsidRDefault="00000000">
            <w:pPr>
              <w:pStyle w:val="NormlnG"/>
              <w:widowControl/>
              <w:spacing w:line="288" w:lineRule="auto"/>
              <w:jc w:val="right"/>
              <w:rPr>
                <w:lang w:val="ru-RU"/>
              </w:rPr>
            </w:pPr>
            <w:r>
              <w:rPr>
                <w:lang w:val="ru-RU"/>
              </w:rPr>
              <w:t>366</w:t>
            </w:r>
          </w:p>
        </w:tc>
        <w:tc>
          <w:tcPr>
            <w:tcW w:w="2149" w:type="dxa"/>
          </w:tcPr>
          <w:p w:rsidR="00000000" w:rsidRDefault="00000000">
            <w:pPr>
              <w:pStyle w:val="NormlnG"/>
              <w:widowControl/>
              <w:spacing w:line="288" w:lineRule="auto"/>
              <w:jc w:val="right"/>
              <w:rPr>
                <w:lang w:val="ru-RU"/>
              </w:rPr>
            </w:pPr>
            <w:r>
              <w:rPr>
                <w:lang w:val="ru-RU"/>
              </w:rPr>
              <w:t>108</w:t>
            </w:r>
          </w:p>
        </w:tc>
      </w:tr>
      <w:tr w:rsidR="00000000">
        <w:tblPrEx>
          <w:tblCellMar>
            <w:top w:w="0" w:type="dxa"/>
            <w:bottom w:w="0" w:type="dxa"/>
          </w:tblCellMar>
        </w:tblPrEx>
        <w:trPr>
          <w:cantSplit/>
        </w:trPr>
        <w:tc>
          <w:tcPr>
            <w:tcW w:w="4496" w:type="dxa"/>
          </w:tcPr>
          <w:p w:rsidR="00000000" w:rsidRDefault="00000000">
            <w:pPr>
              <w:pStyle w:val="NormlnG"/>
              <w:widowControl/>
              <w:spacing w:line="288" w:lineRule="auto"/>
              <w:jc w:val="left"/>
              <w:rPr>
                <w:lang w:val="ru-RU"/>
              </w:rPr>
            </w:pPr>
            <w:r>
              <w:rPr>
                <w:lang w:val="ru-RU"/>
              </w:rPr>
              <w:t>Доля в общем количестве преступлений</w:t>
            </w:r>
          </w:p>
        </w:tc>
        <w:tc>
          <w:tcPr>
            <w:tcW w:w="922" w:type="dxa"/>
          </w:tcPr>
          <w:p w:rsidR="00000000" w:rsidRDefault="00000000">
            <w:pPr>
              <w:pStyle w:val="NormlnG"/>
              <w:widowControl/>
              <w:spacing w:line="288" w:lineRule="auto"/>
              <w:jc w:val="right"/>
              <w:rPr>
                <w:lang w:val="ru-RU"/>
              </w:rPr>
            </w:pPr>
            <w:r>
              <w:rPr>
                <w:lang w:val="ru-RU"/>
              </w:rPr>
              <w:t>0,1 %</w:t>
            </w:r>
          </w:p>
        </w:tc>
        <w:tc>
          <w:tcPr>
            <w:tcW w:w="922" w:type="dxa"/>
          </w:tcPr>
          <w:p w:rsidR="00000000" w:rsidRDefault="00000000">
            <w:pPr>
              <w:pStyle w:val="NormlnG"/>
              <w:widowControl/>
              <w:spacing w:line="288" w:lineRule="auto"/>
              <w:jc w:val="right"/>
              <w:rPr>
                <w:lang w:val="ru-RU"/>
              </w:rPr>
            </w:pPr>
            <w:r>
              <w:rPr>
                <w:lang w:val="ru-RU"/>
              </w:rPr>
              <w:t>0,09 %</w:t>
            </w:r>
          </w:p>
        </w:tc>
        <w:tc>
          <w:tcPr>
            <w:tcW w:w="922" w:type="dxa"/>
          </w:tcPr>
          <w:p w:rsidR="00000000" w:rsidRDefault="00000000">
            <w:pPr>
              <w:pStyle w:val="NormlnG"/>
              <w:widowControl/>
              <w:spacing w:line="288" w:lineRule="auto"/>
              <w:jc w:val="right"/>
              <w:rPr>
                <w:lang w:val="ru-RU"/>
              </w:rPr>
            </w:pPr>
            <w:r>
              <w:rPr>
                <w:lang w:val="ru-RU"/>
              </w:rPr>
              <w:t>0,1 %</w:t>
            </w:r>
          </w:p>
        </w:tc>
        <w:tc>
          <w:tcPr>
            <w:tcW w:w="2149" w:type="dxa"/>
          </w:tcPr>
          <w:p w:rsidR="00000000" w:rsidRDefault="00000000">
            <w:pPr>
              <w:pStyle w:val="NormlnG"/>
              <w:widowControl/>
              <w:spacing w:line="288" w:lineRule="auto"/>
              <w:jc w:val="right"/>
              <w:rPr>
                <w:lang w:val="ru-RU"/>
              </w:rPr>
            </w:pPr>
            <w:r>
              <w:rPr>
                <w:lang w:val="ru-RU"/>
              </w:rPr>
              <w:t>0,07 %</w:t>
            </w:r>
          </w:p>
        </w:tc>
      </w:tr>
      <w:tr w:rsidR="00000000">
        <w:tblPrEx>
          <w:tblCellMar>
            <w:top w:w="0" w:type="dxa"/>
            <w:bottom w:w="0" w:type="dxa"/>
          </w:tblCellMar>
        </w:tblPrEx>
        <w:trPr>
          <w:cantSplit/>
        </w:trPr>
        <w:tc>
          <w:tcPr>
            <w:tcW w:w="4496" w:type="dxa"/>
          </w:tcPr>
          <w:p w:rsidR="00000000" w:rsidRDefault="00000000">
            <w:pPr>
              <w:pStyle w:val="NormlnG"/>
              <w:widowControl/>
              <w:spacing w:line="288" w:lineRule="auto"/>
              <w:jc w:val="left"/>
              <w:rPr>
                <w:lang w:val="ru-RU"/>
              </w:rPr>
            </w:pPr>
            <w:r>
              <w:rPr>
                <w:lang w:val="ru-RU"/>
              </w:rPr>
              <w:t>Количество раскрытых преступлений</w:t>
            </w:r>
          </w:p>
        </w:tc>
        <w:tc>
          <w:tcPr>
            <w:tcW w:w="922" w:type="dxa"/>
          </w:tcPr>
          <w:p w:rsidR="00000000" w:rsidRDefault="00000000">
            <w:pPr>
              <w:pStyle w:val="NormlnG"/>
              <w:widowControl/>
              <w:spacing w:line="288" w:lineRule="auto"/>
              <w:jc w:val="right"/>
              <w:rPr>
                <w:lang w:val="ru-RU"/>
              </w:rPr>
            </w:pPr>
            <w:r>
              <w:rPr>
                <w:lang w:val="ru-RU"/>
              </w:rPr>
              <w:t>374</w:t>
            </w:r>
          </w:p>
        </w:tc>
        <w:tc>
          <w:tcPr>
            <w:tcW w:w="922" w:type="dxa"/>
          </w:tcPr>
          <w:p w:rsidR="00000000" w:rsidRDefault="00000000">
            <w:pPr>
              <w:pStyle w:val="NormlnG"/>
              <w:widowControl/>
              <w:spacing w:line="288" w:lineRule="auto"/>
              <w:jc w:val="right"/>
              <w:rPr>
                <w:lang w:val="ru-RU"/>
              </w:rPr>
            </w:pPr>
            <w:r>
              <w:rPr>
                <w:lang w:val="ru-RU"/>
              </w:rPr>
              <w:t>265</w:t>
            </w:r>
          </w:p>
        </w:tc>
        <w:tc>
          <w:tcPr>
            <w:tcW w:w="922" w:type="dxa"/>
          </w:tcPr>
          <w:p w:rsidR="00000000" w:rsidRDefault="00000000">
            <w:pPr>
              <w:pStyle w:val="NormlnG"/>
              <w:widowControl/>
              <w:spacing w:line="288" w:lineRule="auto"/>
              <w:jc w:val="right"/>
              <w:rPr>
                <w:lang w:val="ru-RU"/>
              </w:rPr>
            </w:pPr>
            <w:r>
              <w:rPr>
                <w:lang w:val="ru-RU"/>
              </w:rPr>
              <w:t>289</w:t>
            </w:r>
          </w:p>
        </w:tc>
        <w:tc>
          <w:tcPr>
            <w:tcW w:w="2149" w:type="dxa"/>
          </w:tcPr>
          <w:p w:rsidR="00000000" w:rsidRDefault="00000000">
            <w:pPr>
              <w:pStyle w:val="NormlnG"/>
              <w:widowControl/>
              <w:spacing w:line="288" w:lineRule="auto"/>
              <w:jc w:val="right"/>
              <w:rPr>
                <w:lang w:val="ru-RU"/>
              </w:rPr>
            </w:pPr>
            <w:r>
              <w:rPr>
                <w:lang w:val="ru-RU"/>
              </w:rPr>
              <w:t>82</w:t>
            </w:r>
          </w:p>
        </w:tc>
      </w:tr>
      <w:tr w:rsidR="00000000">
        <w:tblPrEx>
          <w:tblCellMar>
            <w:top w:w="0" w:type="dxa"/>
            <w:bottom w:w="0" w:type="dxa"/>
          </w:tblCellMar>
        </w:tblPrEx>
        <w:trPr>
          <w:cantSplit/>
        </w:trPr>
        <w:tc>
          <w:tcPr>
            <w:tcW w:w="4496" w:type="dxa"/>
          </w:tcPr>
          <w:p w:rsidR="00000000" w:rsidRDefault="00000000">
            <w:pPr>
              <w:pStyle w:val="NormlnG"/>
              <w:widowControl/>
              <w:spacing w:line="288" w:lineRule="auto"/>
              <w:jc w:val="left"/>
              <w:rPr>
                <w:lang w:val="ru-RU"/>
              </w:rPr>
            </w:pPr>
            <w:r>
              <w:rPr>
                <w:lang w:val="ru-RU"/>
              </w:rPr>
              <w:t>Количество преступлений, дела по которым были доведены до суда</w:t>
            </w:r>
          </w:p>
        </w:tc>
        <w:tc>
          <w:tcPr>
            <w:tcW w:w="922" w:type="dxa"/>
          </w:tcPr>
          <w:p w:rsidR="00000000" w:rsidRDefault="00000000">
            <w:pPr>
              <w:pStyle w:val="NormlnG"/>
              <w:widowControl/>
              <w:spacing w:line="288" w:lineRule="auto"/>
              <w:jc w:val="right"/>
              <w:rPr>
                <w:lang w:val="ru-RU"/>
              </w:rPr>
            </w:pPr>
            <w:r>
              <w:rPr>
                <w:lang w:val="ru-RU"/>
              </w:rPr>
              <w:t>483</w:t>
            </w:r>
          </w:p>
        </w:tc>
        <w:tc>
          <w:tcPr>
            <w:tcW w:w="922" w:type="dxa"/>
          </w:tcPr>
          <w:p w:rsidR="00000000" w:rsidRDefault="00000000">
            <w:pPr>
              <w:pStyle w:val="NormlnG"/>
              <w:widowControl/>
              <w:spacing w:line="288" w:lineRule="auto"/>
              <w:jc w:val="right"/>
              <w:rPr>
                <w:lang w:val="ru-RU"/>
              </w:rPr>
            </w:pPr>
            <w:r>
              <w:rPr>
                <w:lang w:val="ru-RU"/>
              </w:rPr>
              <w:t>334</w:t>
            </w:r>
          </w:p>
        </w:tc>
        <w:tc>
          <w:tcPr>
            <w:tcW w:w="922" w:type="dxa"/>
          </w:tcPr>
          <w:p w:rsidR="00000000" w:rsidRDefault="00000000">
            <w:pPr>
              <w:pStyle w:val="NormlnG"/>
              <w:widowControl/>
              <w:spacing w:line="288" w:lineRule="auto"/>
              <w:jc w:val="right"/>
              <w:rPr>
                <w:lang w:val="ru-RU"/>
              </w:rPr>
            </w:pPr>
            <w:r>
              <w:rPr>
                <w:lang w:val="ru-RU"/>
              </w:rPr>
              <w:t>401</w:t>
            </w:r>
          </w:p>
        </w:tc>
        <w:tc>
          <w:tcPr>
            <w:tcW w:w="2149" w:type="dxa"/>
          </w:tcPr>
          <w:p w:rsidR="00000000" w:rsidRDefault="00000000">
            <w:pPr>
              <w:pStyle w:val="NormlnG"/>
              <w:widowControl/>
              <w:spacing w:line="288" w:lineRule="auto"/>
              <w:jc w:val="right"/>
              <w:rPr>
                <w:lang w:val="ru-RU"/>
              </w:rPr>
            </w:pPr>
            <w:r>
              <w:rPr>
                <w:lang w:val="ru-RU"/>
              </w:rPr>
              <w:t>115</w:t>
            </w:r>
          </w:p>
        </w:tc>
      </w:tr>
    </w:tbl>
    <w:p w:rsidR="00000000" w:rsidRDefault="00000000"/>
    <w:p w:rsidR="00000000" w:rsidRDefault="00000000">
      <w:pPr>
        <w:keepNext/>
        <w:jc w:val="center"/>
        <w:rPr>
          <w:b/>
        </w:rPr>
      </w:pPr>
      <w:r>
        <w:rPr>
          <w:b/>
        </w:rPr>
        <w:t>Таблица 6</w:t>
      </w:r>
    </w:p>
    <w:p w:rsidR="00000000" w:rsidRDefault="00000000">
      <w:pPr>
        <w:keepNext/>
        <w:jc w:val="center"/>
        <w:rPr>
          <w:bCs/>
          <w:sz w:val="16"/>
        </w:rPr>
      </w:pPr>
    </w:p>
    <w:p w:rsidR="00000000" w:rsidRDefault="00000000">
      <w:pPr>
        <w:keepNext/>
        <w:jc w:val="center"/>
        <w:rPr>
          <w:b/>
          <w:bCs/>
        </w:rPr>
      </w:pPr>
      <w:r>
        <w:rPr>
          <w:b/>
          <w:bCs/>
        </w:rPr>
        <w:t>Наиболее распространенные преступления на почве экстремизма, связанные</w:t>
      </w:r>
    </w:p>
    <w:p w:rsidR="00000000" w:rsidRDefault="00000000">
      <w:pPr>
        <w:keepNext/>
        <w:jc w:val="center"/>
        <w:rPr>
          <w:b/>
          <w:bCs/>
        </w:rPr>
      </w:pPr>
      <w:r>
        <w:rPr>
          <w:b/>
          <w:bCs/>
        </w:rPr>
        <w:t xml:space="preserve"> с нападками на нацию, национальность или расу, или разжигание национальной или расовой ненависти за период 2002</w:t>
      </w:r>
      <w:r>
        <w:rPr>
          <w:b/>
          <w:bCs/>
        </w:rPr>
        <w:noBreakHyphen/>
        <w:t>2004 годов в разбивке по мотивам преступления</w:t>
      </w:r>
    </w:p>
    <w:p w:rsidR="00000000" w:rsidRDefault="00000000">
      <w:pPr>
        <w:keepNext/>
        <w:jc w:val="center"/>
        <w:rPr>
          <w:bCs/>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804"/>
        <w:gridCol w:w="853"/>
        <w:gridCol w:w="854"/>
        <w:gridCol w:w="854"/>
      </w:tblGrid>
      <w:tr w:rsidR="00000000">
        <w:trPr>
          <w:cantSplit/>
        </w:trPr>
        <w:tc>
          <w:tcPr>
            <w:tcW w:w="6804" w:type="dxa"/>
            <w:shd w:val="clear" w:color="auto" w:fill="FFFFFF"/>
            <w:vAlign w:val="center"/>
          </w:tcPr>
          <w:p w:rsidR="00000000" w:rsidRDefault="00000000">
            <w:pPr>
              <w:keepNext/>
              <w:jc w:val="center"/>
            </w:pPr>
            <w:r>
              <w:t>Преступление/год</w:t>
            </w:r>
          </w:p>
        </w:tc>
        <w:tc>
          <w:tcPr>
            <w:tcW w:w="853" w:type="dxa"/>
            <w:vAlign w:val="center"/>
          </w:tcPr>
          <w:p w:rsidR="00000000" w:rsidRDefault="00000000">
            <w:pPr>
              <w:keepNext/>
              <w:jc w:val="center"/>
              <w:rPr>
                <w:lang w:val="en-GB"/>
              </w:rPr>
            </w:pPr>
            <w:r>
              <w:rPr>
                <w:lang w:val="en-GB"/>
              </w:rPr>
              <w:t>2002</w:t>
            </w:r>
          </w:p>
        </w:tc>
        <w:tc>
          <w:tcPr>
            <w:tcW w:w="854" w:type="dxa"/>
            <w:vAlign w:val="center"/>
          </w:tcPr>
          <w:p w:rsidR="00000000" w:rsidRDefault="00000000">
            <w:pPr>
              <w:keepNext/>
              <w:jc w:val="center"/>
              <w:rPr>
                <w:lang w:val="en-GB"/>
              </w:rPr>
            </w:pPr>
            <w:r>
              <w:rPr>
                <w:lang w:val="en-GB"/>
              </w:rPr>
              <w:t>2003</w:t>
            </w:r>
          </w:p>
        </w:tc>
        <w:tc>
          <w:tcPr>
            <w:tcW w:w="854" w:type="dxa"/>
            <w:vAlign w:val="center"/>
          </w:tcPr>
          <w:p w:rsidR="00000000" w:rsidRDefault="00000000">
            <w:pPr>
              <w:keepNext/>
              <w:jc w:val="center"/>
              <w:rPr>
                <w:lang w:val="en-GB"/>
              </w:rPr>
            </w:pPr>
            <w:r>
              <w:rPr>
                <w:lang w:val="en-GB"/>
              </w:rPr>
              <w:t>2004</w:t>
            </w:r>
          </w:p>
        </w:tc>
      </w:tr>
      <w:tr w:rsidR="00000000">
        <w:trPr>
          <w:cantSplit/>
        </w:trPr>
        <w:tc>
          <w:tcPr>
            <w:tcW w:w="6804" w:type="dxa"/>
          </w:tcPr>
          <w:p w:rsidR="00000000" w:rsidRDefault="00000000">
            <w:r>
              <w:t>Поддержка и поощрение движений, ставящих целью подавление личных прав и свобод граждан (статья 260 Уголовного кодекса)</w:t>
            </w:r>
          </w:p>
        </w:tc>
        <w:tc>
          <w:tcPr>
            <w:tcW w:w="853" w:type="dxa"/>
          </w:tcPr>
          <w:p w:rsidR="00000000" w:rsidRDefault="00000000">
            <w:pPr>
              <w:tabs>
                <w:tab w:val="clear" w:pos="1134"/>
                <w:tab w:val="clear" w:pos="1701"/>
                <w:tab w:val="clear" w:pos="2268"/>
                <w:tab w:val="clear" w:pos="6237"/>
                <w:tab w:val="decimal" w:pos="567"/>
              </w:tabs>
              <w:rPr>
                <w:lang w:val="en-GB"/>
              </w:rPr>
            </w:pPr>
            <w:r>
              <w:rPr>
                <w:lang w:val="en-GB"/>
              </w:rPr>
              <w:t>95</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77</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50</w:t>
            </w:r>
          </w:p>
        </w:tc>
      </w:tr>
      <w:tr w:rsidR="00000000">
        <w:trPr>
          <w:cantSplit/>
        </w:trPr>
        <w:tc>
          <w:tcPr>
            <w:tcW w:w="6804" w:type="dxa"/>
          </w:tcPr>
          <w:p w:rsidR="00000000" w:rsidRDefault="00000000">
            <w:r>
              <w:t>Публичное проявление симпатии к движениям, ставящим своей целью подавление личных прав и свобод граждан (статья 261 Уголовного кодекса)</w:t>
            </w:r>
          </w:p>
        </w:tc>
        <w:tc>
          <w:tcPr>
            <w:tcW w:w="853" w:type="dxa"/>
          </w:tcPr>
          <w:p w:rsidR="00000000" w:rsidRDefault="00000000">
            <w:pPr>
              <w:tabs>
                <w:tab w:val="clear" w:pos="1134"/>
                <w:tab w:val="clear" w:pos="1701"/>
                <w:tab w:val="clear" w:pos="2268"/>
                <w:tab w:val="clear" w:pos="6237"/>
                <w:tab w:val="decimal" w:pos="567"/>
              </w:tabs>
              <w:rPr>
                <w:lang w:val="en-GB"/>
              </w:rPr>
            </w:pPr>
            <w:r>
              <w:rPr>
                <w:lang w:val="en-GB"/>
              </w:rPr>
              <w:t>123</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123</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87</w:t>
            </w:r>
          </w:p>
        </w:tc>
      </w:tr>
      <w:tr w:rsidR="00000000">
        <w:trPr>
          <w:cantSplit/>
        </w:trPr>
        <w:tc>
          <w:tcPr>
            <w:tcW w:w="6804" w:type="dxa"/>
          </w:tcPr>
          <w:p w:rsidR="00000000" w:rsidRDefault="00000000">
            <w:r>
              <w:t>Диффамация нации, этнической группы, расы и убеждений (статья 198 Уголовного кодекса)</w:t>
            </w:r>
          </w:p>
        </w:tc>
        <w:tc>
          <w:tcPr>
            <w:tcW w:w="853" w:type="dxa"/>
          </w:tcPr>
          <w:p w:rsidR="00000000" w:rsidRDefault="00000000">
            <w:pPr>
              <w:tabs>
                <w:tab w:val="clear" w:pos="1134"/>
                <w:tab w:val="clear" w:pos="1701"/>
                <w:tab w:val="clear" w:pos="2268"/>
                <w:tab w:val="clear" w:pos="6237"/>
                <w:tab w:val="decimal" w:pos="567"/>
              </w:tabs>
              <w:rPr>
                <w:lang w:val="en-GB"/>
              </w:rPr>
            </w:pPr>
            <w:r>
              <w:rPr>
                <w:lang w:val="en-GB"/>
              </w:rPr>
              <w:t>105</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71</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101</w:t>
            </w:r>
          </w:p>
        </w:tc>
      </w:tr>
      <w:tr w:rsidR="00000000">
        <w:trPr>
          <w:cantSplit/>
        </w:trPr>
        <w:tc>
          <w:tcPr>
            <w:tcW w:w="6804" w:type="dxa"/>
          </w:tcPr>
          <w:p w:rsidR="00000000" w:rsidRDefault="00000000">
            <w:r>
              <w:t>Разжигание ненависти по отношению к группе лиц или ограничение их прав и свобод (статья 198а Уголовного кодекса)</w:t>
            </w:r>
          </w:p>
        </w:tc>
        <w:tc>
          <w:tcPr>
            <w:tcW w:w="853" w:type="dxa"/>
          </w:tcPr>
          <w:p w:rsidR="00000000" w:rsidRDefault="00000000">
            <w:pPr>
              <w:tabs>
                <w:tab w:val="clear" w:pos="1134"/>
                <w:tab w:val="clear" w:pos="1701"/>
                <w:tab w:val="clear" w:pos="2268"/>
                <w:tab w:val="clear" w:pos="6237"/>
                <w:tab w:val="decimal" w:pos="567"/>
              </w:tabs>
              <w:rPr>
                <w:lang w:val="en-GB"/>
              </w:rPr>
            </w:pPr>
            <w:r>
              <w:rPr>
                <w:lang w:val="en-GB"/>
              </w:rPr>
              <w:t>18</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11</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13</w:t>
            </w:r>
          </w:p>
        </w:tc>
      </w:tr>
      <w:tr w:rsidR="00000000">
        <w:trPr>
          <w:cantSplit/>
        </w:trPr>
        <w:tc>
          <w:tcPr>
            <w:tcW w:w="6804" w:type="dxa"/>
          </w:tcPr>
          <w:p w:rsidR="00000000" w:rsidRDefault="00000000">
            <w:r>
              <w:t>Насильственные действия в отношении группы лиц или отдельных лиц (статья 196 (2))</w:t>
            </w:r>
          </w:p>
        </w:tc>
        <w:tc>
          <w:tcPr>
            <w:tcW w:w="853" w:type="dxa"/>
          </w:tcPr>
          <w:p w:rsidR="00000000" w:rsidRDefault="00000000">
            <w:pPr>
              <w:tabs>
                <w:tab w:val="clear" w:pos="1134"/>
                <w:tab w:val="clear" w:pos="1701"/>
                <w:tab w:val="clear" w:pos="2268"/>
                <w:tab w:val="clear" w:pos="6237"/>
                <w:tab w:val="decimal" w:pos="567"/>
              </w:tabs>
            </w:pPr>
            <w:r>
              <w:t>71</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41</w:t>
            </w:r>
          </w:p>
        </w:tc>
        <w:tc>
          <w:tcPr>
            <w:tcW w:w="854" w:type="dxa"/>
          </w:tcPr>
          <w:p w:rsidR="00000000" w:rsidRDefault="00000000">
            <w:pPr>
              <w:tabs>
                <w:tab w:val="clear" w:pos="1134"/>
                <w:tab w:val="clear" w:pos="1701"/>
                <w:tab w:val="clear" w:pos="2268"/>
                <w:tab w:val="clear" w:pos="6237"/>
                <w:tab w:val="decimal" w:pos="567"/>
              </w:tabs>
              <w:rPr>
                <w:lang w:val="en-GB"/>
              </w:rPr>
            </w:pPr>
            <w:r>
              <w:rPr>
                <w:lang w:val="en-GB"/>
              </w:rPr>
              <w:t>45</w:t>
            </w:r>
          </w:p>
        </w:tc>
      </w:tr>
    </w:tbl>
    <w:p w:rsidR="00000000" w:rsidRDefault="00000000">
      <w:pPr>
        <w:rPr>
          <w:lang w:val="en-GB"/>
        </w:rPr>
      </w:pPr>
    </w:p>
    <w:p w:rsidR="00000000" w:rsidRDefault="00000000">
      <w:pPr>
        <w:keepNext/>
        <w:jc w:val="center"/>
        <w:rPr>
          <w:b/>
        </w:rPr>
      </w:pPr>
      <w:r>
        <w:rPr>
          <w:b/>
        </w:rPr>
        <w:t>Таблица 7</w:t>
      </w:r>
    </w:p>
    <w:p w:rsidR="00000000" w:rsidRDefault="00000000">
      <w:pPr>
        <w:keepNext/>
        <w:jc w:val="center"/>
        <w:rPr>
          <w:b/>
        </w:rPr>
      </w:pPr>
    </w:p>
    <w:p w:rsidR="00000000" w:rsidRDefault="00000000">
      <w:pPr>
        <w:keepNext/>
        <w:jc w:val="center"/>
        <w:rPr>
          <w:b/>
        </w:rPr>
      </w:pPr>
      <w:r>
        <w:rPr>
          <w:b/>
        </w:rPr>
        <w:t>Причины закрытия полицией уголовных дел в отношении лиц, совершивших преступления на расовой или иной экстремистской почве (1 января 2002 года </w:t>
      </w:r>
      <w:r>
        <w:rPr>
          <w:b/>
        </w:rPr>
        <w:noBreakHyphen/>
        <w:t xml:space="preserve"> 31 декабря 2004 года)</w:t>
      </w:r>
    </w:p>
    <w:p w:rsidR="00000000" w:rsidRDefault="00000000">
      <w:pPr>
        <w:keepNext/>
        <w:rPr>
          <w:b/>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804"/>
        <w:gridCol w:w="849"/>
        <w:gridCol w:w="849"/>
        <w:gridCol w:w="849"/>
      </w:tblGrid>
      <w:tr w:rsidR="00000000">
        <w:trPr>
          <w:cantSplit/>
          <w:tblHeader/>
        </w:trPr>
        <w:tc>
          <w:tcPr>
            <w:tcW w:w="6804" w:type="dxa"/>
            <w:vAlign w:val="center"/>
          </w:tcPr>
          <w:p w:rsidR="00000000" w:rsidRDefault="00000000">
            <w:pPr>
              <w:keepNext/>
              <w:jc w:val="center"/>
            </w:pPr>
            <w:r>
              <w:t>Причина прекращения уголовного дела/год</w:t>
            </w:r>
          </w:p>
        </w:tc>
        <w:tc>
          <w:tcPr>
            <w:tcW w:w="849" w:type="dxa"/>
            <w:vAlign w:val="center"/>
          </w:tcPr>
          <w:p w:rsidR="00000000" w:rsidRDefault="00000000">
            <w:pPr>
              <w:keepNext/>
              <w:jc w:val="center"/>
            </w:pPr>
            <w:r>
              <w:t>2002</w:t>
            </w:r>
          </w:p>
        </w:tc>
        <w:tc>
          <w:tcPr>
            <w:tcW w:w="849" w:type="dxa"/>
            <w:vAlign w:val="center"/>
          </w:tcPr>
          <w:p w:rsidR="00000000" w:rsidRDefault="00000000">
            <w:pPr>
              <w:keepNext/>
              <w:jc w:val="center"/>
              <w:rPr>
                <w:lang w:val="en-GB"/>
              </w:rPr>
            </w:pPr>
            <w:r>
              <w:rPr>
                <w:lang w:val="en-GB"/>
              </w:rPr>
              <w:t>2003</w:t>
            </w:r>
          </w:p>
        </w:tc>
        <w:tc>
          <w:tcPr>
            <w:tcW w:w="849" w:type="dxa"/>
            <w:vAlign w:val="center"/>
          </w:tcPr>
          <w:p w:rsidR="00000000" w:rsidRDefault="00000000">
            <w:pPr>
              <w:keepNext/>
              <w:jc w:val="center"/>
              <w:rPr>
                <w:lang w:val="en-GB"/>
              </w:rPr>
            </w:pPr>
            <w:r>
              <w:rPr>
                <w:lang w:val="en-GB"/>
              </w:rPr>
              <w:t>2004</w:t>
            </w:r>
          </w:p>
        </w:tc>
      </w:tr>
      <w:tr w:rsidR="00000000">
        <w:trPr>
          <w:cantSplit/>
        </w:trPr>
        <w:tc>
          <w:tcPr>
            <w:tcW w:w="6804" w:type="dxa"/>
          </w:tcPr>
          <w:p w:rsidR="00000000" w:rsidRDefault="00000000">
            <w:r>
              <w:t>Ходатайство о представлении обвинительного акта</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289</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206</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238</w:t>
            </w:r>
          </w:p>
        </w:tc>
      </w:tr>
      <w:tr w:rsidR="00000000">
        <w:trPr>
          <w:cantSplit/>
        </w:trPr>
        <w:tc>
          <w:tcPr>
            <w:tcW w:w="6804" w:type="dxa"/>
          </w:tcPr>
          <w:p w:rsidR="00000000" w:rsidRDefault="00000000">
            <w:r>
              <w:t>Упрощенное досудебное разбирательство (статья</w:t>
            </w:r>
            <w:r>
              <w:rPr>
                <w:lang w:val="en-GB"/>
              </w:rPr>
              <w:t> </w:t>
            </w:r>
            <w:r>
              <w:t>179с</w:t>
            </w:r>
            <w:r>
              <w:rPr>
                <w:lang w:val="en-GB"/>
              </w:rPr>
              <w:t>S</w:t>
            </w:r>
            <w:r>
              <w:t> </w:t>
            </w:r>
            <w:r>
              <w:rPr>
                <w:lang w:val="en-GB"/>
              </w:rPr>
              <w:t>odst</w:t>
            </w:r>
            <w:r>
              <w:t>.1 Уголовного кодекса)</w:t>
            </w:r>
            <w:r>
              <w:rPr>
                <w:rStyle w:val="FootnoteReference"/>
                <w:lang w:val="en-GB"/>
              </w:rPr>
              <w:footnoteReference w:id="52"/>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44</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31</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49</w:t>
            </w:r>
          </w:p>
        </w:tc>
      </w:tr>
      <w:tr w:rsidR="00000000">
        <w:trPr>
          <w:cantSplit/>
        </w:trPr>
        <w:tc>
          <w:tcPr>
            <w:tcW w:w="6804" w:type="dxa"/>
          </w:tcPr>
          <w:p w:rsidR="00000000" w:rsidRDefault="00000000">
            <w:pPr>
              <w:pageBreakBefore/>
            </w:pPr>
            <w:r>
              <w:t>Приостановление уголовного разбирательства на основании статьи 159а (2) и 159а (3) Уголовного кодекса</w:t>
            </w:r>
            <w:r>
              <w:rPr>
                <w:rStyle w:val="FootnoteReference"/>
                <w:lang w:val="en-GB"/>
              </w:rPr>
              <w:footnoteReference w:id="53"/>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57</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16</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18</w:t>
            </w:r>
          </w:p>
        </w:tc>
      </w:tr>
      <w:tr w:rsidR="00000000">
        <w:trPr>
          <w:cantSplit/>
        </w:trPr>
        <w:tc>
          <w:tcPr>
            <w:tcW w:w="6804" w:type="dxa"/>
          </w:tcPr>
          <w:p w:rsidR="00000000" w:rsidRDefault="00000000">
            <w:r>
              <w:t>Условное приостановление производства по делу в соответствии со статьей</w:t>
            </w:r>
            <w:r>
              <w:rPr>
                <w:lang w:val="en-GB"/>
              </w:rPr>
              <w:t> </w:t>
            </w:r>
            <w:r>
              <w:t>307 Уголовного кодекса</w:t>
            </w:r>
            <w:r>
              <w:rPr>
                <w:rStyle w:val="FootnoteReference"/>
                <w:lang w:val="en-GB"/>
              </w:rPr>
              <w:footnoteReference w:id="54"/>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3</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7</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5</w:t>
            </w:r>
          </w:p>
        </w:tc>
      </w:tr>
      <w:tr w:rsidR="00000000">
        <w:trPr>
          <w:cantSplit/>
        </w:trPr>
        <w:tc>
          <w:tcPr>
            <w:tcW w:w="6804" w:type="dxa"/>
          </w:tcPr>
          <w:p w:rsidR="00000000" w:rsidRDefault="00000000">
            <w:r>
              <w:t>Приостановление производства по делу в соответствии со статьей 172(1)</w:t>
            </w:r>
            <w:r>
              <w:rPr>
                <w:lang w:val="en-GB"/>
              </w:rPr>
              <w:t>d</w:t>
            </w:r>
            <w:r>
              <w:t xml:space="preserve"> Уголовного кодекса</w:t>
            </w:r>
            <w:r>
              <w:rPr>
                <w:rStyle w:val="FootnoteReference"/>
                <w:lang w:val="en-GB"/>
              </w:rPr>
              <w:footnoteReference w:id="55"/>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4</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6</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5</w:t>
            </w:r>
          </w:p>
        </w:tc>
      </w:tr>
      <w:tr w:rsidR="00000000">
        <w:trPr>
          <w:cantSplit/>
        </w:trPr>
        <w:tc>
          <w:tcPr>
            <w:tcW w:w="6804" w:type="dxa"/>
          </w:tcPr>
          <w:p w:rsidR="00000000" w:rsidRDefault="00000000">
            <w:r>
              <w:t>Передача уголовного дела для разбирательства в страну правонарушителя в соответствии со статьей 173 (1)</w:t>
            </w:r>
            <w:r>
              <w:rPr>
                <w:lang w:val="en-GB"/>
              </w:rPr>
              <w:t>d</w:t>
            </w:r>
            <w:r>
              <w:t xml:space="preserve"> Уголовного кодекса</w:t>
            </w:r>
            <w:r>
              <w:rPr>
                <w:rStyle w:val="FootnoteReference"/>
                <w:lang w:val="en-GB"/>
              </w:rPr>
              <w:footnoteReference w:id="56"/>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2</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0</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0</w:t>
            </w:r>
          </w:p>
        </w:tc>
      </w:tr>
      <w:tr w:rsidR="00000000">
        <w:trPr>
          <w:cantSplit/>
        </w:trPr>
        <w:tc>
          <w:tcPr>
            <w:tcW w:w="6804" w:type="dxa"/>
          </w:tcPr>
          <w:p w:rsidR="00000000" w:rsidRDefault="00000000">
            <w:r>
              <w:t>Находится на этапе расследования</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84</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68</w:t>
            </w:r>
          </w:p>
        </w:tc>
        <w:tc>
          <w:tcPr>
            <w:tcW w:w="849" w:type="dxa"/>
          </w:tcPr>
          <w:p w:rsidR="00000000" w:rsidRDefault="00000000">
            <w:pPr>
              <w:tabs>
                <w:tab w:val="clear" w:pos="1134"/>
                <w:tab w:val="clear" w:pos="1701"/>
                <w:tab w:val="clear" w:pos="2268"/>
                <w:tab w:val="clear" w:pos="6237"/>
                <w:tab w:val="decimal" w:pos="567"/>
              </w:tabs>
              <w:rPr>
                <w:lang w:val="en-GB"/>
              </w:rPr>
            </w:pPr>
            <w:r>
              <w:rPr>
                <w:lang w:val="en-GB"/>
              </w:rPr>
              <w:t>88</w:t>
            </w:r>
          </w:p>
        </w:tc>
      </w:tr>
    </w:tbl>
    <w:p w:rsidR="00000000" w:rsidRDefault="00000000">
      <w:pPr>
        <w:rPr>
          <w:lang w:val="en-GB"/>
        </w:rPr>
      </w:pPr>
    </w:p>
    <w:p w:rsidR="00000000" w:rsidRDefault="00000000">
      <w:pPr>
        <w:rPr>
          <w:lang w:val="en-GB"/>
        </w:rPr>
      </w:pPr>
    </w:p>
    <w:p w:rsidR="00000000" w:rsidRDefault="00000000">
      <w:pPr>
        <w:keepNext/>
        <w:jc w:val="center"/>
        <w:rPr>
          <w:b/>
        </w:rPr>
      </w:pPr>
      <w:r>
        <w:rPr>
          <w:b/>
        </w:rPr>
        <w:t>Таблица 8</w:t>
      </w:r>
    </w:p>
    <w:p w:rsidR="00000000" w:rsidRDefault="00000000">
      <w:pPr>
        <w:keepNext/>
        <w:jc w:val="center"/>
        <w:rPr>
          <w:b/>
        </w:rPr>
      </w:pPr>
    </w:p>
    <w:p w:rsidR="00000000" w:rsidRDefault="00000000">
      <w:pPr>
        <w:keepNext/>
        <w:jc w:val="center"/>
        <w:rPr>
          <w:b/>
        </w:rPr>
      </w:pPr>
      <w:r>
        <w:rPr>
          <w:b/>
        </w:rPr>
        <w:t>Правонарушители, совершившие преступление с экстремистским уклоном, в разбивке по уровню образования</w:t>
      </w:r>
    </w:p>
    <w:p w:rsidR="00000000" w:rsidRDefault="00000000">
      <w:pPr>
        <w:keepNext/>
        <w:rPr>
          <w:b/>
        </w:rPr>
      </w:pPr>
    </w:p>
    <w:tbl>
      <w:tblPr>
        <w:tblW w:w="0" w:type="auto"/>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57" w:type="dxa"/>
        </w:tblCellMar>
        <w:tblLook w:val="0000" w:firstRow="0" w:lastRow="0" w:firstColumn="0" w:lastColumn="0" w:noHBand="0" w:noVBand="0"/>
      </w:tblPr>
      <w:tblGrid>
        <w:gridCol w:w="4998"/>
        <w:gridCol w:w="1483"/>
        <w:gridCol w:w="1470"/>
        <w:gridCol w:w="1414"/>
      </w:tblGrid>
      <w:tr w:rsidR="00000000">
        <w:trPr>
          <w:cantSplit/>
        </w:trPr>
        <w:tc>
          <w:tcPr>
            <w:tcW w:w="4998" w:type="dxa"/>
            <w:vAlign w:val="center"/>
          </w:tcPr>
          <w:p w:rsidR="00000000" w:rsidRDefault="00000000">
            <w:pPr>
              <w:keepNext/>
              <w:jc w:val="center"/>
            </w:pPr>
            <w:r>
              <w:t>Уровень образования правонарушителя/год</w:t>
            </w:r>
          </w:p>
        </w:tc>
        <w:tc>
          <w:tcPr>
            <w:tcW w:w="1483" w:type="dxa"/>
            <w:vAlign w:val="center"/>
          </w:tcPr>
          <w:p w:rsidR="00000000" w:rsidRDefault="00000000">
            <w:pPr>
              <w:keepNext/>
              <w:jc w:val="center"/>
              <w:rPr>
                <w:lang w:val="en-GB"/>
              </w:rPr>
            </w:pPr>
            <w:r>
              <w:rPr>
                <w:lang w:val="en-GB"/>
              </w:rPr>
              <w:t>2002</w:t>
            </w:r>
          </w:p>
        </w:tc>
        <w:tc>
          <w:tcPr>
            <w:tcW w:w="1470" w:type="dxa"/>
            <w:vAlign w:val="center"/>
          </w:tcPr>
          <w:p w:rsidR="00000000" w:rsidRDefault="00000000">
            <w:pPr>
              <w:keepNext/>
              <w:jc w:val="center"/>
              <w:rPr>
                <w:lang w:val="en-GB"/>
              </w:rPr>
            </w:pPr>
            <w:r>
              <w:rPr>
                <w:lang w:val="en-GB"/>
              </w:rPr>
              <w:t>2003</w:t>
            </w:r>
          </w:p>
        </w:tc>
        <w:tc>
          <w:tcPr>
            <w:tcW w:w="1414" w:type="dxa"/>
            <w:vAlign w:val="center"/>
          </w:tcPr>
          <w:p w:rsidR="00000000" w:rsidRDefault="00000000">
            <w:pPr>
              <w:keepNext/>
              <w:jc w:val="center"/>
              <w:rPr>
                <w:lang w:val="en-GB"/>
              </w:rPr>
            </w:pPr>
            <w:r>
              <w:rPr>
                <w:lang w:val="en-GB"/>
              </w:rPr>
              <w:t>2004</w:t>
            </w:r>
          </w:p>
        </w:tc>
      </w:tr>
      <w:tr w:rsidR="00000000">
        <w:trPr>
          <w:cantSplit/>
        </w:trPr>
        <w:tc>
          <w:tcPr>
            <w:tcW w:w="4998" w:type="dxa"/>
          </w:tcPr>
          <w:p w:rsidR="00000000" w:rsidRDefault="00000000">
            <w:r>
              <w:t>Начальное с прикладной профессиональной подготовкой</w:t>
            </w:r>
          </w:p>
        </w:tc>
        <w:tc>
          <w:tcPr>
            <w:tcW w:w="1483" w:type="dxa"/>
          </w:tcPr>
          <w:p w:rsidR="00000000" w:rsidRDefault="00000000">
            <w:pPr>
              <w:jc w:val="center"/>
            </w:pPr>
            <w:r>
              <w:t>211 (</w:t>
            </w:r>
            <w:proofErr w:type="spellStart"/>
            <w:r>
              <w:t>43,6%</w:t>
            </w:r>
            <w:proofErr w:type="spellEnd"/>
            <w:r>
              <w:t>)</w:t>
            </w:r>
          </w:p>
        </w:tc>
        <w:tc>
          <w:tcPr>
            <w:tcW w:w="1470" w:type="dxa"/>
          </w:tcPr>
          <w:p w:rsidR="00000000" w:rsidRDefault="00000000">
            <w:pPr>
              <w:jc w:val="center"/>
            </w:pPr>
            <w:r>
              <w:t>99 (</w:t>
            </w:r>
            <w:proofErr w:type="spellStart"/>
            <w:r>
              <w:t>29,6%</w:t>
            </w:r>
            <w:proofErr w:type="spellEnd"/>
            <w:r>
              <w:t>)</w:t>
            </w:r>
          </w:p>
        </w:tc>
        <w:tc>
          <w:tcPr>
            <w:tcW w:w="1414" w:type="dxa"/>
          </w:tcPr>
          <w:p w:rsidR="00000000" w:rsidRDefault="00000000">
            <w:pPr>
              <w:jc w:val="center"/>
            </w:pPr>
            <w:r>
              <w:t>187 (</w:t>
            </w:r>
            <w:proofErr w:type="spellStart"/>
            <w:r>
              <w:t>46,1%</w:t>
            </w:r>
            <w:proofErr w:type="spellEnd"/>
            <w:r>
              <w:t>)</w:t>
            </w:r>
          </w:p>
        </w:tc>
      </w:tr>
      <w:tr w:rsidR="00000000">
        <w:trPr>
          <w:cantSplit/>
        </w:trPr>
        <w:tc>
          <w:tcPr>
            <w:tcW w:w="4998" w:type="dxa"/>
          </w:tcPr>
          <w:p w:rsidR="00000000" w:rsidRDefault="00000000">
            <w:r>
              <w:t>Начальное без получения диплома</w:t>
            </w:r>
          </w:p>
        </w:tc>
        <w:tc>
          <w:tcPr>
            <w:tcW w:w="1483" w:type="dxa"/>
          </w:tcPr>
          <w:p w:rsidR="00000000" w:rsidRDefault="00000000">
            <w:pPr>
              <w:jc w:val="center"/>
            </w:pPr>
            <w:r>
              <w:t>143 (</w:t>
            </w:r>
            <w:proofErr w:type="spellStart"/>
            <w:r>
              <w:t>29,5%</w:t>
            </w:r>
            <w:proofErr w:type="spellEnd"/>
            <w:r>
              <w:t>)</w:t>
            </w:r>
          </w:p>
        </w:tc>
        <w:tc>
          <w:tcPr>
            <w:tcW w:w="1470" w:type="dxa"/>
          </w:tcPr>
          <w:p w:rsidR="00000000" w:rsidRDefault="00000000">
            <w:pPr>
              <w:jc w:val="center"/>
            </w:pPr>
            <w:r>
              <w:t>123 (</w:t>
            </w:r>
            <w:proofErr w:type="spellStart"/>
            <w:r>
              <w:t>36,8%</w:t>
            </w:r>
            <w:proofErr w:type="spellEnd"/>
            <w:r>
              <w:t>)</w:t>
            </w:r>
          </w:p>
        </w:tc>
        <w:tc>
          <w:tcPr>
            <w:tcW w:w="1414" w:type="dxa"/>
          </w:tcPr>
          <w:p w:rsidR="00000000" w:rsidRDefault="00000000">
            <w:pPr>
              <w:jc w:val="center"/>
            </w:pPr>
            <w:r>
              <w:t>112 (</w:t>
            </w:r>
            <w:proofErr w:type="spellStart"/>
            <w:r>
              <w:t>27,6%</w:t>
            </w:r>
            <w:proofErr w:type="spellEnd"/>
            <w:r>
              <w:t>)</w:t>
            </w:r>
          </w:p>
        </w:tc>
      </w:tr>
      <w:tr w:rsidR="00000000">
        <w:trPr>
          <w:cantSplit/>
        </w:trPr>
        <w:tc>
          <w:tcPr>
            <w:tcW w:w="4998" w:type="dxa"/>
          </w:tcPr>
          <w:p w:rsidR="00000000" w:rsidRDefault="00000000">
            <w:r>
              <w:t>Среднее</w:t>
            </w:r>
          </w:p>
        </w:tc>
        <w:tc>
          <w:tcPr>
            <w:tcW w:w="1483" w:type="dxa"/>
          </w:tcPr>
          <w:p w:rsidR="00000000" w:rsidRDefault="00000000">
            <w:pPr>
              <w:jc w:val="center"/>
            </w:pPr>
            <w:r>
              <w:t>26 (</w:t>
            </w:r>
            <w:proofErr w:type="spellStart"/>
            <w:r>
              <w:t>5,4%</w:t>
            </w:r>
            <w:proofErr w:type="spellEnd"/>
            <w:r>
              <w:t>)</w:t>
            </w:r>
          </w:p>
        </w:tc>
        <w:tc>
          <w:tcPr>
            <w:tcW w:w="1470" w:type="dxa"/>
          </w:tcPr>
          <w:p w:rsidR="00000000" w:rsidRDefault="00000000">
            <w:pPr>
              <w:jc w:val="center"/>
            </w:pPr>
            <w:r>
              <w:t>25 (</w:t>
            </w:r>
            <w:proofErr w:type="spellStart"/>
            <w:r>
              <w:t>7,5%</w:t>
            </w:r>
            <w:proofErr w:type="spellEnd"/>
            <w:r>
              <w:t>)</w:t>
            </w:r>
          </w:p>
        </w:tc>
        <w:tc>
          <w:tcPr>
            <w:tcW w:w="1414" w:type="dxa"/>
          </w:tcPr>
          <w:p w:rsidR="00000000" w:rsidRDefault="00000000">
            <w:pPr>
              <w:jc w:val="center"/>
            </w:pPr>
            <w:r>
              <w:t>37 (</w:t>
            </w:r>
            <w:proofErr w:type="spellStart"/>
            <w:r>
              <w:t>9,1%</w:t>
            </w:r>
            <w:proofErr w:type="spellEnd"/>
            <w:r>
              <w:t>)</w:t>
            </w:r>
          </w:p>
        </w:tc>
      </w:tr>
      <w:tr w:rsidR="00000000">
        <w:trPr>
          <w:cantSplit/>
        </w:trPr>
        <w:tc>
          <w:tcPr>
            <w:tcW w:w="4998" w:type="dxa"/>
          </w:tcPr>
          <w:p w:rsidR="00000000" w:rsidRDefault="00000000">
            <w:r>
              <w:t xml:space="preserve">Высшее </w:t>
            </w:r>
          </w:p>
        </w:tc>
        <w:tc>
          <w:tcPr>
            <w:tcW w:w="1483" w:type="dxa"/>
          </w:tcPr>
          <w:p w:rsidR="00000000" w:rsidRDefault="00000000">
            <w:pPr>
              <w:jc w:val="center"/>
            </w:pPr>
            <w:r>
              <w:t>2 (</w:t>
            </w:r>
            <w:proofErr w:type="spellStart"/>
            <w:r>
              <w:t>0,4%</w:t>
            </w:r>
            <w:proofErr w:type="spellEnd"/>
            <w:r>
              <w:t>)</w:t>
            </w:r>
          </w:p>
        </w:tc>
        <w:tc>
          <w:tcPr>
            <w:tcW w:w="1470" w:type="dxa"/>
          </w:tcPr>
          <w:p w:rsidR="00000000" w:rsidRDefault="00000000">
            <w:pPr>
              <w:jc w:val="center"/>
            </w:pPr>
            <w:r>
              <w:t>1 (</w:t>
            </w:r>
            <w:proofErr w:type="spellStart"/>
            <w:r>
              <w:t>0,3%</w:t>
            </w:r>
            <w:proofErr w:type="spellEnd"/>
            <w:r>
              <w:t>)</w:t>
            </w:r>
          </w:p>
        </w:tc>
        <w:tc>
          <w:tcPr>
            <w:tcW w:w="1414" w:type="dxa"/>
          </w:tcPr>
          <w:p w:rsidR="00000000" w:rsidRDefault="00000000">
            <w:pPr>
              <w:jc w:val="center"/>
            </w:pPr>
            <w:r>
              <w:t>4 (</w:t>
            </w:r>
            <w:proofErr w:type="spellStart"/>
            <w:r>
              <w:t>0,1%</w:t>
            </w:r>
            <w:proofErr w:type="spellEnd"/>
            <w:r>
              <w:t>)</w:t>
            </w:r>
          </w:p>
        </w:tc>
      </w:tr>
      <w:tr w:rsidR="00000000">
        <w:trPr>
          <w:cantSplit/>
        </w:trPr>
        <w:tc>
          <w:tcPr>
            <w:tcW w:w="4998" w:type="dxa"/>
          </w:tcPr>
          <w:p w:rsidR="00000000" w:rsidRDefault="00000000">
            <w:r>
              <w:t>Прочее (специальная школа </w:t>
            </w:r>
            <w:r>
              <w:noBreakHyphen/>
              <w:t xml:space="preserve"> прикладное профессиональное обучение или образование без получения диплома, незаконченное начальное образование, иностранцы, дети, информация отсутствует)</w:t>
            </w:r>
          </w:p>
        </w:tc>
        <w:tc>
          <w:tcPr>
            <w:tcW w:w="1483" w:type="dxa"/>
          </w:tcPr>
          <w:p w:rsidR="00000000" w:rsidRDefault="00000000">
            <w:pPr>
              <w:jc w:val="center"/>
              <w:rPr>
                <w:lang w:val="en-GB"/>
              </w:rPr>
            </w:pPr>
            <w:r>
              <w:rPr>
                <w:lang w:val="en-GB"/>
              </w:rPr>
              <w:t>101 (25%)</w:t>
            </w:r>
          </w:p>
        </w:tc>
        <w:tc>
          <w:tcPr>
            <w:tcW w:w="1470" w:type="dxa"/>
          </w:tcPr>
          <w:p w:rsidR="00000000" w:rsidRDefault="00000000">
            <w:pPr>
              <w:jc w:val="center"/>
            </w:pPr>
            <w:r>
              <w:t>86 (</w:t>
            </w:r>
            <w:proofErr w:type="spellStart"/>
            <w:r>
              <w:t>25,7%</w:t>
            </w:r>
            <w:proofErr w:type="spellEnd"/>
            <w:r>
              <w:t>)</w:t>
            </w:r>
          </w:p>
        </w:tc>
        <w:tc>
          <w:tcPr>
            <w:tcW w:w="1414" w:type="dxa"/>
          </w:tcPr>
          <w:p w:rsidR="00000000" w:rsidRDefault="00000000">
            <w:pPr>
              <w:jc w:val="center"/>
            </w:pPr>
            <w:r>
              <w:t>66 (</w:t>
            </w:r>
            <w:proofErr w:type="spellStart"/>
            <w:r>
              <w:t>16,3%</w:t>
            </w:r>
            <w:proofErr w:type="spellEnd"/>
            <w:r>
              <w:t>)</w:t>
            </w:r>
          </w:p>
        </w:tc>
      </w:tr>
    </w:tbl>
    <w:p w:rsidR="00000000" w:rsidRDefault="00000000">
      <w:pPr>
        <w:rPr>
          <w:b/>
        </w:rPr>
      </w:pPr>
    </w:p>
    <w:p w:rsidR="00000000" w:rsidRDefault="00000000">
      <w:pPr>
        <w:keepNext/>
        <w:jc w:val="center"/>
        <w:rPr>
          <w:b/>
        </w:rPr>
      </w:pPr>
      <w:r>
        <w:rPr>
          <w:b/>
        </w:rPr>
        <w:t>Таблица 9</w:t>
      </w:r>
    </w:p>
    <w:p w:rsidR="00000000" w:rsidRDefault="00000000">
      <w:pPr>
        <w:keepNext/>
        <w:jc w:val="center"/>
        <w:rPr>
          <w:b/>
        </w:rPr>
      </w:pPr>
    </w:p>
    <w:p w:rsidR="00000000" w:rsidRDefault="00000000">
      <w:pPr>
        <w:keepNext/>
        <w:jc w:val="center"/>
        <w:rPr>
          <w:b/>
        </w:rPr>
      </w:pPr>
      <w:r>
        <w:rPr>
          <w:b/>
        </w:rPr>
        <w:t>Правонарушители, совершившие преступления с экстремистским уклоном, в разбивке по возрасту</w:t>
      </w:r>
    </w:p>
    <w:p w:rsidR="00000000" w:rsidRDefault="00000000">
      <w:pPr>
        <w:keepNext/>
        <w:rPr>
          <w:b/>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119"/>
        <w:gridCol w:w="2082"/>
        <w:gridCol w:w="2082"/>
        <w:gridCol w:w="2082"/>
      </w:tblGrid>
      <w:tr w:rsidR="00000000">
        <w:trPr>
          <w:cantSplit/>
          <w:tblHeader/>
        </w:trPr>
        <w:tc>
          <w:tcPr>
            <w:tcW w:w="3119" w:type="dxa"/>
          </w:tcPr>
          <w:p w:rsidR="00000000" w:rsidRDefault="00000000">
            <w:pPr>
              <w:keepNext/>
              <w:jc w:val="center"/>
            </w:pPr>
            <w:r>
              <w:t>Возрастная категория/год</w:t>
            </w:r>
          </w:p>
        </w:tc>
        <w:tc>
          <w:tcPr>
            <w:tcW w:w="2082" w:type="dxa"/>
            <w:vAlign w:val="center"/>
          </w:tcPr>
          <w:p w:rsidR="00000000" w:rsidRDefault="00000000">
            <w:pPr>
              <w:keepNext/>
              <w:jc w:val="center"/>
              <w:rPr>
                <w:lang w:val="en-GB"/>
              </w:rPr>
            </w:pPr>
            <w:r>
              <w:rPr>
                <w:lang w:val="en-GB"/>
              </w:rPr>
              <w:t>2002</w:t>
            </w:r>
          </w:p>
        </w:tc>
        <w:tc>
          <w:tcPr>
            <w:tcW w:w="2082" w:type="dxa"/>
            <w:vAlign w:val="center"/>
          </w:tcPr>
          <w:p w:rsidR="00000000" w:rsidRDefault="00000000">
            <w:pPr>
              <w:keepNext/>
              <w:jc w:val="center"/>
              <w:rPr>
                <w:lang w:val="en-GB"/>
              </w:rPr>
            </w:pPr>
            <w:r>
              <w:rPr>
                <w:lang w:val="en-GB"/>
              </w:rPr>
              <w:t>2003</w:t>
            </w:r>
          </w:p>
        </w:tc>
        <w:tc>
          <w:tcPr>
            <w:tcW w:w="2082" w:type="dxa"/>
            <w:vAlign w:val="center"/>
          </w:tcPr>
          <w:p w:rsidR="00000000" w:rsidRDefault="00000000">
            <w:pPr>
              <w:keepNext/>
              <w:jc w:val="center"/>
              <w:rPr>
                <w:lang w:val="en-GB"/>
              </w:rPr>
            </w:pPr>
            <w:r>
              <w:rPr>
                <w:lang w:val="en-GB"/>
              </w:rPr>
              <w:t>2004</w:t>
            </w:r>
          </w:p>
        </w:tc>
      </w:tr>
      <w:tr w:rsidR="00000000">
        <w:trPr>
          <w:cantSplit/>
          <w:tblHeader/>
        </w:trPr>
        <w:tc>
          <w:tcPr>
            <w:tcW w:w="3119" w:type="dxa"/>
          </w:tcPr>
          <w:p w:rsidR="00000000" w:rsidRDefault="00000000">
            <w:pPr>
              <w:jc w:val="center"/>
            </w:pPr>
            <w:r>
              <w:t xml:space="preserve">До </w:t>
            </w:r>
            <w:r>
              <w:rPr>
                <w:lang w:val="en-GB"/>
              </w:rPr>
              <w:t>15</w:t>
            </w:r>
            <w:r>
              <w:t xml:space="preserve"> лет</w:t>
            </w:r>
          </w:p>
        </w:tc>
        <w:tc>
          <w:tcPr>
            <w:tcW w:w="2082" w:type="dxa"/>
            <w:vAlign w:val="center"/>
          </w:tcPr>
          <w:p w:rsidR="00000000" w:rsidRDefault="00000000">
            <w:pPr>
              <w:jc w:val="center"/>
              <w:rPr>
                <w:lang w:val="en-GB"/>
              </w:rPr>
            </w:pPr>
            <w:r>
              <w:rPr>
                <w:lang w:val="en-GB"/>
              </w:rPr>
              <w:t>36 (7,5%)</w:t>
            </w:r>
          </w:p>
        </w:tc>
        <w:tc>
          <w:tcPr>
            <w:tcW w:w="2082" w:type="dxa"/>
            <w:vAlign w:val="center"/>
          </w:tcPr>
          <w:p w:rsidR="00000000" w:rsidRDefault="00000000">
            <w:pPr>
              <w:jc w:val="center"/>
              <w:rPr>
                <w:lang w:val="en-GB"/>
              </w:rPr>
            </w:pPr>
            <w:r>
              <w:rPr>
                <w:lang w:val="en-GB"/>
              </w:rPr>
              <w:t>13 (3,9%)</w:t>
            </w:r>
          </w:p>
        </w:tc>
        <w:tc>
          <w:tcPr>
            <w:tcW w:w="2082" w:type="dxa"/>
            <w:vAlign w:val="center"/>
          </w:tcPr>
          <w:p w:rsidR="00000000" w:rsidRDefault="00000000">
            <w:pPr>
              <w:jc w:val="center"/>
              <w:rPr>
                <w:lang w:val="en-GB"/>
              </w:rPr>
            </w:pPr>
            <w:r>
              <w:rPr>
                <w:lang w:val="en-GB"/>
              </w:rPr>
              <w:t>8 (2,0 %)</w:t>
            </w:r>
          </w:p>
        </w:tc>
      </w:tr>
      <w:tr w:rsidR="00000000">
        <w:trPr>
          <w:cantSplit/>
          <w:tblHeader/>
        </w:trPr>
        <w:tc>
          <w:tcPr>
            <w:tcW w:w="3119" w:type="dxa"/>
          </w:tcPr>
          <w:p w:rsidR="00000000" w:rsidRDefault="00000000">
            <w:pPr>
              <w:jc w:val="center"/>
              <w:rPr>
                <w:lang w:val="en-GB"/>
              </w:rPr>
            </w:pPr>
            <w:r>
              <w:rPr>
                <w:lang w:val="en-GB"/>
              </w:rPr>
              <w:t>15–17</w:t>
            </w:r>
          </w:p>
        </w:tc>
        <w:tc>
          <w:tcPr>
            <w:tcW w:w="2082" w:type="dxa"/>
            <w:vAlign w:val="center"/>
          </w:tcPr>
          <w:p w:rsidR="00000000" w:rsidRDefault="00000000">
            <w:pPr>
              <w:jc w:val="center"/>
              <w:rPr>
                <w:lang w:val="en-GB"/>
              </w:rPr>
            </w:pPr>
            <w:r>
              <w:rPr>
                <w:lang w:val="en-GB"/>
              </w:rPr>
              <w:t>80 (16,6%)</w:t>
            </w:r>
          </w:p>
        </w:tc>
        <w:tc>
          <w:tcPr>
            <w:tcW w:w="2082" w:type="dxa"/>
            <w:vAlign w:val="center"/>
          </w:tcPr>
          <w:p w:rsidR="00000000" w:rsidRDefault="00000000">
            <w:pPr>
              <w:jc w:val="center"/>
              <w:rPr>
                <w:lang w:val="en-GB"/>
              </w:rPr>
            </w:pPr>
            <w:r>
              <w:rPr>
                <w:lang w:val="en-GB"/>
              </w:rPr>
              <w:t>59 (17,7%)</w:t>
            </w:r>
          </w:p>
        </w:tc>
        <w:tc>
          <w:tcPr>
            <w:tcW w:w="2082" w:type="dxa"/>
            <w:vAlign w:val="center"/>
          </w:tcPr>
          <w:p w:rsidR="00000000" w:rsidRDefault="00000000">
            <w:pPr>
              <w:jc w:val="center"/>
              <w:rPr>
                <w:lang w:val="en-GB"/>
              </w:rPr>
            </w:pPr>
            <w:r>
              <w:rPr>
                <w:lang w:val="en-GB"/>
              </w:rPr>
              <w:t>51 (11,7%)</w:t>
            </w:r>
          </w:p>
        </w:tc>
      </w:tr>
      <w:tr w:rsidR="00000000">
        <w:trPr>
          <w:cantSplit/>
          <w:tblHeader/>
        </w:trPr>
        <w:tc>
          <w:tcPr>
            <w:tcW w:w="3119" w:type="dxa"/>
          </w:tcPr>
          <w:p w:rsidR="00000000" w:rsidRDefault="00000000">
            <w:pPr>
              <w:jc w:val="center"/>
              <w:rPr>
                <w:lang w:val="en-GB"/>
              </w:rPr>
            </w:pPr>
            <w:r>
              <w:rPr>
                <w:lang w:val="en-GB"/>
              </w:rPr>
              <w:t>18–20</w:t>
            </w:r>
          </w:p>
        </w:tc>
        <w:tc>
          <w:tcPr>
            <w:tcW w:w="2082" w:type="dxa"/>
            <w:vAlign w:val="center"/>
          </w:tcPr>
          <w:p w:rsidR="00000000" w:rsidRDefault="00000000">
            <w:pPr>
              <w:jc w:val="center"/>
              <w:rPr>
                <w:lang w:val="en-GB"/>
              </w:rPr>
            </w:pPr>
            <w:r>
              <w:rPr>
                <w:lang w:val="en-GB"/>
              </w:rPr>
              <w:t>99 (20,5%)</w:t>
            </w:r>
          </w:p>
        </w:tc>
        <w:tc>
          <w:tcPr>
            <w:tcW w:w="2082" w:type="dxa"/>
            <w:vAlign w:val="center"/>
          </w:tcPr>
          <w:p w:rsidR="00000000" w:rsidRDefault="00000000">
            <w:pPr>
              <w:jc w:val="center"/>
              <w:rPr>
                <w:lang w:val="en-GB"/>
              </w:rPr>
            </w:pPr>
            <w:r>
              <w:rPr>
                <w:lang w:val="en-GB"/>
              </w:rPr>
              <w:t>74 (22,2%)</w:t>
            </w:r>
          </w:p>
        </w:tc>
        <w:tc>
          <w:tcPr>
            <w:tcW w:w="2082" w:type="dxa"/>
            <w:vAlign w:val="center"/>
          </w:tcPr>
          <w:p w:rsidR="00000000" w:rsidRDefault="00000000">
            <w:pPr>
              <w:jc w:val="center"/>
              <w:rPr>
                <w:lang w:val="en-GB"/>
              </w:rPr>
            </w:pPr>
            <w:r>
              <w:rPr>
                <w:lang w:val="en-GB"/>
              </w:rPr>
              <w:t>87 (20%)</w:t>
            </w:r>
          </w:p>
        </w:tc>
      </w:tr>
      <w:tr w:rsidR="00000000">
        <w:trPr>
          <w:cantSplit/>
          <w:tblHeader/>
        </w:trPr>
        <w:tc>
          <w:tcPr>
            <w:tcW w:w="3119" w:type="dxa"/>
          </w:tcPr>
          <w:p w:rsidR="00000000" w:rsidRDefault="00000000">
            <w:pPr>
              <w:jc w:val="center"/>
              <w:rPr>
                <w:lang w:val="en-GB"/>
              </w:rPr>
            </w:pPr>
            <w:r>
              <w:rPr>
                <w:lang w:val="en-GB"/>
              </w:rPr>
              <w:t>21–29</w:t>
            </w:r>
          </w:p>
        </w:tc>
        <w:tc>
          <w:tcPr>
            <w:tcW w:w="2082" w:type="dxa"/>
            <w:vAlign w:val="center"/>
          </w:tcPr>
          <w:p w:rsidR="00000000" w:rsidRDefault="00000000">
            <w:pPr>
              <w:jc w:val="center"/>
              <w:rPr>
                <w:lang w:val="en-GB"/>
              </w:rPr>
            </w:pPr>
            <w:r>
              <w:rPr>
                <w:lang w:val="en-GB"/>
              </w:rPr>
              <w:t>156 (32,3%)</w:t>
            </w:r>
          </w:p>
        </w:tc>
        <w:tc>
          <w:tcPr>
            <w:tcW w:w="2082" w:type="dxa"/>
            <w:vAlign w:val="center"/>
          </w:tcPr>
          <w:p w:rsidR="00000000" w:rsidRDefault="00000000">
            <w:pPr>
              <w:jc w:val="center"/>
              <w:rPr>
                <w:lang w:val="en-GB"/>
              </w:rPr>
            </w:pPr>
            <w:r>
              <w:rPr>
                <w:lang w:val="en-GB"/>
              </w:rPr>
              <w:t>112 (33,5%)</w:t>
            </w:r>
          </w:p>
        </w:tc>
        <w:tc>
          <w:tcPr>
            <w:tcW w:w="2082" w:type="dxa"/>
            <w:vAlign w:val="center"/>
          </w:tcPr>
          <w:p w:rsidR="00000000" w:rsidRDefault="00000000">
            <w:pPr>
              <w:jc w:val="center"/>
              <w:rPr>
                <w:lang w:val="en-GB"/>
              </w:rPr>
            </w:pPr>
            <w:r>
              <w:rPr>
                <w:lang w:val="en-GB"/>
              </w:rPr>
              <w:t>160 (36,7%)</w:t>
            </w:r>
          </w:p>
        </w:tc>
      </w:tr>
      <w:tr w:rsidR="00000000">
        <w:trPr>
          <w:cantSplit/>
          <w:tblHeader/>
        </w:trPr>
        <w:tc>
          <w:tcPr>
            <w:tcW w:w="3119" w:type="dxa"/>
          </w:tcPr>
          <w:p w:rsidR="00000000" w:rsidRDefault="00000000">
            <w:pPr>
              <w:jc w:val="center"/>
              <w:rPr>
                <w:lang w:val="en-GB"/>
              </w:rPr>
            </w:pPr>
            <w:r>
              <w:rPr>
                <w:lang w:val="en-GB"/>
              </w:rPr>
              <w:t>30–39</w:t>
            </w:r>
          </w:p>
        </w:tc>
        <w:tc>
          <w:tcPr>
            <w:tcW w:w="2082" w:type="dxa"/>
            <w:vAlign w:val="center"/>
          </w:tcPr>
          <w:p w:rsidR="00000000" w:rsidRDefault="00000000">
            <w:pPr>
              <w:jc w:val="center"/>
              <w:rPr>
                <w:lang w:val="en-GB"/>
              </w:rPr>
            </w:pPr>
            <w:r>
              <w:rPr>
                <w:lang w:val="en-GB"/>
              </w:rPr>
              <w:t>55(11,4%)</w:t>
            </w:r>
          </w:p>
        </w:tc>
        <w:tc>
          <w:tcPr>
            <w:tcW w:w="2082" w:type="dxa"/>
            <w:vAlign w:val="center"/>
          </w:tcPr>
          <w:p w:rsidR="00000000" w:rsidRDefault="00000000">
            <w:pPr>
              <w:jc w:val="center"/>
              <w:rPr>
                <w:lang w:val="en-GB"/>
              </w:rPr>
            </w:pPr>
            <w:r>
              <w:rPr>
                <w:lang w:val="en-GB"/>
              </w:rPr>
              <w:t>43 (12,9%)</w:t>
            </w:r>
          </w:p>
        </w:tc>
        <w:tc>
          <w:tcPr>
            <w:tcW w:w="2082" w:type="dxa"/>
            <w:vAlign w:val="center"/>
          </w:tcPr>
          <w:p w:rsidR="00000000" w:rsidRDefault="00000000">
            <w:pPr>
              <w:jc w:val="center"/>
              <w:rPr>
                <w:lang w:val="en-GB"/>
              </w:rPr>
            </w:pPr>
            <w:r>
              <w:rPr>
                <w:lang w:val="en-GB"/>
              </w:rPr>
              <w:t>67 (16,5%)</w:t>
            </w:r>
          </w:p>
        </w:tc>
      </w:tr>
      <w:tr w:rsidR="00000000">
        <w:trPr>
          <w:cantSplit/>
          <w:tblHeader/>
        </w:trPr>
        <w:tc>
          <w:tcPr>
            <w:tcW w:w="3119" w:type="dxa"/>
          </w:tcPr>
          <w:p w:rsidR="00000000" w:rsidRDefault="00000000">
            <w:pPr>
              <w:jc w:val="center"/>
            </w:pPr>
            <w:r>
              <w:t>Прочие (старше 40 лет)</w:t>
            </w:r>
          </w:p>
        </w:tc>
        <w:tc>
          <w:tcPr>
            <w:tcW w:w="2082" w:type="dxa"/>
            <w:vAlign w:val="center"/>
          </w:tcPr>
          <w:p w:rsidR="00000000" w:rsidRDefault="00000000">
            <w:pPr>
              <w:jc w:val="center"/>
              <w:rPr>
                <w:lang w:val="en-GB"/>
              </w:rPr>
            </w:pPr>
            <w:r>
              <w:rPr>
                <w:lang w:val="en-GB"/>
              </w:rPr>
              <w:t>57 (11,8%)</w:t>
            </w:r>
          </w:p>
        </w:tc>
        <w:tc>
          <w:tcPr>
            <w:tcW w:w="2082" w:type="dxa"/>
            <w:vAlign w:val="center"/>
          </w:tcPr>
          <w:p w:rsidR="00000000" w:rsidRDefault="00000000">
            <w:pPr>
              <w:jc w:val="center"/>
              <w:rPr>
                <w:lang w:val="en-GB"/>
              </w:rPr>
            </w:pPr>
            <w:r>
              <w:rPr>
                <w:lang w:val="en-GB"/>
              </w:rPr>
              <w:t>33 (9,9)</w:t>
            </w:r>
          </w:p>
        </w:tc>
        <w:tc>
          <w:tcPr>
            <w:tcW w:w="2082" w:type="dxa"/>
            <w:vAlign w:val="center"/>
          </w:tcPr>
          <w:p w:rsidR="00000000" w:rsidRDefault="00000000">
            <w:pPr>
              <w:jc w:val="center"/>
              <w:rPr>
                <w:lang w:val="en-GB"/>
              </w:rPr>
            </w:pPr>
            <w:r>
              <w:rPr>
                <w:lang w:val="en-GB"/>
              </w:rPr>
              <w:t>33 (8,1%)</w:t>
            </w:r>
          </w:p>
        </w:tc>
      </w:tr>
    </w:tbl>
    <w:p w:rsidR="00000000" w:rsidRDefault="00000000">
      <w:pPr>
        <w:rPr>
          <w:lang w:val="en-GB"/>
        </w:rPr>
      </w:pPr>
    </w:p>
    <w:p w:rsidR="00000000" w:rsidRDefault="00000000">
      <w:r>
        <w:br w:type="page"/>
        <w:t>48.</w:t>
      </w:r>
      <w:r>
        <w:tab/>
        <w:t>За отчетный период в чешских вооруженных силах было зарегистрировано шесть преступлений с экстремистским уклоном</w:t>
      </w:r>
      <w:r>
        <w:rPr>
          <w:rStyle w:val="FootnoteReference"/>
          <w:lang w:val="en-GB"/>
        </w:rPr>
        <w:footnoteReference w:id="57"/>
      </w:r>
      <w:r>
        <w:t>.  Все эти дела были связаны с публичным проявлением симпатий к движению, ставящим целью ущемление прав и свобод граждан</w:t>
      </w:r>
      <w:r>
        <w:rPr>
          <w:rStyle w:val="FootnoteReference"/>
          <w:lang w:val="en-GB"/>
        </w:rPr>
        <w:footnoteReference w:id="58"/>
      </w:r>
      <w:r>
        <w:t>.  В</w:t>
      </w:r>
      <w:r>
        <w:rPr>
          <w:lang w:val="en-GB"/>
        </w:rPr>
        <w:t> </w:t>
      </w:r>
      <w:r>
        <w:t>2002</w:t>
      </w:r>
      <w:r>
        <w:rPr>
          <w:lang w:val="en-GB"/>
        </w:rPr>
        <w:t> </w:t>
      </w:r>
      <w:r>
        <w:t>году были расследованы четыре таких дела (по одному из них военнослужащий носил символику, содержание которой предполагало симпатию к фашизму, которую он также выражал публично;  два дела касались военнослужащих, выкрикивавших фашистские и расистские лозунги, а четвертое - было связано с использованием нацистского приветствия).  В 2004 году были расследованы два таких дела (первое из них касалось физической агрессии в отношении гражданского лица со стороны военнослужащего, который также выкрикивал расистские и фашистские лозунги;  второе дело касалось служащего по контракту, публично выкрикивавшего фашистские лозунги).  Все эти дела были переданы в уголовную полицию и следственный отдел соответствующего районного управления полиции.</w:t>
      </w:r>
    </w:p>
    <w:p w:rsidR="00000000" w:rsidRDefault="00000000"/>
    <w:p w:rsidR="00000000" w:rsidRDefault="00000000">
      <w:r>
        <w:t>49.</w:t>
      </w:r>
      <w:r>
        <w:tab/>
        <w:t>Как было указано в предыдущих докладах, борьба с экстремизмом опирается на целый ряд постановлений правительства</w:t>
      </w:r>
      <w:r>
        <w:rPr>
          <w:rStyle w:val="FootnoteReference"/>
          <w:lang w:val="en-GB"/>
        </w:rPr>
        <w:footnoteReference w:id="59"/>
      </w:r>
      <w:r>
        <w:t xml:space="preserve">.  Эти постановления в настоящее время формируют основу для борьбы с проявлениями экстремизма, расизма и ксенофобии как на профилактическом, так и репрессивном уровне.  Многие из них носят постоянный характер.  Они, в частности, относятся к осуществлению постоянного контроля за экстремистской деятельностью граждан Чехии и других государств и их уголовными проявлениями, а также к просветительской деятельности в отношении экстремизма, сотрудничества государственной администрации и органов самоуправления с полицией и т.д.  </w:t>
      </w:r>
    </w:p>
    <w:p w:rsidR="00000000" w:rsidRDefault="00000000">
      <w:r>
        <w:br w:type="page"/>
        <w:t>50.</w:t>
      </w:r>
      <w:r>
        <w:tab/>
        <w:t>В 2002 году министерство внутренних дел учредило вспомогательный орган по борьбе с экстремизмом - межведомственную комиссию по борьбе с экстремизмом, расизмом и ксенофобией.  В предыдущем докладе уже сообщалось о ее полномочиях и составе.  В 2004 году эта комиссия одобрила создание "горячей линии" для приема сообщений о вебсайтах, содержащих материалы, пропагандирующие расизм, антисемитизм и разжигающие ненависть по иным признакам</w:t>
      </w:r>
      <w:r>
        <w:rPr>
          <w:rStyle w:val="FootnoteReference"/>
        </w:rPr>
        <w:footnoteReference w:id="60"/>
      </w:r>
      <w:r>
        <w:t>, организовала рабочий семинар по вопросам уголовного преследования, пропаганды расизма, антисемитизма и разжигания ненависти по иным признакам в Интернете с участием иностранных экспертов и, кроме того, провела в 2005 году обсуждения "за круглым столом" по вопросу об антисемитизме и его проявлениях в ЧР</w:t>
      </w:r>
      <w:r>
        <w:rPr>
          <w:rStyle w:val="FootnoteReference"/>
        </w:rPr>
        <w:footnoteReference w:id="61"/>
      </w:r>
      <w:r>
        <w:t>.</w:t>
      </w:r>
    </w:p>
    <w:p w:rsidR="00000000" w:rsidRDefault="00000000"/>
    <w:p w:rsidR="00000000" w:rsidRDefault="00000000">
      <w:r>
        <w:t>51.</w:t>
      </w:r>
      <w:r>
        <w:tab/>
        <w:t>Борьба с организованной экстремистской преступностью с участием международных элементов входит в сферу компетенции группы по борьбе с экстремизмом, созданной в рамках отдела по борьбе с терроризмом и экстремизмом, который существует в Департаменте по борьбе с организованной преступностью в Уголовной полиции и Следственной службе</w:t>
      </w:r>
      <w:r>
        <w:rPr>
          <w:rStyle w:val="FootnoteReference"/>
        </w:rPr>
        <w:footnoteReference w:id="62"/>
      </w:r>
      <w:r>
        <w:t>.  1 ноября 2004 года Полицейское управление учредило подразделение по борьбе с преступлениями в сфере информатики при Управлении криминальной полиции и следственном отделе, в котором также работают специалисты по проблемам борьбы с экстремизмом, расизмом и ксенофобией.</w:t>
      </w:r>
    </w:p>
    <w:p w:rsidR="00000000" w:rsidRDefault="00000000"/>
    <w:p w:rsidR="00000000" w:rsidRDefault="00000000">
      <w:r>
        <w:t>52.</w:t>
      </w:r>
      <w:r>
        <w:tab/>
        <w:t>Как было указано в начале данного раздела</w:t>
      </w:r>
      <w:r>
        <w:rPr>
          <w:rStyle w:val="FootnoteReference"/>
        </w:rPr>
        <w:footnoteReference w:id="63"/>
      </w:r>
      <w:r>
        <w:t>, министерство внутренних дел представляет ежегодные доклады по вопросу об экстремизме в ЧР</w:t>
      </w:r>
      <w:r>
        <w:rPr>
          <w:rStyle w:val="FootnoteReference"/>
        </w:rPr>
        <w:footnoteReference w:id="64"/>
      </w:r>
      <w:r>
        <w:t>.  Департамент полиции безопасности в министерстве внутренних дел ежемесячно подготавливает сводный обзорный доклад по экстремизму, в котором отслеживается текущая деятельность в области экстремизма, дается сводная информация об инцидентах в ЧР, приводится обзор экстремистских мероприятий и публичных сборищ, а также сообщаются статистические данные в этой области.</w:t>
      </w:r>
    </w:p>
    <w:p w:rsidR="00000000" w:rsidRDefault="00000000"/>
    <w:p w:rsidR="00000000" w:rsidRDefault="00000000">
      <w:r>
        <w:t>53.</w:t>
      </w:r>
      <w:r>
        <w:tab/>
        <w:t>В русле деятельности по регулярной оценке положения в области экстремизма министерство внутренних дел, в частности, использует доклады и информацию из Службы информации по вопросам безопасности и Управления по иностранным делам и информации.  Эта информация от обеих разведывательных служб касается прежде всего экстремистской деятельности правого и левого толка, проблемы исламского экстремизма и возможных связанных с этим угроз, а также сект и новых религиозных движений.  Министерство внутренних дел также использует доклады чешских посольств по вопросу об экстремизме, ежегодные доклады полиции о ситуации в области экстремизма, расизма и ксенофобии в ЧР и отдельных районах, включая обзор зарегистрированных полицией соответствующих случаев.</w:t>
      </w:r>
    </w:p>
    <w:p w:rsidR="00000000" w:rsidRDefault="00000000"/>
    <w:p w:rsidR="00000000" w:rsidRDefault="00000000">
      <w:r>
        <w:t>54.</w:t>
      </w:r>
      <w:r>
        <w:tab/>
        <w:t>С января 2005 года имеются более широкие возможности для выявления отдельных правонарушений, совершенных по мотивам религиозной или национальной нетерпимости к евреям и иудаизму, в том числе нападения на здания и объекты еврейской общины, синагоги, еврейские кладбища и другие объекты</w:t>
      </w:r>
      <w:r>
        <w:rPr>
          <w:rStyle w:val="FootnoteReference"/>
        </w:rPr>
        <w:footnoteReference w:id="65"/>
      </w:r>
      <w:r>
        <w:t>.</w:t>
      </w:r>
    </w:p>
    <w:p w:rsidR="00000000" w:rsidRDefault="00000000"/>
    <w:p w:rsidR="00000000" w:rsidRDefault="00000000">
      <w:r>
        <w:t>55.</w:t>
      </w:r>
      <w:r>
        <w:tab/>
        <w:t>С 1996 года Республиканский комитет по профилактике преступности</w:t>
      </w:r>
      <w:r>
        <w:rPr>
          <w:rStyle w:val="FootnoteReference"/>
        </w:rPr>
        <w:footnoteReference w:id="66"/>
      </w:r>
      <w:r>
        <w:t xml:space="preserve"> осуществляет "Программу профилактики преступности на местном уровне - Партнерство" (далее по тексту - Программа "Партнерство"), цель которой состоит в систематическом улучшении межэтнических связей, преодолении предрассудков и борьбе с ксенофобией.  Цель Программы заключается в ликвидации или сокращении масштабов социальной маргинализации общин рома, в результате которой повышается опасность расистских и экстремистских проявлений.  Осуществляемые проекты главным образом ориентированы на детей и молодежь, система ценностей и привычки которых в наибольшей степени поддаются позитивным изменениям.  Первоочередное внимание в рамках Программы "Партнерство" уделяется национальному меньшинству рома, которое всегда подвергалось наибольшему риску с точки зрения безопасности.  Данная программа направлена на устранение социальных барьеров для представителей рома и содействие их полной интеграции в общество.  Общие цели Программы "Партнерство" состоят в сведении к минимуму рисков и последствий, связанных с преступностью, повышении чувства безопасности и укреплении доверия к полиции и органам государственного управления.  Программа "Партнерство" осуществляется в городах с наиболее высоким уровнем преступности, положение в которых также осложняется другими социально неблагоприятными факторами:  безработицей, бедностью, экстремистскими проявлениями, наличием социально маргинализованных общин рома и т.д.</w:t>
      </w:r>
      <w:r>
        <w:rPr>
          <w:rStyle w:val="FootnoteReference"/>
        </w:rPr>
        <w:footnoteReference w:id="67"/>
      </w:r>
      <w:r>
        <w:t>.  Эти проекты, как правило, осуществляются некоммерческими организациями, школами, муниципалитетами и религиозными организациями</w:t>
      </w:r>
      <w:r>
        <w:rPr>
          <w:rStyle w:val="FootnoteReference"/>
        </w:rPr>
        <w:footnoteReference w:id="68"/>
      </w:r>
      <w:r>
        <w:t>.</w:t>
      </w:r>
    </w:p>
    <w:p w:rsidR="00000000" w:rsidRDefault="00000000"/>
    <w:p w:rsidR="00000000" w:rsidRDefault="00000000">
      <w:r>
        <w:t>56.</w:t>
      </w:r>
      <w:r>
        <w:tab/>
        <w:t>В 2001 году Служба по надзору за условно осужденными и оказанию посреднических услуг разработала концепцию условного наказания и посреднических услуг в рамках деятельности по борьбе против экстремизма.  Хотя данная концепция была ограничена по времени 2001 и 2002 годами, большинство из предусмотренных в ней задач продолжают выполняться и в настоящее время.  Одна из них состоит в проведении так называемых регулярных статистических оценок деятельности отделений Службы по надзору за условно осужденными и оказанию посреднических услуг с точки зрения их участия в решении проблемы преступности на почве экстремизма.  Полученные за последние четыре года данные показывают, что отделениями Службы по надзору за условно осужденными и оказанию посреднических услуг было зарегистрировано крайне незначительное количество случаев совершения преступлений на почве экстремизма (около 0,3</w:t>
      </w:r>
      <w:r>
        <w:noBreakHyphen/>
        <w:t>0,4% от общего количества вновь зарегистрированных случаев).  Тот факт, что Служба по надзору участвует в урегулировании столь незначительного количества случаев подобного типа, прежде всего связан с недостаточно активным сотрудничеством органов, занимающихся вопросами уголовного преследования, со Службой по надзору за условно осужденными и оказанию посреднических услуг в этой области.  Министерство юстиции может активизировать сотрудничество между органами уголовной системы и Службой по надзору путем поддержки и координации совместных мероприятий по обучению, а также проведения совещаний с участием председателей региональных судов и региональных органов прокуратуры и представителей Службы по надзору, в ходе которых можно было бы подробно обсудить вопросы взаимодействия между этими ведомствами.</w:t>
      </w:r>
    </w:p>
    <w:p w:rsidR="00000000" w:rsidRDefault="00000000"/>
    <w:p w:rsidR="00000000" w:rsidRDefault="00000000">
      <w:r>
        <w:br w:type="page"/>
        <w:t>57.</w:t>
      </w:r>
      <w:r>
        <w:tab/>
        <w:t>Служба по надзору за условно осужденными и оказанию посреднических услуг</w:t>
      </w:r>
      <w:r>
        <w:rPr>
          <w:rStyle w:val="FootnoteReference"/>
        </w:rPr>
        <w:footnoteReference w:id="69"/>
      </w:r>
      <w:r>
        <w:t xml:space="preserve"> содействует созданию программ надзора за условно осужденными, адаптированные для работы с этническими меньшинствами, включая проблемы, связанные с расизмом.  Первой из этих программ был проект "Правопорядок на улице:  каждодневное соблюдение законов ", цель которого состояла в повышении уровня правовой грамотности и улучшения социального поведения несовершеннолетних правонарушителей.  Второй весьма успешной программой развития стал проект "Наставник", который ориентирован на клиентов Службы по надзору за условно осужденными и оказанию посреднических услуг, из числа рома.  Посредством этого проекта для них создаются условия и равные возможности для успешного прохождения условного срока осуждения.  Суть данного проекта состоит в налаживании сотрудничества между компетентными лицами и органами (бюро по трудоустройству, кураторы по социальным вопросам, муниципальные власти, отделения Службы по надзору за условно осужденными и оказанию посреднических услуг, пенитенциарные учреждения) в процессе решения конкретных проблем целевых групп населения.</w:t>
      </w:r>
    </w:p>
    <w:p w:rsidR="00000000" w:rsidRDefault="00000000"/>
    <w:p w:rsidR="00000000" w:rsidRDefault="00000000">
      <w:r>
        <w:t>58.</w:t>
      </w:r>
      <w:r>
        <w:tab/>
        <w:t>Служба пенитенциарных учреждений приняла Кодекс профессиональной этики сотрудников пенитенциарных учреждений в целях обеспечения более эффективной профилактики расизма, ксенофобии и нетерпимости.  В частности, в данном документе квалифицируются как неприемлемые любые виды поведения или действия работника, связанные с проявлением какой-либо формы дискриминации.</w:t>
      </w:r>
    </w:p>
    <w:p w:rsidR="00000000" w:rsidRDefault="00000000"/>
    <w:p w:rsidR="00000000" w:rsidRDefault="00000000">
      <w:r>
        <w:t>59.</w:t>
      </w:r>
      <w:r>
        <w:tab/>
        <w:t>В 1999 году министерство просвещения, по вопросам молодежи и физического воспитания издало методическую инструкцию по организации просвещения населения по вопросам борьбы с проявлениями расизма, ксенофобии и нетерпимости.  Контрольные функции в области осуществления соответствующих мероприятий директорами школ осуществляет Чешский инспекторат школ.  Вопросы предупреждения расизма, ксенофобии и нетерпимости освещаются в публикации "Учебно-профилактическая программа для учреждений дошкольного воспитания и начальных школ и школьных учреждений".  В данной публикации рассматриваются конкретные проблемные ситуации, связанные с проявлениями социальной патологии в школах и школьных учреждениях (наркотики, насилие, издевательства над учащимися), а также пути решения этих проблем</w:t>
      </w:r>
      <w:r>
        <w:rPr>
          <w:rStyle w:val="FootnoteReference"/>
        </w:rPr>
        <w:footnoteReference w:id="70"/>
      </w:r>
      <w:r>
        <w:t>.  Стратегия профилактики социальной патологии среди детей и подростков в пределах компетенции министерства просвещения, по делам молодежи и физического воспитания на 2005</w:t>
      </w:r>
      <w:r>
        <w:noBreakHyphen/>
        <w:t>2008 годы представляет собой документ, в котором определяются принципы первичной профилактики в области просвещения.  Осуществление целей этой стратегии прежде всего опирается на проекты в области профилактики антиобщественного поведения среди детей и подростков, цель которой состоит в пропаганде здорового образа жизни и позитивного социального поведения детей и подростков</w:t>
      </w:r>
      <w:r>
        <w:rPr>
          <w:rStyle w:val="FootnoteReference"/>
        </w:rPr>
        <w:footnoteReference w:id="71"/>
      </w:r>
      <w:r>
        <w:t>.</w:t>
      </w:r>
    </w:p>
    <w:p w:rsidR="00000000" w:rsidRDefault="00000000"/>
    <w:p w:rsidR="00000000" w:rsidRDefault="00000000">
      <w:r>
        <w:t>60.</w:t>
      </w:r>
      <w:r>
        <w:tab/>
        <w:t>В 2003 году министерство иностранных дел приступило к подготовке проекта плана действий по борьбе с расизмом.  Для подготовки этого плана государства - члены ООН используют заключительные документы Европейской и Всемирной конференции по борьбе против расизма.  В процессе подготовки доклада был проведен анализ возможностей осуществления национального плана действий по борьбе против расизма.  Вопрос об осуществлении этого плана по</w:t>
      </w:r>
      <w:r>
        <w:noBreakHyphen/>
        <w:t>прежнему находится в стадии рассмотрения, поскольку содержащиеся в нем принципы и цели в определенной степени пересекаются с уже существующими планами, принятыми в ЧР в области прав человека.  В целях предупреждения дублирования, возможно, было бы целесообразно вместо подготовки нового документа доработать уже существующие планы.</w:t>
      </w:r>
    </w:p>
    <w:p w:rsidR="00000000" w:rsidRDefault="00000000"/>
    <w:p w:rsidR="00000000" w:rsidRDefault="00000000">
      <w:r>
        <w:t>61.</w:t>
      </w:r>
      <w:r>
        <w:tab/>
        <w:t>В 2004 году министерство обороны одобрило "Концепцию предупреждения социально неприемлемых явлений на 2005-2009 годы", где определяются базовые принципы и цели деятельности в области профилактики таких явлений, которая может осуществляться министерством.  К подобным явлениям относятся дискриминация, расовая нетерпимость, проявления экстремизма и терроризм.  Его главной целью является профилактика социально неприемлемых явлений.  Данная концепция должна гарантировать качество отбора, подготовки и образования профессиональных военных при выполнении ими своих служебных обязанностей, а также создать благоприятные условия для формирования здорового образа жизни профессиональных военных, гражданских служащих и членов их семей.  Эта концепция предусматривает решение конкретных задач, включающих организацию досуга, консультативную деятельность и диагностические мероприятия.</w:t>
      </w:r>
    </w:p>
    <w:p w:rsidR="00000000" w:rsidRDefault="00000000">
      <w:r>
        <w:t>62.</w:t>
      </w:r>
      <w:r>
        <w:tab/>
        <w:t xml:space="preserve">В декабре 2002 года министерство труда и социальных вопросов объявило о программе предоставления </w:t>
      </w:r>
      <w:proofErr w:type="spellStart"/>
      <w:r>
        <w:t>грантов</w:t>
      </w:r>
      <w:proofErr w:type="spellEnd"/>
      <w:r>
        <w:t xml:space="preserve"> в целях поддержки социальных служб, работающих с группами молодых людей из группы риска в связи с участием в экстремистской деятельности.</w:t>
      </w:r>
    </w:p>
    <w:p w:rsidR="00000000" w:rsidRDefault="00000000"/>
    <w:p w:rsidR="00000000" w:rsidRDefault="00000000">
      <w:r>
        <w:rPr>
          <w:u w:val="single"/>
        </w:rPr>
        <w:t>Международное сотрудничество в области борьбы с экстремизмом</w:t>
      </w:r>
    </w:p>
    <w:p w:rsidR="00000000" w:rsidRDefault="00000000"/>
    <w:p w:rsidR="00000000" w:rsidRDefault="00000000">
      <w:r>
        <w:t>63.</w:t>
      </w:r>
      <w:r>
        <w:tab/>
        <w:t>Рабочая группа по борьбе с экстремизмом, учрежденная "Вышеградской четверкой" и Австрией в феврале 2002 года, продолжала свою деятельность под руководством министерства внутренних дел</w:t>
      </w:r>
      <w:r>
        <w:rPr>
          <w:rStyle w:val="FootnoteReference"/>
        </w:rPr>
        <w:footnoteReference w:id="72"/>
      </w:r>
      <w:r>
        <w:t>.  Задача этой Группы заключается в распространении среди своих членов информации об экстремизме и его проявлениях, проведении оценки рисков с точки зрения безопасности в связи с экстремизмом в центральноевропейском геополитическом районе, распространении информации о выводах и примерах так называемой надлежащей практики и осуществляет сотрудничество с экспертами, работающими в этой области, на уровне отдельных министерств и политических органов.</w:t>
      </w:r>
    </w:p>
    <w:p w:rsidR="00000000" w:rsidRDefault="00000000"/>
    <w:p w:rsidR="00000000" w:rsidRDefault="00000000">
      <w:r>
        <w:t>64.</w:t>
      </w:r>
      <w:r>
        <w:tab/>
        <w:t>В 2002 году рабочая группа внесла значительный вклад в создание национальных контактных органов, задача которых состояла в оказании помощи полицейским экспертам, занимавшимся обеспечением безопасности саммита НАТО, проходившего в Праге осенью этого года</w:t>
      </w:r>
      <w:r>
        <w:rPr>
          <w:rStyle w:val="FootnoteReference"/>
        </w:rPr>
        <w:footnoteReference w:id="73"/>
      </w:r>
      <w:r>
        <w:t>.  В 2003 году было принято решение о том, что Рабочая группа должна вести активную деятельность в рамках ЕС в качестве экспертной рабочей группы на межнациональном уровне.  С 2004 года рабочая группа ежегодно пересматривает основные направления своей деятельности.  В 2005 году ими являются:  1.  Антисемитизм;  2.  Антиглобализм/альтерглобализм;  3.  Расистские и экстремистские акции, угрожающие жизни просителей убежища, мигрантов и иностранных рабочих;  4.  Неправомерное использование Интернета и современной информационной технологии экстремистскими группами;  5.  Исламский экстремизм.</w:t>
      </w:r>
    </w:p>
    <w:p w:rsidR="00000000" w:rsidRDefault="00000000"/>
    <w:p w:rsidR="00000000" w:rsidRDefault="00000000">
      <w:r>
        <w:t>65.</w:t>
      </w:r>
      <w:r>
        <w:tab/>
        <w:t xml:space="preserve">В конце 2004 года министерство внутренних дел организовало международный семинар по проблемам уголовного преследования расистской, антисемитской и иной человеконенавистнической пропаганды в Интернете.  В семинаре приняли участие эксперты из Германии, Испании, Греции и Словакии.  Так, министерство внутренних дел отреагировало на предложения международных учреждений и на необходимость поиска путей мониторинга и ликвидации социально опасной преступной деятельности такого типа.  В подготовке материалов для семинара приняли участие Чешская информационная служба по вопросам безопасности и Чешское полицейское управление.  Одновременно с этим семинаром предполагалось провести совещание, на котором были бы рассмотрены более специальные вопросы, связанные с мерами по обеспечению технической безопасности и соответствующими технологиями, в целях обмена информацией о передовом опыте.  </w:t>
      </w:r>
    </w:p>
    <w:p w:rsidR="00000000" w:rsidRDefault="00000000"/>
    <w:p w:rsidR="00000000" w:rsidRDefault="00000000">
      <w:r>
        <w:t>66.</w:t>
      </w:r>
      <w:r>
        <w:tab/>
        <w:t>С 24 по 26 сентября 2003 года в министерстве иностранных дел проходил региональный семинар, организованный Управлением Верховного комиссара ООН по правам человека, в ходе которого рассматривались вопросы претворения в жизнь выводов Всемирной конференции ООН по борьбе против расизма, расовой дискриминации, ксенофобии и связанной с ними нетерпимости.  Это мероприятие было организовано для группы государств восточной и южной Европы (в соответствии с региональной классификацией ООН).  Семинар состоял из трех блоков:  1.  Права представителей национальных, этнических, религиозных и языковых меньшинств;  2.  Община рома:  проблемы и перспективы на пути к обеспечению равенства;  3.  Ксенофобия.  Проблемы расизма и экстремизма в той или иной степени фигурировали во всех обсуждениях</w:t>
      </w:r>
      <w:r>
        <w:rPr>
          <w:rStyle w:val="FootnoteReference"/>
        </w:rPr>
        <w:footnoteReference w:id="74"/>
      </w:r>
      <w:r>
        <w:t>.</w:t>
      </w:r>
    </w:p>
    <w:p w:rsidR="00000000" w:rsidRDefault="00000000"/>
    <w:p w:rsidR="00000000" w:rsidRDefault="00000000">
      <w:r>
        <w:rPr>
          <w:u w:val="single"/>
        </w:rPr>
        <w:t>Экстремистские движения</w:t>
      </w:r>
    </w:p>
    <w:p w:rsidR="00000000" w:rsidRDefault="00000000"/>
    <w:p w:rsidR="00000000" w:rsidRDefault="00000000">
      <w:r>
        <w:t>67.</w:t>
      </w:r>
      <w:r>
        <w:tab/>
        <w:t xml:space="preserve">Тенденции и изменения, связанные с экстремистскими движениями в </w:t>
      </w:r>
      <w:proofErr w:type="spellStart"/>
      <w:r>
        <w:t>ЧР</w:t>
      </w:r>
      <w:proofErr w:type="spellEnd"/>
      <w:r>
        <w:t xml:space="preserve"> и других странах, входят в сферу интересов разведывательных служб (Чешская информационная служба безопасности и Управление иностранных дел и информации), а также полиции.  Выводы этих организаций подтверждают отсутствие каких-либо значительных изменений в деятельности экстремистских движений в </w:t>
      </w:r>
      <w:proofErr w:type="spellStart"/>
      <w:r>
        <w:t>ЧР</w:t>
      </w:r>
      <w:proofErr w:type="spellEnd"/>
      <w:r>
        <w:t xml:space="preserve"> за период 2002-2005 годов (первый квартал).  При этом не было зарегистрировано каких-либо новых тенденций, свидетельствующих об угрозе экстремизма для демократических устоев государства.  Также не было отмечено какой-либо деятельности так называемых опасных религиозных сект или новых религиозных течений, какой-либо информации о готовящихся акциях исламских экстремистов и не поступало данных о существовании или деятельности каких-либо экстремистских группировок в вооруженных силах государства.  </w:t>
      </w:r>
    </w:p>
    <w:p w:rsidR="00000000" w:rsidRDefault="00000000"/>
    <w:p w:rsidR="00000000" w:rsidRDefault="00000000">
      <w:r>
        <w:t>68.</w:t>
      </w:r>
      <w:r>
        <w:tab/>
        <w:t>В палате депутатов или сенате чешского парламента нет представителей правоэкстремистских политических партий.  На выборах 2002 года (в палату депутатов и муниципальные региональные органы), а также на выборах в Европейский парламент в 2004 году ни одна из политических партий экстремистского толка не добилась какого-либо успеха.  В чешском обществе такие партии пользуются крайне незначительным влиянием.</w:t>
      </w:r>
    </w:p>
    <w:p w:rsidR="00000000" w:rsidRDefault="00000000"/>
    <w:p w:rsidR="00000000" w:rsidRDefault="00000000">
      <w:pPr>
        <w:pStyle w:val="FootnoteText"/>
        <w:spacing w:line="288" w:lineRule="auto"/>
      </w:pPr>
      <w:r>
        <w:t>69.</w:t>
      </w:r>
      <w:r>
        <w:tab/>
        <w:t>В настоящее время право- и левосторонние экстремистские движения по</w:t>
      </w:r>
      <w:r>
        <w:noBreakHyphen/>
        <w:t>прежнему являются разобщенными, особенно в рамках анархо-синдикалистского спектра, и при этом наблюдается отсутствие явных лидеров.  В целом нынешняя ситуация в данной области характеризуется пассивностью, бездеятельностью и идеологическим расколом.  Эти факторы были и остаются основными причинами невозможности формирования общих взглядов и единой идеологии как в правой, так и в левой части спектра экстремистских движений</w:t>
      </w:r>
      <w:r>
        <w:rPr>
          <w:rStyle w:val="FootnoteReference"/>
        </w:rPr>
        <w:footnoteReference w:id="75"/>
      </w:r>
      <w:r>
        <w:t xml:space="preserve">.  Ультраправые  продолжают организацию концертов групп "бритоголовых".  Такие мероприятия носят исключительно частный характер, в них участвуют небольшие группы, численностью не более 250-300 человек, которые арендуют помещения для празднования, к примеру, дня рождения или свадьбы.  Такие мероприятия закрыты для широкой публики, и, как правило, попасть на них можно только по персональному приглашению.  Кроме того, такие концерты (за небольшим исключением) не рекламируются как экстремистские, даже в </w:t>
      </w:r>
      <w:proofErr w:type="spellStart"/>
      <w:r>
        <w:t>Интернете</w:t>
      </w:r>
      <w:proofErr w:type="spellEnd"/>
      <w:r>
        <w:t>.  В других случаях приглашения на такие мероприятия распространяются персонально по телефону либо с помощью специальных телефонных текстовых сообщений.  В 2003 году состоялось около 20 таких концертов, а в 2004 году - свыше 40.  В июле 2005 года в министерстве внутренних дел была проведена дискуссия "за круглым столом" по проблеме неонацистских концертов, на которых присутствовали эксперты полиции по вопросам экстремизма, сотрудники сил безопасности, государственные обвинители, представители научных кругов и гражданских ассоциаций.  По итогам этого совещания министр внутренних дел и начальник полиции учредили рабочую группу, которая разработает конкретные шаги в целях создания возможностей для уголовного преследования организаторов музыкальных концертов и участников музыкальных групп правоэкстремистского толка, а также лиц, оказывающих поддержку и содействие движениям, ставящим своей целью подавление прав и свобод граждан.</w:t>
      </w:r>
    </w:p>
    <w:p w:rsidR="00000000" w:rsidRDefault="00000000">
      <w:pPr>
        <w:pStyle w:val="FootnoteText"/>
        <w:spacing w:line="288" w:lineRule="auto"/>
      </w:pPr>
    </w:p>
    <w:p w:rsidR="00000000" w:rsidRDefault="00000000">
      <w:pPr>
        <w:jc w:val="center"/>
        <w:rPr>
          <w:b/>
          <w:bCs/>
        </w:rPr>
      </w:pPr>
      <w:r>
        <w:br w:type="page"/>
      </w:r>
      <w:r>
        <w:rPr>
          <w:b/>
          <w:bCs/>
        </w:rPr>
        <w:t>Статья 5</w:t>
      </w:r>
    </w:p>
    <w:p w:rsidR="00000000" w:rsidRDefault="00000000">
      <w:pPr>
        <w:jc w:val="center"/>
        <w:rPr>
          <w:b/>
          <w:bCs/>
        </w:rPr>
      </w:pPr>
    </w:p>
    <w:p w:rsidR="00000000" w:rsidRDefault="00000000">
      <w:pPr>
        <w:jc w:val="center"/>
        <w:rPr>
          <w:b/>
          <w:bCs/>
        </w:rPr>
      </w:pPr>
      <w:r>
        <w:rPr>
          <w:b/>
          <w:bCs/>
        </w:rPr>
        <w:t>Права, конкретно гарантируемые Конвенцией</w:t>
      </w:r>
    </w:p>
    <w:p w:rsidR="00000000" w:rsidRDefault="00000000">
      <w:pPr>
        <w:jc w:val="center"/>
        <w:rPr>
          <w:b/>
          <w:bCs/>
        </w:rPr>
      </w:pPr>
    </w:p>
    <w:p w:rsidR="00000000" w:rsidRDefault="00000000">
      <w:pPr>
        <w:jc w:val="center"/>
        <w:rPr>
          <w:b/>
          <w:bCs/>
          <w:u w:val="single"/>
        </w:rPr>
      </w:pPr>
      <w:r>
        <w:rPr>
          <w:b/>
          <w:bCs/>
        </w:rPr>
        <w:t>А.</w:t>
      </w:r>
      <w:r>
        <w:rPr>
          <w:b/>
          <w:bCs/>
        </w:rPr>
        <w:tab/>
      </w:r>
      <w:r>
        <w:rPr>
          <w:b/>
          <w:bCs/>
          <w:u w:val="single"/>
        </w:rPr>
        <w:t>Право на равенство перед судом и всеми другими государственными</w:t>
      </w:r>
    </w:p>
    <w:p w:rsidR="00000000" w:rsidRDefault="00000000">
      <w:pPr>
        <w:jc w:val="center"/>
        <w:rPr>
          <w:b/>
          <w:bCs/>
          <w:u w:val="single"/>
        </w:rPr>
      </w:pPr>
      <w:r>
        <w:rPr>
          <w:b/>
          <w:bCs/>
          <w:u w:val="single"/>
        </w:rPr>
        <w:t>органами, отправляющими правосудие</w:t>
      </w:r>
    </w:p>
    <w:p w:rsidR="00000000" w:rsidRDefault="00000000">
      <w:pPr>
        <w:jc w:val="center"/>
        <w:rPr>
          <w:b/>
          <w:bCs/>
        </w:rPr>
      </w:pPr>
    </w:p>
    <w:p w:rsidR="00000000" w:rsidRDefault="00000000">
      <w:r>
        <w:t>70.</w:t>
      </w:r>
      <w:r>
        <w:tab/>
        <w:t xml:space="preserve">За отчетный период никаких изменений в сфере защиты от расовой дискриминации не произошло.  </w:t>
      </w:r>
    </w:p>
    <w:p w:rsidR="00000000" w:rsidRDefault="00000000"/>
    <w:p w:rsidR="00000000" w:rsidRDefault="00000000">
      <w:pPr>
        <w:jc w:val="center"/>
        <w:rPr>
          <w:b/>
          <w:bCs/>
          <w:u w:val="single"/>
        </w:rPr>
      </w:pPr>
      <w:r>
        <w:rPr>
          <w:b/>
          <w:bCs/>
        </w:rPr>
        <w:t>В.</w:t>
      </w:r>
      <w:r>
        <w:rPr>
          <w:b/>
          <w:bCs/>
        </w:rPr>
        <w:tab/>
      </w:r>
      <w:r>
        <w:rPr>
          <w:b/>
          <w:bCs/>
          <w:u w:val="single"/>
        </w:rPr>
        <w:t>Право на личную безопасность и защиту со стороны государства</w:t>
      </w:r>
    </w:p>
    <w:p w:rsidR="00000000" w:rsidRDefault="00000000">
      <w:pPr>
        <w:jc w:val="center"/>
        <w:rPr>
          <w:b/>
          <w:bCs/>
          <w:u w:val="single"/>
        </w:rPr>
      </w:pPr>
      <w:r>
        <w:rPr>
          <w:b/>
          <w:bCs/>
          <w:u w:val="single"/>
        </w:rPr>
        <w:t>от насилия и телесных повреждений</w:t>
      </w:r>
    </w:p>
    <w:p w:rsidR="00000000" w:rsidRDefault="00000000">
      <w:pPr>
        <w:jc w:val="center"/>
        <w:rPr>
          <w:b/>
          <w:bCs/>
        </w:rPr>
      </w:pPr>
    </w:p>
    <w:p w:rsidR="00000000" w:rsidRDefault="00000000">
      <w:pPr>
        <w:jc w:val="center"/>
        <w:rPr>
          <w:b/>
          <w:bCs/>
          <w:lang w:val="en-US"/>
        </w:rPr>
      </w:pPr>
      <w:r>
        <w:rPr>
          <w:b/>
          <w:bCs/>
        </w:rPr>
        <w:t>Таблица 10</w:t>
      </w:r>
    </w:p>
    <w:p w:rsidR="00000000" w:rsidRDefault="00000000">
      <w:pPr>
        <w:jc w:val="center"/>
        <w:rPr>
          <w:b/>
          <w:bCs/>
        </w:rPr>
      </w:pPr>
    </w:p>
    <w:p w:rsidR="00000000" w:rsidRDefault="00000000">
      <w:pPr>
        <w:jc w:val="center"/>
        <w:rPr>
          <w:b/>
          <w:bCs/>
          <w:lang w:val="en-US"/>
        </w:rPr>
      </w:pPr>
      <w:r>
        <w:rPr>
          <w:b/>
          <w:bCs/>
        </w:rPr>
        <w:t>Преступность на расовой или этнической почве, 2002</w:t>
      </w:r>
      <w:r>
        <w:rPr>
          <w:b/>
          <w:bCs/>
        </w:rPr>
        <w:noBreakHyphen/>
        <w:t>2004 годы</w:t>
      </w:r>
    </w:p>
    <w:p w:rsidR="00000000" w:rsidRDefault="00000000">
      <w:pPr>
        <w:rPr>
          <w:b/>
          <w:bCs/>
          <w:lang w:val="en-U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6386"/>
        <w:gridCol w:w="1008"/>
        <w:gridCol w:w="1008"/>
        <w:gridCol w:w="1009"/>
      </w:tblGrid>
      <w:tr w:rsidR="00000000">
        <w:tblPrEx>
          <w:tblCellMar>
            <w:top w:w="0" w:type="dxa"/>
            <w:bottom w:w="0" w:type="dxa"/>
          </w:tblCellMar>
        </w:tblPrEx>
        <w:trPr>
          <w:cantSplit/>
        </w:trPr>
        <w:tc>
          <w:tcPr>
            <w:tcW w:w="6386" w:type="dxa"/>
            <w:shd w:val="clear" w:color="auto" w:fill="FFFFFF"/>
          </w:tcPr>
          <w:p w:rsidR="00000000" w:rsidRDefault="00000000">
            <w:pPr>
              <w:jc w:val="center"/>
            </w:pPr>
            <w:r>
              <w:t>Преступление</w:t>
            </w:r>
            <w:r>
              <w:rPr>
                <w:lang w:val="en-GB"/>
              </w:rPr>
              <w:t>/</w:t>
            </w:r>
            <w:r>
              <w:t>год</w:t>
            </w:r>
          </w:p>
        </w:tc>
        <w:tc>
          <w:tcPr>
            <w:tcW w:w="1008" w:type="dxa"/>
          </w:tcPr>
          <w:p w:rsidR="00000000" w:rsidRDefault="00000000">
            <w:pPr>
              <w:jc w:val="center"/>
              <w:rPr>
                <w:lang w:val="en-GB"/>
              </w:rPr>
            </w:pPr>
            <w:r>
              <w:rPr>
                <w:lang w:val="en-GB"/>
              </w:rPr>
              <w:t>2002</w:t>
            </w:r>
          </w:p>
        </w:tc>
        <w:tc>
          <w:tcPr>
            <w:tcW w:w="1008" w:type="dxa"/>
          </w:tcPr>
          <w:p w:rsidR="00000000" w:rsidRDefault="00000000">
            <w:pPr>
              <w:jc w:val="center"/>
              <w:rPr>
                <w:lang w:val="en-GB"/>
              </w:rPr>
            </w:pPr>
            <w:r>
              <w:rPr>
                <w:lang w:val="en-GB"/>
              </w:rPr>
              <w:t>2003</w:t>
            </w:r>
          </w:p>
        </w:tc>
        <w:tc>
          <w:tcPr>
            <w:tcW w:w="1009" w:type="dxa"/>
          </w:tcPr>
          <w:p w:rsidR="00000000" w:rsidRDefault="00000000">
            <w:pPr>
              <w:jc w:val="center"/>
              <w:rPr>
                <w:lang w:val="en-GB"/>
              </w:rPr>
            </w:pPr>
            <w:r>
              <w:rPr>
                <w:lang w:val="en-GB"/>
              </w:rPr>
              <w:t>2004</w:t>
            </w:r>
          </w:p>
        </w:tc>
      </w:tr>
      <w:tr w:rsidR="00000000">
        <w:tblPrEx>
          <w:tblCellMar>
            <w:top w:w="0" w:type="dxa"/>
            <w:bottom w:w="0" w:type="dxa"/>
          </w:tblCellMar>
        </w:tblPrEx>
        <w:trPr>
          <w:cantSplit/>
        </w:trPr>
        <w:tc>
          <w:tcPr>
            <w:tcW w:w="6386" w:type="dxa"/>
          </w:tcPr>
          <w:p w:rsidR="00000000" w:rsidRDefault="00000000">
            <w:r>
              <w:t>Убийство (статья 219(2)</w:t>
            </w:r>
            <w:r>
              <w:rPr>
                <w:lang w:val="en-GB"/>
              </w:rPr>
              <w:t>g</w:t>
            </w:r>
            <w:r>
              <w:t>)</w:t>
            </w:r>
          </w:p>
        </w:tc>
        <w:tc>
          <w:tcPr>
            <w:tcW w:w="1008" w:type="dxa"/>
          </w:tcPr>
          <w:p w:rsidR="00000000" w:rsidRDefault="00000000">
            <w:pPr>
              <w:tabs>
                <w:tab w:val="clear" w:pos="567"/>
              </w:tabs>
              <w:ind w:right="108"/>
              <w:jc w:val="right"/>
              <w:rPr>
                <w:lang w:val="en-GB"/>
              </w:rPr>
            </w:pPr>
            <w:r>
              <w:rPr>
                <w:lang w:val="en-GB"/>
              </w:rPr>
              <w:t>0</w:t>
            </w:r>
          </w:p>
        </w:tc>
        <w:tc>
          <w:tcPr>
            <w:tcW w:w="1008" w:type="dxa"/>
          </w:tcPr>
          <w:p w:rsidR="00000000" w:rsidRDefault="00000000">
            <w:pPr>
              <w:jc w:val="center"/>
              <w:rPr>
                <w:lang w:val="en-GB"/>
              </w:rPr>
            </w:pPr>
            <w:r>
              <w:rPr>
                <w:lang w:val="en-GB"/>
              </w:rPr>
              <w:t>0</w:t>
            </w:r>
          </w:p>
        </w:tc>
        <w:tc>
          <w:tcPr>
            <w:tcW w:w="1009" w:type="dxa"/>
          </w:tcPr>
          <w:p w:rsidR="00000000" w:rsidRDefault="00000000">
            <w:pPr>
              <w:jc w:val="center"/>
              <w:rPr>
                <w:lang w:val="en-GB"/>
              </w:rPr>
            </w:pPr>
            <w:r>
              <w:rPr>
                <w:lang w:val="en-GB"/>
              </w:rPr>
              <w:t>0</w:t>
            </w:r>
          </w:p>
        </w:tc>
      </w:tr>
      <w:tr w:rsidR="00000000">
        <w:tblPrEx>
          <w:tblCellMar>
            <w:top w:w="0" w:type="dxa"/>
            <w:bottom w:w="0" w:type="dxa"/>
          </w:tblCellMar>
        </w:tblPrEx>
        <w:trPr>
          <w:cantSplit/>
        </w:trPr>
        <w:tc>
          <w:tcPr>
            <w:tcW w:w="6386" w:type="dxa"/>
          </w:tcPr>
          <w:p w:rsidR="00000000" w:rsidRDefault="00000000">
            <w:r>
              <w:t>Нанесение телесных повреждений (статья 221(2)</w:t>
            </w:r>
            <w:r>
              <w:rPr>
                <w:lang w:val="en-GB"/>
              </w:rPr>
              <w:t>b</w:t>
            </w:r>
            <w:r>
              <w:t>)</w:t>
            </w:r>
          </w:p>
        </w:tc>
        <w:tc>
          <w:tcPr>
            <w:tcW w:w="1008" w:type="dxa"/>
          </w:tcPr>
          <w:p w:rsidR="00000000" w:rsidRDefault="00000000">
            <w:pPr>
              <w:tabs>
                <w:tab w:val="clear" w:pos="567"/>
              </w:tabs>
              <w:ind w:right="108"/>
              <w:jc w:val="right"/>
              <w:rPr>
                <w:lang w:val="en-GB"/>
              </w:rPr>
            </w:pPr>
            <w:r>
              <w:rPr>
                <w:lang w:val="en-GB"/>
              </w:rPr>
              <w:t>6</w:t>
            </w:r>
          </w:p>
        </w:tc>
        <w:tc>
          <w:tcPr>
            <w:tcW w:w="1008" w:type="dxa"/>
          </w:tcPr>
          <w:p w:rsidR="00000000" w:rsidRDefault="00000000">
            <w:pPr>
              <w:jc w:val="center"/>
              <w:rPr>
                <w:lang w:val="en-GB"/>
              </w:rPr>
            </w:pPr>
            <w:r>
              <w:rPr>
                <w:lang w:val="en-GB"/>
              </w:rPr>
              <w:t>14</w:t>
            </w:r>
          </w:p>
        </w:tc>
        <w:tc>
          <w:tcPr>
            <w:tcW w:w="1009" w:type="dxa"/>
          </w:tcPr>
          <w:p w:rsidR="00000000" w:rsidRDefault="00000000">
            <w:pPr>
              <w:jc w:val="center"/>
              <w:rPr>
                <w:lang w:val="en-GB"/>
              </w:rPr>
            </w:pPr>
            <w:r>
              <w:rPr>
                <w:lang w:val="en-GB"/>
              </w:rPr>
              <w:t>9</w:t>
            </w:r>
          </w:p>
        </w:tc>
      </w:tr>
      <w:tr w:rsidR="00000000">
        <w:tblPrEx>
          <w:tblCellMar>
            <w:top w:w="0" w:type="dxa"/>
            <w:bottom w:w="0" w:type="dxa"/>
          </w:tblCellMar>
        </w:tblPrEx>
        <w:trPr>
          <w:cantSplit/>
        </w:trPr>
        <w:tc>
          <w:tcPr>
            <w:tcW w:w="6386" w:type="dxa"/>
          </w:tcPr>
          <w:p w:rsidR="00000000" w:rsidRDefault="00000000">
            <w:r>
              <w:t>Нанесение тяжкого телесного увечья (статья 222(2)</w:t>
            </w:r>
            <w:r>
              <w:rPr>
                <w:lang w:val="en-GB"/>
              </w:rPr>
              <w:t>b</w:t>
            </w:r>
            <w:r>
              <w:t>)</w:t>
            </w:r>
          </w:p>
        </w:tc>
        <w:tc>
          <w:tcPr>
            <w:tcW w:w="1008" w:type="dxa"/>
          </w:tcPr>
          <w:p w:rsidR="00000000" w:rsidRDefault="00000000">
            <w:pPr>
              <w:tabs>
                <w:tab w:val="clear" w:pos="567"/>
              </w:tabs>
              <w:ind w:right="108"/>
              <w:jc w:val="right"/>
              <w:rPr>
                <w:lang w:val="en-GB"/>
              </w:rPr>
            </w:pPr>
            <w:r>
              <w:rPr>
                <w:lang w:val="en-GB"/>
              </w:rPr>
              <w:t>4</w:t>
            </w:r>
          </w:p>
        </w:tc>
        <w:tc>
          <w:tcPr>
            <w:tcW w:w="1008" w:type="dxa"/>
          </w:tcPr>
          <w:p w:rsidR="00000000" w:rsidRDefault="00000000">
            <w:pPr>
              <w:jc w:val="center"/>
              <w:rPr>
                <w:lang w:val="en-GB"/>
              </w:rPr>
            </w:pPr>
            <w:r>
              <w:rPr>
                <w:lang w:val="en-GB"/>
              </w:rPr>
              <w:t>7</w:t>
            </w:r>
          </w:p>
        </w:tc>
        <w:tc>
          <w:tcPr>
            <w:tcW w:w="1009" w:type="dxa"/>
          </w:tcPr>
          <w:p w:rsidR="00000000" w:rsidRDefault="00000000">
            <w:pPr>
              <w:jc w:val="center"/>
              <w:rPr>
                <w:lang w:val="en-GB"/>
              </w:rPr>
            </w:pPr>
            <w:r>
              <w:rPr>
                <w:lang w:val="en-GB"/>
              </w:rPr>
              <w:t>5</w:t>
            </w:r>
          </w:p>
        </w:tc>
      </w:tr>
      <w:tr w:rsidR="00000000">
        <w:tblPrEx>
          <w:tblCellMar>
            <w:top w:w="0" w:type="dxa"/>
            <w:bottom w:w="0" w:type="dxa"/>
          </w:tblCellMar>
        </w:tblPrEx>
        <w:trPr>
          <w:cantSplit/>
        </w:trPr>
        <w:tc>
          <w:tcPr>
            <w:tcW w:w="6386" w:type="dxa"/>
          </w:tcPr>
          <w:p w:rsidR="00000000" w:rsidRDefault="00000000">
            <w:r>
              <w:t>Шантаж (статья 235(2)</w:t>
            </w:r>
            <w:r>
              <w:rPr>
                <w:lang w:val="en-GB"/>
              </w:rPr>
              <w:t>f</w:t>
            </w:r>
            <w:r>
              <w:t>)</w:t>
            </w:r>
          </w:p>
        </w:tc>
        <w:tc>
          <w:tcPr>
            <w:tcW w:w="1008" w:type="dxa"/>
          </w:tcPr>
          <w:p w:rsidR="00000000" w:rsidRDefault="00000000">
            <w:pPr>
              <w:tabs>
                <w:tab w:val="clear" w:pos="567"/>
              </w:tabs>
              <w:ind w:right="108"/>
              <w:jc w:val="right"/>
              <w:rPr>
                <w:lang w:val="en-GB"/>
              </w:rPr>
            </w:pPr>
            <w:r>
              <w:rPr>
                <w:lang w:val="en-GB"/>
              </w:rPr>
              <w:t>2</w:t>
            </w:r>
          </w:p>
        </w:tc>
        <w:tc>
          <w:tcPr>
            <w:tcW w:w="1008" w:type="dxa"/>
          </w:tcPr>
          <w:p w:rsidR="00000000" w:rsidRDefault="00000000">
            <w:pPr>
              <w:jc w:val="center"/>
              <w:rPr>
                <w:lang w:val="en-GB"/>
              </w:rPr>
            </w:pPr>
            <w:r>
              <w:rPr>
                <w:lang w:val="en-GB"/>
              </w:rPr>
              <w:t>1</w:t>
            </w:r>
          </w:p>
        </w:tc>
        <w:tc>
          <w:tcPr>
            <w:tcW w:w="1009" w:type="dxa"/>
          </w:tcPr>
          <w:p w:rsidR="00000000" w:rsidRDefault="00000000">
            <w:pPr>
              <w:jc w:val="center"/>
              <w:rPr>
                <w:lang w:val="en-GB"/>
              </w:rPr>
            </w:pPr>
            <w:r>
              <w:rPr>
                <w:lang w:val="en-GB"/>
              </w:rPr>
              <w:t>4</w:t>
            </w:r>
          </w:p>
        </w:tc>
      </w:tr>
      <w:tr w:rsidR="00000000">
        <w:tblPrEx>
          <w:tblCellMar>
            <w:top w:w="0" w:type="dxa"/>
            <w:bottom w:w="0" w:type="dxa"/>
          </w:tblCellMar>
        </w:tblPrEx>
        <w:trPr>
          <w:cantSplit/>
        </w:trPr>
        <w:tc>
          <w:tcPr>
            <w:tcW w:w="6386" w:type="dxa"/>
          </w:tcPr>
          <w:p w:rsidR="00000000" w:rsidRDefault="00000000">
            <w:r>
              <w:t>Ограничение свободы отправления религиозного культа (статья 236)</w:t>
            </w:r>
          </w:p>
        </w:tc>
        <w:tc>
          <w:tcPr>
            <w:tcW w:w="1008" w:type="dxa"/>
          </w:tcPr>
          <w:p w:rsidR="00000000" w:rsidRDefault="00000000">
            <w:pPr>
              <w:tabs>
                <w:tab w:val="clear" w:pos="567"/>
              </w:tabs>
              <w:ind w:right="108"/>
              <w:jc w:val="right"/>
              <w:rPr>
                <w:lang w:val="en-GB"/>
              </w:rPr>
            </w:pPr>
            <w:r>
              <w:rPr>
                <w:lang w:val="en-GB"/>
              </w:rPr>
              <w:t>1</w:t>
            </w:r>
          </w:p>
        </w:tc>
        <w:tc>
          <w:tcPr>
            <w:tcW w:w="1008" w:type="dxa"/>
          </w:tcPr>
          <w:p w:rsidR="00000000" w:rsidRDefault="00000000">
            <w:pPr>
              <w:jc w:val="center"/>
              <w:rPr>
                <w:lang w:val="en-GB"/>
              </w:rPr>
            </w:pPr>
            <w:r>
              <w:rPr>
                <w:lang w:val="en-GB"/>
              </w:rPr>
              <w:t>0</w:t>
            </w:r>
          </w:p>
        </w:tc>
        <w:tc>
          <w:tcPr>
            <w:tcW w:w="1009" w:type="dxa"/>
          </w:tcPr>
          <w:p w:rsidR="00000000" w:rsidRDefault="00000000">
            <w:pPr>
              <w:jc w:val="center"/>
              <w:rPr>
                <w:lang w:val="en-GB"/>
              </w:rPr>
            </w:pPr>
            <w:r>
              <w:rPr>
                <w:lang w:val="en-GB"/>
              </w:rPr>
              <w:t>0</w:t>
            </w:r>
          </w:p>
        </w:tc>
      </w:tr>
      <w:tr w:rsidR="00000000">
        <w:tblPrEx>
          <w:tblCellMar>
            <w:top w:w="0" w:type="dxa"/>
            <w:bottom w:w="0" w:type="dxa"/>
          </w:tblCellMar>
        </w:tblPrEx>
        <w:trPr>
          <w:cantSplit/>
        </w:trPr>
        <w:tc>
          <w:tcPr>
            <w:tcW w:w="6386" w:type="dxa"/>
          </w:tcPr>
          <w:p w:rsidR="00000000" w:rsidRDefault="00000000">
            <w:r>
              <w:t xml:space="preserve">Причинение ущерба имуществу другого лица </w:t>
            </w:r>
            <w:r>
              <w:br/>
              <w:t>(статья 257(2)</w:t>
            </w:r>
            <w:r>
              <w:rPr>
                <w:lang w:val="en-GB"/>
              </w:rPr>
              <w:t>b</w:t>
            </w:r>
            <w:r>
              <w:t>)</w:t>
            </w:r>
          </w:p>
        </w:tc>
        <w:tc>
          <w:tcPr>
            <w:tcW w:w="1008" w:type="dxa"/>
          </w:tcPr>
          <w:p w:rsidR="00000000" w:rsidRDefault="00000000">
            <w:pPr>
              <w:tabs>
                <w:tab w:val="clear" w:pos="567"/>
              </w:tabs>
              <w:ind w:right="108"/>
              <w:jc w:val="right"/>
              <w:rPr>
                <w:lang w:val="en-GB"/>
              </w:rPr>
            </w:pPr>
            <w:r>
              <w:rPr>
                <w:lang w:val="en-GB"/>
              </w:rPr>
              <w:t>14</w:t>
            </w:r>
          </w:p>
        </w:tc>
        <w:tc>
          <w:tcPr>
            <w:tcW w:w="1008" w:type="dxa"/>
          </w:tcPr>
          <w:p w:rsidR="00000000" w:rsidRDefault="00000000">
            <w:pPr>
              <w:jc w:val="center"/>
              <w:rPr>
                <w:lang w:val="en-GB"/>
              </w:rPr>
            </w:pPr>
            <w:r>
              <w:rPr>
                <w:lang w:val="en-GB"/>
              </w:rPr>
              <w:t>4</w:t>
            </w:r>
          </w:p>
        </w:tc>
        <w:tc>
          <w:tcPr>
            <w:tcW w:w="1009" w:type="dxa"/>
          </w:tcPr>
          <w:p w:rsidR="00000000" w:rsidRDefault="00000000">
            <w:pPr>
              <w:jc w:val="center"/>
              <w:rPr>
                <w:lang w:val="en-GB"/>
              </w:rPr>
            </w:pPr>
            <w:r>
              <w:rPr>
                <w:lang w:val="en-GB"/>
              </w:rPr>
              <w:t>4</w:t>
            </w:r>
          </w:p>
        </w:tc>
      </w:tr>
      <w:tr w:rsidR="00000000">
        <w:tblPrEx>
          <w:tblCellMar>
            <w:top w:w="0" w:type="dxa"/>
            <w:bottom w:w="0" w:type="dxa"/>
          </w:tblCellMar>
        </w:tblPrEx>
        <w:trPr>
          <w:cantSplit/>
        </w:trPr>
        <w:tc>
          <w:tcPr>
            <w:tcW w:w="6386" w:type="dxa"/>
          </w:tcPr>
          <w:p w:rsidR="00000000" w:rsidRDefault="00000000">
            <w:r>
              <w:t>Геноцид (статья 259)</w:t>
            </w:r>
          </w:p>
        </w:tc>
        <w:tc>
          <w:tcPr>
            <w:tcW w:w="1008" w:type="dxa"/>
          </w:tcPr>
          <w:p w:rsidR="00000000" w:rsidRDefault="00000000">
            <w:pPr>
              <w:tabs>
                <w:tab w:val="clear" w:pos="567"/>
              </w:tabs>
              <w:ind w:right="108"/>
              <w:jc w:val="right"/>
            </w:pPr>
            <w:r>
              <w:t>0</w:t>
            </w:r>
          </w:p>
        </w:tc>
        <w:tc>
          <w:tcPr>
            <w:tcW w:w="1008" w:type="dxa"/>
          </w:tcPr>
          <w:p w:rsidR="00000000" w:rsidRDefault="00000000">
            <w:pPr>
              <w:jc w:val="center"/>
            </w:pPr>
            <w:r>
              <w:t>0</w:t>
            </w:r>
          </w:p>
        </w:tc>
        <w:tc>
          <w:tcPr>
            <w:tcW w:w="1009" w:type="dxa"/>
          </w:tcPr>
          <w:p w:rsidR="00000000" w:rsidRDefault="00000000">
            <w:pPr>
              <w:jc w:val="center"/>
            </w:pPr>
            <w:r>
              <w:t>0</w:t>
            </w:r>
          </w:p>
        </w:tc>
      </w:tr>
    </w:tbl>
    <w:p w:rsidR="00000000" w:rsidRDefault="00000000"/>
    <w:p w:rsidR="00000000" w:rsidRDefault="00000000">
      <w:pPr>
        <w:jc w:val="center"/>
        <w:rPr>
          <w:b/>
          <w:bCs/>
        </w:rPr>
      </w:pPr>
      <w:r>
        <w:rPr>
          <w:b/>
          <w:bCs/>
        </w:rPr>
        <w:br w:type="page"/>
        <w:t>Таблица 11</w:t>
      </w:r>
    </w:p>
    <w:p w:rsidR="00000000" w:rsidRDefault="00000000">
      <w:pPr>
        <w:jc w:val="center"/>
        <w:rPr>
          <w:b/>
          <w:bCs/>
        </w:rPr>
      </w:pPr>
    </w:p>
    <w:p w:rsidR="00000000" w:rsidRDefault="00000000">
      <w:pPr>
        <w:jc w:val="center"/>
        <w:rPr>
          <w:b/>
          <w:bCs/>
        </w:rPr>
      </w:pPr>
      <w:r>
        <w:rPr>
          <w:b/>
          <w:bCs/>
        </w:rPr>
        <w:t>Количество преступлений расовой направленности, по которым были вынесены окончательные судебные решения, в период с 1 января 2002 года по 31 марта 2005 года (общее количество и пять наиболее распространенных видов</w:t>
      </w:r>
    </w:p>
    <w:p w:rsidR="00000000" w:rsidRDefault="00000000">
      <w:pPr>
        <w:jc w:val="center"/>
        <w:rPr>
          <w:b/>
          <w:bCs/>
        </w:rPr>
      </w:pPr>
      <w:r>
        <w:rPr>
          <w:b/>
          <w:bCs/>
        </w:rPr>
        <w:t>преступлений на расовой почве)</w:t>
      </w:r>
    </w:p>
    <w:p w:rsidR="00000000" w:rsidRDefault="00000000">
      <w:pPr>
        <w:jc w:val="center"/>
        <w:rPr>
          <w:b/>
          <w:bCs/>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6276"/>
        <w:gridCol w:w="632"/>
        <w:gridCol w:w="738"/>
        <w:gridCol w:w="738"/>
        <w:gridCol w:w="1026"/>
      </w:tblGrid>
      <w:tr w:rsidR="00000000">
        <w:tblPrEx>
          <w:tblCellMar>
            <w:top w:w="0" w:type="dxa"/>
            <w:bottom w:w="0" w:type="dxa"/>
          </w:tblCellMar>
        </w:tblPrEx>
        <w:trPr>
          <w:cantSplit/>
        </w:trPr>
        <w:tc>
          <w:tcPr>
            <w:tcW w:w="6276" w:type="dxa"/>
          </w:tcPr>
          <w:p w:rsidR="00000000" w:rsidRDefault="00000000">
            <w:pPr>
              <w:jc w:val="center"/>
            </w:pPr>
            <w:r>
              <w:t>Год</w:t>
            </w:r>
            <w:r>
              <w:rPr>
                <w:lang w:val="en-GB"/>
              </w:rPr>
              <w:t>/</w:t>
            </w:r>
            <w:r>
              <w:t>преступление</w:t>
            </w:r>
          </w:p>
          <w:p w:rsidR="00000000" w:rsidRDefault="00000000">
            <w:pPr>
              <w:jc w:val="center"/>
              <w:rPr>
                <w:lang w:val="en-GB"/>
              </w:rPr>
            </w:pPr>
          </w:p>
        </w:tc>
        <w:tc>
          <w:tcPr>
            <w:tcW w:w="632" w:type="dxa"/>
          </w:tcPr>
          <w:p w:rsidR="00000000" w:rsidRDefault="00000000">
            <w:pPr>
              <w:spacing w:line="240" w:lineRule="auto"/>
              <w:jc w:val="center"/>
              <w:rPr>
                <w:lang w:val="en-GB"/>
              </w:rPr>
            </w:pPr>
            <w:r>
              <w:rPr>
                <w:lang w:val="en-GB"/>
              </w:rPr>
              <w:t>2002</w:t>
            </w:r>
          </w:p>
        </w:tc>
        <w:tc>
          <w:tcPr>
            <w:tcW w:w="738" w:type="dxa"/>
          </w:tcPr>
          <w:p w:rsidR="00000000" w:rsidRDefault="00000000">
            <w:pPr>
              <w:spacing w:line="240" w:lineRule="auto"/>
              <w:jc w:val="center"/>
              <w:rPr>
                <w:lang w:val="en-GB"/>
              </w:rPr>
            </w:pPr>
            <w:r>
              <w:rPr>
                <w:lang w:val="en-GB"/>
              </w:rPr>
              <w:t>2003</w:t>
            </w:r>
          </w:p>
        </w:tc>
        <w:tc>
          <w:tcPr>
            <w:tcW w:w="738" w:type="dxa"/>
          </w:tcPr>
          <w:p w:rsidR="00000000" w:rsidRDefault="00000000">
            <w:pPr>
              <w:spacing w:line="240" w:lineRule="auto"/>
              <w:jc w:val="center"/>
              <w:rPr>
                <w:lang w:val="en-GB"/>
              </w:rPr>
            </w:pPr>
            <w:r>
              <w:rPr>
                <w:lang w:val="en-GB"/>
              </w:rPr>
              <w:t>2004</w:t>
            </w:r>
          </w:p>
        </w:tc>
        <w:tc>
          <w:tcPr>
            <w:tcW w:w="1026" w:type="dxa"/>
          </w:tcPr>
          <w:p w:rsidR="00000000" w:rsidRDefault="00000000">
            <w:pPr>
              <w:spacing w:line="240" w:lineRule="auto"/>
              <w:jc w:val="center"/>
            </w:pPr>
            <w:r>
              <w:t>1</w:t>
            </w:r>
            <w:r>
              <w:noBreakHyphen/>
              <w:t>й квартал 2005</w:t>
            </w:r>
          </w:p>
        </w:tc>
      </w:tr>
      <w:tr w:rsidR="00000000">
        <w:tblPrEx>
          <w:tblCellMar>
            <w:top w:w="0" w:type="dxa"/>
            <w:bottom w:w="0" w:type="dxa"/>
          </w:tblCellMar>
        </w:tblPrEx>
        <w:trPr>
          <w:cantSplit/>
        </w:trPr>
        <w:tc>
          <w:tcPr>
            <w:tcW w:w="6276" w:type="dxa"/>
          </w:tcPr>
          <w:p w:rsidR="00000000" w:rsidRDefault="00000000">
            <w:r>
              <w:t>Преступления против общественного порядка (статья 202</w:t>
            </w:r>
            <w:r>
              <w:rPr>
                <w:rStyle w:val="FootnoteReference"/>
              </w:rPr>
              <w:footnoteReference w:id="76"/>
            </w:r>
            <w:r>
              <w:t xml:space="preserve"> Уголовного кодекса)</w:t>
            </w:r>
          </w:p>
        </w:tc>
        <w:tc>
          <w:tcPr>
            <w:tcW w:w="632" w:type="dxa"/>
          </w:tcPr>
          <w:p w:rsidR="00000000" w:rsidRDefault="00000000">
            <w:pPr>
              <w:jc w:val="right"/>
              <w:rPr>
                <w:lang w:val="en-GB"/>
              </w:rPr>
            </w:pPr>
            <w:r>
              <w:rPr>
                <w:lang w:val="en-GB"/>
              </w:rPr>
              <w:t>119</w:t>
            </w:r>
          </w:p>
        </w:tc>
        <w:tc>
          <w:tcPr>
            <w:tcW w:w="738" w:type="dxa"/>
          </w:tcPr>
          <w:p w:rsidR="00000000" w:rsidRDefault="00000000">
            <w:pPr>
              <w:jc w:val="right"/>
              <w:rPr>
                <w:lang w:val="en-GB"/>
              </w:rPr>
            </w:pPr>
            <w:r>
              <w:rPr>
                <w:lang w:val="en-GB"/>
              </w:rPr>
              <w:t>91</w:t>
            </w:r>
          </w:p>
        </w:tc>
        <w:tc>
          <w:tcPr>
            <w:tcW w:w="738" w:type="dxa"/>
          </w:tcPr>
          <w:p w:rsidR="00000000" w:rsidRDefault="00000000">
            <w:pPr>
              <w:jc w:val="right"/>
              <w:rPr>
                <w:lang w:val="en-GB"/>
              </w:rPr>
            </w:pPr>
            <w:r>
              <w:rPr>
                <w:lang w:val="en-GB"/>
              </w:rPr>
              <w:t>88</w:t>
            </w:r>
          </w:p>
        </w:tc>
        <w:tc>
          <w:tcPr>
            <w:tcW w:w="1026" w:type="dxa"/>
          </w:tcPr>
          <w:p w:rsidR="00000000" w:rsidRDefault="00000000">
            <w:pPr>
              <w:tabs>
                <w:tab w:val="clear" w:pos="567"/>
              </w:tabs>
              <w:jc w:val="right"/>
              <w:rPr>
                <w:lang w:val="en-GB"/>
              </w:rPr>
            </w:pPr>
            <w:r>
              <w:rPr>
                <w:lang w:val="en-GB"/>
              </w:rPr>
              <w:t>24</w:t>
            </w:r>
          </w:p>
        </w:tc>
      </w:tr>
      <w:tr w:rsidR="00000000">
        <w:tblPrEx>
          <w:tblCellMar>
            <w:top w:w="0" w:type="dxa"/>
            <w:bottom w:w="0" w:type="dxa"/>
          </w:tblCellMar>
        </w:tblPrEx>
        <w:trPr>
          <w:cantSplit/>
        </w:trPr>
        <w:tc>
          <w:tcPr>
            <w:tcW w:w="6276" w:type="dxa"/>
          </w:tcPr>
          <w:p w:rsidR="00000000" w:rsidRDefault="00000000">
            <w:r>
              <w:t>Диффамация нации, этнической группы, расы и идеологии (статья 198 Уголовного кодекса)</w:t>
            </w:r>
          </w:p>
        </w:tc>
        <w:tc>
          <w:tcPr>
            <w:tcW w:w="632" w:type="dxa"/>
          </w:tcPr>
          <w:p w:rsidR="00000000" w:rsidRDefault="00000000">
            <w:pPr>
              <w:jc w:val="right"/>
              <w:rPr>
                <w:lang w:val="en-GB"/>
              </w:rPr>
            </w:pPr>
            <w:r>
              <w:rPr>
                <w:lang w:val="en-GB"/>
              </w:rPr>
              <w:t>73</w:t>
            </w:r>
          </w:p>
        </w:tc>
        <w:tc>
          <w:tcPr>
            <w:tcW w:w="738" w:type="dxa"/>
          </w:tcPr>
          <w:p w:rsidR="00000000" w:rsidRDefault="00000000">
            <w:pPr>
              <w:jc w:val="right"/>
              <w:rPr>
                <w:lang w:val="en-GB"/>
              </w:rPr>
            </w:pPr>
            <w:r>
              <w:rPr>
                <w:lang w:val="en-GB"/>
              </w:rPr>
              <w:t>55</w:t>
            </w:r>
          </w:p>
        </w:tc>
        <w:tc>
          <w:tcPr>
            <w:tcW w:w="738" w:type="dxa"/>
          </w:tcPr>
          <w:p w:rsidR="00000000" w:rsidRDefault="00000000">
            <w:pPr>
              <w:jc w:val="right"/>
              <w:rPr>
                <w:lang w:val="en-GB"/>
              </w:rPr>
            </w:pPr>
            <w:r>
              <w:rPr>
                <w:lang w:val="en-GB"/>
              </w:rPr>
              <w:t>53</w:t>
            </w:r>
          </w:p>
        </w:tc>
        <w:tc>
          <w:tcPr>
            <w:tcW w:w="1026" w:type="dxa"/>
          </w:tcPr>
          <w:p w:rsidR="00000000" w:rsidRDefault="00000000">
            <w:pPr>
              <w:tabs>
                <w:tab w:val="clear" w:pos="567"/>
              </w:tabs>
              <w:jc w:val="right"/>
              <w:rPr>
                <w:lang w:val="en-GB"/>
              </w:rPr>
            </w:pPr>
            <w:r>
              <w:rPr>
                <w:lang w:val="en-GB"/>
              </w:rPr>
              <w:t>17</w:t>
            </w:r>
          </w:p>
        </w:tc>
      </w:tr>
      <w:tr w:rsidR="00000000">
        <w:tblPrEx>
          <w:tblCellMar>
            <w:top w:w="0" w:type="dxa"/>
            <w:bottom w:w="0" w:type="dxa"/>
          </w:tblCellMar>
        </w:tblPrEx>
        <w:trPr>
          <w:cantSplit/>
        </w:trPr>
        <w:tc>
          <w:tcPr>
            <w:tcW w:w="6276" w:type="dxa"/>
          </w:tcPr>
          <w:p w:rsidR="00000000" w:rsidRDefault="00000000">
            <w:r>
              <w:t>Проявление симпатий к движению, ставящему целью подавление прав и свобод граждан (статья 261 Уголовного кодекса)</w:t>
            </w:r>
          </w:p>
        </w:tc>
        <w:tc>
          <w:tcPr>
            <w:tcW w:w="632" w:type="dxa"/>
          </w:tcPr>
          <w:p w:rsidR="00000000" w:rsidRDefault="00000000">
            <w:pPr>
              <w:jc w:val="right"/>
              <w:rPr>
                <w:lang w:val="en-GB"/>
              </w:rPr>
            </w:pPr>
            <w:r>
              <w:rPr>
                <w:lang w:val="en-GB"/>
              </w:rPr>
              <w:t>76</w:t>
            </w:r>
          </w:p>
        </w:tc>
        <w:tc>
          <w:tcPr>
            <w:tcW w:w="738" w:type="dxa"/>
          </w:tcPr>
          <w:p w:rsidR="00000000" w:rsidRDefault="00000000">
            <w:pPr>
              <w:jc w:val="right"/>
              <w:rPr>
                <w:lang w:val="en-GB"/>
              </w:rPr>
            </w:pPr>
            <w:r>
              <w:rPr>
                <w:lang w:val="en-GB"/>
              </w:rPr>
              <w:t>62</w:t>
            </w:r>
          </w:p>
        </w:tc>
        <w:tc>
          <w:tcPr>
            <w:tcW w:w="738" w:type="dxa"/>
          </w:tcPr>
          <w:p w:rsidR="00000000" w:rsidRDefault="00000000">
            <w:pPr>
              <w:jc w:val="right"/>
              <w:rPr>
                <w:lang w:val="en-GB"/>
              </w:rPr>
            </w:pPr>
            <w:r>
              <w:rPr>
                <w:lang w:val="en-GB"/>
              </w:rPr>
              <w:t>42</w:t>
            </w:r>
          </w:p>
        </w:tc>
        <w:tc>
          <w:tcPr>
            <w:tcW w:w="1026" w:type="dxa"/>
          </w:tcPr>
          <w:p w:rsidR="00000000" w:rsidRDefault="00000000">
            <w:pPr>
              <w:tabs>
                <w:tab w:val="clear" w:pos="567"/>
              </w:tabs>
              <w:jc w:val="right"/>
              <w:rPr>
                <w:lang w:val="en-GB"/>
              </w:rPr>
            </w:pPr>
            <w:r>
              <w:rPr>
                <w:lang w:val="en-GB"/>
              </w:rPr>
              <w:t>18</w:t>
            </w:r>
          </w:p>
        </w:tc>
      </w:tr>
      <w:tr w:rsidR="00000000">
        <w:tblPrEx>
          <w:tblCellMar>
            <w:top w:w="0" w:type="dxa"/>
            <w:bottom w:w="0" w:type="dxa"/>
          </w:tblCellMar>
        </w:tblPrEx>
        <w:trPr>
          <w:cantSplit/>
        </w:trPr>
        <w:tc>
          <w:tcPr>
            <w:tcW w:w="6276" w:type="dxa"/>
          </w:tcPr>
          <w:p w:rsidR="00000000" w:rsidRDefault="00000000">
            <w:r>
              <w:t>Насильственные действия в отношении группы лиц или отдельных граждан (статья 196 Уголовного кодекса)</w:t>
            </w:r>
          </w:p>
        </w:tc>
        <w:tc>
          <w:tcPr>
            <w:tcW w:w="632" w:type="dxa"/>
          </w:tcPr>
          <w:p w:rsidR="00000000" w:rsidRDefault="00000000">
            <w:pPr>
              <w:jc w:val="right"/>
              <w:rPr>
                <w:lang w:val="en-GB"/>
              </w:rPr>
            </w:pPr>
            <w:r>
              <w:rPr>
                <w:lang w:val="en-GB"/>
              </w:rPr>
              <w:t>50</w:t>
            </w:r>
          </w:p>
        </w:tc>
        <w:tc>
          <w:tcPr>
            <w:tcW w:w="738" w:type="dxa"/>
          </w:tcPr>
          <w:p w:rsidR="00000000" w:rsidRDefault="00000000">
            <w:pPr>
              <w:jc w:val="right"/>
              <w:rPr>
                <w:lang w:val="en-GB"/>
              </w:rPr>
            </w:pPr>
            <w:r>
              <w:rPr>
                <w:lang w:val="en-GB"/>
              </w:rPr>
              <w:t>59</w:t>
            </w:r>
          </w:p>
        </w:tc>
        <w:tc>
          <w:tcPr>
            <w:tcW w:w="738" w:type="dxa"/>
          </w:tcPr>
          <w:p w:rsidR="00000000" w:rsidRDefault="00000000">
            <w:pPr>
              <w:jc w:val="right"/>
              <w:rPr>
                <w:lang w:val="en-GB"/>
              </w:rPr>
            </w:pPr>
            <w:r>
              <w:rPr>
                <w:lang w:val="en-GB"/>
              </w:rPr>
              <w:t>28</w:t>
            </w:r>
          </w:p>
        </w:tc>
        <w:tc>
          <w:tcPr>
            <w:tcW w:w="1026" w:type="dxa"/>
          </w:tcPr>
          <w:p w:rsidR="00000000" w:rsidRDefault="00000000">
            <w:pPr>
              <w:tabs>
                <w:tab w:val="clear" w:pos="567"/>
              </w:tabs>
              <w:jc w:val="right"/>
              <w:rPr>
                <w:lang w:val="en-GB"/>
              </w:rPr>
            </w:pPr>
            <w:r>
              <w:rPr>
                <w:lang w:val="en-GB"/>
              </w:rPr>
              <w:t>8</w:t>
            </w:r>
          </w:p>
        </w:tc>
      </w:tr>
      <w:tr w:rsidR="00000000">
        <w:tblPrEx>
          <w:tblCellMar>
            <w:top w:w="0" w:type="dxa"/>
            <w:bottom w:w="0" w:type="dxa"/>
          </w:tblCellMar>
        </w:tblPrEx>
        <w:trPr>
          <w:cantSplit/>
        </w:trPr>
        <w:tc>
          <w:tcPr>
            <w:tcW w:w="6276" w:type="dxa"/>
          </w:tcPr>
          <w:p w:rsidR="00000000" w:rsidRDefault="00000000">
            <w:r>
              <w:t>Причинение вреда здоровью граждан по причине принадлежности к той или иной расе или этнической группе (статья 221 Уголовного кодекса)</w:t>
            </w:r>
          </w:p>
        </w:tc>
        <w:tc>
          <w:tcPr>
            <w:tcW w:w="632" w:type="dxa"/>
          </w:tcPr>
          <w:p w:rsidR="00000000" w:rsidRDefault="00000000">
            <w:pPr>
              <w:jc w:val="right"/>
              <w:rPr>
                <w:lang w:val="en-GB"/>
              </w:rPr>
            </w:pPr>
            <w:r>
              <w:rPr>
                <w:lang w:val="en-GB"/>
              </w:rPr>
              <w:t>24</w:t>
            </w:r>
          </w:p>
        </w:tc>
        <w:tc>
          <w:tcPr>
            <w:tcW w:w="738" w:type="dxa"/>
          </w:tcPr>
          <w:p w:rsidR="00000000" w:rsidRDefault="00000000">
            <w:pPr>
              <w:jc w:val="right"/>
              <w:rPr>
                <w:lang w:val="en-GB"/>
              </w:rPr>
            </w:pPr>
            <w:r>
              <w:rPr>
                <w:lang w:val="en-GB"/>
              </w:rPr>
              <w:t>21</w:t>
            </w:r>
          </w:p>
        </w:tc>
        <w:tc>
          <w:tcPr>
            <w:tcW w:w="738" w:type="dxa"/>
          </w:tcPr>
          <w:p w:rsidR="00000000" w:rsidRDefault="00000000">
            <w:pPr>
              <w:jc w:val="right"/>
              <w:rPr>
                <w:lang w:val="en-GB"/>
              </w:rPr>
            </w:pPr>
            <w:r>
              <w:rPr>
                <w:lang w:val="en-GB"/>
              </w:rPr>
              <w:t>23</w:t>
            </w:r>
          </w:p>
        </w:tc>
        <w:tc>
          <w:tcPr>
            <w:tcW w:w="1026" w:type="dxa"/>
          </w:tcPr>
          <w:p w:rsidR="00000000" w:rsidRDefault="00000000">
            <w:pPr>
              <w:tabs>
                <w:tab w:val="clear" w:pos="567"/>
              </w:tabs>
              <w:jc w:val="right"/>
              <w:rPr>
                <w:lang w:val="en-GB"/>
              </w:rPr>
            </w:pPr>
            <w:r>
              <w:rPr>
                <w:lang w:val="en-GB"/>
              </w:rPr>
              <w:t>3</w:t>
            </w:r>
          </w:p>
        </w:tc>
      </w:tr>
      <w:tr w:rsidR="00000000">
        <w:tblPrEx>
          <w:tblCellMar>
            <w:top w:w="0" w:type="dxa"/>
            <w:bottom w:w="0" w:type="dxa"/>
          </w:tblCellMar>
        </w:tblPrEx>
        <w:trPr>
          <w:cantSplit/>
        </w:trPr>
        <w:tc>
          <w:tcPr>
            <w:tcW w:w="6276" w:type="dxa"/>
            <w:tcBorders>
              <w:top w:val="nil"/>
            </w:tcBorders>
          </w:tcPr>
          <w:p w:rsidR="00000000" w:rsidRDefault="00000000">
            <w:r>
              <w:t>Всего</w:t>
            </w:r>
          </w:p>
        </w:tc>
        <w:tc>
          <w:tcPr>
            <w:tcW w:w="632" w:type="dxa"/>
            <w:tcBorders>
              <w:top w:val="nil"/>
            </w:tcBorders>
          </w:tcPr>
          <w:p w:rsidR="00000000" w:rsidRDefault="00000000">
            <w:pPr>
              <w:jc w:val="right"/>
              <w:rPr>
                <w:lang w:val="en-GB"/>
              </w:rPr>
            </w:pPr>
            <w:r>
              <w:rPr>
                <w:lang w:val="en-GB"/>
              </w:rPr>
              <w:t>431</w:t>
            </w:r>
          </w:p>
        </w:tc>
        <w:tc>
          <w:tcPr>
            <w:tcW w:w="738" w:type="dxa"/>
            <w:tcBorders>
              <w:top w:val="nil"/>
            </w:tcBorders>
          </w:tcPr>
          <w:p w:rsidR="00000000" w:rsidRDefault="00000000">
            <w:pPr>
              <w:jc w:val="right"/>
              <w:rPr>
                <w:lang w:val="en-GB"/>
              </w:rPr>
            </w:pPr>
            <w:r>
              <w:rPr>
                <w:lang w:val="en-GB"/>
              </w:rPr>
              <w:t>355</w:t>
            </w:r>
          </w:p>
        </w:tc>
        <w:tc>
          <w:tcPr>
            <w:tcW w:w="738" w:type="dxa"/>
            <w:tcBorders>
              <w:top w:val="nil"/>
            </w:tcBorders>
          </w:tcPr>
          <w:p w:rsidR="00000000" w:rsidRDefault="00000000">
            <w:pPr>
              <w:jc w:val="right"/>
              <w:rPr>
                <w:lang w:val="en-GB"/>
              </w:rPr>
            </w:pPr>
            <w:r>
              <w:rPr>
                <w:lang w:val="en-GB"/>
              </w:rPr>
              <w:t>319</w:t>
            </w:r>
          </w:p>
        </w:tc>
        <w:tc>
          <w:tcPr>
            <w:tcW w:w="1026" w:type="dxa"/>
            <w:tcBorders>
              <w:top w:val="nil"/>
            </w:tcBorders>
          </w:tcPr>
          <w:p w:rsidR="00000000" w:rsidRDefault="00000000">
            <w:pPr>
              <w:tabs>
                <w:tab w:val="clear" w:pos="567"/>
              </w:tabs>
              <w:jc w:val="right"/>
              <w:rPr>
                <w:lang w:val="en-GB"/>
              </w:rPr>
            </w:pPr>
            <w:r>
              <w:rPr>
                <w:lang w:val="en-GB"/>
              </w:rPr>
              <w:t>81</w:t>
            </w:r>
          </w:p>
        </w:tc>
      </w:tr>
      <w:tr w:rsidR="00000000">
        <w:tblPrEx>
          <w:tblCellMar>
            <w:top w:w="0" w:type="dxa"/>
            <w:bottom w:w="0" w:type="dxa"/>
          </w:tblCellMar>
        </w:tblPrEx>
        <w:trPr>
          <w:cantSplit/>
        </w:trPr>
        <w:tc>
          <w:tcPr>
            <w:tcW w:w="6276" w:type="dxa"/>
          </w:tcPr>
          <w:p w:rsidR="00000000" w:rsidRDefault="00000000">
            <w:r>
              <w:t>в том числе в состоянии алкогольного опьянения</w:t>
            </w:r>
          </w:p>
        </w:tc>
        <w:tc>
          <w:tcPr>
            <w:tcW w:w="632" w:type="dxa"/>
          </w:tcPr>
          <w:p w:rsidR="00000000" w:rsidRDefault="00000000">
            <w:pPr>
              <w:jc w:val="right"/>
            </w:pPr>
            <w:r>
              <w:t>59</w:t>
            </w:r>
          </w:p>
        </w:tc>
        <w:tc>
          <w:tcPr>
            <w:tcW w:w="738" w:type="dxa"/>
          </w:tcPr>
          <w:p w:rsidR="00000000" w:rsidRDefault="00000000">
            <w:pPr>
              <w:jc w:val="right"/>
            </w:pPr>
            <w:r>
              <w:t>88</w:t>
            </w:r>
          </w:p>
        </w:tc>
        <w:tc>
          <w:tcPr>
            <w:tcW w:w="738" w:type="dxa"/>
          </w:tcPr>
          <w:p w:rsidR="00000000" w:rsidRDefault="00000000">
            <w:pPr>
              <w:jc w:val="right"/>
            </w:pPr>
            <w:r>
              <w:t>47</w:t>
            </w:r>
          </w:p>
        </w:tc>
        <w:tc>
          <w:tcPr>
            <w:tcW w:w="1026" w:type="dxa"/>
          </w:tcPr>
          <w:p w:rsidR="00000000" w:rsidRDefault="00000000">
            <w:pPr>
              <w:tabs>
                <w:tab w:val="clear" w:pos="567"/>
              </w:tabs>
              <w:jc w:val="right"/>
            </w:pPr>
            <w:r>
              <w:t>21</w:t>
            </w:r>
          </w:p>
        </w:tc>
      </w:tr>
    </w:tbl>
    <w:p w:rsidR="00000000" w:rsidRDefault="00000000"/>
    <w:p w:rsidR="00000000" w:rsidRDefault="00000000">
      <w:r>
        <w:t>71.</w:t>
      </w:r>
      <w:r>
        <w:tab/>
        <w:t>В 2003 году ни один сотрудник полиции не преследовался в судебном порядке за совершение преступления экстремистской направленности.  В 2004 году было зарегистрировано семь обвинений в отношении сотрудников полиции в связи с расистскими или иными экстремистскими формами поведения, из которых одно являлось информацией о совершении преступления, а шесть </w:t>
      </w:r>
      <w:r>
        <w:noBreakHyphen/>
        <w:t xml:space="preserve"> были обычными жалобами.  Против одного сотрудника полиции было возбуждено уголовное дело по обвинению в совершении преступления, состоящего в диффамации нации, этнической группы, расы и убеждений (статья 198 Уголовного кодекса).</w:t>
      </w:r>
    </w:p>
    <w:p w:rsidR="00000000" w:rsidRDefault="00000000">
      <w:r>
        <w:t>72.</w:t>
      </w:r>
      <w:r>
        <w:tab/>
        <w:t>В течение отчетного периода продолжалась деятельность Рабочей группы правительства ЧР по делам общины рома в интересах министерства внутренних дел и Чешской полиции.  Эта Рабочая группа состоит из 25 постоянных членов:  14 координаторов по делам рома из местных органов власти</w:t>
      </w:r>
      <w:r>
        <w:rPr>
          <w:rStyle w:val="FootnoteReference"/>
        </w:rPr>
        <w:footnoteReference w:id="77"/>
      </w:r>
      <w:r>
        <w:t xml:space="preserve">, 8 сотрудников министерства внутренних дел и полиции и 3 представителей Государственного совета по делам рома.  Ежегодно Группа подготавливает доклад по проблемам экстремизма в ЧР, проводит дискуссии на региональном уровне в целях улучшения отношений между большинством населения и меньшинствами (так называемые "круглые столы"), рассматривает проблемы, связанные с ростовщичеством, проституцией и наркоманией в общине рома, расовой дискриминацией в связи с доступом в рестораны и аналогичные заведения, а также изучает отдельные жалобы на действия полиции.  За отчетный период такие жалобы касались чрезмерной </w:t>
      </w:r>
      <w:proofErr w:type="spellStart"/>
      <w:r>
        <w:t>затянутости</w:t>
      </w:r>
      <w:proofErr w:type="spellEnd"/>
      <w:r>
        <w:t xml:space="preserve"> полицейских процедур, касающихся квалификации преступлений, совершенных по расовым мотивам, а также неадекватности таких процедур и поведения сотрудников полиции</w:t>
      </w:r>
      <w:r>
        <w:rPr>
          <w:rStyle w:val="FootnoteReference"/>
        </w:rPr>
        <w:footnoteReference w:id="78"/>
      </w:r>
      <w:r>
        <w:t>.</w:t>
      </w:r>
    </w:p>
    <w:p w:rsidR="00000000" w:rsidRDefault="00000000"/>
    <w:p w:rsidR="00000000" w:rsidRDefault="00000000">
      <w:pPr>
        <w:jc w:val="center"/>
        <w:rPr>
          <w:b/>
          <w:bCs/>
          <w:u w:val="single"/>
        </w:rPr>
      </w:pPr>
      <w:r>
        <w:rPr>
          <w:b/>
          <w:bCs/>
        </w:rPr>
        <w:t>С.</w:t>
      </w:r>
      <w:r>
        <w:rPr>
          <w:b/>
          <w:bCs/>
        </w:rPr>
        <w:tab/>
      </w:r>
      <w:r>
        <w:rPr>
          <w:b/>
          <w:bCs/>
          <w:u w:val="single"/>
        </w:rPr>
        <w:t>Политические права, в частности право на участие в выборах</w:t>
      </w:r>
    </w:p>
    <w:p w:rsidR="00000000" w:rsidRDefault="00000000">
      <w:pPr>
        <w:jc w:val="center"/>
        <w:rPr>
          <w:b/>
          <w:bCs/>
        </w:rPr>
      </w:pPr>
    </w:p>
    <w:p w:rsidR="00000000" w:rsidRDefault="00000000">
      <w:r>
        <w:t>73.</w:t>
      </w:r>
      <w:r>
        <w:tab/>
        <w:t xml:space="preserve">Право участвовать в решении государственных вопросов (принимать участие в выборах, быть избранным) гарантируется Хартией основных прав и свобод всем гражданам вне зависимости от расы, цвета кожи, языка, вероисповедания, религии, политических или иных убеждений, национального или социального происхождения, принадлежности к национальному или этническому меньшинству, имущественного положения, рождения или другого положения.  </w:t>
      </w:r>
    </w:p>
    <w:p w:rsidR="00000000" w:rsidRDefault="00000000"/>
    <w:p w:rsidR="00000000" w:rsidRDefault="00000000">
      <w:r>
        <w:t>74.</w:t>
      </w:r>
      <w:r>
        <w:tab/>
        <w:t>В 2003 году был принят Закон о выборах в Европейский парламент (</w:t>
      </w:r>
      <w:r>
        <w:rPr>
          <w:lang w:val="en-GB"/>
        </w:rPr>
        <w:t>No</w:t>
      </w:r>
      <w:r>
        <w:t xml:space="preserve">. 62/2003 </w:t>
      </w:r>
      <w:proofErr w:type="spellStart"/>
      <w:r>
        <w:rPr>
          <w:lang w:val="en-GB"/>
        </w:rPr>
        <w:t>Coll</w:t>
      </w:r>
      <w:proofErr w:type="spellEnd"/>
      <w:r>
        <w:t>.).  В нем признается активное и пассивное право голоса не только для граждан ЧР, но и для граждан всех других государств </w:t>
      </w:r>
      <w:r>
        <w:noBreakHyphen/>
        <w:t xml:space="preserve"> членов ЕС</w:t>
      </w:r>
      <w:r>
        <w:rPr>
          <w:rStyle w:val="FootnoteReference"/>
        </w:rPr>
        <w:footnoteReference w:id="79"/>
      </w:r>
      <w:r>
        <w:t xml:space="preserve">.  </w:t>
      </w:r>
    </w:p>
    <w:p w:rsidR="00000000" w:rsidRDefault="00000000"/>
    <w:p w:rsidR="00000000" w:rsidRDefault="00000000">
      <w:pPr>
        <w:jc w:val="center"/>
        <w:rPr>
          <w:b/>
          <w:bCs/>
          <w:u w:val="single"/>
        </w:rPr>
      </w:pPr>
      <w:r>
        <w:rPr>
          <w:b/>
          <w:bCs/>
          <w:lang w:val="en-US"/>
        </w:rPr>
        <w:t>D</w:t>
      </w:r>
      <w:r>
        <w:rPr>
          <w:b/>
          <w:bCs/>
        </w:rPr>
        <w:t>.</w:t>
      </w:r>
      <w:r>
        <w:rPr>
          <w:b/>
          <w:bCs/>
        </w:rPr>
        <w:tab/>
      </w:r>
      <w:r>
        <w:rPr>
          <w:b/>
          <w:bCs/>
          <w:u w:val="single"/>
        </w:rPr>
        <w:t>Другие гражданские права</w:t>
      </w:r>
    </w:p>
    <w:p w:rsidR="00000000" w:rsidRDefault="00000000">
      <w:pPr>
        <w:jc w:val="center"/>
        <w:rPr>
          <w:b/>
          <w:bCs/>
        </w:rPr>
      </w:pPr>
    </w:p>
    <w:p w:rsidR="00000000" w:rsidRDefault="00000000">
      <w:pPr>
        <w:jc w:val="center"/>
        <w:rPr>
          <w:b/>
          <w:bCs/>
        </w:rPr>
      </w:pPr>
      <w:r>
        <w:rPr>
          <w:b/>
          <w:bCs/>
        </w:rPr>
        <w:t xml:space="preserve">Право на свободу передвижения и выбора места жительства </w:t>
      </w:r>
      <w:r>
        <w:rPr>
          <w:b/>
          <w:bCs/>
        </w:rPr>
        <w:br/>
        <w:t>в пределах государства</w:t>
      </w:r>
    </w:p>
    <w:p w:rsidR="00000000" w:rsidRDefault="00000000">
      <w:pPr>
        <w:jc w:val="center"/>
        <w:rPr>
          <w:b/>
          <w:bCs/>
        </w:rPr>
      </w:pPr>
    </w:p>
    <w:p w:rsidR="00000000" w:rsidRDefault="00000000">
      <w:r>
        <w:t>75.</w:t>
      </w:r>
      <w:r>
        <w:tab/>
        <w:t>Порядок регистрации населения (чешских граждан, иностранцев, имеющих вид на жительство, и иностранцев, которым было предоставлено убежище) регулируется Законом о регистрации населения (</w:t>
      </w:r>
      <w:r>
        <w:rPr>
          <w:lang w:val="en-GB"/>
        </w:rPr>
        <w:t>No</w:t>
      </w:r>
      <w:r>
        <w:t xml:space="preserve">. 133/2000 </w:t>
      </w:r>
      <w:proofErr w:type="spellStart"/>
      <w:r>
        <w:rPr>
          <w:lang w:val="en-GB"/>
        </w:rPr>
        <w:t>Coll</w:t>
      </w:r>
      <w:proofErr w:type="spellEnd"/>
      <w:r>
        <w:t>.).  В этом Законе было введено новое понятие постоянного местожительства для чешских граждан в качестве средства обеспечения официальных контактов между государственными органами власти и гражданами чешского государства.  Это главным образом отражается в том факте, что чешский гражданин более не обязан при изменении места жительства уведомлять об этом власти, при этом он не может быть подвергнут наказанию в случае непредставления им данных о постоянном проживании по его фактическому адресу</w:t>
      </w:r>
      <w:r>
        <w:rPr>
          <w:rStyle w:val="FootnoteReference"/>
        </w:rPr>
        <w:footnoteReference w:id="80"/>
      </w:r>
      <w:r>
        <w:t>.  По этой же причине для чешских граждан была также отменена обязанность регистрироваться по альтернативному временному месту жительства, с тем чтобы ситуация в возможно большей степени соответствовала реальному положению вещей.</w:t>
      </w:r>
    </w:p>
    <w:p w:rsidR="00000000" w:rsidRDefault="00000000"/>
    <w:p w:rsidR="00000000" w:rsidRDefault="00000000">
      <w:r>
        <w:t>76.</w:t>
      </w:r>
      <w:r>
        <w:tab/>
        <w:t>Что же касается иностранцев, то в отчетный период они по</w:t>
      </w:r>
      <w:r>
        <w:noBreakHyphen/>
        <w:t xml:space="preserve">прежнему должны были обращаться за получением вида на жительство в ЧР.  Ситуация для иностранцев, являющихся гражданами других государств - членов ЕС, изменилась с 1 мая 2004 года, когда ЧР стала членом ЕС.  Граждане других государств - членов ЕС могут на законных основаниях находиться на территории ЧР без необходимости получения разрешения со стороны государственных органов.  Гражданам ЕС необходимо зарегистрироваться по месту жительства в полиции в течение 30 дней, если они планируют находиться на </w:t>
      </w:r>
    </w:p>
    <w:p w:rsidR="00000000" w:rsidRDefault="00000000">
      <w:r>
        <w:br w:type="page"/>
        <w:t>территории страны более 30 дней.  Если они намерены проживать в ЧР в течение периода, превышающего три месяца, они должны зарегистрироваться по месту жительства, что обусловлено потребностями повседневной жизни.  После пребывания в стране в течение трех лет (и выполнения требуемых условий) они могут подать ходатайство о предоставлении им разрешения на постоянное проживание</w:t>
      </w:r>
      <w:r>
        <w:rPr>
          <w:rStyle w:val="FootnoteReference"/>
        </w:rPr>
        <w:footnoteReference w:id="81"/>
      </w:r>
      <w:r>
        <w:t>.  В отличие от всех других иностранцев они, при выполнении указанных условий и в соответствии с законом, вправе получить постоянный вид на жительство.  Граждане других стран могут проживать в ЧР либо на временной основе, либо на основе разрешения на постоянное проживание, при этом они обязаны зарегистрироваться по месту жительства в полиции в течение трех рабочих дней с момента въезда на территорию ЧР.  Ходатайство о предоставлении вида на жительство иностранцам, не являющимся гражданами других государств - членов ЕС, рассматриваются полицией по делам иностранцев и пограничной полицией</w:t>
      </w:r>
      <w:r>
        <w:rPr>
          <w:rStyle w:val="FootnoteReference"/>
        </w:rPr>
        <w:footnoteReference w:id="82"/>
      </w:r>
      <w:r>
        <w:t>.</w:t>
      </w:r>
    </w:p>
    <w:p w:rsidR="00000000" w:rsidRDefault="00000000"/>
    <w:p w:rsidR="00000000" w:rsidRDefault="00000000">
      <w:pPr>
        <w:jc w:val="center"/>
        <w:rPr>
          <w:b/>
          <w:bCs/>
        </w:rPr>
      </w:pPr>
      <w:r>
        <w:rPr>
          <w:b/>
          <w:bCs/>
        </w:rPr>
        <w:t>Право покидать любую страну, включая свою собственную,</w:t>
      </w:r>
    </w:p>
    <w:p w:rsidR="00000000" w:rsidRDefault="00000000">
      <w:pPr>
        <w:jc w:val="center"/>
        <w:rPr>
          <w:b/>
          <w:bCs/>
        </w:rPr>
      </w:pPr>
      <w:r>
        <w:rPr>
          <w:b/>
          <w:bCs/>
        </w:rPr>
        <w:t>и возвращаться в свою страну</w:t>
      </w:r>
    </w:p>
    <w:p w:rsidR="00000000" w:rsidRDefault="00000000">
      <w:pPr>
        <w:jc w:val="center"/>
        <w:rPr>
          <w:b/>
          <w:bCs/>
        </w:rPr>
      </w:pPr>
    </w:p>
    <w:p w:rsidR="00000000" w:rsidRDefault="00000000">
      <w:r>
        <w:t>77.</w:t>
      </w:r>
      <w:r>
        <w:tab/>
        <w:t xml:space="preserve">После присоединения ЧР к ЕС проблемы эмиграции представителей рома из </w:t>
      </w:r>
      <w:proofErr w:type="spellStart"/>
      <w:r>
        <w:t>ЧР</w:t>
      </w:r>
      <w:proofErr w:type="spellEnd"/>
      <w:r>
        <w:t xml:space="preserve"> в ЕС несколько утратили свою остроту</w:t>
      </w:r>
      <w:r>
        <w:rPr>
          <w:rStyle w:val="FootnoteReference"/>
        </w:rPr>
        <w:footnoteReference w:id="83"/>
      </w:r>
      <w:r>
        <w:t>.  В настоящее время проблему представляет так называемая внутренняя миграция рома, которая в большинстве случаев связана с экономическими проблемами и является причиной растущей территориальной сегрегации общин рома</w:t>
      </w:r>
      <w:r>
        <w:rPr>
          <w:rStyle w:val="FootnoteReference"/>
        </w:rPr>
        <w:footnoteReference w:id="84"/>
      </w:r>
      <w:r>
        <w:t xml:space="preserve">.  По вступлении </w:t>
      </w:r>
      <w:proofErr w:type="spellStart"/>
      <w:r>
        <w:t>ЧР</w:t>
      </w:r>
      <w:proofErr w:type="spellEnd"/>
      <w:r>
        <w:t xml:space="preserve"> в ЕС значительного увеличения количества представителей рома, выезжающих в другие страны ЕС, не произошло, а также не было </w:t>
      </w:r>
    </w:p>
    <w:p w:rsidR="00000000" w:rsidRDefault="00000000">
      <w:r>
        <w:br w:type="page"/>
        <w:t>зарегистрировано массовой миграции рома из словацких общин в ЧР, хотя миграция является основным фактором, создающим социальную напряженность</w:t>
      </w:r>
      <w:r>
        <w:rPr>
          <w:rStyle w:val="FootnoteReference"/>
        </w:rPr>
        <w:footnoteReference w:id="85"/>
      </w:r>
      <w:r>
        <w:t>.</w:t>
      </w:r>
    </w:p>
    <w:p w:rsidR="00000000" w:rsidRDefault="00000000"/>
    <w:p w:rsidR="00000000" w:rsidRDefault="00000000">
      <w:r>
        <w:t>78.</w:t>
      </w:r>
      <w:r>
        <w:tab/>
        <w:t>За отчетный период были внесены поправки (№ 559/2004 </w:t>
      </w:r>
      <w:proofErr w:type="spellStart"/>
      <w:r>
        <w:rPr>
          <w:lang w:val="en-US"/>
        </w:rPr>
        <w:t>Coll</w:t>
      </w:r>
      <w:proofErr w:type="spellEnd"/>
      <w:r>
        <w:t>.) в Закон о проездных документах (№ 329/1999 </w:t>
      </w:r>
      <w:proofErr w:type="spellStart"/>
      <w:r>
        <w:rPr>
          <w:lang w:val="en-US"/>
        </w:rPr>
        <w:t>Coll</w:t>
      </w:r>
      <w:proofErr w:type="spellEnd"/>
      <w:r>
        <w:t xml:space="preserve">.), согласно которым нарушением теперь считается незаконное пересечение государственной границы </w:t>
      </w:r>
      <w:proofErr w:type="spellStart"/>
      <w:r>
        <w:t>ЧР</w:t>
      </w:r>
      <w:proofErr w:type="spellEnd"/>
      <w:r>
        <w:t xml:space="preserve"> без действительных проездных документов.  Это правонарушение может наказываться штрафом в размере до 10 000 чешских крон.</w:t>
      </w:r>
    </w:p>
    <w:p w:rsidR="00000000" w:rsidRDefault="00000000"/>
    <w:p w:rsidR="00000000" w:rsidRDefault="00000000">
      <w:pPr>
        <w:jc w:val="center"/>
        <w:rPr>
          <w:b/>
          <w:bCs/>
        </w:rPr>
      </w:pPr>
      <w:r>
        <w:rPr>
          <w:b/>
          <w:bCs/>
        </w:rPr>
        <w:t>Право на гражданство</w:t>
      </w:r>
    </w:p>
    <w:p w:rsidR="00000000" w:rsidRDefault="00000000">
      <w:pPr>
        <w:jc w:val="center"/>
        <w:rPr>
          <w:b/>
          <w:bCs/>
        </w:rPr>
      </w:pPr>
    </w:p>
    <w:p w:rsidR="00000000" w:rsidRDefault="00000000">
      <w:r>
        <w:t>79.</w:t>
      </w:r>
      <w:r>
        <w:tab/>
        <w:t>Поправка к Закону о гражданстве</w:t>
      </w:r>
      <w:r>
        <w:rPr>
          <w:rStyle w:val="FootnoteReference"/>
        </w:rPr>
        <w:footnoteReference w:id="86"/>
      </w:r>
      <w:r>
        <w:t>, которая вступила в силу 29 октября 2003 года, предусматривает возможность получения чешского гражданства другими группами граждан Словакии путем простой подачи заявления, при этом указанные лица не теряют словацкого гражданства.  После принятия чешского гражданства в указанном порядке двойное гражданство могут иметь следующие категории лиц:</w:t>
      </w:r>
    </w:p>
    <w:p w:rsidR="00000000" w:rsidRDefault="00000000"/>
    <w:p w:rsidR="00000000" w:rsidRDefault="00000000">
      <w:pPr>
        <w:ind w:left="1122" w:hanging="1122"/>
      </w:pPr>
      <w:r>
        <w:tab/>
        <w:t>-</w:t>
      </w:r>
      <w:r>
        <w:tab/>
        <w:t>бывшие чешские граждане, получившие словацкое гражданство в период с 1 января 1994 года по 1 сентября 1999</w:t>
      </w:r>
      <w:r>
        <w:rPr>
          <w:lang w:val="en-US"/>
        </w:rPr>
        <w:t> </w:t>
      </w:r>
      <w:r>
        <w:t>года;</w:t>
      </w:r>
    </w:p>
    <w:p w:rsidR="00000000" w:rsidRDefault="00000000">
      <w:pPr>
        <w:ind w:left="1122" w:hanging="1122"/>
      </w:pPr>
    </w:p>
    <w:p w:rsidR="00000000" w:rsidRDefault="00000000">
      <w:pPr>
        <w:ind w:left="1122" w:hanging="1122"/>
      </w:pPr>
      <w:r>
        <w:tab/>
        <w:t>-</w:t>
      </w:r>
      <w:r>
        <w:tab/>
        <w:t>словацкие граждане, рожденные в Словацкой Республике в период с 1 января 1975 года по 31 декабря 1992 года, т.е. лица, которые до достижения ими 18</w:t>
      </w:r>
      <w:r>
        <w:noBreakHyphen/>
        <w:t>летнего возраста являлись гражданами Федеративной Республики Чехии и Словакии, а также Республики Словакии и один из родителей которых являлся гражданином Чешской Социалистической Республики или Чешской Республики, а второй - гражданином Словацкой Социалистической Республики или Словацкой Республики.</w:t>
      </w:r>
    </w:p>
    <w:p w:rsidR="00000000" w:rsidRDefault="00000000">
      <w:pPr>
        <w:ind w:left="1122" w:hanging="1122"/>
      </w:pPr>
    </w:p>
    <w:p w:rsidR="00000000" w:rsidRDefault="00000000">
      <w:r>
        <w:t>80.</w:t>
      </w:r>
      <w:r>
        <w:tab/>
        <w:t>Поправка к Закону о гражданстве также предусматривала исключения, касающиеся утраты чешского гражданства в том случае, когда чешский гражданин по его просьбе приобретает после заключения брака гражданство страны происхождения супруга/супруги.  В этих случаях предусматривается возможность сохранения чешского гражданства.</w:t>
      </w:r>
    </w:p>
    <w:p w:rsidR="00000000" w:rsidRDefault="00000000"/>
    <w:p w:rsidR="00000000" w:rsidRDefault="00000000">
      <w:r>
        <w:t>81.</w:t>
      </w:r>
      <w:r>
        <w:tab/>
        <w:t>Что касается приобретения чешского гражданства детьми, то в административной процедуре получения гражданства произошли изменения, связанные с критериями, необходимыми для получения детьми гражданства.  В число лиц, имеющих право на получение чешского гражданства, были включены физические лица в возрасте старше 15 лет.</w:t>
      </w:r>
    </w:p>
    <w:p w:rsidR="00000000" w:rsidRDefault="00000000"/>
    <w:p w:rsidR="00000000" w:rsidRDefault="00000000">
      <w:pPr>
        <w:jc w:val="center"/>
        <w:rPr>
          <w:b/>
          <w:bCs/>
        </w:rPr>
      </w:pPr>
      <w:r>
        <w:rPr>
          <w:b/>
          <w:bCs/>
        </w:rPr>
        <w:t>Право на вступление в брак и на выбор супруга</w:t>
      </w:r>
    </w:p>
    <w:p w:rsidR="00000000" w:rsidRDefault="00000000">
      <w:pPr>
        <w:jc w:val="center"/>
        <w:rPr>
          <w:b/>
          <w:bCs/>
        </w:rPr>
      </w:pPr>
    </w:p>
    <w:p w:rsidR="00000000" w:rsidRDefault="00000000">
      <w:r>
        <w:t>82.</w:t>
      </w:r>
      <w:r>
        <w:tab/>
        <w:t>За отчетный период каких-либо изменений, касающихся защиты от расовой дискриминации, в этой области не произошло.  Прошли обсуждения по трем новым законопроектам о регистрации супружеских отношений лиц одного пола, и в настоящее время в палате депутатов проходят чтения законопроекта, подготовленного группой депутатов, согласно которому одним из условий для вступления в такие супружеские взаимоотношения будет наличие чешского гражданства хотя бы у одного из партнеров</w:t>
      </w:r>
      <w:r>
        <w:rPr>
          <w:rStyle w:val="FootnoteReference"/>
        </w:rPr>
        <w:footnoteReference w:id="87"/>
      </w:r>
      <w:r>
        <w:t>.</w:t>
      </w:r>
    </w:p>
    <w:p w:rsidR="00000000" w:rsidRDefault="00000000">
      <w:pPr>
        <w:jc w:val="center"/>
        <w:rPr>
          <w:b/>
          <w:bCs/>
          <w:sz w:val="16"/>
        </w:rPr>
      </w:pPr>
    </w:p>
    <w:p w:rsidR="00000000" w:rsidRDefault="00000000">
      <w:pPr>
        <w:jc w:val="center"/>
        <w:rPr>
          <w:b/>
          <w:bCs/>
        </w:rPr>
      </w:pPr>
      <w:r>
        <w:rPr>
          <w:b/>
          <w:bCs/>
        </w:rPr>
        <w:t>Право на владение имуществом, право на наследование</w:t>
      </w:r>
    </w:p>
    <w:p w:rsidR="00000000" w:rsidRDefault="00000000">
      <w:pPr>
        <w:jc w:val="center"/>
        <w:rPr>
          <w:b/>
          <w:bCs/>
          <w:sz w:val="16"/>
        </w:rPr>
      </w:pPr>
    </w:p>
    <w:p w:rsidR="00000000" w:rsidRDefault="00000000">
      <w:r>
        <w:t>83.</w:t>
      </w:r>
      <w:r>
        <w:tab/>
        <w:t>В течение отчетного периода каких-либо законодательных изменений в области права на владение имуществом и права на наследование с точки зрения защиты от расовой дискриминации не произошло.</w:t>
      </w:r>
    </w:p>
    <w:p w:rsidR="00000000" w:rsidRDefault="00000000">
      <w:pPr>
        <w:jc w:val="center"/>
        <w:rPr>
          <w:b/>
          <w:bCs/>
          <w:sz w:val="16"/>
        </w:rPr>
      </w:pPr>
    </w:p>
    <w:p w:rsidR="00000000" w:rsidRDefault="00000000">
      <w:pPr>
        <w:jc w:val="center"/>
        <w:rPr>
          <w:b/>
          <w:bCs/>
        </w:rPr>
      </w:pPr>
      <w:r>
        <w:rPr>
          <w:b/>
          <w:bCs/>
        </w:rPr>
        <w:t>Право на свободу мысли, совести и религии</w:t>
      </w:r>
    </w:p>
    <w:p w:rsidR="00000000" w:rsidRDefault="00000000">
      <w:pPr>
        <w:jc w:val="center"/>
        <w:rPr>
          <w:b/>
          <w:bCs/>
        </w:rPr>
      </w:pPr>
      <w:r>
        <w:rPr>
          <w:b/>
          <w:bCs/>
        </w:rPr>
        <w:t>Право на свободу убеждений и их свободное выражение</w:t>
      </w:r>
    </w:p>
    <w:p w:rsidR="00000000" w:rsidRDefault="00000000">
      <w:pPr>
        <w:jc w:val="center"/>
        <w:rPr>
          <w:b/>
          <w:bCs/>
          <w:sz w:val="16"/>
        </w:rPr>
      </w:pPr>
    </w:p>
    <w:p w:rsidR="00000000" w:rsidRDefault="00000000">
      <w:r>
        <w:t>84.</w:t>
      </w:r>
      <w:r>
        <w:tab/>
        <w:t>За отчетный период была принята поправка к Закону о церквях (№ 3/2002 </w:t>
      </w:r>
      <w:proofErr w:type="spellStart"/>
      <w:r>
        <w:rPr>
          <w:lang w:val="en-US"/>
        </w:rPr>
        <w:t>Coll</w:t>
      </w:r>
      <w:proofErr w:type="spellEnd"/>
      <w:r>
        <w:t>.).  Постановлением Конституционного суда</w:t>
      </w:r>
      <w:r>
        <w:rPr>
          <w:rStyle w:val="FootnoteReference"/>
        </w:rPr>
        <w:footnoteReference w:id="88"/>
      </w:r>
      <w:r>
        <w:t xml:space="preserve"> некоторые из его положений были отменены.  Конституционный суд признал наличие нарушения права церквей и религиозных обществ на создание монастырских и иных церковных учреждений, независимых от государственных органов, на основании того, что регистрация церковных юридических лиц в министерстве культуры ограничивается лишь деятельностью "для целей организации, исповедания и распространения религиозной веры".  Отмененное положение также содержало определение термина "церковное юридическое лицо", под которым понимается определенный круг организаций, определяемых министерством культуры в соответствии с положениями этого Закона.  Конституционный суд также отменил положения об отмене разрешения на осуществление особых прав, если церковное или религиозное общество не публикует ежегодный доклад об осуществлении специальных прав (к примеру, право на преподавание религии в государственных школах).  Конституционный суд также признал неконституционным ограничение сферы использования прибылей церквей и религиозных обществ, а также годовой предельный срок с даты вступления в силу Закона для внесения дополнительных данных о деятельности зарегистрированных церковных юридических лиц.  В своем решении Конституционный суд подтвердил, что целью регистрации является не формальное учреждение церкви, а приобретение данной церковью юридического лица, поскольку в противном случае это означало бы нарушение принципа отделения церкви от государства.</w:t>
      </w:r>
    </w:p>
    <w:p w:rsidR="00000000" w:rsidRDefault="00000000"/>
    <w:p w:rsidR="00000000" w:rsidRDefault="00000000">
      <w:pPr>
        <w:jc w:val="center"/>
        <w:rPr>
          <w:b/>
          <w:bCs/>
        </w:rPr>
      </w:pPr>
      <w:r>
        <w:rPr>
          <w:b/>
          <w:bCs/>
        </w:rPr>
        <w:t>Право на свободу мирных собраний и ассоциаций</w:t>
      </w:r>
    </w:p>
    <w:p w:rsidR="00000000" w:rsidRDefault="00000000">
      <w:pPr>
        <w:jc w:val="center"/>
        <w:rPr>
          <w:b/>
          <w:bCs/>
        </w:rPr>
      </w:pPr>
    </w:p>
    <w:p w:rsidR="00000000" w:rsidRDefault="00000000">
      <w:r>
        <w:t>85.</w:t>
      </w:r>
      <w:r>
        <w:tab/>
        <w:t>В течение отчетного периода каких-либо изменений в законах о свободе мирных собраний не произошло.</w:t>
      </w:r>
    </w:p>
    <w:p w:rsidR="00000000" w:rsidRDefault="00000000"/>
    <w:p w:rsidR="00000000" w:rsidRDefault="00000000">
      <w:r>
        <w:t>86.</w:t>
      </w:r>
      <w:r>
        <w:tab/>
        <w:t>Со времени представления предыдущего доклада каких-либо кардинальных изменений в отношении права на свободу ассоциаций не произошло.  За отчетный период министерство внутренних дел не распустило ни одну из гражданских ассоциаций.  В 2002 году не имелось случаев отказа в регистрации ассоциаций, в 2003 году в этом праве было отказано одной ассоциации, в 2004 году - четырем ассоциациям, а в период с 1 января 2005 года по 31 марта 2005 года - восемнадцати ассоциациям.  Причина отказа в регистрации в большинстве случаев заключалась в попытке создания ассоциаций с целью ведения коммерческой деятельности.  По состоянию на 31 декабря 2003 года в министерстве внутренних дел было зарегистрировано в общей сложности 538 гражданских ассоциаций, которые объявили о программе национального меньшинства в их уставах.</w:t>
      </w:r>
    </w:p>
    <w:p w:rsidR="00000000" w:rsidRDefault="00000000"/>
    <w:p w:rsidR="00000000" w:rsidRDefault="00000000">
      <w:pPr>
        <w:keepNext/>
        <w:spacing w:line="240" w:lineRule="auto"/>
        <w:jc w:val="center"/>
        <w:rPr>
          <w:b/>
          <w:bCs/>
          <w:u w:val="single"/>
        </w:rPr>
      </w:pPr>
      <w:r>
        <w:rPr>
          <w:b/>
          <w:bCs/>
        </w:rPr>
        <w:br w:type="page"/>
        <w:t>Е.</w:t>
      </w:r>
      <w:r>
        <w:rPr>
          <w:b/>
          <w:bCs/>
        </w:rPr>
        <w:tab/>
      </w:r>
      <w:r>
        <w:rPr>
          <w:b/>
          <w:bCs/>
          <w:u w:val="single"/>
        </w:rPr>
        <w:t>Экономические, социальные и культурные права</w:t>
      </w:r>
    </w:p>
    <w:p w:rsidR="00000000" w:rsidRDefault="00000000">
      <w:pPr>
        <w:spacing w:line="240" w:lineRule="auto"/>
        <w:jc w:val="center"/>
        <w:rPr>
          <w:sz w:val="16"/>
        </w:rPr>
      </w:pPr>
    </w:p>
    <w:p w:rsidR="00000000" w:rsidRDefault="00000000">
      <w:pPr>
        <w:spacing w:line="240" w:lineRule="auto"/>
        <w:jc w:val="center"/>
        <w:rPr>
          <w:b/>
          <w:bCs/>
        </w:rPr>
      </w:pPr>
      <w:r>
        <w:rPr>
          <w:b/>
          <w:bCs/>
        </w:rPr>
        <w:t>Право на труд</w:t>
      </w:r>
    </w:p>
    <w:p w:rsidR="00000000" w:rsidRDefault="00000000">
      <w:pPr>
        <w:spacing w:line="240" w:lineRule="auto"/>
        <w:jc w:val="center"/>
        <w:rPr>
          <w:sz w:val="16"/>
        </w:rPr>
      </w:pPr>
    </w:p>
    <w:p w:rsidR="00000000" w:rsidRDefault="00000000">
      <w:pPr>
        <w:spacing w:line="240" w:lineRule="auto"/>
        <w:rPr>
          <w:u w:val="single"/>
        </w:rPr>
      </w:pPr>
      <w:r>
        <w:rPr>
          <w:u w:val="single"/>
        </w:rPr>
        <w:t>Законодательные меры</w:t>
      </w:r>
    </w:p>
    <w:p w:rsidR="00000000" w:rsidRDefault="00000000">
      <w:pPr>
        <w:spacing w:line="240" w:lineRule="auto"/>
        <w:jc w:val="center"/>
        <w:rPr>
          <w:sz w:val="16"/>
        </w:rPr>
      </w:pPr>
    </w:p>
    <w:p w:rsidR="00000000" w:rsidRDefault="00000000">
      <w:r>
        <w:t>87.</w:t>
      </w:r>
      <w:r>
        <w:tab/>
        <w:t>Право на доступ к занятости на основе равного обращения независимо от расового или этнического происхождения закреплено в новом Законе о занятости (№ 435/2004</w:t>
      </w:r>
      <w:r>
        <w:rPr>
          <w:lang w:val="en-US"/>
        </w:rPr>
        <w:t> Coll</w:t>
      </w:r>
      <w:r>
        <w:t>.)</w:t>
      </w:r>
      <w:r>
        <w:rPr>
          <w:rStyle w:val="FootnoteReference"/>
        </w:rPr>
        <w:footnoteReference w:id="89"/>
      </w:r>
      <w:r>
        <w:t>.  Новый Закон о занятости предусматривает принятие мер в целях поддержки и осуществления принципа равного обращения с мужчинами и женщинами, с лицами различного расового и этнического происхождения, с инвалидами и другими группами лиц, которые находятся в неблагоприятном положении на рынке труда с точки зрения доступа к занятости, переподготовке, профессиональной подготовке и специализированным курсам переквалификации, а также принятие мер по трудоустройству этих лиц.  В Законе о занятости особое внимание уделяется содействию трудоустройству некоторых групп граждан</w:t>
      </w:r>
      <w:r>
        <w:rPr>
          <w:rStyle w:val="FootnoteReference"/>
        </w:rPr>
        <w:footnoteReference w:id="90"/>
      </w:r>
      <w:r>
        <w:t>.  В соответствии с Законом о занятости бюро по трудоустройству</w:t>
      </w:r>
      <w:r>
        <w:rPr>
          <w:rStyle w:val="FootnoteReference"/>
        </w:rPr>
        <w:footnoteReference w:id="91"/>
      </w:r>
      <w:r>
        <w:t xml:space="preserve"> обязаны подготавливать для выпускников высших учебных заведений и физических лиц в возрасте до 25 лет индивидуальный план действий, направленный на расширение возможностей их трудоустройства.  Индивидуальный план действий может также подготавливаться для других лиц, ищущих работу (включая физических лиц, нуждающихся в специальной помощи).  В индивидуальном плане действий по существу устанавливается порядок и сроки осуществления мер, призванных расширить возможности трудоустройства лиц, ищущих работу.  Этот план составляется с учетом квалификации, возможностей и навыков конкретных лиц.  Лицо, ищущее работу, обязано сотрудничать в разработке индивидуального плана и выполнять оговоренные в нем условия.  Такая политика начала осуществляться в работе бюро по трудоустройству в 2004 году.  Закон также повлек за собой расширение круга механизмов политики активного поощрения занятости ищущих работу лиц, которые нуждаются в специальной помощи, а также других ищущих работу лиц, которые испытывают особые проблемы с трудоустройством</w:t>
      </w:r>
      <w:r>
        <w:rPr>
          <w:rStyle w:val="FootnoteReference"/>
        </w:rPr>
        <w:footnoteReference w:id="92"/>
      </w:r>
      <w:r>
        <w:t>.</w:t>
      </w:r>
    </w:p>
    <w:p w:rsidR="00000000" w:rsidRDefault="00000000">
      <w:pPr>
        <w:jc w:val="center"/>
        <w:rPr>
          <w:sz w:val="16"/>
        </w:rPr>
      </w:pPr>
    </w:p>
    <w:p w:rsidR="00000000" w:rsidRDefault="00000000">
      <w:r>
        <w:t>88.</w:t>
      </w:r>
      <w:r>
        <w:tab/>
        <w:t>В соответствии с Законом о занятости министерство труда и социальных дел и бюро по трудоустройству осуществляют инспекционную деятельность, в рамках которой проводится наблюдение за выполнением норм, регулируемых трудовым законодательством, и, в частности, за соблюдением принципа запрещения дискриминации.  Согласно новому Закону об инспекции труда, с 1 июля 2005 года полномочия по наблюдению за выполнением норм, закрепленных в трудовом законодательстве, и обязательств в сфере отношений, регулируемых этим законодательством</w:t>
      </w:r>
      <w:r>
        <w:rPr>
          <w:rStyle w:val="FootnoteReference"/>
        </w:rPr>
        <w:footnoteReference w:id="93"/>
      </w:r>
      <w:r>
        <w:t>, перешли к Государственной службе инспекции труда и областным управлениям по инспекции труда.  Все вышеупомянутые органы несут ответственность за наблюдение за выполнением принципа запрещения дискриминации.  Министерство труда и социальных дел собрало данные о нарушениях принципа запрещения дискриминации за период с третьего квартала 2004 года.</w:t>
      </w:r>
    </w:p>
    <w:p w:rsidR="00000000" w:rsidRDefault="00000000">
      <w:pPr>
        <w:jc w:val="center"/>
        <w:rPr>
          <w:sz w:val="16"/>
        </w:rPr>
      </w:pPr>
    </w:p>
    <w:p w:rsidR="00000000" w:rsidRDefault="00000000">
      <w:pPr>
        <w:jc w:val="center"/>
        <w:rPr>
          <w:b/>
          <w:bCs/>
        </w:rPr>
      </w:pPr>
      <w:r>
        <w:rPr>
          <w:b/>
          <w:bCs/>
        </w:rPr>
        <w:t>Таблица 12</w:t>
      </w:r>
    </w:p>
    <w:p w:rsidR="00000000" w:rsidRDefault="00000000">
      <w:pPr>
        <w:jc w:val="center"/>
        <w:rPr>
          <w:sz w:val="16"/>
        </w:rPr>
      </w:pPr>
    </w:p>
    <w:p w:rsidR="00000000" w:rsidRDefault="00000000">
      <w:pPr>
        <w:jc w:val="center"/>
        <w:rPr>
          <w:b/>
          <w:bCs/>
        </w:rPr>
      </w:pPr>
      <w:r>
        <w:rPr>
          <w:b/>
          <w:bCs/>
        </w:rPr>
        <w:t>Выявленные министерством труда и социальных дел случаи нарушения принципа запрещения дискриминации на основе расового или этнического происхождения по смыслу норм, закрепленных в трудовом законодательстве</w:t>
      </w:r>
    </w:p>
    <w:p w:rsidR="00000000" w:rsidRDefault="00000000">
      <w:pPr>
        <w:pStyle w:val="NormlnG"/>
        <w:widowControl/>
        <w:spacing w:line="288" w:lineRule="auto"/>
        <w:rPr>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58"/>
        <w:gridCol w:w="1750"/>
        <w:gridCol w:w="1777"/>
        <w:gridCol w:w="1722"/>
        <w:gridCol w:w="1404"/>
      </w:tblGrid>
      <w:tr w:rsidR="00000000">
        <w:tblPrEx>
          <w:tblCellMar>
            <w:top w:w="0" w:type="dxa"/>
            <w:bottom w:w="0" w:type="dxa"/>
          </w:tblCellMar>
        </w:tblPrEx>
        <w:trPr>
          <w:cantSplit/>
        </w:trPr>
        <w:tc>
          <w:tcPr>
            <w:tcW w:w="2758" w:type="dxa"/>
          </w:tcPr>
          <w:p w:rsidR="00000000" w:rsidRDefault="00000000">
            <w:pPr>
              <w:pStyle w:val="NormlnG"/>
              <w:widowControl/>
              <w:rPr>
                <w:sz w:val="20"/>
                <w:lang w:val="en-GB"/>
              </w:rPr>
            </w:pPr>
          </w:p>
        </w:tc>
        <w:tc>
          <w:tcPr>
            <w:tcW w:w="1750" w:type="dxa"/>
          </w:tcPr>
          <w:p w:rsidR="00000000" w:rsidRDefault="00000000">
            <w:pPr>
              <w:pStyle w:val="NormlnG"/>
              <w:widowControl/>
              <w:jc w:val="center"/>
              <w:rPr>
                <w:sz w:val="20"/>
                <w:lang w:val="ru-RU"/>
              </w:rPr>
            </w:pPr>
            <w:r>
              <w:rPr>
                <w:sz w:val="20"/>
                <w:lang w:val="ru-RU"/>
              </w:rPr>
              <w:t>Закон о занятости</w:t>
            </w:r>
          </w:p>
        </w:tc>
        <w:tc>
          <w:tcPr>
            <w:tcW w:w="1777" w:type="dxa"/>
          </w:tcPr>
          <w:p w:rsidR="00000000" w:rsidRDefault="00000000">
            <w:pPr>
              <w:pStyle w:val="NormlnG"/>
              <w:widowControl/>
              <w:jc w:val="center"/>
              <w:rPr>
                <w:sz w:val="20"/>
                <w:lang w:val="ru-RU"/>
              </w:rPr>
            </w:pPr>
            <w:r>
              <w:rPr>
                <w:sz w:val="20"/>
                <w:lang w:val="ru-RU"/>
              </w:rPr>
              <w:t>Трудовой кодекс</w:t>
            </w:r>
          </w:p>
        </w:tc>
        <w:tc>
          <w:tcPr>
            <w:tcW w:w="1722" w:type="dxa"/>
          </w:tcPr>
          <w:p w:rsidR="00000000" w:rsidRDefault="00000000">
            <w:pPr>
              <w:pStyle w:val="NormlnG"/>
              <w:widowControl/>
              <w:jc w:val="center"/>
              <w:rPr>
                <w:sz w:val="20"/>
                <w:lang w:val="ru-RU"/>
              </w:rPr>
            </w:pPr>
            <w:r>
              <w:rPr>
                <w:sz w:val="20"/>
                <w:lang w:val="ru-RU"/>
              </w:rPr>
              <w:t>В том числе женщины</w:t>
            </w:r>
          </w:p>
        </w:tc>
        <w:tc>
          <w:tcPr>
            <w:tcW w:w="1404" w:type="dxa"/>
          </w:tcPr>
          <w:p w:rsidR="00000000" w:rsidRDefault="00000000">
            <w:pPr>
              <w:pStyle w:val="NormlnG"/>
              <w:widowControl/>
              <w:jc w:val="center"/>
              <w:rPr>
                <w:sz w:val="20"/>
                <w:lang w:val="ru-RU"/>
              </w:rPr>
            </w:pPr>
            <w:r>
              <w:rPr>
                <w:sz w:val="20"/>
                <w:lang w:val="ru-RU"/>
              </w:rPr>
              <w:t>Всего</w:t>
            </w:r>
          </w:p>
        </w:tc>
      </w:tr>
      <w:tr w:rsidR="00000000">
        <w:tblPrEx>
          <w:tblCellMar>
            <w:top w:w="0" w:type="dxa"/>
            <w:bottom w:w="0" w:type="dxa"/>
          </w:tblCellMar>
        </w:tblPrEx>
        <w:trPr>
          <w:cantSplit/>
        </w:trPr>
        <w:tc>
          <w:tcPr>
            <w:tcW w:w="2758" w:type="dxa"/>
          </w:tcPr>
          <w:p w:rsidR="00000000" w:rsidRDefault="00000000">
            <w:pPr>
              <w:pStyle w:val="NormlnG"/>
              <w:widowControl/>
              <w:jc w:val="left"/>
              <w:rPr>
                <w:sz w:val="20"/>
                <w:lang w:val="ru-RU"/>
              </w:rPr>
            </w:pPr>
            <w:r>
              <w:rPr>
                <w:sz w:val="20"/>
                <w:lang w:val="ru-RU"/>
              </w:rPr>
              <w:t>Третий квартал 2004 года</w:t>
            </w:r>
          </w:p>
        </w:tc>
        <w:tc>
          <w:tcPr>
            <w:tcW w:w="1750" w:type="dxa"/>
          </w:tcPr>
          <w:p w:rsidR="00000000" w:rsidRDefault="00000000">
            <w:pPr>
              <w:pStyle w:val="NormlnG"/>
              <w:widowControl/>
              <w:jc w:val="center"/>
              <w:rPr>
                <w:sz w:val="20"/>
                <w:lang w:val="ru-RU"/>
              </w:rPr>
            </w:pPr>
            <w:r>
              <w:rPr>
                <w:sz w:val="20"/>
                <w:lang w:val="ru-RU"/>
              </w:rPr>
              <w:t>0</w:t>
            </w:r>
          </w:p>
        </w:tc>
        <w:tc>
          <w:tcPr>
            <w:tcW w:w="1777" w:type="dxa"/>
          </w:tcPr>
          <w:p w:rsidR="00000000" w:rsidRDefault="00000000">
            <w:pPr>
              <w:pStyle w:val="NormlnG"/>
              <w:widowControl/>
              <w:jc w:val="center"/>
              <w:rPr>
                <w:sz w:val="20"/>
                <w:lang w:val="ru-RU"/>
              </w:rPr>
            </w:pPr>
            <w:r>
              <w:rPr>
                <w:sz w:val="20"/>
                <w:lang w:val="ru-RU"/>
              </w:rPr>
              <w:t>1</w:t>
            </w:r>
          </w:p>
        </w:tc>
        <w:tc>
          <w:tcPr>
            <w:tcW w:w="1722" w:type="dxa"/>
          </w:tcPr>
          <w:p w:rsidR="00000000" w:rsidRDefault="00000000">
            <w:pPr>
              <w:pStyle w:val="NormlnG"/>
              <w:widowControl/>
              <w:jc w:val="center"/>
              <w:rPr>
                <w:sz w:val="20"/>
                <w:lang w:val="ru-RU"/>
              </w:rPr>
            </w:pPr>
            <w:r>
              <w:rPr>
                <w:sz w:val="20"/>
                <w:lang w:val="ru-RU"/>
              </w:rPr>
              <w:t>1</w:t>
            </w:r>
          </w:p>
        </w:tc>
        <w:tc>
          <w:tcPr>
            <w:tcW w:w="1404" w:type="dxa"/>
          </w:tcPr>
          <w:p w:rsidR="00000000" w:rsidRDefault="00000000">
            <w:pPr>
              <w:pStyle w:val="NormlnG"/>
              <w:widowControl/>
              <w:jc w:val="center"/>
              <w:rPr>
                <w:sz w:val="20"/>
                <w:lang w:val="ru-RU"/>
              </w:rPr>
            </w:pPr>
            <w:r>
              <w:rPr>
                <w:sz w:val="20"/>
                <w:lang w:val="ru-RU"/>
              </w:rPr>
              <w:t>1</w:t>
            </w:r>
          </w:p>
        </w:tc>
      </w:tr>
      <w:tr w:rsidR="00000000">
        <w:tblPrEx>
          <w:tblCellMar>
            <w:top w:w="0" w:type="dxa"/>
            <w:bottom w:w="0" w:type="dxa"/>
          </w:tblCellMar>
        </w:tblPrEx>
        <w:trPr>
          <w:cantSplit/>
        </w:trPr>
        <w:tc>
          <w:tcPr>
            <w:tcW w:w="2758" w:type="dxa"/>
          </w:tcPr>
          <w:p w:rsidR="00000000" w:rsidRDefault="00000000">
            <w:pPr>
              <w:pStyle w:val="NormlnG"/>
              <w:widowControl/>
              <w:jc w:val="left"/>
              <w:rPr>
                <w:sz w:val="20"/>
                <w:lang w:val="ru-RU"/>
              </w:rPr>
            </w:pPr>
            <w:r>
              <w:rPr>
                <w:sz w:val="20"/>
                <w:lang w:val="ru-RU"/>
              </w:rPr>
              <w:t>Четвертый квартал 2004 года</w:t>
            </w:r>
          </w:p>
        </w:tc>
        <w:tc>
          <w:tcPr>
            <w:tcW w:w="1750" w:type="dxa"/>
          </w:tcPr>
          <w:p w:rsidR="00000000" w:rsidRDefault="00000000">
            <w:pPr>
              <w:pStyle w:val="NormlnG"/>
              <w:widowControl/>
              <w:jc w:val="center"/>
              <w:rPr>
                <w:sz w:val="20"/>
                <w:lang w:val="ru-RU"/>
              </w:rPr>
            </w:pPr>
            <w:r>
              <w:rPr>
                <w:sz w:val="20"/>
                <w:lang w:val="ru-RU"/>
              </w:rPr>
              <w:t>0</w:t>
            </w:r>
          </w:p>
        </w:tc>
        <w:tc>
          <w:tcPr>
            <w:tcW w:w="1777" w:type="dxa"/>
          </w:tcPr>
          <w:p w:rsidR="00000000" w:rsidRDefault="00000000">
            <w:pPr>
              <w:pStyle w:val="NormlnG"/>
              <w:widowControl/>
              <w:jc w:val="center"/>
              <w:rPr>
                <w:sz w:val="20"/>
                <w:lang w:val="ru-RU"/>
              </w:rPr>
            </w:pPr>
            <w:r>
              <w:rPr>
                <w:sz w:val="20"/>
                <w:lang w:val="ru-RU"/>
              </w:rPr>
              <w:t>1</w:t>
            </w:r>
          </w:p>
        </w:tc>
        <w:tc>
          <w:tcPr>
            <w:tcW w:w="1722" w:type="dxa"/>
          </w:tcPr>
          <w:p w:rsidR="00000000" w:rsidRDefault="00000000">
            <w:pPr>
              <w:pStyle w:val="NormlnG"/>
              <w:widowControl/>
              <w:jc w:val="center"/>
              <w:rPr>
                <w:sz w:val="20"/>
                <w:lang w:val="ru-RU"/>
              </w:rPr>
            </w:pPr>
            <w:r>
              <w:rPr>
                <w:sz w:val="20"/>
                <w:lang w:val="ru-RU"/>
              </w:rPr>
              <w:t>1</w:t>
            </w:r>
          </w:p>
        </w:tc>
        <w:tc>
          <w:tcPr>
            <w:tcW w:w="1404" w:type="dxa"/>
          </w:tcPr>
          <w:p w:rsidR="00000000" w:rsidRDefault="00000000">
            <w:pPr>
              <w:pStyle w:val="NormlnG"/>
              <w:widowControl/>
              <w:jc w:val="center"/>
              <w:rPr>
                <w:sz w:val="20"/>
                <w:lang w:val="ru-RU"/>
              </w:rPr>
            </w:pPr>
            <w:r>
              <w:rPr>
                <w:sz w:val="20"/>
                <w:lang w:val="ru-RU"/>
              </w:rPr>
              <w:t>1</w:t>
            </w:r>
          </w:p>
        </w:tc>
      </w:tr>
      <w:tr w:rsidR="00000000">
        <w:tblPrEx>
          <w:tblCellMar>
            <w:top w:w="0" w:type="dxa"/>
            <w:bottom w:w="0" w:type="dxa"/>
          </w:tblCellMar>
        </w:tblPrEx>
        <w:trPr>
          <w:cantSplit/>
        </w:trPr>
        <w:tc>
          <w:tcPr>
            <w:tcW w:w="2758" w:type="dxa"/>
          </w:tcPr>
          <w:p w:rsidR="00000000" w:rsidRDefault="00000000">
            <w:pPr>
              <w:pStyle w:val="NormlnG"/>
              <w:widowControl/>
              <w:jc w:val="left"/>
              <w:rPr>
                <w:sz w:val="20"/>
                <w:lang w:val="ru-RU"/>
              </w:rPr>
            </w:pPr>
            <w:r>
              <w:rPr>
                <w:sz w:val="20"/>
                <w:lang w:val="ru-RU"/>
              </w:rPr>
              <w:t>Первый квартал 2005 года</w:t>
            </w:r>
          </w:p>
        </w:tc>
        <w:tc>
          <w:tcPr>
            <w:tcW w:w="1750" w:type="dxa"/>
          </w:tcPr>
          <w:p w:rsidR="00000000" w:rsidRDefault="00000000">
            <w:pPr>
              <w:pStyle w:val="NormlnG"/>
              <w:widowControl/>
              <w:jc w:val="center"/>
              <w:rPr>
                <w:sz w:val="20"/>
                <w:lang w:val="ru-RU"/>
              </w:rPr>
            </w:pPr>
            <w:r>
              <w:rPr>
                <w:sz w:val="20"/>
                <w:lang w:val="ru-RU"/>
              </w:rPr>
              <w:t>0</w:t>
            </w:r>
          </w:p>
        </w:tc>
        <w:tc>
          <w:tcPr>
            <w:tcW w:w="1777" w:type="dxa"/>
          </w:tcPr>
          <w:p w:rsidR="00000000" w:rsidRDefault="00000000">
            <w:pPr>
              <w:pStyle w:val="NormlnG"/>
              <w:widowControl/>
              <w:jc w:val="center"/>
              <w:rPr>
                <w:sz w:val="20"/>
                <w:lang w:val="ru-RU"/>
              </w:rPr>
            </w:pPr>
            <w:r>
              <w:rPr>
                <w:sz w:val="20"/>
                <w:lang w:val="ru-RU"/>
              </w:rPr>
              <w:t>0</w:t>
            </w:r>
          </w:p>
        </w:tc>
        <w:tc>
          <w:tcPr>
            <w:tcW w:w="1722" w:type="dxa"/>
          </w:tcPr>
          <w:p w:rsidR="00000000" w:rsidRDefault="00000000">
            <w:pPr>
              <w:pStyle w:val="NormlnG"/>
              <w:widowControl/>
              <w:jc w:val="center"/>
              <w:rPr>
                <w:sz w:val="20"/>
                <w:lang w:val="ru-RU"/>
              </w:rPr>
            </w:pPr>
            <w:r>
              <w:rPr>
                <w:sz w:val="20"/>
                <w:lang w:val="ru-RU"/>
              </w:rPr>
              <w:t>0</w:t>
            </w:r>
          </w:p>
        </w:tc>
        <w:tc>
          <w:tcPr>
            <w:tcW w:w="1404" w:type="dxa"/>
          </w:tcPr>
          <w:p w:rsidR="00000000" w:rsidRDefault="00000000">
            <w:pPr>
              <w:pStyle w:val="NormlnG"/>
              <w:widowControl/>
              <w:jc w:val="center"/>
              <w:rPr>
                <w:sz w:val="20"/>
                <w:lang w:val="ru-RU"/>
              </w:rPr>
            </w:pPr>
            <w:r>
              <w:rPr>
                <w:sz w:val="20"/>
                <w:lang w:val="ru-RU"/>
              </w:rPr>
              <w:t>0</w:t>
            </w:r>
          </w:p>
        </w:tc>
      </w:tr>
    </w:tbl>
    <w:p w:rsidR="00000000" w:rsidRDefault="00000000">
      <w:pPr>
        <w:pStyle w:val="NormlnG"/>
        <w:widowControl/>
        <w:spacing w:line="288" w:lineRule="auto"/>
        <w:rPr>
          <w:sz w:val="20"/>
          <w:lang w:val="ru-RU"/>
        </w:rPr>
      </w:pPr>
    </w:p>
    <w:p w:rsidR="00000000" w:rsidRDefault="00000000">
      <w:r>
        <w:t>89.</w:t>
      </w:r>
      <w:r>
        <w:tab/>
        <w:t xml:space="preserve">Наиболее важным нормативно-правовым актом в сфере отношений, регулируемых трудовым законодательством, является Трудовой кодекс (№ 65/1965 </w:t>
      </w:r>
      <w:proofErr w:type="spellStart"/>
      <w:r>
        <w:rPr>
          <w:lang w:val="en-GB"/>
        </w:rPr>
        <w:t>Coll</w:t>
      </w:r>
      <w:proofErr w:type="spellEnd"/>
      <w:r>
        <w:t xml:space="preserve">.).  Принятие поправок к нему (№ 46/2004 </w:t>
      </w:r>
      <w:proofErr w:type="spellStart"/>
      <w:r>
        <w:rPr>
          <w:lang w:val="en-GB"/>
        </w:rPr>
        <w:t>Coll</w:t>
      </w:r>
      <w:proofErr w:type="spellEnd"/>
      <w:r>
        <w:t>.) в 2004 году повлекло за собой расширение сферы толкования принципа запрещения дискриминации в области отношений, регулируемых трудовым законодательством, посредством включения в нее определения прямой и косвенной дискриминации, преследований и сексуальных домогательств, а также установление изъятий из принципа запрещения дискриминации и положений о позитивных мерах</w:t>
      </w:r>
      <w:r>
        <w:rPr>
          <w:rStyle w:val="FootnoteReference"/>
        </w:rPr>
        <w:footnoteReference w:id="94"/>
      </w:r>
      <w:r>
        <w:t xml:space="preserve">.  Как уже упоминалось (статья 2), внесение поправок обеспечило </w:t>
      </w:r>
      <w:proofErr w:type="spellStart"/>
      <w:r>
        <w:t>инкорпорирование</w:t>
      </w:r>
      <w:proofErr w:type="spellEnd"/>
      <w:r>
        <w:t xml:space="preserve"> требований, предусмотренных директивами ЕС, в чешское законодательство.</w:t>
      </w:r>
    </w:p>
    <w:p w:rsidR="00000000" w:rsidRDefault="00000000"/>
    <w:p w:rsidR="00000000" w:rsidRDefault="00000000">
      <w:r>
        <w:t>90.</w:t>
      </w:r>
      <w:r>
        <w:tab/>
        <w:t xml:space="preserve">В обзорный период были приняты новые нормативно-правовые акты, касающиеся установления, прекращения и выполнения служебных обязанностей (функций) на государственной службе (Закон № 218/2002 </w:t>
      </w:r>
      <w:proofErr w:type="spellStart"/>
      <w:r>
        <w:rPr>
          <w:lang w:val="en-GB"/>
        </w:rPr>
        <w:t>Coll</w:t>
      </w:r>
      <w:proofErr w:type="spellEnd"/>
      <w:r>
        <w:t>.) и служебных обязанностей военнослужащих (Закон № 361/2003).  Эти нормативно-правовые документы являются конкретными законодательными актами в сфере трудовых отношений, обеспечивающими такую же защиту от дискриминации, как и Трудовой кодекс.  Оба они предусматривают запрещение дискриминации, в частности, по признакам расы и этнического происхождения.  В соответствии со вторым нормативно-правовым актом указанный запрет также распространяется на процедуру найма на работу, при которой никакая кандидатура не может быть отклонена просто по причине расового или этнического происхождения кандидата</w:t>
      </w:r>
      <w:r>
        <w:rPr>
          <w:rStyle w:val="FootnoteReference"/>
        </w:rPr>
        <w:footnoteReference w:id="95"/>
      </w:r>
      <w:r>
        <w:t>.</w:t>
      </w:r>
    </w:p>
    <w:p w:rsidR="00000000" w:rsidRDefault="00000000"/>
    <w:p w:rsidR="00000000" w:rsidRDefault="00000000">
      <w:r>
        <w:t>91.</w:t>
      </w:r>
      <w:r>
        <w:tab/>
        <w:t xml:space="preserve">Внесение поправок в Закон о кадровых военнослужащих (№ 221/1999 </w:t>
      </w:r>
      <w:proofErr w:type="spellStart"/>
      <w:r>
        <w:rPr>
          <w:lang w:val="en-GB"/>
        </w:rPr>
        <w:t>Coll</w:t>
      </w:r>
      <w:proofErr w:type="spellEnd"/>
      <w:r>
        <w:t xml:space="preserve">.), вступивших в силу с июня 2002 года (№ 254/2002 </w:t>
      </w:r>
      <w:proofErr w:type="spellStart"/>
      <w:r>
        <w:rPr>
          <w:lang w:val="en-GB"/>
        </w:rPr>
        <w:t>Coll</w:t>
      </w:r>
      <w:proofErr w:type="spellEnd"/>
      <w:r>
        <w:t>.), подразумевало наложение на воинские части и подразделения обязательства в отношении обеспечения равного обращения с кандидатами, поступающими на службу, независимо от их расового или этнического происхождения</w:t>
      </w:r>
      <w:r>
        <w:rPr>
          <w:rStyle w:val="FootnoteReference"/>
        </w:rPr>
        <w:footnoteReference w:id="96"/>
      </w:r>
      <w:r>
        <w:t>.</w:t>
      </w:r>
    </w:p>
    <w:p w:rsidR="00000000" w:rsidRDefault="00000000"/>
    <w:p w:rsidR="00000000" w:rsidRDefault="00000000">
      <w:pPr>
        <w:keepNext/>
      </w:pPr>
      <w:proofErr w:type="spellStart"/>
      <w:r>
        <w:rPr>
          <w:u w:val="single"/>
        </w:rPr>
        <w:t>Незаконодательные</w:t>
      </w:r>
      <w:proofErr w:type="spellEnd"/>
      <w:r>
        <w:rPr>
          <w:u w:val="single"/>
        </w:rPr>
        <w:t xml:space="preserve"> меры в поддержку занятости</w:t>
      </w:r>
    </w:p>
    <w:p w:rsidR="00000000" w:rsidRDefault="00000000">
      <w:pPr>
        <w:keepNext/>
      </w:pPr>
    </w:p>
    <w:p w:rsidR="00000000" w:rsidRDefault="00000000">
      <w:r>
        <w:t>92.</w:t>
      </w:r>
      <w:r>
        <w:tab/>
        <w:t xml:space="preserve">В июле 2004 года правительство </w:t>
      </w:r>
      <w:proofErr w:type="spellStart"/>
      <w:r>
        <w:t>ЧР</w:t>
      </w:r>
      <w:proofErr w:type="spellEnd"/>
      <w:r>
        <w:t xml:space="preserve"> утвердило Национальный план действий в области занятости на 2004-2006 годы.  В этом документе излагаются цели и механизм осуществления национальной политики в области занятости на среднесрочный период до 2006 года, а также общие и конкретные рекомендации Европейской комиссии в отношении проведения политики в области занятости с учетом руководящих принципов Европейской комиссии по обеспечению занятости.  Среднесрочный план предусматривает ряд мер, направленных на интеграцию лиц, находящихся в неблагоприятном положении, на рынке труда, поддержку борьбы против дискриминации, повышение уровня социальной интеграции, расширение занятости и создание более устойчивой системы социальной защиты.  В феврале 2005 года правительство приняло так называемую рамочную программу институциональных и материально-технических мер по своевременному осуществлению Национального плана действий в области занятости на 2005-2006 годы, где конкретно определяются сроки и материально-техническая база для проведения в жизнь положений Национального плана действий в области занятости.  </w:t>
      </w:r>
    </w:p>
    <w:p w:rsidR="00000000" w:rsidRDefault="00000000"/>
    <w:p w:rsidR="00000000" w:rsidRDefault="00000000">
      <w:r>
        <w:t>93.</w:t>
      </w:r>
      <w:r>
        <w:tab/>
        <w:t>В ноябре 2004 года министерство труда и социальных дел разработало оперативную программу развития людских ресурсов</w:t>
      </w:r>
      <w:r>
        <w:rPr>
          <w:rStyle w:val="FootnoteReference"/>
        </w:rPr>
        <w:footnoteReference w:id="97"/>
      </w:r>
      <w:r>
        <w:t xml:space="preserve">.  Цели программы включают в себя, в частности, охват большей доли длительно безработных мерами политики активного поощрения занятости и более эффективное использование политики поощрения занятости в процессе трудоустройства лиц, ищущих работу.  Программа направлена на обеспечение того, чтобы в 2006 году </w:t>
      </w:r>
      <w:proofErr w:type="spellStart"/>
      <w:r>
        <w:t>20%</w:t>
      </w:r>
      <w:proofErr w:type="spellEnd"/>
      <w:r>
        <w:t xml:space="preserve"> длительно безработных были охвачены той или иной мерой активного поощрения занятости, в том числе посредством их вовлечения в консультации, программы подготовки и переподготовки и практику использования экспертных услуг, а также их привлечения к кратковременной работе и к участию в других мероприятиях, содействующих занятости.</w:t>
      </w:r>
    </w:p>
    <w:p w:rsidR="00000000" w:rsidRDefault="00000000"/>
    <w:p w:rsidR="00000000" w:rsidRDefault="00000000">
      <w:r>
        <w:t>94.</w:t>
      </w:r>
      <w:r>
        <w:tab/>
        <w:t>Министерство труда и социальных дел намеревается распространить действие программ стимулирования занятости</w:t>
      </w:r>
      <w:r>
        <w:rPr>
          <w:rStyle w:val="FootnoteReference"/>
        </w:rPr>
        <w:footnoteReference w:id="98"/>
      </w:r>
      <w:r>
        <w:t xml:space="preserve"> на местном уровне на ищущих работу лиц из различной культурной среды, включая представителей общин рома, просителей убежища и иностранцев, постоянно проживающих в </w:t>
      </w:r>
      <w:proofErr w:type="spellStart"/>
      <w:r>
        <w:t>ЧР</w:t>
      </w:r>
      <w:proofErr w:type="spellEnd"/>
      <w:r>
        <w:rPr>
          <w:rStyle w:val="FootnoteReference"/>
        </w:rPr>
        <w:footnoteReference w:id="99"/>
      </w:r>
      <w:r>
        <w:t>.  Работники служб трудоустройства и сотрудники других учреждений, которые занимаются организационными вопросами предупреждения расовой дискриминации на рынке труда, накапливают необходимый опыт в процессе профессиональной подготовки для оказания помощи с ищущим работу лицам, которые испытывают трудности в сфере трудоустройства, и с представителями рома.</w:t>
      </w:r>
    </w:p>
    <w:p w:rsidR="00000000" w:rsidRDefault="00000000"/>
    <w:p w:rsidR="00000000" w:rsidRDefault="00000000">
      <w:r>
        <w:t>95.</w:t>
      </w:r>
      <w:r>
        <w:tab/>
        <w:t>В декабре 2004 года министерство труда и социальных дел предложило заинтересованным сторонам представить проекты по линии межрегиональной кредитной программы "Интеграция конкретных групп населения, находящихся под угрозой социального отчуждения"</w:t>
      </w:r>
      <w:r>
        <w:rPr>
          <w:rStyle w:val="FootnoteReference"/>
        </w:rPr>
        <w:footnoteReference w:id="100"/>
      </w:r>
      <w:r>
        <w:t xml:space="preserve">.  Применительно к занятости эта программа предусматривает </w:t>
      </w:r>
      <w:proofErr w:type="spellStart"/>
      <w:r>
        <w:t>уделение</w:t>
      </w:r>
      <w:proofErr w:type="spellEnd"/>
      <w:r>
        <w:t xml:space="preserve"> пристального внимания следующим категориям населения:  лицам, которые уже оказались или могут оказаться в категории социально отчужденных вследствие долгосрочной безработицы по причине низкого уровня образования или отсутствия образования, низкого уровня квалификации, возраста, общего состояния здоровья или умственных недостатков, из-за принадлежности к иной социально-культурной среде или длительного ухода за членом своей семьи, находящимся на их иждивении, а также несовершеннолетним, проживающим в неблагоприятных социальных условиях или являющимся выходцами из другой социально-культурной среды.</w:t>
      </w:r>
    </w:p>
    <w:p w:rsidR="00000000" w:rsidRDefault="00000000"/>
    <w:p w:rsidR="00000000" w:rsidRDefault="00000000">
      <w:r>
        <w:t>96.</w:t>
      </w:r>
      <w:r>
        <w:tab/>
        <w:t>В составе Комитета по наблюдению за осуществлением программы развития людских ресурсов была учреждена рабочая группа по делам общины рома, призванная главным образом следить за процессом оказания помощи и используемыми механизмами поддержки на уровне социально отчужденных общин.  С учетом результатов своей деятельности эта рабочая группа представляет Комитету по наблюдению соответствующие предложения и рекомендации.  Первое совещание рабочей группы состоялось в апреле 2005 года.</w:t>
      </w:r>
    </w:p>
    <w:p w:rsidR="00000000" w:rsidRDefault="00000000"/>
    <w:p w:rsidR="00000000" w:rsidRDefault="00000000">
      <w:r>
        <w:t>97.</w:t>
      </w:r>
      <w:r>
        <w:tab/>
        <w:t xml:space="preserve">В период 2001-2004 годов в </w:t>
      </w:r>
      <w:proofErr w:type="spellStart"/>
      <w:r>
        <w:t>ЧР</w:t>
      </w:r>
      <w:proofErr w:type="spellEnd"/>
      <w:r>
        <w:t xml:space="preserve"> осуществлялась программа поддержки малых и средних предприятий</w:t>
      </w:r>
      <w:r>
        <w:rPr>
          <w:rStyle w:val="FootnoteReference"/>
        </w:rPr>
        <w:footnoteReference w:id="101"/>
      </w:r>
      <w:r>
        <w:t>.  Среди этих программ была дополнительная специальная программа, направленная на оказание поддержки предпринимателям, создающим рабочие места для лиц, относящихся к проблемным группам населения, и предусматривавшая предоставление адресной субсидии в связи с созданием одного такого рабочего места.  В рамках этой программы в 2001-2004 годах было создано 1 013 новых рабочих мест при общем объеме оказанной помощи на сумму 155,4 млн. чешских крон.</w:t>
      </w:r>
    </w:p>
    <w:p w:rsidR="00000000" w:rsidRDefault="00000000"/>
    <w:p w:rsidR="00000000" w:rsidRDefault="00000000">
      <w:pPr>
        <w:rPr>
          <w:u w:val="single"/>
        </w:rPr>
      </w:pPr>
      <w:r>
        <w:rPr>
          <w:u w:val="single"/>
        </w:rPr>
        <w:t>Контроль за объявлениями о наличии рабочих мест</w:t>
      </w:r>
    </w:p>
    <w:p w:rsidR="00000000" w:rsidRDefault="00000000">
      <w:pPr>
        <w:rPr>
          <w:u w:val="single"/>
        </w:rPr>
      </w:pPr>
    </w:p>
    <w:p w:rsidR="00000000" w:rsidRDefault="00000000">
      <w:r>
        <w:t>98.</w:t>
      </w:r>
      <w:r>
        <w:tab/>
        <w:t>Важную роль в поощрении равных возможностей независимо от расового или этнического происхождения играет неправительственный сектор.  В период с 1 февраля по 31 марта 2005 года неправительственная некоммерческая организация "</w:t>
      </w:r>
      <w:proofErr w:type="spellStart"/>
      <w:r>
        <w:rPr>
          <w:lang w:val="en-US"/>
        </w:rPr>
        <w:t>Poradna</w:t>
      </w:r>
      <w:proofErr w:type="spellEnd"/>
      <w:r>
        <w:t xml:space="preserve"> </w:t>
      </w:r>
      <w:r>
        <w:rPr>
          <w:lang w:val="en-US"/>
        </w:rPr>
        <w:t>pro</w:t>
      </w:r>
      <w:r>
        <w:t xml:space="preserve"> </w:t>
      </w:r>
      <w:r>
        <w:rPr>
          <w:lang w:val="en-US"/>
        </w:rPr>
        <w:t>ob</w:t>
      </w:r>
      <w:proofErr w:type="spellStart"/>
      <w:r>
        <w:t>č</w:t>
      </w:r>
      <w:r>
        <w:rPr>
          <w:lang w:val="en-US"/>
        </w:rPr>
        <w:t>anstv</w:t>
      </w:r>
      <w:r>
        <w:t>í</w:t>
      </w:r>
      <w:proofErr w:type="spellEnd"/>
      <w:r>
        <w:t xml:space="preserve">, </w:t>
      </w:r>
      <w:r>
        <w:rPr>
          <w:lang w:val="en-US"/>
        </w:rPr>
        <w:t>ob</w:t>
      </w:r>
      <w:proofErr w:type="spellStart"/>
      <w:r>
        <w:t>č</w:t>
      </w:r>
      <w:r>
        <w:rPr>
          <w:lang w:val="en-US"/>
        </w:rPr>
        <w:t>ansk</w:t>
      </w:r>
      <w:r>
        <w:t>á</w:t>
      </w:r>
      <w:proofErr w:type="spellEnd"/>
      <w:r>
        <w:t xml:space="preserve"> </w:t>
      </w:r>
      <w:r>
        <w:rPr>
          <w:lang w:val="en-US"/>
        </w:rPr>
        <w:t>a</w:t>
      </w:r>
      <w:r>
        <w:t xml:space="preserve"> </w:t>
      </w:r>
      <w:proofErr w:type="spellStart"/>
      <w:r>
        <w:rPr>
          <w:lang w:val="en-US"/>
        </w:rPr>
        <w:t>lidsk</w:t>
      </w:r>
      <w:r>
        <w:t>á</w:t>
      </w:r>
      <w:proofErr w:type="spellEnd"/>
      <w:r>
        <w:t xml:space="preserve"> </w:t>
      </w:r>
      <w:r>
        <w:rPr>
          <w:lang w:val="en-US"/>
        </w:rPr>
        <w:t>pr</w:t>
      </w:r>
      <w:proofErr w:type="spellStart"/>
      <w:r>
        <w:t>á</w:t>
      </w:r>
      <w:r>
        <w:rPr>
          <w:lang w:val="en-US"/>
        </w:rPr>
        <w:t>va</w:t>
      </w:r>
      <w:proofErr w:type="spellEnd"/>
      <w:r>
        <w:t>" (Центр консультирования по вопросам гражданства, гражданских прав и прав человека), занимающаяся защитой прав человека, проверяла размещаемые объявления о наличии рабочих мест на предмет выяснения того, носят ли они дискриминационный характер</w:t>
      </w:r>
      <w:r>
        <w:rPr>
          <w:rStyle w:val="FootnoteReference"/>
        </w:rPr>
        <w:footnoteReference w:id="102"/>
      </w:r>
      <w:r>
        <w:t>.  Особый упор делался на то, с какой целью работодатели выдвигали те или иные требования для кандидатов на занятие предлагаемых должностей</w:t>
      </w:r>
      <w:r>
        <w:rPr>
          <w:rStyle w:val="FootnoteReference"/>
        </w:rPr>
        <w:footnoteReference w:id="103"/>
      </w:r>
      <w:r>
        <w:t>.  Основанием для дискриминации (пусть даже косвенной) и признаком нарушения принципа равного обращения со всеми лицами, независимо от их расового или этнического происхождения, может считаться требование об "отсутствии судимости".  В объявлениях, размещаемых бюро по трудоустройству, такое требование являлось весьма распространенным основанием для дискриминации (</w:t>
      </w:r>
      <w:proofErr w:type="spellStart"/>
      <w:r>
        <w:t>93%</w:t>
      </w:r>
      <w:proofErr w:type="spellEnd"/>
      <w:r>
        <w:t xml:space="preserve"> объявлений).  Это требование считалось дискриминационным только в тех случаях, когда оно не было напрямую связано (являлось явно неоправданным) с предлагаемой работой.  Оно особенно широко использовалось в предложениях о работе на должностях подсобных и неквалифицированных рабочих, на которые обычно претендуют представители рома.  По сравнению с объявлениями, размещаемыми через бюро по трудоустройству, в объявлениях, помещаемых в печатных изданиях, требование об отсутствии судимости встречалось не так часто (лишь в </w:t>
      </w:r>
      <w:proofErr w:type="spellStart"/>
      <w:r>
        <w:t>15%</w:t>
      </w:r>
      <w:proofErr w:type="spellEnd"/>
      <w:r>
        <w:t xml:space="preserve"> случаев).  </w:t>
      </w:r>
    </w:p>
    <w:p w:rsidR="00000000" w:rsidRDefault="00000000"/>
    <w:p w:rsidR="00000000" w:rsidRDefault="00000000">
      <w:pPr>
        <w:rPr>
          <w:u w:val="single"/>
        </w:rPr>
      </w:pPr>
      <w:r>
        <w:rPr>
          <w:u w:val="single"/>
        </w:rPr>
        <w:t>Контроль за дискриминацией в области доступа к занятости</w:t>
      </w:r>
    </w:p>
    <w:p w:rsidR="00000000" w:rsidRDefault="00000000">
      <w:pPr>
        <w:rPr>
          <w:u w:val="single"/>
        </w:rPr>
      </w:pPr>
    </w:p>
    <w:p w:rsidR="00000000" w:rsidRDefault="00000000">
      <w:r>
        <w:t>99.</w:t>
      </w:r>
      <w:r>
        <w:tab/>
        <w:t xml:space="preserve">Неправительственные некоммерческие организации посредством выборочных проверок также осуществляют контроль за дискриминацией в сфере трудоустройства (по аналогии с дискриминацией в отношении потребителей).  За отчетный период в результате таких выборочных проверок с целью защиты прав личности было возбуждено три иска, в которых истец (по происхождению рома) добивался морального удовлетворения и выплаты финансовой компенсации за нематериальный ущерб.  В одном случае, когда женщина из числа рома, искавшая работу, подала заявление о приеме на работу в рабочую столовую, куда она была рекомендована бюро по трудоустройству, сотрудник отдела кадров обосновал отказ в ее приеме на работу тем, что она является рома по происхождению, а также письменно указал это на бланке рекомендации, поступившей из бюро по трудоустройству.  Кроме того, в областной печати была опубликована информация, которая могла нанести ущерб человеческому достоинству кандидата.  До проведения первого судебного слушания обвинявшийся владелец рабочей столовой урегулировал вопрос внесудебными средствами и выплатил потерпевшей 200 000 чешских крон в порядке возмещения нематериального ущерба.  В двух других случаях расовой дискриминации, касавшейся трудоустройства, решения были приняты в пользу истцов.  </w:t>
      </w:r>
    </w:p>
    <w:p w:rsidR="00000000" w:rsidRDefault="00000000"/>
    <w:p w:rsidR="00000000" w:rsidRDefault="00000000">
      <w:pPr>
        <w:jc w:val="center"/>
        <w:rPr>
          <w:b/>
          <w:bCs/>
        </w:rPr>
      </w:pPr>
      <w:r>
        <w:rPr>
          <w:b/>
          <w:bCs/>
        </w:rPr>
        <w:t>Право создавать профессиональные союзы и вступать в них</w:t>
      </w:r>
    </w:p>
    <w:p w:rsidR="00000000" w:rsidRDefault="00000000">
      <w:pPr>
        <w:jc w:val="center"/>
        <w:rPr>
          <w:b/>
          <w:bCs/>
        </w:rPr>
      </w:pPr>
    </w:p>
    <w:p w:rsidR="00000000" w:rsidRDefault="00000000">
      <w:r>
        <w:t>100.</w:t>
      </w:r>
      <w:r>
        <w:tab/>
        <w:t xml:space="preserve">За отчетный период не произошло никаких изменений, затрагивающих право на защиту от расовой дискриминации в этой области.  </w:t>
      </w:r>
    </w:p>
    <w:p w:rsidR="00000000" w:rsidRDefault="00000000">
      <w:pPr>
        <w:jc w:val="center"/>
        <w:rPr>
          <w:b/>
          <w:bCs/>
          <w:lang w:val="en-US"/>
        </w:rPr>
      </w:pPr>
    </w:p>
    <w:p w:rsidR="00000000" w:rsidRDefault="00000000">
      <w:pPr>
        <w:jc w:val="center"/>
        <w:rPr>
          <w:b/>
          <w:bCs/>
        </w:rPr>
      </w:pPr>
      <w:r>
        <w:rPr>
          <w:b/>
          <w:bCs/>
        </w:rPr>
        <w:t>Право на жилище</w:t>
      </w:r>
    </w:p>
    <w:p w:rsidR="00000000" w:rsidRDefault="00000000">
      <w:pPr>
        <w:jc w:val="center"/>
        <w:rPr>
          <w:b/>
          <w:bCs/>
        </w:rPr>
      </w:pPr>
    </w:p>
    <w:p w:rsidR="00000000" w:rsidRDefault="00000000">
      <w:pPr>
        <w:rPr>
          <w:lang w:val="en-US"/>
        </w:rPr>
      </w:pPr>
      <w:r>
        <w:t>101.</w:t>
      </w:r>
      <w:r>
        <w:tab/>
        <w:t xml:space="preserve">За отчетный период не произошло никаких изменений в области законодательства, касающегося защиты от дискриминации в жилищной сфере.  Нормативно-правовые акты, имеющие отношение к жилью, пока еще не содержат никаких </w:t>
      </w:r>
      <w:proofErr w:type="spellStart"/>
      <w:r>
        <w:t>антидискриминационных</w:t>
      </w:r>
      <w:proofErr w:type="spellEnd"/>
      <w:r>
        <w:t xml:space="preserve"> положений, включая положения декларативного характера.  Принцип запрещения дискриминации также не предусматривается в правилах, регулирующих аренду, приватизацию или продажу муниципальных квартир</w:t>
      </w:r>
      <w:r>
        <w:rPr>
          <w:rStyle w:val="FootnoteReference"/>
        </w:rPr>
        <w:footnoteReference w:id="104"/>
      </w:r>
      <w:r>
        <w:t xml:space="preserve">.  </w:t>
      </w:r>
    </w:p>
    <w:p w:rsidR="00000000" w:rsidRDefault="00000000">
      <w:pPr>
        <w:rPr>
          <w:lang w:val="en-US"/>
        </w:rPr>
      </w:pPr>
    </w:p>
    <w:p w:rsidR="00000000" w:rsidRDefault="00000000">
      <w:r>
        <w:t>102.</w:t>
      </w:r>
      <w:r>
        <w:tab/>
        <w:t>Поскольку в чешском законодательстве в настоящее время отсутствует определение права на жилище, мы можем со ссылкой на международные обязательства нашего государства</w:t>
      </w:r>
      <w:r>
        <w:rPr>
          <w:rStyle w:val="FootnoteReference"/>
        </w:rPr>
        <w:footnoteReference w:id="105"/>
      </w:r>
      <w:r>
        <w:t xml:space="preserve"> говорить лишь о праве на достаточное жилище.  Одна из сохраняющихся проблем в </w:t>
      </w:r>
      <w:proofErr w:type="spellStart"/>
      <w:r>
        <w:t>ЧР</w:t>
      </w:r>
      <w:proofErr w:type="spellEnd"/>
      <w:r>
        <w:t xml:space="preserve"> сводится к коллизии между этим правом и правами собственности.  Характерным примером такой коллизии служит положение, когда социально уязвимое лицо (зачастую по происхождению рома) на основании договора аренды, оговоренного в устном порядке, или же вообще без всякого договора в течение нескольких лет живет в какой-либо квартире в неудовлетворительных условиях и вообще ничего не платит или же платит минимальную сумму за пользование такой квартирой.  Владелец этой квартиры часто возбуждает судебный иск с целью ее освобождения без предложения взамен другой квартиры, заявляя, что использование подлежащей освобождению квартиры не подкреплялось никакой юридической базой, и суд первой инстанции во многих случаях удовлетворяет требование владельца из-за низкой юридической грамотности квартиросъемщиков.  Однако Конституционный суд и Верховный суд в рамках своей постоянной юрисдикции, как правило, разрешают этот конфликт в пользу права на достаточное жилище, аргументируя это тем, что иное решение вопроса будет противоречить нормам нравственности, предусмотренным Гражданским кодексом.</w:t>
      </w:r>
    </w:p>
    <w:p w:rsidR="00000000" w:rsidRDefault="00000000"/>
    <w:p w:rsidR="00000000" w:rsidRDefault="00000000">
      <w:r>
        <w:t>103.</w:t>
      </w:r>
      <w:r>
        <w:tab/>
        <w:t>В </w:t>
      </w:r>
      <w:proofErr w:type="spellStart"/>
      <w:r>
        <w:t>ЧР</w:t>
      </w:r>
      <w:proofErr w:type="spellEnd"/>
      <w:r>
        <w:t xml:space="preserve"> доля населения, проживающего в съемных квартирах, составляет </w:t>
      </w:r>
      <w:proofErr w:type="spellStart"/>
      <w:r>
        <w:t>46%</w:t>
      </w:r>
      <w:proofErr w:type="spellEnd"/>
      <w:r>
        <w:t xml:space="preserve">.  Эти квартиры находятся в собственности муниципалитетов или частных лиц.  </w:t>
      </w:r>
      <w:proofErr w:type="spellStart"/>
      <w:r>
        <w:t>47%</w:t>
      </w:r>
      <w:proofErr w:type="spellEnd"/>
      <w:r>
        <w:t xml:space="preserve"> жилищного фонда составляют дома или квартиры, занимаемые их владельцами, </w:t>
      </w:r>
      <w:proofErr w:type="spellStart"/>
      <w:r>
        <w:t>17%</w:t>
      </w:r>
      <w:proofErr w:type="spellEnd"/>
      <w:r>
        <w:t xml:space="preserve"> приходится на кооперативные квартиры, </w:t>
      </w:r>
      <w:proofErr w:type="spellStart"/>
      <w:r>
        <w:t>29%</w:t>
      </w:r>
      <w:proofErr w:type="spellEnd"/>
      <w:r>
        <w:t xml:space="preserve"> квартир сдаются в аренду;  из этого числа </w:t>
      </w:r>
      <w:proofErr w:type="spellStart"/>
      <w:r>
        <w:t>17%</w:t>
      </w:r>
      <w:proofErr w:type="spellEnd"/>
      <w:r>
        <w:t xml:space="preserve"> квартир представляют собой муниципальное жилье, которое во многих случаях приватизируется.  В соответствии с Законом о муниципалитетах порядок использования квартир, находящихся в муниципальной собственности, определяется исключительно по усмотрению муниципальных властей, что позволяет им самостоятельно устанавливать </w:t>
      </w:r>
    </w:p>
    <w:p w:rsidR="00000000" w:rsidRDefault="00000000">
      <w:r>
        <w:br w:type="page"/>
        <w:t>правила управления соответствующим жилым фондом, в частности в том, что касается доступа к этому жилью.  Деятельность муниципалитетов зачастую обнаруживает расхождение между характером прав и обязательств в этой области, т.е. права на установление в одностороннем порядке норм, регулирующих порядок использования указанных квартир, на практике не соответствует четкому обязательству в отношении соблюдения принципа равного обращения.  Так, заявления на получение муниципальных квартир рассматриваются по оценочной системе, в соответствии с которой предпочтение отдается людям с гарантированными доходами по сравнению, например, с теми, кто в прошлом проживал в одной квартире с лицом, ничего за нее не платившим, включая несовершеннолетнего на тот момент иждивенца</w:t>
      </w:r>
      <w:r>
        <w:rPr>
          <w:rStyle w:val="FootnoteReference"/>
        </w:rPr>
        <w:footnoteReference w:id="106"/>
      </w:r>
      <w:r>
        <w:t>.  Хотя установление правил, регулирующих порядок заключения договоров на аренду муниципальных квартир, входит в компетенцию муниципалитета, такие правила не должны содержать условия, которым нередко присущи скрытые признаки дискриминации.</w:t>
      </w:r>
    </w:p>
    <w:p w:rsidR="00000000" w:rsidRDefault="00000000"/>
    <w:p w:rsidR="00000000" w:rsidRDefault="00000000">
      <w:r>
        <w:t>104.</w:t>
      </w:r>
      <w:r>
        <w:tab/>
        <w:t>Встречаются также случаи, когда заявление на получение муниципальной квартиры не только не рассматривается, а даже не принимается к рассмотрению, несмотря на то, что в соответствии с Законом о муниципалитетах (№ 128/2002 </w:t>
      </w:r>
      <w:r>
        <w:rPr>
          <w:lang w:val="en-US"/>
        </w:rPr>
        <w:t>Coll</w:t>
      </w:r>
      <w:r>
        <w:t>.) каждый человек имеет право на рассмотрение конкретного вопроса независимым органом.  Вместе с тем право на рассмотрение конкретного вопроса муниципальными властями может считаться неоспоримым.  Каждое заявление на получение муниципальной квартиры должно рассматриваться.  Хотя законодательство официально не предусматривает положения о "фиктивной" прописке, заявки на получение квартиры во многих случаях отклоняются на том основании, что постоянная прописка соответствующего заявителя в муниципалитете является фиктивной</w:t>
      </w:r>
      <w:r>
        <w:rPr>
          <w:rStyle w:val="FootnoteReference"/>
        </w:rPr>
        <w:footnoteReference w:id="107"/>
      </w:r>
      <w:r>
        <w:t>.</w:t>
      </w:r>
    </w:p>
    <w:p w:rsidR="00000000" w:rsidRDefault="00000000"/>
    <w:p w:rsidR="00000000" w:rsidRDefault="00000000">
      <w:r>
        <w:t>105.</w:t>
      </w:r>
      <w:r>
        <w:tab/>
        <w:t>Хотя описанная в данном случае практика муниципалитетов является гипотетической, в соответствии с Законом о муниципалитетах она вполне возможна.  Муниципалитеты подобным образом отстаивают свое право на независимое управление своим имуществом.  Поэтому ЧР необходимо создать эффективные механизмы для предупреждения принятия городскими и муниципальными властями социально непродуманных решений в контексте удовлетворения жилищных потребностей.</w:t>
      </w:r>
    </w:p>
    <w:p w:rsidR="00000000" w:rsidRDefault="00000000"/>
    <w:p w:rsidR="00000000" w:rsidRDefault="00000000">
      <w:r>
        <w:t>106.</w:t>
      </w:r>
      <w:r>
        <w:tab/>
        <w:t>1 января 2003 года вступили в силу поправки к Закону о муниципалитетах, предусматривавшие, в частности, исключение вопросов гражданского права из сферы надзора за осуществлением их независимых полномочий</w:t>
      </w:r>
      <w:r>
        <w:rPr>
          <w:rStyle w:val="FootnoteReference"/>
        </w:rPr>
        <w:footnoteReference w:id="108"/>
      </w:r>
      <w:r>
        <w:t>.  Это означает, что областные власти не могут осуществлять надзор за действиями муниципалитетов в сфере заключения договоров аренды, включая установление правил, регулирующих порядок принятия решений по поводу заключения договоров аренды муниципальных квартир.  Таким образом, деятельность областных властей или министерства внутренних дел по осуществлению надзора в областях, в которых муниципалитеты действуют согласно своим независимым полномочиям, по существу ограничивается простым установлением факта соответствия или несоответствия деятельности муниципалитета положениям этого закона или каких</w:t>
      </w:r>
      <w:r>
        <w:noBreakHyphen/>
        <w:t>либо других нормативных положений.  Вместе с тем осуществлявшаяся в последнее время областными властями и министерством внутренних дел деятельность по надзору принесла позитивные результаты в том смысле, что требование о необходимости прилагать к заявлению на получение муниципальной квартиры выписку из уголовного регистра, считается нарушением данного закона.</w:t>
      </w:r>
    </w:p>
    <w:p w:rsidR="00000000" w:rsidRDefault="00000000">
      <w:pPr>
        <w:rPr>
          <w:sz w:val="16"/>
        </w:rPr>
      </w:pPr>
    </w:p>
    <w:p w:rsidR="00000000" w:rsidRDefault="00000000">
      <w:r>
        <w:t>107.</w:t>
      </w:r>
      <w:r>
        <w:tab/>
        <w:t>Недостатки в плане обеспечения гарантированного осуществления права на достаточное жилище прослеживаются при приватизации муниципального жилья, занимаемого социально уязвимыми членами общества.  На практике это касается случаев, когда муниципалитет продает жилой фонд другой стороне, что приводит к изменению собственника.  Хотя в соответствии с Гражданским кодексом (№ 40/1964 </w:t>
      </w:r>
      <w:proofErr w:type="spellStart"/>
      <w:r>
        <w:rPr>
          <w:lang w:val="en-US"/>
        </w:rPr>
        <w:t>Coll</w:t>
      </w:r>
      <w:proofErr w:type="spellEnd"/>
      <w:r>
        <w:t xml:space="preserve">.) такое изменение никоим образом не может отражаться на действии договоров аренды, заключенных с первоначальным собственником (обычно на неопределенный срок), поскольку на нового владельца жилья переходят все права и обязанности предыдущего хозяина, часто происходит так, что новый собственник вынуждает квартиросъемщиков расторгнуть первоначальный договор аренды и подписать новый договор, на этот раз на определенный срок, не давая им возможности подробно изучить такой договор.  Квартиросъемщики зачастую сталкиваются с этим фактом, когда договор уже истекает, и домовладелец обращается к ним с требованием освободить квартиру.  Действия нового домовладельца направлены на то, чтобы как можно скорее выселить первоначальных квартиросъемщиков (выплачивающих регламентируемую квартплату) и сдать жилье внаем по рыночным ставкам, которые в несколько раз выше.  Квартиросъемщик, заключивший договор найма на определенный срок, в соответствии с Гражданским кодексом к тому же не имеет права на получение взамен другой квартиры.  </w:t>
      </w:r>
    </w:p>
    <w:p w:rsidR="00000000" w:rsidRDefault="00000000"/>
    <w:p w:rsidR="00000000" w:rsidRDefault="00000000">
      <w:r>
        <w:t>108.</w:t>
      </w:r>
      <w:r>
        <w:tab/>
        <w:t xml:space="preserve">В 2004 году министерство регионального развития санкционировало проведение исследования на тему "Правовые аспекты практики муниципалитетов в жилищной сфере".  В рамках этого исследования будет проведен правовой анализ независимых полномочий муниципалитетов применительно к решению жилищных вопросов, который должен послужить основой для определения надлежащих прав и обязательств муниципалитетов в связи с проведением жилищной политики в контексте принятия Закона о муниципалитетах.  По его линии должна быть также проведена оценка возможностей, открываемых законодательством в плане осуществления жилищной политики на местном уровне, в частности применительно к наиболее нуждающимся слоям общества - социально уязвимым и маргинализованным домашним хозяйствам, группам населения, которым угрожает опасность дискриминации.  </w:t>
      </w:r>
    </w:p>
    <w:p w:rsidR="00000000" w:rsidRDefault="00000000"/>
    <w:p w:rsidR="00000000" w:rsidRDefault="00000000">
      <w:r>
        <w:t>109.</w:t>
      </w:r>
      <w:r>
        <w:tab/>
        <w:t xml:space="preserve">Вопрос о ликвидации расовой дискриминации в жилищной сфере также касается арендных платежей.  Вплоть до настоящего времени нельзя было принять закон, который отвечал бы постановлениям Конституционного суда в отношении регулирования арендной платы.  Таким образом, в </w:t>
      </w:r>
      <w:proofErr w:type="spellStart"/>
      <w:r>
        <w:t>ЧР</w:t>
      </w:r>
      <w:proofErr w:type="spellEnd"/>
      <w:r>
        <w:t xml:space="preserve"> пока еще не существует нормативно-правового акта, охватывающего данный вопрос.  Ранее принятые министерством финансов указы и нормативы оплаты жилья, которые были направлены на решение этого вопроса, последовательно отменялись Конституционным судом.  Распоряжение правительства, запрещающее повышение квартплаты в первые три месяца аренды</w:t>
      </w:r>
      <w:r>
        <w:rPr>
          <w:rStyle w:val="FootnoteReference"/>
        </w:rPr>
        <w:footnoteReference w:id="109"/>
      </w:r>
      <w:r>
        <w:t>, было отменено Конституционным судом 19 марта 2003 года</w:t>
      </w:r>
      <w:r>
        <w:rPr>
          <w:rStyle w:val="FootnoteReference"/>
        </w:rPr>
        <w:footnoteReference w:id="110"/>
      </w:r>
      <w:r>
        <w:t xml:space="preserve">.  Как и прежде, арендная плата впоследствии регулировалась с помощью механизма, под который нельзя было подвести правовую базу.  Конституционный суд отметил, что это последнее распоряжение </w:t>
      </w:r>
    </w:p>
    <w:p w:rsidR="00000000" w:rsidRDefault="00000000">
      <w:r>
        <w:br w:type="page"/>
        <w:t>правительства также противоречит конституционному порядку и международным обязательствам ЧР</w:t>
      </w:r>
      <w:r>
        <w:rPr>
          <w:rStyle w:val="FootnoteReference"/>
        </w:rPr>
        <w:footnoteReference w:id="111"/>
      </w:r>
      <w:r>
        <w:t xml:space="preserve">.  </w:t>
      </w:r>
    </w:p>
    <w:p w:rsidR="00000000" w:rsidRDefault="00000000"/>
    <w:p w:rsidR="00000000" w:rsidRDefault="00000000">
      <w:r>
        <w:t>110.</w:t>
      </w:r>
      <w:r>
        <w:tab/>
        <w:t>В настоящее время в секторе арендуемого жилья готовится крупномасштабная реформа, которая будет предполагать постепенное сокращение государственного вмешательства в сфере прежде регулируемой арендной платы.  Реформа должна быть завершена к 2012 году</w:t>
      </w:r>
      <w:r>
        <w:rPr>
          <w:rStyle w:val="FootnoteReference"/>
        </w:rPr>
        <w:footnoteReference w:id="112"/>
      </w:r>
      <w:r>
        <w:t>.  В рамках более широкой программы социальной реформы также предполагается существенно изменить порядок предоставления жилищной поддержки гражданам с низкими доходами:  жилищные расходы не будут включаться в сумму общих пособий, предназначенных для обеспечения прожиточного уровня, а вместо этого социальная помощь на цели оплаты жилищных расходов будет состоять из двух компонентов:  жилищных льгот, предусмотренных проектом поправки к Закону о государственной социальной поддержке (117/1995/</w:t>
      </w:r>
      <w:proofErr w:type="spellStart"/>
      <w:r>
        <w:rPr>
          <w:lang w:val="en-US"/>
        </w:rPr>
        <w:t>Coll</w:t>
      </w:r>
      <w:proofErr w:type="spellEnd"/>
      <w:r>
        <w:t>.)</w:t>
      </w:r>
      <w:r>
        <w:rPr>
          <w:rStyle w:val="FootnoteReference"/>
        </w:rPr>
        <w:footnoteReference w:id="113"/>
      </w:r>
      <w:r>
        <w:t>, и дополнительных жилищных дотаций, выплачиваемых в соответствии с подготовленным правительством проектом закона об оказании помощи материально нуждающимся лицам</w:t>
      </w:r>
      <w:r>
        <w:rPr>
          <w:rStyle w:val="FootnoteReference"/>
        </w:rPr>
        <w:footnoteReference w:id="114"/>
      </w:r>
      <w:r>
        <w:t>.  Проекты соответствующего закона об оказании помощи материально нуждающимся лицам были представлены в палату депутатов парламента в июле 2005 года.</w:t>
      </w:r>
    </w:p>
    <w:p w:rsidR="00000000" w:rsidRDefault="00000000"/>
    <w:p w:rsidR="00000000" w:rsidRDefault="00000000">
      <w:r>
        <w:rPr>
          <w:u w:val="single"/>
        </w:rPr>
        <w:br w:type="page"/>
      </w:r>
      <w:proofErr w:type="spellStart"/>
      <w:r>
        <w:rPr>
          <w:u w:val="single"/>
        </w:rPr>
        <w:t>Незаконодательные</w:t>
      </w:r>
      <w:proofErr w:type="spellEnd"/>
      <w:r>
        <w:rPr>
          <w:u w:val="single"/>
        </w:rPr>
        <w:t xml:space="preserve"> меры жилищной поддержки</w:t>
      </w:r>
    </w:p>
    <w:p w:rsidR="00000000" w:rsidRDefault="00000000"/>
    <w:p w:rsidR="00000000" w:rsidRDefault="00000000">
      <w:r>
        <w:t>111.</w:t>
      </w:r>
      <w:r>
        <w:tab/>
        <w:t>В 2004 году продолжилось осуществление двух программ жилищной поддержки, ориентированных на домашние хозяйства, которые не могут принять финансовое участие в приобретении квартиры или которые находятся в неблагоприятном положении по состоянию здоровья или иным причинам.  Это - Программа содействия строительству съемного жилья и технической инфраструктуры на 2004 год и Программа строительства субсидируемых квартир.  Цель первой программы сводится к строительству муниципальных квартир для сдачи внаем домашним хозяйствам с низкими доходами, которые вряд ли смогут принять финансовое участие в приобретении жилья.  Эта программа конкретно ориентирована на социально уязвимые семьи.  В соответствии с этими же условиями дотации на цели строительства съемных квартир для малоимущих семей выделяются из Государственного фонда развития жилищного строительства</w:t>
      </w:r>
      <w:r>
        <w:rPr>
          <w:rStyle w:val="FootnoteReference"/>
        </w:rPr>
        <w:footnoteReference w:id="115"/>
      </w:r>
      <w:r>
        <w:t>.</w:t>
      </w:r>
    </w:p>
    <w:p w:rsidR="00000000" w:rsidRDefault="00000000"/>
    <w:p w:rsidR="00000000" w:rsidRDefault="00000000">
      <w:r>
        <w:t>112.</w:t>
      </w:r>
      <w:r>
        <w:tab/>
        <w:t>Цель Программы строительства субсидируемых квартир сводится к строительству квартир, принадлежащих муниципалитетам или добровольным ассоциациям, созданным при муниципалитетах, и предназначенных для сдачи внаем гражданам, находящимся в неблагоприятном положении с той точки зрения доступа к жилью не только по причине их дохода, но и по другим причинам (включая, например, состояние здоровья, возраст, неблагоприятные социальные условия или другие жизненные обстоятельства и т.д.) и которым, таким образом, угрожает бо</w:t>
      </w:r>
      <w:r>
        <w:rPr>
          <w:rFonts w:ascii="Tahoma" w:hAnsi="Tahoma" w:cs="Tahoma"/>
        </w:rPr>
        <w:t></w:t>
      </w:r>
      <w:r>
        <w:t>льшая опасность социального отчуждения.  В частности, установленные в рамках Программы условия предусматривают необходимость того, чтобы муниципалитеты как получатели дотаций предоставляли, в дополнение к самому жилью, социальные услуги, содействующие интеграции лиц, которым угрожает социальное отчуждение</w:t>
      </w:r>
      <w:r>
        <w:rPr>
          <w:rStyle w:val="FootnoteReference"/>
        </w:rPr>
        <w:footnoteReference w:id="116"/>
      </w:r>
      <w:r>
        <w:t>.</w:t>
      </w:r>
    </w:p>
    <w:p w:rsidR="00000000" w:rsidRDefault="00000000"/>
    <w:p w:rsidR="00000000" w:rsidRDefault="00000000">
      <w:r>
        <w:br w:type="page"/>
        <w:t>113.</w:t>
      </w:r>
      <w:r>
        <w:tab/>
        <w:t>Министерство внутренних дел осуществляет специальную программу жилищной поддержки просителей убежища.  В период 2002-2005 годов министерство внутренних дел выделило средства на сумму свыше 27 млн. чешских крон для обеспечения жильем просителей убежища.</w:t>
      </w:r>
    </w:p>
    <w:p w:rsidR="00000000" w:rsidRDefault="00000000"/>
    <w:p w:rsidR="00000000" w:rsidRDefault="00000000">
      <w:pPr>
        <w:rPr>
          <w:u w:val="single"/>
        </w:rPr>
      </w:pPr>
      <w:r>
        <w:rPr>
          <w:u w:val="single"/>
        </w:rPr>
        <w:t>Особенности мест компактного проживания рома</w:t>
      </w:r>
    </w:p>
    <w:p w:rsidR="00000000" w:rsidRDefault="00000000">
      <w:pPr>
        <w:rPr>
          <w:u w:val="single"/>
        </w:rPr>
      </w:pPr>
    </w:p>
    <w:p w:rsidR="00000000" w:rsidRDefault="00000000">
      <w:r>
        <w:t>114.</w:t>
      </w:r>
      <w:r>
        <w:tab/>
        <w:t xml:space="preserve">Во многих районах </w:t>
      </w:r>
      <w:proofErr w:type="spellStart"/>
      <w:r>
        <w:t>ЧР</w:t>
      </w:r>
      <w:proofErr w:type="spellEnd"/>
      <w:r>
        <w:t xml:space="preserve"> существуют места компактного проживания рома, которые на протяжении многих десятилетий возникали вследствие постепенного сосредоточения там населения рома.  Социальные проблемы, с которыми сталкивается значительное большинство жителей этих поселений (долги, безработица), отражаются на человеческих отношениях и практике сосуществования рома с другими общинами.  Из-за того, что муниципалитеты и советы городских округов не располагают социальным жильем, которым можно обеспечить семьи на случай кризиса, подобные ситуации заканчиваются принятием судебных решений об отобрании детей у родителей.  Представители этих общин, как правило, имеют ограниченный доступ к институциональной поддержке.  Семьи рома в этих общинах получают небольшие доходы, а взрослое население является длительно безработным и зависит от государственной социальной помощи и социальной опеки.  Дети из этих общин посещают специальные школы или классы со специальными учебными программами.  В ЧР данная тенденция (переселение рома в специальные жилые кварталы - гетто) стала долгосрочной реальностью.</w:t>
      </w:r>
    </w:p>
    <w:p w:rsidR="00000000" w:rsidRDefault="00000000"/>
    <w:p w:rsidR="00000000" w:rsidRDefault="00000000">
      <w:r>
        <w:t>115.</w:t>
      </w:r>
      <w:r>
        <w:tab/>
        <w:t>Одним из примеров надлежащей практики на местном уровне является "Проект решения проблемы сосредоточения населения, принадлежащего к этнической группе рома, в поселениях в области Моравия-Силезия", который содержит конкретные предложения с целью урегулирования сложившейся ситуации.  Программа оказания жилищной поддержки включает в себя программу "Жилье без задолженности" (городской совет отсрочивает выплату накопившейся задолженности по квартплате, если арендатор признает за собой эту задолженность, готов погашать ее в установленные сроки, начинает должным образом платить квартплату и отрабатывает определенное количество часов), программу "Субсидируемое жилье" (направленную на оказание содействия жителям мест компактного проживания рома, которые хотели бы жить в другом месте и в других условиях) и программу "Кризисное жилье" (предусматривающую строительство социального жилья для жителей мест компактного проживания рома, которые по тем или иным причинам не могут или не хотят жить в других условиях).</w:t>
      </w:r>
    </w:p>
    <w:p w:rsidR="00000000" w:rsidRDefault="00000000"/>
    <w:p w:rsidR="00000000" w:rsidRDefault="00000000">
      <w:pPr>
        <w:keepNext/>
        <w:rPr>
          <w:u w:val="single"/>
        </w:rPr>
      </w:pPr>
      <w:r>
        <w:rPr>
          <w:u w:val="single"/>
        </w:rPr>
        <w:t>Комментарии в связи с Заключительной рекомендацией № 13</w:t>
      </w:r>
    </w:p>
    <w:p w:rsidR="00000000" w:rsidRDefault="00000000">
      <w:pPr>
        <w:keepNext/>
        <w:rPr>
          <w:u w:val="single"/>
        </w:rPr>
      </w:pPr>
    </w:p>
    <w:p w:rsidR="00000000" w:rsidRDefault="00000000">
      <w:r>
        <w:t>116.</w:t>
      </w:r>
      <w:r>
        <w:tab/>
        <w:t>В настоящее время идет подготовительная работа для пересмотра Гражданского кодекса, в частности в целях изменения неприемлемого регулирования норм гражданского права, касающихся отношений аренды.  До принятия нового Гражданского кодекса положение может быть улучшено благодаря разработанному правительством проекту внесения изменений в Гражданский кодекс</w:t>
      </w:r>
      <w:r>
        <w:rPr>
          <w:rStyle w:val="FootnoteReference"/>
        </w:rPr>
        <w:footnoteReference w:id="117"/>
      </w:r>
      <w:r>
        <w:t>, которые касаются главным образом порядка заключения договоров об аренде квартиры, прекращения владения на правах аренды и смежных вопросов.  Предлагаемые изменения дают более широкие возможности в плане обеспечения жильем, даже в тех случаях, когда владение на правах аренды прекращается из-за неуплаты арендной платы или сумм, причитающихся к оплате в порядке возмещения жилищно-коммунальных расходов, связанных с пользованием квартирой.</w:t>
      </w:r>
    </w:p>
    <w:p w:rsidR="00000000" w:rsidRDefault="00000000"/>
    <w:p w:rsidR="00000000" w:rsidRDefault="00000000">
      <w:r>
        <w:t>117.</w:t>
      </w:r>
      <w:r>
        <w:tab/>
        <w:t>В 2006 году министерство регионального развития подготовит составленное в простой форме пособие для людей, которые по каким-либо причинам оказались в трудной жилищной ситуации (материальные затруднения, новый договор найма, новый домовладелец).  Это пособие должно послужить удобным справочным руководством для предотвращения случаев потери жилья</w:t>
      </w:r>
      <w:r>
        <w:rPr>
          <w:rStyle w:val="FootnoteReference"/>
        </w:rPr>
        <w:footnoteReference w:id="118"/>
      </w:r>
      <w:r>
        <w:t>.</w:t>
      </w:r>
    </w:p>
    <w:p w:rsidR="00000000" w:rsidRDefault="00000000"/>
    <w:p w:rsidR="00000000" w:rsidRDefault="00000000">
      <w:r>
        <w:t>118.</w:t>
      </w:r>
      <w:r>
        <w:tab/>
        <w:t xml:space="preserve">В 2005 году министерство регионального развития подготовило изменения к Правительственному указу об освоении средств из Государственного фонда жилищного строительства на цели покрытия некоторых расходов, связанных со строительством квартир для малоимущих граждан (№ 146/2003 </w:t>
      </w:r>
      <w:proofErr w:type="spellStart"/>
      <w:r>
        <w:rPr>
          <w:lang w:val="en-US"/>
        </w:rPr>
        <w:t>Coll</w:t>
      </w:r>
      <w:proofErr w:type="spellEnd"/>
      <w:r>
        <w:t xml:space="preserve">.).  Предусмотренные изменения </w:t>
      </w:r>
    </w:p>
    <w:p w:rsidR="00000000" w:rsidRDefault="00000000">
      <w:r>
        <w:br w:type="page"/>
        <w:t>должны содействовать упорядочению условий осуществления программы министерства в области строительства съемных квартир, а также обеспечить более широкое предложение таких квартир для лиц, которым было предоставлено убежище.</w:t>
      </w:r>
    </w:p>
    <w:p w:rsidR="00000000" w:rsidRDefault="00000000"/>
    <w:p w:rsidR="00000000" w:rsidRDefault="00000000">
      <w:pPr>
        <w:rPr>
          <w:u w:val="single"/>
        </w:rPr>
      </w:pPr>
      <w:r>
        <w:rPr>
          <w:u w:val="single"/>
        </w:rPr>
        <w:t>Исследовательские проекты по проблематике рома</w:t>
      </w:r>
    </w:p>
    <w:p w:rsidR="00000000" w:rsidRDefault="00000000">
      <w:pPr>
        <w:rPr>
          <w:u w:val="single"/>
        </w:rPr>
      </w:pPr>
    </w:p>
    <w:p w:rsidR="00000000" w:rsidRDefault="00000000">
      <w:r>
        <w:t>119.</w:t>
      </w:r>
      <w:r>
        <w:tab/>
        <w:t>Исследования, посвященные рома, регулярно включаются в число важнейших исследовательских задач, которые ставит министерство труда и социальных дел.  За последние три года было осуществлено три исследовательских проекта с упором на социально-экономическое положение рома в ЧР.</w:t>
      </w:r>
    </w:p>
    <w:p w:rsidR="00000000" w:rsidRDefault="00000000"/>
    <w:p w:rsidR="00000000" w:rsidRDefault="00000000">
      <w:r>
        <w:t>120.</w:t>
      </w:r>
      <w:r>
        <w:tab/>
        <w:t>В 2003 году был завершен двухлетний исследовательский проект на тему "Анализ социально-экономического положения населения рома в ЧР", включавший в себя рекомендации в отношении принятия необходимых мер</w:t>
      </w:r>
      <w:r>
        <w:rPr>
          <w:rStyle w:val="FootnoteReference"/>
        </w:rPr>
        <w:footnoteReference w:id="119"/>
      </w:r>
      <w:r>
        <w:t>.  В ходе этого исследования были проанализированы демографические, социально-экономические, политические и другие аспекты жизни рома.  Особый упор был сделан на факторы вертикальной социальной мобильности, политику муниципалитетов в данной области и текущие вопросы социальной работы на уровне общин рома.  По итогам реализации проекта, в частности, были подготовлены выводы в отношении анализа проблемы рома через призму негативных факторов и т.д.  В заключительных замечаниях была отмечена необходимость пересмотра политики на данном направлении деятельности и выделения целевых финансовых ресурсов для оказания социальной поддержки в этой области, а также обращено внимание на проблемный характер нынешней практики в деле поддержки конкретных проектов и на необходимость проведения исследований в этой сфере.</w:t>
      </w:r>
    </w:p>
    <w:p w:rsidR="00000000" w:rsidRDefault="00000000"/>
    <w:p w:rsidR="00000000" w:rsidRDefault="00000000">
      <w:r>
        <w:t>121.</w:t>
      </w:r>
      <w:r>
        <w:tab/>
        <w:t>В 2003 году в результате проведенной исследовательской работы был опубликован доклад под названием "Оценка программ, направленных на снижение риска социального отчуждения общины рома"</w:t>
      </w:r>
      <w:r>
        <w:rPr>
          <w:rStyle w:val="FootnoteReference"/>
        </w:rPr>
        <w:footnoteReference w:id="120"/>
      </w:r>
      <w:r>
        <w:t>.  Часть этого исследования была посвящена анализу государственной политики интеграции общины рома, общему определению масштабов социального отчуждения, а также характерных форм социального отчуждения общины рома в ЧР и разработке типовой методики осуществления проектов.</w:t>
      </w:r>
    </w:p>
    <w:p w:rsidR="00000000" w:rsidRDefault="00000000"/>
    <w:p w:rsidR="00000000" w:rsidRDefault="00000000">
      <w:r>
        <w:t>122.</w:t>
      </w:r>
      <w:r>
        <w:tab/>
        <w:t>В 2004 году был завершен проект долгосрочных стационарных исследований на местах, посвященных проблематике социально отчужденных общин рома</w:t>
      </w:r>
      <w:r>
        <w:rPr>
          <w:rStyle w:val="FootnoteReference"/>
        </w:rPr>
        <w:footnoteReference w:id="121"/>
      </w:r>
      <w:r>
        <w:t>.  Цель указанного проекта, который осуществлялся в течение полутора лет, заключалась в том, чтобы с учетом текущих антропологических и социологических концептуальных тенденций разработать и в семи отдельных районах и апробировать экспериментальный вариант аналитической модели, позволяющей провести оценку условий существования в социально отчужденных общинах в ЧР с точки зрения жизненных стратегий, которыми руководствуются люди в обстановке социального отчуждения, внешних факторов, играющих определенную роль в формировании и сохранении социально отчужденных общин, социально-культурных процессов, а также возможностей преодоления нынешней тенденции к дезинтеграции, и содействовать достижению социального единства.</w:t>
      </w:r>
    </w:p>
    <w:p w:rsidR="00000000" w:rsidRDefault="00000000">
      <w:pPr>
        <w:rPr>
          <w:sz w:val="16"/>
        </w:rPr>
      </w:pPr>
    </w:p>
    <w:p w:rsidR="00000000" w:rsidRDefault="00000000">
      <w:r>
        <w:t>123.</w:t>
      </w:r>
      <w:r>
        <w:tab/>
        <w:t>В сотрудничестве с управлением Правительственного совета по делам общины рома министерство труда и социальных дел подготовило проект анализа положения социально отчужденных общин рома и абсорбционного потенциала механизмов, задействованных в данной области.  Его основная цель сводится к сбору соответствующей обновленной информации, позволяющей определить надлежащие средства для разрешения данной проблемы с использованием ресурсов европейских структурных фондов в 2007</w:t>
      </w:r>
      <w:r>
        <w:noBreakHyphen/>
        <w:t>2013 годах, а также правильно установить направления деятельности, требующих поддержки.</w:t>
      </w:r>
    </w:p>
    <w:p w:rsidR="00000000" w:rsidRDefault="00000000">
      <w:pPr>
        <w:rPr>
          <w:sz w:val="16"/>
        </w:rPr>
      </w:pPr>
    </w:p>
    <w:p w:rsidR="00000000" w:rsidRDefault="00000000">
      <w:r>
        <w:t>124.</w:t>
      </w:r>
      <w:r>
        <w:tab/>
        <w:t>Министерство труда и социальных дел также готовит проект, цель которого сводится к созданию эффективной системы социальной работы на местах в социально отчужденных общинах рома.  Он предполагает развитие социальной работы на местах и оказание содействия государственным служащим, занимающимся предоставлением таких социальных услуг.  Имеется в виду главным образом организация специального обучения социальных работников на местах и контроль за их деятельностью, включая определение прав и обязанностей этих работников и их вышестоящих начальников при осуществлении намеченной программы, а также определение полномочий и уровня взаимодействия с лицами, отвечающими за координацию деятельности в вопросах интеграции рома и принятие мер в интересах общины рома</w:t>
      </w:r>
      <w:r>
        <w:rPr>
          <w:rStyle w:val="FootnoteReference"/>
        </w:rPr>
        <w:footnoteReference w:id="122"/>
      </w:r>
      <w:r>
        <w:t xml:space="preserve">. </w:t>
      </w:r>
    </w:p>
    <w:p w:rsidR="00000000" w:rsidRDefault="00000000">
      <w:pPr>
        <w:rPr>
          <w:u w:val="single"/>
        </w:rPr>
      </w:pPr>
      <w:r>
        <w:rPr>
          <w:u w:val="single"/>
        </w:rPr>
        <w:t>Мониторинг случаев дискриминации в области доступа к жилью</w:t>
      </w:r>
    </w:p>
    <w:p w:rsidR="00000000" w:rsidRDefault="00000000">
      <w:pPr>
        <w:rPr>
          <w:u w:val="single"/>
        </w:rPr>
      </w:pPr>
    </w:p>
    <w:p w:rsidR="00000000" w:rsidRDefault="00000000">
      <w:r>
        <w:t>125.</w:t>
      </w:r>
      <w:r>
        <w:tab/>
        <w:t>В 2003 году был зарегистрирован один случай дискриминации в жилищной сфере, в связи с которым был успешно возбужден соответствующий иск с целью защиты прав личности.  Женщине из числа рома отказали в возможности поселиться в гостинице, сославшись на отсутствие свободных номеров.  Другие клиенты (не являющиеся рома по происхождению), которые после ее ухода обратились в гостиницу с той же просьбой, без всяких проблем получили номер.  Результатом возбуждения этой женщиной иска в целях защиты прав личности стала выплата ей компенсации за нематериальный ущерб, поскольку она явилась жертвой обращения, которому не было приемлемых объяснений.  Суд признал это проявлением дискриминации и обязал компанию, виновную в дискриминации, принести истцу извинения и выплатить ей 10 000 чешских крон в порядке компенсации за нематериальный ущерб.</w:t>
      </w:r>
    </w:p>
    <w:p w:rsidR="00000000" w:rsidRDefault="00000000"/>
    <w:p w:rsidR="00000000" w:rsidRDefault="00000000">
      <w:pPr>
        <w:jc w:val="center"/>
        <w:rPr>
          <w:b/>
          <w:bCs/>
          <w:lang w:val="en-US"/>
        </w:rPr>
      </w:pPr>
      <w:r>
        <w:rPr>
          <w:b/>
          <w:bCs/>
        </w:rPr>
        <w:t>Право на здравоохранение, медицинскую помощь, социальное обеспечение</w:t>
      </w:r>
    </w:p>
    <w:p w:rsidR="00000000" w:rsidRDefault="00000000">
      <w:pPr>
        <w:jc w:val="center"/>
        <w:rPr>
          <w:b/>
          <w:bCs/>
        </w:rPr>
      </w:pPr>
      <w:r>
        <w:rPr>
          <w:b/>
          <w:bCs/>
        </w:rPr>
        <w:t>и социальное обслуживание</w:t>
      </w:r>
    </w:p>
    <w:p w:rsidR="00000000" w:rsidRDefault="00000000">
      <w:pPr>
        <w:jc w:val="center"/>
        <w:rPr>
          <w:b/>
          <w:bCs/>
        </w:rPr>
      </w:pPr>
    </w:p>
    <w:p w:rsidR="00000000" w:rsidRDefault="00000000">
      <w:pPr>
        <w:rPr>
          <w:u w:val="single"/>
        </w:rPr>
      </w:pPr>
      <w:r>
        <w:rPr>
          <w:u w:val="single"/>
        </w:rPr>
        <w:t>Предполагаемые случаи принудительной стерилизации женщин из числа рома</w:t>
      </w:r>
    </w:p>
    <w:p w:rsidR="00000000" w:rsidRDefault="00000000">
      <w:pPr>
        <w:rPr>
          <w:u w:val="single"/>
        </w:rPr>
      </w:pPr>
    </w:p>
    <w:p w:rsidR="00000000" w:rsidRDefault="00000000">
      <w:r>
        <w:t>126.</w:t>
      </w:r>
      <w:r>
        <w:tab/>
        <w:t>В 2004 году Европейский центр по правам рома</w:t>
      </w:r>
      <w:r>
        <w:rPr>
          <w:rStyle w:val="FootnoteReference"/>
        </w:rPr>
        <w:footnoteReference w:id="123"/>
      </w:r>
      <w:r>
        <w:t xml:space="preserve"> препроводил </w:t>
      </w:r>
      <w:proofErr w:type="spellStart"/>
      <w:r>
        <w:t>омбудсмену</w:t>
      </w:r>
      <w:proofErr w:type="spellEnd"/>
      <w:r>
        <w:t xml:space="preserve"> информацию о том, что в 90</w:t>
      </w:r>
      <w:r>
        <w:noBreakHyphen/>
        <w:t xml:space="preserve">е годы женщины из числа рома в </w:t>
      </w:r>
      <w:proofErr w:type="spellStart"/>
      <w:r>
        <w:t>ЧР</w:t>
      </w:r>
      <w:proofErr w:type="spellEnd"/>
      <w:r>
        <w:t xml:space="preserve"> предположительно подвергались принудительной стерилизации, приведя при этом десять конкретных примеров</w:t>
      </w:r>
      <w:r>
        <w:rPr>
          <w:rStyle w:val="FootnoteReference"/>
        </w:rPr>
        <w:footnoteReference w:id="124"/>
      </w:r>
      <w:r>
        <w:t xml:space="preserve">.  В сентябре 2004 года десять </w:t>
      </w:r>
      <w:proofErr w:type="spellStart"/>
      <w:r>
        <w:t>женщин-рома</w:t>
      </w:r>
      <w:proofErr w:type="spellEnd"/>
      <w:r>
        <w:t xml:space="preserve">, действуя через неправительственную некоммерческую организацию, подали </w:t>
      </w:r>
      <w:proofErr w:type="spellStart"/>
      <w:r>
        <w:t>омбудсмену</w:t>
      </w:r>
      <w:proofErr w:type="spellEnd"/>
      <w:r>
        <w:t xml:space="preserve"> жалобу с требованием провести расследование деятельности некоторых медицинских учреждений, в которых в 90</w:t>
      </w:r>
      <w:r>
        <w:noBreakHyphen/>
        <w:t>е годы женщины подвергались стерилизации.  Они утверждали, что эти операции проводились без их ведома, т.е. без их обоснованного согласия, или что это согласие было дано в условиях, когда они не могли в полной мере осознать его последствия.  В 2005 году численность таких лиц возросла до 78 человек</w:t>
      </w:r>
      <w:r>
        <w:rPr>
          <w:rStyle w:val="FootnoteReference"/>
        </w:rPr>
        <w:footnoteReference w:id="125"/>
      </w:r>
      <w:r>
        <w:t>.  Большинство случаев касаются представителей общины рома, и в жалобах указывается тот факт, что стерилизация представляет собой попытку регулирования рождаемости, обусловленную расистскими предрассудками.</w:t>
      </w:r>
    </w:p>
    <w:p w:rsidR="00000000" w:rsidRDefault="00000000">
      <w:r>
        <w:t>127.</w:t>
      </w:r>
      <w:r>
        <w:tab/>
      </w:r>
      <w:proofErr w:type="spellStart"/>
      <w:r>
        <w:t>Омбудсмен</w:t>
      </w:r>
      <w:proofErr w:type="spellEnd"/>
      <w:r>
        <w:t xml:space="preserve"> препроводил эти жалобы в министерство здравоохранения;  он будет следить за ходом их рассмотрения, а также проведет оценку принятых министерством решений после завершения разбирательства.  По просьбе омбудсмена министерство здравоохранения учредило консультативный орган, цель которого заключается в проведении подробного анализа представленной медицинской документации и в подготовке заключения в отношении медицинских аспектов операций по стерилизации, а также в рассмотрении вопроса о том, проводились ли эти операции с соблюдением чешского законодательства</w:t>
      </w:r>
      <w:r>
        <w:rPr>
          <w:rStyle w:val="FootnoteReference"/>
        </w:rPr>
        <w:footnoteReference w:id="126"/>
      </w:r>
      <w:r>
        <w:t xml:space="preserve">.  Консультативный орган проводит регулярные заседания для обсуждения случаев, доведенных до его сведения омбудсменом, и высказывает конструктивные замечания по данной проблеме, которые в свою очередь представляются вниманию омбудсмена.  </w:t>
      </w:r>
    </w:p>
    <w:p w:rsidR="00000000" w:rsidRDefault="00000000"/>
    <w:p w:rsidR="00000000" w:rsidRDefault="00000000">
      <w:r>
        <w:t>128.</w:t>
      </w:r>
      <w:r>
        <w:tab/>
        <w:t>С момента своего создания консультативный орган провел шесть заседаний.  Первое заседание проходило 20 декабря 2004 года.  Вплоть до настоящего времени консультативный орган рассмотрел 77 случаев принудительной стерилизации.  По каждому случаю собирается необходимая документация</w:t>
      </w:r>
      <w:r>
        <w:rPr>
          <w:rStyle w:val="FootnoteReference"/>
        </w:rPr>
        <w:footnoteReference w:id="127"/>
      </w:r>
      <w:r>
        <w:t>, и независимый эксперт составляет экспертное заключение</w:t>
      </w:r>
      <w:r>
        <w:rPr>
          <w:rStyle w:val="FootnoteReference"/>
        </w:rPr>
        <w:footnoteReference w:id="128"/>
      </w:r>
      <w:r>
        <w:t xml:space="preserve">.  Консультативный орган готовит независимое экспертное заключение по каждому случаю зарегистрированной стерилизации, общую </w:t>
      </w:r>
    </w:p>
    <w:p w:rsidR="00000000" w:rsidRDefault="00000000">
      <w:pPr>
        <w:rPr>
          <w:lang w:val="en-US"/>
        </w:rPr>
      </w:pPr>
      <w:r>
        <w:br w:type="page"/>
        <w:t>рекомендацию для министерства здравоохранения и заявление для средств массовой информации и общественности.</w:t>
      </w:r>
    </w:p>
    <w:p w:rsidR="00000000" w:rsidRDefault="00000000">
      <w:pPr>
        <w:rPr>
          <w:lang w:val="en-US"/>
        </w:rPr>
      </w:pPr>
    </w:p>
    <w:p w:rsidR="00000000" w:rsidRDefault="00000000">
      <w:r>
        <w:t>129.</w:t>
      </w:r>
      <w:r>
        <w:tab/>
        <w:t>Последнее заседание консультативного органа состоялось 29 июня 2005 года.  В сотрудничестве с экспертными организациями консультативный орган готовит предложение по пересмотру действующих положений о медицинских показаниях для стерилизации, предложение об обновлении директивы в отношении стерилизации</w:t>
      </w:r>
      <w:r>
        <w:rPr>
          <w:rStyle w:val="FootnoteReference"/>
        </w:rPr>
        <w:footnoteReference w:id="129"/>
      </w:r>
      <w:r>
        <w:t xml:space="preserve">, включая более подробное определение медицинских показаний и методов проведения кесарева сечения, а также предложение о новой формулировке положений, касающихся обоснованного согласия на стерилизацию.  После завершения своей работы консультативный орган представит омбудсмену свои выводы.  Затем омбудсмен проведет оценку результатов соответствующей деятельности министерства здравоохранения.  На момент подготовки настоящего доклада консультативный орган еще не представил своих выводов, и поэтому </w:t>
      </w:r>
      <w:proofErr w:type="spellStart"/>
      <w:r>
        <w:t>омбудсмен</w:t>
      </w:r>
      <w:proofErr w:type="spellEnd"/>
      <w:r>
        <w:t xml:space="preserve"> не завершил рассмотрение данного вопроса.  </w:t>
      </w:r>
    </w:p>
    <w:p w:rsidR="00000000" w:rsidRDefault="00000000"/>
    <w:p w:rsidR="00000000" w:rsidRDefault="00000000">
      <w:r>
        <w:t>130.</w:t>
      </w:r>
      <w:r>
        <w:tab/>
        <w:t xml:space="preserve">В начале 2005 года 25 женщин образовали неофициальную организацию под названием "Ассоциация женщин, пострадавших от стерилизации".  В марте 2005 года одна из пострадавших женщин, представленная адвокатом из неправительственной организации, возбудила первый иск на предмет защиты прав личности.  </w:t>
      </w:r>
    </w:p>
    <w:p w:rsidR="00000000" w:rsidRDefault="00000000"/>
    <w:p w:rsidR="00000000" w:rsidRDefault="00000000">
      <w:r>
        <w:t>131.</w:t>
      </w:r>
      <w:r>
        <w:tab/>
        <w:t>В 2003 году министерство здравоохранения в рамках своей Национальной программы предоставления субсидий на цели здравоохранения финансировало проект под названием "Здоровый образ жизни в семьях рома"</w:t>
      </w:r>
      <w:r>
        <w:rPr>
          <w:rStyle w:val="FootnoteReference"/>
        </w:rPr>
        <w:footnoteReference w:id="130"/>
      </w:r>
      <w:r>
        <w:t>.  В 2004 году оно финансировало проекты "Организация занятий спортом и досуга в качестве профилактических мер по охране здоровья по линии Центра рома"</w:t>
      </w:r>
      <w:r>
        <w:rPr>
          <w:rStyle w:val="FootnoteReference"/>
        </w:rPr>
        <w:footnoteReference w:id="131"/>
      </w:r>
      <w:r>
        <w:t xml:space="preserve"> и "Обеспечение здорового питания беременных чешских женщин и женщин из числа рома".  С 2000 года осуществляется исследовательский проект "Влияние окружающей среды на здоровье и иммунитет населения", который также охватывает отдельные группы населения рома.  </w:t>
      </w:r>
    </w:p>
    <w:p w:rsidR="00000000" w:rsidRDefault="00000000"/>
    <w:p w:rsidR="00000000" w:rsidRDefault="00000000">
      <w:r>
        <w:t>132.</w:t>
      </w:r>
      <w:r>
        <w:tab/>
        <w:t xml:space="preserve">В результате сотрудничества между министерством здравоохранения и неправительственными организациями было подготовлено предложение о создании должности помощника по вопросам охраны здоровья рома, призванного заниматься главным образом первичными мерами профилактики, такими, как пропаганда здорового образа жизни, а также вторичными мерами профилактики, включая проведение регулярных медицинских осмотров терапевтами и вакцинация населения, в частности детей.  </w:t>
      </w:r>
    </w:p>
    <w:p w:rsidR="00000000" w:rsidRDefault="00000000"/>
    <w:p w:rsidR="00000000" w:rsidRDefault="00000000">
      <w:r>
        <w:rPr>
          <w:u w:val="single"/>
        </w:rPr>
        <w:t>Комментарии в связи с Заключительной рекомендацией № 12</w:t>
      </w:r>
      <w:r>
        <w:rPr>
          <w:rStyle w:val="FootnoteReference"/>
        </w:rPr>
        <w:footnoteReference w:id="132"/>
      </w:r>
    </w:p>
    <w:p w:rsidR="00000000" w:rsidRDefault="00000000"/>
    <w:p w:rsidR="00000000" w:rsidRDefault="00000000">
      <w:r>
        <w:t>133.</w:t>
      </w:r>
      <w:r>
        <w:tab/>
        <w:t>ЧР участвует в осуществлении Европейской стратегии социальной интеграции, цель которой сводится к решению проблемы нищеты и социального отчуждения.  В 2003 году в Брюсселе министр труда и социальных дел и Комиссар ЕС по вопросам занятости и социальных дел подписали совместный меморандум о социальной интеграции.  В этом документе проводится анализ социальной ситуации в ЧР, определяются основные проблемы и задачи будущей политики.  Меморандум заложил основу для разработки соответствующей двухлетней стратегии с изложением национальных приоритетных задач и целей - Национального плана действий в области социальной интеграции</w:t>
      </w:r>
      <w:r>
        <w:rPr>
          <w:rStyle w:val="FootnoteReference"/>
        </w:rPr>
        <w:footnoteReference w:id="133"/>
      </w:r>
      <w:r>
        <w:t xml:space="preserve">, который ЧР представила в июле 2004 года.  Национальный план действий в области социальной интеграции направлен на то, чтобы обеспечить уделение должного внимания проблемам нищеты и социального отчуждения и содействовать их разрешению.  В этом документе кратко излагаются важнейшие проблемы нищеты и социального отчуждения, стоящие перед </w:t>
      </w:r>
      <w:proofErr w:type="spellStart"/>
      <w:r>
        <w:t>ЧР</w:t>
      </w:r>
      <w:proofErr w:type="spellEnd"/>
      <w:r>
        <w:t xml:space="preserve">, и устанавливаются цели, задачи и меры, необходимые для их преодоления.  Особый упор делается на группы населения, находящиеся в неблагоприятном положении и, таким образом, также относящиеся к группам риска, например рома.  Национальный план действий в области социальной интеграции является одним из ключевых механизмов достижения социального единства.  </w:t>
      </w:r>
    </w:p>
    <w:p w:rsidR="00000000" w:rsidRDefault="00000000"/>
    <w:p w:rsidR="00000000" w:rsidRDefault="00000000">
      <w:r>
        <w:t>134.</w:t>
      </w:r>
      <w:r>
        <w:tab/>
        <w:t xml:space="preserve">Министерство труда и социальных дел является партнером в рамках международного проекта в поддержку активных мер в целях социальной интеграции общин рома (и меньшинств </w:t>
      </w:r>
      <w:proofErr w:type="spellStart"/>
      <w:r>
        <w:t>тревеллеров</w:t>
      </w:r>
      <w:proofErr w:type="spellEnd"/>
      <w:r>
        <w:t xml:space="preserve">), который осуществляется в контексте Международной программы обмена опытом ЕС (Борьба с социальным отчуждением:  </w:t>
      </w:r>
    </w:p>
    <w:p w:rsidR="00000000" w:rsidRDefault="00000000">
      <w:r>
        <w:br w:type="page"/>
        <w:t>2002-2006 годы)</w:t>
      </w:r>
      <w:r>
        <w:rPr>
          <w:rStyle w:val="FootnoteReference"/>
        </w:rPr>
        <w:footnoteReference w:id="134"/>
      </w:r>
      <w:r>
        <w:t xml:space="preserve"> в два этапа с ноября 2002 года по ноябрь 2005 года</w:t>
      </w:r>
      <w:r>
        <w:rPr>
          <w:rStyle w:val="FootnoteReference"/>
        </w:rPr>
        <w:footnoteReference w:id="135"/>
      </w:r>
      <w:r>
        <w:t xml:space="preserve">.  Проект направлен главным образом на поддержку сотрудничества между всеми заинтересованными сторонами в деле преодоления социального отчуждения меньшинства рома.  Основное внимание уделяется стимулированию и контролю за принятием мер в области социальной интеграции в интересах общин рома и расширению участия меньшинств рома в процессе принятия решений в сфере социальной интеграции.  </w:t>
      </w:r>
    </w:p>
    <w:p w:rsidR="00000000" w:rsidRDefault="00000000"/>
    <w:p w:rsidR="00000000" w:rsidRDefault="00000000">
      <w:pPr>
        <w:rPr>
          <w:vertAlign w:val="superscript"/>
        </w:rPr>
      </w:pPr>
      <w:r>
        <w:t>135.</w:t>
      </w:r>
      <w:r>
        <w:tab/>
        <w:t>Одной из наиболее эффективных программ, осуществленных в порядке содействия реализации проектов интеграции общины рома, является Программа поддержки социальных работников на местах, действующих в социально отчужденных общинах.  Цель этой программы (разработанной Государственным советом по делам общины рома) заключается в проведении анализа социального положения семей рома, которым угрожает опасность маргинализации или которые уже оказались в ситуации социального отчуждения под влиянием неблагоприятных социально-культурных факторов.  Используя надлежащие методы социальной работы, они будут содействовать устранению негативных аспектов, мешающих их интеграции в общество.  Задача социальных работников на местах заключается в предоставлении помощи и оказании консультативных услуг нуждающимся лицам с учетом их фактических потребностей, содействии разрешению конфликтов между общиной рома и остальным населением, сотрудничестве с другими государственными административными органами, учебными и медицинскими заведениями и в поддержке контактов с неправительственными организациями и другими учреждениями.</w:t>
      </w:r>
    </w:p>
    <w:p w:rsidR="00000000" w:rsidRDefault="00000000">
      <w:pPr>
        <w:rPr>
          <w:vertAlign w:val="superscript"/>
        </w:rPr>
      </w:pPr>
    </w:p>
    <w:p w:rsidR="00000000" w:rsidRDefault="00000000">
      <w:pPr>
        <w:jc w:val="center"/>
        <w:rPr>
          <w:b/>
          <w:bCs/>
        </w:rPr>
      </w:pPr>
      <w:r>
        <w:rPr>
          <w:b/>
          <w:bCs/>
        </w:rPr>
        <w:t>Право на образование и профессиональную подготовку</w:t>
      </w:r>
    </w:p>
    <w:p w:rsidR="00000000" w:rsidRDefault="00000000">
      <w:pPr>
        <w:jc w:val="center"/>
        <w:rPr>
          <w:b/>
          <w:bCs/>
        </w:rPr>
      </w:pPr>
    </w:p>
    <w:p w:rsidR="00000000" w:rsidRDefault="00000000">
      <w:r>
        <w:t>136.</w:t>
      </w:r>
      <w:r>
        <w:tab/>
        <w:t xml:space="preserve">В 2004 году был принят новый Закон об образовании (№ 561/2004 </w:t>
      </w:r>
      <w:r>
        <w:rPr>
          <w:lang w:val="en-US"/>
        </w:rPr>
        <w:t>Coll</w:t>
      </w:r>
      <w:r>
        <w:t xml:space="preserve">.), вступивший в силу 1 января 2005 года.  В его вступительной части отмечается, что каждый чешский гражданин имеет равный доступ к образованию без какой бы то ни было дискриминации по признакам расы, цвета кожи, пола, языка, вероисповедания или религии, национальной принадлежности, этнического или социального происхождения, имущественного и семейного положения, состояния здоровья или иного статуса;  при этом также устанавливается принцип учета образовательных потребностей личности.  Таким образом, равный доступ обусловливается наличием у конкретного лица чешского гражданства.  Лица, не являющиеся гражданами ЧР, имеют доступ к образованию на равных с чешскими гражданами условиях в том случае, если они являются гражданами другого государства - члена ЕС или если они могут доказать, что на законных основаниях постоянно проживают в ЧР.  Основные цели образования сводятся к пониманию и практическому применению принципов демократии и господства права, основных прав и свобод человека, чувства ответственности и социального единства, к воспитанию населения в духе гражданственности и государственности и в духе уважения этнической, национальной, культурной, языковой и религиозной самобытности каждого человека, к пониманию и практическому применению принципа равенства женщин и мужчин в обществе.  Закон об образовании содержит специальные положения, касающиеся образования представителей национальных меньшинств, преподавания религии и обучения учащихся с особыми потребностями и исключительно одаренных учащихся.  </w:t>
      </w:r>
    </w:p>
    <w:p w:rsidR="00000000" w:rsidRDefault="00000000"/>
    <w:p w:rsidR="00000000" w:rsidRDefault="00000000">
      <w:r>
        <w:t>137.</w:t>
      </w:r>
      <w:r>
        <w:tab/>
        <w:t>В муниципалитетах, где существуют комиссии по делам национальных меньшинств, Закон об образовании предусматривает обучение на языке национальных меньшинств в детских садах, начальных и средних школах.  Согласно положениям Закона об образовании в этих муниципалитетах может быть сформирован отдельный класс или школа для преподавания языка того или иного национального меньшинства, если определенный процент учащихся принадлежит к этому меньшинству.  Такой возможностью пользуется польское национальное меньшинство для изучения языка на уровне дошкольных учреждений, начальной и средней школы.  Школы, в которых преподается язык национального меньшинства, выдают двуязычные дипломы - на чешском языке и на языке национального меньшинства.</w:t>
      </w:r>
    </w:p>
    <w:p w:rsidR="00000000" w:rsidRDefault="00000000"/>
    <w:p w:rsidR="00000000" w:rsidRDefault="00000000">
      <w:r>
        <w:t>138.</w:t>
      </w:r>
      <w:r>
        <w:tab/>
        <w:t xml:space="preserve">За отчетный период Закон об университетах (№ 111/1998 </w:t>
      </w:r>
      <w:r>
        <w:rPr>
          <w:lang w:val="en-US"/>
        </w:rPr>
        <w:t>Coll</w:t>
      </w:r>
      <w:r>
        <w:t xml:space="preserve">.) остался без изменений с точки зрения недопущения расовой дискриминации.  </w:t>
      </w:r>
    </w:p>
    <w:p w:rsidR="00000000" w:rsidRDefault="00000000"/>
    <w:p w:rsidR="00000000" w:rsidRDefault="00000000">
      <w:pPr>
        <w:rPr>
          <w:u w:val="single"/>
        </w:rPr>
      </w:pPr>
      <w:r>
        <w:rPr>
          <w:u w:val="single"/>
        </w:rPr>
        <w:t>Специализированные школы</w:t>
      </w:r>
    </w:p>
    <w:p w:rsidR="00000000" w:rsidRDefault="00000000">
      <w:pPr>
        <w:rPr>
          <w:u w:val="single"/>
        </w:rPr>
      </w:pPr>
    </w:p>
    <w:p w:rsidR="00000000" w:rsidRDefault="00000000">
      <w:r>
        <w:t>139.</w:t>
      </w:r>
      <w:r>
        <w:tab/>
        <w:t>В предыдущем докладе была представлена подробная информация о положении в </w:t>
      </w:r>
      <w:proofErr w:type="spellStart"/>
      <w:r>
        <w:t>ЧР</w:t>
      </w:r>
      <w:proofErr w:type="spellEnd"/>
      <w:r>
        <w:t xml:space="preserve"> в последние годы в связи с зачислением большинства учащихся рома в специализированные школы.  Подход членов общины рома к образованию и обучению отличается от подхода, которого придерживается большинство населения.  Даже сегодня многие рома, в том числе живущие в маргинализированных общинах и сталкивающиеся с огромным количеством социальных и других проблем, мало заботятся об образовании и не поддерживают своих детей в их стремлении регулярно посещать школу.  Многие из родителей сегодняшних учащихся учились в специализированных школах</w:t>
      </w:r>
      <w:r>
        <w:rPr>
          <w:rStyle w:val="FootnoteReference"/>
        </w:rPr>
        <w:footnoteReference w:id="136"/>
      </w:r>
      <w:r>
        <w:t>.</w:t>
      </w:r>
    </w:p>
    <w:p w:rsidR="00000000" w:rsidRDefault="00000000"/>
    <w:p w:rsidR="00000000" w:rsidRDefault="00000000">
      <w:r>
        <w:t>140.</w:t>
      </w:r>
      <w:r>
        <w:tab/>
        <w:t>Новый Закон об образовании предусматривает систематическое оказание поддержки учащимся из числа рома.  Закон не проводит различия между общеобразовательными и специализированными школами (изначально созданные специализированные школы были переименованы в общеобразовательные школы), хотя в рамках системы базового образования он предполагает создание условий для обеспечения того, чтобы учащиеся получали образование и помощь, соответствующие их конкретным образовательным потребностям.  Учащиеся, находящиеся в социально неблагоприятном положении</w:t>
      </w:r>
      <w:r>
        <w:rPr>
          <w:rStyle w:val="FootnoteReference"/>
        </w:rPr>
        <w:footnoteReference w:id="137"/>
      </w:r>
      <w:r>
        <w:t xml:space="preserve">, имеют право на бесплатные учебники, а в школах, где образование является платным, эти выплаты могут быть отменены.  </w:t>
      </w:r>
    </w:p>
    <w:p w:rsidR="00000000" w:rsidRDefault="00000000"/>
    <w:p w:rsidR="00000000" w:rsidRDefault="00000000">
      <w:r>
        <w:t>141.</w:t>
      </w:r>
      <w:r>
        <w:tab/>
        <w:t>Главным условием повышения успеваемости учащихся является оценка посещаемости ими школы.  Попытки многих школ дать детям рома хорошее образование сводятся на нет, в частности в результате слабой посещаемости и частых прогулов.  На результатах учебы в школе также отражается тот факт, что большинство учащихся не могут обратиться к своим родителям с просьбой помочь им с выполнением домашнего задания, а также стесненные жилищно-бытовые условия, в которых они должны выполнять эти домашние задания.  В некоторых областях ЧР</w:t>
      </w:r>
      <w:r>
        <w:rPr>
          <w:rStyle w:val="FootnoteReference"/>
        </w:rPr>
        <w:footnoteReference w:id="138"/>
      </w:r>
      <w:r>
        <w:t xml:space="preserve">, особенно в районах преимущественного проживания представителей общин рома, численность учащихся, посещающих специализированные школы, заметно сокращается.  Это свидетельствует о том, что их родители не стремятся к зачислению своих детей в такие школы.  </w:t>
      </w:r>
    </w:p>
    <w:p w:rsidR="00000000" w:rsidRDefault="00000000"/>
    <w:p w:rsidR="00000000" w:rsidRDefault="00000000">
      <w:pPr>
        <w:keepNext/>
        <w:rPr>
          <w:u w:val="single"/>
        </w:rPr>
      </w:pPr>
      <w:r>
        <w:rPr>
          <w:u w:val="single"/>
        </w:rPr>
        <w:t>Педагог-ассистент</w:t>
      </w:r>
    </w:p>
    <w:p w:rsidR="00000000" w:rsidRDefault="00000000">
      <w:pPr>
        <w:keepNext/>
        <w:rPr>
          <w:u w:val="single"/>
        </w:rPr>
      </w:pPr>
    </w:p>
    <w:p w:rsidR="00000000" w:rsidRDefault="00000000">
      <w:r>
        <w:t>142.</w:t>
      </w:r>
      <w:r>
        <w:tab/>
        <w:t>Для работы с детьми из неблагополучных семей директор школы может создать должность педагога-ассистента</w:t>
      </w:r>
      <w:r>
        <w:rPr>
          <w:rStyle w:val="FootnoteReference"/>
        </w:rPr>
        <w:footnoteReference w:id="139"/>
      </w:r>
      <w:r>
        <w:t xml:space="preserve">.  Условия для создания этой должности предусмотрены Законом о педагогических работниках (№ 563/2004 </w:t>
      </w:r>
      <w:proofErr w:type="spellStart"/>
      <w:r>
        <w:rPr>
          <w:lang w:val="en-US"/>
        </w:rPr>
        <w:t>Coll</w:t>
      </w:r>
      <w:proofErr w:type="spellEnd"/>
      <w:r>
        <w:t>.).  Требования, предъявляемые к педагогу-ассистенту, излагаются в положениях об осуществлении Закона об образовании</w:t>
      </w:r>
      <w:r>
        <w:rPr>
          <w:rStyle w:val="FootnoteReference"/>
        </w:rPr>
        <w:footnoteReference w:id="140"/>
      </w:r>
      <w:r>
        <w:t xml:space="preserve">.  Педагог-ассистент помогает учащимся адаптироваться к школьной обстановке, а другим преподавателям оказывает содействие в организации школьного процесса и образовательной деятельности.  Педагоги-ассистенты также могут напрямую общаться с учащимися и сотрудничать с их законными представителями и общиной, выходцами из которой они являются.  </w:t>
      </w:r>
    </w:p>
    <w:p w:rsidR="00000000" w:rsidRDefault="00000000"/>
    <w:p w:rsidR="00000000" w:rsidRDefault="00000000">
      <w:pPr>
        <w:rPr>
          <w:u w:val="single"/>
        </w:rPr>
      </w:pPr>
      <w:r>
        <w:rPr>
          <w:u w:val="single"/>
        </w:rPr>
        <w:t>Подготовительные классы</w:t>
      </w:r>
    </w:p>
    <w:p w:rsidR="00000000" w:rsidRDefault="00000000">
      <w:pPr>
        <w:rPr>
          <w:u w:val="single"/>
        </w:rPr>
      </w:pPr>
    </w:p>
    <w:p w:rsidR="00000000" w:rsidRDefault="00000000">
      <w:r>
        <w:t>143.</w:t>
      </w:r>
      <w:r>
        <w:tab/>
        <w:t>Государственные административные органы (муниципалитеты, муниципальные ассоциации или областные советы) могут формировать подготовительные классы для социально неблагополучных детей в течение последнего года перед началом обязательной школы, если ожидается, что это позитивно скажется на их развитии.  В подготовительном классе может обучаться от 7 до 15 детей.  Решение о зачислении учащихся в подготовительный класс начальной школы принимается директором школы по просьбе законного представителя ребенка.  Условия приема детей в подготовительные классы и их выбития из подготовительных классов регулируются на основании указа</w:t>
      </w:r>
      <w:r>
        <w:rPr>
          <w:rStyle w:val="FootnoteReference"/>
        </w:rPr>
        <w:footnoteReference w:id="141"/>
      </w:r>
      <w:r>
        <w:t>.  Программа по контролю за эффективностью работы подготовительных классов показала, что годы обучения в подготовительных классах заметно улучшают отношение детей рома к школе.  После окончания первого года подготовительной школы прогулы сокращаются на 20</w:t>
      </w:r>
      <w:r>
        <w:noBreakHyphen/>
        <w:t xml:space="preserve">40 часов.  Таким образом, дети рома, заканчивающие обучение в подготовительном классе, лучше себя чувствуют в школе, а процесс обучения становится для них не таким тяжелым.  </w:t>
      </w:r>
    </w:p>
    <w:p w:rsidR="00000000" w:rsidRDefault="00000000">
      <w:r>
        <w:t>144.</w:t>
      </w:r>
      <w:r>
        <w:tab/>
        <w:t>Важное значение для образования детей рома имеет их дошкольное образование.  К сожалению, часто именно дети рома не посещают детские сады, в результате чего сокращаются возможности их подготовки к процессу обучения в школе.  В 2005 году министерство образования разработало "Концепцию обеспечения своевременной заботы о детях из неблагополучной социально-культурной среды"</w:t>
      </w:r>
      <w:r>
        <w:rPr>
          <w:rStyle w:val="FootnoteReference"/>
        </w:rPr>
        <w:footnoteReference w:id="142"/>
      </w:r>
      <w:r>
        <w:t xml:space="preserve">, согласно которой о таких детях с трехлетнего возраста и до начала обязательного школьного обучения должна проявляться соответствующая забота в учебно-воспитательных целях.  Обучение детей из неблагополучных семей в подготовительных классах свидетельствует о том, что нахождение в течение одного-двух лет в подготовительных классах помогает детям из такой среды успешно начать обучение в начальной школе.  </w:t>
      </w:r>
    </w:p>
    <w:p w:rsidR="00000000" w:rsidRDefault="00000000"/>
    <w:p w:rsidR="00000000" w:rsidRDefault="00000000">
      <w:r>
        <w:t>145.</w:t>
      </w:r>
      <w:r>
        <w:tab/>
        <w:t xml:space="preserve">Еще одно преимущество дошкольного воспитания в детских садах сводится к тому, что дети, представляющие большинство общества, посещают их совместно с детьми из иной культурной среды.  Другой задачей является развитие у родителей стремления к тому, чтобы в домашних условиях подготовить детей к обучению в школе.  Цель состоит в увеличении численности детей из неблагополучных семей в детских садах или в подготовительных классах, предназначенных для таких детей.  Кроме того, еще одним условием успешной интеграции детей рома является создание центров своевременной помощи при детских садах или начальных школах, в которых функционируют подготовительные классы, планирование и открытие учебных курсов по месту жительства для родителей и детей из неблагополучной социально-культурной среды с трехлетнего возраста и до начала обучения в школе, а также создание и функционирование долгосрочных учебных курсов для родителей и детей из неблагополучной социально-культурной среды с трехлетнего возраста и до начала обучения в школе.  Министерство образования сообщит о результатах осуществления этих мер в соответствующем докладе правительству, который будет подготовлен к 28 марта 2008 года.  </w:t>
      </w:r>
    </w:p>
    <w:p w:rsidR="00000000" w:rsidRDefault="00000000"/>
    <w:p w:rsidR="00000000" w:rsidRDefault="00000000">
      <w:r>
        <w:t>146.</w:t>
      </w:r>
      <w:r>
        <w:tab/>
        <w:t>Министерство образования предоставляет субсидии для содействия осуществлению Программы поддержки образования на языках национальных меньшинств и многокультурного образования и Программы поддержки интеграции общины рома</w:t>
      </w:r>
      <w:r>
        <w:rPr>
          <w:rStyle w:val="FootnoteReference"/>
        </w:rPr>
        <w:footnoteReference w:id="143"/>
      </w:r>
      <w:r>
        <w:t xml:space="preserve">.  </w:t>
      </w:r>
    </w:p>
    <w:p w:rsidR="00000000" w:rsidRDefault="00000000">
      <w:r>
        <w:br w:type="page"/>
        <w:t xml:space="preserve">Начиная с 2003 года два раза в год объявляется программа "Поддержка учащихся средних школ из числа рома".  Она направлена на поддержку процесса обучения тех учащихся рома, семьи которых сталкиваются с трудностями в покрытии расходов, связанных с учебой в средней школе, и ориентирована на школы и школьную инфраструктуру.  Процесс рассмотрения заявлений осуществляется на основе рекомендаций, обычно подготавливаемых консультантом по делам рома.  Субсидия предназначена для конкретных учащихся, т.е. выделенные средства не могут использоваться на какие-либо другие цели, помимо покрытия расходов по обучению учащихся, выбранных в качестве бенефициаров.  </w:t>
      </w:r>
    </w:p>
    <w:p w:rsidR="00000000" w:rsidRDefault="00000000"/>
    <w:p w:rsidR="00000000" w:rsidRDefault="00000000">
      <w:r>
        <w:t>147.</w:t>
      </w:r>
      <w:r>
        <w:tab/>
        <w:t>В контексте деятельности Европейского социального фонда министерство образования приступило к реализации проекта "Меньшинство - открытый путь"</w:t>
      </w:r>
      <w:r>
        <w:rPr>
          <w:rStyle w:val="FootnoteReference"/>
        </w:rPr>
        <w:footnoteReference w:id="144"/>
      </w:r>
      <w:r>
        <w:t xml:space="preserve">, цель которого заключается в подготовке программ развития многокультурных учебных навыков и повышении компетентности педагогических работников, а также в создании системы комплексной поддержки процесса обучения учащихся из неблагополучной социально-культурной среды в рамках основного курса обучения.  </w:t>
      </w:r>
    </w:p>
    <w:p w:rsidR="00000000" w:rsidRDefault="00000000"/>
    <w:p w:rsidR="00000000" w:rsidRDefault="00000000">
      <w:pPr>
        <w:rPr>
          <w:u w:val="single"/>
        </w:rPr>
      </w:pPr>
      <w:r>
        <w:rPr>
          <w:u w:val="single"/>
        </w:rPr>
        <w:t>Образование для иностранцев</w:t>
      </w:r>
    </w:p>
    <w:p w:rsidR="00000000" w:rsidRDefault="00000000">
      <w:pPr>
        <w:rPr>
          <w:u w:val="single"/>
        </w:rPr>
      </w:pPr>
    </w:p>
    <w:p w:rsidR="00000000" w:rsidRDefault="00000000">
      <w:r>
        <w:t>148.</w:t>
      </w:r>
      <w:r>
        <w:tab/>
        <w:t>В рамках концепции интеграции иностранцев в ЧР министерство образования регулярно издает и обновляет необходимые инструкции, касающиеся образования детей иностранцев.  Министерство образования добивается того, чтобы люди, получившие убежище, посещали бесплатные учебные курсы, и отвечает за организацию обязательного школьного обучения детей просителей убежища и лиц, ходатайство которых о предоставлении убежища находится в стадии рассмотрения.  Учителя проходят систематическую подготовку по вопросам интеграции иностранцев, а педагогические факультеты делают все возможное, чтобы студенты терпимо относились к проблемам интеграции иностранцев и поддерживали этот процесс, а также отвергали идеи ксенофобии.  Многокультурное образование получает широкое развитие в школах, в которых обучается большое количество детей иностранцев и которые имеют многолетний опыт работы с таким контингентом.  Министерство образования осуществляет проекты в целях интеграции иностранцев, в ходе реализации которых пристальное внимание уделяется многокультурному образованию детей и подростков и изучению чешского языка в качестве иностранного языка.  Эти проекты помогают устранить трудности в общении и создают возможности для интеграции детей иностранцев в повседневную жизнь при уважении самобытности отдельных этнических групп, их культуры, религии, обычаев и т.д.  Еще одна цель проектов заключается в оказании помощи учителям в деле приобретения навыков, необходимых для обучения детей иностранцев, в частности при преподавании им чешского языка, для проведения с ними внешкольных мероприятий и для разрешения конфликтов, которые могут быть обусловлены взаимным недопониманием</w:t>
      </w:r>
      <w:r>
        <w:rPr>
          <w:rStyle w:val="FootnoteReference"/>
        </w:rPr>
        <w:footnoteReference w:id="145"/>
      </w:r>
      <w:r>
        <w:t xml:space="preserve">.  </w:t>
      </w:r>
    </w:p>
    <w:p w:rsidR="00000000" w:rsidRDefault="00000000"/>
    <w:p w:rsidR="00000000" w:rsidRDefault="00000000">
      <w:pPr>
        <w:jc w:val="center"/>
      </w:pPr>
      <w:r>
        <w:rPr>
          <w:b/>
          <w:bCs/>
        </w:rPr>
        <w:t>Право на равное участие в культурной жизни</w:t>
      </w:r>
    </w:p>
    <w:p w:rsidR="00000000" w:rsidRDefault="00000000">
      <w:pPr>
        <w:jc w:val="center"/>
      </w:pPr>
    </w:p>
    <w:p w:rsidR="00000000" w:rsidRDefault="00000000">
      <w:r>
        <w:t>149.</w:t>
      </w:r>
      <w:r>
        <w:tab/>
        <w:t xml:space="preserve">За отчетный период в Закон о правах представителей национальных меньшинств (№ 273/2001 </w:t>
      </w:r>
      <w:r>
        <w:rPr>
          <w:lang w:val="en-US"/>
        </w:rPr>
        <w:t>Coll</w:t>
      </w:r>
      <w:r>
        <w:t>.) были внесены поправки, касающиеся реформы системы местного государственного управления, которые не затронули право на равное обращение.</w:t>
      </w:r>
    </w:p>
    <w:p w:rsidR="00000000" w:rsidRDefault="00000000"/>
    <w:p w:rsidR="00000000" w:rsidRDefault="00000000">
      <w:r>
        <w:t>150.</w:t>
      </w:r>
      <w:r>
        <w:tab/>
        <w:t xml:space="preserve">В Закон о церквах (№ 3/2002 </w:t>
      </w:r>
      <w:proofErr w:type="spellStart"/>
      <w:r>
        <w:rPr>
          <w:lang w:val="en-US"/>
        </w:rPr>
        <w:t>Coll</w:t>
      </w:r>
      <w:proofErr w:type="spellEnd"/>
      <w:r>
        <w:t>.) были внесены поправки с целью отражения решений Конституционного суда, отменяющих некоторые его положения, которые шли вразрез с основными правами и свободами</w:t>
      </w:r>
      <w:r>
        <w:rPr>
          <w:rStyle w:val="FootnoteReference"/>
        </w:rPr>
        <w:footnoteReference w:id="146"/>
      </w:r>
      <w:r>
        <w:t>.</w:t>
      </w:r>
    </w:p>
    <w:p w:rsidR="00000000" w:rsidRDefault="00000000"/>
    <w:p w:rsidR="00000000" w:rsidRDefault="00000000">
      <w:r>
        <w:t>151.</w:t>
      </w:r>
      <w:r>
        <w:tab/>
        <w:t>Что касается средств массовой информации, то министерство культуры выделяет средства для выпуска периодических публикаций и подготовки радио- и телевизионных программ на языках национальных меньшинств или содержащих информацию об участии национальных меньшинств в жизни общества</w:t>
      </w:r>
      <w:r>
        <w:rPr>
          <w:rStyle w:val="FootnoteReference"/>
        </w:rPr>
        <w:footnoteReference w:id="147"/>
      </w:r>
      <w:r>
        <w:t>.  Что касается кинематографии и государственных фондов, то в отчетный период министерство культуры осуществляло субсидирование аудиовизуальной и медийной программы, посвященной проведению фестивалей, выставок и ярмарок.  Министерство культуры также содействовало осуществлению двух зарубежных проектов, посвященных чешской культуре рома</w:t>
      </w:r>
      <w:r>
        <w:rPr>
          <w:rStyle w:val="FootnoteReference"/>
        </w:rPr>
        <w:footnoteReference w:id="148"/>
      </w:r>
      <w:r>
        <w:t>.</w:t>
      </w:r>
    </w:p>
    <w:p w:rsidR="00000000" w:rsidRDefault="00000000"/>
    <w:p w:rsidR="00000000" w:rsidRDefault="00000000">
      <w:r>
        <w:t>152.</w:t>
      </w:r>
      <w:r>
        <w:tab/>
        <w:t>В соответствии со Стратегией обеспечения более эффективной государственной поддержки развития культуры в ЧР</w:t>
      </w:r>
      <w:r>
        <w:rPr>
          <w:rStyle w:val="FootnoteReference"/>
        </w:rPr>
        <w:footnoteReference w:id="149"/>
      </w:r>
      <w:r>
        <w:t xml:space="preserve"> министерство культуры выделяет из государственного бюджета неинвестиционные субсидии на поддержку культурной деятельности представителей национальных меньшинств, проживающих в ЧР, и на поддержку интеграции представителей общины рома.  Для этой цели министерство культуры объявляет конкурсы на получение субсидий.</w:t>
      </w:r>
    </w:p>
    <w:p w:rsidR="00000000" w:rsidRDefault="00000000"/>
    <w:p w:rsidR="00000000" w:rsidRDefault="00000000">
      <w:r>
        <w:t>153.</w:t>
      </w:r>
      <w:r>
        <w:tab/>
        <w:t>Ежегодно в контексте своей политики субсидирования пражские власти выделяют 3 млн. чешских крон на развитие деятельности национальных меньшинств в соответствии с Городской программой поддержки национальных меньшинств.  В 2004 году также были выделены средства для национальных меньшинств в рамках двух программ:  культурной программы и программы публикации.  На 2005 год уже запланированы субсидии по линии трех программ (культура, публикации и образование для взрослых)</w:t>
      </w:r>
      <w:r>
        <w:rPr>
          <w:rStyle w:val="FootnoteReference"/>
        </w:rPr>
        <w:footnoteReference w:id="150"/>
      </w:r>
      <w:r>
        <w:t>.  Характерной для Праги уникальной программой является поддержка издательской деятельности.  Пражские власти поощряют представителей национальных меньшинств к выпуску публикаций на родном языке;  при этом идеальным вариантом являются публикации на чешском языке и одновременно на языке соответствующей национальной группы.  С 1999</w:t>
      </w:r>
      <w:r>
        <w:rPr>
          <w:lang w:val="en-US"/>
        </w:rPr>
        <w:t> </w:t>
      </w:r>
      <w:r>
        <w:t>года было в общей сложности подготовлено 60 таких изданий.</w:t>
      </w:r>
    </w:p>
    <w:p w:rsidR="00000000" w:rsidRDefault="00000000"/>
    <w:p w:rsidR="00000000" w:rsidRDefault="00000000">
      <w:r>
        <w:t>154.</w:t>
      </w:r>
      <w:r>
        <w:tab/>
        <w:t>В 2004 году в качестве государственной хозрасчетной организации, находящейся в ведении министерства культуры, был создан Музей культуры рома в Брно</w:t>
      </w:r>
      <w:r>
        <w:rPr>
          <w:rStyle w:val="FootnoteReference"/>
        </w:rPr>
        <w:footnoteReference w:id="151"/>
      </w:r>
      <w:r>
        <w:t>.  Это позволяет обеспечить стабильное финансирование музея, а соответственно и проведение более систематической работы в интересах общины рома и устранение расовых предрассудков.  В 1998-2003 годах Моравский областной музей в Брно (хозрасчетная организация министерства культуры) организовал проведение цикла выставок по проблематике самых крупных мировых религий (ислам, индуизм, православие, китайские религии), что способствовало предупреждению нетерпимости и ксенофобии.  Решению проблемы расового экстремизма в случае иудаизма помогает деятельность специального музейного комплекса - Терезинского мемориала и Еврейского музея в Праге.</w:t>
      </w:r>
    </w:p>
    <w:p w:rsidR="00000000" w:rsidRDefault="00000000"/>
    <w:p w:rsidR="00000000" w:rsidRDefault="00000000">
      <w:pPr>
        <w:ind w:left="1701" w:hanging="1701"/>
        <w:rPr>
          <w:b/>
          <w:bCs/>
          <w:u w:val="single"/>
        </w:rPr>
      </w:pPr>
      <w:r>
        <w:rPr>
          <w:b/>
          <w:bCs/>
        </w:rPr>
        <w:br w:type="page"/>
      </w:r>
      <w:r>
        <w:rPr>
          <w:b/>
          <w:bCs/>
        </w:rPr>
        <w:tab/>
      </w:r>
      <w:r>
        <w:rPr>
          <w:b/>
          <w:bCs/>
        </w:rPr>
        <w:tab/>
        <w:t>F.</w:t>
      </w:r>
      <w:r>
        <w:rPr>
          <w:b/>
          <w:bCs/>
        </w:rPr>
        <w:tab/>
      </w:r>
      <w:r>
        <w:rPr>
          <w:b/>
          <w:bCs/>
          <w:u w:val="single"/>
        </w:rPr>
        <w:t>Право на доступ к любому месту или любому виду обслуживания, предназначенному для общественного пользования</w:t>
      </w:r>
    </w:p>
    <w:p w:rsidR="00000000" w:rsidRDefault="00000000">
      <w:pPr>
        <w:jc w:val="center"/>
        <w:rPr>
          <w:b/>
          <w:bCs/>
        </w:rPr>
      </w:pPr>
    </w:p>
    <w:p w:rsidR="00000000" w:rsidRDefault="00000000">
      <w:r>
        <w:t>155.</w:t>
      </w:r>
      <w:r>
        <w:tab/>
        <w:t>За отчетный период не произошло никаких изменений в нормативно-правовых актах, касающихся права на равное обращение в плане доступа к услугам, предназначенным для общественного пользования.  Неправительственная некоммерческая организация "Центр консультирования по вопросам гражданства, гражданственности и прав человека", занимающаяся защитой прав человека, провела ряд экспериментальных проверок с целью установления возможной дискриминации в плане доступа в общественные места по признакам расы или этнического происхождения.  Семь случаев касались того, что лица, являющиеся по происхождению рома, не получали требуемых услуг или же им вообще отказывали в доступе в общественные места.  Во всех этих случаях подавалась жалоба, по факту которой затем принимались меры в целях защиты прав личности.  Во всех этих случаях органы чешской полиции отсрочивали разбирательство вопроса и передавали его на рассмотрение муниципальных комиссий по делам о нарушениях.  Жалоба в отношении такой процедуры в каждом случае отклонялась как необоснованная.  В семи случаях комиссия по делам о нарушениях постановила, что возбужденный иск не соответствует характеру совершенного правонарушения.  Лишь в одном случае был присужден штраф в размере 5 000 чешских крон</w:t>
      </w:r>
      <w:r>
        <w:rPr>
          <w:rStyle w:val="FootnoteReference"/>
        </w:rPr>
        <w:footnoteReference w:id="152"/>
      </w:r>
      <w:r>
        <w:t xml:space="preserve">.  </w:t>
      </w:r>
    </w:p>
    <w:p w:rsidR="00000000" w:rsidRDefault="00000000"/>
    <w:p w:rsidR="00000000" w:rsidRDefault="00000000">
      <w:r>
        <w:t>156.</w:t>
      </w:r>
      <w:r>
        <w:tab/>
        <w:t>Надзор за соблюдением принципа недопущения дискриминации в сфере торговли и обслуживания возложен на Торговую инспекцию Чехии</w:t>
      </w:r>
      <w:r>
        <w:rPr>
          <w:rStyle w:val="FootnoteReference"/>
        </w:rPr>
        <w:footnoteReference w:id="153"/>
      </w:r>
      <w:r>
        <w:t>, которая может налагать штрафы на продавца (поставщика услуг) за дискриминацию по отношению к потребителю.  Если дискриминационная практика, выявленная Торговой инспекцией Чехии, представляет собой грубое нарушение Закона о защите потребителей, Инспекция ходатайствует перед Управлением по вопросам лицензирования в сфере торговли об отзыве торговой лицензии по причине дискриминации потребителей.</w:t>
      </w:r>
    </w:p>
    <w:p w:rsidR="00000000" w:rsidRDefault="00000000"/>
    <w:p w:rsidR="00000000" w:rsidRDefault="00000000">
      <w:r>
        <w:t>157.</w:t>
      </w:r>
      <w:r>
        <w:tab/>
        <w:t xml:space="preserve">Полномочия Торговой инспекции Чехии являются чисто надзорными, т.е. она не может расследовать жалобы по поводу случаев дискриминации, которые уже имели место.  Вместе с тем жертва дискриминации может обратиться в Инспекцию с ходатайством о проверке деятельности предприятия, виновного в дискриминации.  Любые собранные доказательства могут использоваться лишь для представления запроса о проведении проверки.  Ни заявитель, ни гражданские ассоциации, ни другие субъекты, представляющие запрос, не могут выступать сторонами судебного процесса.  Инспекция не обязана принимать меры по факту получения запроса.  </w:t>
      </w:r>
    </w:p>
    <w:p w:rsidR="00000000" w:rsidRDefault="00000000"/>
    <w:p w:rsidR="00000000" w:rsidRDefault="00000000">
      <w:r>
        <w:t>158.</w:t>
      </w:r>
      <w:r>
        <w:tab/>
        <w:t>Торговая инспекция Чехии  возбуждает административное разбирательство в отношении лица, деятельность которого подверглась проверке, только в случае вскрытия недостатков по итогам проведенной проверки.  За нарушение обязательств, предусмотренных Законом о защите потребителей, может быть наложен штраф в размере до одного миллиона чешских крон, а за повторное нарушение обязательств в течение одного года с даты проведения последней проверки размер штрафа может быть удвоен.</w:t>
      </w:r>
    </w:p>
    <w:p w:rsidR="00000000" w:rsidRDefault="00000000"/>
    <w:p w:rsidR="00000000" w:rsidRDefault="00000000">
      <w:r>
        <w:t>159.</w:t>
      </w:r>
      <w:r>
        <w:tab/>
        <w:t>В подавляющем большинстве случаев основанием для проверок, проводимых Торговой инспекцией Чехии, служат заявления граждан и гражданские инициативы.  Торговая инспекция Чехии также осуществляет сотрудничество с местными гражданскими ассоциациями в целях защиты потребителей.  Кроме того, случаи расовой дискриминации являются объектом дополнительного контроля в рамках общей практики надзора за деятельностью предприятий.  Лица, представляющие гражданские инициативные организации рома, также часто участвуют в проверках;  при этом также налажено сотрудничество между полицией и органами, занимающимися лицензированием в сфере торговли.  Полученные результаты заносятся в глобальную базу данных, которая используется в качестве основы для последующих проверок предприятий, действия которых стали предметом жалобы.  Самым известным случаем был письменный запрет на доступ рома в один из отелей в начале 90</w:t>
      </w:r>
      <w:r>
        <w:noBreakHyphen/>
        <w:t>х годов.  Впоследствии такие вопиющие проявления дискриминации не повторялись.  К проверкам, касающимся расовой дискриминации, привлекаются инспекторы из числа рома.</w:t>
      </w:r>
    </w:p>
    <w:p w:rsidR="00000000" w:rsidRDefault="00000000"/>
    <w:p w:rsidR="00000000" w:rsidRDefault="00000000">
      <w:pPr>
        <w:jc w:val="center"/>
        <w:rPr>
          <w:b/>
          <w:bCs/>
        </w:rPr>
      </w:pPr>
      <w:r>
        <w:rPr>
          <w:b/>
          <w:bCs/>
        </w:rPr>
        <w:t>Таблица 13</w:t>
      </w:r>
    </w:p>
    <w:p w:rsidR="00000000" w:rsidRDefault="00000000">
      <w:pPr>
        <w:jc w:val="center"/>
        <w:rPr>
          <w:b/>
          <w:bCs/>
        </w:rPr>
      </w:pPr>
    </w:p>
    <w:p w:rsidR="00000000" w:rsidRDefault="00000000">
      <w:pPr>
        <w:jc w:val="center"/>
        <w:rPr>
          <w:b/>
          <w:bCs/>
        </w:rPr>
      </w:pPr>
      <w:r>
        <w:rPr>
          <w:b/>
          <w:bCs/>
        </w:rPr>
        <w:t>Количество жалоб на расовую дискриминацию, поданных в Торговую инспекцию Чехии в 2002-2005 годах (до 31 мая)</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6"/>
        <w:gridCol w:w="2357"/>
        <w:gridCol w:w="2356"/>
        <w:gridCol w:w="2357"/>
      </w:tblGrid>
      <w:tr w:rsidR="00000000">
        <w:tblPrEx>
          <w:tblCellMar>
            <w:top w:w="0" w:type="dxa"/>
            <w:bottom w:w="0" w:type="dxa"/>
          </w:tblCellMar>
        </w:tblPrEx>
        <w:tc>
          <w:tcPr>
            <w:tcW w:w="2356" w:type="dxa"/>
          </w:tcPr>
          <w:p w:rsidR="00000000" w:rsidRDefault="00000000">
            <w:pPr>
              <w:jc w:val="center"/>
            </w:pPr>
          </w:p>
        </w:tc>
        <w:tc>
          <w:tcPr>
            <w:tcW w:w="2357" w:type="dxa"/>
          </w:tcPr>
          <w:p w:rsidR="00000000" w:rsidRDefault="00000000">
            <w:pPr>
              <w:spacing w:line="240" w:lineRule="auto"/>
              <w:jc w:val="center"/>
            </w:pPr>
            <w:r>
              <w:t>Количество жалоб на расовую дискриминацию</w:t>
            </w:r>
          </w:p>
        </w:tc>
        <w:tc>
          <w:tcPr>
            <w:tcW w:w="2356" w:type="dxa"/>
          </w:tcPr>
          <w:p w:rsidR="00000000" w:rsidRDefault="00000000">
            <w:pPr>
              <w:spacing w:line="240" w:lineRule="auto"/>
              <w:jc w:val="center"/>
            </w:pPr>
            <w:r>
              <w:t>Сочтены частично обоснованными</w:t>
            </w:r>
          </w:p>
        </w:tc>
        <w:tc>
          <w:tcPr>
            <w:tcW w:w="2357" w:type="dxa"/>
          </w:tcPr>
          <w:p w:rsidR="00000000" w:rsidRDefault="00000000">
            <w:pPr>
              <w:spacing w:line="240" w:lineRule="auto"/>
              <w:jc w:val="center"/>
            </w:pPr>
            <w:r>
              <w:t>Сочтены обоснованными</w:t>
            </w:r>
          </w:p>
        </w:tc>
      </w:tr>
      <w:tr w:rsidR="00000000">
        <w:tblPrEx>
          <w:tblCellMar>
            <w:top w:w="0" w:type="dxa"/>
            <w:bottom w:w="0" w:type="dxa"/>
          </w:tblCellMar>
        </w:tblPrEx>
        <w:tc>
          <w:tcPr>
            <w:tcW w:w="2356" w:type="dxa"/>
          </w:tcPr>
          <w:p w:rsidR="00000000" w:rsidRDefault="00000000">
            <w:pPr>
              <w:jc w:val="center"/>
            </w:pPr>
            <w:r>
              <w:t>2002 год</w:t>
            </w:r>
          </w:p>
        </w:tc>
        <w:tc>
          <w:tcPr>
            <w:tcW w:w="2357" w:type="dxa"/>
          </w:tcPr>
          <w:p w:rsidR="00000000" w:rsidRDefault="00000000">
            <w:pPr>
              <w:jc w:val="center"/>
            </w:pPr>
            <w:r>
              <w:t>14</w:t>
            </w:r>
          </w:p>
        </w:tc>
        <w:tc>
          <w:tcPr>
            <w:tcW w:w="2356" w:type="dxa"/>
          </w:tcPr>
          <w:p w:rsidR="00000000" w:rsidRDefault="00000000">
            <w:pPr>
              <w:jc w:val="center"/>
            </w:pPr>
            <w:r>
              <w:t>0</w:t>
            </w:r>
          </w:p>
        </w:tc>
        <w:tc>
          <w:tcPr>
            <w:tcW w:w="2357" w:type="dxa"/>
          </w:tcPr>
          <w:p w:rsidR="00000000" w:rsidRDefault="00000000">
            <w:pPr>
              <w:jc w:val="center"/>
            </w:pPr>
            <w:r>
              <w:t>2</w:t>
            </w:r>
          </w:p>
        </w:tc>
      </w:tr>
      <w:tr w:rsidR="00000000">
        <w:tblPrEx>
          <w:tblCellMar>
            <w:top w:w="0" w:type="dxa"/>
            <w:bottom w:w="0" w:type="dxa"/>
          </w:tblCellMar>
        </w:tblPrEx>
        <w:trPr>
          <w:trHeight w:val="123"/>
        </w:trPr>
        <w:tc>
          <w:tcPr>
            <w:tcW w:w="2356" w:type="dxa"/>
          </w:tcPr>
          <w:p w:rsidR="00000000" w:rsidRDefault="00000000">
            <w:pPr>
              <w:jc w:val="center"/>
            </w:pPr>
            <w:r>
              <w:t>2003 год</w:t>
            </w:r>
          </w:p>
        </w:tc>
        <w:tc>
          <w:tcPr>
            <w:tcW w:w="2357" w:type="dxa"/>
          </w:tcPr>
          <w:p w:rsidR="00000000" w:rsidRDefault="00000000">
            <w:pPr>
              <w:jc w:val="center"/>
            </w:pPr>
            <w:r>
              <w:t>8</w:t>
            </w:r>
          </w:p>
        </w:tc>
        <w:tc>
          <w:tcPr>
            <w:tcW w:w="2356" w:type="dxa"/>
          </w:tcPr>
          <w:p w:rsidR="00000000" w:rsidRDefault="00000000">
            <w:pPr>
              <w:jc w:val="center"/>
            </w:pPr>
            <w:r>
              <w:t>0</w:t>
            </w:r>
          </w:p>
        </w:tc>
        <w:tc>
          <w:tcPr>
            <w:tcW w:w="2357" w:type="dxa"/>
          </w:tcPr>
          <w:p w:rsidR="00000000" w:rsidRDefault="00000000">
            <w:pPr>
              <w:jc w:val="center"/>
            </w:pPr>
            <w:r>
              <w:t>1</w:t>
            </w:r>
          </w:p>
        </w:tc>
      </w:tr>
      <w:tr w:rsidR="00000000">
        <w:tblPrEx>
          <w:tblCellMar>
            <w:top w:w="0" w:type="dxa"/>
            <w:bottom w:w="0" w:type="dxa"/>
          </w:tblCellMar>
        </w:tblPrEx>
        <w:tc>
          <w:tcPr>
            <w:tcW w:w="2356" w:type="dxa"/>
          </w:tcPr>
          <w:p w:rsidR="00000000" w:rsidRDefault="00000000">
            <w:pPr>
              <w:jc w:val="center"/>
            </w:pPr>
            <w:r>
              <w:t>2004 год</w:t>
            </w:r>
          </w:p>
        </w:tc>
        <w:tc>
          <w:tcPr>
            <w:tcW w:w="2357" w:type="dxa"/>
          </w:tcPr>
          <w:p w:rsidR="00000000" w:rsidRDefault="00000000">
            <w:pPr>
              <w:jc w:val="center"/>
            </w:pPr>
            <w:r>
              <w:t>3</w:t>
            </w:r>
          </w:p>
        </w:tc>
        <w:tc>
          <w:tcPr>
            <w:tcW w:w="2356" w:type="dxa"/>
          </w:tcPr>
          <w:p w:rsidR="00000000" w:rsidRDefault="00000000">
            <w:pPr>
              <w:pStyle w:val="NormlnIMP"/>
              <w:suppressAutoHyphens w:val="0"/>
              <w:spacing w:line="288" w:lineRule="auto"/>
              <w:jc w:val="center"/>
              <w:rPr>
                <w:sz w:val="24"/>
                <w:lang w:val="ru-RU"/>
              </w:rPr>
            </w:pPr>
            <w:r>
              <w:rPr>
                <w:sz w:val="24"/>
                <w:lang w:val="ru-RU"/>
              </w:rPr>
              <w:t>0</w:t>
            </w:r>
          </w:p>
        </w:tc>
        <w:tc>
          <w:tcPr>
            <w:tcW w:w="2357" w:type="dxa"/>
          </w:tcPr>
          <w:p w:rsidR="00000000" w:rsidRDefault="00000000">
            <w:pPr>
              <w:jc w:val="center"/>
            </w:pPr>
            <w:r>
              <w:t>1</w:t>
            </w:r>
          </w:p>
        </w:tc>
      </w:tr>
      <w:tr w:rsidR="00000000">
        <w:tblPrEx>
          <w:tblCellMar>
            <w:top w:w="0" w:type="dxa"/>
            <w:bottom w:w="0" w:type="dxa"/>
          </w:tblCellMar>
        </w:tblPrEx>
        <w:trPr>
          <w:trHeight w:val="70"/>
        </w:trPr>
        <w:tc>
          <w:tcPr>
            <w:tcW w:w="2356" w:type="dxa"/>
          </w:tcPr>
          <w:p w:rsidR="00000000" w:rsidRDefault="00000000">
            <w:pPr>
              <w:jc w:val="center"/>
            </w:pPr>
            <w:r>
              <w:t>2005 год (до 31 мая)</w:t>
            </w:r>
          </w:p>
        </w:tc>
        <w:tc>
          <w:tcPr>
            <w:tcW w:w="2357" w:type="dxa"/>
          </w:tcPr>
          <w:p w:rsidR="00000000" w:rsidRDefault="00000000">
            <w:pPr>
              <w:jc w:val="center"/>
            </w:pPr>
            <w:r>
              <w:t>4</w:t>
            </w:r>
          </w:p>
        </w:tc>
        <w:tc>
          <w:tcPr>
            <w:tcW w:w="2356" w:type="dxa"/>
          </w:tcPr>
          <w:p w:rsidR="00000000" w:rsidRDefault="00000000">
            <w:pPr>
              <w:jc w:val="center"/>
            </w:pPr>
            <w:r>
              <w:t>0</w:t>
            </w:r>
          </w:p>
        </w:tc>
        <w:tc>
          <w:tcPr>
            <w:tcW w:w="2357" w:type="dxa"/>
          </w:tcPr>
          <w:p w:rsidR="00000000" w:rsidRDefault="00000000">
            <w:pPr>
              <w:jc w:val="center"/>
            </w:pPr>
            <w:r>
              <w:t>1</w:t>
            </w:r>
          </w:p>
        </w:tc>
      </w:tr>
    </w:tbl>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b/>
          <w:bCs/>
        </w:rPr>
      </w:pPr>
      <w:r>
        <w:rPr>
          <w:b/>
          <w:bCs/>
        </w:rPr>
        <w:t>Защита от всех проявлений расовой дискриминации</w:t>
      </w:r>
    </w:p>
    <w:p w:rsidR="00000000" w:rsidRDefault="00000000">
      <w:pPr>
        <w:jc w:val="center"/>
        <w:rPr>
          <w:b/>
          <w:bCs/>
        </w:rPr>
      </w:pPr>
    </w:p>
    <w:p w:rsidR="00000000" w:rsidRDefault="00000000">
      <w:r>
        <w:t>160.</w:t>
      </w:r>
      <w:r>
        <w:tab/>
        <w:t xml:space="preserve">В процессуальной области механизм защиты от расовой дискриминации подкрепляется принципом переложения бремени </w:t>
      </w:r>
      <w:proofErr w:type="spellStart"/>
      <w:r>
        <w:t>доказывания</w:t>
      </w:r>
      <w:proofErr w:type="spellEnd"/>
      <w:r>
        <w:t>, закрепленным в Гражданском процессуальном кодексе (№ 99/1963 </w:t>
      </w:r>
      <w:proofErr w:type="spellStart"/>
      <w:r>
        <w:rPr>
          <w:lang w:val="en-US"/>
        </w:rPr>
        <w:t>Coll</w:t>
      </w:r>
      <w:proofErr w:type="spellEnd"/>
      <w:r>
        <w:t xml:space="preserve">.).  В сфере отношений, регулируемых трудовым законодательством, в случае дискриминации, основанной на признаках расового или этнического происхождения, пола, религии, вероисповедания, мировоззрения, инвалидности, возраста или сексуальной ориентации, лицо, подозреваемое в дискриминации, должно доказать, что оно не виновно в дискриминации.  В случаях дискриминации по признакам расового или этнического происхождения бремя </w:t>
      </w:r>
      <w:proofErr w:type="spellStart"/>
      <w:r>
        <w:t>доказывания</w:t>
      </w:r>
      <w:proofErr w:type="spellEnd"/>
      <w:r>
        <w:t xml:space="preserve"> также перекладывается на ответчика, если речь идет о предоставлении медицинской и социальной помощи, доступе к образованию и специальной подготовке, доступе в общественные места, членстве в организациях трудящихся или работодателей и членстве в профессиональных или культурно-массовых ассоциациях, а также о продаже товаров в магазинах или предоставлении услуг.</w:t>
      </w:r>
    </w:p>
    <w:p w:rsidR="00000000" w:rsidRDefault="00000000"/>
    <w:p w:rsidR="00000000" w:rsidRDefault="00000000">
      <w:r>
        <w:t>161.</w:t>
      </w:r>
      <w:r>
        <w:tab/>
        <w:t>По аналогии с Гражданским процессуальным кодексом Административный процессуальный кодекс (№ 150/2002 </w:t>
      </w:r>
      <w:proofErr w:type="spellStart"/>
      <w:r>
        <w:rPr>
          <w:lang w:val="en-US"/>
        </w:rPr>
        <w:t>Coll</w:t>
      </w:r>
      <w:proofErr w:type="spellEnd"/>
      <w:r>
        <w:t>.) также предусматривает, что любая сторона, утверждающая, что она стала жертвой дискриминации со стороны административного органа, может быть представлена гражданской ассоциацией в том случае, если она требует судебной защиты.  Аналогичным образом был изменен и Закон о защите потребителей</w:t>
      </w:r>
      <w:r>
        <w:rPr>
          <w:rStyle w:val="FootnoteReference"/>
        </w:rPr>
        <w:footnoteReference w:id="154"/>
      </w:r>
      <w:r>
        <w:t>, дающий отныне возможность гражданской ассоциации, занимающейся вопросами защиты от дискриминации, ходатайствовать о возбуждении судебного иска в целях пресечения незаконных действий в связи с защитой потребителей.</w:t>
      </w:r>
    </w:p>
    <w:p w:rsidR="00000000" w:rsidRDefault="00000000"/>
    <w:p w:rsidR="00000000" w:rsidRDefault="00000000">
      <w:r>
        <w:t>162.</w:t>
      </w:r>
      <w:r>
        <w:tab/>
        <w:t>Наиболее эффективное законодательство, касающееся защиты от дискриминации, существует в сфере трудового права.  В дополнение к Трудовому кодексу вновь принятый Закон о государственной службе (№ 218/2002)</w:t>
      </w:r>
      <w:r>
        <w:rPr>
          <w:rStyle w:val="FootnoteReference"/>
        </w:rPr>
        <w:footnoteReference w:id="155"/>
      </w:r>
      <w:r>
        <w:t xml:space="preserve"> также содержит положения о защите от дискриминации по широкому кругу признаков в сфере служебных отношений.  Кроме того, указанный Закон четко устанавливает право жертв дискриминации добиваться прекращения такого поведения, право на средства правовой защиты от последствий такого поведения и право на адекватную компенсацию.  В случае серьезного посягательства на человеческое достоинство и репутацию государственного служащего в рамках служебных взаимоотношений он вправе требовать финансовой компенсации за нематериальный ущерб.  В данном случае также используется принцип переложения бремени </w:t>
      </w:r>
      <w:proofErr w:type="spellStart"/>
      <w:r>
        <w:t>доказывания</w:t>
      </w:r>
      <w:proofErr w:type="spellEnd"/>
      <w:r>
        <w:t>:  в соответствии с указанным Законом в ходе разбирательства, касающегося служебных взаимоотношений, организация-работодатель должна опровергнуть факты, свидетельствующие о том, что в отношении соответствующей стороны процесса была проявлена прямая или косвенная дискриминация по признакам пола, национальной принадлежности или расы, если результаты разбирательства не доказывают иное.</w:t>
      </w:r>
    </w:p>
    <w:p w:rsidR="00000000" w:rsidRDefault="00000000"/>
    <w:p w:rsidR="00000000" w:rsidRDefault="00000000">
      <w:r>
        <w:t>163.</w:t>
      </w:r>
      <w:r>
        <w:tab/>
        <w:t xml:space="preserve">Аналогичным образом Закон о служебных отношениях сотрудников сил безопасности (№ 361/2003 </w:t>
      </w:r>
      <w:proofErr w:type="spellStart"/>
      <w:r>
        <w:rPr>
          <w:lang w:val="en-US"/>
        </w:rPr>
        <w:t>Coll</w:t>
      </w:r>
      <w:proofErr w:type="spellEnd"/>
      <w:r>
        <w:t xml:space="preserve">.) предусматривает такое же право жертв дискриминации, как и Закон о государственной службе.  В нем также четко оговаривается принцип перекладывания бремени </w:t>
      </w:r>
      <w:proofErr w:type="spellStart"/>
      <w:r>
        <w:t>доказывания</w:t>
      </w:r>
      <w:proofErr w:type="spellEnd"/>
      <w:r>
        <w:t>.</w:t>
      </w:r>
    </w:p>
    <w:p w:rsidR="00000000" w:rsidRDefault="00000000"/>
    <w:p w:rsidR="00000000" w:rsidRDefault="00000000">
      <w:r>
        <w:t>164.</w:t>
      </w:r>
      <w:r>
        <w:tab/>
        <w:t xml:space="preserve">По смыслу нового Закона о занятости (№ 435/2004 </w:t>
      </w:r>
      <w:proofErr w:type="spellStart"/>
      <w:r>
        <w:rPr>
          <w:lang w:val="en-US"/>
        </w:rPr>
        <w:t>Coll</w:t>
      </w:r>
      <w:proofErr w:type="spellEnd"/>
      <w:r>
        <w:t>.)</w:t>
      </w:r>
      <w:r>
        <w:rPr>
          <w:rStyle w:val="FootnoteReference"/>
        </w:rPr>
        <w:footnoteReference w:id="156"/>
      </w:r>
      <w:r>
        <w:t xml:space="preserve"> несоблюдение принципа запрещения дискриминации считается проступком (или административным правонарушением), за который может налагаться штраф в размере до 1 000 000 чешских крон.  Этот Закон также содержит положения о правах на судебную защиту лиц, которые подверглись дискриминации и право которых на равное обращение в плане доступа к занятости было нарушено.  Закон запрещает предложения работы, которые являются дискриминационными по своему характеру или противоречат нормам нравственности.  Работодатель не вправе требовать предоставления личных данных, если только это обязательство  не возлагается на него в соответствии с особыми регулирующими положениями</w:t>
      </w:r>
      <w:r>
        <w:rPr>
          <w:rStyle w:val="FootnoteReference"/>
        </w:rPr>
        <w:footnoteReference w:id="157"/>
      </w:r>
      <w:r>
        <w:t>.  В случае нарушения принципа равного обращения применительно к праву на труд, пострадавшая сторона может требовать прекращения таких действий, устранения их последствий и обеспечения адекватного удовлетворения или финансовой компенсации за нематериальный ущерб по определению суда.</w:t>
      </w:r>
    </w:p>
    <w:p w:rsidR="00000000" w:rsidRDefault="00000000"/>
    <w:p w:rsidR="00000000" w:rsidRDefault="00000000">
      <w:r>
        <w:t>165.</w:t>
      </w:r>
      <w:r>
        <w:tab/>
        <w:t xml:space="preserve">Новый Закон об инспекции труда (№ 251/2005 </w:t>
      </w:r>
      <w:proofErr w:type="spellStart"/>
      <w:r>
        <w:rPr>
          <w:lang w:val="en-US"/>
        </w:rPr>
        <w:t>Coll</w:t>
      </w:r>
      <w:proofErr w:type="spellEnd"/>
      <w:r>
        <w:t xml:space="preserve">.) расширил полномочия органов трудовой инспекции, которые также стали включать в себя проведение проверки на предмет соблюдения обязательств, предусмотренных нормативно-правовыми актами, которые регулируют права и обязанности работников в сфере трудовых отношений, включая нормативно-правовые акты, касающиеся вознаграждения работников.  Согласно этим новым полномочиям, в вышеупомянутом Законе были закреплены признаки состава проступков физических лиц и административных правонарушений юридических лиц в связи с принципом равного обращения.  Этот Закон также предусматривает наложение штрафа в размере до 400 000 чешских крон на указанных основаниях в случае нарушения соответствующего нормативно-правового акта.  </w:t>
      </w:r>
    </w:p>
    <w:p w:rsidR="00000000" w:rsidRDefault="00000000"/>
    <w:p w:rsidR="00000000" w:rsidRDefault="00000000">
      <w:r>
        <w:t>166.</w:t>
      </w:r>
      <w:r>
        <w:tab/>
        <w:t xml:space="preserve">В Законе о кадровых военнослужащих (№ 221/1999) также предусматриваются средства правовой защиты в случае нарушения прав и обязательств, касающихся равного обращения (право требовать возмещения ущерба, причиненного такими действиями, и устранения их последствий), и закрепляется принцип запрещения </w:t>
      </w:r>
      <w:proofErr w:type="spellStart"/>
      <w:r>
        <w:t>виктимизации</w:t>
      </w:r>
      <w:proofErr w:type="spellEnd"/>
      <w:r>
        <w:t>.  К сожалению, неоднократная отсрочка введения в действие Закона</w:t>
      </w:r>
      <w:r>
        <w:rPr>
          <w:lang w:val="en-GB"/>
        </w:rPr>
        <w:t> </w:t>
      </w:r>
      <w:r>
        <w:t>№</w:t>
      </w:r>
      <w:r>
        <w:rPr>
          <w:lang w:val="en-GB"/>
        </w:rPr>
        <w:t> </w:t>
      </w:r>
      <w:r>
        <w:t xml:space="preserve">309/2002 </w:t>
      </w:r>
      <w:proofErr w:type="spellStart"/>
      <w:r>
        <w:rPr>
          <w:lang w:val="en-GB"/>
        </w:rPr>
        <w:t>Coll</w:t>
      </w:r>
      <w:proofErr w:type="spellEnd"/>
      <w:r>
        <w:t>. об изменении законов, касающихся принятия Закона о государственной службе, означает невозможность применения статьи</w:t>
      </w:r>
      <w:r>
        <w:rPr>
          <w:lang w:val="en-GB"/>
        </w:rPr>
        <w:t> </w:t>
      </w:r>
      <w:r>
        <w:t>150а, согласно которой утверждения о наличии прямой или косвенной дискриминации по признакам пола, национальной принадлежности или расы считаются доказанными организацией-работодателем, если только материалы разбирательства не свидетельствуют об ином</w:t>
      </w:r>
      <w:r>
        <w:rPr>
          <w:rStyle w:val="FootnoteReference"/>
          <w:lang w:val="en-GB"/>
        </w:rPr>
        <w:footnoteReference w:id="158"/>
      </w:r>
      <w:r>
        <w:t>.</w:t>
      </w:r>
    </w:p>
    <w:p w:rsidR="00000000" w:rsidRDefault="00000000"/>
    <w:p w:rsidR="00000000" w:rsidRDefault="00000000">
      <w:r>
        <w:t>167.</w:t>
      </w:r>
      <w:r>
        <w:tab/>
        <w:t>Как правило, отдельные лица могут также обращаться в суд на том основании, что в результате дискриминации их здоровью или имуществу был нанесен ущерб из-за нарушения правовых обязательств, или могут требовать защиту прав личности, включая право на жизнь и охрану здоровья, гражданскую честь, человеческое достоинство, а также право на невмешательство в личную жизнь, защиту доброго имени и репутации, и могут возбуждать иск в соответствующем суде</w:t>
      </w:r>
      <w:r>
        <w:rPr>
          <w:rStyle w:val="FootnoteReference"/>
          <w:lang w:val="en-GB"/>
        </w:rPr>
        <w:footnoteReference w:id="159"/>
      </w:r>
      <w:r>
        <w:t>.</w:t>
      </w:r>
    </w:p>
    <w:p w:rsidR="00000000" w:rsidRDefault="00000000"/>
    <w:p w:rsidR="00000000" w:rsidRDefault="00000000">
      <w:r>
        <w:t>168.</w:t>
      </w:r>
      <w:r>
        <w:tab/>
        <w:t>Первый случай удовлетворения иска о защите прав личности, когда суд подтвердил акт совершения расовой дискриминации, имел место в 2002 году</w:t>
      </w:r>
      <w:r>
        <w:rPr>
          <w:rStyle w:val="FootnoteReference"/>
          <w:lang w:val="en-GB"/>
        </w:rPr>
        <w:footnoteReference w:id="160"/>
      </w:r>
      <w:r>
        <w:t>.  Истец, являющийся рома по происхождению, утверждал, что ему запретили вход в дискотеку по той причине, что доступ для рома был туда закрыт.  Другие посетители, купившие билет, пройти в дискотеку смогли.  В результате возбуждения иска о защите прав личности пострадавший получил извинения от соответствующей компании и финансовую компенсацию за нематериальный ущерб.  Районный суд принял иск к рассмотрению в первой инстанции, хотя только в отношении обязательства ответчика принести извинения.  После подачи нескольких апелляций ответчика обязали выплатить финансовую компенсацию на сумму в 50 000 чешских крон.</w:t>
      </w:r>
    </w:p>
    <w:p w:rsidR="00000000" w:rsidRDefault="00000000"/>
    <w:p w:rsidR="00000000" w:rsidRDefault="00000000">
      <w:r>
        <w:t>169.</w:t>
      </w:r>
      <w:r>
        <w:tab/>
        <w:t xml:space="preserve">Другой иск о защите прав личности был подан одним представителем общины рома против компании, владеющей рестораном, в котором была установлена метровая статуя одного античного бога, держащего в руке бейсбольную биту с надписью "Для цыган".  Истец утверждал, что такие действия компании представляют собой посягательство на человеческое достоинство, лишая его права на посещение этого заведения - места, предназначенного для общественного пользования, - где предположительно он мог бы подвергнуться нападению.  Однако районный суд отклонил иск на том основании, что действия соответствующей компании не сопряжены с незаконным нарушением прав личности.  По мнению суда, наличие статуи с бейсбольной битой, на которой было написано "Для цыган…", было негативно воспринято лично истцом, и этот факт нельзя отождествлять с незаконным нарушением прав личности.  Вместе с тем суд признал, что расисты часто используют бейсбольные биты для нападения на рома и что их можно считать орудием убийства.  Тем не менее суд не сделал вывода о нарушении прав личности истца.  </w:t>
      </w:r>
    </w:p>
    <w:p w:rsidR="00000000" w:rsidRDefault="00000000"/>
    <w:p w:rsidR="00000000" w:rsidRDefault="00000000">
      <w:pPr>
        <w:rPr>
          <w:u w:val="single"/>
        </w:rPr>
      </w:pPr>
      <w:r>
        <w:rPr>
          <w:u w:val="single"/>
        </w:rPr>
        <w:t>Законопроект о правовых механизмах защиты от дискриминации</w:t>
      </w:r>
    </w:p>
    <w:p w:rsidR="00000000" w:rsidRDefault="00000000">
      <w:pPr>
        <w:rPr>
          <w:u w:val="single"/>
        </w:rPr>
      </w:pPr>
    </w:p>
    <w:p w:rsidR="00000000" w:rsidRDefault="00000000">
      <w:r>
        <w:t>170.</w:t>
      </w:r>
      <w:r>
        <w:tab/>
        <w:t>Как упоминалось в предыдущем докладе, в 2002 году</w:t>
      </w:r>
      <w:r>
        <w:rPr>
          <w:rStyle w:val="FootnoteReference"/>
          <w:lang w:val="en-GB"/>
        </w:rPr>
        <w:footnoteReference w:id="161"/>
      </w:r>
      <w:r>
        <w:t xml:space="preserve"> </w:t>
      </w:r>
      <w:proofErr w:type="spellStart"/>
      <w:r>
        <w:t>ЧР</w:t>
      </w:r>
      <w:proofErr w:type="spellEnd"/>
      <w:r>
        <w:t xml:space="preserve"> приступила к разработке правовых норм, обеспечивающих всеобъемлющую защиту от дискриминации.  Законопроект о правовых механизмах защиты от дискриминации и равном обращении (</w:t>
      </w:r>
      <w:proofErr w:type="spellStart"/>
      <w:r>
        <w:t>антидискриминационный</w:t>
      </w:r>
      <w:proofErr w:type="spellEnd"/>
      <w:r>
        <w:t xml:space="preserve"> закон) и законопроект о внесении изменений в некоторые законы, касающиеся принятия </w:t>
      </w:r>
      <w:proofErr w:type="spellStart"/>
      <w:r>
        <w:t>антдискриминационного</w:t>
      </w:r>
      <w:proofErr w:type="spellEnd"/>
      <w:r>
        <w:t xml:space="preserve"> закона, были одобрены правительством 1</w:t>
      </w:r>
      <w:r>
        <w:rPr>
          <w:lang w:val="en-GB"/>
        </w:rPr>
        <w:t> </w:t>
      </w:r>
      <w:r>
        <w:t>декабря 2004 года</w:t>
      </w:r>
      <w:r>
        <w:rPr>
          <w:rStyle w:val="FootnoteReference"/>
          <w:lang w:val="en-GB"/>
        </w:rPr>
        <w:footnoteReference w:id="162"/>
      </w:r>
      <w:r>
        <w:t xml:space="preserve"> и внесены на рассмотрение в палату депутатов чешского парламента</w:t>
      </w:r>
      <w:r>
        <w:rPr>
          <w:rStyle w:val="FootnoteReference"/>
        </w:rPr>
        <w:footnoteReference w:id="163"/>
      </w:r>
      <w:r>
        <w:t xml:space="preserve">, которой еще предстоит провести чтения данного законопроекта.  </w:t>
      </w:r>
    </w:p>
    <w:p w:rsidR="00000000" w:rsidRDefault="00000000"/>
    <w:p w:rsidR="00000000" w:rsidRDefault="00000000">
      <w:r>
        <w:t>171.</w:t>
      </w:r>
      <w:r>
        <w:tab/>
        <w:t xml:space="preserve">Обязательство гарантировать равное обращение и защиту от дискриминации, предусмотренное в </w:t>
      </w:r>
      <w:proofErr w:type="spellStart"/>
      <w:r>
        <w:t>антидискриминационном</w:t>
      </w:r>
      <w:proofErr w:type="spellEnd"/>
      <w:r>
        <w:t xml:space="preserve"> законопроекте, касается сферы занятости в самом широком смысле (речь идет о праве на труд и доступе к трудоустройству, профессиональной и предпринимательской деятельности и </w:t>
      </w:r>
      <w:proofErr w:type="spellStart"/>
      <w:r>
        <w:t>самозанятости</w:t>
      </w:r>
      <w:proofErr w:type="spellEnd"/>
      <w:r>
        <w:t xml:space="preserve">;  о правовых и служебных вопросах и другой соответствующей деятельности, включая выплату вознаграждения), членства в организациях (например, членства и участия в деятельности профсоюзных организаций или организаций трудящихся, членства и участия в деятельности профессиональных ассоциаций) и тех преимуществ, которые эти организации предоставляют своим членам, социального страхования и социальных льгот, медицинской помощи, образования и доступа к товарам и услугам, предназначенным для общественного пользования, включая жилье, а также их фактического предоставления.  </w:t>
      </w:r>
    </w:p>
    <w:p w:rsidR="00000000" w:rsidRDefault="00000000"/>
    <w:p w:rsidR="00000000" w:rsidRDefault="00000000">
      <w:r>
        <w:t>172.</w:t>
      </w:r>
      <w:r>
        <w:tab/>
        <w:t xml:space="preserve">В законопроекте также предусматривается запрещение дискриминации не только по признакам, перечисленным в директивах ЕС, но и по признакам, изложенным в Хартии прав и свобод и международных конвенциях.  Он предусматривает запрещение дискриминации по признакам расового или этнического происхождения, пола, сексуальной ориентации, возраста, состояния здоровья, религии или вероисповедания, а также по признакам атеистических взглядов, языка, политических или иных убеждений, национальной принадлежности, членства или участия в деятельности политических партий или политических движений, профсоюзных организаций и других ассоциаций, социального происхождения, имущественного положения, семейного происхождения, состояния в браке и семейного положения или семейных обязательств.  Дискриминация по признаку пола также охватывает дискриминацию по признаку беременности или материнства и дискриминацию по признаку половой самоидентификации.  Последнее распространяется на все случаи независимо от того, изменило ли соответствующее лицо свой пол, готовится ли оно к операции по изменению пола или оно же фактически находится в процессе (довольно длительном) изменения своего пола, либо оно не готовится к изменению пола и не намерено делать это в будущем.  Дискриминация также подразумевает неравное обращение на основе так называемых предполагаемых признаков.  Это означает, что на практике решающее значение имеет не то, что жертва дискриминации принадлежит к определенной расе, имеет определенную сексуальную ориентацию или возраст, а то, что таковыми признаками ее наделяет лицо, совершившее акт дискриминации.  </w:t>
      </w:r>
    </w:p>
    <w:p w:rsidR="00000000" w:rsidRDefault="00000000"/>
    <w:p w:rsidR="00000000" w:rsidRDefault="00000000">
      <w:r>
        <w:t>173.</w:t>
      </w:r>
      <w:r>
        <w:tab/>
        <w:t xml:space="preserve">В </w:t>
      </w:r>
      <w:proofErr w:type="spellStart"/>
      <w:r>
        <w:t>антидискриминационном</w:t>
      </w:r>
      <w:proofErr w:type="spellEnd"/>
      <w:r>
        <w:t xml:space="preserve"> законопроекте содержится определение таких понятий, как прямая и косвенная дискриминация, преследования, сексуальное домогательство, </w:t>
      </w:r>
      <w:proofErr w:type="spellStart"/>
      <w:r>
        <w:t>виктимизация</w:t>
      </w:r>
      <w:proofErr w:type="spellEnd"/>
      <w:r>
        <w:t xml:space="preserve"> и т.д.  Дискриминацией также считается дача указаний и подстрекательство к совершению акта дискриминации.  Разумеется, не все формы иного обращения можно считать дискриминацией, вследствие чего в законопроекте перечисляются исключения из принципа равного обращения.  Они основаны на двух различных концептуальных подходах в зависимости от того, затрагивают ли они области и признаки дискриминации, охватываемые директивами ЕС.  В этом случае в законопроекте установлены четко сформулированные исключения, не предполагающие расширительного толкования, тогда как в других случаях законопроект допускает возможность иного обращения с учетом законной цели и требования соразмерности.  При этом суд всегда учитывает наличие законной цели и требование соразмерности.</w:t>
      </w:r>
    </w:p>
    <w:p w:rsidR="00000000" w:rsidRDefault="00000000"/>
    <w:p w:rsidR="00000000" w:rsidRDefault="00000000">
      <w:r>
        <w:t>174.</w:t>
      </w:r>
      <w:r>
        <w:tab/>
        <w:t>Что касается позитивных мер, то законопроект однозначно допускает их как возможность, но не как правовое обязательство.  В нем также предусмотрен перечень основных случаев, когда в сфере труда и профессиональных занятий могут целенаправленно приниматься позитивные меры.  Такой подход обусловлен невозможностью точно предугадать характер позитивных мер, которые будут определяться в зависимости от конкретной деятельности соответствующих субъектов.  Сохранение таких мер после достижения равного статуса может повлечь за собой судебное разбирательство.</w:t>
      </w:r>
    </w:p>
    <w:p w:rsidR="00000000" w:rsidRDefault="00000000"/>
    <w:p w:rsidR="00000000" w:rsidRDefault="00000000">
      <w:r>
        <w:t>175.</w:t>
      </w:r>
      <w:r>
        <w:tab/>
        <w:t>Законопроект также предусматривает возможность исковых заявлений юридических лиц.  Это позволяет осуществлять судебное преследование по факту широкомасштабной дискриминационной практики, затрагивающей значительное количество людей, когда нарушение прав является очевидным, но трудно доказуемым или вообще недоказуемым применительно к конкретному лицу, поскольку фактически жертвы неизвестны.  В данном случае сами жертвы дискриминации в суде не представляются.  Вместо этого соответствующая деятельность в их интересах должна осуществляться неправительственными организациями, созданными для обеспечения защиты от дискриминации.  Защита жертв обеспечивается на основе нынешнего законодательства о защите личности, и, таким образом, жертвы актов дискриминации могут также самостоятельно возбудить судебный иск с целью прекращения такой дискриминации, требовать средства правовой защиты от последствий дискриминации и получения адекватного удовлетворения или финансовой компенсации за нематериальный ущерб.  Директивы Европейского союза также предусматривают прямое обязательство государств-членов в отношении создания или назначения учреждения, призванного заниматься вопросами равного обращения и защиты от дискриминации</w:t>
      </w:r>
      <w:r>
        <w:rPr>
          <w:rStyle w:val="FootnoteReference"/>
        </w:rPr>
        <w:footnoteReference w:id="164"/>
      </w:r>
      <w:r>
        <w:t>.</w:t>
      </w:r>
    </w:p>
    <w:p w:rsidR="00000000" w:rsidRDefault="00000000"/>
    <w:p w:rsidR="00000000" w:rsidRDefault="00000000">
      <w:r>
        <w:t>176.</w:t>
      </w:r>
      <w:r>
        <w:tab/>
        <w:t>Положения законопроекта, касающиеся правозащитных учреждений, изначально разрабатывались в двух вариантах.  Первый вариант подразумевал создание нового органа </w:t>
      </w:r>
      <w:r>
        <w:noBreakHyphen/>
        <w:t xml:space="preserve"> Центра по обеспечению равного обращения, который должен был конкретно заниматься вопросами равного обращения и дискриминации и иметь статус консультативно-информационного и просветительского органа.  При утверждении закона правительство приняло решение о том, что вопросы равного обращения и защиты от дискриминации должны входить в компетенцию омбудсмена.</w:t>
      </w:r>
    </w:p>
    <w:p w:rsidR="00000000" w:rsidRDefault="00000000"/>
    <w:p w:rsidR="00000000" w:rsidRDefault="00000000">
      <w:r>
        <w:t>177.</w:t>
      </w:r>
      <w:r>
        <w:tab/>
        <w:t>В соответствии с законопроектом омбудсмен будет содействовать поощрению равного  обращения со всеми лицами и оказывать правовую помощь в вопросах защиты от дискриминации, готовить рекомендации и заключения, проводить исследования и информировать общественность.  Вместе с тем наделение омбудсмена этими полномочиями связано с множеством теоретических, правовых и практических аспектов и последствий.  По чешскому праву, сфера компетенции омбудсмена распространяется лишь на государственные субъекты, хотя общеизвестно, что большинство актов дискриминации совершаются отдельными личностями, подпадающими под сферу действия частного права.  Из этого следует, что предлагаемое решение никак не согласуется со статусом омбудсмена Чехии, который призван защищать людей от "неправомерного администрирования".  В результате сфера полномочий омбудсмена будет представлять собой некую дилемму, либо ограничиваясь существующим мандатом, либо распространяясь на новую область, касающуюся обеспечения равного обращения со всеми.</w:t>
      </w:r>
    </w:p>
    <w:p w:rsidR="00000000" w:rsidRDefault="00000000"/>
    <w:p w:rsidR="00000000" w:rsidRDefault="00000000">
      <w:r>
        <w:t>178.</w:t>
      </w:r>
      <w:r>
        <w:tab/>
        <w:t>В соответствии с указанным законопроектом омбудсмен должен оказывать независимую помощь жертвам дискриминации, что предполагает, в частности, содействие в подготовке исковых заявлений, предложений о назначении судом представителя и жалоб в различные контрольно-административные органы (такие, как бюро по трудоустройству и Торговую инспекцию Чехии), а также распространение информации, касающейся, в частности, возможностей получения правовой помощи через адвоката или неправительственную организацию.  Таким образом, омбудсмен не может представлять жертв дискриминации в ходе судебного разбирательства, а может лишь консультировать их по поводу того, какие средства они должны использовать и в какую инстанцию им следует обратиться.  Одной из конкретных форм оказания омбудсменом помощи жертвам является посредничество.  Согласно законопроекту, эффективная посредническая деятельность может привести, в частности, к заключению сторонами соглашения для подачи в суд заявления о примирении.  Важную роль омбудсмен играет и в деле подготовки рекомендаций и заключений.  Это должно стать действенным механизмом в области защиты от дискриминации.  Кроме того, омбудсмен будет уполномочен проводить исследования по проблематике равного обращения.</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Роль государства в деле просвещения по вопросам борьбы против</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pPr>
        <w:rPr>
          <w:u w:val="single"/>
        </w:rPr>
      </w:pPr>
      <w:r>
        <w:rPr>
          <w:u w:val="single"/>
        </w:rPr>
        <w:t>Школьное воспитание</w:t>
      </w:r>
    </w:p>
    <w:p w:rsidR="00000000" w:rsidRDefault="00000000">
      <w:pPr>
        <w:rPr>
          <w:u w:val="single"/>
        </w:rPr>
      </w:pPr>
    </w:p>
    <w:p w:rsidR="00000000" w:rsidRDefault="00000000">
      <w:r>
        <w:t>179.</w:t>
      </w:r>
      <w:r>
        <w:tab/>
        <w:t>Новый Закон об образовании привел к разработке рамочных учебных программ для школ.  Рамочная учебная программа для начального образования включает в себя такой предмет, как "Люди и общество", в процессе изучения которого основное внимание уделяется формированию активной гражданской позиции и правильной системы оценки ценности, а также претворению в жизнь знаний и навыков, полученных в ходе изучения целого ряда дисциплин, главным образом гуманитарных.  Важной составляющей образования является предупреждение расизма, ксенофобии и экстремизма при воспитании людей в духе терпимости, уважения прав человека и бережного отношения к природной среде и культурному наследию.  Эта программа также включает в себя так называемые смежные предметы, посвященные широкому кругу текущих проблем, сегодняшнего мира и составляющие необъемлемую часть процесса образования.  Одна из таких тем касается "многокультурного общества", при изучении которой учащиеся, в частности, учатся сосуществовать и общаться с представителями других этнических групп, начинают понимать их самобытность и осознавать тот факт, что расизм и ксенофобия не могут уживаться с принципами демократического общества.  В настоящее время министерство образования готовит рамочные учебные программы для учащихся старших классов средней школы, которые будут включать в себя обязательный смежный предмет "Граждане в демократическом обществе".  Все эти программы направлены на воспитание подрастающего поколения, понимающего сущность многокультурного общества и отвергающего расизм и ксенофобию.</w:t>
      </w:r>
    </w:p>
    <w:p w:rsidR="00000000" w:rsidRDefault="00000000"/>
    <w:p w:rsidR="00000000" w:rsidRDefault="00000000">
      <w:r>
        <w:t>180.</w:t>
      </w:r>
      <w:r>
        <w:tab/>
        <w:t xml:space="preserve">Программа </w:t>
      </w:r>
      <w:r>
        <w:rPr>
          <w:lang w:val="en-US"/>
        </w:rPr>
        <w:t>PHARE</w:t>
      </w:r>
      <w:r>
        <w:t>, осуществлявшаяся министерством образования, по делам молодежи и спорта в 2003 году, включала в себя подготовку преподавателей начальных школ и педагогов-ассистентов, работающих на уровне начальных школ и подготовительных классов;  она предусматривала изучение многокультурной проблематики, а также создание специальных условий для образования учащихся из числа рома.  Были реализованы следующие проекты:  поддержка социальной интеграции рома, содействие техническому оснащению подготовительных классов и реформа системы многокультурного образования</w:t>
      </w:r>
      <w:r>
        <w:rPr>
          <w:rStyle w:val="FootnoteReference"/>
        </w:rPr>
        <w:footnoteReference w:id="165"/>
      </w:r>
      <w:r>
        <w:t>.</w:t>
      </w:r>
    </w:p>
    <w:p w:rsidR="00000000" w:rsidRDefault="00000000"/>
    <w:p w:rsidR="00000000" w:rsidRDefault="00000000">
      <w:r>
        <w:t>181.</w:t>
      </w:r>
      <w:r>
        <w:tab/>
        <w:t>Министерство образования, по делам молодежи и спорта просило Школьную инспекцию Чехии проанализировать состояние дел в области подготовки в сфере прав человека</w:t>
      </w:r>
      <w:r>
        <w:rPr>
          <w:rStyle w:val="FootnoteReference"/>
        </w:rPr>
        <w:footnoteReference w:id="166"/>
      </w:r>
      <w:r>
        <w:t>.  Данная проверка была направлена на выявление и оценку условий, создаваемых в школах в целях образования и подготовки учащихся по вопросам прав человека и терпимости, методов учета проблематики прав человека в учебном процессе и в ходе внешкольных мероприятий, степени осведомленности учащихся в вопросах прав человека и практики выражения ими своих мнений и позиций.  Проверка проходила с 1 октября 2003 года по 31 января 2004 года в 81 школе во всех районах ЧР, включая 61 начальную школу и 20 средних школ.  Проверкой была охвачена целевая выборка учащихся на последнем году их обязательного школьного обучения (девятый год начальной школы и четвертый год восьмилетней средней школы).  Проверка и оценка, проведенные инспекторами, в частности, касались школьной литературы, используемых в учебных целях нормативных документов, содержания правил школьного распорядка, системы самоуправления учащихся, наличия ящика для конфиденциальных сообщений, а также степени интеграции подготовки и образования по вопросам прав человека в учебный процесс.  Проблематика, непосредственно затрагивающая права человека, изучается в рамках предмета, посвященного гражданскому воспитанию.  При этом рассматриваются такие вопросы, как человечество и нормы морали, человечество и права человека, человечество и общественная жизнь, а также государство и право</w:t>
      </w:r>
      <w:r>
        <w:rPr>
          <w:rStyle w:val="FootnoteReference"/>
        </w:rPr>
        <w:footnoteReference w:id="167"/>
      </w:r>
      <w:r>
        <w:t>.</w:t>
      </w:r>
    </w:p>
    <w:p w:rsidR="00000000" w:rsidRDefault="00000000"/>
    <w:p w:rsidR="00000000" w:rsidRDefault="00000000">
      <w:r>
        <w:t>182.</w:t>
      </w:r>
      <w:r>
        <w:tab/>
        <w:t>Никакой отдельной программы изучения прав человека в университетах в настоящее время не существует</w:t>
      </w:r>
      <w:r>
        <w:rPr>
          <w:rStyle w:val="FootnoteReference"/>
        </w:rPr>
        <w:footnoteReference w:id="168"/>
      </w:r>
      <w:r>
        <w:t>.  Конкретная проблематика прав человека обычно преподается на обязательных/факультативных лекциях или семинарах в рамках общего подготовительного курса социальных наук или педагогики.  В 2004 году программы развития университетского образования в Масарикском университете предусматривали, в частности, осуществление проектов, посвященных воспитанию в духе терпимости в многокультурном обществе и утверждению принципа мультикультурности в образовании.</w:t>
      </w:r>
    </w:p>
    <w:p w:rsidR="00000000" w:rsidRDefault="00000000"/>
    <w:p w:rsidR="00000000" w:rsidRDefault="00000000">
      <w:pPr>
        <w:rPr>
          <w:u w:val="single"/>
        </w:rPr>
      </w:pPr>
      <w:r>
        <w:rPr>
          <w:u w:val="single"/>
        </w:rPr>
        <w:t>Подготовка сотрудников полиции</w:t>
      </w:r>
    </w:p>
    <w:p w:rsidR="00000000" w:rsidRDefault="00000000">
      <w:pPr>
        <w:rPr>
          <w:u w:val="single"/>
        </w:rPr>
      </w:pPr>
    </w:p>
    <w:p w:rsidR="00000000" w:rsidRDefault="00000000">
      <w:r>
        <w:t>183.</w:t>
      </w:r>
      <w:r>
        <w:tab/>
        <w:t>В процессе подготовки по вопросам национальностей и этнических меньшинств полиция исходит главным образом из Национальной стратегии работы полиции в отношении национальностей и этнических меньшинств.  В этой связи деятельность центров профессиональной подготовки полицейских можно разделить на три составляющих:  экспертная практика базовой специальной подготовки новобранцев</w:t>
      </w:r>
      <w:r>
        <w:rPr>
          <w:rStyle w:val="FootnoteReference"/>
          <w:lang w:val="en-GB"/>
        </w:rPr>
        <w:footnoteReference w:id="169"/>
      </w:r>
      <w:r>
        <w:t xml:space="preserve">; </w:t>
      </w:r>
      <w:r>
        <w:rPr>
          <w:lang w:val="cs-CZ"/>
        </w:rPr>
        <w:t xml:space="preserve"> </w:t>
      </w:r>
      <w:r>
        <w:t>курсы повышения квалификации для полицейских, состоящих на действительной службе</w:t>
      </w:r>
      <w:r>
        <w:rPr>
          <w:rStyle w:val="FootnoteReference"/>
          <w:lang w:val="en-GB"/>
        </w:rPr>
        <w:footnoteReference w:id="170"/>
      </w:r>
      <w:r>
        <w:t>, и подготовка полицейских в дополнение к курсам повышения квалификации</w:t>
      </w:r>
      <w:r>
        <w:rPr>
          <w:rStyle w:val="FootnoteReference"/>
          <w:lang w:val="en-GB"/>
        </w:rPr>
        <w:footnoteReference w:id="171"/>
      </w:r>
      <w:r>
        <w:t xml:space="preserve">.  </w:t>
      </w:r>
      <w:r>
        <w:rPr>
          <w:lang w:val="cs-CZ"/>
        </w:rPr>
        <w:t>В</w:t>
      </w:r>
      <w:r>
        <w:t xml:space="preserve"> апреле 2005 года в программу курсов, посвященных сосуществованию в многокультурном обществе, было добавлено изучение вопроса о торговле людьми.  </w:t>
      </w:r>
    </w:p>
    <w:p w:rsidR="00000000" w:rsidRDefault="00000000"/>
    <w:p w:rsidR="00000000" w:rsidRDefault="00000000">
      <w:r>
        <w:t>184.</w:t>
      </w:r>
      <w:r>
        <w:tab/>
        <w:t xml:space="preserve">С 2003 года одним из элементов подготовки слушателей средних специальных полицейских училищ и регулярных курсов повышения квалификации преподавателей этих училищ стало изучение проблематики меньшинств, вопросов расового равенства и прав человека.  Эти темы также включены в учебную программу для слушателей курсов начальной специальной подготовки.  Со второй половины 2004 года в программу непрерывного образования сотрудников полиции во всех районных управлениях полиции был добавлен курс, посвященный работе полиции с меньшинствами.  Этот курс проходят сотрудники всех оперативных подразделений полиции.  В ближайшие два года ставится задача обеспечить изучение проблематики меньшинств в рамках программы подготовки сотрудников полиции управленческого звена и на специальных курсах для сотрудников полиции по контролю за иностранцами и пограничной полиции.  </w:t>
      </w:r>
    </w:p>
    <w:p w:rsidR="00000000" w:rsidRDefault="00000000"/>
    <w:p w:rsidR="00000000" w:rsidRDefault="00000000">
      <w:r>
        <w:t>185.</w:t>
      </w:r>
      <w:r>
        <w:tab/>
        <w:t>Министерство внутренних дел осуществляет проект "Изучение прав человека, уважение интересов меньшинств и их защита, а также принципы профессиональной этики в рамках подготовки и работы сотрудников чешской полиции".  Этот проект преследует цель включить изучение проблематики прав человека и профессиональной этики в программу базовой и любой дополнительной профессиональной подготовки сотрудников полиции, содействовать применению новых знаний и навыков в повседневной работе полицейских, повысить профессионализм работы полицейских с гражданами и укрепить доверие меньшинств к полиции.  Он начал осуществляться после создания весной 2004 года центра по вопросам прав человека и профессиональной этики при находящейся в ведении министерства внутренних дел центральной школе полиции в Праге.</w:t>
      </w:r>
    </w:p>
    <w:p w:rsidR="00000000" w:rsidRDefault="00000000"/>
    <w:p w:rsidR="00000000" w:rsidRDefault="00000000">
      <w:r>
        <w:t>186.</w:t>
      </w:r>
      <w:r>
        <w:tab/>
        <w:t>Преподаватели центральной школы полиции и центров профессиональной подготовки сотрудников полиции регулярно участвуют в учебно-методических семинарах и других совещаниях, на которых они знакомятся с последней информацией по преподаваемым дисциплинам.  Им выдаются учебно-педагогические материалы и вспомогательные пособия, отражающие текущие изменения в сфере прав человека и содержащие руководящие указания по вопросу о методах борьбы с предрассудками и стереотипами</w:t>
      </w:r>
      <w:r>
        <w:rPr>
          <w:rStyle w:val="FootnoteReference"/>
        </w:rPr>
        <w:footnoteReference w:id="172"/>
      </w:r>
      <w:r>
        <w:t xml:space="preserve">.  Министерство внутренних дел также проводит семинары по правам человека, предназначенные для кадровых сотрудников полиции.  В 2004 году была проведена подготовка персонала центра содержания под стражей иностранцев в Балкове, а в 2005 году аналогичные курсы будут организованы во всех остальных центрах содержания под стражей.  </w:t>
      </w:r>
    </w:p>
    <w:p w:rsidR="00000000" w:rsidRDefault="00000000"/>
    <w:p w:rsidR="00000000" w:rsidRDefault="00000000">
      <w:r>
        <w:t>187.</w:t>
      </w:r>
      <w:r>
        <w:tab/>
        <w:t>Начиная с 2000 года служба полиции осуществляет проект по подготовке граждан из числа представителей национальных меньшинств для работы в чешской полиции.  Цель этой подготовки заключается в создании необходимой базы для набора соответствующего персонала.  В 2004 году был организован один такой учебный курс</w:t>
      </w:r>
      <w:r>
        <w:rPr>
          <w:rStyle w:val="FootnoteReference"/>
        </w:rPr>
        <w:footnoteReference w:id="173"/>
      </w:r>
      <w:r>
        <w:t xml:space="preserve">.  </w:t>
      </w:r>
    </w:p>
    <w:p w:rsidR="00000000" w:rsidRDefault="00000000"/>
    <w:p w:rsidR="00000000" w:rsidRDefault="00000000">
      <w:pPr>
        <w:rPr>
          <w:u w:val="single"/>
        </w:rPr>
      </w:pPr>
      <w:r>
        <w:rPr>
          <w:u w:val="single"/>
        </w:rPr>
        <w:t>Подготовка военнослужащих чешской армии</w:t>
      </w:r>
    </w:p>
    <w:p w:rsidR="00000000" w:rsidRDefault="00000000">
      <w:pPr>
        <w:rPr>
          <w:u w:val="single"/>
        </w:rPr>
      </w:pPr>
    </w:p>
    <w:p w:rsidR="00000000" w:rsidRDefault="00000000">
      <w:r>
        <w:t>188.</w:t>
      </w:r>
      <w:r>
        <w:tab/>
        <w:t>По решению министерства обороны и в соответствии с концепцией и программой предупреждения антиобщественных явлений, рассчитанной на период 2001</w:t>
      </w:r>
      <w:r>
        <w:noBreakHyphen/>
        <w:t>2004 годов</w:t>
      </w:r>
      <w:r>
        <w:rPr>
          <w:rStyle w:val="FootnoteReference"/>
        </w:rPr>
        <w:footnoteReference w:id="174"/>
      </w:r>
      <w:r>
        <w:t xml:space="preserve">, вопросы борьбы против расизма и ксенофобии были включены во все программы образования и подготовки военнослужащих чешской армии.  Постепенно разрабатывается система теоретической подготовки военнослужащих и сотрудников министерства обороны по этим вопросам, а также система повышения их осведомленности относительно урегулирования конкретных случаев.  В этой связи можно отметить успешное сотрудничество военкоматов с советниками по делам рома и районными координаторами.  В конце отчетного периода министерство обороны подготовило документ с изложением концепции профессиональной подготовки, в котором определяются цели образования и подготовки в области прав человека.  Они предусматривают постепенное ознакомление всех военнослужащих и гражданского персонала министерства обороны с теоретическими концепциями и законодательством, а также их обучение практическим навыкам работы по всему спектру прав человека, включая запрещение дискриминации по расовым признакам.  </w:t>
      </w:r>
    </w:p>
    <w:p w:rsidR="00000000" w:rsidRDefault="00000000"/>
    <w:p w:rsidR="00000000" w:rsidRDefault="00000000">
      <w:pPr>
        <w:rPr>
          <w:u w:val="single"/>
        </w:rPr>
      </w:pPr>
      <w:r>
        <w:rPr>
          <w:u w:val="single"/>
        </w:rPr>
        <w:t>Подготовка судей и юристов-стажеров</w:t>
      </w:r>
    </w:p>
    <w:p w:rsidR="00000000" w:rsidRDefault="00000000">
      <w:pPr>
        <w:rPr>
          <w:u w:val="single"/>
        </w:rPr>
      </w:pPr>
    </w:p>
    <w:p w:rsidR="00000000" w:rsidRDefault="00000000">
      <w:r>
        <w:t>189.</w:t>
      </w:r>
      <w:r>
        <w:tab/>
        <w:t>В 2005 году Академия юстиции</w:t>
      </w:r>
      <w:r>
        <w:rPr>
          <w:rStyle w:val="FootnoteReference"/>
        </w:rPr>
        <w:footnoteReference w:id="175"/>
      </w:r>
      <w:r>
        <w:t xml:space="preserve"> организовала семинар для судей и прокуроров по вопросу о преступлениях на расовой почве и так называемом бытовом насилии.  В 2005/06 учебном году данный вопрос будет входить в программу семинаров по уголовной, гражданской и административной юстиции, в частности семинаров для прокуроров и вновь назначенных судей, семинара по возмещению ущерба и семинаров по судебной защите иммигрантов и принятию решений о предоставлении убежища, а также семинара для юристов-стажеров.  </w:t>
      </w:r>
    </w:p>
    <w:p w:rsidR="00000000" w:rsidRDefault="00000000"/>
    <w:p w:rsidR="00000000" w:rsidRDefault="00000000">
      <w:pPr>
        <w:rPr>
          <w:u w:val="single"/>
        </w:rPr>
      </w:pPr>
      <w:r>
        <w:rPr>
          <w:u w:val="single"/>
        </w:rPr>
        <w:t>Распространение информации</w:t>
      </w:r>
    </w:p>
    <w:p w:rsidR="00000000" w:rsidRDefault="00000000">
      <w:pPr>
        <w:rPr>
          <w:u w:val="single"/>
        </w:rPr>
      </w:pPr>
    </w:p>
    <w:p w:rsidR="00000000" w:rsidRDefault="00000000">
      <w:r>
        <w:t>190.</w:t>
      </w:r>
      <w:r>
        <w:tab/>
        <w:t>Начиная с 1999</w:t>
      </w:r>
      <w:r>
        <w:rPr>
          <w:lang w:val="en-US"/>
        </w:rPr>
        <w:t> </w:t>
      </w:r>
      <w:r>
        <w:t>года правительство финансирует проведение кампании по борьбе против расизма, в рамках которой в 2003 году осуществлялся второй этап проекта по расширению охвата библиотечных материалов:  информационно-медийная кампания на районном и местном уровнях</w:t>
      </w:r>
      <w:r>
        <w:rPr>
          <w:rStyle w:val="FootnoteReference"/>
        </w:rPr>
        <w:footnoteReference w:id="176"/>
      </w:r>
      <w:r>
        <w:t xml:space="preserve">.  Данный проект преследовал цель стимулировать интерес читателей и персонала публичных библиотек к различным этническим группам, проживающим в ЧР, и тем самым сформировать культуру терпимости.  Он предполагал рассылку литературы по проблематике мультикультурности и меньшинств в 500 библиотек и организацию в сотрудничестве с этими библиотеками параллельных мероприятий для детей, подростков и взрослых.  Данный проект также включал в себя ориентированную на широкую аудиторию информационно-пропагандистскую кампанию, предусматривавшую презентацию этого проекта и ознакомление с проблематикой межкультурных отношений в средствах массовой информации.  </w:t>
      </w:r>
    </w:p>
    <w:p w:rsidR="00000000" w:rsidRDefault="00000000"/>
    <w:p w:rsidR="00000000" w:rsidRDefault="00000000">
      <w:r>
        <w:t>191.</w:t>
      </w:r>
      <w:r>
        <w:tab/>
        <w:t xml:space="preserve">Второй этап кампании 2003 года заключался в проведении интерактивной учебно-воспитательной работы в начальных и средних школах под лозунгом "На пути к терпимости".  Этот подход уже применялся в предыдущие годы.  Он предполагал формирование </w:t>
      </w:r>
      <w:proofErr w:type="spellStart"/>
      <w:r>
        <w:t>многоэтнических</w:t>
      </w:r>
      <w:proofErr w:type="spellEnd"/>
      <w:r>
        <w:t xml:space="preserve"> групп преподавателей с целью проведения занятий в средних школах, на которых учащиеся обсуждали бы вопросы терпимости, предрассудков, расизма и другие связанные с этим вопросы</w:t>
      </w:r>
      <w:r>
        <w:rPr>
          <w:rStyle w:val="FootnoteReference"/>
        </w:rPr>
        <w:footnoteReference w:id="177"/>
      </w:r>
      <w:r>
        <w:t>.</w:t>
      </w:r>
    </w:p>
    <w:p w:rsidR="00000000" w:rsidRDefault="00000000"/>
    <w:p w:rsidR="00000000" w:rsidRDefault="00000000">
      <w:r>
        <w:t>192.</w:t>
      </w:r>
      <w:r>
        <w:tab/>
        <w:t xml:space="preserve">В 2004 году в рамках кампании по борьбе против расизма осуществлялось четыре проекта, два из которых были связаны с кампаниями прошлых лет.  Новые </w:t>
      </w:r>
      <w:proofErr w:type="spellStart"/>
      <w:r>
        <w:t>вебсайты</w:t>
      </w:r>
      <w:proofErr w:type="spellEnd"/>
      <w:r>
        <w:t xml:space="preserve"> были созданы в рамках третьего этапа проекта по расширению охвата библиотечных материалов</w:t>
      </w:r>
      <w:r>
        <w:rPr>
          <w:rStyle w:val="FootnoteReference"/>
        </w:rPr>
        <w:footnoteReference w:id="178"/>
      </w:r>
      <w:r>
        <w:t xml:space="preserve">.  Были реализованы два этапа проекта "Все мы жертвы".  Задача основного этапа, а именно просветительской кампании в средствах массовой информации населения с фактическими случаями актов насилия или дискриминации, совершаемых на расовой почве, а также с жертвами расовых предрассудков </w:t>
      </w:r>
      <w:proofErr w:type="spellStart"/>
      <w:r>
        <w:t>расистско</w:t>
      </w:r>
      <w:proofErr w:type="spellEnd"/>
      <w:r>
        <w:t xml:space="preserve"> настроенных граждан и ярых расистов.  Второй этап проекта касался исключительно проведения разъяснительной работы среди членов ультранационалистических и других экстремистских группировок. </w:t>
      </w:r>
    </w:p>
    <w:p w:rsidR="00000000" w:rsidRDefault="00000000"/>
    <w:p w:rsidR="00000000" w:rsidRDefault="00000000">
      <w:r>
        <w:t>193.</w:t>
      </w:r>
      <w:r>
        <w:tab/>
        <w:t xml:space="preserve">Проект, касающийся анализа проблемы правого экстремизма в Чешской Республике и нацеленных на повышение эффективности государственных мер по борьбе против расизма в рамках третьего этапа глобальной кампании по борьбе против расизма, был направлен на содействие проведению других мероприятий в целях более действенного удовлетворения потребностей общества в деле устранения негативных стереотипов в отношениях с группами этнических меньшинств и в целях повышения результативности этой работы среди целевых групп.  По его результатам было подготовлено три доклада о положении дел с правым экстремизмом в Чешской Республике, которые предназначены для внутреннего использования координаторами глобальной кампании.  </w:t>
      </w:r>
    </w:p>
    <w:p w:rsidR="00000000" w:rsidRDefault="00000000"/>
    <w:p w:rsidR="00000000" w:rsidRDefault="00000000">
      <w:r>
        <w:t>194.</w:t>
      </w:r>
      <w:r>
        <w:tab/>
        <w:t xml:space="preserve">Новым элементом глобальной кампании явилась национальная просветительская кампания по борьбе против дискриминации, проводившаяся в рамках Программы общинных действий по борьбе с дискриминацией на 2001-2006 годы.  Некоторые средства, необходимые для ее финансирования, были предоставлены ЕС, а остальная часть ресурсов была мобилизована по линии так называемой национальной программы совместного финансирования.  Проект включал проведение национальной конференции, районных семинаров и студенческого "круглого стола".  Новая позитивная особенность этой всеобъемлющей кампании заключалась в том, что ее инициатором выступало государство.  </w:t>
      </w:r>
    </w:p>
    <w:p w:rsidR="00000000" w:rsidRDefault="00000000"/>
    <w:p w:rsidR="00000000" w:rsidRDefault="00000000">
      <w:r>
        <w:t>195.</w:t>
      </w:r>
      <w:r>
        <w:tab/>
        <w:t>Распространение информации также является одной из задач министерства образования, по делам молодежи и спорта, которое выпускает и распространяет информационно-методические материалы, включая справочные пособия для преподавания в начальных и средних школах</w:t>
      </w:r>
      <w:r>
        <w:rPr>
          <w:rStyle w:val="FootnoteReference"/>
        </w:rPr>
        <w:footnoteReference w:id="179"/>
      </w:r>
      <w:r>
        <w:t>.  Эти материалы были подготовлены в процессе сотрудничества между министерством образования и Советом Европы в рамках выполнения Рекомендации Комитета министров Совета Европы в отношении преподавания истории и стратегии министерства образования.  Проект включает в себя проведение семинаров для преподавателей, использующих опубликованные материалы в практическом плане.</w:t>
      </w:r>
    </w:p>
    <w:p w:rsidR="00000000" w:rsidRDefault="00000000"/>
    <w:p w:rsidR="00000000" w:rsidRDefault="00000000">
      <w:r>
        <w:t>196.</w:t>
      </w:r>
      <w:r>
        <w:tab/>
        <w:t xml:space="preserve">Министерство образования наделило соответствующими полномочиями Фонд культурного наследия в </w:t>
      </w:r>
      <w:proofErr w:type="spellStart"/>
      <w:r>
        <w:t>Терезине</w:t>
      </w:r>
      <w:proofErr w:type="spellEnd"/>
      <w:r>
        <w:t xml:space="preserve"> и Культурно-просветительский центр при Еврейском музее в Праге, являющиеся единственными образовательными учреждениями, которые уполномочены проводить семинары для преподавателей начальных и средних школ.  Семинары проводятся с 2001 года, и один специальный семинар для преподавателей начальных и средних школ по теме "Преподавание истории </w:t>
      </w:r>
      <w:proofErr w:type="spellStart"/>
      <w:r>
        <w:t>холокоста</w:t>
      </w:r>
      <w:proofErr w:type="spellEnd"/>
      <w:r>
        <w:t>" финансируется министерством образования, которое также вносит финансовый вклад в организацию международных конференций</w:t>
      </w:r>
      <w:r>
        <w:rPr>
          <w:rStyle w:val="FootnoteReference"/>
        </w:rPr>
        <w:footnoteReference w:id="180"/>
      </w:r>
      <w:r>
        <w:t>.</w:t>
      </w:r>
    </w:p>
    <w:p w:rsidR="00000000" w:rsidRDefault="00000000"/>
    <w:p w:rsidR="00000000" w:rsidRDefault="00000000">
      <w:pPr>
        <w:ind w:left="1134" w:hanging="1134"/>
        <w:jc w:val="center"/>
        <w:rPr>
          <w:b/>
          <w:bCs/>
        </w:rPr>
      </w:pPr>
      <w:r>
        <w:br w:type="page"/>
      </w:r>
      <w:proofErr w:type="spellStart"/>
      <w:r>
        <w:rPr>
          <w:b/>
          <w:bCs/>
        </w:rPr>
        <w:t>III</w:t>
      </w:r>
      <w:proofErr w:type="spellEnd"/>
      <w:r>
        <w:rPr>
          <w:b/>
          <w:bCs/>
        </w:rPr>
        <w:t>.</w:t>
      </w:r>
      <w:r>
        <w:rPr>
          <w:b/>
          <w:bCs/>
        </w:rPr>
        <w:tab/>
        <w:t xml:space="preserve">ИНФОРМАЦИЯ О ВЫПОЛНЕНИИ ЗАКЛЮЧИТЕЛЬНЫХ РЕКОМЕНДАЦИЙ КОМИТЕТА ПО ЛИКВИДАЦИИ РАСОВОЙ ДИСКРИМИНАЦИИ В СВЯЗИ С ПЯТЫМ ПЕРИОДИЧЕСКИМ ДОКЛАДОМ </w:t>
      </w:r>
      <w:proofErr w:type="spellStart"/>
      <w:r>
        <w:rPr>
          <w:b/>
          <w:bCs/>
        </w:rPr>
        <w:t>ЧР</w:t>
      </w:r>
      <w:proofErr w:type="spellEnd"/>
    </w:p>
    <w:p w:rsidR="00000000" w:rsidRDefault="00000000">
      <w:pPr>
        <w:ind w:left="1134" w:hanging="1134"/>
        <w:jc w:val="center"/>
        <w:rPr>
          <w:b/>
          <w:bCs/>
        </w:rPr>
      </w:pPr>
    </w:p>
    <w:p w:rsidR="00000000" w:rsidRDefault="00000000">
      <w:pPr>
        <w:rPr>
          <w:i/>
          <w:iCs/>
        </w:rPr>
      </w:pPr>
      <w:r>
        <w:rPr>
          <w:u w:val="single"/>
        </w:rPr>
        <w:t>Рекомендация № 8</w:t>
      </w:r>
      <w:r>
        <w:t>:  "</w:t>
      </w:r>
      <w:r>
        <w:rPr>
          <w:i/>
          <w:iCs/>
        </w:rPr>
        <w:t>Комитет призывает государство-участник оперативно завершить свою деятельность по разработке и принятию комплексного антидискриминационного законодательства и обеспечить его последующее эффективное применение.  Он настоятельно просит государство-участник включить в новый закон определение дискриминации согласно статье 1 (1) Конвенции</w:t>
      </w:r>
      <w:r>
        <w:t>"</w:t>
      </w:r>
      <w:r>
        <w:rPr>
          <w:i/>
          <w:iCs/>
        </w:rPr>
        <w:t>.</w:t>
      </w:r>
    </w:p>
    <w:p w:rsidR="00000000" w:rsidRDefault="00000000">
      <w:pPr>
        <w:rPr>
          <w:i/>
          <w:iCs/>
        </w:rPr>
      </w:pPr>
    </w:p>
    <w:p w:rsidR="00000000" w:rsidRDefault="00000000">
      <w:r>
        <w:t>197.</w:t>
      </w:r>
      <w:r>
        <w:tab/>
        <w:t>Информация о выполнении этой рекомендации содержится в разделе, посвященном статье 2 (пункт 24) и в разделе по статье 6 (пункты 170-178).</w:t>
      </w:r>
    </w:p>
    <w:p w:rsidR="00000000" w:rsidRDefault="00000000"/>
    <w:p w:rsidR="00000000" w:rsidRDefault="00000000">
      <w:r>
        <w:rPr>
          <w:u w:val="single"/>
        </w:rPr>
        <w:t>Рекомендация № 9</w:t>
      </w:r>
      <w:r>
        <w:t>:  "</w:t>
      </w:r>
      <w:r>
        <w:rPr>
          <w:i/>
          <w:iCs/>
        </w:rPr>
        <w:t>Отмечая усилия государства-участника по обузданию насилия и дискриминации по расовым мотивам, Комитет по</w:t>
      </w:r>
      <w:r>
        <w:rPr>
          <w:i/>
          <w:iCs/>
        </w:rPr>
        <w:noBreakHyphen/>
        <w:t>прежнему выражает озабоченность в связи с продолжающимися случаями насилия на расовой почве и подстрекательства к расовой ненависти, а также в связи с сохранением нетерпимости и фактической дискриминации, в частности в отношении меньшинства рома.  Комитет рекомендует правительству продолжать и наращивать его усилия по обеспечению более эффективного применения действующего законодательства</w:t>
      </w:r>
      <w:r>
        <w:t>".</w:t>
      </w:r>
    </w:p>
    <w:p w:rsidR="00000000" w:rsidRDefault="00000000"/>
    <w:p w:rsidR="00000000" w:rsidRDefault="00000000">
      <w:pPr>
        <w:pStyle w:val="BodyTextIndent"/>
        <w:ind w:left="0" w:firstLine="0"/>
        <w:rPr>
          <w:b w:val="0"/>
          <w:bCs w:val="0"/>
        </w:rPr>
      </w:pPr>
      <w:r>
        <w:rPr>
          <w:b w:val="0"/>
          <w:bCs w:val="0"/>
        </w:rPr>
        <w:t>198.</w:t>
      </w:r>
      <w:r>
        <w:rPr>
          <w:b w:val="0"/>
          <w:bCs w:val="0"/>
        </w:rPr>
        <w:tab/>
        <w:t xml:space="preserve">Информация о выполнении этой рекомендации содержится в разделе, посвященном статье 4 и статье 5 </w:t>
      </w:r>
      <w:r>
        <w:rPr>
          <w:b w:val="0"/>
          <w:bCs w:val="0"/>
          <w:lang w:val="en-US"/>
        </w:rPr>
        <w:t>b</w:t>
      </w:r>
      <w:r>
        <w:rPr>
          <w:b w:val="0"/>
          <w:bCs w:val="0"/>
        </w:rPr>
        <w:t xml:space="preserve"> (пункты 70-72).</w:t>
      </w:r>
    </w:p>
    <w:p w:rsidR="00000000" w:rsidRDefault="00000000">
      <w:pPr>
        <w:pStyle w:val="BodyTextIndent"/>
        <w:ind w:left="0" w:firstLine="0"/>
        <w:rPr>
          <w:b w:val="0"/>
          <w:bCs w:val="0"/>
        </w:rPr>
      </w:pPr>
    </w:p>
    <w:p w:rsidR="00000000" w:rsidRDefault="00000000">
      <w:r>
        <w:rPr>
          <w:u w:val="single"/>
        </w:rPr>
        <w:t>Рекомендация № 10</w:t>
      </w:r>
      <w:r>
        <w:t>:</w:t>
      </w:r>
      <w:r>
        <w:rPr>
          <w:b/>
          <w:bCs/>
        </w:rPr>
        <w:t xml:space="preserve">  </w:t>
      </w:r>
      <w:r>
        <w:t>"</w:t>
      </w:r>
      <w:r>
        <w:rPr>
          <w:i/>
          <w:iCs/>
        </w:rPr>
        <w:t xml:space="preserve">Кроме того, Комитет отмечает, что государство-участник объявило наказуемым лишь </w:t>
      </w:r>
      <w:r>
        <w:rPr>
          <w:i/>
          <w:iCs/>
          <w:u w:val="single"/>
        </w:rPr>
        <w:t>активное</w:t>
      </w:r>
      <w:r>
        <w:rPr>
          <w:i/>
          <w:iCs/>
        </w:rPr>
        <w:t xml:space="preserve"> участие в организациях, поощряющих расовую дискриминацию и подстрекающих к ней.  Комитет настоятельно призывает государство-участник изучить возможность пересмотра этого положения и объявить наказуемым </w:t>
      </w:r>
      <w:r>
        <w:rPr>
          <w:i/>
          <w:iCs/>
          <w:u w:val="single"/>
        </w:rPr>
        <w:t>любое</w:t>
      </w:r>
      <w:r>
        <w:rPr>
          <w:i/>
          <w:iCs/>
        </w:rPr>
        <w:t xml:space="preserve"> участие в организациях, поощряющих расовую дискриминацию и подстрекающих к ней, в соответствии со статьей 4 </w:t>
      </w:r>
      <w:r>
        <w:rPr>
          <w:i/>
          <w:iCs/>
          <w:lang w:val="en-US"/>
        </w:rPr>
        <w:t>b</w:t>
      </w:r>
      <w:r>
        <w:rPr>
          <w:i/>
          <w:iCs/>
        </w:rPr>
        <w:t>) Конвенции</w:t>
      </w:r>
      <w:r>
        <w:t>".</w:t>
      </w:r>
    </w:p>
    <w:p w:rsidR="00000000" w:rsidRDefault="00000000"/>
    <w:p w:rsidR="00000000" w:rsidRDefault="00000000">
      <w:r>
        <w:t>199.  Положения Уголовного кодекса надлежащим образом охватывают случаи проявления симпатии со стороны лиц и движений, поощряющих расовую дискриминацию.  Наказуемым является не только активное публичное подстрекательство, но и просто создание группы или ассоциации с намерением совершить такое преступление.  Участником такой ассоциации может считаться любое лицо, которое примыкает к ней даже неформально, не ходатайствуя о формальном членстве.  Таким образом, это предусматривает более строгую уголовную санкцию, чем было рекомендовано Комитетом</w:t>
      </w:r>
      <w:r>
        <w:rPr>
          <w:rStyle w:val="FootnoteReference"/>
        </w:rPr>
        <w:footnoteReference w:id="181"/>
      </w:r>
      <w:r>
        <w:t>.</w:t>
      </w:r>
    </w:p>
    <w:p w:rsidR="00000000" w:rsidRDefault="00000000"/>
    <w:p w:rsidR="00000000" w:rsidRDefault="00000000">
      <w:r>
        <w:rPr>
          <w:u w:val="single"/>
        </w:rPr>
        <w:t>Рекомендация № 11</w:t>
      </w:r>
      <w:r>
        <w:t>:  "</w:t>
      </w:r>
      <w:r>
        <w:rPr>
          <w:i/>
          <w:iCs/>
        </w:rPr>
        <w:t>Комитет озабочен утверждениями о случаях жестокого обращения на расовой почве, неэффективной защиты и дискриминации в отношении рома со стороны сотрудников правоохранительных органов, в особенности полиции.  Кроме того, отмечалось, что утверждения о злоупотреблениях, допускаемых сотрудниками правоохранительных органов, не всегда являются предметом оперативного и беспристрастного расследования.  Отмечая многочисленные инициативы в области подготовки и просвещения сотрудников полиции, Комитет подчеркивает, что оперативное беспристрастное расследование является основополагающим в деле борьбы с дискриминационным отношением и поведением.  Комитет рекомендует государству-участнику наращивать его усилия с целью положить конец такой дискриминационной практике.  Он далее рекомендует, чтобы процедуры расследования жалоб на деятельность полиции проводились и контролировались органом, не зависимым от полиции и министерства внутренних дел.  Комитет просит государство-участник включить в свой следующий периодический доклад статистические данные о количестве и характере полученных жалоб на расовую дискриминацию, возбужденных уголовных делах и назначенных наказаниях</w:t>
      </w:r>
      <w:r>
        <w:t>"</w:t>
      </w:r>
      <w:r>
        <w:rPr>
          <w:i/>
          <w:iCs/>
        </w:rPr>
        <w:t>.</w:t>
      </w:r>
    </w:p>
    <w:p w:rsidR="00000000" w:rsidRDefault="00000000"/>
    <w:p w:rsidR="00000000" w:rsidRDefault="00000000">
      <w:r>
        <w:t>200.</w:t>
      </w:r>
      <w:r>
        <w:tab/>
        <w:t xml:space="preserve">Независимый контроль за действиями органов полиции в уголовном производстве осуществляется в рамках системы прокурорского надзора.  В соответствии с поправкой, внесенной в Уголовно-процессуальный закон (Закон № 265/2001 </w:t>
      </w:r>
      <w:proofErr w:type="spellStart"/>
      <w:r>
        <w:rPr>
          <w:lang w:val="en-US"/>
        </w:rPr>
        <w:t>Coll</w:t>
      </w:r>
      <w:proofErr w:type="spellEnd"/>
      <w:r>
        <w:t xml:space="preserve">.), ответчик и потерпевшая сторона в ходе предварительного производства могут ходатайствовать перед прокурором об устранении задержек в процессе разбирательства или нарушений в процессуальных действиях полиции.  Срок подачи такого заявления не лимитирован, и прокурор обязан незамедлительно его рассмотреть.  </w:t>
      </w:r>
    </w:p>
    <w:p w:rsidR="00000000" w:rsidRDefault="00000000"/>
    <w:p w:rsidR="00000000" w:rsidRDefault="00000000">
      <w:r>
        <w:t>201.</w:t>
      </w:r>
      <w:r>
        <w:tab/>
        <w:t>За проведение расследований по факту жалоб на правонарушения сотрудников полиции, не относящиеся к категории преступлений, по</w:t>
      </w:r>
      <w:r>
        <w:noBreakHyphen/>
        <w:t>прежнему отвечают надзорные органы полиции.  Для целей расследования всякого рода правонарушений, совершаемых сотрудниками полиции, пока еще не создано никакого независимого органа, наделенного полномочиями для быстрого и эффективного устранения нарушений.</w:t>
      </w:r>
    </w:p>
    <w:p w:rsidR="00000000" w:rsidRDefault="00000000"/>
    <w:p w:rsidR="00000000" w:rsidRDefault="00000000">
      <w:r>
        <w:t>202.</w:t>
      </w:r>
      <w:r>
        <w:tab/>
        <w:t>Статистические данные о жалобах, касающихся расовой дискриминации, приводятся в разделе, посвященном в статье 5 (пункт 71).</w:t>
      </w:r>
    </w:p>
    <w:p w:rsidR="00000000" w:rsidRDefault="00000000"/>
    <w:p w:rsidR="00000000" w:rsidRDefault="00000000">
      <w:r>
        <w:rPr>
          <w:u w:val="single"/>
        </w:rPr>
        <w:t>Рекомендация № 12</w:t>
      </w:r>
      <w:r>
        <w:t>:  "</w:t>
      </w:r>
      <w:r>
        <w:rPr>
          <w:i/>
          <w:iCs/>
        </w:rPr>
        <w:t xml:space="preserve">Комитет настоятельно призывает государство-участник продолжать и активизировать осуществление программ уменьшения масштабов нищеты и обеспечения занятости для рома, а также рассмотреть возможность создания функциональной системы займов для социально обездоленных слоев населения, включая рома, в качестве альтернативы ростовщичеству.  В этой связи Комитет призывает государство-участник должным образом учитывать положение женщин рома в соответствии с его Общей рекомендацией № </w:t>
      </w:r>
      <w:proofErr w:type="spellStart"/>
      <w:r>
        <w:rPr>
          <w:i/>
          <w:iCs/>
          <w:lang w:val="en-US"/>
        </w:rPr>
        <w:t>XXVII</w:t>
      </w:r>
      <w:proofErr w:type="spellEnd"/>
      <w:r>
        <w:t>".</w:t>
      </w:r>
    </w:p>
    <w:p w:rsidR="00000000" w:rsidRDefault="00000000"/>
    <w:p w:rsidR="00000000" w:rsidRDefault="00000000">
      <w:r>
        <w:t>203.</w:t>
      </w:r>
      <w:r>
        <w:tab/>
        <w:t xml:space="preserve">В отношении программ, направленных на уменьшение масштабов нищеты и поощрение занятости рома, см. раздел, посвященный статье 5 </w:t>
      </w:r>
      <w:proofErr w:type="spellStart"/>
      <w:r>
        <w:t>е</w:t>
      </w:r>
      <w:proofErr w:type="spellEnd"/>
      <w:r>
        <w:t xml:space="preserve"> (пункты 87-97).  В отношении устранения системы ростовщичества см. раздел по статье 2 (пункт 30).  По поводу социальной интеграции см. раздел по статье 5 </w:t>
      </w:r>
      <w:proofErr w:type="spellStart"/>
      <w:r>
        <w:t>е</w:t>
      </w:r>
      <w:proofErr w:type="spellEnd"/>
      <w:r>
        <w:t xml:space="preserve"> (пункты 133-135).  С 1991 года в чешской правовой системе действуют положения о предоставлении займов для социально уязвимых слоев населения.  Порядок предоставления беспроцентных займов гражданам регулируется указом об осуществлении Закона о социальном обеспечении и Закона о полномочиях органов, занимающихся в ЧР вопросами социального обеспечения (№ 182/1991 </w:t>
      </w:r>
      <w:r>
        <w:rPr>
          <w:lang w:val="en-US"/>
        </w:rPr>
        <w:t>Coll</w:t>
      </w:r>
      <w:r>
        <w:t>.).  Беспроцентный займ может быть предоставлен муниципальным органом с расширенными полномочиями лицу из социально уязвимых слоев населения, находящемуся в стесненных жизненных обстоятельствах, которые могут быть преодолены благодаря использованию этого займа, при условии, что соответствующее лицо не может получить заем иным образом.  Максимальная сумма займа составляет 20 000 крон при сроке его погашения до пяти лет.  Заем в обязательном порядке скрепляется соглашением, заключаемым между заемщиком и муниципальным органом.  В этом соглашении оговариваются условия, касающиеся сроков и размера выплат в порядке погашения займа</w:t>
      </w:r>
      <w:r>
        <w:rPr>
          <w:rStyle w:val="FootnoteReference"/>
        </w:rPr>
        <w:footnoteReference w:id="182"/>
      </w:r>
      <w:r>
        <w:t xml:space="preserve">.  </w:t>
      </w:r>
    </w:p>
    <w:p w:rsidR="00000000" w:rsidRDefault="00000000">
      <w:pPr>
        <w:rPr>
          <w:u w:val="single"/>
        </w:rPr>
      </w:pPr>
    </w:p>
    <w:p w:rsidR="00000000" w:rsidRDefault="00000000">
      <w:r>
        <w:rPr>
          <w:u w:val="single"/>
        </w:rPr>
        <w:t>Рекомендация № 13</w:t>
      </w:r>
      <w:r>
        <w:t xml:space="preserve">:  </w:t>
      </w:r>
      <w:r>
        <w:rPr>
          <w:i/>
          <w:iCs/>
        </w:rPr>
        <w:t xml:space="preserve">"Комитет призывает государство-участник продолжать его деятельность по изучению жилищной проблемы и вести поиск решений, способствующих социальной интеграции рома.  В отношении выселения Комитет рекомендует государству-участнику принять меры по предупреждению </w:t>
      </w:r>
      <w:proofErr w:type="spellStart"/>
      <w:r>
        <w:rPr>
          <w:i/>
          <w:iCs/>
        </w:rPr>
        <w:t>выселений</w:t>
      </w:r>
      <w:proofErr w:type="spellEnd"/>
      <w:r>
        <w:rPr>
          <w:i/>
          <w:iCs/>
        </w:rPr>
        <w:t xml:space="preserve"> или сглаживанию их негативных последствий, в частности, применительно к наиболее уязвимым группам"</w:t>
      </w:r>
      <w:r>
        <w:t>.</w:t>
      </w:r>
    </w:p>
    <w:p w:rsidR="00000000" w:rsidRDefault="00000000"/>
    <w:p w:rsidR="00000000" w:rsidRDefault="00000000">
      <w:r>
        <w:t>204.</w:t>
      </w:r>
      <w:r>
        <w:tab/>
        <w:t xml:space="preserve">Информация о выполнении этой рекомендации приводится в разделе, посвященном статье 5 </w:t>
      </w:r>
      <w:proofErr w:type="spellStart"/>
      <w:r>
        <w:t>е</w:t>
      </w:r>
      <w:proofErr w:type="spellEnd"/>
      <w:r>
        <w:t>) (пункты 100</w:t>
      </w:r>
      <w:r>
        <w:noBreakHyphen/>
        <w:t>112;  115</w:t>
      </w:r>
      <w:r>
        <w:noBreakHyphen/>
        <w:t>123).</w:t>
      </w:r>
    </w:p>
    <w:p w:rsidR="00000000" w:rsidRDefault="00000000"/>
    <w:p w:rsidR="00000000" w:rsidRDefault="00000000">
      <w:r>
        <w:rPr>
          <w:u w:val="single"/>
        </w:rPr>
        <w:t>Рекомендация № 14</w:t>
      </w:r>
      <w:r>
        <w:t xml:space="preserve">:  </w:t>
      </w:r>
      <w:r>
        <w:rPr>
          <w:i/>
          <w:iCs/>
        </w:rPr>
        <w:t xml:space="preserve">"Ссылаясь на свою Общую рекомендацию № </w:t>
      </w:r>
      <w:proofErr w:type="spellStart"/>
      <w:r>
        <w:rPr>
          <w:i/>
          <w:iCs/>
          <w:lang w:val="en-US"/>
        </w:rPr>
        <w:t>XXVII</w:t>
      </w:r>
      <w:proofErr w:type="spellEnd"/>
      <w:r>
        <w:rPr>
          <w:i/>
          <w:iCs/>
        </w:rPr>
        <w:t>, Комитет настоятельно призывает правительство продолжать и наращивать усилия по улучшению положения в области образования рома посредством, в частности, приема учащихся в общеобразовательные школы, набора учителей из числа представителей общин рома, а также путем проведения просветительской работы среди преподавателей и других работников системы образования в отношении уклада жизни и мировосприятия детей рома и детей с очевидными трудностями в обучении"</w:t>
      </w:r>
      <w:r>
        <w:t>.</w:t>
      </w:r>
    </w:p>
    <w:p w:rsidR="00000000" w:rsidRDefault="00000000"/>
    <w:p w:rsidR="00000000" w:rsidRDefault="00000000">
      <w:r>
        <w:t>205.</w:t>
      </w:r>
      <w:r>
        <w:tab/>
        <w:t xml:space="preserve">Информация о выполнении этой рекомендации приводится в разделе, посвященном статье 5 </w:t>
      </w:r>
      <w:proofErr w:type="spellStart"/>
      <w:r>
        <w:t>е</w:t>
      </w:r>
      <w:proofErr w:type="spellEnd"/>
      <w:r>
        <w:t>) (пункты 136-147, 180).</w:t>
      </w:r>
    </w:p>
    <w:p w:rsidR="00000000" w:rsidRDefault="00000000"/>
    <w:p w:rsidR="00000000" w:rsidRDefault="00000000">
      <w:r>
        <w:rPr>
          <w:u w:val="single"/>
        </w:rPr>
        <w:t>Рекомендация № 15</w:t>
      </w:r>
      <w:r>
        <w:t xml:space="preserve">:  </w:t>
      </w:r>
      <w:r>
        <w:rPr>
          <w:i/>
          <w:iCs/>
        </w:rPr>
        <w:t>"Комитет призывает государство-участник оперативно создать систему правовой помощи для предполагаемых жертв расизма.  Он просит государство-участник включить в свой следующий периодический доклад данные о числе лиц, воспользовавшихся правовой помощью, а также информацию о делах лиц, получивших адекватное возмещение"</w:t>
      </w:r>
      <w:r>
        <w:t>.</w:t>
      </w:r>
    </w:p>
    <w:p w:rsidR="00000000" w:rsidRDefault="00000000"/>
    <w:p w:rsidR="00000000" w:rsidRDefault="00000000">
      <w:r>
        <w:t>206.</w:t>
      </w:r>
      <w:r>
        <w:tab/>
        <w:t>В ЧР не существует институциональной системы оказания правовой помощи жертвам расизма</w:t>
      </w:r>
      <w:r>
        <w:rPr>
          <w:rStyle w:val="FootnoteReference"/>
        </w:rPr>
        <w:footnoteReference w:id="183"/>
      </w:r>
      <w:r>
        <w:t>.  Министерство юстиции принимает меры для выплаты компенсации жертвам преступлений в соответствии с Законом о финансовой помощи жертвам преступлений (№ 209/1997 Coll.).  Это позволяет предоставлять финансовую помощь в том случае, если соответствующий ущерб не возмещается правонарушителем.  Однако такая помощь предоставляется не только жертвам конкретных преступлений, совершаемых на расовой почве, а носит всеобщий характер.  Известно лишь небольшое число случаев выплаты финансовой помощи жертвам преступлений, предположительно имеющих расовую мотивацию, и данные о жертвах таких преступлений в сфере статистики конкретно не отслеживаются.</w:t>
      </w:r>
    </w:p>
    <w:p w:rsidR="00000000" w:rsidRDefault="00000000"/>
    <w:p w:rsidR="00000000" w:rsidRDefault="00000000">
      <w:r>
        <w:rPr>
          <w:u w:val="single"/>
        </w:rPr>
        <w:t>Рекомендация № 16</w:t>
      </w:r>
      <w:r>
        <w:t xml:space="preserve">:  </w:t>
      </w:r>
      <w:r>
        <w:rPr>
          <w:i/>
          <w:iCs/>
        </w:rPr>
        <w:t>"Комитет рекомендует государству-участнику продолжать и расширять проведение антирасистских кампаний, а также предпринимать другие усилия, направленные на борьбу с расовой и этнической стереотипизацией.  Он рекомендует государству-участнику при проведении мероприятий в области государственного образования продолжать проведение и диверсификацию адресных программ подготовки специалистов, таких, как сотрудники полиции, судьи и другие государственные служащие, работающие с представителями рома и других уязвимых групп"</w:t>
      </w:r>
      <w:r>
        <w:t>.</w:t>
      </w:r>
    </w:p>
    <w:p w:rsidR="00000000" w:rsidRDefault="00000000"/>
    <w:p w:rsidR="00000000" w:rsidRDefault="00000000">
      <w:r>
        <w:t>207.</w:t>
      </w:r>
      <w:r>
        <w:tab/>
        <w:t>Информация о выполнении этой рекомендации содержится в разделе, посвященном статье 7 (пункты 178</w:t>
      </w:r>
      <w:r>
        <w:noBreakHyphen/>
        <w:t>195).</w:t>
      </w:r>
    </w:p>
    <w:p w:rsidR="00000000" w:rsidRDefault="00000000"/>
    <w:p w:rsidR="00000000" w:rsidRDefault="00000000">
      <w:r>
        <w:rPr>
          <w:u w:val="single"/>
        </w:rPr>
        <w:t>Рекомендация № 17</w:t>
      </w:r>
      <w:r>
        <w:t xml:space="preserve">:  </w:t>
      </w:r>
      <w:r>
        <w:rPr>
          <w:i/>
          <w:iCs/>
        </w:rPr>
        <w:t>"Комитет обращается к государству-участнику с призывом при подготовке своего следующего периодического доклада проводить консультации с организациями гражданского общества, ведущими борьбу с расовой дискриминацией"</w:t>
      </w:r>
      <w:r>
        <w:t>.</w:t>
      </w:r>
    </w:p>
    <w:p w:rsidR="00000000" w:rsidRDefault="00000000"/>
    <w:p w:rsidR="00000000" w:rsidRDefault="00000000">
      <w:pPr>
        <w:rPr>
          <w:iCs/>
        </w:rPr>
      </w:pPr>
      <w:r>
        <w:t>208.</w:t>
      </w:r>
      <w:r>
        <w:tab/>
        <w:t xml:space="preserve">При подготовке настоящего доклада были использованы документы неправительственной, некоммерческой организации </w:t>
      </w:r>
      <w:proofErr w:type="spellStart"/>
      <w:r>
        <w:rPr>
          <w:i/>
          <w:lang w:val="en-GB"/>
        </w:rPr>
        <w:t>Poradna</w:t>
      </w:r>
      <w:proofErr w:type="spellEnd"/>
      <w:r>
        <w:rPr>
          <w:i/>
        </w:rPr>
        <w:t xml:space="preserve"> </w:t>
      </w:r>
      <w:r>
        <w:rPr>
          <w:i/>
          <w:lang w:val="en-GB"/>
        </w:rPr>
        <w:t>pro</w:t>
      </w:r>
      <w:r>
        <w:rPr>
          <w:i/>
        </w:rPr>
        <w:t xml:space="preserve"> </w:t>
      </w:r>
      <w:r>
        <w:rPr>
          <w:i/>
          <w:lang w:val="en-GB"/>
        </w:rPr>
        <w:t>ob</w:t>
      </w:r>
      <w:proofErr w:type="spellStart"/>
      <w:r>
        <w:rPr>
          <w:i/>
        </w:rPr>
        <w:t>č</w:t>
      </w:r>
      <w:r>
        <w:rPr>
          <w:i/>
          <w:lang w:val="en-GB"/>
        </w:rPr>
        <w:t>anstv</w:t>
      </w:r>
      <w:r>
        <w:rPr>
          <w:i/>
        </w:rPr>
        <w:t>í</w:t>
      </w:r>
      <w:proofErr w:type="spellEnd"/>
      <w:r>
        <w:rPr>
          <w:i/>
        </w:rPr>
        <w:t xml:space="preserve">, </w:t>
      </w:r>
      <w:r>
        <w:rPr>
          <w:i/>
          <w:lang w:val="en-GB"/>
        </w:rPr>
        <w:t>ob</w:t>
      </w:r>
      <w:proofErr w:type="spellStart"/>
      <w:r>
        <w:rPr>
          <w:i/>
        </w:rPr>
        <w:t>č</w:t>
      </w:r>
      <w:r>
        <w:rPr>
          <w:i/>
          <w:lang w:val="en-GB"/>
        </w:rPr>
        <w:t>ansk</w:t>
      </w:r>
      <w:r>
        <w:rPr>
          <w:i/>
        </w:rPr>
        <w:t>á</w:t>
      </w:r>
      <w:proofErr w:type="spellEnd"/>
      <w:r>
        <w:rPr>
          <w:i/>
        </w:rPr>
        <w:t xml:space="preserve"> </w:t>
      </w:r>
      <w:r>
        <w:rPr>
          <w:i/>
          <w:lang w:val="en-GB"/>
        </w:rPr>
        <w:t>a</w:t>
      </w:r>
      <w:r>
        <w:rPr>
          <w:i/>
        </w:rPr>
        <w:t xml:space="preserve"> </w:t>
      </w:r>
      <w:proofErr w:type="spellStart"/>
      <w:r>
        <w:rPr>
          <w:i/>
          <w:lang w:val="en-GB"/>
        </w:rPr>
        <w:t>lidsk</w:t>
      </w:r>
      <w:r>
        <w:rPr>
          <w:i/>
        </w:rPr>
        <w:t>á</w:t>
      </w:r>
      <w:proofErr w:type="spellEnd"/>
      <w:r>
        <w:rPr>
          <w:i/>
        </w:rPr>
        <w:t xml:space="preserve"> </w:t>
      </w:r>
      <w:r>
        <w:rPr>
          <w:i/>
          <w:lang w:val="en-GB"/>
        </w:rPr>
        <w:t>pr</w:t>
      </w:r>
      <w:proofErr w:type="spellStart"/>
      <w:r>
        <w:rPr>
          <w:i/>
        </w:rPr>
        <w:t>á</w:t>
      </w:r>
      <w:r>
        <w:rPr>
          <w:i/>
          <w:lang w:val="en-GB"/>
        </w:rPr>
        <w:t>va</w:t>
      </w:r>
      <w:proofErr w:type="spellEnd"/>
      <w:r>
        <w:rPr>
          <w:iCs/>
        </w:rPr>
        <w:t xml:space="preserve"> (Центр консультирования по вопросам гражданства, гражданственности и прав человека)</w:t>
      </w:r>
      <w:r>
        <w:rPr>
          <w:rStyle w:val="FootnoteReference"/>
          <w:iCs/>
        </w:rPr>
        <w:footnoteReference w:id="184"/>
      </w:r>
      <w:r>
        <w:rPr>
          <w:iCs/>
        </w:rPr>
        <w:t>, которая занимается защитой прав человека и активно отстаивает интересы лиц, подвергшихся дискриминации.  Сотрудники данной организации также выступают в качестве законных представителей этих лиц при разбирательстве дел чешскими судами (см. раздел, посвященный дискриминации в области жилья и доступа к занятости).  В процессе подготовки доклада мы также связывались с членами Совета по правам человека и его рабочим органом </w:t>
      </w:r>
      <w:r>
        <w:rPr>
          <w:iCs/>
        </w:rPr>
        <w:noBreakHyphen/>
        <w:t xml:space="preserve"> Комитетом по ликвидации всех форм расовой дискриминации, а также с представителями гражданского общества, профильных государственных организаций и научных учреждений.</w:t>
      </w:r>
    </w:p>
    <w:p w:rsidR="00000000" w:rsidRDefault="00000000">
      <w:pPr>
        <w:rPr>
          <w:iCs/>
        </w:rPr>
      </w:pPr>
    </w:p>
    <w:p w:rsidR="00000000" w:rsidRDefault="00000000">
      <w:r>
        <w:rPr>
          <w:iCs/>
          <w:u w:val="single"/>
        </w:rPr>
        <w:t>Рекомендация № 18</w:t>
      </w:r>
      <w:r>
        <w:rPr>
          <w:iCs/>
        </w:rPr>
        <w:t xml:space="preserve">:  </w:t>
      </w:r>
      <w:r>
        <w:rPr>
          <w:i/>
        </w:rPr>
        <w:t>"Комитет рекомендует государству-участнику обеспечить широкое распространение информации об имеющихся внутренних средствах правовой защиты от актов расовой дискриминации, о юридических возможностях получения компенсации в случае дискриминации и о процедуре подачи индивидуальных жалоб в соответствии со статьей 14 Конвенции"</w:t>
      </w:r>
      <w:r>
        <w:t>.</w:t>
      </w:r>
    </w:p>
    <w:p w:rsidR="00000000" w:rsidRDefault="00000000"/>
    <w:p w:rsidR="00000000" w:rsidRDefault="00000000">
      <w:r>
        <w:t>209.</w:t>
      </w:r>
      <w:r>
        <w:tab/>
        <w:t>ЧР распространяет информацию на общей основе через различные правительственные министерства и их пресс-службы.  Проблемная информация регулярно публикуется на вебстраницах министерств.  Информация о правовых процедурах получения компенсации публикуется на Интернет-портале министерства юстиции</w:t>
      </w:r>
      <w:r>
        <w:rPr>
          <w:rStyle w:val="FootnoteReference"/>
        </w:rPr>
        <w:footnoteReference w:id="185"/>
      </w:r>
      <w:r>
        <w:t>.  Он также содержит информацию о финансовой помощи, предоставляемой жертвам преступлений, включая соответствующее законодательство и бланки заявлений на получение финансовой помощи.  Кроме того, министерство юстиции предоставляет информацию непосредственно при поступлении соответствующей просьбы по электронной почте, посредством обычной письменной корреспонденции и через средства массовой информации.  В дополнение к этому некоторая информация по данному вопросу публикуется в вестнике министерства.  Что касается трудовых отношений и занятости, то министерство информирует соответствующее физическое лицо о возможностях получения помощи со стороны надзорных органов в случае дискриминационной практики.</w:t>
      </w:r>
    </w:p>
    <w:p w:rsidR="00000000" w:rsidRDefault="00000000"/>
    <w:p w:rsidR="00000000" w:rsidRDefault="00000000">
      <w:r>
        <w:rPr>
          <w:u w:val="single"/>
        </w:rPr>
        <w:t>Рекомендация № 19</w:t>
      </w:r>
      <w:r>
        <w:t xml:space="preserve">:  </w:t>
      </w:r>
      <w:r>
        <w:rPr>
          <w:i/>
          <w:iCs/>
        </w:rPr>
        <w:t>"Комитет предлагает государству-участнику включить в свой следующий периодический доклад информацию о Национальном плане действий и о других мероприятиях по осуществлению Дурбанской декларации и Программы действий на национальном уровне"</w:t>
      </w:r>
      <w:r>
        <w:t>.</w:t>
      </w:r>
    </w:p>
    <w:p w:rsidR="00000000" w:rsidRDefault="00000000"/>
    <w:p w:rsidR="00000000" w:rsidRDefault="00000000">
      <w:r>
        <w:t>210.</w:t>
      </w:r>
      <w:r>
        <w:tab/>
        <w:t>Информация о выполнении этой рекомендации содержится в разделе, посвященном статье 4 (пункт 60).</w:t>
      </w:r>
    </w:p>
    <w:p w:rsidR="00000000" w:rsidRDefault="00000000"/>
    <w:p w:rsidR="00000000" w:rsidRDefault="00000000">
      <w:r>
        <w:rPr>
          <w:u w:val="single"/>
        </w:rPr>
        <w:t>Рекомендация № 20</w:t>
      </w:r>
      <w:r>
        <w:t xml:space="preserve">:  </w:t>
      </w:r>
      <w:r>
        <w:rPr>
          <w:i/>
          <w:iCs/>
        </w:rPr>
        <w:t>"Комитет рекомендует государству-участнику обеспечивать широкое распространение его докладов с момента их представления и предавать широкой огласке замечания Комитета по этим докладам"</w:t>
      </w:r>
      <w:r>
        <w:t>.</w:t>
      </w:r>
    </w:p>
    <w:p w:rsidR="00000000" w:rsidRDefault="00000000"/>
    <w:p w:rsidR="00000000" w:rsidRDefault="00000000">
      <w:r>
        <w:t>211.</w:t>
      </w:r>
      <w:r>
        <w:tab/>
        <w:t xml:space="preserve">Доклады об осуществлении Международной конвенции о ликвидации всех форм расовой дискриминации и рекомендации Комитета по этим докладам публикуются на </w:t>
      </w:r>
      <w:proofErr w:type="spellStart"/>
      <w:r>
        <w:t>вебстраницах</w:t>
      </w:r>
      <w:proofErr w:type="spellEnd"/>
      <w:r>
        <w:t xml:space="preserve"> канцелярии правительства </w:t>
      </w:r>
      <w:proofErr w:type="spellStart"/>
      <w:r>
        <w:t>ЧР</w:t>
      </w:r>
      <w:proofErr w:type="spellEnd"/>
      <w:r>
        <w:t xml:space="preserve"> (</w:t>
      </w:r>
      <w:hyperlink r:id="rId9" w:history="1">
        <w:r>
          <w:rPr>
            <w:rStyle w:val="Hyperlink"/>
            <w:u w:val="none"/>
            <w:lang w:val="en-GB"/>
          </w:rPr>
          <w:t>www</w:t>
        </w:r>
        <w:r>
          <w:rPr>
            <w:rStyle w:val="Hyperlink"/>
            <w:u w:val="none"/>
          </w:rPr>
          <w:t>.</w:t>
        </w:r>
        <w:proofErr w:type="spellStart"/>
        <w:r>
          <w:rPr>
            <w:rStyle w:val="Hyperlink"/>
            <w:u w:val="none"/>
            <w:lang w:val="en-GB"/>
          </w:rPr>
          <w:t>vlada</w:t>
        </w:r>
        <w:proofErr w:type="spellEnd"/>
        <w:r>
          <w:rPr>
            <w:rStyle w:val="Hyperlink"/>
            <w:u w:val="none"/>
          </w:rPr>
          <w:t>.</w:t>
        </w:r>
        <w:proofErr w:type="spellStart"/>
        <w:r>
          <w:rPr>
            <w:rStyle w:val="Hyperlink"/>
            <w:u w:val="none"/>
            <w:lang w:val="en-GB"/>
          </w:rPr>
          <w:t>cz</w:t>
        </w:r>
        <w:proofErr w:type="spellEnd"/>
      </w:hyperlink>
      <w:r>
        <w:t>).  Шестой и седьмой периодические доклады будут размещены на этих страницах после их представления Комитету.</w:t>
      </w:r>
    </w:p>
    <w:p w:rsidR="00000000" w:rsidRDefault="00000000"/>
    <w:p w:rsidR="00000000" w:rsidRDefault="00000000"/>
    <w:p w:rsidR="00000000" w:rsidRDefault="00000000">
      <w:pPr>
        <w:jc w:val="center"/>
      </w:pPr>
      <w:r>
        <w:t>-----</w:t>
      </w:r>
    </w:p>
    <w:sectPr w:rsidR="00000000">
      <w:headerReference w:type="even" r:id="rId10"/>
      <w:headerReference w:type="default" r:id="rId11"/>
      <w:footerReference w:type="even"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Настоящий документ содержит шестой и седьмой периодические доклады Чешской Республики, подлежавшие представлению 9 января 2006 года, которые представляются в одном документе.  Пятый периодический доклад и краткие отчеты о работе заседаний, на которых Комитет рассмотрел этот доклад, приведены в документах </w:t>
      </w:r>
      <w:r>
        <w:rPr>
          <w:lang w:val="en-US"/>
        </w:rPr>
        <w:t>CERD</w:t>
      </w:r>
      <w:r>
        <w:t>/</w:t>
      </w:r>
      <w:r>
        <w:rPr>
          <w:lang w:val="en-US"/>
        </w:rPr>
        <w:t>C</w:t>
      </w:r>
      <w:r>
        <w:t>/419/</w:t>
      </w:r>
      <w:r>
        <w:rPr>
          <w:lang w:val="en-US"/>
        </w:rPr>
        <w:t>Add</w:t>
      </w:r>
      <w:r>
        <w:t xml:space="preserve">.1 и </w:t>
      </w:r>
      <w:r>
        <w:rPr>
          <w:lang w:val="en-US"/>
        </w:rPr>
        <w:t>CERD</w:t>
      </w:r>
      <w:r>
        <w:t>/</w:t>
      </w:r>
      <w:r>
        <w:rPr>
          <w:lang w:val="en-US"/>
        </w:rPr>
        <w:t>C</w:t>
      </w:r>
      <w:r>
        <w:t>/</w:t>
      </w:r>
      <w:r>
        <w:rPr>
          <w:lang w:val="en-US"/>
        </w:rPr>
        <w:t>SR</w:t>
      </w:r>
      <w:r>
        <w:t>.1590-1592 и 1603.</w:t>
      </w:r>
    </w:p>
    <w:p w:rsidR="00000000" w:rsidRDefault="00000000">
      <w:pPr>
        <w:pStyle w:val="FootnoteText"/>
      </w:pPr>
    </w:p>
  </w:footnote>
  <w:footnote w:id="2">
    <w:p w:rsidR="00000000" w:rsidRDefault="00000000">
      <w:pPr>
        <w:pStyle w:val="FootnoteText"/>
      </w:pPr>
      <w:r>
        <w:rPr>
          <w:rStyle w:val="FootnoteReference"/>
        </w:rPr>
        <w:t>**</w:t>
      </w:r>
      <w:r>
        <w:t xml:space="preserve"> </w:t>
      </w:r>
      <w:r>
        <w:tab/>
        <w:t>В соответствии с информацией, направленной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pP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См. также пункт 30.</w:t>
      </w:r>
    </w:p>
    <w:p w:rsidR="00000000" w:rsidRDefault="00000000">
      <w:pPr>
        <w:pStyle w:val="FootnoteText"/>
      </w:pPr>
    </w:p>
  </w:footnote>
  <w:footnote w:id="4">
    <w:p w:rsidR="00000000" w:rsidRDefault="00000000">
      <w:pPr>
        <w:spacing w:line="240" w:lineRule="auto"/>
      </w:pPr>
      <w:r>
        <w:rPr>
          <w:rStyle w:val="FootnoteReference"/>
        </w:rPr>
        <w:footnoteRef/>
      </w:r>
      <w:r>
        <w:t xml:space="preserve"> </w:t>
      </w:r>
      <w:r>
        <w:tab/>
        <w:t>С этим докладами можно ознакомиться на вебсайте Государственного совета по делам национальных меньшинств (</w:t>
      </w:r>
      <w:hyperlink r:id="rId1" w:history="1">
        <w:r>
          <w:rPr>
            <w:lang w:val="en-US"/>
          </w:rPr>
          <w:t>http</w:t>
        </w:r>
        <w:r>
          <w:t>://</w:t>
        </w:r>
        <w:r>
          <w:rPr>
            <w:lang w:val="en-US"/>
          </w:rPr>
          <w:t>wtd</w:t>
        </w:r>
        <w:r>
          <w:t>.</w:t>
        </w:r>
        <w:r>
          <w:rPr>
            <w:lang w:val="en-US"/>
          </w:rPr>
          <w:t>vlada</w:t>
        </w:r>
        <w:r>
          <w:t>.</w:t>
        </w:r>
        <w:r>
          <w:rPr>
            <w:lang w:val="en-US"/>
          </w:rPr>
          <w:t>cz</w:t>
        </w:r>
        <w:r>
          <w:t>/</w:t>
        </w:r>
        <w:r>
          <w:rPr>
            <w:lang w:val="en-US"/>
          </w:rPr>
          <w:t>pages</w:t>
        </w:r>
        <w:r>
          <w:t>/</w:t>
        </w:r>
        <w:r>
          <w:rPr>
            <w:lang w:val="en-US"/>
          </w:rPr>
          <w:t>rvk</w:t>
        </w:r>
        <w:r>
          <w:t>_</w:t>
        </w:r>
        <w:r>
          <w:rPr>
            <w:lang w:val="en-US"/>
          </w:rPr>
          <w:t>rmn</w:t>
        </w:r>
        <w:r>
          <w:t>.</w:t>
        </w:r>
        <w:r>
          <w:rPr>
            <w:lang w:val="en-US"/>
          </w:rPr>
          <w:t>htm</w:t>
        </w:r>
      </w:hyperlink>
      <w:r>
        <w:t>), либо в публикациях, выпускаемых канцелярией правительства ЧР.</w:t>
      </w:r>
    </w:p>
    <w:p w:rsidR="00000000" w:rsidRDefault="00000000">
      <w:pPr>
        <w:spacing w:line="240" w:lineRule="auto"/>
      </w:pPr>
    </w:p>
  </w:footnote>
  <w:footnote w:id="5">
    <w:p w:rsidR="00000000" w:rsidRDefault="00000000">
      <w:pPr>
        <w:pStyle w:val="FootnoteText"/>
      </w:pPr>
      <w:r>
        <w:rPr>
          <w:rStyle w:val="FootnoteReference"/>
        </w:rPr>
        <w:footnoteRef/>
      </w:r>
      <w:r>
        <w:t xml:space="preserve"> </w:t>
      </w:r>
      <w:r>
        <w:tab/>
        <w:t>В 2005 году в ЧР был издан доклад о положении общины рома в 2004 году.  Правительство приняло его к сведению в своем постановлении № 276 от 9 марта.  Этот доклад также опубликован на вебстраницах канцелярии правительства (</w:t>
      </w:r>
      <w:r>
        <w:rPr>
          <w:lang w:val="en-US"/>
        </w:rPr>
        <w:t>www</w:t>
      </w:r>
      <w:r>
        <w:t>.</w:t>
      </w:r>
      <w:r>
        <w:rPr>
          <w:lang w:val="en-US"/>
        </w:rPr>
        <w:t>vlada</w:t>
      </w:r>
      <w:r>
        <w:t>.</w:t>
      </w:r>
      <w:r>
        <w:rPr>
          <w:lang w:val="en-US"/>
        </w:rPr>
        <w:t>cz</w:t>
      </w:r>
      <w:r>
        <w:t>).</w:t>
      </w:r>
    </w:p>
  </w:footnote>
  <w:footnote w:id="6">
    <w:p w:rsidR="00000000" w:rsidRDefault="00000000">
      <w:pPr>
        <w:pStyle w:val="FootnoteText"/>
      </w:pPr>
      <w:r>
        <w:rPr>
          <w:rStyle w:val="FootnoteReference"/>
        </w:rPr>
        <w:footnoteRef/>
      </w:r>
      <w:r>
        <w:t xml:space="preserve"> </w:t>
      </w:r>
      <w:r>
        <w:tab/>
        <w:t>Порядок предоставления постоянного вида на жительство в ЧР регулируется положениями Закона № 326/1999 о пребывании иностранцев на территории ЧР с внесенными в него поправками.  Согласно статье 64 а) этого Закона, иностранец может проживать в ЧР постоянно на основе вида на жительство или решения соответствующего органа о помещении иностранного гражданина на попечение.  Каждый иностранец имеет право подать ходатайство о предоставлении ему вида на жительство после 10 лет непрерывного проживания в стране на основании долгосрочной визы или разрешения на долгосрочное проживание (после присоединения ЧР к ЕС).  При определенных условиях иностранец может также обратиться с просьбой о предоставлении ему вида на жительство после восьми лет пребывания в стране.  Требования в отношении предыдущего непрерывного периода проживания не действуют для иностранца, который обращается с ходатайством о предоставлении ему вида на жительство в целях заключения брака с лицом, имеющим чешское гражданство, если он подает ходатайство по гуманитарным соображениям, если предоставление ему постоянного вида на жительство отвечает интересам ЧР, если он или она является необеспечиваемым ребенком иностранца, уже проживающего в ЧР на основании вида на жительство.</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 xml:space="preserve">То есть это – временное проживание граждан ЕС, виза на срок свыше 90 дней и долгосрочный вид на жительство для граждан стран, не входящих в ЕС.  Виза на срок пребывания свыше 90 дней (тип </w:t>
      </w:r>
      <w:r>
        <w:rPr>
          <w:lang w:val="en-US"/>
        </w:rPr>
        <w:t>D</w:t>
      </w:r>
      <w:r>
        <w:t xml:space="preserve">) представляет собой долгосрочную визу и также предоставляется в соответствии с положениями Закона № 326/199 </w:t>
      </w:r>
      <w:r>
        <w:rPr>
          <w:lang w:val="en-US"/>
        </w:rPr>
        <w:t>Coll</w:t>
      </w:r>
      <w:r>
        <w:t>.  Эта виза выдается в полиции по просьбе иностранца, намеревающегося пробыть в ЧР с целью, требующей более 3 месяцев, в том случае, если его пребывание в стране не продиктовано гуманитарными соображениями или соображениями временной защиты.  Разрешение на проживание на основании такой визы может неоднократно продлеваться, но не может превышать максимальную продолжительность действия визы (т.е. один год).  Дальнейшее пребывание иностранца на территории ЧР, если его цель не меняется, должно осуществляться на основании долгосрочного вида на жительство.</w:t>
      </w:r>
    </w:p>
  </w:footnote>
  <w:footnote w:id="8">
    <w:p w:rsidR="00000000" w:rsidRDefault="00000000">
      <w:pPr>
        <w:pStyle w:val="FootnoteText"/>
      </w:pPr>
      <w:r>
        <w:rPr>
          <w:rStyle w:val="FootnoteReference"/>
        </w:rPr>
        <w:footnoteRef/>
      </w:r>
      <w:r>
        <w:t xml:space="preserve"> </w:t>
      </w:r>
      <w:r>
        <w:tab/>
        <w:t>ЧР стала членом ЕС 1 мая 2004 года.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В частности, Закон № 326/1999 о порядке проживания иностранцев на территории ЧР, в который были внесены поправки в соответствии с несколькими законами, в том числе Законом № 217/2002 и Законом № 222/2003.</w:t>
      </w:r>
    </w:p>
  </w:footnote>
  <w:footnote w:id="10">
    <w:p w:rsidR="00000000" w:rsidRDefault="00000000">
      <w:pPr>
        <w:pStyle w:val="FootnoteText"/>
        <w:rPr>
          <w:lang w:val="en-US"/>
        </w:rPr>
      </w:pPr>
      <w:r>
        <w:rPr>
          <w:rStyle w:val="FootnoteReference"/>
        </w:rPr>
        <w:footnoteRef/>
      </w:r>
      <w:r>
        <w:t xml:space="preserve"> </w:t>
      </w:r>
      <w:r>
        <w:tab/>
        <w:t>В соответствии с Постановлением правительства № 1160 от 19 ноября 2003 года и Постановлением правительства № 396 от 28 апреля (см. </w:t>
      </w:r>
      <w:hyperlink r:id="rId2" w:history="1">
        <w:r>
          <w:rPr>
            <w:rStyle w:val="Hyperlink"/>
            <w:u w:val="none"/>
            <w:lang w:val="en-US"/>
          </w:rPr>
          <w:t>http://vladce.vlada.cz/apac/www.htm</w:t>
        </w:r>
      </w:hyperlink>
      <w:r>
        <w:rPr>
          <w:lang w:val="en-US"/>
        </w:rPr>
        <w:t>).</w:t>
      </w:r>
    </w:p>
    <w:p w:rsidR="00000000" w:rsidRDefault="00000000">
      <w:pPr>
        <w:pStyle w:val="FootnoteText"/>
        <w:rPr>
          <w:lang w:val="en-US"/>
        </w:rPr>
      </w:pPr>
    </w:p>
  </w:footnote>
  <w:footnote w:id="11">
    <w:p w:rsidR="00000000" w:rsidRDefault="00000000">
      <w:pPr>
        <w:spacing w:line="240" w:lineRule="auto"/>
      </w:pPr>
      <w:r>
        <w:rPr>
          <w:rStyle w:val="FootnoteReference"/>
          <w:lang w:val="en-GB"/>
        </w:rPr>
        <w:footnoteRef/>
      </w:r>
      <w:r>
        <w:t xml:space="preserve"> </w:t>
      </w:r>
      <w:r>
        <w:tab/>
        <w:t>Постановление Совета</w:t>
      </w:r>
      <w:r>
        <w:rPr>
          <w:lang w:val="en-GB"/>
        </w:rPr>
        <w:t> </w:t>
      </w:r>
      <w:r>
        <w:t>№</w:t>
      </w:r>
      <w:r>
        <w:rPr>
          <w:lang w:val="en-GB"/>
        </w:rPr>
        <w:t> </w:t>
      </w:r>
      <w:r>
        <w:t>343/2003 от 18</w:t>
      </w:r>
      <w:r>
        <w:rPr>
          <w:lang w:val="en-GB"/>
        </w:rPr>
        <w:t> </w:t>
      </w:r>
      <w:r>
        <w:t>февраля 2003</w:t>
      </w:r>
      <w:r>
        <w:rPr>
          <w:lang w:val="en-GB"/>
        </w:rPr>
        <w:t> </w:t>
      </w:r>
      <w:r>
        <w:t>года, в котором устанавливаются критерии и механизмы определения государства-члена, несущего ответственность за рассмотрение ходатайства о предоставлении убежища, представленного в одном из государств-членов гражданином третьей страны.  В</w:t>
      </w:r>
      <w:r>
        <w:rPr>
          <w:lang w:val="en-GB"/>
        </w:rPr>
        <w:t> </w:t>
      </w:r>
      <w:r>
        <w:t>этом Постановлении оговариваются механизмы определения государства-члена, отвечающего за рассмотрение ходатайства о предоставлении убежища лицу, являющемуся гражданином третьей страны, в одном из государств-членов (суть Постановления состоит в том, что ходатайство о предоставлении убежища должно рассматриваться лишь в одном из государств </w:t>
      </w:r>
      <w:r>
        <w:noBreakHyphen/>
        <w:t xml:space="preserve"> членов ЕС.</w:t>
      </w:r>
    </w:p>
  </w:footnote>
  <w:footnote w:id="12">
    <w:p w:rsidR="00000000" w:rsidRDefault="00000000">
      <w:pPr>
        <w:pStyle w:val="FootnoteText"/>
      </w:pPr>
      <w:r>
        <w:rPr>
          <w:rStyle w:val="FootnoteReference"/>
        </w:rPr>
        <w:footnoteRef/>
      </w:r>
      <w:r>
        <w:t xml:space="preserve"> </w:t>
      </w:r>
      <w:r>
        <w:tab/>
        <w:t>Международная конвенция о ликвидации всех форм расовой дискриминации, Конвенция о ликвидации всех форм дискриминации в отношении женщин, Международный пакт о гражданских и политических правах, Международный пакт об экономических, социальных и культурных правах и Конвенция о правах ребенка.</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В соответствии с Законом о сборнике правовых норм и сборнике международных договоров (№. 309/1999</w:t>
      </w:r>
      <w:r>
        <w:rPr>
          <w:lang w:val="en-US"/>
        </w:rPr>
        <w:t> Coll</w:t>
      </w:r>
      <w:r>
        <w:t>.) международные договоры публикуются в Сборнике международных договоров.  Сборник законов и сборник международных договоров являются официальными документами для публикации юридически обязательных правовых норм.</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Поправка к Закону (№ 182/1993 Coll.) о Конституционном суде была введена в действие Законом № 48/2002 </w:t>
      </w:r>
      <w:r>
        <w:rPr>
          <w:lang w:val="en-US"/>
        </w:rPr>
        <w:t>Coll</w:t>
      </w:r>
      <w:r>
        <w:t>.</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Эта поправка, введенная Законом 151/2002 </w:t>
      </w:r>
      <w:r>
        <w:rPr>
          <w:lang w:val="en-US"/>
        </w:rPr>
        <w:t>Coll</w:t>
      </w:r>
      <w:r>
        <w:t>., вводит изменения в некоторые нормативные акты, касающиеся принятия Административно-процессуального кодекса.  В</w:t>
      </w:r>
      <w:r>
        <w:rPr>
          <w:lang w:val="en-US"/>
        </w:rPr>
        <w:t> </w:t>
      </w:r>
      <w:r>
        <w:t>отношении условий для переноса бремени доказывания см. статью 6.</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Данная поправка была введена Законом № 46/2004 </w:t>
      </w:r>
      <w:r>
        <w:rPr>
          <w:lang w:val="en-US"/>
        </w:rPr>
        <w:t>Coll</w:t>
      </w:r>
      <w:r>
        <w:t xml:space="preserve">., которым вносятся изменения в Закон № 65/1965 </w:t>
      </w:r>
      <w:r>
        <w:rPr>
          <w:lang w:val="en-US"/>
        </w:rPr>
        <w:t>Coll</w:t>
      </w:r>
      <w:r>
        <w:t xml:space="preserve">., Трудовой кодекс, а также в Закон № 312/2002 </w:t>
      </w:r>
      <w:r>
        <w:rPr>
          <w:lang w:val="en-US"/>
        </w:rPr>
        <w:t>Coll</w:t>
      </w:r>
      <w:r>
        <w:t>. о должностных лицах территориальных органов самоуправления.  Данная норма вступила в</w:t>
      </w:r>
      <w:r>
        <w:rPr>
          <w:lang w:val="en-US"/>
        </w:rPr>
        <w:t> </w:t>
      </w:r>
      <w:r>
        <w:t>силу 1 марта 2004 года.</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Директива 2002/73/ЕС о внесении поправок в Директиву Совета 76/207/ЕЕС об осуществлении принципа равных возможностей мужчин и женщин применительно к доступу к трудоустройству, профессионально-технической подготовке и продвижению по службе, а</w:t>
      </w:r>
      <w:r>
        <w:rPr>
          <w:lang w:val="en-US"/>
        </w:rPr>
        <w:t> </w:t>
      </w:r>
      <w:r>
        <w:t>также условиям труда.  Директива 2000/78/ЕС, определяющая общие условия для обеспечения равных возможностей в сфере труда и занятости.  Директива 2000/43/ЕС, касающаяся осуществления принципа равных возможностей лиц вне зависимости от их расового или этнического происхождения.</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Более подробно см. 1.5.</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Данная поправка была введена Законом № 254/2002 Coll.  Информацию о мерах защиты от дискриминации см. в статье 6.</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Подробнее см. статью 5.</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Данное изменение было введено Законом Nо. 265/2001 Соll.</w:t>
      </w:r>
    </w:p>
    <w:p w:rsidR="00000000" w:rsidRDefault="00000000">
      <w:pPr>
        <w:pStyle w:val="FootnoteText"/>
      </w:pPr>
    </w:p>
  </w:footnote>
  <w:footnote w:id="22">
    <w:p w:rsidR="00000000" w:rsidRDefault="00000000">
      <w:pPr>
        <w:pStyle w:val="FootnoteText"/>
        <w:rPr>
          <w:lang w:val="en-US"/>
        </w:rPr>
      </w:pPr>
      <w:r>
        <w:rPr>
          <w:rStyle w:val="FootnoteReference"/>
        </w:rPr>
        <w:footnoteRef/>
      </w:r>
      <w:r>
        <w:t xml:space="preserve"> </w:t>
      </w:r>
      <w:r>
        <w:tab/>
        <w:t>Имплементирована Законом Nо. 341/2004 Соll.</w:t>
      </w:r>
    </w:p>
    <w:p w:rsidR="00000000" w:rsidRDefault="00000000">
      <w:pPr>
        <w:pStyle w:val="FootnoteText"/>
        <w:rPr>
          <w:lang w:val="en-US"/>
        </w:rPr>
      </w:pPr>
    </w:p>
  </w:footnote>
  <w:footnote w:id="23">
    <w:p w:rsidR="00000000" w:rsidRDefault="00000000">
      <w:pPr>
        <w:pStyle w:val="FootnoteText"/>
      </w:pPr>
      <w:r>
        <w:rPr>
          <w:rStyle w:val="FootnoteReference"/>
        </w:rPr>
        <w:footnoteRef/>
      </w:r>
      <w:r>
        <w:t xml:space="preserve"> </w:t>
      </w:r>
      <w:r>
        <w:tab/>
        <w:t>Нарушение этого запрета влечет за собой штраф в размере от 5 000 до 2,5 млн. чешских крон, который налагается Советом по радио- и телевещанию (административный орган, осуществляющий государственное управление в сфере и радио- и телевещания).</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Этим законопроектом имплементируется Директива Совета № 2000/43/ЕС, предусматривающая реализацию принципа равного обращения с лицами независимо от их расового и этнического происхождения, Директива № 76/207/ЕЕС, касающаяся принципа равных возможностей мужчин и женщин в области трудоустройства, профессионально-технической подготовки и продвижения по службе, а также условий труда, и Директива 2000/78/ЕС, устанавливающая общие рамки для создания равных условий в сфере труда и занятости.</w:t>
      </w:r>
    </w:p>
    <w:p w:rsidR="00000000" w:rsidRDefault="00000000">
      <w:pPr>
        <w:pStyle w:val="FootnoteText"/>
      </w:pPr>
    </w:p>
  </w:footnote>
  <w:footnote w:id="25">
    <w:p w:rsidR="00000000" w:rsidRDefault="00000000">
      <w:pPr>
        <w:pStyle w:val="FootnoteText"/>
        <w:rPr>
          <w:lang w:val="en-US"/>
        </w:rPr>
      </w:pPr>
      <w:r>
        <w:rPr>
          <w:rStyle w:val="FootnoteReference"/>
        </w:rPr>
        <w:footnoteRef/>
      </w:r>
      <w:r>
        <w:t xml:space="preserve"> </w:t>
      </w:r>
      <w:r>
        <w:tab/>
        <w:t>Правительство утвердило Закон о равном обращении и правовых средствах защиты от дискриминации (Антидискриминационный закон) в своем Постановлении № 1193 от 1 декабря 2004 года (</w:t>
      </w:r>
      <w:r>
        <w:rPr>
          <w:lang w:val="en-GB"/>
        </w:rPr>
        <w:fldChar w:fldCharType="begin"/>
      </w:r>
      <w:r>
        <w:instrText xml:space="preserve"> </w:instrText>
      </w:r>
      <w:r>
        <w:rPr>
          <w:lang w:val="en-GB"/>
        </w:rPr>
        <w:instrText>HYPERLINK</w:instrText>
      </w:r>
      <w:r>
        <w:instrText xml:space="preserve"> </w:instrText>
      </w:r>
      <w:r>
        <w:rPr>
          <w:lang w:val="en-GB"/>
        </w:rPr>
        <w:instrText>http</w:instrText>
      </w:r>
      <w:r>
        <w:instrText>://</w:instrText>
      </w:r>
      <w:r>
        <w:rPr>
          <w:lang w:val="en-GB"/>
        </w:rPr>
        <w:instrText>kormoran</w:instrText>
      </w:r>
      <w:r>
        <w:instrText>.</w:instrText>
      </w:r>
      <w:r>
        <w:rPr>
          <w:lang w:val="en-GB"/>
        </w:rPr>
        <w:instrText>vl</w:instrText>
      </w:r>
      <w:r>
        <w:instrText>á</w:instrText>
      </w:r>
      <w:r>
        <w:rPr>
          <w:lang w:val="en-GB"/>
        </w:rPr>
        <w:instrText>da</w:instrText>
      </w:r>
      <w:r>
        <w:instrText>.</w:instrText>
      </w:r>
      <w:r>
        <w:rPr>
          <w:lang w:val="en-GB"/>
        </w:rPr>
        <w:instrText>cz</w:instrText>
      </w:r>
      <w:r>
        <w:instrText>/</w:instrText>
      </w:r>
      <w:r>
        <w:rPr>
          <w:lang w:val="en-GB"/>
        </w:rPr>
        <w:instrText>usneseni</w:instrText>
      </w:r>
      <w:r>
        <w:instrText xml:space="preserve"> </w:instrText>
      </w:r>
      <w:r>
        <w:rPr>
          <w:lang w:val="en-GB"/>
        </w:rPr>
      </w:r>
      <w:r>
        <w:rPr>
          <w:lang w:val="en-GB"/>
        </w:rPr>
        <w:fldChar w:fldCharType="separate"/>
      </w:r>
      <w:r>
        <w:rPr>
          <w:rStyle w:val="Hyperlink"/>
          <w:u w:val="none"/>
          <w:lang w:val="en-GB"/>
        </w:rPr>
        <w:t>http</w:t>
      </w:r>
      <w:r>
        <w:rPr>
          <w:rStyle w:val="Hyperlink"/>
          <w:u w:val="none"/>
        </w:rPr>
        <w:t>://</w:t>
      </w:r>
      <w:r>
        <w:rPr>
          <w:rStyle w:val="Hyperlink"/>
          <w:u w:val="none"/>
          <w:lang w:val="en-GB"/>
        </w:rPr>
        <w:t>kormoran</w:t>
      </w:r>
      <w:r>
        <w:rPr>
          <w:rStyle w:val="Hyperlink"/>
          <w:u w:val="none"/>
        </w:rPr>
        <w:t>.</w:t>
      </w:r>
      <w:r>
        <w:rPr>
          <w:rStyle w:val="Hyperlink"/>
          <w:u w:val="none"/>
          <w:lang w:val="en-GB"/>
        </w:rPr>
        <w:t>vlada</w:t>
      </w:r>
      <w:r>
        <w:rPr>
          <w:rStyle w:val="Hyperlink"/>
          <w:u w:val="none"/>
        </w:rPr>
        <w:t>.</w:t>
      </w:r>
      <w:r>
        <w:rPr>
          <w:rStyle w:val="Hyperlink"/>
          <w:u w:val="none"/>
          <w:lang w:val="en-GB"/>
        </w:rPr>
        <w:t>cz</w:t>
      </w:r>
      <w:r>
        <w:rPr>
          <w:rStyle w:val="Hyperlink"/>
          <w:u w:val="none"/>
        </w:rPr>
        <w:t>/</w:t>
      </w:r>
      <w:r>
        <w:rPr>
          <w:rStyle w:val="Hyperlink"/>
          <w:u w:val="none"/>
          <w:lang w:val="en-GB"/>
        </w:rPr>
        <w:t>usneseni</w:t>
      </w:r>
      <w:r>
        <w:rPr>
          <w:lang w:val="en-GB"/>
        </w:rPr>
        <w:fldChar w:fldCharType="end"/>
      </w:r>
      <w:r>
        <w:t>).</w:t>
      </w:r>
    </w:p>
    <w:p w:rsidR="00000000" w:rsidRDefault="00000000">
      <w:pPr>
        <w:pStyle w:val="FootnoteText"/>
        <w:rPr>
          <w:lang w:val="en-US"/>
        </w:rPr>
      </w:pPr>
    </w:p>
  </w:footnote>
  <w:footnote w:id="26">
    <w:p w:rsidR="00000000" w:rsidRDefault="00000000">
      <w:pPr>
        <w:pStyle w:val="FootnoteText"/>
      </w:pPr>
      <w:r>
        <w:rPr>
          <w:rStyle w:val="FootnoteReference"/>
        </w:rPr>
        <w:footnoteRef/>
      </w:r>
      <w:r>
        <w:t xml:space="preserve"> </w:t>
      </w:r>
      <w:r>
        <w:tab/>
        <w:t>Полный текст рекомендации см. в части III.</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Постановление правительства № 800 от 25 августа 2004 года (</w:t>
      </w:r>
      <w:hyperlink r:id="rId3" w:history="1">
        <w:r>
          <w:rPr>
            <w:rStyle w:val="Hyperlink"/>
            <w:u w:val="none"/>
            <w:lang w:val="en-GB"/>
          </w:rPr>
          <w:t>http</w:t>
        </w:r>
        <w:r>
          <w:rPr>
            <w:rStyle w:val="Hyperlink"/>
            <w:u w:val="none"/>
          </w:rPr>
          <w:t>://</w:t>
        </w:r>
        <w:r>
          <w:rPr>
            <w:rStyle w:val="Hyperlink"/>
            <w:u w:val="none"/>
            <w:lang w:val="en-GB"/>
          </w:rPr>
          <w:t>vladce</w:t>
        </w:r>
        <w:r>
          <w:rPr>
            <w:rStyle w:val="Hyperlink"/>
            <w:u w:val="none"/>
          </w:rPr>
          <w:t>.</w:t>
        </w:r>
        <w:r>
          <w:rPr>
            <w:rStyle w:val="Hyperlink"/>
            <w:u w:val="none"/>
            <w:lang w:val="en-GB"/>
          </w:rPr>
          <w:t>vlada</w:t>
        </w:r>
        <w:r>
          <w:rPr>
            <w:rStyle w:val="Hyperlink"/>
            <w:u w:val="none"/>
          </w:rPr>
          <w:t>.</w:t>
        </w:r>
        <w:r>
          <w:rPr>
            <w:rStyle w:val="Hyperlink"/>
            <w:u w:val="none"/>
            <w:lang w:val="en-GB"/>
          </w:rPr>
          <w:t>cz</w:t>
        </w:r>
        <w:r>
          <w:rPr>
            <w:rStyle w:val="Hyperlink"/>
            <w:u w:val="none"/>
          </w:rPr>
          <w:t>/</w:t>
        </w:r>
        <w:r>
          <w:rPr>
            <w:rStyle w:val="Hyperlink"/>
            <w:u w:val="none"/>
            <w:lang w:val="en-GB"/>
          </w:rPr>
          <w:t>apac</w:t>
        </w:r>
        <w:r>
          <w:rPr>
            <w:rStyle w:val="Hyperlink"/>
            <w:u w:val="none"/>
          </w:rPr>
          <w:t>/</w:t>
        </w:r>
        <w:r>
          <w:rPr>
            <w:rStyle w:val="Hyperlink"/>
            <w:u w:val="none"/>
            <w:lang w:val="en-GB"/>
          </w:rPr>
          <w:t>www</w:t>
        </w:r>
        <w:r>
          <w:rPr>
            <w:rStyle w:val="Hyperlink"/>
            <w:u w:val="none"/>
          </w:rPr>
          <w:t>.</w:t>
        </w:r>
        <w:r>
          <w:rPr>
            <w:rStyle w:val="Hyperlink"/>
            <w:u w:val="none"/>
            <w:lang w:val="en-GB"/>
          </w:rPr>
          <w:t>htm</w:t>
        </w:r>
      </w:hyperlink>
      <w:r>
        <w:t>).</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План оперативных действий полиции в отношении национальных и этнических меньшинств, а также создание должности сотрудника</w:t>
      </w:r>
      <w:r>
        <w:noBreakHyphen/>
        <w:t>координатора по вопросам меньшинств представляют собой системные меры, осуществляемые полицией начиная с января 2004 года.</w:t>
      </w:r>
    </w:p>
  </w:footnote>
  <w:footnote w:id="29">
    <w:p w:rsidR="00000000" w:rsidRDefault="00000000">
      <w:pPr>
        <w:pStyle w:val="FootnoteText"/>
      </w:pPr>
      <w:r>
        <w:rPr>
          <w:rStyle w:val="FootnoteReference"/>
        </w:rPr>
        <w:footnoteRef/>
      </w:r>
      <w:r>
        <w:t xml:space="preserve"> </w:t>
      </w:r>
      <w:r>
        <w:tab/>
        <w:t xml:space="preserve">Должность сотрудника-координатора по делам меньшинств занимает сотрудник Отдела по борьбе с преступлениями на почве экстремизма на уровне районного управления полиции.  Его задачи заключаются в следующем:  составлении и осуществлении плана оперативных действий соответствующего районного управления полиции в отношении меньшинств, проживающих в данном районе;  систематическом мониторинге состава общин национальных меньшинств и иностранцев в данном районе;  проведении упреждающих полицейских мероприятий в отношении меньшинств;  определении уровня криминогенной обстановки в общинах меньшинств в данном районе;  систематическом сотрудничестве с органами самоуправления, государственной администрацией и неправительственными организациями в области решения конкретных проблем, касающихся жизни меньшинств;  систематическом выполнении функций компетентного посредника между полицией и общиной меньшинств;  оказании помощи в расследовании всех серьезных правонарушений, связанных с жизнью общин меньшинств, и т.д.  </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 xml:space="preserve">За назначение сотрудника-координатора по делам меньшинств, а также формирование полицейских рабочих групп отвечают руководители соответствующих районных управлений. </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В основе предложения о создании должности полицейского помощника лежит опыт осуществления французской полицией проекта создания института участковых с целью приближения полиции к населению.</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В Остраве деятельность двух помощников по делам рома ориентирована на решение проблемы ростовщичества с целью обеспечения уголовного преследования этой практики.  В Чебе функции помощников полиции выполняют два местных социальных работника, которые уделяет основное внимание проблеме детской проституции.</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Более подробнее см. статью 4.</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 xml:space="preserve">К ним относятся нарушения норм гражданского сосуществования, которые преследуются в соответствии с положениями Закона о нарушениях № 200/1990 </w:t>
      </w:r>
      <w:r>
        <w:rPr>
          <w:lang w:val="en-US"/>
        </w:rPr>
        <w:t>Coll</w:t>
      </w:r>
      <w:r>
        <w:t xml:space="preserve">.  Правонарушением также считается поведение, ущемляющее или ставящее под угрозу интересы общества, которое в этом Законе также квалифицируется как правонарушение.   </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Информация о полномочиях и составе этих органов приведена в предыдущем докладе.</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См. статью 4.</w:t>
      </w:r>
    </w:p>
    <w:p w:rsidR="00000000" w:rsidRDefault="00000000">
      <w:pPr>
        <w:pStyle w:val="FootnoteText"/>
      </w:pPr>
    </w:p>
  </w:footnote>
  <w:footnote w:id="37">
    <w:p w:rsidR="00000000" w:rsidRDefault="00000000">
      <w:pPr>
        <w:pStyle w:val="FootnoteText"/>
        <w:rPr>
          <w:lang w:val="en-US"/>
        </w:rPr>
      </w:pPr>
      <w:r>
        <w:rPr>
          <w:rStyle w:val="FootnoteReference"/>
        </w:rPr>
        <w:footnoteRef/>
      </w:r>
      <w:r>
        <w:t xml:space="preserve"> </w:t>
      </w:r>
      <w:r>
        <w:tab/>
        <w:t xml:space="preserve">Информация о деятельности омбудсмена приведена в предыдущем докладе.  </w:t>
      </w:r>
    </w:p>
    <w:p w:rsidR="00000000" w:rsidRDefault="00000000">
      <w:pPr>
        <w:pStyle w:val="FootnoteText"/>
        <w:rPr>
          <w:lang w:val="en-US"/>
        </w:rPr>
      </w:pPr>
    </w:p>
  </w:footnote>
  <w:footnote w:id="38">
    <w:p w:rsidR="00000000" w:rsidRDefault="00000000">
      <w:pPr>
        <w:pStyle w:val="FootnoteText"/>
      </w:pPr>
      <w:r>
        <w:rPr>
          <w:rStyle w:val="FootnoteReference"/>
        </w:rPr>
        <w:footnoteRef/>
      </w:r>
      <w:r>
        <w:t xml:space="preserve"> </w:t>
      </w:r>
      <w:r>
        <w:tab/>
        <w:t>См. статью 5.</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См. статью 6.</w:t>
      </w:r>
    </w:p>
    <w:p w:rsidR="00000000" w:rsidRDefault="00000000">
      <w:pPr>
        <w:pStyle w:val="FootnoteText"/>
      </w:pPr>
    </w:p>
  </w:footnote>
  <w:footnote w:id="40">
    <w:p w:rsidR="00000000" w:rsidRDefault="00000000">
      <w:pPr>
        <w:pStyle w:val="FootnoteText"/>
        <w:rPr>
          <w:lang w:val="en-US"/>
        </w:rPr>
      </w:pPr>
      <w:r>
        <w:rPr>
          <w:rStyle w:val="FootnoteReference"/>
        </w:rPr>
        <w:footnoteRef/>
      </w:r>
      <w:r>
        <w:t xml:space="preserve"> </w:t>
      </w:r>
      <w:r>
        <w:tab/>
        <w:t>См. статью 5.</w:t>
      </w:r>
    </w:p>
    <w:p w:rsidR="00000000" w:rsidRDefault="00000000">
      <w:pPr>
        <w:pStyle w:val="FootnoteText"/>
        <w:rPr>
          <w:lang w:val="en-US"/>
        </w:rPr>
      </w:pPr>
    </w:p>
  </w:footnote>
  <w:footnote w:id="41">
    <w:p w:rsidR="00000000" w:rsidRDefault="00000000">
      <w:pPr>
        <w:pStyle w:val="FootnoteText"/>
      </w:pPr>
      <w:r>
        <w:rPr>
          <w:rStyle w:val="FootnoteReference"/>
        </w:rPr>
        <w:footnoteRef/>
      </w:r>
      <w:r>
        <w:tab/>
        <w:t>Например, Прага, Брно, Либерец, Мост.</w:t>
      </w:r>
    </w:p>
    <w:p w:rsidR="00000000" w:rsidRDefault="00000000">
      <w:pPr>
        <w:pStyle w:val="FootnoteText"/>
      </w:pPr>
    </w:p>
  </w:footnote>
  <w:footnote w:id="42">
    <w:p w:rsidR="00000000" w:rsidRDefault="00000000">
      <w:pPr>
        <w:pStyle w:val="FootnoteText"/>
      </w:pPr>
      <w:r>
        <w:rPr>
          <w:rStyle w:val="FootnoteReference"/>
        </w:rPr>
        <w:footnoteRef/>
      </w:r>
      <w:r>
        <w:tab/>
        <w:t>Данные о количестве советников по делам общины рома отсутствуют.</w:t>
      </w:r>
    </w:p>
    <w:p w:rsidR="00000000" w:rsidRDefault="00000000">
      <w:pPr>
        <w:pStyle w:val="FootnoteText"/>
      </w:pPr>
    </w:p>
  </w:footnote>
  <w:footnote w:id="43">
    <w:p w:rsidR="00000000" w:rsidRDefault="00000000">
      <w:pPr>
        <w:pStyle w:val="FootnoteText"/>
      </w:pPr>
      <w:r>
        <w:rPr>
          <w:rStyle w:val="FootnoteReference"/>
        </w:rPr>
        <w:footnoteRef/>
      </w:r>
      <w:r>
        <w:tab/>
        <w:t xml:space="preserve">В Законе № 273/2001 </w:t>
      </w:r>
      <w:r>
        <w:rPr>
          <w:lang w:val="en-US"/>
        </w:rPr>
        <w:t>Coll</w:t>
      </w:r>
      <w:r>
        <w:t>. о правах членов национальных меньшинств говорится следующее (статья 6 [8]):  "</w:t>
      </w:r>
      <w:r>
        <w:rPr>
          <w:i/>
          <w:iCs/>
        </w:rPr>
        <w:t>Муниципальный орган власти муниципального образования с расширенными административными полномочиями решает задачи по осуществлению прав членов общин рома и интеграции членов общины рома в общество</w:t>
      </w:r>
      <w:r>
        <w:t>".  Таким образом, в Законе не говорится о том, что эта деятельность должна осуществляться специально назначенным лицом - советником по делам общины рома.  В этом Законе также предусматривается (статья 6 [7]):  "</w:t>
      </w:r>
      <w:r>
        <w:rPr>
          <w:i/>
          <w:iCs/>
        </w:rPr>
        <w:t>Районный орган власти осуществляет управление и координацию выполнения функций в рамках своей административной компетенции в государственном департаменте по политическим вопросам путем оказания помощи в деле интеграции членов общины рома в общество</w:t>
      </w:r>
      <w:r>
        <w:t>".</w:t>
      </w:r>
    </w:p>
    <w:p w:rsidR="00000000" w:rsidRDefault="00000000">
      <w:pPr>
        <w:pStyle w:val="FootnoteText"/>
      </w:pPr>
    </w:p>
  </w:footnote>
  <w:footnote w:id="44">
    <w:p w:rsidR="00000000" w:rsidRDefault="00000000">
      <w:pPr>
        <w:pStyle w:val="FootnoteText"/>
      </w:pPr>
      <w:r>
        <w:rPr>
          <w:rStyle w:val="FootnoteReference"/>
        </w:rPr>
        <w:footnoteRef/>
      </w:r>
      <w:r>
        <w:tab/>
        <w:t>Подобная концепция была принята в июне 2003 года в районе Градец Кралове ("Концепция района Градец Кралове по делам общин рома на период 2003-2007 годов").  В этой концепции определяются проблемы, стоящие перед районом в области осуществления политики интеграции представителей общин рома, и предлагаются возможные решения.  Из своего бюджета региональные власти Градец Кралове ежегодно финансируют деятельность некоммерческих организаций рома в рамках программы "Поддержка интеграции представителей общин рома в общество";  региональные органы власти также учредили консультативный орган по делам общин рома.  В 2004 году в Оломоуцком районе был разработан документ под названием "Основы интеграции представителей общин рома", в котором муниципалитетам, учебным заведениям и другим соответствующим субъектам представляется базовая информация об этой проблеме в Чешской Республике и Оломоуцком районе.  К сентябрю 2005 года в районе должна быть разработана стратегия интеграции представителей общин рома.  В Пардубицком районе был учрежден комитет Пардубицкого районного совета по интеграции представителей меньшинства рома и других этнических групп.  В Злинском районе была также разработана региональная концепция интеграции;  кроме того, региональными органами был учрежден Комитет по вопросам национальных меньшинств, этнических групп и интеграции общин рома.  В период с 2003 года в Моравско-Силезской области была реализована программа грантов по оказанию помощи представителям национальных меньшинств, проживающих в Моравско-Силезской области.  В этом же регионе координатором по делам общин рома был подготовлен документ под названием "Предложение по решению вопроса о компактном проживании лиц, относящихся к этнической группе рома в различных районах в Моравско-Силезской области".  Работа по национальным меньшинствам в столице страны Праге осуществляется на основе Пражской политической концепции деятельности по вопросу национальных меньшинств.</w:t>
      </w:r>
    </w:p>
  </w:footnote>
  <w:footnote w:id="45">
    <w:p w:rsidR="00000000" w:rsidRDefault="00000000">
      <w:pPr>
        <w:pStyle w:val="FootnoteText"/>
      </w:pPr>
      <w:r>
        <w:rPr>
          <w:rStyle w:val="FootnoteReference"/>
        </w:rPr>
        <w:footnoteRef/>
      </w:r>
      <w:r>
        <w:tab/>
        <w:t>Данный вопрос освещается в Докладе о состоянии общин рома в Чешской Республике в 2004 году.</w:t>
      </w:r>
    </w:p>
  </w:footnote>
  <w:footnote w:id="46">
    <w:p w:rsidR="00000000" w:rsidRDefault="00000000">
      <w:pPr>
        <w:pStyle w:val="FootnoteText"/>
        <w:spacing w:line="720" w:lineRule="auto"/>
      </w:pPr>
      <w:r>
        <w:rPr>
          <w:rStyle w:val="FootnoteReference"/>
        </w:rPr>
        <w:footnoteRef/>
      </w:r>
      <w:r>
        <w:t xml:space="preserve"> </w:t>
      </w:r>
      <w:r>
        <w:tab/>
        <w:t>См. пункт № 50.</w:t>
      </w:r>
    </w:p>
  </w:footnote>
  <w:footnote w:id="47">
    <w:p w:rsidR="00000000" w:rsidRDefault="00000000">
      <w:pPr>
        <w:pStyle w:val="FootnoteText"/>
      </w:pPr>
      <w:r>
        <w:rPr>
          <w:rStyle w:val="FootnoteReference"/>
        </w:rPr>
        <w:footnoteRef/>
      </w:r>
      <w:r>
        <w:t xml:space="preserve"> </w:t>
      </w:r>
      <w:r>
        <w:tab/>
        <w:t>Указанные преступления систематически включаются в категорию преступлений против человечности.  Согласно статье 260, признаками данного преступления является поддержка или поощрение движений, ставящих целью подавление прав и свобод граждан или разжигание национальной, расовой, религиозной или классовой ненависти или ненависти по отношению к другим группам.  Согласно статье 261, признаком данного преступления является публичное проявление симпатии по отношению к какому-либо движению, указанному в статье 260.  Согласно статье 261а, признаком этого преступного деяния является публичное отрицание и выражение сомнения в существовании нацистского или коммунистического геноцида или других преступлений против человечности, совершенных нацистами или коммунистами, а также одобрение или попытки оправдать такой геноцид или преступления.</w:t>
      </w:r>
    </w:p>
  </w:footnote>
  <w:footnote w:id="48">
    <w:p w:rsidR="00000000" w:rsidRDefault="00000000">
      <w:pPr>
        <w:pStyle w:val="FootnoteText"/>
        <w:spacing w:line="288" w:lineRule="auto"/>
      </w:pPr>
    </w:p>
    <w:p w:rsidR="00000000" w:rsidRDefault="00000000">
      <w:pPr>
        <w:pStyle w:val="FootnoteText"/>
      </w:pPr>
      <w:r>
        <w:rPr>
          <w:rStyle w:val="FootnoteReference"/>
        </w:rPr>
        <w:footnoteRef/>
      </w:r>
      <w:r>
        <w:t xml:space="preserve"> </w:t>
      </w:r>
      <w:r>
        <w:tab/>
        <w:t>Данное преступление систематически квалифицируется как преступление, представляющее собой грубое нарушение норм гражданского общежития.  Речь идет о публичной диффамации нации, ее языка, этнической группы или расы.</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Признаком данного преступления является публичное разжигание ненависти по отношению к нации, этнической группе, расе, религии, классу или иной группе или подстрекательство к ограничению прав и свобод ее представителей.</w:t>
      </w:r>
    </w:p>
    <w:p w:rsidR="00000000" w:rsidRDefault="00000000">
      <w:pPr>
        <w:pStyle w:val="FootnoteText"/>
      </w:pPr>
    </w:p>
  </w:footnote>
  <w:footnote w:id="50">
    <w:p w:rsidR="00000000" w:rsidRDefault="00000000">
      <w:pPr>
        <w:pStyle w:val="FootnoteText"/>
      </w:pPr>
      <w:r>
        <w:rPr>
          <w:rStyle w:val="FootnoteReference"/>
        </w:rPr>
        <w:footnoteRef/>
      </w:r>
      <w:r>
        <w:t xml:space="preserve"> </w:t>
      </w:r>
      <w:r>
        <w:tab/>
        <w:t xml:space="preserve">В данном случае речь также идет о преступлении, представляющем собой грубое нарушение норм гражданского общежития.  В пункте 2 данной статьи дается квалификация признака преступления, когда насилие по отношению к группе лиц или отдельным лицам связано с их принадлежностью к какой-либо этнической группе, расе или национальности. </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К преступлениям с экстремистским уклоном относятся преступления, совершенные на почве расовой нетерпимости или ненависти, преступления на почве национальной нетерпимости или ненависти, преступления на почве религиозной нетерпимости или ненависти, а также преступления на почве какой-либо иной формы нетерпимости или ненависти.  В Уголовном кодексе конкретно перечисляются эти признаки преступления:  нарушение авторских прав, прав, относящихся к авторским правам и прав на базы данных (статья 152), нападение на государственных чиновников (статьи 155 и 156), ложные обвинения (статья 174), насильственные действия в отношении группы лиц или отдельных лиц (статьи 196 и 197а), диффамация в отношении той или иной нации, расы и убеждений (статья 198), подстрекательство с целью разжигания ненависти к какой-либо группе лиц или ограничение их прав и свобод (статья 198а), распространение паникерских сообщений (статья 199), хулиганство (статья 202), убийство (статья 219), предумышленное нанесение вреда здоровью кого-либо (статьи 221 и 222), грабеж (статья 234), шантаж (статья 235), ограничение религиозной свободы (статья 236), нарушение неприкосновенности жилища (статья 238), ущерб имуществу (статья 257), а также поддержка и содействие движениям, направленным на подавление личных прав и свобод (статьи 260, 261 и 261а).</w:t>
      </w:r>
    </w:p>
  </w:footnote>
  <w:footnote w:id="52">
    <w:p w:rsidR="00000000" w:rsidRDefault="00000000">
      <w:pPr>
        <w:pStyle w:val="FootnoteText"/>
      </w:pPr>
      <w:r>
        <w:rPr>
          <w:rStyle w:val="FootnoteReference"/>
          <w:lang w:val="en-GB"/>
        </w:rPr>
        <w:footnoteRef/>
      </w:r>
      <w:r>
        <w:t xml:space="preserve"> </w:t>
      </w:r>
      <w:r>
        <w:tab/>
        <w:t>Процедура упрощенного досудебного разбирательства может применяться к правонарушениям, максимальный срок тюремного заключения за которые не превышает трех лет, а также в отношении дел в суде первой инстанции, рассматриваемых районными судами.  После прекращения дела полиция либо закрывает данное дело, либо вносит предложение государственному прокурору в отношении наказания.</w:t>
      </w:r>
    </w:p>
  </w:footnote>
  <w:footnote w:id="53">
    <w:p w:rsidR="00000000" w:rsidRDefault="00000000">
      <w:pPr>
        <w:pStyle w:val="FootnoteText"/>
      </w:pPr>
      <w:r>
        <w:rPr>
          <w:rStyle w:val="FootnoteReference"/>
          <w:lang w:val="en-GB"/>
        </w:rPr>
        <w:footnoteRef/>
      </w:r>
      <w:r>
        <w:t xml:space="preserve"> </w:t>
      </w:r>
      <w:r>
        <w:tab/>
        <w:t>В соответствии со статьей</w:t>
      </w:r>
      <w:r>
        <w:rPr>
          <w:lang w:val="en-GB"/>
        </w:rPr>
        <w:t> </w:t>
      </w:r>
      <w:r>
        <w:t>159а</w:t>
      </w:r>
      <w:r>
        <w:rPr>
          <w:lang w:val="en-GB"/>
        </w:rPr>
        <w:t> </w:t>
      </w:r>
      <w:r>
        <w:t>(2) рассмотрение дела может быть приостановлено в том случае, если уголовное преследование является невозможным, например по причине определенных ограничений, например если лицо не подлежит уголовной ответственности по возрасту, если президент Республики в рамках своих полномочий издает указ о помиловании или амнистии и т.д.  В</w:t>
      </w:r>
      <w:r>
        <w:rPr>
          <w:lang w:val="en-GB"/>
        </w:rPr>
        <w:t> </w:t>
      </w:r>
      <w:r>
        <w:t>соответствии со статьей</w:t>
      </w:r>
      <w:r>
        <w:rPr>
          <w:lang w:val="en-GB"/>
        </w:rPr>
        <w:t> </w:t>
      </w:r>
      <w:r>
        <w:t>159</w:t>
      </w:r>
      <w:r>
        <w:rPr>
          <w:lang w:val="en-GB"/>
        </w:rPr>
        <w:t> </w:t>
      </w:r>
      <w:r>
        <w:t>(3) рассмотрение дела может быть приостановлено, если уголовное преследование является нецелесообразным, например ввиду того, что наказание, которое может быть определено в ходе судебного разбирательства, не имеет смысла с учетом наказания за другое правонарушение, к которому уже приговорен обвиняемый, или по причине того, что какой-либо иной орган (например, иностранный суд) уже вынес судебное постановление в отношении деяний обвиняемого.</w:t>
      </w:r>
    </w:p>
    <w:p w:rsidR="00000000" w:rsidRDefault="00000000">
      <w:pPr>
        <w:pStyle w:val="FootnoteText"/>
      </w:pPr>
    </w:p>
  </w:footnote>
  <w:footnote w:id="54">
    <w:p w:rsidR="00000000" w:rsidRDefault="00000000">
      <w:pPr>
        <w:pStyle w:val="FootnoteText"/>
      </w:pPr>
      <w:r>
        <w:rPr>
          <w:rStyle w:val="FootnoteReference"/>
          <w:lang w:val="en-GB"/>
        </w:rPr>
        <w:footnoteRef/>
      </w:r>
      <w:r>
        <w:t xml:space="preserve"> </w:t>
      </w:r>
      <w:r>
        <w:tab/>
        <w:t>Судебное преследование может быть временно приостановлено с согласия обвиняемого по правонарушениям, максимальный срок тюремного заключения за которые не превышает пяти лет, в том случае, если обвиняемый признался в совершении преступления и выплатил компенсацию за ущерб, причиненный этим преступлением.</w:t>
      </w:r>
    </w:p>
    <w:p w:rsidR="00000000" w:rsidRDefault="00000000">
      <w:pPr>
        <w:pStyle w:val="FootnoteText"/>
      </w:pPr>
    </w:p>
  </w:footnote>
  <w:footnote w:id="55">
    <w:p w:rsidR="00000000" w:rsidRDefault="00000000">
      <w:pPr>
        <w:pStyle w:val="FootnoteText"/>
      </w:pPr>
      <w:r>
        <w:rPr>
          <w:rStyle w:val="FootnoteReference"/>
          <w:lang w:val="en-GB"/>
        </w:rPr>
        <w:footnoteRef/>
      </w:r>
      <w:r>
        <w:t xml:space="preserve"> </w:t>
      </w:r>
      <w:r>
        <w:tab/>
        <w:t>Государственный обвинитель приостанавливает производство по уголовному делу, если таковое является неприемлемым, в частности по причине определенных ограничений, например если оно возбуждается в отношении лица, не подлежащего уголовной ответственности по возрасту, если президент Республики в рамках своих полномочий издает указ о помиловании или амнистии и</w:t>
      </w:r>
      <w:r>
        <w:rPr>
          <w:lang w:val="en-GB"/>
        </w:rPr>
        <w:t> </w:t>
      </w:r>
      <w:r>
        <w:t>т.д.</w:t>
      </w:r>
    </w:p>
    <w:p w:rsidR="00000000" w:rsidRDefault="00000000">
      <w:pPr>
        <w:pStyle w:val="FootnoteText"/>
      </w:pPr>
    </w:p>
  </w:footnote>
  <w:footnote w:id="56">
    <w:p w:rsidR="00000000" w:rsidRDefault="00000000">
      <w:pPr>
        <w:pStyle w:val="FootnoteText"/>
      </w:pPr>
      <w:r>
        <w:rPr>
          <w:rStyle w:val="FootnoteReference"/>
          <w:lang w:val="en-GB"/>
        </w:rPr>
        <w:footnoteRef/>
      </w:r>
      <w:r>
        <w:t xml:space="preserve"> </w:t>
      </w:r>
      <w:r>
        <w:tab/>
        <w:t>Государственный обвинитель приостанавливает судебное преследование в случае вынесения рекомендации о передаче разбирательства по данному делу в другую страну.</w:t>
      </w:r>
    </w:p>
  </w:footnote>
  <w:footnote w:id="57">
    <w:p w:rsidR="00000000" w:rsidRDefault="00000000">
      <w:pPr>
        <w:pStyle w:val="FootnoteText"/>
      </w:pPr>
      <w:r>
        <w:rPr>
          <w:rStyle w:val="FootnoteReference"/>
          <w:lang w:val="en-GB"/>
        </w:rPr>
        <w:footnoteRef/>
      </w:r>
      <w:r>
        <w:t xml:space="preserve"> </w:t>
      </w:r>
      <w:r>
        <w:tab/>
        <w:t>В общей сложности шесть человек, двое из которых являлись военнослужащими срочной службы, а четыре </w:t>
      </w:r>
      <w:r>
        <w:noBreakHyphen/>
        <w:t xml:space="preserve"> контрактниками.</w:t>
      </w:r>
    </w:p>
    <w:p w:rsidR="00000000" w:rsidRDefault="00000000">
      <w:pPr>
        <w:pStyle w:val="FootnoteText"/>
      </w:pPr>
    </w:p>
  </w:footnote>
  <w:footnote w:id="58">
    <w:p w:rsidR="00000000" w:rsidRDefault="00000000">
      <w:pPr>
        <w:pStyle w:val="FootnoteText"/>
      </w:pPr>
      <w:r>
        <w:rPr>
          <w:rStyle w:val="FootnoteReference"/>
          <w:lang w:val="en-GB"/>
        </w:rPr>
        <w:footnoteRef/>
      </w:r>
      <w:r>
        <w:t xml:space="preserve"> </w:t>
      </w:r>
      <w:r>
        <w:tab/>
        <w:t>Статьи 260 и 261 Уголовного кодекса.</w:t>
      </w:r>
    </w:p>
    <w:p w:rsidR="00000000" w:rsidRDefault="00000000">
      <w:pPr>
        <w:pStyle w:val="FootnoteText"/>
      </w:pPr>
    </w:p>
  </w:footnote>
  <w:footnote w:id="59">
    <w:p w:rsidR="00000000" w:rsidRDefault="00000000">
      <w:pPr>
        <w:spacing w:line="240" w:lineRule="auto"/>
      </w:pPr>
      <w:r>
        <w:rPr>
          <w:rStyle w:val="FootnoteReference"/>
          <w:lang w:val="en-GB"/>
        </w:rPr>
        <w:footnoteRef/>
      </w:r>
      <w:r>
        <w:t xml:space="preserve"> </w:t>
      </w:r>
      <w:r>
        <w:tab/>
        <w:t>Постановление правительства № 169 от 20 февраля 2002 года о концепции социальной работы по профилактике экстремизма и борьбе с ним;  Постановление правительства № 268 от 18 марта 2002 года о предлагаемой концепции просветительской деятельности в области борьбы с экстремизмом;  Постановление правительства № 994 от 14 октября 2002 года о порядке сотрудничества между государственными органами и органами самоуправления с органами полиции в области борьбы с массовыми проявлениями экстремизма;  Постановление правительства № 85 от 22 января 2003 года о Национальной стратегии деятельности полиции в отношении национальных и этнических меньшинств;  Постановление правительства № 968 от 6 октября 2004 года о предложении в отношении подписания Конвенции о компьютерных преступлениях.</w:t>
      </w:r>
    </w:p>
    <w:p w:rsidR="00000000" w:rsidRDefault="00000000">
      <w:pPr>
        <w:spacing w:line="240" w:lineRule="auto"/>
      </w:pPr>
    </w:p>
  </w:footnote>
  <w:footnote w:id="60">
    <w:p w:rsidR="00000000" w:rsidRDefault="00000000">
      <w:pPr>
        <w:spacing w:line="240" w:lineRule="auto"/>
      </w:pPr>
      <w:r>
        <w:rPr>
          <w:rStyle w:val="FootnoteReference"/>
        </w:rPr>
        <w:footnoteRef/>
      </w:r>
      <w:r>
        <w:t xml:space="preserve"> </w:t>
      </w:r>
      <w:r>
        <w:tab/>
        <w:t xml:space="preserve">Для этой цели в Полицейском управлении был создан почтовый ящик с адресом:  </w:t>
      </w:r>
      <w:hyperlink r:id="rId4" w:history="1">
        <w:r>
          <w:rPr>
            <w:rStyle w:val="Hyperlink"/>
            <w:u w:val="none"/>
            <w:lang w:val="en-US"/>
          </w:rPr>
          <w:t>ukpvextr</w:t>
        </w:r>
        <w:r>
          <w:rPr>
            <w:rStyle w:val="Hyperlink"/>
            <w:u w:val="none"/>
          </w:rPr>
          <w:t>@</w:t>
        </w:r>
        <w:r>
          <w:rPr>
            <w:rStyle w:val="Hyperlink"/>
            <w:u w:val="none"/>
            <w:lang w:val="en-US"/>
          </w:rPr>
          <w:t>mvcr</w:t>
        </w:r>
        <w:r>
          <w:rPr>
            <w:rStyle w:val="Hyperlink"/>
            <w:u w:val="none"/>
          </w:rPr>
          <w:t>.</w:t>
        </w:r>
        <w:r>
          <w:rPr>
            <w:rStyle w:val="Hyperlink"/>
            <w:u w:val="none"/>
            <w:lang w:val="en-US"/>
          </w:rPr>
          <w:t>cz</w:t>
        </w:r>
      </w:hyperlink>
    </w:p>
    <w:p w:rsidR="00000000" w:rsidRDefault="00000000">
      <w:pPr>
        <w:spacing w:line="240" w:lineRule="auto"/>
      </w:pPr>
    </w:p>
  </w:footnote>
  <w:footnote w:id="61">
    <w:p w:rsidR="00000000" w:rsidRDefault="00000000">
      <w:pPr>
        <w:spacing w:line="240" w:lineRule="auto"/>
      </w:pPr>
      <w:r>
        <w:rPr>
          <w:rStyle w:val="FootnoteReference"/>
        </w:rPr>
        <w:footnoteRef/>
      </w:r>
      <w:r>
        <w:t xml:space="preserve"> </w:t>
      </w:r>
      <w:r>
        <w:tab/>
        <w:t>С марта 2005 года Комитет также учредил экспертную группу для содействия установлению сотрудником-координатором ЧР связей с Европейским центром мониторинга расизма и ксенофобии (ЕЦМРК);  члены Комитета при необходимости работают в контакте с указанным сотрудником.</w:t>
      </w:r>
    </w:p>
    <w:p w:rsidR="00000000" w:rsidRDefault="00000000">
      <w:pPr>
        <w:spacing w:line="240" w:lineRule="auto"/>
      </w:pPr>
    </w:p>
  </w:footnote>
  <w:footnote w:id="62">
    <w:p w:rsidR="00000000" w:rsidRDefault="00000000">
      <w:pPr>
        <w:spacing w:line="240" w:lineRule="auto"/>
      </w:pPr>
      <w:r>
        <w:rPr>
          <w:rStyle w:val="FootnoteReference"/>
        </w:rPr>
        <w:footnoteRef/>
      </w:r>
      <w:r>
        <w:t xml:space="preserve"> </w:t>
      </w:r>
      <w:r>
        <w:tab/>
        <w:t>Деятельность органов полиции в этой области методологически опирается на Инструкцию президента в отношении деятельности полиции № 100 от 6 июня 2002 года, а также на другие внутренние регламентирующие документы.</w:t>
      </w:r>
    </w:p>
    <w:p w:rsidR="00000000" w:rsidRDefault="00000000">
      <w:pPr>
        <w:spacing w:line="240" w:lineRule="auto"/>
      </w:pPr>
    </w:p>
  </w:footnote>
  <w:footnote w:id="63">
    <w:p w:rsidR="00000000" w:rsidRDefault="00000000">
      <w:pPr>
        <w:spacing w:line="240" w:lineRule="auto"/>
      </w:pPr>
      <w:r>
        <w:rPr>
          <w:rStyle w:val="FootnoteReference"/>
        </w:rPr>
        <w:footnoteRef/>
      </w:r>
      <w:r>
        <w:t xml:space="preserve"> </w:t>
      </w:r>
      <w:r>
        <w:tab/>
        <w:t>См. пункт 43.</w:t>
      </w:r>
    </w:p>
    <w:p w:rsidR="00000000" w:rsidRDefault="00000000">
      <w:pPr>
        <w:spacing w:line="240" w:lineRule="auto"/>
      </w:pPr>
    </w:p>
  </w:footnote>
  <w:footnote w:id="64">
    <w:p w:rsidR="00000000" w:rsidRDefault="00000000">
      <w:pPr>
        <w:spacing w:line="240" w:lineRule="auto"/>
      </w:pPr>
      <w:r>
        <w:rPr>
          <w:rStyle w:val="FootnoteReference"/>
        </w:rPr>
        <w:footnoteRef/>
      </w:r>
      <w:r>
        <w:t xml:space="preserve"> </w:t>
      </w:r>
      <w:r>
        <w:tab/>
        <w:t>Доклады публикуются на вебсайте министерства внутренних дел (</w:t>
      </w:r>
      <w:hyperlink r:id="rId5" w:history="1">
        <w:r>
          <w:rPr>
            <w:rStyle w:val="Hyperlink"/>
            <w:u w:val="none"/>
            <w:lang w:val="en-US"/>
          </w:rPr>
          <w:t>www</w:t>
        </w:r>
        <w:r>
          <w:rPr>
            <w:rStyle w:val="Hyperlink"/>
            <w:u w:val="none"/>
          </w:rPr>
          <w:t>.</w:t>
        </w:r>
        <w:r>
          <w:rPr>
            <w:rStyle w:val="Hyperlink"/>
            <w:u w:val="none"/>
            <w:lang w:val="en-US"/>
          </w:rPr>
          <w:t>mvcr</w:t>
        </w:r>
        <w:r>
          <w:rPr>
            <w:rStyle w:val="Hyperlink"/>
            <w:u w:val="none"/>
          </w:rPr>
          <w:t>.</w:t>
        </w:r>
        <w:r>
          <w:rPr>
            <w:rStyle w:val="Hyperlink"/>
            <w:u w:val="none"/>
            <w:lang w:val="en-US"/>
          </w:rPr>
          <w:t>cz</w:t>
        </w:r>
      </w:hyperlink>
      <w:r>
        <w:t>) на чешском и английском языках.</w:t>
      </w:r>
    </w:p>
    <w:p w:rsidR="00000000" w:rsidRDefault="00000000">
      <w:pPr>
        <w:spacing w:line="240" w:lineRule="auto"/>
      </w:pPr>
    </w:p>
  </w:footnote>
  <w:footnote w:id="65">
    <w:p w:rsidR="00000000" w:rsidRDefault="00000000">
      <w:pPr>
        <w:spacing w:line="240" w:lineRule="auto"/>
      </w:pPr>
      <w:r>
        <w:rPr>
          <w:rStyle w:val="FootnoteReference"/>
        </w:rPr>
        <w:footnoteRef/>
      </w:r>
      <w:r>
        <w:t xml:space="preserve"> </w:t>
      </w:r>
      <w:r>
        <w:tab/>
        <w:t>Путем передачи книги кодов для системы регистрации статистики преступлений в Центральном полицейском управлении.</w:t>
      </w:r>
    </w:p>
    <w:p w:rsidR="00000000" w:rsidRDefault="00000000">
      <w:pPr>
        <w:spacing w:line="240" w:lineRule="auto"/>
      </w:pPr>
    </w:p>
  </w:footnote>
  <w:footnote w:id="66">
    <w:p w:rsidR="00000000" w:rsidRDefault="00000000">
      <w:pPr>
        <w:spacing w:line="720" w:lineRule="auto"/>
      </w:pPr>
      <w:r>
        <w:rPr>
          <w:rStyle w:val="FootnoteReference"/>
        </w:rPr>
        <w:footnoteRef/>
      </w:r>
      <w:r>
        <w:t xml:space="preserve"> </w:t>
      </w:r>
      <w:r>
        <w:tab/>
        <w:t>Орган, подотчетный министерству внутренних дел.</w:t>
      </w:r>
    </w:p>
  </w:footnote>
  <w:footnote w:id="67">
    <w:p w:rsidR="00000000" w:rsidRDefault="00000000">
      <w:pPr>
        <w:spacing w:line="240" w:lineRule="auto"/>
      </w:pPr>
      <w:r>
        <w:rPr>
          <w:rStyle w:val="FootnoteReference"/>
        </w:rPr>
        <w:footnoteRef/>
      </w:r>
      <w:r>
        <w:t xml:space="preserve"> </w:t>
      </w:r>
      <w:r>
        <w:tab/>
        <w:t>В 2004 году в 31 населенном пункте (муниципальном образовании) был реализован 41 проект в интересах общин рома, для которых в общей сложности было выделено 2 919 000 чешских крон.</w:t>
      </w:r>
    </w:p>
    <w:p w:rsidR="00000000" w:rsidRDefault="00000000">
      <w:pPr>
        <w:spacing w:line="240" w:lineRule="auto"/>
      </w:pPr>
    </w:p>
  </w:footnote>
  <w:footnote w:id="68">
    <w:p w:rsidR="00000000" w:rsidRDefault="00000000">
      <w:pPr>
        <w:spacing w:line="240" w:lineRule="auto"/>
      </w:pPr>
      <w:r>
        <w:rPr>
          <w:rStyle w:val="FootnoteReference"/>
        </w:rPr>
        <w:footnoteRef/>
      </w:r>
      <w:r>
        <w:t xml:space="preserve"> </w:t>
      </w:r>
      <w:r>
        <w:tab/>
        <w:t>В течение последних лет на осуществление 560 проектов было затрачено свыше 50 млн. чешских крон.</w:t>
      </w:r>
    </w:p>
  </w:footnote>
  <w:footnote w:id="69">
    <w:p w:rsidR="00000000" w:rsidRDefault="00000000">
      <w:pPr>
        <w:pStyle w:val="FootnoteText"/>
      </w:pPr>
      <w:r>
        <w:rPr>
          <w:rStyle w:val="FootnoteReference"/>
        </w:rPr>
        <w:footnoteRef/>
      </w:r>
      <w:r>
        <w:t xml:space="preserve"> </w:t>
      </w:r>
      <w:r>
        <w:tab/>
        <w:t xml:space="preserve">Служба по надзору за условно осужденными и оказанию посреднических услуг ставит своей задачей поиск эффективных и социально приемлемых решений конфликтов, связанных с преступностью, а также определяет альтернативные наказания.  Она была создана в соответствии с Законом № 257/2000 </w:t>
      </w:r>
      <w:r>
        <w:rPr>
          <w:lang w:val="en-US"/>
        </w:rPr>
        <w:t>Coll</w:t>
      </w:r>
      <w:r>
        <w:t>., касающимся услуг по надзору за условно осужденными и посредничеству в качестве органа, подотчетного министерству юстиции.  Надзор означает контроль за осужденными, за выполнением альтернативных наказаний и т.д., тогда как посредническая деятельность ставит целью разрешение конфликтных ситуаций между осужденным и пострадавшей стороной (с их согласия).</w:t>
      </w:r>
    </w:p>
  </w:footnote>
  <w:footnote w:id="70">
    <w:p w:rsidR="00000000" w:rsidRDefault="00000000">
      <w:pPr>
        <w:pStyle w:val="FootnoteText"/>
        <w:rPr>
          <w:lang w:val="en-US"/>
        </w:rPr>
      </w:pPr>
      <w:r>
        <w:rPr>
          <w:rStyle w:val="FootnoteReference"/>
        </w:rPr>
        <w:footnoteRef/>
      </w:r>
      <w:r>
        <w:t xml:space="preserve"> </w:t>
      </w:r>
      <w:r>
        <w:tab/>
        <w:t>Документ опубликован на вебсайте министерства просвещения, по делам молодежи и физического воспитания по адресу:  (</w:t>
      </w:r>
      <w:hyperlink r:id="rId6" w:history="1">
        <w:r>
          <w:rPr>
            <w:rStyle w:val="Hyperlink"/>
            <w:u w:val="none"/>
            <w:lang w:val="en-GB"/>
          </w:rPr>
          <w:t>http</w:t>
        </w:r>
        <w:r>
          <w:rPr>
            <w:rStyle w:val="Hyperlink"/>
            <w:u w:val="none"/>
          </w:rPr>
          <w:t>://</w:t>
        </w:r>
        <w:r>
          <w:rPr>
            <w:rStyle w:val="Hyperlink"/>
            <w:u w:val="none"/>
            <w:lang w:val="en-GB"/>
          </w:rPr>
          <w:t>www</w:t>
        </w:r>
        <w:r>
          <w:rPr>
            <w:rStyle w:val="Hyperlink"/>
            <w:u w:val="none"/>
          </w:rPr>
          <w:t>.</w:t>
        </w:r>
        <w:r>
          <w:rPr>
            <w:rStyle w:val="Hyperlink"/>
            <w:u w:val="none"/>
            <w:lang w:val="en-GB"/>
          </w:rPr>
          <w:t>msmt</w:t>
        </w:r>
        <w:r>
          <w:rPr>
            <w:rStyle w:val="Hyperlink"/>
            <w:u w:val="none"/>
          </w:rPr>
          <w:t>.</w:t>
        </w:r>
        <w:r>
          <w:rPr>
            <w:rStyle w:val="Hyperlink"/>
            <w:u w:val="none"/>
            <w:lang w:val="en-GB"/>
          </w:rPr>
          <w:t>cz</w:t>
        </w:r>
        <w:r>
          <w:rPr>
            <w:rStyle w:val="Hyperlink"/>
            <w:u w:val="none"/>
          </w:rPr>
          <w:t>/_</w:t>
        </w:r>
        <w:r>
          <w:rPr>
            <w:rStyle w:val="Hyperlink"/>
            <w:u w:val="none"/>
            <w:lang w:val="en-GB"/>
          </w:rPr>
          <w:t>D</w:t>
        </w:r>
        <w:bookmarkStart w:id="3" w:name="_Hlt116107519"/>
        <w:r>
          <w:rPr>
            <w:rStyle w:val="Hyperlink"/>
            <w:u w:val="none"/>
            <w:lang w:val="en-GB"/>
          </w:rPr>
          <w:t>O</w:t>
        </w:r>
        <w:bookmarkEnd w:id="3"/>
        <w:r>
          <w:rPr>
            <w:rStyle w:val="Hyperlink"/>
            <w:u w:val="none"/>
            <w:lang w:val="en-GB"/>
          </w:rPr>
          <w:t>MEK</w:t>
        </w:r>
        <w:r>
          <w:rPr>
            <w:rStyle w:val="Hyperlink"/>
            <w:u w:val="none"/>
          </w:rPr>
          <w:t>/</w:t>
        </w:r>
        <w:r>
          <w:rPr>
            <w:rStyle w:val="Hyperlink"/>
            <w:u w:val="none"/>
            <w:lang w:val="en-GB"/>
          </w:rPr>
          <w:t>default</w:t>
        </w:r>
        <w:r>
          <w:rPr>
            <w:rStyle w:val="Hyperlink"/>
            <w:u w:val="none"/>
          </w:rPr>
          <w:t>.</w:t>
        </w:r>
        <w:r>
          <w:rPr>
            <w:rStyle w:val="Hyperlink"/>
            <w:u w:val="none"/>
            <w:lang w:val="en-GB"/>
          </w:rPr>
          <w:t>asp</w:t>
        </w:r>
        <w:r>
          <w:rPr>
            <w:rStyle w:val="Hyperlink"/>
            <w:u w:val="none"/>
          </w:rPr>
          <w:t>?</w:t>
        </w:r>
        <w:r>
          <w:rPr>
            <w:rStyle w:val="Hyperlink"/>
            <w:u w:val="none"/>
            <w:lang w:val="en-GB"/>
          </w:rPr>
          <w:t>CAI</w:t>
        </w:r>
        <w:r>
          <w:rPr>
            <w:rStyle w:val="Hyperlink"/>
            <w:u w:val="none"/>
          </w:rPr>
          <w:t>=2945</w:t>
        </w:r>
      </w:hyperlink>
      <w:r>
        <w:t>).</w:t>
      </w:r>
    </w:p>
    <w:p w:rsidR="00000000" w:rsidRDefault="00000000">
      <w:pPr>
        <w:pStyle w:val="FootnoteText"/>
      </w:pPr>
    </w:p>
  </w:footnote>
  <w:footnote w:id="71">
    <w:p w:rsidR="00000000" w:rsidRDefault="00000000">
      <w:pPr>
        <w:pStyle w:val="FootnoteText"/>
      </w:pPr>
      <w:r>
        <w:rPr>
          <w:rStyle w:val="FootnoteReference"/>
        </w:rPr>
        <w:footnoteRef/>
      </w:r>
      <w:r>
        <w:t xml:space="preserve"> </w:t>
      </w:r>
      <w:r>
        <w:tab/>
        <w:t>Документ опубликован на вебсайте министерства просвещения, по делам молодежи и физического воспитания по адресу:  (</w:t>
      </w:r>
      <w:hyperlink r:id="rId7" w:history="1">
        <w:r>
          <w:rPr>
            <w:rStyle w:val="Hyperlink"/>
            <w:u w:val="none"/>
            <w:lang w:val="en-GB"/>
          </w:rPr>
          <w:t>http</w:t>
        </w:r>
        <w:r>
          <w:rPr>
            <w:rStyle w:val="Hyperlink"/>
            <w:u w:val="none"/>
          </w:rPr>
          <w:t>://</w:t>
        </w:r>
        <w:r>
          <w:rPr>
            <w:rStyle w:val="Hyperlink"/>
            <w:u w:val="none"/>
            <w:lang w:val="en-GB"/>
          </w:rPr>
          <w:t>www</w:t>
        </w:r>
        <w:r>
          <w:rPr>
            <w:rStyle w:val="Hyperlink"/>
            <w:u w:val="none"/>
          </w:rPr>
          <w:t>.</w:t>
        </w:r>
        <w:r>
          <w:rPr>
            <w:rStyle w:val="Hyperlink"/>
            <w:u w:val="none"/>
            <w:lang w:val="en-GB"/>
          </w:rPr>
          <w:t>msmt</w:t>
        </w:r>
        <w:r>
          <w:rPr>
            <w:rStyle w:val="Hyperlink"/>
            <w:u w:val="none"/>
          </w:rPr>
          <w:t>.</w:t>
        </w:r>
        <w:r>
          <w:rPr>
            <w:rStyle w:val="Hyperlink"/>
            <w:u w:val="none"/>
            <w:lang w:val="en-GB"/>
          </w:rPr>
          <w:t>cz</w:t>
        </w:r>
        <w:r>
          <w:rPr>
            <w:rStyle w:val="Hyperlink"/>
            <w:u w:val="none"/>
          </w:rPr>
          <w:t>/_</w:t>
        </w:r>
        <w:r>
          <w:rPr>
            <w:rStyle w:val="Hyperlink"/>
            <w:u w:val="none"/>
            <w:lang w:val="en-GB"/>
          </w:rPr>
          <w:t>DOMEK</w:t>
        </w:r>
        <w:r>
          <w:rPr>
            <w:rStyle w:val="Hyperlink"/>
            <w:u w:val="none"/>
          </w:rPr>
          <w:t>/</w:t>
        </w:r>
        <w:r>
          <w:rPr>
            <w:rStyle w:val="Hyperlink"/>
            <w:u w:val="none"/>
            <w:lang w:val="en-GB"/>
          </w:rPr>
          <w:t>default</w:t>
        </w:r>
        <w:r>
          <w:rPr>
            <w:rStyle w:val="Hyperlink"/>
            <w:u w:val="none"/>
          </w:rPr>
          <w:t>.</w:t>
        </w:r>
        <w:r>
          <w:rPr>
            <w:rStyle w:val="Hyperlink"/>
            <w:u w:val="none"/>
            <w:lang w:val="en-GB"/>
          </w:rPr>
          <w:t>asp</w:t>
        </w:r>
        <w:r>
          <w:rPr>
            <w:rStyle w:val="Hyperlink"/>
            <w:u w:val="none"/>
          </w:rPr>
          <w:t>?</w:t>
        </w:r>
        <w:r>
          <w:rPr>
            <w:rStyle w:val="Hyperlink"/>
            <w:u w:val="none"/>
            <w:lang w:val="en-GB"/>
          </w:rPr>
          <w:t>CAI</w:t>
        </w:r>
        <w:r>
          <w:rPr>
            <w:rStyle w:val="Hyperlink"/>
            <w:u w:val="none"/>
          </w:rPr>
          <w:t>=2945</w:t>
        </w:r>
      </w:hyperlink>
      <w:r>
        <w:t>).</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t>Рабочая группа по борьбе с экстремизмом была учреждена "Вышеградской четверкой" и Австрией на основании решения министров внутренних дел "вышеградской четверки" и Австрии.</w:t>
      </w:r>
    </w:p>
    <w:p w:rsidR="00000000" w:rsidRDefault="00000000">
      <w:pPr>
        <w:pStyle w:val="FootnoteText"/>
      </w:pPr>
    </w:p>
  </w:footnote>
  <w:footnote w:id="73">
    <w:p w:rsidR="00000000" w:rsidRDefault="00000000">
      <w:pPr>
        <w:pStyle w:val="FootnoteText"/>
      </w:pPr>
      <w:r>
        <w:rPr>
          <w:rStyle w:val="FootnoteReference"/>
        </w:rPr>
        <w:footnoteRef/>
      </w:r>
      <w:r>
        <w:t xml:space="preserve"> </w:t>
      </w:r>
      <w:r>
        <w:tab/>
        <w:t>В этой деятельности также принимали участие эксперты по борьбе с экстремизмом из Германии.</w:t>
      </w:r>
    </w:p>
  </w:footnote>
  <w:footnote w:id="74">
    <w:p w:rsidR="00000000" w:rsidRDefault="00000000">
      <w:pPr>
        <w:pStyle w:val="FootnoteText"/>
      </w:pPr>
      <w:r>
        <w:rPr>
          <w:rStyle w:val="FootnoteReference"/>
        </w:rPr>
        <w:footnoteRef/>
      </w:r>
      <w:r>
        <w:t xml:space="preserve"> </w:t>
      </w:r>
      <w:r>
        <w:tab/>
        <w:t>Выводы, принятые участниками семинара, опубликованы на вебсайте министерства иностранных дел (</w:t>
      </w:r>
      <w:r>
        <w:rPr>
          <w:lang w:val="en-US"/>
        </w:rPr>
        <w:t>www</w:t>
      </w:r>
      <w:r>
        <w:t>.</w:t>
      </w:r>
      <w:r>
        <w:rPr>
          <w:lang w:val="en-US"/>
        </w:rPr>
        <w:t>mzv</w:t>
      </w:r>
      <w:r>
        <w:t>.</w:t>
      </w:r>
      <w:r>
        <w:rPr>
          <w:lang w:val="en-US"/>
        </w:rPr>
        <w:t>cz</w:t>
      </w:r>
      <w:r>
        <w:t>).</w:t>
      </w:r>
    </w:p>
  </w:footnote>
  <w:footnote w:id="75">
    <w:p w:rsidR="00000000" w:rsidRDefault="00000000">
      <w:pPr>
        <w:pStyle w:val="FootnoteText"/>
      </w:pPr>
      <w:r>
        <w:rPr>
          <w:rStyle w:val="FootnoteReference"/>
        </w:rPr>
        <w:footnoteRef/>
      </w:r>
      <w:r>
        <w:t xml:space="preserve"> </w:t>
      </w:r>
      <w:r>
        <w:tab/>
        <w:t>Среди экстремистских движений правого толка наиболее активной остается неонацистская организация "Народни одпор" ("Национальное сопротивление"), а среди движений левого толка - организация "Антифашистицка акце" ("Антифашистская акция").  Организация "Народни одпор" не имеет "политических амбиций" и применяет тактику уличных беспорядков.  Эта организация децентрализована.  Вместе с тем по</w:t>
      </w:r>
      <w:r>
        <w:noBreakHyphen/>
        <w:t>прежнему существует опасность столкновений между боевиками, анархистами-антифашистами и последователями неонацистской идеологии в движении "бритоголовых".</w:t>
      </w:r>
    </w:p>
  </w:footnote>
  <w:footnote w:id="76">
    <w:p w:rsidR="00000000" w:rsidRDefault="00000000">
      <w:pPr>
        <w:pStyle w:val="FootnoteText"/>
      </w:pPr>
      <w:r>
        <w:rPr>
          <w:rStyle w:val="FootnoteReference"/>
        </w:rPr>
        <w:footnoteRef/>
      </w:r>
      <w:r>
        <w:t xml:space="preserve"> </w:t>
      </w:r>
      <w:r>
        <w:tab/>
        <w:t>"Преступление против общественного порядка" определяется как грубое, непристойное поведение или хулиганство в публичных местах, в частности агрессивные действия по отношению к какому-либо лицу, осквернение исторических или культурных памятников, могил или священных мест, а также нарушение порядка проведения гражданами собраний или совершения ими ритуалов.</w:t>
      </w:r>
    </w:p>
    <w:p w:rsidR="00000000" w:rsidRDefault="00000000">
      <w:pPr>
        <w:pStyle w:val="FootnoteText"/>
      </w:pPr>
    </w:p>
  </w:footnote>
  <w:footnote w:id="77">
    <w:p w:rsidR="00000000" w:rsidRDefault="00000000">
      <w:pPr>
        <w:pStyle w:val="FootnoteText"/>
      </w:pPr>
      <w:r>
        <w:rPr>
          <w:rStyle w:val="FootnoteReference"/>
        </w:rPr>
        <w:footnoteRef/>
      </w:r>
      <w:r>
        <w:t xml:space="preserve"> </w:t>
      </w:r>
      <w:r>
        <w:tab/>
        <w:t>Относится к официальной рабочей группе, которая объединяет координаторов по делам рома из региональных органов власти.</w:t>
      </w:r>
    </w:p>
    <w:p w:rsidR="00000000" w:rsidRDefault="00000000">
      <w:pPr>
        <w:pStyle w:val="FootnoteText"/>
      </w:pPr>
    </w:p>
  </w:footnote>
  <w:footnote w:id="78">
    <w:p w:rsidR="00000000" w:rsidRDefault="00000000">
      <w:pPr>
        <w:pStyle w:val="FootnoteText"/>
      </w:pPr>
      <w:r>
        <w:rPr>
          <w:rStyle w:val="FootnoteReference"/>
        </w:rPr>
        <w:footnoteRef/>
      </w:r>
      <w:r>
        <w:t xml:space="preserve"> </w:t>
      </w:r>
      <w:r>
        <w:tab/>
        <w:t>В 2004 году рабочая группа приняла Оперативный план на 2004</w:t>
      </w:r>
      <w:r>
        <w:noBreakHyphen/>
        <w:t xml:space="preserve">2005 годы, который предусматривает выезды на места реализации конкретных программ сотрудничества между полицией и представителями общины рома, проверку хода программ интеграции в общество представителей рома, а также посещение мест возникновения проблем и участия группы в их решении.  </w:t>
      </w:r>
    </w:p>
    <w:p w:rsidR="00000000" w:rsidRDefault="00000000">
      <w:pPr>
        <w:pStyle w:val="FootnoteText"/>
      </w:pPr>
      <w:r>
        <w:tab/>
        <w:t>План также охватывает следующие области:  миграция представителей общины рома, работа полиции в отношении национальных и этнических меньшинств, дискриминация и расизм, особые проблемы общины рома (ростовщичество, социальная маргинализация, наркомания), роль местных органов власти, деятельность координаторов по делам рома из региональных органов власти, работа советников по делам рома в муниципалитетах с расширенными полномочиями, меры концептуального характера.</w:t>
      </w:r>
    </w:p>
    <w:p w:rsidR="00000000" w:rsidRDefault="00000000">
      <w:pPr>
        <w:pStyle w:val="FootnoteText"/>
      </w:pPr>
    </w:p>
  </w:footnote>
  <w:footnote w:id="79">
    <w:p w:rsidR="00000000" w:rsidRDefault="00000000">
      <w:pPr>
        <w:pStyle w:val="FootnoteText"/>
      </w:pPr>
      <w:r>
        <w:rPr>
          <w:rStyle w:val="FootnoteReference"/>
        </w:rPr>
        <w:footnoteRef/>
      </w:r>
      <w:r>
        <w:t xml:space="preserve"> </w:t>
      </w:r>
      <w:r>
        <w:tab/>
        <w:t xml:space="preserve">При условии, что они были зарегистрированы в соответствующих реестрах населения в течение не менее чем за 45 дней и что они соответствуют установленным возрастным критериям.  </w:t>
      </w:r>
    </w:p>
    <w:p w:rsidR="00000000" w:rsidRDefault="00000000">
      <w:pPr>
        <w:pStyle w:val="FootnoteText"/>
      </w:pPr>
    </w:p>
  </w:footnote>
  <w:footnote w:id="80">
    <w:p w:rsidR="00000000" w:rsidRDefault="00000000">
      <w:pPr>
        <w:pStyle w:val="FootnoteText"/>
      </w:pPr>
      <w:r>
        <w:rPr>
          <w:rStyle w:val="FootnoteReference"/>
        </w:rPr>
        <w:footnoteRef/>
      </w:r>
      <w:r>
        <w:tab/>
        <w:t>В этом состоит значительное отличие от предыдущего законодательства, которое предусматривало регистрацию населения в полиции и обязанность гражданина Чехии сообщать об изменении постоянного места жительства в течение трех дней.</w:t>
      </w:r>
    </w:p>
    <w:p w:rsidR="00000000" w:rsidRDefault="00000000">
      <w:pPr>
        <w:pStyle w:val="FootnoteText"/>
      </w:pPr>
    </w:p>
  </w:footnote>
  <w:footnote w:id="81">
    <w:p w:rsidR="00000000" w:rsidRDefault="00000000">
      <w:pPr>
        <w:pStyle w:val="FootnoteText"/>
      </w:pPr>
      <w:r>
        <w:rPr>
          <w:rStyle w:val="FootnoteReference"/>
        </w:rPr>
        <w:footnoteRef/>
      </w:r>
      <w:r>
        <w:tab/>
        <w:t>Например, если они не будут являться обузой для социальной системы государства, в котором они ходатайствуют о предоставлении им разрешения на проживание, поскольку они уже имеют средства к существованию.  Для получения гражданином ЕС разрешения на постоянное проживание в ЧР он должен прожить в ЧР в течение пяти лет.  В некоторых случаях этот период может быть сокращен.</w:t>
      </w:r>
    </w:p>
    <w:p w:rsidR="00000000" w:rsidRDefault="00000000">
      <w:pPr>
        <w:pStyle w:val="FootnoteText"/>
      </w:pPr>
    </w:p>
  </w:footnote>
  <w:footnote w:id="82">
    <w:p w:rsidR="00000000" w:rsidRDefault="00000000">
      <w:pPr>
        <w:pStyle w:val="FootnoteText"/>
      </w:pPr>
      <w:r>
        <w:rPr>
          <w:rStyle w:val="FootnoteReference"/>
        </w:rPr>
        <w:footnoteRef/>
      </w:r>
      <w:r>
        <w:t xml:space="preserve"> </w:t>
      </w:r>
      <w:r>
        <w:tab/>
        <w:t>Другим иностранцам, как правило, для получения разрешения на постоянное проживание необходимо прожить в ЧР десять лет.  В некоторых случаях этот период может быть сокращен (обычно до восьми лет).</w:t>
      </w:r>
    </w:p>
    <w:p w:rsidR="00000000" w:rsidRDefault="00000000">
      <w:pPr>
        <w:pStyle w:val="FootnoteText"/>
      </w:pPr>
    </w:p>
  </w:footnote>
  <w:footnote w:id="83">
    <w:p w:rsidR="00000000" w:rsidRDefault="00000000">
      <w:pPr>
        <w:pStyle w:val="FootnoteText"/>
      </w:pPr>
      <w:r>
        <w:rPr>
          <w:rStyle w:val="FootnoteReference"/>
        </w:rPr>
        <w:footnoteRef/>
      </w:r>
      <w:r>
        <w:t xml:space="preserve"> </w:t>
      </w:r>
      <w:r>
        <w:tab/>
        <w:t>Этот вопрос был подробно рассмотрен в предыдущих периодических докладах.</w:t>
      </w:r>
    </w:p>
    <w:p w:rsidR="00000000" w:rsidRDefault="00000000">
      <w:pPr>
        <w:pStyle w:val="FootnoteText"/>
      </w:pPr>
    </w:p>
  </w:footnote>
  <w:footnote w:id="84">
    <w:p w:rsidR="00000000" w:rsidRDefault="00000000">
      <w:pPr>
        <w:pStyle w:val="FootnoteText"/>
      </w:pPr>
      <w:r>
        <w:rPr>
          <w:rStyle w:val="FootnoteReference"/>
        </w:rPr>
        <w:footnoteRef/>
      </w:r>
      <w:r>
        <w:t xml:space="preserve"> </w:t>
      </w:r>
      <w:r>
        <w:tab/>
        <w:t>См. статью 5.</w:t>
      </w:r>
    </w:p>
    <w:p w:rsidR="00000000" w:rsidRDefault="00000000">
      <w:pPr>
        <w:pStyle w:val="FootnoteText"/>
      </w:pPr>
    </w:p>
  </w:footnote>
  <w:footnote w:id="85">
    <w:p w:rsidR="00000000" w:rsidRDefault="00000000">
      <w:pPr>
        <w:pStyle w:val="FootnoteText"/>
      </w:pPr>
      <w:r>
        <w:rPr>
          <w:rStyle w:val="FootnoteReference"/>
        </w:rPr>
        <w:footnoteRef/>
      </w:r>
      <w:r>
        <w:t xml:space="preserve"> </w:t>
      </w:r>
      <w:r>
        <w:tab/>
        <w:t>Представители общины рома из Словакии по</w:t>
      </w:r>
      <w:r>
        <w:noBreakHyphen/>
        <w:t>прежнему эмигрируют в ЧР, где некоторые из них стремятся получить убежище (в 2003 году 1 055 граждан Словакии ходатайствовали о предоставлении убежища в ЧР;  практически все они были выходцами из общин рома).  Международная организация по миграции подготовила доклад, посвященный анализу текущей ситуации в области миграции и проблемы притока представителей рома из Словакии в ЧР, в котором перечислены основные факторы, обусловливающие миграцию в Словакии.  К их числу относятся увеличение количества населенных пунктов рома и их расширение, высокий уровень рождаемости, снижение максимального уровня социального обеспечения, ростовщичество и толерантное отношение властей к этой практике.  В ЧР среди факторов, способствующих эмиграции, следует упомянуть семейную круговую поруку, рост количества территориально сегрегированных населенных пунктов, обитатели которых по большей части являются представителями общины рома, возможности в области занятости, размещение и обеспечение питанием в центрах приема просителей убежища.</w:t>
      </w:r>
    </w:p>
    <w:p w:rsidR="00000000" w:rsidRDefault="00000000">
      <w:pPr>
        <w:pStyle w:val="FootnoteText"/>
      </w:pPr>
    </w:p>
  </w:footnote>
  <w:footnote w:id="86">
    <w:p w:rsidR="00000000" w:rsidRDefault="00000000">
      <w:pPr>
        <w:pStyle w:val="FootnoteText"/>
      </w:pPr>
      <w:r>
        <w:rPr>
          <w:rStyle w:val="FootnoteReference"/>
        </w:rPr>
        <w:footnoteRef/>
      </w:r>
      <w:r>
        <w:t xml:space="preserve"> </w:t>
      </w:r>
      <w:r>
        <w:tab/>
        <w:t>Поправка к Закону № 40/1993 </w:t>
      </w:r>
      <w:r>
        <w:rPr>
          <w:lang w:val="en-US"/>
        </w:rPr>
        <w:t>Coll</w:t>
      </w:r>
      <w:r>
        <w:t>. о гражданстве, была введена Законом № 357/2003 </w:t>
      </w:r>
      <w:r>
        <w:rPr>
          <w:lang w:val="en-US"/>
        </w:rPr>
        <w:t>Coll</w:t>
      </w:r>
      <w:r>
        <w:t>.</w:t>
      </w:r>
    </w:p>
  </w:footnote>
  <w:footnote w:id="87">
    <w:p w:rsidR="00000000" w:rsidRDefault="00000000">
      <w:pPr>
        <w:pStyle w:val="FootnoteText"/>
      </w:pPr>
      <w:r>
        <w:rPr>
          <w:rStyle w:val="FootnoteReference"/>
        </w:rPr>
        <w:footnoteRef/>
      </w:r>
      <w:r>
        <w:t xml:space="preserve"> </w:t>
      </w:r>
      <w:r>
        <w:tab/>
        <w:t>Предыдущие предложения также предусматривали это условие.</w:t>
      </w:r>
    </w:p>
    <w:p w:rsidR="00000000" w:rsidRDefault="00000000">
      <w:pPr>
        <w:pStyle w:val="FootnoteText"/>
      </w:pPr>
    </w:p>
  </w:footnote>
  <w:footnote w:id="88">
    <w:p w:rsidR="00000000" w:rsidRDefault="00000000">
      <w:pPr>
        <w:pStyle w:val="FootnoteText"/>
      </w:pPr>
      <w:r>
        <w:rPr>
          <w:rStyle w:val="FootnoteReference"/>
        </w:rPr>
        <w:footnoteRef/>
      </w:r>
      <w:r>
        <w:t xml:space="preserve"> </w:t>
      </w:r>
      <w:r>
        <w:tab/>
        <w:t>Постановление Конституционного суда от 27 ноября 2002 года опубликовано в Сборнике нормативных актов под № 4/2003.</w:t>
      </w:r>
    </w:p>
  </w:footnote>
  <w:footnote w:id="89">
    <w:p w:rsidR="00000000" w:rsidRDefault="00000000">
      <w:pPr>
        <w:pStyle w:val="EndnoteText"/>
      </w:pPr>
      <w:r>
        <w:rPr>
          <w:rStyle w:val="FootnoteReference"/>
        </w:rPr>
        <w:footnoteRef/>
      </w:r>
      <w:r>
        <w:tab/>
        <w:t>Подробнее вопрос о дискриминации в области занятости освещается. в разделе по статье 6.</w:t>
      </w:r>
    </w:p>
    <w:p w:rsidR="00000000" w:rsidRDefault="00000000">
      <w:pPr>
        <w:pStyle w:val="EndnoteText"/>
      </w:pPr>
    </w:p>
  </w:footnote>
  <w:footnote w:id="90">
    <w:p w:rsidR="00000000" w:rsidRDefault="00000000">
      <w:pPr>
        <w:pStyle w:val="FootnoteText"/>
        <w:rPr>
          <w:i/>
          <w:iCs/>
        </w:rPr>
      </w:pPr>
      <w:r>
        <w:rPr>
          <w:rStyle w:val="FootnoteReference"/>
        </w:rPr>
        <w:footnoteRef/>
      </w:r>
      <w:r>
        <w:tab/>
        <w:t xml:space="preserve">По смыслу статьи 33 (1) Закона № 435/2004 </w:t>
      </w:r>
      <w:r>
        <w:rPr>
          <w:lang w:val="en-US"/>
        </w:rPr>
        <w:t>Coll</w:t>
      </w:r>
      <w:r>
        <w:t>. к таким группам относятся:  "</w:t>
      </w:r>
      <w:r>
        <w:rPr>
          <w:i/>
          <w:iCs/>
        </w:rPr>
        <w:t>Физические лица, нуждающиеся в специальной помощи;  в категорию этих лиц, в частности, входят физические лица, временно оказавшиеся в крайне стесненных условиях или живущие в таких условиях, социально неприспособленные физические лица, физические лица, отбывшие наказание к лишению свободы, и физические лица из неблагоприятной социально-культурной среды".</w:t>
      </w:r>
    </w:p>
    <w:p w:rsidR="00000000" w:rsidRDefault="00000000">
      <w:pPr>
        <w:pStyle w:val="FootnoteText"/>
      </w:pPr>
    </w:p>
  </w:footnote>
  <w:footnote w:id="91">
    <w:p w:rsidR="00000000" w:rsidRDefault="00000000">
      <w:pPr>
        <w:pStyle w:val="FootnoteText"/>
      </w:pPr>
      <w:r>
        <w:rPr>
          <w:rStyle w:val="FootnoteReference"/>
        </w:rPr>
        <w:footnoteRef/>
      </w:r>
      <w:r>
        <w:tab/>
        <w:t>Бюро по трудоустройству </w:t>
      </w:r>
      <w:r>
        <w:noBreakHyphen/>
        <w:t xml:space="preserve"> это государственные административные органы, занимающиеся регистрацией безработных, поиском работы, оказанием консультативных и информационных услуг по вопросам занятости, осуществлением надзора и т.д.</w:t>
      </w:r>
    </w:p>
    <w:p w:rsidR="00000000" w:rsidRDefault="00000000">
      <w:pPr>
        <w:pStyle w:val="FootnoteText"/>
        <w:spacing w:line="720" w:lineRule="auto"/>
      </w:pPr>
    </w:p>
  </w:footnote>
  <w:footnote w:id="92">
    <w:p w:rsidR="00000000" w:rsidRDefault="00000000">
      <w:pPr>
        <w:pStyle w:val="FootnoteText"/>
      </w:pPr>
      <w:r>
        <w:rPr>
          <w:rStyle w:val="FootnoteReference"/>
        </w:rPr>
        <w:footnoteRef/>
      </w:r>
      <w:r>
        <w:tab/>
        <w:t xml:space="preserve">К механизмам политики активного поощрения занятости относятся, в частности, консультативная деятельность, организация общественно-полезных работ, создание социально значимых рабочих мест и переподготовка.  Кандидаты, которым трудно найти работу, по принципу оперативной регистрации включаются в программы, основанные на использовании политики активного поощрения занятости.  Это - такие программы, как программа </w:t>
      </w:r>
      <w:r>
        <w:rPr>
          <w:lang w:val="en-US"/>
        </w:rPr>
        <w:t>MOST</w:t>
      </w:r>
      <w:r>
        <w:t xml:space="preserve"> для молодежи и программа "Возможности для престарелых".  Указанные программы являются интегрированными, охватывая меньшинство и большинство населения, и предполагают использование четырех взаимосвязанных элементов:  создание побудительных стимулов и формирование активной позиции, консультирование, практическая переподготовка и субсидируемая занятость.</w:t>
      </w:r>
    </w:p>
    <w:p w:rsidR="00000000" w:rsidRDefault="00000000">
      <w:pPr>
        <w:pStyle w:val="FootnoteText"/>
      </w:pPr>
    </w:p>
  </w:footnote>
  <w:footnote w:id="93">
    <w:p w:rsidR="00000000" w:rsidRDefault="00000000">
      <w:pPr>
        <w:pStyle w:val="FootnoteText"/>
      </w:pPr>
      <w:r>
        <w:rPr>
          <w:rStyle w:val="FootnoteReference"/>
        </w:rPr>
        <w:footnoteRef/>
      </w:r>
      <w:r>
        <w:tab/>
        <w:t>Включая положения, регулирующие вопросы выплаты вознаграждения, а также обеспечения безопасности и гигиены труда.</w:t>
      </w:r>
    </w:p>
  </w:footnote>
  <w:footnote w:id="94">
    <w:p w:rsidR="00000000" w:rsidRDefault="00000000">
      <w:pPr>
        <w:pStyle w:val="FootnoteText"/>
      </w:pPr>
      <w:r>
        <w:rPr>
          <w:rStyle w:val="FootnoteReference"/>
        </w:rPr>
        <w:footnoteRef/>
      </w:r>
      <w:r>
        <w:tab/>
        <w:t>В отношении защиты от дискриминации в сфере трудовых отношений см. раздел, посвященный статье 6.</w:t>
      </w:r>
    </w:p>
    <w:p w:rsidR="00000000" w:rsidRDefault="00000000">
      <w:pPr>
        <w:pStyle w:val="FootnoteText"/>
      </w:pPr>
    </w:p>
  </w:footnote>
  <w:footnote w:id="95">
    <w:p w:rsidR="00000000" w:rsidRDefault="00000000">
      <w:pPr>
        <w:pStyle w:val="FootnoteText"/>
      </w:pPr>
      <w:r>
        <w:rPr>
          <w:rStyle w:val="FootnoteReference"/>
        </w:rPr>
        <w:footnoteRef/>
      </w:r>
      <w:r>
        <w:tab/>
        <w:t>Информацию об основных положениях обоих Законов см. в разделе, посвященном статье 2;  по поводу конкретной защиты от дискриминации см. раздел, посвященный статье 6.</w:t>
      </w:r>
    </w:p>
    <w:p w:rsidR="00000000" w:rsidRDefault="00000000">
      <w:pPr>
        <w:pStyle w:val="FootnoteText"/>
      </w:pPr>
    </w:p>
  </w:footnote>
  <w:footnote w:id="96">
    <w:p w:rsidR="00000000" w:rsidRDefault="00000000">
      <w:pPr>
        <w:pStyle w:val="FootnoteText"/>
      </w:pPr>
      <w:r>
        <w:rPr>
          <w:rStyle w:val="FootnoteReference"/>
        </w:rPr>
        <w:footnoteRef/>
      </w:r>
      <w:r>
        <w:tab/>
        <w:t>Более подробную информацию см. в разделе, посвященном статье 2.</w:t>
      </w:r>
    </w:p>
    <w:p w:rsidR="00000000" w:rsidRDefault="00000000">
      <w:pPr>
        <w:pStyle w:val="FootnoteText"/>
      </w:pPr>
    </w:p>
  </w:footnote>
  <w:footnote w:id="97">
    <w:p w:rsidR="00000000" w:rsidRDefault="00000000">
      <w:pPr>
        <w:pStyle w:val="FootnoteText"/>
      </w:pPr>
      <w:r>
        <w:rPr>
          <w:rStyle w:val="FootnoteReference"/>
        </w:rPr>
        <w:footnoteRef/>
      </w:r>
      <w:r>
        <w:tab/>
        <w:t xml:space="preserve">См. </w:t>
      </w:r>
      <w:hyperlink r:id="rId8" w:history="1">
        <w:r>
          <w:rPr>
            <w:rStyle w:val="Hyperlink"/>
            <w:u w:val="none"/>
            <w:lang w:val="en-GB"/>
          </w:rPr>
          <w:t>http://www.esfcr.cz/files/clanky/5630/oprlz_cz.pdf</w:t>
        </w:r>
      </w:hyperlink>
      <w:r>
        <w:rPr>
          <w:lang w:val="en-GB"/>
        </w:rPr>
        <w:t xml:space="preserve">.  </w:t>
      </w:r>
      <w:r>
        <w:t>Этот документ был подготовлен министерством труда и социальных дел в ноябре 2004 года.  В период 2004</w:t>
      </w:r>
      <w:r>
        <w:noBreakHyphen/>
        <w:t>2006 годов программа будет параллельно финансироваться Европейским социальным фондом.</w:t>
      </w:r>
    </w:p>
    <w:p w:rsidR="00000000" w:rsidRDefault="00000000">
      <w:pPr>
        <w:pStyle w:val="FootnoteText"/>
      </w:pPr>
    </w:p>
  </w:footnote>
  <w:footnote w:id="98">
    <w:p w:rsidR="00000000" w:rsidRDefault="00000000">
      <w:pPr>
        <w:pStyle w:val="FootnoteText"/>
      </w:pPr>
      <w:r>
        <w:rPr>
          <w:rStyle w:val="FootnoteReference"/>
        </w:rPr>
        <w:footnoteRef/>
      </w:r>
      <w:r>
        <w:tab/>
        <w:t>Эти программы предполагают главным образом проведение консультационной деятельности и разработку индивидуальных планов действий в области занятости, а также профессиональную переподготовку.</w:t>
      </w:r>
    </w:p>
    <w:p w:rsidR="00000000" w:rsidRDefault="00000000">
      <w:pPr>
        <w:pStyle w:val="FootnoteText"/>
      </w:pPr>
    </w:p>
  </w:footnote>
  <w:footnote w:id="99">
    <w:p w:rsidR="00000000" w:rsidRDefault="00000000">
      <w:pPr>
        <w:pStyle w:val="FootnoteText"/>
      </w:pPr>
      <w:r>
        <w:rPr>
          <w:rStyle w:val="FootnoteReference"/>
        </w:rPr>
        <w:footnoteRef/>
      </w:r>
      <w:r>
        <w:tab/>
        <w:t>Это включает в себя курс изучения чешского языка для повышения степени адаптации иностранцев.</w:t>
      </w:r>
    </w:p>
    <w:p w:rsidR="00000000" w:rsidRDefault="00000000">
      <w:pPr>
        <w:pStyle w:val="FootnoteText"/>
      </w:pPr>
    </w:p>
  </w:footnote>
  <w:footnote w:id="100">
    <w:p w:rsidR="00000000" w:rsidRDefault="00000000">
      <w:pPr>
        <w:pStyle w:val="FootnoteText"/>
      </w:pPr>
      <w:r>
        <w:rPr>
          <w:rStyle w:val="FootnoteReference"/>
        </w:rPr>
        <w:footnoteRef/>
      </w:r>
      <w:r>
        <w:tab/>
        <w:t>В целом в стране было зарегистрировано 97 проектов с заявками на предоставление вспомогательных субсидий (всего было запрошено субсидий на общую сумму в 710 млн. чешских крон).  Двадцать один проект, касающийся в основном рома, был представлен для технико-экономического обоснования, и общая запрошенная сумма для их осуществления составила 160 млн. чешских крон.  В настоящее время поданные заявки рассматриваются.</w:t>
      </w:r>
    </w:p>
  </w:footnote>
  <w:footnote w:id="101">
    <w:p w:rsidR="00000000" w:rsidRDefault="00000000">
      <w:pPr>
        <w:pStyle w:val="FootnoteText"/>
      </w:pPr>
      <w:r>
        <w:rPr>
          <w:rStyle w:val="FootnoteReference"/>
        </w:rPr>
        <w:footnoteRef/>
      </w:r>
      <w:r>
        <w:tab/>
        <w:t>Постановление правительства № 1257 от 11 декабря 2000 года (</w:t>
      </w:r>
      <w:hyperlink r:id="rId9" w:history="1">
        <w:r>
          <w:rPr>
            <w:rStyle w:val="Hyperlink"/>
            <w:u w:val="none"/>
            <w:lang w:val="en-GB"/>
          </w:rPr>
          <w:t>http</w:t>
        </w:r>
        <w:r>
          <w:rPr>
            <w:rStyle w:val="Hyperlink"/>
            <w:u w:val="none"/>
          </w:rPr>
          <w:t>://</w:t>
        </w:r>
        <w:r>
          <w:rPr>
            <w:rStyle w:val="Hyperlink"/>
            <w:u w:val="none"/>
            <w:lang w:val="en-GB"/>
          </w:rPr>
          <w:t>vladce</w:t>
        </w:r>
        <w:r>
          <w:rPr>
            <w:rStyle w:val="Hyperlink"/>
            <w:u w:val="none"/>
          </w:rPr>
          <w:t>.</w:t>
        </w:r>
        <w:r>
          <w:rPr>
            <w:rStyle w:val="Hyperlink"/>
            <w:u w:val="none"/>
            <w:lang w:val="en-GB"/>
          </w:rPr>
          <w:t>vlada</w:t>
        </w:r>
        <w:r>
          <w:rPr>
            <w:rStyle w:val="Hyperlink"/>
            <w:u w:val="none"/>
          </w:rPr>
          <w:t>.</w:t>
        </w:r>
        <w:r>
          <w:rPr>
            <w:rStyle w:val="Hyperlink"/>
            <w:u w:val="none"/>
            <w:lang w:val="en-GB"/>
          </w:rPr>
          <w:t>cz</w:t>
        </w:r>
        <w:r>
          <w:rPr>
            <w:rStyle w:val="Hyperlink"/>
            <w:u w:val="none"/>
          </w:rPr>
          <w:t>/</w:t>
        </w:r>
        <w:r>
          <w:rPr>
            <w:rStyle w:val="Hyperlink"/>
            <w:u w:val="none"/>
            <w:lang w:val="en-GB"/>
          </w:rPr>
          <w:t>apac</w:t>
        </w:r>
        <w:r>
          <w:rPr>
            <w:rStyle w:val="Hyperlink"/>
            <w:u w:val="none"/>
          </w:rPr>
          <w:t>/</w:t>
        </w:r>
        <w:r>
          <w:rPr>
            <w:rStyle w:val="Hyperlink"/>
            <w:u w:val="none"/>
            <w:lang w:val="en-GB"/>
          </w:rPr>
          <w:t>www</w:t>
        </w:r>
        <w:r>
          <w:rPr>
            <w:rStyle w:val="Hyperlink"/>
            <w:u w:val="none"/>
          </w:rPr>
          <w:t>.</w:t>
        </w:r>
        <w:r>
          <w:rPr>
            <w:rStyle w:val="Hyperlink"/>
            <w:u w:val="none"/>
            <w:lang w:val="en-GB"/>
          </w:rPr>
          <w:t>htm</w:t>
        </w:r>
      </w:hyperlink>
      <w:r>
        <w:t>).</w:t>
      </w:r>
    </w:p>
  </w:footnote>
  <w:footnote w:id="102">
    <w:p w:rsidR="00000000" w:rsidRDefault="00000000">
      <w:pPr>
        <w:pStyle w:val="FootnoteText"/>
      </w:pPr>
    </w:p>
    <w:p w:rsidR="00000000" w:rsidRDefault="00000000">
      <w:pPr>
        <w:pStyle w:val="FootnoteText"/>
      </w:pPr>
      <w:r>
        <w:rPr>
          <w:rStyle w:val="FootnoteReference"/>
        </w:rPr>
        <w:footnoteRef/>
      </w:r>
      <w:r>
        <w:t xml:space="preserve"> </w:t>
      </w:r>
      <w:r>
        <w:tab/>
        <w:t xml:space="preserve">Главными среди установленных признаков дискриминации являлись:  пол, сексуальная ориентация, расовое или этническое происхождение, национальная принадлежность, гражданство, социальное происхождение, имущественное положение, семейное происхождение, язык, состояние здоровья, возраст, религия, вероисповедание, состояние в браке и семейное положение или семейные обязательства, политическая или иная ориентация, членство и участие в деятельности политических партий, профсоюзных организаций или организаций трудящихся.  </w:t>
      </w:r>
    </w:p>
    <w:p w:rsidR="00000000" w:rsidRDefault="00000000">
      <w:pPr>
        <w:pStyle w:val="FootnoteText"/>
      </w:pPr>
    </w:p>
  </w:footnote>
  <w:footnote w:id="103">
    <w:p w:rsidR="00000000" w:rsidRDefault="00000000">
      <w:pPr>
        <w:pStyle w:val="FootnoteText"/>
      </w:pPr>
      <w:r>
        <w:rPr>
          <w:rStyle w:val="FootnoteReference"/>
        </w:rPr>
        <w:footnoteRef/>
      </w:r>
      <w:r>
        <w:t xml:space="preserve"> </w:t>
      </w:r>
      <w:r>
        <w:tab/>
        <w:t xml:space="preserve">Объявления о наличии рабочих мест выбирались из двух основных источников:  перечня вакантных должностей, размещенного на вебсайтах бюро по трудоустройству и газетных приложений о наличии вакансий.  Эти источники также проверялись по их региональной принадлежности;  это касалось перечней вакантных должностей, опубликованных бюро по трудоустройству в Праге, Остраве, Дечине и Усти-над-Лабем.  Всего было проверено 21 732 объявления, в том числе 17 713 объявлений, размещенных бюро по трудоустройству, и 4 019 объявлений, опубликованных в периодической печати.  </w:t>
      </w:r>
    </w:p>
    <w:p w:rsidR="00000000" w:rsidRDefault="00000000">
      <w:pPr>
        <w:pStyle w:val="FootnoteText"/>
        <w:spacing w:line="720" w:lineRule="auto"/>
      </w:pPr>
    </w:p>
  </w:footnote>
  <w:footnote w:id="104">
    <w:p w:rsidR="00000000" w:rsidRDefault="00000000">
      <w:pPr>
        <w:pStyle w:val="FootnoteText"/>
      </w:pPr>
      <w:r>
        <w:rPr>
          <w:rStyle w:val="FootnoteReference"/>
        </w:rPr>
        <w:footnoteRef/>
      </w:r>
      <w:r>
        <w:t xml:space="preserve"> </w:t>
      </w:r>
      <w:r>
        <w:tab/>
        <w:t xml:space="preserve">Закон № 40/1964 </w:t>
      </w:r>
      <w:r>
        <w:rPr>
          <w:lang w:val="en-US"/>
        </w:rPr>
        <w:t>Coll</w:t>
      </w:r>
      <w:r>
        <w:t xml:space="preserve">., Гражданский кодекс, Закон № 72/1994 </w:t>
      </w:r>
      <w:r>
        <w:rPr>
          <w:lang w:val="en-US"/>
        </w:rPr>
        <w:t>Coll</w:t>
      </w:r>
      <w:r>
        <w:t xml:space="preserve">. о праве собственности на квартиры, Указ министерства финансов № 85/1997 </w:t>
      </w:r>
      <w:r>
        <w:rPr>
          <w:lang w:val="en-US"/>
        </w:rPr>
        <w:t>Coll</w:t>
      </w:r>
      <w:r>
        <w:t xml:space="preserve">. об арендной плате за квартиры, приобретенные путем кооперативного жилищного строительства, Закон № 128/2000 </w:t>
      </w:r>
      <w:r>
        <w:rPr>
          <w:lang w:val="en-US"/>
        </w:rPr>
        <w:t>Coll</w:t>
      </w:r>
      <w:r>
        <w:t>. о муниципалитетах.</w:t>
      </w:r>
    </w:p>
    <w:p w:rsidR="00000000" w:rsidRDefault="00000000">
      <w:pPr>
        <w:pStyle w:val="FootnoteText"/>
      </w:pPr>
    </w:p>
  </w:footnote>
  <w:footnote w:id="105">
    <w:p w:rsidR="00000000" w:rsidRDefault="00000000">
      <w:pPr>
        <w:pStyle w:val="FootnoteText"/>
      </w:pPr>
      <w:r>
        <w:rPr>
          <w:rStyle w:val="FootnoteReference"/>
        </w:rPr>
        <w:footnoteRef/>
      </w:r>
      <w:r>
        <w:t xml:space="preserve"> </w:t>
      </w:r>
      <w:r>
        <w:tab/>
        <w:t>Международный пакт об экономических, культурных и социальных правах.</w:t>
      </w:r>
    </w:p>
    <w:p w:rsidR="00000000" w:rsidRDefault="00000000">
      <w:pPr>
        <w:pStyle w:val="FootnoteText"/>
      </w:pPr>
    </w:p>
  </w:footnote>
  <w:footnote w:id="106">
    <w:p w:rsidR="00000000" w:rsidRDefault="00000000">
      <w:pPr>
        <w:pStyle w:val="FootnoteText"/>
        <w:rPr>
          <w:lang w:val="en-US"/>
        </w:rPr>
      </w:pPr>
      <w:r>
        <w:rPr>
          <w:rStyle w:val="FootnoteReference"/>
        </w:rPr>
        <w:footnoteRef/>
      </w:r>
      <w:r>
        <w:t xml:space="preserve"> </w:t>
      </w:r>
      <w:r>
        <w:tab/>
        <w:t>Если руководствоваться вышеуказанными критериями, то идеальным претендентом на муниципальную квартиру будет семья, в которой оба супруга не имеют судимости, работают, долгое время проживают в муниципалитете и имеют небольшое число детей.</w:t>
      </w:r>
    </w:p>
    <w:p w:rsidR="00000000" w:rsidRDefault="00000000">
      <w:pPr>
        <w:pStyle w:val="FootnoteText"/>
        <w:rPr>
          <w:lang w:val="en-US"/>
        </w:rPr>
      </w:pPr>
    </w:p>
  </w:footnote>
  <w:footnote w:id="107">
    <w:p w:rsidR="00000000" w:rsidRDefault="00000000">
      <w:pPr>
        <w:pStyle w:val="FootnoteText"/>
      </w:pPr>
      <w:r>
        <w:rPr>
          <w:rStyle w:val="FootnoteReference"/>
        </w:rPr>
        <w:footnoteRef/>
      </w:r>
      <w:r>
        <w:tab/>
        <w:t>Одним из условий для подачи заявления на получение муниципальной квартиры является наличие регистрации, свидетельствующей о постоянном проживании на территории муниципалитета.</w:t>
      </w:r>
    </w:p>
    <w:p w:rsidR="00000000" w:rsidRDefault="00000000">
      <w:pPr>
        <w:pStyle w:val="FootnoteText"/>
        <w:spacing w:line="288" w:lineRule="auto"/>
      </w:pPr>
    </w:p>
  </w:footnote>
  <w:footnote w:id="108">
    <w:p w:rsidR="00000000" w:rsidRDefault="00000000">
      <w:pPr>
        <w:pStyle w:val="FootnoteText"/>
      </w:pPr>
      <w:r>
        <w:rPr>
          <w:rStyle w:val="FootnoteReference"/>
        </w:rPr>
        <w:footnoteRef/>
      </w:r>
      <w:r>
        <w:tab/>
        <w:t xml:space="preserve">Согласно Закону № 313/2002 </w:t>
      </w:r>
      <w:r>
        <w:rPr>
          <w:lang w:val="en-US"/>
        </w:rPr>
        <w:t>Coll</w:t>
      </w:r>
      <w:r>
        <w:t>. о внесении поправок в Закон о муниципалитетах (статья 124а [1]),  если постановление, решение или иной акт муниципального органа, обладающего независимыми полномочиями, противоречит этому Закону или другим нормативным положениям, то областной орган власти предлагает муниципальным властям принять меры с целью исправления положения.  Если муниципальные власти не принимают таких мер, то областной орган власти ходатайствует перед министерством внутренних дел о приостановлении действия соответствующего постановления, решения или иного акта.  Впоследствии данный вопрос может быть рассмотрен Конституционным судом, который отменяет постановление, решение или иной акт муниципальных властей либо отклоняет предложение о такой отмене и решение министерства внутренних дел о приостановлении действия соответствующего постановления, решения или иного акта.  Указанное положение не используется в случаях нарушения нормативных положений, относящихся к гражданскому, торговому или трудовому праву.</w:t>
      </w:r>
    </w:p>
  </w:footnote>
  <w:footnote w:id="109">
    <w:p w:rsidR="00000000" w:rsidRDefault="00000000">
      <w:pPr>
        <w:pStyle w:val="FootnoteText"/>
      </w:pPr>
      <w:r>
        <w:rPr>
          <w:rStyle w:val="FootnoteReference"/>
        </w:rPr>
        <w:footnoteRef/>
      </w:r>
      <w:r>
        <w:t xml:space="preserve"> </w:t>
      </w:r>
      <w:r>
        <w:tab/>
        <w:t xml:space="preserve">Постановление № 567/2002 </w:t>
      </w:r>
      <w:r>
        <w:rPr>
          <w:lang w:val="en-US"/>
        </w:rPr>
        <w:t>Coll</w:t>
      </w:r>
      <w:r>
        <w:t>., устанавливающее мораторий на повышение квартплаты.</w:t>
      </w:r>
    </w:p>
    <w:p w:rsidR="00000000" w:rsidRDefault="00000000">
      <w:pPr>
        <w:pStyle w:val="FootnoteText"/>
      </w:pPr>
    </w:p>
  </w:footnote>
  <w:footnote w:id="110">
    <w:p w:rsidR="00000000" w:rsidRDefault="00000000">
      <w:pPr>
        <w:pStyle w:val="FootnoteText"/>
      </w:pPr>
      <w:r>
        <w:rPr>
          <w:rStyle w:val="FootnoteReference"/>
        </w:rPr>
        <w:footnoteRef/>
      </w:r>
      <w:r>
        <w:t xml:space="preserve"> </w:t>
      </w:r>
      <w:r>
        <w:tab/>
        <w:t xml:space="preserve">Постановление Конституционного суда № 84/2003 </w:t>
      </w:r>
      <w:r>
        <w:rPr>
          <w:lang w:val="en-US"/>
        </w:rPr>
        <w:t>Coll</w:t>
      </w:r>
      <w:r>
        <w:t xml:space="preserve">. об отмене Постановления № 567/2002 </w:t>
      </w:r>
      <w:r>
        <w:rPr>
          <w:lang w:val="en-US"/>
        </w:rPr>
        <w:t>Coll</w:t>
      </w:r>
      <w:r>
        <w:t>.</w:t>
      </w:r>
    </w:p>
    <w:p w:rsidR="00000000" w:rsidRDefault="00000000">
      <w:pPr>
        <w:pStyle w:val="FootnoteText"/>
      </w:pPr>
    </w:p>
  </w:footnote>
  <w:footnote w:id="111">
    <w:p w:rsidR="00000000" w:rsidRDefault="00000000">
      <w:pPr>
        <w:pStyle w:val="FootnoteText"/>
      </w:pPr>
      <w:r>
        <w:rPr>
          <w:rStyle w:val="FootnoteReference"/>
        </w:rPr>
        <w:footnoteRef/>
      </w:r>
      <w:r>
        <w:t xml:space="preserve"> </w:t>
      </w:r>
      <w:r>
        <w:tab/>
        <w:t xml:space="preserve">Согласно постановлению Конституционного суда, положения Хартии и Конституции были нарушены применительно к требованию об осуществлении вмешательства со стороны государственной власти только в случаях и в пределах, которые предусмотрены законом, положениями, направленными на обеспечение равенства всех лиц, положениями, касающимися принципа, в соответствии с которым юридическое ограничение прав и свобод должно иметь равную сферу охвата, запрещением неправомерного использования ограничений прав и свобод в других целях, помимо установленных в нормативном порядке целей, а также правом владения и принципом защиты собственности в связи с принципом запрещения дискриминации (статья 1 Протокола № 1 к Европейской конвенции о правах человека и основных свободах в увязке со статьей 14 Конвенции).  </w:t>
      </w:r>
    </w:p>
    <w:p w:rsidR="00000000" w:rsidRDefault="00000000">
      <w:pPr>
        <w:pStyle w:val="FootnoteText"/>
      </w:pPr>
    </w:p>
  </w:footnote>
  <w:footnote w:id="112">
    <w:p w:rsidR="00000000" w:rsidRDefault="00000000">
      <w:pPr>
        <w:pStyle w:val="FootnoteText"/>
      </w:pPr>
      <w:r>
        <w:rPr>
          <w:rStyle w:val="FootnoteReference"/>
        </w:rPr>
        <w:footnoteRef/>
      </w:r>
      <w:r>
        <w:t xml:space="preserve"> </w:t>
      </w:r>
      <w:r>
        <w:tab/>
        <w:t>Подготовленный правительством законопроект об одностороннем повышении квартплаты, палата депутатов, документ 1059/0.</w:t>
      </w:r>
    </w:p>
    <w:p w:rsidR="00000000" w:rsidRDefault="00000000">
      <w:pPr>
        <w:pStyle w:val="FootnoteText"/>
      </w:pPr>
    </w:p>
  </w:footnote>
  <w:footnote w:id="113">
    <w:p w:rsidR="00000000" w:rsidRDefault="00000000">
      <w:pPr>
        <w:pStyle w:val="FootnoteText"/>
      </w:pPr>
      <w:r>
        <w:rPr>
          <w:rStyle w:val="FootnoteReference"/>
        </w:rPr>
        <w:footnoteRef/>
      </w:r>
      <w:r>
        <w:t xml:space="preserve"> </w:t>
      </w:r>
      <w:r>
        <w:tab/>
        <w:t>Подготовленный правительством законопроект о внесении изменений в ряд нормативно-правовых актов в связи с принятием Закона о прожиточном минимуме и минимальных средствах к существованию и Закона об оказании помощи материально нуждающимся лицам.  Палата депутатов, документ 1065/0.</w:t>
      </w:r>
    </w:p>
    <w:p w:rsidR="00000000" w:rsidRDefault="00000000">
      <w:pPr>
        <w:pStyle w:val="FootnoteText"/>
      </w:pPr>
    </w:p>
  </w:footnote>
  <w:footnote w:id="114">
    <w:p w:rsidR="00000000" w:rsidRDefault="00000000">
      <w:pPr>
        <w:pStyle w:val="FootnoteText"/>
      </w:pPr>
      <w:r>
        <w:rPr>
          <w:rStyle w:val="FootnoteReference"/>
        </w:rPr>
        <w:footnoteRef/>
      </w:r>
      <w:r>
        <w:t xml:space="preserve"> </w:t>
      </w:r>
      <w:r>
        <w:tab/>
        <w:t>Подготовленный правительством проект закона об оказании помощи материально нуждающимся лицам.  Палата депутатов, документ 1063/0.</w:t>
      </w:r>
    </w:p>
    <w:p w:rsidR="00000000" w:rsidRDefault="00000000">
      <w:pPr>
        <w:pStyle w:val="FootnoteText"/>
      </w:pPr>
    </w:p>
  </w:footnote>
  <w:footnote w:id="115">
    <w:p w:rsidR="00000000" w:rsidRDefault="00000000">
      <w:pPr>
        <w:pStyle w:val="FootnoteText"/>
        <w:rPr>
          <w:lang w:val="en-US"/>
        </w:rPr>
      </w:pPr>
      <w:r>
        <w:rPr>
          <w:rStyle w:val="FootnoteReference"/>
        </w:rPr>
        <w:footnoteRef/>
      </w:r>
      <w:r>
        <w:t xml:space="preserve"> </w:t>
      </w:r>
      <w:r>
        <w:tab/>
        <w:t>В 2004 году в ЧР было выделено в общей сложности 285 млн. чешских крон на строительство 877 квартир;  в 2005 году министерство регионального развития ассигновало 483 млн. чешских крон на цели содействия строительству съемного жилья.</w:t>
      </w:r>
    </w:p>
    <w:p w:rsidR="00000000" w:rsidRDefault="00000000">
      <w:pPr>
        <w:pStyle w:val="FootnoteText"/>
        <w:rPr>
          <w:lang w:val="en-US"/>
        </w:rPr>
      </w:pPr>
    </w:p>
  </w:footnote>
  <w:footnote w:id="116">
    <w:p w:rsidR="00000000" w:rsidRDefault="00000000">
      <w:pPr>
        <w:pStyle w:val="FootnoteText"/>
      </w:pPr>
      <w:r>
        <w:rPr>
          <w:rStyle w:val="FootnoteReference"/>
        </w:rPr>
        <w:footnoteRef/>
      </w:r>
      <w:r>
        <w:t xml:space="preserve"> </w:t>
      </w:r>
      <w:r>
        <w:tab/>
        <w:t>Программа ориентирована на две основные целевые группы, включая, с одной стороны, лиц, имеющих ограниченные средства к существованию вследствие плохого состояния здоровья или преклонного возраста, и, с другой стороны, лиц, которым угрожают социальное отчуждение вследствие разнообразных социальных факторов, таких, как отсутствие семейного окружения у детей, переданных на воспитание в специализированные учреждения, антиобщественное поведение, принадлежность к группам меньшинств и т.д.  В 2004 году в стране было выделено в общей сложности 201 млн. чешских крон на цели строительства 824 субсидируемых квартир.  В 2005 году министерство регионального развития ассигновало на эти цели 500 млн. чешских крон.</w:t>
      </w:r>
    </w:p>
  </w:footnote>
  <w:footnote w:id="117">
    <w:p w:rsidR="00000000" w:rsidRDefault="00000000">
      <w:pPr>
        <w:pStyle w:val="FootnoteText"/>
        <w:rPr>
          <w:lang w:val="en-US"/>
        </w:rPr>
      </w:pPr>
      <w:r>
        <w:rPr>
          <w:rStyle w:val="FootnoteReference"/>
        </w:rPr>
        <w:footnoteRef/>
      </w:r>
      <w:r>
        <w:t xml:space="preserve"> </w:t>
      </w:r>
      <w:r>
        <w:tab/>
        <w:t xml:space="preserve">Правительство утвердило этот проект на основании своего Постановления № 876 от 13 июля 2005 года (см. </w:t>
      </w:r>
      <w:hyperlink r:id="rId10" w:history="1">
        <w:r>
          <w:rPr>
            <w:rStyle w:val="Hyperlink"/>
            <w:u w:val="none"/>
            <w:lang w:val="en-US"/>
          </w:rPr>
          <w:t>http://www.vladce.vlada.cz/apac/www.htm</w:t>
        </w:r>
      </w:hyperlink>
      <w:r>
        <w:rPr>
          <w:lang w:val="en-US"/>
        </w:rPr>
        <w:t>).</w:t>
      </w:r>
    </w:p>
    <w:p w:rsidR="00000000" w:rsidRDefault="00000000">
      <w:pPr>
        <w:pStyle w:val="FootnoteText"/>
        <w:rPr>
          <w:lang w:val="en-US"/>
        </w:rPr>
      </w:pPr>
    </w:p>
  </w:footnote>
  <w:footnote w:id="118">
    <w:p w:rsidR="00000000" w:rsidRDefault="00000000">
      <w:pPr>
        <w:pStyle w:val="FootnoteText"/>
      </w:pPr>
      <w:r>
        <w:rPr>
          <w:rStyle w:val="FootnoteReference"/>
        </w:rPr>
        <w:footnoteRef/>
      </w:r>
      <w:r>
        <w:t xml:space="preserve"> </w:t>
      </w:r>
      <w:r>
        <w:tab/>
        <w:t>Министерство регионального развития также оказывает финансовую помощь неправительственным некоммерческим организациям, которые предоставляют потребителям бесплатные консультативные услуги по вопросам обеспечения жилья.  Кроме того, министерство разрабатывает национальный план развития на 2007</w:t>
      </w:r>
      <w:r>
        <w:noBreakHyphen/>
        <w:t>2013 годы, в котором устанавливается механизм финансирования из структурных фондов ЕС.  При обсуждении перспектив работы в этот новый программный период министерство попытается согласовать вопрос о выделении максимально возможных инвестиционных субсидий, с тем чтобы использовать структурные фонды для финансирования деятельности в области жилищного строительства в рамках конкретных проектов с более широкими задачами и четкой ориентацией на социальную интеграцию.</w:t>
      </w:r>
    </w:p>
  </w:footnote>
  <w:footnote w:id="119">
    <w:p w:rsidR="00000000" w:rsidRDefault="00000000">
      <w:pPr>
        <w:pStyle w:val="FootnoteText"/>
      </w:pPr>
      <w:r>
        <w:rPr>
          <w:rStyle w:val="FootnoteReference"/>
        </w:rPr>
        <w:footnoteRef/>
      </w:r>
      <w:r>
        <w:t xml:space="preserve"> </w:t>
      </w:r>
      <w:r>
        <w:tab/>
        <w:t xml:space="preserve">Проект </w:t>
      </w:r>
      <w:r>
        <w:rPr>
          <w:lang w:val="en-US"/>
        </w:rPr>
        <w:t>HS</w:t>
      </w:r>
      <w:r>
        <w:t xml:space="preserve"> 91/02 осуществлялся в рамках программы целевого субсидирования в период 2002</w:t>
      </w:r>
      <w:r>
        <w:noBreakHyphen/>
        <w:t xml:space="preserve">2003 годов </w:t>
      </w:r>
      <w:r>
        <w:rPr>
          <w:i/>
          <w:iCs/>
        </w:rPr>
        <w:t xml:space="preserve">Пражским "Социоклубом" </w:t>
      </w:r>
      <w:r>
        <w:t>(</w:t>
      </w:r>
      <w:hyperlink r:id="rId1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socioklub</w:t>
        </w:r>
        <w:r>
          <w:rPr>
            <w:rStyle w:val="Hyperlink"/>
            <w:u w:val="none"/>
          </w:rPr>
          <w:t>.</w:t>
        </w:r>
        <w:r>
          <w:rPr>
            <w:rStyle w:val="Hyperlink"/>
            <w:u w:val="none"/>
            <w:lang w:val="en-US"/>
          </w:rPr>
          <w:t>cz</w:t>
        </w:r>
        <w:r>
          <w:rPr>
            <w:rStyle w:val="Hyperlink"/>
            <w:u w:val="none"/>
          </w:rPr>
          <w:t>/</w:t>
        </w:r>
        <w:r>
          <w:rPr>
            <w:rStyle w:val="Hyperlink"/>
            <w:u w:val="none"/>
            <w:lang w:val="en-US"/>
          </w:rPr>
          <w:t>studia</w:t>
        </w:r>
        <w:r>
          <w:rPr>
            <w:rStyle w:val="Hyperlink"/>
            <w:u w:val="none"/>
          </w:rPr>
          <w:t>.</w:t>
        </w:r>
        <w:r>
          <w:rPr>
            <w:rStyle w:val="Hyperlink"/>
            <w:u w:val="none"/>
            <w:lang w:val="en-US"/>
          </w:rPr>
          <w:t>php</w:t>
        </w:r>
      </w:hyperlink>
      <w:r>
        <w:t>).</w:t>
      </w:r>
    </w:p>
    <w:p w:rsidR="00000000" w:rsidRDefault="00000000">
      <w:pPr>
        <w:pStyle w:val="FootnoteText"/>
      </w:pPr>
    </w:p>
  </w:footnote>
  <w:footnote w:id="120">
    <w:p w:rsidR="00000000" w:rsidRDefault="00000000">
      <w:pPr>
        <w:pStyle w:val="FootnoteText"/>
      </w:pPr>
      <w:r>
        <w:rPr>
          <w:rStyle w:val="FootnoteReference"/>
        </w:rPr>
        <w:footnoteRef/>
      </w:r>
      <w:r>
        <w:t xml:space="preserve"> </w:t>
      </w:r>
      <w:r>
        <w:tab/>
        <w:t xml:space="preserve">Этот проект осуществлялся Брненским исследовательским центром Научно-исследовательского института </w:t>
      </w:r>
      <w:r>
        <w:rPr>
          <w:rFonts w:ascii="Tahoma" w:hAnsi="Tahoma" w:cs="Tahoma"/>
        </w:rPr>
        <w:t>Ú</w:t>
      </w:r>
      <w:r>
        <w:rPr>
          <w:lang w:val="en-US"/>
        </w:rPr>
        <w:t>PSV</w:t>
      </w:r>
      <w:r>
        <w:t xml:space="preserve"> при министерстве труда и социальных дел (</w:t>
      </w:r>
      <w:hyperlink r:id="rId12"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vupsv</w:t>
        </w:r>
        <w:r>
          <w:rPr>
            <w:rStyle w:val="Hyperlink"/>
            <w:u w:val="none"/>
          </w:rPr>
          <w:t>.</w:t>
        </w:r>
        <w:r>
          <w:rPr>
            <w:rStyle w:val="Hyperlink"/>
            <w:u w:val="none"/>
            <w:lang w:val="en-US"/>
          </w:rPr>
          <w:t>cz</w:t>
        </w:r>
        <w:r>
          <w:rPr>
            <w:rStyle w:val="Hyperlink"/>
            <w:u w:val="none"/>
          </w:rPr>
          <w:t>/</w:t>
        </w:r>
        <w:r>
          <w:rPr>
            <w:rStyle w:val="Hyperlink"/>
            <w:u w:val="none"/>
            <w:lang w:val="en-US"/>
          </w:rPr>
          <w:t>an</w:t>
        </w:r>
        <w:r>
          <w:rPr>
            <w:rStyle w:val="Hyperlink"/>
            <w:u w:val="none"/>
          </w:rPr>
          <w:t>138.</w:t>
        </w:r>
        <w:r>
          <w:rPr>
            <w:rStyle w:val="Hyperlink"/>
            <w:u w:val="none"/>
            <w:lang w:val="en-US"/>
          </w:rPr>
          <w:t>html</w:t>
        </w:r>
      </w:hyperlink>
      <w:r>
        <w:t>).</w:t>
      </w:r>
    </w:p>
    <w:p w:rsidR="00000000" w:rsidRDefault="00000000">
      <w:pPr>
        <w:pStyle w:val="FootnoteText"/>
      </w:pPr>
    </w:p>
  </w:footnote>
  <w:footnote w:id="121">
    <w:p w:rsidR="00000000" w:rsidRDefault="00000000">
      <w:pPr>
        <w:pStyle w:val="FootnoteText"/>
        <w:rPr>
          <w:lang w:val="en-US"/>
        </w:rPr>
      </w:pPr>
      <w:r>
        <w:rPr>
          <w:rStyle w:val="FootnoteReference"/>
        </w:rPr>
        <w:footnoteRef/>
      </w:r>
      <w:r>
        <w:t xml:space="preserve"> </w:t>
      </w:r>
      <w:r>
        <w:tab/>
        <w:t xml:space="preserve">Проект </w:t>
      </w:r>
      <w:r>
        <w:rPr>
          <w:lang w:val="en-US"/>
        </w:rPr>
        <w:t>HS</w:t>
      </w:r>
      <w:r>
        <w:t xml:space="preserve"> 108/03 осуществлялся Университетом Западной Богемии в Пльзене в рамках программы целевого субсидирования в 2003</w:t>
      </w:r>
      <w:r>
        <w:noBreakHyphen/>
        <w:t>2004 годах.</w:t>
      </w:r>
    </w:p>
    <w:p w:rsidR="00000000" w:rsidRDefault="00000000">
      <w:pPr>
        <w:pStyle w:val="FootnoteText"/>
        <w:rPr>
          <w:lang w:val="en-US"/>
        </w:rPr>
      </w:pPr>
    </w:p>
  </w:footnote>
  <w:footnote w:id="122">
    <w:p w:rsidR="00000000" w:rsidRDefault="00000000">
      <w:pPr>
        <w:spacing w:line="240" w:lineRule="auto"/>
      </w:pPr>
      <w:r>
        <w:rPr>
          <w:rStyle w:val="FootnoteReference"/>
        </w:rPr>
        <w:footnoteRef/>
      </w:r>
      <w:r>
        <w:t xml:space="preserve"> </w:t>
      </w:r>
      <w:r>
        <w:tab/>
        <w:t>О важности этого проекта свидетельствует тот факт, что в рамках программы одноуровневых экспертных обзоров, которая является одним из направлений деятельности по линии Программы общинных действий Европейской комиссии в целях борьбы с социальным отчуждением, в мае 2005 года государства - члены ЕС отметили социальную работу в отчужденных общинах рома в качестве одного из четырех примеров оптимальной практики.</w:t>
      </w:r>
    </w:p>
    <w:p w:rsidR="00000000" w:rsidRDefault="00000000">
      <w:pPr>
        <w:spacing w:line="240" w:lineRule="auto"/>
      </w:pPr>
    </w:p>
  </w:footnote>
  <w:footnote w:id="123">
    <w:p w:rsidR="00000000" w:rsidRDefault="00000000">
      <w:pPr>
        <w:pStyle w:val="FootnoteText"/>
        <w:rPr>
          <w:lang w:val="en-GB"/>
        </w:rPr>
      </w:pPr>
      <w:r>
        <w:rPr>
          <w:rStyle w:val="FootnoteReference"/>
        </w:rPr>
        <w:footnoteRef/>
      </w:r>
      <w:r>
        <w:t xml:space="preserve"> </w:t>
      </w:r>
      <w:r>
        <w:tab/>
        <w:t xml:space="preserve">Международная неправительственная организация, занимающаяся вопросами борьбы за права человека, включая права рома.  См. </w:t>
      </w:r>
      <w:hyperlink r:id="rId13" w:history="1">
        <w:r>
          <w:rPr>
            <w:rStyle w:val="Hyperlink"/>
            <w:u w:val="none"/>
            <w:lang w:val="en-GB"/>
          </w:rPr>
          <w:t>www.errc.org</w:t>
        </w:r>
      </w:hyperlink>
      <w:r>
        <w:rPr>
          <w:lang w:val="en-GB"/>
        </w:rPr>
        <w:t>.</w:t>
      </w:r>
    </w:p>
    <w:p w:rsidR="00000000" w:rsidRDefault="00000000">
      <w:pPr>
        <w:pStyle w:val="FootnoteText"/>
        <w:rPr>
          <w:lang w:val="en-GB"/>
        </w:rPr>
      </w:pPr>
    </w:p>
  </w:footnote>
  <w:footnote w:id="124">
    <w:p w:rsidR="00000000" w:rsidRDefault="00000000">
      <w:pPr>
        <w:pStyle w:val="FootnoteText"/>
      </w:pPr>
      <w:r>
        <w:rPr>
          <w:rStyle w:val="FootnoteReference"/>
        </w:rPr>
        <w:footnoteRef/>
      </w:r>
      <w:r>
        <w:t xml:space="preserve"> </w:t>
      </w:r>
      <w:r>
        <w:tab/>
        <w:t xml:space="preserve">Подробнее см. </w:t>
      </w:r>
      <w:hyperlink r:id="rId14" w:history="1">
        <w:r>
          <w:rPr>
            <w:rStyle w:val="Hyperlink"/>
            <w:u w:val="none"/>
            <w:lang w:val="en-GB"/>
          </w:rPr>
          <w:t>http</w:t>
        </w:r>
        <w:r>
          <w:rPr>
            <w:rStyle w:val="Hyperlink"/>
            <w:u w:val="none"/>
          </w:rPr>
          <w:t>://</w:t>
        </w:r>
        <w:r>
          <w:rPr>
            <w:rStyle w:val="Hyperlink"/>
            <w:u w:val="none"/>
            <w:lang w:val="en-GB"/>
          </w:rPr>
          <w:t>www</w:t>
        </w:r>
        <w:r>
          <w:rPr>
            <w:rStyle w:val="Hyperlink"/>
            <w:u w:val="none"/>
          </w:rPr>
          <w:t>.</w:t>
        </w:r>
        <w:r>
          <w:rPr>
            <w:rStyle w:val="Hyperlink"/>
            <w:u w:val="none"/>
            <w:lang w:val="en-GB"/>
          </w:rPr>
          <w:t>errc</w:t>
        </w:r>
        <w:r>
          <w:rPr>
            <w:rStyle w:val="Hyperlink"/>
            <w:u w:val="none"/>
          </w:rPr>
          <w:t>.</w:t>
        </w:r>
        <w:r>
          <w:rPr>
            <w:rStyle w:val="Hyperlink"/>
            <w:u w:val="none"/>
            <w:lang w:val="en-GB"/>
          </w:rPr>
          <w:t>org</w:t>
        </w:r>
        <w:bookmarkStart w:id="4" w:name="_Hlt111264717"/>
        <w:r>
          <w:rPr>
            <w:rStyle w:val="Hyperlink"/>
            <w:u w:val="none"/>
          </w:rPr>
          <w:t>/</w:t>
        </w:r>
        <w:bookmarkEnd w:id="4"/>
        <w:r>
          <w:rPr>
            <w:rStyle w:val="Hyperlink"/>
            <w:u w:val="none"/>
            <w:lang w:val="en-GB"/>
          </w:rPr>
          <w:t>cikk</w:t>
        </w:r>
        <w:r>
          <w:rPr>
            <w:rStyle w:val="Hyperlink"/>
            <w:u w:val="none"/>
          </w:rPr>
          <w:t>.</w:t>
        </w:r>
        <w:r>
          <w:rPr>
            <w:rStyle w:val="Hyperlink"/>
            <w:u w:val="none"/>
            <w:lang w:val="en-GB"/>
          </w:rPr>
          <w:t>php</w:t>
        </w:r>
        <w:bookmarkStart w:id="5" w:name="_Hlt113699702"/>
        <w:r>
          <w:rPr>
            <w:rStyle w:val="Hyperlink"/>
            <w:u w:val="none"/>
          </w:rPr>
          <w:t>?</w:t>
        </w:r>
        <w:bookmarkEnd w:id="5"/>
        <w:r>
          <w:rPr>
            <w:rStyle w:val="Hyperlink"/>
            <w:u w:val="none"/>
            <w:lang w:val="en-GB"/>
          </w:rPr>
          <w:t>cikk</w:t>
        </w:r>
        <w:r>
          <w:rPr>
            <w:rStyle w:val="Hyperlink"/>
            <w:u w:val="none"/>
          </w:rPr>
          <w:t>=2228</w:t>
        </w:r>
      </w:hyperlink>
      <w:r>
        <w:t xml:space="preserve"> (на английском языке).</w:t>
      </w:r>
    </w:p>
    <w:p w:rsidR="00000000" w:rsidRDefault="00000000">
      <w:pPr>
        <w:pStyle w:val="FootnoteText"/>
      </w:pPr>
    </w:p>
  </w:footnote>
  <w:footnote w:id="125">
    <w:p w:rsidR="00000000" w:rsidRDefault="00000000">
      <w:pPr>
        <w:pStyle w:val="FootnoteText"/>
        <w:spacing w:line="720" w:lineRule="auto"/>
      </w:pPr>
      <w:r>
        <w:rPr>
          <w:rStyle w:val="FootnoteReference"/>
        </w:rPr>
        <w:footnoteRef/>
      </w:r>
      <w:r>
        <w:t xml:space="preserve"> </w:t>
      </w:r>
      <w:r>
        <w:tab/>
        <w:t>Данные за второй квартал 2005 года.</w:t>
      </w:r>
    </w:p>
  </w:footnote>
  <w:footnote w:id="126">
    <w:p w:rsidR="00000000" w:rsidRDefault="00000000">
      <w:pPr>
        <w:pStyle w:val="FootnoteText"/>
      </w:pPr>
      <w:r>
        <w:rPr>
          <w:rStyle w:val="FootnoteReference"/>
        </w:rPr>
        <w:footnoteRef/>
      </w:r>
      <w:r>
        <w:t xml:space="preserve"> </w:t>
      </w:r>
      <w:r>
        <w:tab/>
        <w:t xml:space="preserve">В состав этого органа входят 17 постоянных членов:  пять представителей министерства здравоохранения, шесть специалистов в области гинекологии и акушерства из клиник при медицинских учебных заведениях и ассоциаций экспертов, один представитель министерства иностранных дел, один представитель соответствующего областного совета, один представитель канцелярии Государственного совета по делам общины рома, один представитель секретариата Государственного совета по правам человека и один депутат германского бундестага.  По необходимости могут приглашаться и опрашиваться другие эксперты.  Каждый член этого консультативного органа обязан уважать конфиденциальный характер информации, с которой он знакомится в силу своего статуса, незамедлительно разглашать любые факты, которые могут отразиться на объективности его решений.  </w:t>
      </w:r>
    </w:p>
    <w:p w:rsidR="00000000" w:rsidRDefault="00000000">
      <w:pPr>
        <w:pStyle w:val="FootnoteText"/>
      </w:pPr>
    </w:p>
  </w:footnote>
  <w:footnote w:id="127">
    <w:p w:rsidR="00000000" w:rsidRDefault="00000000">
      <w:pPr>
        <w:pStyle w:val="FootnoteText"/>
      </w:pPr>
      <w:r>
        <w:rPr>
          <w:rStyle w:val="FootnoteReference"/>
        </w:rPr>
        <w:footnoteRef/>
      </w:r>
      <w:r>
        <w:t xml:space="preserve"> </w:t>
      </w:r>
      <w:r>
        <w:tab/>
        <w:t>Ходатайства заявителя о проведении расследования, полная медицинская документация, включая отчеты о проведении операций, письменное согласие на стерилизацию и согласие на проведение операции, протоколы консилиумов, включая подписанные обращения с просьбой о проведении стерилизации и т.д.</w:t>
      </w:r>
    </w:p>
    <w:p w:rsidR="00000000" w:rsidRDefault="00000000">
      <w:pPr>
        <w:pStyle w:val="FootnoteText"/>
      </w:pPr>
    </w:p>
  </w:footnote>
  <w:footnote w:id="128">
    <w:p w:rsidR="00000000" w:rsidRDefault="00000000">
      <w:pPr>
        <w:pStyle w:val="FootnoteText"/>
      </w:pPr>
      <w:r>
        <w:rPr>
          <w:rStyle w:val="FootnoteReference"/>
        </w:rPr>
        <w:footnoteRef/>
      </w:r>
      <w:r>
        <w:t xml:space="preserve"> </w:t>
      </w:r>
      <w:r>
        <w:tab/>
        <w:t>Консультативный орган тщательно рассматривает каждый случай, включая:  соблюдение установленных процедур при оказании медицинской помощи, медицинские показания, выбор метода лечения, порядок информирования пациента, документ, подтверждающий согласие пациента, и т.д.</w:t>
      </w:r>
    </w:p>
    <w:p w:rsidR="00000000" w:rsidRDefault="00000000">
      <w:pPr>
        <w:pStyle w:val="FootnoteText"/>
      </w:pPr>
    </w:p>
  </w:footnote>
  <w:footnote w:id="129">
    <w:p w:rsidR="00000000" w:rsidRDefault="00000000">
      <w:pPr>
        <w:pStyle w:val="FootnoteText"/>
      </w:pPr>
      <w:r>
        <w:rPr>
          <w:rStyle w:val="FootnoteReference"/>
        </w:rPr>
        <w:footnoteRef/>
      </w:r>
      <w:r>
        <w:t xml:space="preserve"> </w:t>
      </w:r>
      <w:r>
        <w:tab/>
        <w:t>Руководящие положения министерства здравоохранения от 17 декабря 1971 года.</w:t>
      </w:r>
    </w:p>
    <w:p w:rsidR="00000000" w:rsidRDefault="00000000">
      <w:pPr>
        <w:pStyle w:val="FootnoteText"/>
      </w:pPr>
    </w:p>
  </w:footnote>
  <w:footnote w:id="130">
    <w:p w:rsidR="00000000" w:rsidRDefault="00000000">
      <w:pPr>
        <w:pStyle w:val="FootnoteText"/>
      </w:pPr>
      <w:r>
        <w:rPr>
          <w:rStyle w:val="FootnoteReference"/>
        </w:rPr>
        <w:footnoteRef/>
      </w:r>
      <w:r>
        <w:t xml:space="preserve"> </w:t>
      </w:r>
      <w:r>
        <w:tab/>
        <w:t>Этот проект преследовал цель обеспечить более здоровый образ жизни семей рома посредством мер, ориентированных, во</w:t>
      </w:r>
      <w:r>
        <w:noBreakHyphen/>
        <w:t>первых, на женщин и девушек из числа рома и, во</w:t>
      </w:r>
      <w:r>
        <w:noBreakHyphen/>
        <w:t>вторых, – на членов их семей с уделением особого внимания детям дошкольного возраста.</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Этот проект имел целью укрепление состояния здоровья детей из группы населения, находящихся под угрозой социальной маргинализации, посредством занятий физической культурой.</w:t>
      </w:r>
    </w:p>
  </w:footnote>
  <w:footnote w:id="132">
    <w:p w:rsidR="00000000" w:rsidRDefault="00000000">
      <w:pPr>
        <w:pStyle w:val="FootnoteText"/>
      </w:pPr>
      <w:r>
        <w:rPr>
          <w:rStyle w:val="FootnoteReference"/>
        </w:rPr>
        <w:footnoteRef/>
      </w:r>
      <w:r>
        <w:t xml:space="preserve"> </w:t>
      </w:r>
      <w:r>
        <w:tab/>
        <w:t>Текст рекомендации см. в части III.</w:t>
      </w:r>
    </w:p>
    <w:p w:rsidR="00000000" w:rsidRDefault="00000000">
      <w:pPr>
        <w:pStyle w:val="FootnoteText"/>
      </w:pPr>
    </w:p>
  </w:footnote>
  <w:footnote w:id="133">
    <w:p w:rsidR="00000000" w:rsidRDefault="00000000">
      <w:pPr>
        <w:pStyle w:val="FootnoteText"/>
        <w:rPr>
          <w:lang w:val="en-US"/>
        </w:rPr>
      </w:pPr>
      <w:r>
        <w:rPr>
          <w:rStyle w:val="FootnoteReference"/>
        </w:rPr>
        <w:footnoteRef/>
      </w:r>
      <w:r>
        <w:t xml:space="preserve"> </w:t>
      </w:r>
      <w:r>
        <w:tab/>
        <w:t xml:space="preserve">См. </w:t>
      </w:r>
      <w:hyperlink r:id="rId15" w:history="1">
        <w:r>
          <w:rPr>
            <w:rStyle w:val="Hyperlink"/>
            <w:u w:val="none"/>
            <w:lang w:val="en-US"/>
          </w:rPr>
          <w:t>http:///www.mpsv.cz/clanek.php?lg=1&amp;id=1098</w:t>
        </w:r>
      </w:hyperlink>
      <w:r>
        <w:rPr>
          <w:lang w:val="en-US"/>
        </w:rPr>
        <w:t>.</w:t>
      </w:r>
    </w:p>
    <w:p w:rsidR="00000000" w:rsidRDefault="00000000">
      <w:pPr>
        <w:pStyle w:val="FootnoteText"/>
      </w:pPr>
    </w:p>
  </w:footnote>
  <w:footnote w:id="134">
    <w:p w:rsidR="00000000" w:rsidRDefault="00000000">
      <w:pPr>
        <w:pStyle w:val="FootnoteText"/>
        <w:rPr>
          <w:lang w:val="en-US"/>
        </w:rPr>
      </w:pPr>
      <w:r>
        <w:rPr>
          <w:rStyle w:val="FootnoteReference"/>
        </w:rPr>
        <w:footnoteRef/>
      </w:r>
      <w:r>
        <w:t xml:space="preserve"> </w:t>
      </w:r>
      <w:r>
        <w:tab/>
        <w:t xml:space="preserve">См. </w:t>
      </w:r>
      <w:hyperlink r:id="rId16" w:history="1">
        <w:r>
          <w:rPr>
            <w:rStyle w:val="Hyperlink"/>
            <w:u w:val="none"/>
            <w:lang w:val="en-US"/>
          </w:rPr>
          <w:t>http://europa.eu.int</w:t>
        </w:r>
        <w:r>
          <w:rPr>
            <w:rStyle w:val="Hyperlink"/>
            <w:u w:val="none"/>
            <w:lang w:val="en-US"/>
          </w:rPr>
          <w:t>/</w:t>
        </w:r>
        <w:r>
          <w:rPr>
            <w:rStyle w:val="Hyperlink"/>
            <w:u w:val="none"/>
            <w:lang w:val="en-US"/>
          </w:rPr>
          <w:t>comm/employment_social/social_inclusion/programme_en.htm</w:t>
        </w:r>
      </w:hyperlink>
      <w:r>
        <w:rPr>
          <w:lang w:val="en-US"/>
        </w:rPr>
        <w:t>.</w:t>
      </w:r>
    </w:p>
    <w:p w:rsidR="00000000" w:rsidRDefault="00000000">
      <w:pPr>
        <w:pStyle w:val="FootnoteText"/>
        <w:rPr>
          <w:lang w:val="en-US"/>
        </w:rPr>
      </w:pPr>
    </w:p>
  </w:footnote>
  <w:footnote w:id="135">
    <w:p w:rsidR="00000000" w:rsidRDefault="00000000">
      <w:pPr>
        <w:pStyle w:val="FootnoteText"/>
      </w:pPr>
      <w:r>
        <w:rPr>
          <w:rStyle w:val="FootnoteReference"/>
        </w:rPr>
        <w:footnoteRef/>
      </w:r>
      <w:r>
        <w:t xml:space="preserve"> </w:t>
      </w:r>
      <w:r>
        <w:tab/>
        <w:t xml:space="preserve">В реализации этого проекта участвуют семь стран (Испания, Португалия, Ирландия, Греция, ЧР, Венгрия, Румыния), действующие через наднациональную ассоциацию, в состав которой входят государственные учреждения государств-членов и стран-кандидатов, отвечающие за национальные планы действий в области социальной интеграции, и неправительственные организации, располагающие большим опытом работы в деле осуществления политики интеграции и мер, отвечающих интересам общин рома.  Органом, отвечающим за этот проект, является испанская организация </w:t>
      </w:r>
      <w:r>
        <w:rPr>
          <w:lang w:val="en-US"/>
        </w:rPr>
        <w:t>Fundacion</w:t>
      </w:r>
      <w:r>
        <w:t xml:space="preserve"> </w:t>
      </w:r>
      <w:r>
        <w:rPr>
          <w:lang w:val="en-US"/>
        </w:rPr>
        <w:t>Secretariado</w:t>
      </w:r>
      <w:r>
        <w:t xml:space="preserve"> </w:t>
      </w:r>
      <w:r>
        <w:rPr>
          <w:lang w:val="en-US"/>
        </w:rPr>
        <w:t>Generale</w:t>
      </w:r>
      <w:r>
        <w:t xml:space="preserve"> </w:t>
      </w:r>
      <w:r>
        <w:rPr>
          <w:lang w:val="en-US"/>
        </w:rPr>
        <w:t>Gitano</w:t>
      </w:r>
      <w:r>
        <w:t>.</w:t>
      </w:r>
    </w:p>
  </w:footnote>
  <w:footnote w:id="136">
    <w:p w:rsidR="00000000" w:rsidRDefault="00000000">
      <w:pPr>
        <w:pStyle w:val="FootnoteText"/>
        <w:rPr>
          <w:lang w:val="en-US"/>
        </w:rPr>
      </w:pPr>
      <w:r>
        <w:rPr>
          <w:rStyle w:val="FootnoteReference"/>
        </w:rPr>
        <w:footnoteRef/>
      </w:r>
      <w:r>
        <w:t xml:space="preserve"> </w:t>
      </w:r>
      <w:r>
        <w:tab/>
        <w:t>В 2003 году сотрудники муниципалитетов, занимающиеся вопросами государственного администрирования, провели исследование, которое показало, что из 51 691 взрослого представителя рома, которые оценивались по уровню образования и квалификации, примерно 60% окончили специализированные школы (или не закончили последний год в начальной школе), 29% получили начальное образование, 9,3% прошли профессиональную подготовку, а 1,3% получили среднее или высшее образование.</w:t>
      </w:r>
    </w:p>
    <w:p w:rsidR="00000000" w:rsidRDefault="00000000">
      <w:pPr>
        <w:pStyle w:val="FootnoteText"/>
        <w:rPr>
          <w:lang w:val="en-US"/>
        </w:rPr>
      </w:pPr>
    </w:p>
  </w:footnote>
  <w:footnote w:id="137">
    <w:p w:rsidR="00000000" w:rsidRDefault="00000000">
      <w:pPr>
        <w:pStyle w:val="FootnoteText"/>
      </w:pPr>
      <w:r>
        <w:rPr>
          <w:rStyle w:val="FootnoteReference"/>
        </w:rPr>
        <w:footnoteRef/>
      </w:r>
      <w:r>
        <w:t xml:space="preserve"> </w:t>
      </w:r>
      <w:r>
        <w:tab/>
        <w:t>По смыслу Закона об образовании неблагоприятным социальным фактором считается:  а)  семья с низким социально-культурным уровнем, члены которой имеют склонность к социальным нарушениям;  b)  помещение в специализированные учреждения или помещение под опеку в целях защиты;  или с)  статус просителя убежища или участника процесса о предоставлении убежища в ЧР.</w:t>
      </w:r>
    </w:p>
    <w:p w:rsidR="00000000" w:rsidRDefault="00000000">
      <w:pPr>
        <w:pStyle w:val="FootnoteText"/>
      </w:pPr>
    </w:p>
  </w:footnote>
  <w:footnote w:id="138">
    <w:p w:rsidR="00000000" w:rsidRDefault="00000000">
      <w:pPr>
        <w:pStyle w:val="FootnoteText"/>
      </w:pPr>
      <w:r>
        <w:rPr>
          <w:rStyle w:val="FootnoteReference"/>
        </w:rPr>
        <w:footnoteRef/>
      </w:r>
      <w:r>
        <w:t xml:space="preserve"> </w:t>
      </w:r>
      <w:r>
        <w:tab/>
        <w:t xml:space="preserve">Например, в области Моравиа-Силезия.  </w:t>
      </w:r>
    </w:p>
    <w:p w:rsidR="00000000" w:rsidRDefault="00000000">
      <w:pPr>
        <w:pStyle w:val="FootnoteText"/>
      </w:pPr>
    </w:p>
  </w:footnote>
  <w:footnote w:id="139">
    <w:p w:rsidR="00000000" w:rsidRDefault="00000000">
      <w:pPr>
        <w:pStyle w:val="FootnoteText"/>
        <w:rPr>
          <w:lang w:val="en-US"/>
        </w:rPr>
      </w:pPr>
      <w:r>
        <w:rPr>
          <w:rStyle w:val="FootnoteReference"/>
        </w:rPr>
        <w:footnoteRef/>
      </w:r>
      <w:r>
        <w:t xml:space="preserve"> </w:t>
      </w:r>
      <w:r>
        <w:tab/>
        <w:t>До этого указанная должность называлась "преподаватель-ассистент", а изначально - "педагог-ассистент из числа рома".</w:t>
      </w:r>
    </w:p>
    <w:p w:rsidR="00000000" w:rsidRDefault="00000000">
      <w:pPr>
        <w:pStyle w:val="FootnoteText"/>
        <w:rPr>
          <w:lang w:val="en-US"/>
        </w:rPr>
      </w:pPr>
    </w:p>
  </w:footnote>
  <w:footnote w:id="140">
    <w:p w:rsidR="00000000" w:rsidRDefault="00000000">
      <w:pPr>
        <w:pStyle w:val="FootnoteText"/>
      </w:pPr>
      <w:r>
        <w:rPr>
          <w:rStyle w:val="FootnoteReference"/>
        </w:rPr>
        <w:footnoteRef/>
      </w:r>
      <w:r>
        <w:t xml:space="preserve"> </w:t>
      </w:r>
      <w:r>
        <w:tab/>
        <w:t xml:space="preserve">Указ № 48/2005 </w:t>
      </w:r>
      <w:r>
        <w:rPr>
          <w:lang w:val="en-US"/>
        </w:rPr>
        <w:t>Coll</w:t>
      </w:r>
      <w:r>
        <w:t xml:space="preserve">. об образовании детей, учащихся подростков и студентов с особыми образовательными потребностями и исключительно одаренных детей, учащихся подростков и студентов.  </w:t>
      </w:r>
    </w:p>
    <w:p w:rsidR="00000000" w:rsidRDefault="00000000">
      <w:pPr>
        <w:pStyle w:val="FootnoteText"/>
      </w:pPr>
    </w:p>
  </w:footnote>
  <w:footnote w:id="141">
    <w:p w:rsidR="00000000" w:rsidRDefault="00000000">
      <w:pPr>
        <w:pStyle w:val="FootnoteText"/>
      </w:pPr>
      <w:r>
        <w:rPr>
          <w:rStyle w:val="FootnoteReference"/>
        </w:rPr>
        <w:footnoteRef/>
      </w:r>
      <w:r>
        <w:t xml:space="preserve"> </w:t>
      </w:r>
      <w:r>
        <w:tab/>
        <w:t xml:space="preserve">Указ № 73/2005 </w:t>
      </w:r>
      <w:r>
        <w:rPr>
          <w:lang w:val="en-US"/>
        </w:rPr>
        <w:t>Coll</w:t>
      </w:r>
      <w:r>
        <w:t>. о начальном образовании и требованиях к обеспечению школьной посещаемости (изначально порядок организации подготовительных классов регулировался на основании методологической инструкции министерства образования, см. предыдущий доклад, стр. 51, пункт 123).</w:t>
      </w:r>
    </w:p>
    <w:p w:rsidR="00000000" w:rsidRDefault="00000000">
      <w:pPr>
        <w:pStyle w:val="FootnoteText"/>
      </w:pPr>
    </w:p>
  </w:footnote>
  <w:footnote w:id="142">
    <w:p w:rsidR="00000000" w:rsidRDefault="00000000">
      <w:pPr>
        <w:pStyle w:val="FootnoteText"/>
      </w:pPr>
      <w:r>
        <w:rPr>
          <w:rStyle w:val="FootnoteReference"/>
        </w:rPr>
        <w:footnoteRef/>
      </w:r>
      <w:r>
        <w:t xml:space="preserve"> </w:t>
      </w:r>
      <w:r>
        <w:tab/>
        <w:t>Принята Постановлением правительства № 564/2005 от 11 мая 2005 года.</w:t>
      </w:r>
    </w:p>
    <w:p w:rsidR="00000000" w:rsidRDefault="00000000">
      <w:pPr>
        <w:pStyle w:val="FootnoteText"/>
      </w:pPr>
    </w:p>
  </w:footnote>
  <w:footnote w:id="143">
    <w:p w:rsidR="00000000" w:rsidRDefault="00000000">
      <w:pPr>
        <w:pStyle w:val="FootnoteText"/>
      </w:pPr>
      <w:r>
        <w:rPr>
          <w:rStyle w:val="FootnoteReference"/>
        </w:rPr>
        <w:footnoteRef/>
      </w:r>
      <w:r>
        <w:t xml:space="preserve"> </w:t>
      </w:r>
      <w:r>
        <w:tab/>
        <w:t xml:space="preserve">В соответствии с Распоряжением правительства № 98/2002 </w:t>
      </w:r>
      <w:r>
        <w:rPr>
          <w:lang w:val="en-US"/>
        </w:rPr>
        <w:t>Coll</w:t>
      </w:r>
      <w:r>
        <w:t xml:space="preserve">., в котором предусмотрены условия и механизмы предоставления дотаций из государственного бюджета для деятельности в интересах представителей национальных меньшинств и на поддержку интеграции представителей общины рома, министерство каждый год объявляет конкурс на лучший проект.  </w:t>
      </w:r>
    </w:p>
  </w:footnote>
  <w:footnote w:id="144">
    <w:p w:rsidR="00000000" w:rsidRDefault="00000000">
      <w:pPr>
        <w:pStyle w:val="FootnoteText"/>
      </w:pPr>
      <w:r>
        <w:rPr>
          <w:rStyle w:val="FootnoteReference"/>
        </w:rPr>
        <w:footnoteRef/>
      </w:r>
      <w:r>
        <w:t xml:space="preserve"> </w:t>
      </w:r>
      <w:r>
        <w:tab/>
        <w:t>Головным органом, отвечающим за эту программу, является Национальный институт продолжения образования, а учреждением-исполнителем - Институт педагогической психологии.</w:t>
      </w:r>
    </w:p>
    <w:p w:rsidR="00000000" w:rsidRDefault="00000000">
      <w:pPr>
        <w:pStyle w:val="FootnoteText"/>
      </w:pPr>
    </w:p>
  </w:footnote>
  <w:footnote w:id="145">
    <w:p w:rsidR="00000000" w:rsidRDefault="00000000">
      <w:pPr>
        <w:pStyle w:val="FootnoteText"/>
      </w:pPr>
      <w:r>
        <w:rPr>
          <w:rStyle w:val="FootnoteReference"/>
        </w:rPr>
        <w:footnoteRef/>
      </w:r>
      <w:r>
        <w:t xml:space="preserve"> </w:t>
      </w:r>
      <w:r>
        <w:tab/>
        <w:t>В 2004 году министерство образования предоставило финансовую помощь по линии 16 проектов на общую сумму в 2 658 000 чешских крон.</w:t>
      </w:r>
    </w:p>
    <w:p w:rsidR="00000000" w:rsidRDefault="00000000">
      <w:pPr>
        <w:pStyle w:val="FootnoteText"/>
      </w:pPr>
    </w:p>
  </w:footnote>
  <w:footnote w:id="146">
    <w:p w:rsidR="00000000" w:rsidRDefault="00000000">
      <w:pPr>
        <w:pStyle w:val="FootnoteText"/>
      </w:pPr>
      <w:r>
        <w:rPr>
          <w:rStyle w:val="FootnoteReference"/>
        </w:rPr>
        <w:footnoteRef/>
      </w:r>
      <w:r>
        <w:tab/>
        <w:t>Дополнительную информацию см. в разделе, посвященном статье 5.</w:t>
      </w:r>
    </w:p>
    <w:p w:rsidR="00000000" w:rsidRDefault="00000000">
      <w:pPr>
        <w:pStyle w:val="FootnoteText"/>
      </w:pPr>
    </w:p>
  </w:footnote>
  <w:footnote w:id="147">
    <w:p w:rsidR="00000000" w:rsidRDefault="00000000">
      <w:pPr>
        <w:pStyle w:val="FootnoteText"/>
      </w:pPr>
      <w:r>
        <w:rPr>
          <w:rStyle w:val="FootnoteReference"/>
        </w:rPr>
        <w:footnoteRef/>
      </w:r>
      <w:r>
        <w:tab/>
        <w:t>За отчетный период на эти цели ежегодно выделялось примерно 30 млн. чешских крон.</w:t>
      </w:r>
    </w:p>
    <w:p w:rsidR="00000000" w:rsidRDefault="00000000">
      <w:pPr>
        <w:pStyle w:val="FootnoteText"/>
      </w:pPr>
    </w:p>
  </w:footnote>
  <w:footnote w:id="148">
    <w:p w:rsidR="00000000" w:rsidRDefault="00000000">
      <w:pPr>
        <w:pStyle w:val="FootnoteText"/>
      </w:pPr>
      <w:r>
        <w:rPr>
          <w:rStyle w:val="FootnoteReference"/>
        </w:rPr>
        <w:footnoteRef/>
      </w:r>
      <w:r>
        <w:tab/>
        <w:t>Соответствующая гражданская ассоциация получила средства на реализацию проектов "Культура рома в Европе" и "Презентация чешской культуры рома в Нидерландах".</w:t>
      </w:r>
    </w:p>
    <w:p w:rsidR="00000000" w:rsidRDefault="00000000">
      <w:pPr>
        <w:pStyle w:val="FootnoteText"/>
      </w:pPr>
    </w:p>
  </w:footnote>
  <w:footnote w:id="149">
    <w:p w:rsidR="00000000" w:rsidRDefault="00000000">
      <w:pPr>
        <w:pStyle w:val="FootnoteText"/>
      </w:pPr>
      <w:r>
        <w:rPr>
          <w:rStyle w:val="FootnoteReference"/>
        </w:rPr>
        <w:footnoteRef/>
      </w:r>
      <w:r>
        <w:tab/>
        <w:t>Правительственное постановление № 401 от 28 апреля 1999</w:t>
      </w:r>
      <w:r>
        <w:rPr>
          <w:lang w:val="en-US"/>
        </w:rPr>
        <w:t> </w:t>
      </w:r>
      <w:r>
        <w:t>года, Правительственное постановление № 40 от 10 января 2001 года.</w:t>
      </w:r>
    </w:p>
    <w:p w:rsidR="00000000" w:rsidRDefault="00000000">
      <w:pPr>
        <w:pStyle w:val="FootnoteText"/>
      </w:pPr>
    </w:p>
  </w:footnote>
  <w:footnote w:id="150">
    <w:p w:rsidR="00000000" w:rsidRDefault="00000000">
      <w:pPr>
        <w:pStyle w:val="FootnoteText"/>
      </w:pPr>
      <w:r>
        <w:rPr>
          <w:rStyle w:val="FootnoteReference"/>
        </w:rPr>
        <w:footnoteRef/>
      </w:r>
      <w:r>
        <w:tab/>
        <w:t>Самыми известными мероприятиями являются Всемирный фестиваль рома "Каморо" и Международный фольклорный фестиваль "Прага в сердце народов".</w:t>
      </w:r>
    </w:p>
    <w:p w:rsidR="00000000" w:rsidRDefault="00000000">
      <w:pPr>
        <w:pStyle w:val="FootnoteText"/>
      </w:pPr>
    </w:p>
  </w:footnote>
  <w:footnote w:id="151">
    <w:p w:rsidR="00000000" w:rsidRDefault="00000000">
      <w:pPr>
        <w:pStyle w:val="FootnoteText"/>
      </w:pPr>
      <w:r>
        <w:rPr>
          <w:rStyle w:val="FootnoteReference"/>
        </w:rPr>
        <w:footnoteRef/>
      </w:r>
      <w:r>
        <w:tab/>
        <w:t xml:space="preserve">Закон № 483/2004 </w:t>
      </w:r>
      <w:r>
        <w:rPr>
          <w:lang w:val="en-US"/>
        </w:rPr>
        <w:t>Coll</w:t>
      </w:r>
      <w:r>
        <w:t xml:space="preserve">., вносящий изменения в Закон № 122/2000 Coll. об охране музейных коллекций и об изменении некоторых других нормативно-правовых актов с внесенными поправками на основании Закона № 186/2004 </w:t>
      </w:r>
      <w:r>
        <w:rPr>
          <w:lang w:val="en-US"/>
        </w:rPr>
        <w:t>Coll</w:t>
      </w:r>
      <w:r>
        <w:t>.</w:t>
      </w:r>
    </w:p>
  </w:footnote>
  <w:footnote w:id="152">
    <w:p w:rsidR="00000000" w:rsidRDefault="00000000">
      <w:pPr>
        <w:pStyle w:val="FootnoteText"/>
      </w:pPr>
      <w:r>
        <w:rPr>
          <w:rStyle w:val="FootnoteReference"/>
        </w:rPr>
        <w:footnoteRef/>
      </w:r>
      <w:r>
        <w:t xml:space="preserve"> </w:t>
      </w:r>
      <w:r>
        <w:tab/>
        <w:t>Отдельные случаи дискриминации подробно описываются в разделе, посвященном осуществлению статьи 6.</w:t>
      </w:r>
    </w:p>
    <w:p w:rsidR="00000000" w:rsidRDefault="00000000">
      <w:pPr>
        <w:pStyle w:val="FootnoteText"/>
      </w:pPr>
    </w:p>
  </w:footnote>
  <w:footnote w:id="153">
    <w:p w:rsidR="00000000" w:rsidRDefault="00000000">
      <w:pPr>
        <w:pStyle w:val="FootnoteText"/>
      </w:pPr>
      <w:r>
        <w:rPr>
          <w:rStyle w:val="FootnoteReference"/>
        </w:rPr>
        <w:footnoteRef/>
      </w:r>
      <w:r>
        <w:t xml:space="preserve"> </w:t>
      </w:r>
      <w:r>
        <w:tab/>
        <w:t xml:space="preserve">Полномочия Торговой инспекции Чехии регулируется Законом № 64/1986 </w:t>
      </w:r>
      <w:r>
        <w:rPr>
          <w:lang w:val="en-US"/>
        </w:rPr>
        <w:t>Coll</w:t>
      </w:r>
      <w:r>
        <w:t>. о торговой инспекции Чехии.  Торговая инспекция является государственным административным органом, подчиняющимся министерству промышленности и торговли.</w:t>
      </w:r>
    </w:p>
  </w:footnote>
  <w:footnote w:id="154">
    <w:p w:rsidR="00000000" w:rsidRDefault="00000000">
      <w:pPr>
        <w:pStyle w:val="FootnoteText"/>
      </w:pPr>
      <w:r>
        <w:rPr>
          <w:rStyle w:val="FootnoteReference"/>
        </w:rPr>
        <w:footnoteRef/>
      </w:r>
      <w:r>
        <w:t xml:space="preserve"> </w:t>
      </w:r>
      <w:r>
        <w:tab/>
        <w:t xml:space="preserve">Изменение к Закону № 634/1992 </w:t>
      </w:r>
      <w:r>
        <w:rPr>
          <w:lang w:val="en-GB"/>
        </w:rPr>
        <w:t>Coll</w:t>
      </w:r>
      <w:r>
        <w:t xml:space="preserve">. о защите потребителей с внесенными в него поправками вступило в силу на основании Закона № 151/2002 </w:t>
      </w:r>
      <w:r>
        <w:rPr>
          <w:lang w:val="en-GB"/>
        </w:rPr>
        <w:t>Coll</w:t>
      </w:r>
      <w:r>
        <w:t>.</w:t>
      </w:r>
    </w:p>
  </w:footnote>
  <w:footnote w:id="155">
    <w:p w:rsidR="00000000" w:rsidRDefault="00000000">
      <w:pPr>
        <w:pStyle w:val="FootnoteText"/>
      </w:pPr>
    </w:p>
    <w:p w:rsidR="00000000" w:rsidRDefault="00000000">
      <w:pPr>
        <w:pStyle w:val="FootnoteText"/>
      </w:pPr>
      <w:r>
        <w:rPr>
          <w:rStyle w:val="FootnoteReference"/>
        </w:rPr>
        <w:footnoteRef/>
      </w:r>
      <w:r>
        <w:t xml:space="preserve"> </w:t>
      </w:r>
      <w:r>
        <w:tab/>
        <w:t>Закон № 218/2002 С</w:t>
      </w:r>
      <w:r>
        <w:rPr>
          <w:lang w:val="en-US"/>
        </w:rPr>
        <w:t>oll</w:t>
      </w:r>
      <w:r>
        <w:t>. о прохождении службы сотрудниками государственных административных органов и о вознаграждении государственных служащих и других сотрудников административных органов.  См. также информацию по статьям 2 и 5.</w:t>
      </w:r>
    </w:p>
  </w:footnote>
  <w:footnote w:id="156">
    <w:p w:rsidR="00000000" w:rsidRDefault="00000000">
      <w:pPr>
        <w:pStyle w:val="FootnoteText"/>
        <w:rPr>
          <w:lang w:val="en-US"/>
        </w:rPr>
      </w:pPr>
      <w:r>
        <w:rPr>
          <w:rStyle w:val="FootnoteReference"/>
        </w:rPr>
        <w:footnoteRef/>
      </w:r>
      <w:r>
        <w:t xml:space="preserve"> </w:t>
      </w:r>
      <w:r>
        <w:tab/>
        <w:t>Основную информацию см. в разделах, посвященных статьям 2 и 5.</w:t>
      </w:r>
    </w:p>
    <w:p w:rsidR="00000000" w:rsidRDefault="00000000">
      <w:pPr>
        <w:pStyle w:val="FootnoteText"/>
        <w:rPr>
          <w:lang w:val="en-US"/>
        </w:rPr>
      </w:pPr>
    </w:p>
  </w:footnote>
  <w:footnote w:id="157">
    <w:p w:rsidR="00000000" w:rsidRDefault="00000000">
      <w:pPr>
        <w:pStyle w:val="FootnoteText"/>
      </w:pPr>
      <w:r>
        <w:rPr>
          <w:rStyle w:val="FootnoteReference"/>
        </w:rPr>
        <w:footnoteRef/>
      </w:r>
      <w:r>
        <w:t xml:space="preserve"> </w:t>
      </w:r>
      <w:r>
        <w:tab/>
        <w:t>Закон запрещает прямую или косвенную дискриминацию в области осуществления права на труд по признакам пола, сексуальной ориентации, расового или этнического происхождения, национальной принадлежности, гражданства, социального происхождения, семейного происхождения, языка, состояния здоровья, возраста, религии или вероисповедания, имущественного положения, состояния в браке и семейного положения или семейных обязательств, политической или иной ориентации, членства участия в деятельности политических партий или политических движений, профсоюзных организаций или организаций трудящихся.</w:t>
      </w:r>
    </w:p>
  </w:footnote>
  <w:footnote w:id="158">
    <w:p w:rsidR="00000000" w:rsidRDefault="00000000">
      <w:pPr>
        <w:pStyle w:val="FootnoteText"/>
        <w:rPr>
          <w:lang w:val="en-US"/>
        </w:rPr>
      </w:pPr>
      <w:r>
        <w:rPr>
          <w:rStyle w:val="FootnoteReference"/>
          <w:lang w:val="en-GB"/>
        </w:rPr>
        <w:footnoteRef/>
      </w:r>
      <w:r>
        <w:t xml:space="preserve"> </w:t>
      </w:r>
      <w:r>
        <w:tab/>
        <w:t xml:space="preserve">Аналогичные антидискриминационные нормы также содержались в проекте поправки к Закону об основной или альтернативной службе и военной подготовке и о некоторых правоотношениях военнослужащих, находящихся в запасе (№. 220/1999 </w:t>
      </w:r>
      <w:r>
        <w:rPr>
          <w:lang w:val="en-GB"/>
        </w:rPr>
        <w:t>Coll</w:t>
      </w:r>
      <w:r>
        <w:t xml:space="preserve">.).  Однако парламент в конечном итоге утвердил лишь одну незначительную поправку, из текста которой эти положения были исключены.  </w:t>
      </w:r>
    </w:p>
    <w:p w:rsidR="00000000" w:rsidRDefault="00000000">
      <w:pPr>
        <w:pStyle w:val="FootnoteText"/>
      </w:pPr>
    </w:p>
  </w:footnote>
  <w:footnote w:id="159">
    <w:p w:rsidR="00000000" w:rsidRDefault="00000000">
      <w:pPr>
        <w:pStyle w:val="FootnoteText"/>
      </w:pPr>
      <w:r>
        <w:rPr>
          <w:rStyle w:val="FootnoteReference"/>
          <w:lang w:val="en-GB"/>
        </w:rPr>
        <w:footnoteRef/>
      </w:r>
      <w:r>
        <w:t xml:space="preserve"> </w:t>
      </w:r>
      <w:r>
        <w:tab/>
        <w:t xml:space="preserve">Статья 11 Гражданского кодекса (№ 40/1964 </w:t>
      </w:r>
      <w:r>
        <w:rPr>
          <w:lang w:val="en-GB"/>
        </w:rPr>
        <w:t>Coll</w:t>
      </w:r>
      <w:r>
        <w:t>.) предусматривает следующее:  "</w:t>
      </w:r>
      <w:r>
        <w:rPr>
          <w:i/>
        </w:rPr>
        <w:t>Физические лица имеют право на защиту своей личности, в частности жизни и здоровья, гражданской чести и человеческого достоинства, а также личной жизни, доброго имени и самобытности</w:t>
      </w:r>
      <w:r>
        <w:t xml:space="preserve">".  </w:t>
      </w:r>
    </w:p>
    <w:p w:rsidR="00000000" w:rsidRDefault="00000000">
      <w:pPr>
        <w:pStyle w:val="FootnoteText"/>
      </w:pPr>
    </w:p>
  </w:footnote>
  <w:footnote w:id="160">
    <w:p w:rsidR="00000000" w:rsidRDefault="00000000">
      <w:pPr>
        <w:pStyle w:val="FootnoteText"/>
      </w:pPr>
      <w:r>
        <w:rPr>
          <w:rStyle w:val="FootnoteReference"/>
          <w:lang w:val="en-GB"/>
        </w:rPr>
        <w:footnoteRef/>
      </w:r>
      <w:r>
        <w:t xml:space="preserve"> </w:t>
      </w:r>
      <w:r>
        <w:tab/>
        <w:t xml:space="preserve">1 </w:t>
      </w:r>
      <w:r>
        <w:rPr>
          <w:lang w:val="en-GB"/>
        </w:rPr>
        <w:t>Co</w:t>
      </w:r>
      <w:r>
        <w:t xml:space="preserve"> 62/2002-63.</w:t>
      </w:r>
    </w:p>
    <w:p w:rsidR="00000000" w:rsidRDefault="00000000">
      <w:pPr>
        <w:pStyle w:val="FootnoteText"/>
      </w:pPr>
    </w:p>
  </w:footnote>
  <w:footnote w:id="161">
    <w:p w:rsidR="00000000" w:rsidRDefault="00000000">
      <w:pPr>
        <w:pStyle w:val="FootnoteText"/>
      </w:pPr>
      <w:r>
        <w:rPr>
          <w:rStyle w:val="FootnoteReference"/>
          <w:lang w:val="en-GB"/>
        </w:rPr>
        <w:footnoteRef/>
      </w:r>
      <w:r>
        <w:t xml:space="preserve"> </w:t>
      </w:r>
      <w:r>
        <w:tab/>
        <w:t>В своем Постановлении № 170 от 20 февраля 2002</w:t>
      </w:r>
      <w:r>
        <w:rPr>
          <w:lang w:val="en-GB"/>
        </w:rPr>
        <w:t> </w:t>
      </w:r>
      <w:r>
        <w:t xml:space="preserve">года правительство обязало заместителя премьер-министра и председателя Законодательного совета подготовить к 31 декабря 2002 года проект законодательства о защите от дискриминации.  </w:t>
      </w:r>
    </w:p>
    <w:p w:rsidR="00000000" w:rsidRDefault="00000000">
      <w:pPr>
        <w:pStyle w:val="FootnoteText"/>
      </w:pPr>
    </w:p>
  </w:footnote>
  <w:footnote w:id="162">
    <w:p w:rsidR="00000000" w:rsidRDefault="00000000">
      <w:pPr>
        <w:pStyle w:val="FootnoteText"/>
        <w:rPr>
          <w:lang w:val="en-US"/>
        </w:rPr>
      </w:pPr>
      <w:r>
        <w:rPr>
          <w:rStyle w:val="FootnoteReference"/>
          <w:lang w:val="en-GB"/>
        </w:rPr>
        <w:footnoteRef/>
      </w:r>
      <w:r>
        <w:t xml:space="preserve"> </w:t>
      </w:r>
      <w:r>
        <w:tab/>
        <w:t>Постановление № 1193.</w:t>
      </w:r>
    </w:p>
    <w:p w:rsidR="00000000" w:rsidRDefault="00000000">
      <w:pPr>
        <w:pStyle w:val="FootnoteText"/>
        <w:rPr>
          <w:lang w:val="en-US"/>
        </w:rPr>
      </w:pPr>
    </w:p>
  </w:footnote>
  <w:footnote w:id="163">
    <w:p w:rsidR="00000000" w:rsidRDefault="00000000">
      <w:pPr>
        <w:pStyle w:val="FootnoteText"/>
      </w:pPr>
      <w:r>
        <w:rPr>
          <w:rStyle w:val="FootnoteReference"/>
        </w:rPr>
        <w:footnoteRef/>
      </w:r>
      <w:r>
        <w:t xml:space="preserve"> </w:t>
      </w:r>
      <w:r>
        <w:tab/>
        <w:t>Документы парламента № 866 и 867.</w:t>
      </w:r>
    </w:p>
    <w:p w:rsidR="00000000" w:rsidRDefault="00000000">
      <w:pPr>
        <w:pStyle w:val="FootnoteText"/>
      </w:pPr>
    </w:p>
  </w:footnote>
  <w:footnote w:id="164">
    <w:p w:rsidR="00000000" w:rsidRDefault="00000000">
      <w:pPr>
        <w:pStyle w:val="FootnoteText"/>
      </w:pPr>
      <w:r>
        <w:rPr>
          <w:rStyle w:val="FootnoteReference"/>
        </w:rPr>
        <w:footnoteRef/>
      </w:r>
      <w:r>
        <w:tab/>
        <w:t>Рекомендация Европейской комиссии по борьбе против расизма и нетерпимости также предполагает создание специального органа по борьбе против расизма, ксенофобии, антисемитизма и нетерпимости на национальном уровне.</w:t>
      </w:r>
    </w:p>
    <w:p w:rsidR="00000000" w:rsidRDefault="00000000">
      <w:pPr>
        <w:pStyle w:val="FootnoteText"/>
      </w:pPr>
    </w:p>
  </w:footnote>
  <w:footnote w:id="165">
    <w:p w:rsidR="00000000" w:rsidRDefault="00000000">
      <w:pPr>
        <w:spacing w:line="240" w:lineRule="auto"/>
      </w:pPr>
      <w:r>
        <w:rPr>
          <w:rStyle w:val="FootnoteReference"/>
        </w:rPr>
        <w:footnoteRef/>
      </w:r>
      <w:r>
        <w:t xml:space="preserve"> </w:t>
      </w:r>
      <w:r>
        <w:tab/>
        <w:t>Цель проекта "Реформа системы многокультурного образования" заключалась в том, чтобы создать и внедрить типовую модель учебного плана в области многокультурного образования в начальных школах.  Результаты проекта в сфере многокультурного образования были использованы в новой рамочной учебной программе для учеников начальной школы.</w:t>
      </w:r>
    </w:p>
    <w:p w:rsidR="00000000" w:rsidRDefault="00000000">
      <w:pPr>
        <w:spacing w:line="240" w:lineRule="auto"/>
      </w:pPr>
    </w:p>
  </w:footnote>
  <w:footnote w:id="166">
    <w:p w:rsidR="00000000" w:rsidRDefault="00000000">
      <w:pPr>
        <w:spacing w:line="240" w:lineRule="auto"/>
      </w:pPr>
      <w:r>
        <w:rPr>
          <w:rStyle w:val="FootnoteReference"/>
        </w:rPr>
        <w:footnoteRef/>
      </w:r>
      <w:r>
        <w:t xml:space="preserve"> </w:t>
      </w:r>
      <w:r>
        <w:tab/>
        <w:t>Соответствующая тематическая проверка была проведена по просьбе министерства образования в рамках его стратегии обеспечения профессиональной подготовки и образования по вопросам прав человека и терпимости, а также в соответствии с Постановлением правительства № 28 от 3 января в отношении представления доклада о профессиональной подготовке в области прав человека в ЧР, в котором министерству образования, по делам молодежи и спорта было предложено "через посредство Школьной инспекции Чехии осуществлять регулярный контроль и оценку выполнения обязательств в области профессиональной подготовки и образования по правам человека".</w:t>
      </w:r>
    </w:p>
    <w:p w:rsidR="00000000" w:rsidRDefault="00000000">
      <w:pPr>
        <w:spacing w:line="240" w:lineRule="auto"/>
      </w:pPr>
    </w:p>
  </w:footnote>
  <w:footnote w:id="167">
    <w:p w:rsidR="00000000" w:rsidRDefault="00000000">
      <w:pPr>
        <w:spacing w:line="240" w:lineRule="auto"/>
      </w:pPr>
      <w:r>
        <w:rPr>
          <w:rStyle w:val="FootnoteReference"/>
        </w:rPr>
        <w:footnoteRef/>
      </w:r>
      <w:r>
        <w:t xml:space="preserve"> </w:t>
      </w:r>
      <w:r>
        <w:tab/>
        <w:t>Литература по этой теме касается главным образом последних событий, проблематики меньшинств, межкультурного образования, холокоста, истории и культуры рома, правовой теории и практики, предупреждения асоциальных явлений, преступности среди несовершеннолетних и т.д.  В 11,1% школ ни преподаватели, ни учащиеся не имели доступа к специализированной литературе, а пользовались лишь общими учебниками, относящимися к курсу гражданского воспитания.  Нормативными документами по правам человека, которые наиболее широко используются в школах, являются Конституция ЧР, Хартия основных прав и свобод и Конвенция о правах ребенка.  В четырех пятых случаев в правилах школьного распорядка права учащихся сочетаются с их обязанностями, тогда как в остальных школах они лишь перечисляются или вообще не указываются.  Учащиеся в той или иной степени информированы о своих правах в соответствии с Конвенцией о правах ребенка:  большинство из них знают о праве на защиту от насилия и о праве на образование.  Они гораздо меньше осведомлены о праве на защиту личных данных и о праве на личную жизнь.  В ходе инспекций выяснялось, существует ли в школах орган самоуправления учащихся и могут ли учащиеся его использовать для реального участия в решении вопросов, касающихся работы школы.  Орган самоуправления учащихся был создан в половине школ, охваченных проверкой, хотя в полной мере функциональным он был признан только в двух пятых школ.  Система самоуправления учащихся затрагивает главным образом поведение и дисциплину и реже - программу и методы обучения.  Ящики для конфиденциальных сообщений оборудованы почти в трех четвертях школ (71,6%).  Более чем в одной трети школ, где они были установлены, учащиеся для целей передачи информации ими не пользовались.  Многие школы предпочитали другие формы передачи информации, в том числе с использованием школьной компьютерной сети, специальных рубрик в школьных газетах, вопросников и т.д.</w:t>
      </w:r>
    </w:p>
    <w:p w:rsidR="00000000" w:rsidRDefault="00000000">
      <w:pPr>
        <w:spacing w:line="240" w:lineRule="auto"/>
      </w:pPr>
    </w:p>
  </w:footnote>
  <w:footnote w:id="168">
    <w:p w:rsidR="00000000" w:rsidRDefault="00000000">
      <w:pPr>
        <w:spacing w:line="240" w:lineRule="auto"/>
      </w:pPr>
      <w:r>
        <w:rPr>
          <w:rStyle w:val="FootnoteReference"/>
        </w:rPr>
        <w:footnoteRef/>
      </w:r>
      <w:r>
        <w:t xml:space="preserve"> </w:t>
      </w:r>
      <w:r>
        <w:tab/>
        <w:t xml:space="preserve">В Карловом университете в Праге, например, осуществляется независимая программа исследований по проблематике рома.  </w:t>
      </w:r>
    </w:p>
  </w:footnote>
  <w:footnote w:id="169">
    <w:p w:rsidR="00000000" w:rsidRDefault="00000000">
      <w:pPr>
        <w:pStyle w:val="FootnoteText"/>
      </w:pPr>
      <w:r>
        <w:rPr>
          <w:rStyle w:val="FootnoteReference"/>
          <w:lang w:val="en-GB"/>
        </w:rPr>
        <w:footnoteRef/>
      </w:r>
      <w:r>
        <w:t xml:space="preserve"> </w:t>
      </w:r>
      <w:r>
        <w:tab/>
        <w:t>В 2004 году подготовку по проблематике сосуществования в многокультурном обществе прошли 556 сотрудников полиции.</w:t>
      </w:r>
    </w:p>
    <w:p w:rsidR="00000000" w:rsidRDefault="00000000">
      <w:pPr>
        <w:pStyle w:val="FootnoteText"/>
      </w:pPr>
    </w:p>
  </w:footnote>
  <w:footnote w:id="170">
    <w:p w:rsidR="00000000" w:rsidRDefault="00000000">
      <w:pPr>
        <w:pStyle w:val="FootnoteText"/>
      </w:pPr>
      <w:r>
        <w:rPr>
          <w:rStyle w:val="FootnoteReference"/>
          <w:lang w:val="en-GB"/>
        </w:rPr>
        <w:footnoteRef/>
      </w:r>
      <w:r>
        <w:t xml:space="preserve"> </w:t>
      </w:r>
      <w:r>
        <w:tab/>
        <w:t>В 2004 году подготовку прошли 2 512 сотрудников полиции.</w:t>
      </w:r>
    </w:p>
    <w:p w:rsidR="00000000" w:rsidRDefault="00000000">
      <w:pPr>
        <w:pStyle w:val="FootnoteText"/>
      </w:pPr>
    </w:p>
  </w:footnote>
  <w:footnote w:id="171">
    <w:p w:rsidR="00000000" w:rsidRDefault="00000000">
      <w:pPr>
        <w:pStyle w:val="FootnoteText"/>
      </w:pPr>
      <w:r>
        <w:rPr>
          <w:rStyle w:val="FootnoteReference"/>
          <w:lang w:val="en-GB"/>
        </w:rPr>
        <w:footnoteRef/>
      </w:r>
      <w:r>
        <w:t xml:space="preserve"> </w:t>
      </w:r>
      <w:r>
        <w:tab/>
        <w:t>В 2004 году подготовку прошли 132 сотрудника полиции.</w:t>
      </w:r>
    </w:p>
  </w:footnote>
  <w:footnote w:id="172">
    <w:p w:rsidR="00000000" w:rsidRDefault="00000000">
      <w:pPr>
        <w:pStyle w:val="FootnoteText"/>
      </w:pPr>
      <w:r>
        <w:rPr>
          <w:rStyle w:val="FootnoteReference"/>
        </w:rPr>
        <w:footnoteRef/>
      </w:r>
      <w:r>
        <w:t xml:space="preserve"> </w:t>
      </w:r>
      <w:r>
        <w:tab/>
        <w:t xml:space="preserve">В 2004 году были опубликованы справочные пособия под названием "Работа полиции с иммигрантами и беженцами" и "Роль сотрудников полиции в многокультурном обществе".  </w:t>
      </w:r>
    </w:p>
    <w:p w:rsidR="00000000" w:rsidRDefault="00000000">
      <w:pPr>
        <w:pStyle w:val="FootnoteText"/>
        <w:spacing w:line="288" w:lineRule="auto"/>
      </w:pPr>
    </w:p>
  </w:footnote>
  <w:footnote w:id="173">
    <w:p w:rsidR="00000000" w:rsidRDefault="00000000">
      <w:pPr>
        <w:pStyle w:val="FootnoteText"/>
      </w:pPr>
      <w:r>
        <w:rPr>
          <w:rStyle w:val="FootnoteReference"/>
        </w:rPr>
        <w:footnoteRef/>
      </w:r>
      <w:r>
        <w:t xml:space="preserve"> </w:t>
      </w:r>
      <w:r>
        <w:tab/>
        <w:t>В общей сложности было зарегистрировано девять кандидатов, двое из которых прошли курс успешно.</w:t>
      </w:r>
    </w:p>
    <w:p w:rsidR="00000000" w:rsidRDefault="00000000">
      <w:pPr>
        <w:pStyle w:val="FootnoteText"/>
      </w:pPr>
    </w:p>
  </w:footnote>
  <w:footnote w:id="174">
    <w:p w:rsidR="00000000" w:rsidRDefault="00000000">
      <w:pPr>
        <w:pStyle w:val="FootnoteText"/>
        <w:spacing w:line="720" w:lineRule="auto"/>
      </w:pPr>
      <w:r>
        <w:rPr>
          <w:rStyle w:val="FootnoteReference"/>
        </w:rPr>
        <w:footnoteRef/>
      </w:r>
      <w:r>
        <w:t xml:space="preserve"> </w:t>
      </w:r>
      <w:r>
        <w:tab/>
        <w:t>Программный документ министерства обороны № 190/2004 от 23 июня 2004 года.</w:t>
      </w:r>
    </w:p>
  </w:footnote>
  <w:footnote w:id="175">
    <w:p w:rsidR="00000000" w:rsidRDefault="00000000">
      <w:pPr>
        <w:pStyle w:val="FootnoteText"/>
      </w:pPr>
      <w:r>
        <w:rPr>
          <w:rStyle w:val="FootnoteReference"/>
        </w:rPr>
        <w:footnoteRef/>
      </w:r>
      <w:r>
        <w:t xml:space="preserve"> </w:t>
      </w:r>
      <w:r>
        <w:tab/>
        <w:t xml:space="preserve">Академия юстиции отвечает за подготовку лиц, работающих в системе министерства юстиции.  Она организует специализированную подготовку судей, прокуроров и юристов-стажеров.  </w:t>
      </w:r>
    </w:p>
    <w:p w:rsidR="00000000" w:rsidRDefault="00000000">
      <w:pPr>
        <w:pStyle w:val="FootnoteText"/>
      </w:pPr>
    </w:p>
  </w:footnote>
  <w:footnote w:id="176">
    <w:p w:rsidR="00000000" w:rsidRDefault="00000000">
      <w:pPr>
        <w:pStyle w:val="FootnoteText"/>
      </w:pPr>
      <w:r>
        <w:rPr>
          <w:rStyle w:val="FootnoteReference"/>
        </w:rPr>
        <w:footnoteRef/>
      </w:r>
      <w:r>
        <w:t xml:space="preserve"> </w:t>
      </w:r>
      <w:r>
        <w:tab/>
        <w:t xml:space="preserve">Эта деятельность проводилась в продолжение проекта, реализация которого была начата в 2002 году.  </w:t>
      </w:r>
    </w:p>
  </w:footnote>
  <w:footnote w:id="177">
    <w:p w:rsidR="00000000" w:rsidRDefault="00000000">
      <w:pPr>
        <w:pStyle w:val="FootnoteText"/>
      </w:pPr>
      <w:r>
        <w:rPr>
          <w:rStyle w:val="FootnoteReference"/>
        </w:rPr>
        <w:footnoteRef/>
      </w:r>
      <w:r>
        <w:t xml:space="preserve"> </w:t>
      </w:r>
      <w:r>
        <w:tab/>
        <w:t>В ходе социально-психологических игр подростки обсуждают свои позиции и негативные стороны расизма.  В преподавательские группы из четырех человек, как правило, входили два преподавателя из числа рома, один преподаватель африканского происхождения, проживающий в ЧР, и один преподаватель, являющийся чехом.  Все члены таких групп ранее прошли специальную подготовку по вопросам переговорно-коммуникационной практики в кризисных ситуациях.  В пяти областях, где находятся центры приема беженцев министерства внутренних дел, преподаватели также проводили занятия с детьми младшего школьного возраста, с тем чтобы посредством интересной и содержательной методики ознакомить их с жизнью иностранцев и беженцев в ЧР, а также с их проблемами и сложными условиями жизни.</w:t>
      </w:r>
    </w:p>
    <w:p w:rsidR="00000000" w:rsidRDefault="00000000">
      <w:pPr>
        <w:pStyle w:val="FootnoteText"/>
      </w:pPr>
    </w:p>
  </w:footnote>
  <w:footnote w:id="178">
    <w:p w:rsidR="00000000" w:rsidRDefault="00000000">
      <w:pPr>
        <w:pStyle w:val="FootnoteText"/>
      </w:pPr>
      <w:r>
        <w:rPr>
          <w:rStyle w:val="FootnoteReference"/>
        </w:rPr>
        <w:footnoteRef/>
      </w:r>
      <w:r>
        <w:t xml:space="preserve"> </w:t>
      </w:r>
      <w:r>
        <w:tab/>
        <w:t xml:space="preserve">См. </w:t>
      </w:r>
      <w:r>
        <w:rPr>
          <w:lang w:val="en-US"/>
        </w:rPr>
        <w:t>www</w:t>
      </w:r>
      <w:r>
        <w:t>.</w:t>
      </w:r>
      <w:r>
        <w:rPr>
          <w:lang w:val="en-US"/>
        </w:rPr>
        <w:t>rozmanitost</w:t>
      </w:r>
      <w:r>
        <w:t>.</w:t>
      </w:r>
      <w:r>
        <w:rPr>
          <w:lang w:val="en-US"/>
        </w:rPr>
        <w:t>cz</w:t>
      </w:r>
    </w:p>
  </w:footnote>
  <w:footnote w:id="179">
    <w:p w:rsidR="00000000" w:rsidRDefault="00000000">
      <w:pPr>
        <w:spacing w:line="240" w:lineRule="auto"/>
      </w:pPr>
      <w:r>
        <w:rPr>
          <w:rStyle w:val="FootnoteReference"/>
        </w:rPr>
        <w:footnoteRef/>
      </w:r>
      <w:r>
        <w:t xml:space="preserve"> </w:t>
      </w:r>
      <w:r>
        <w:tab/>
        <w:t xml:space="preserve">Темы:  </w:t>
      </w:r>
      <w:r>
        <w:rPr>
          <w:lang w:val="en-US"/>
        </w:rPr>
        <w:t>Odsun</w:t>
      </w:r>
      <w:r>
        <w:t>-</w:t>
      </w:r>
      <w:r>
        <w:rPr>
          <w:lang w:val="en-US"/>
        </w:rPr>
        <w:t>Vertreibung</w:t>
      </w:r>
      <w:r>
        <w:t>;  Историки в борьбе против искажения истории;  Проблематика холокоста, КД по методологии изучения европейской истории ХХ века.</w:t>
      </w:r>
    </w:p>
    <w:p w:rsidR="00000000" w:rsidRDefault="00000000">
      <w:pPr>
        <w:spacing w:line="240" w:lineRule="auto"/>
      </w:pPr>
    </w:p>
  </w:footnote>
  <w:footnote w:id="180">
    <w:p w:rsidR="00000000" w:rsidRDefault="00000000">
      <w:pPr>
        <w:spacing w:line="240" w:lineRule="auto"/>
      </w:pPr>
      <w:r>
        <w:rPr>
          <w:rStyle w:val="FootnoteReference"/>
        </w:rPr>
        <w:footnoteRef/>
      </w:r>
      <w:r>
        <w:t xml:space="preserve"> </w:t>
      </w:r>
      <w:r>
        <w:tab/>
        <w:t>По состоянию на 30 марта 2005 года подготовку прошли около 1 500 преподавателей.  По окончании семинарских занятий они изучают методологию преподавания истории холокоста в начальных и средних школах в ЧР.</w:t>
      </w:r>
    </w:p>
  </w:footnote>
  <w:footnote w:id="181">
    <w:p w:rsidR="00000000" w:rsidRDefault="00000000">
      <w:pPr>
        <w:pStyle w:val="FootnoteText"/>
      </w:pPr>
      <w:r>
        <w:rPr>
          <w:rStyle w:val="FootnoteReference"/>
        </w:rPr>
        <w:footnoteRef/>
      </w:r>
      <w:r>
        <w:t xml:space="preserve"> </w:t>
      </w:r>
      <w:r>
        <w:tab/>
        <w:t>Такой вывод был также сделан на совещании межведомственной комиссии по вопросам пересмотра законодательства, которой было поручено подготовить новый уголовный кодекс;  при этом данная комиссия не предложила никакого другого законодательного акта, что впоследствии получило одобрение Законодательного совета и в конечном итоге Конституционно-правового комитета палаты депутатов парламента ЧР.</w:t>
      </w:r>
    </w:p>
  </w:footnote>
  <w:footnote w:id="182">
    <w:p w:rsidR="00000000" w:rsidRDefault="00000000">
      <w:pPr>
        <w:spacing w:line="240" w:lineRule="auto"/>
      </w:pPr>
      <w:r>
        <w:rPr>
          <w:rStyle w:val="FootnoteReference"/>
        </w:rPr>
        <w:footnoteRef/>
      </w:r>
      <w:r>
        <w:t xml:space="preserve"> </w:t>
      </w:r>
      <w:r>
        <w:tab/>
        <w:t>В 2002 году было выдано 313 беспроцентных займов на общую сумму в 4 112 000 чешских крон семьям, не имеющим средств на содержание детей, и 193 займа на общую сумму в 1 441 000 чешских крон отдельным лицам.</w:t>
      </w:r>
    </w:p>
    <w:p w:rsidR="00000000" w:rsidRDefault="00000000">
      <w:pPr>
        <w:pStyle w:val="FootnoteText"/>
      </w:pPr>
    </w:p>
  </w:footnote>
  <w:footnote w:id="183">
    <w:p w:rsidR="00000000" w:rsidRDefault="00000000">
      <w:pPr>
        <w:pStyle w:val="FootnoteText"/>
      </w:pPr>
      <w:r>
        <w:rPr>
          <w:rStyle w:val="FootnoteReference"/>
        </w:rPr>
        <w:footnoteRef/>
      </w:r>
      <w:r>
        <w:t xml:space="preserve"> </w:t>
      </w:r>
      <w:r>
        <w:tab/>
        <w:t xml:space="preserve">Вместе с тем в этой области активно действуют неправительственные организации, в частности </w:t>
      </w:r>
      <w:r>
        <w:rPr>
          <w:i/>
        </w:rPr>
        <w:t>Hnutí za občanskou solidaritu a toleranci (HOST), Bílý kruh bezpečí, Poradna pro občanství, občanská a lidská práva</w:t>
      </w:r>
      <w:r>
        <w:t xml:space="preserve"> и </w:t>
      </w:r>
      <w:r>
        <w:rPr>
          <w:i/>
        </w:rPr>
        <w:t>Liga lidských práv</w:t>
      </w:r>
      <w:r>
        <w:t>.</w:t>
      </w:r>
    </w:p>
  </w:footnote>
  <w:footnote w:id="184">
    <w:p w:rsidR="00000000" w:rsidRDefault="00000000">
      <w:pPr>
        <w:pStyle w:val="FootnoteText"/>
      </w:pPr>
      <w:r>
        <w:rPr>
          <w:rStyle w:val="FootnoteReference"/>
        </w:rPr>
        <w:footnoteRef/>
      </w:r>
      <w:r>
        <w:t xml:space="preserve"> </w:t>
      </w:r>
      <w:r>
        <w:tab/>
        <w:t xml:space="preserve">См. </w:t>
      </w:r>
      <w:hyperlink r:id="rId17" w:history="1">
        <w:r>
          <w:rPr>
            <w:rStyle w:val="Hyperlink"/>
            <w:u w:val="none"/>
            <w:lang w:val="en-GB"/>
          </w:rPr>
          <w:t>www.poradna-prava.cz</w:t>
        </w:r>
      </w:hyperlink>
    </w:p>
    <w:p w:rsidR="00000000" w:rsidRDefault="00000000">
      <w:pPr>
        <w:pStyle w:val="FootnoteText"/>
      </w:pPr>
    </w:p>
  </w:footnote>
  <w:footnote w:id="185">
    <w:p w:rsidR="00000000" w:rsidRDefault="00000000">
      <w:pPr>
        <w:pStyle w:val="FootnoteText"/>
        <w:rPr>
          <w:lang w:val="en-US"/>
        </w:rPr>
      </w:pPr>
      <w:r>
        <w:rPr>
          <w:rStyle w:val="FootnoteReference"/>
        </w:rPr>
        <w:footnoteRef/>
      </w:r>
      <w:r>
        <w:rPr>
          <w:lang w:val="en-GB"/>
        </w:rPr>
        <w:t xml:space="preserve"> </w:t>
      </w:r>
      <w:r>
        <w:rPr>
          <w:lang w:val="en-GB"/>
        </w:rPr>
        <w:tab/>
      </w:r>
      <w:hyperlink r:id="rId18" w:history="1">
        <w:r>
          <w:rPr>
            <w:rStyle w:val="Hyperlink"/>
            <w:u w:val="none"/>
            <w:lang w:val="en-GB"/>
          </w:rPr>
          <w:t>www.justice.cz</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CERD/C/CZE/7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fr-FR"/>
      </w:rPr>
    </w:pPr>
    <w:r>
      <w:rPr>
        <w:lang w:val="en-US"/>
      </w:rPr>
      <w:tab/>
    </w:r>
    <w:r>
      <w:rPr>
        <w:lang w:val="en-US"/>
      </w:rPr>
      <w:tab/>
    </w:r>
    <w:r>
      <w:rPr>
        <w:lang w:val="fr-FR"/>
      </w:rPr>
      <w:t>CERD/C/CZE/7</w:t>
    </w:r>
  </w:p>
  <w:p w:rsidR="00000000" w:rsidRDefault="00000000">
    <w:pPr>
      <w:pStyle w:val="Header"/>
      <w:tabs>
        <w:tab w:val="left" w:pos="7655"/>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NormlnG">
    <w:name w:val="Normální]G"/>
    <w:pPr>
      <w:widowControl w:val="0"/>
      <w:jc w:val="both"/>
    </w:pPr>
    <w:rPr>
      <w:sz w:val="24"/>
      <w:szCs w:val="24"/>
      <w:lang w:val="cs-CZ" w:eastAsia="cs-CZ"/>
    </w:rPr>
  </w:style>
  <w:style w:type="character" w:styleId="Hyperlink">
    <w:name w:val="Hyperlink"/>
    <w:semiHidden/>
    <w:rPr>
      <w:color w:val="0000FF"/>
      <w:u w:val="single"/>
    </w:rPr>
  </w:style>
  <w:style w:type="paragraph" w:customStyle="1" w:styleId="NormlnIMP">
    <w:name w:val="Normální_IMP"/>
    <w:pPr>
      <w:suppressAutoHyphens/>
      <w:spacing w:line="230" w:lineRule="auto"/>
    </w:pPr>
    <w:rPr>
      <w:lang w:val="cs-CZ" w:eastAsia="cs-CZ"/>
    </w:rPr>
  </w:style>
  <w:style w:type="paragraph" w:styleId="BodyTextIndent">
    <w:name w:val="Body Text Indent"/>
    <w:basedOn w:val="Normal"/>
    <w:semiHidden/>
    <w:pPr>
      <w:ind w:left="567"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lada.cz"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esfcr.cz/files/clanky/5630/oprlz_cz.pdf" TargetMode="External"/><Relationship Id="rId13" Type="http://schemas.openxmlformats.org/officeDocument/2006/relationships/hyperlink" Target="http://www.errc.org" TargetMode="External"/><Relationship Id="rId18" Type="http://schemas.openxmlformats.org/officeDocument/2006/relationships/hyperlink" Target="http://www.justice.cz" TargetMode="External"/><Relationship Id="rId3" Type="http://schemas.openxmlformats.org/officeDocument/2006/relationships/hyperlink" Target="http://vladce.vlada.cz/apac/www.htm" TargetMode="External"/><Relationship Id="rId7" Type="http://schemas.openxmlformats.org/officeDocument/2006/relationships/hyperlink" Target="http://www.msmt.cz/_DOMEK/default.asp?CAI=2945" TargetMode="External"/><Relationship Id="rId12" Type="http://schemas.openxmlformats.org/officeDocument/2006/relationships/hyperlink" Target="http://www.vupsv.cz/an138.html" TargetMode="External"/><Relationship Id="rId17" Type="http://schemas.openxmlformats.org/officeDocument/2006/relationships/hyperlink" Target="http://www.poradna-prava.cz" TargetMode="External"/><Relationship Id="rId2" Type="http://schemas.openxmlformats.org/officeDocument/2006/relationships/hyperlink" Target="http://vladce.vlada.cz/apac/www.htm" TargetMode="External"/><Relationship Id="rId16" Type="http://schemas.openxmlformats.org/officeDocument/2006/relationships/hyperlink" Target="http://europa.eu.int/comm/employment_social/social_inclusion/programme_en.htm" TargetMode="External"/><Relationship Id="rId1" Type="http://schemas.openxmlformats.org/officeDocument/2006/relationships/hyperlink" Target="http://wtd.vlada.cz/pages/rvk_mm.htm" TargetMode="External"/><Relationship Id="rId6" Type="http://schemas.openxmlformats.org/officeDocument/2006/relationships/hyperlink" Target="http://www.msmt.cz/_DOMEK/default.asp?CAI=2945" TargetMode="External"/><Relationship Id="rId11" Type="http://schemas.openxmlformats.org/officeDocument/2006/relationships/hyperlink" Target="http://www.socioklub.cz/studia.php" TargetMode="External"/><Relationship Id="rId5" Type="http://schemas.openxmlformats.org/officeDocument/2006/relationships/hyperlink" Target="http://www.mvcr.cz" TargetMode="External"/><Relationship Id="rId15" Type="http://schemas.openxmlformats.org/officeDocument/2006/relationships/hyperlink" Target="http:///www.mpsv.cz/clanek.php?lg=1&amp;id=1098" TargetMode="External"/><Relationship Id="rId10" Type="http://schemas.openxmlformats.org/officeDocument/2006/relationships/hyperlink" Target="http://www.vladce.vlada.cz/apac/www.htm" TargetMode="External"/><Relationship Id="rId4" Type="http://schemas.openxmlformats.org/officeDocument/2006/relationships/hyperlink" Target="mailto:ukpvextr@mvcr.cz" TargetMode="External"/><Relationship Id="rId9" Type="http://schemas.openxmlformats.org/officeDocument/2006/relationships/hyperlink" Target="http://vladce.vlada.cz/apac/www.htm" TargetMode="External"/><Relationship Id="rId14" Type="http://schemas.openxmlformats.org/officeDocument/2006/relationships/hyperlink" Target="http://www.errc.org/cikk.php?cikk=22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26660</Words>
  <Characters>151964</Characters>
  <Application>Microsoft Office Word</Application>
  <DocSecurity>4</DocSecurity>
  <Lines>1266</Lines>
  <Paragraphs>303</Paragraphs>
  <ScaleCrop>false</ScaleCrop>
  <HeadingPairs>
    <vt:vector size="2" baseType="variant">
      <vt:variant>
        <vt:lpstr>Название</vt:lpstr>
      </vt:variant>
      <vt:variant>
        <vt:i4>1</vt:i4>
      </vt:variant>
    </vt:vector>
  </HeadingPairs>
  <TitlesOfParts>
    <vt:vector size="1" baseType="lpstr">
      <vt:lpstr>0640079.doc</vt:lpstr>
    </vt:vector>
  </TitlesOfParts>
  <Company> </Company>
  <LinksUpToDate>false</LinksUpToDate>
  <CharactersWithSpaces>186622</CharactersWithSpaces>
  <SharedDoc>false</SharedDoc>
  <HLinks>
    <vt:vector size="120" baseType="variant">
      <vt:variant>
        <vt:i4>1114124</vt:i4>
      </vt:variant>
      <vt:variant>
        <vt:i4>16</vt:i4>
      </vt:variant>
      <vt:variant>
        <vt:i4>0</vt:i4>
      </vt:variant>
      <vt:variant>
        <vt:i4>5</vt:i4>
      </vt:variant>
      <vt:variant>
        <vt:lpwstr>http://www.vlada.cz/</vt:lpwstr>
      </vt:variant>
      <vt:variant>
        <vt:lpwstr/>
      </vt:variant>
      <vt:variant>
        <vt:i4>7471206</vt:i4>
      </vt:variant>
      <vt:variant>
        <vt:i4>54</vt:i4>
      </vt:variant>
      <vt:variant>
        <vt:i4>0</vt:i4>
      </vt:variant>
      <vt:variant>
        <vt:i4>5</vt:i4>
      </vt:variant>
      <vt:variant>
        <vt:lpwstr>http://www.justice.cz/</vt:lpwstr>
      </vt:variant>
      <vt:variant>
        <vt:lpwstr/>
      </vt:variant>
      <vt:variant>
        <vt:i4>1048653</vt:i4>
      </vt:variant>
      <vt:variant>
        <vt:i4>51</vt:i4>
      </vt:variant>
      <vt:variant>
        <vt:i4>0</vt:i4>
      </vt:variant>
      <vt:variant>
        <vt:i4>5</vt:i4>
      </vt:variant>
      <vt:variant>
        <vt:lpwstr>http://www.poradna-prava.cz/</vt:lpwstr>
      </vt:variant>
      <vt:variant>
        <vt:lpwstr/>
      </vt:variant>
      <vt:variant>
        <vt:i4>5505129</vt:i4>
      </vt:variant>
      <vt:variant>
        <vt:i4>48</vt:i4>
      </vt:variant>
      <vt:variant>
        <vt:i4>0</vt:i4>
      </vt:variant>
      <vt:variant>
        <vt:i4>5</vt:i4>
      </vt:variant>
      <vt:variant>
        <vt:lpwstr>http://europa.eu.int/comm/employment_social/social_inclusion/programme_en.htm</vt:lpwstr>
      </vt:variant>
      <vt:variant>
        <vt:lpwstr/>
      </vt:variant>
      <vt:variant>
        <vt:i4>6619247</vt:i4>
      </vt:variant>
      <vt:variant>
        <vt:i4>45</vt:i4>
      </vt:variant>
      <vt:variant>
        <vt:i4>0</vt:i4>
      </vt:variant>
      <vt:variant>
        <vt:i4>5</vt:i4>
      </vt:variant>
      <vt:variant>
        <vt:lpwstr>http:///www.mpsv.cz/clanek.php?lg=1&amp;id=1098</vt:lpwstr>
      </vt:variant>
      <vt:variant>
        <vt:lpwstr/>
      </vt:variant>
      <vt:variant>
        <vt:i4>7471162</vt:i4>
      </vt:variant>
      <vt:variant>
        <vt:i4>42</vt:i4>
      </vt:variant>
      <vt:variant>
        <vt:i4>0</vt:i4>
      </vt:variant>
      <vt:variant>
        <vt:i4>5</vt:i4>
      </vt:variant>
      <vt:variant>
        <vt:lpwstr>http://www.errc.org/cikk.php?cikk=2228</vt:lpwstr>
      </vt:variant>
      <vt:variant>
        <vt:lpwstr/>
      </vt:variant>
      <vt:variant>
        <vt:i4>5177417</vt:i4>
      </vt:variant>
      <vt:variant>
        <vt:i4>39</vt:i4>
      </vt:variant>
      <vt:variant>
        <vt:i4>0</vt:i4>
      </vt:variant>
      <vt:variant>
        <vt:i4>5</vt:i4>
      </vt:variant>
      <vt:variant>
        <vt:lpwstr>http://www.errc.org/</vt:lpwstr>
      </vt:variant>
      <vt:variant>
        <vt:lpwstr/>
      </vt:variant>
      <vt:variant>
        <vt:i4>8126575</vt:i4>
      </vt:variant>
      <vt:variant>
        <vt:i4>36</vt:i4>
      </vt:variant>
      <vt:variant>
        <vt:i4>0</vt:i4>
      </vt:variant>
      <vt:variant>
        <vt:i4>5</vt:i4>
      </vt:variant>
      <vt:variant>
        <vt:lpwstr>http://www.vupsv.cz/an138.html</vt:lpwstr>
      </vt:variant>
      <vt:variant>
        <vt:lpwstr/>
      </vt:variant>
      <vt:variant>
        <vt:i4>6750261</vt:i4>
      </vt:variant>
      <vt:variant>
        <vt:i4>33</vt:i4>
      </vt:variant>
      <vt:variant>
        <vt:i4>0</vt:i4>
      </vt:variant>
      <vt:variant>
        <vt:i4>5</vt:i4>
      </vt:variant>
      <vt:variant>
        <vt:lpwstr>http://www.socioklub.cz/studia.php</vt:lpwstr>
      </vt:variant>
      <vt:variant>
        <vt:lpwstr/>
      </vt:variant>
      <vt:variant>
        <vt:i4>3080316</vt:i4>
      </vt:variant>
      <vt:variant>
        <vt:i4>30</vt:i4>
      </vt:variant>
      <vt:variant>
        <vt:i4>0</vt:i4>
      </vt:variant>
      <vt:variant>
        <vt:i4>5</vt:i4>
      </vt:variant>
      <vt:variant>
        <vt:lpwstr>http://www.vladce.vlada.cz/apac/www.htm</vt:lpwstr>
      </vt:variant>
      <vt:variant>
        <vt:lpwstr/>
      </vt:variant>
      <vt:variant>
        <vt:i4>3080229</vt:i4>
      </vt:variant>
      <vt:variant>
        <vt:i4>27</vt:i4>
      </vt:variant>
      <vt:variant>
        <vt:i4>0</vt:i4>
      </vt:variant>
      <vt:variant>
        <vt:i4>5</vt:i4>
      </vt:variant>
      <vt:variant>
        <vt:lpwstr>http://vladce.vlada.cz/apac/www.htm</vt:lpwstr>
      </vt:variant>
      <vt:variant>
        <vt:lpwstr/>
      </vt:variant>
      <vt:variant>
        <vt:i4>4718691</vt:i4>
      </vt:variant>
      <vt:variant>
        <vt:i4>24</vt:i4>
      </vt:variant>
      <vt:variant>
        <vt:i4>0</vt:i4>
      </vt:variant>
      <vt:variant>
        <vt:i4>5</vt:i4>
      </vt:variant>
      <vt:variant>
        <vt:lpwstr>http://www.esfcr.cz/files/clanky/5630/oprlz_cz.pdf</vt:lpwstr>
      </vt:variant>
      <vt:variant>
        <vt:lpwstr/>
      </vt:variant>
      <vt:variant>
        <vt:i4>6226023</vt:i4>
      </vt:variant>
      <vt:variant>
        <vt:i4>21</vt:i4>
      </vt:variant>
      <vt:variant>
        <vt:i4>0</vt:i4>
      </vt:variant>
      <vt:variant>
        <vt:i4>5</vt:i4>
      </vt:variant>
      <vt:variant>
        <vt:lpwstr>http://www.msmt.cz/_DOMEK/default.asp?CAI=2945</vt:lpwstr>
      </vt:variant>
      <vt:variant>
        <vt:lpwstr/>
      </vt:variant>
      <vt:variant>
        <vt:i4>6226023</vt:i4>
      </vt:variant>
      <vt:variant>
        <vt:i4>18</vt:i4>
      </vt:variant>
      <vt:variant>
        <vt:i4>0</vt:i4>
      </vt:variant>
      <vt:variant>
        <vt:i4>5</vt:i4>
      </vt:variant>
      <vt:variant>
        <vt:lpwstr>http://www.msmt.cz/_DOMEK/default.asp?CAI=2945</vt:lpwstr>
      </vt:variant>
      <vt:variant>
        <vt:lpwstr/>
      </vt:variant>
      <vt:variant>
        <vt:i4>7405623</vt:i4>
      </vt:variant>
      <vt:variant>
        <vt:i4>15</vt:i4>
      </vt:variant>
      <vt:variant>
        <vt:i4>0</vt:i4>
      </vt:variant>
      <vt:variant>
        <vt:i4>5</vt:i4>
      </vt:variant>
      <vt:variant>
        <vt:lpwstr>http://www.mvcr.cz/</vt:lpwstr>
      </vt:variant>
      <vt:variant>
        <vt:lpwstr/>
      </vt:variant>
      <vt:variant>
        <vt:i4>5308541</vt:i4>
      </vt:variant>
      <vt:variant>
        <vt:i4>12</vt:i4>
      </vt:variant>
      <vt:variant>
        <vt:i4>0</vt:i4>
      </vt:variant>
      <vt:variant>
        <vt:i4>5</vt:i4>
      </vt:variant>
      <vt:variant>
        <vt:lpwstr>mailto:ukpvextr@mvcr.cz</vt:lpwstr>
      </vt:variant>
      <vt:variant>
        <vt:lpwstr/>
      </vt:variant>
      <vt:variant>
        <vt:i4>3080229</vt:i4>
      </vt:variant>
      <vt:variant>
        <vt:i4>9</vt:i4>
      </vt:variant>
      <vt:variant>
        <vt:i4>0</vt:i4>
      </vt:variant>
      <vt:variant>
        <vt:i4>5</vt:i4>
      </vt:variant>
      <vt:variant>
        <vt:lpwstr>http://vladce.vlada.cz/apac/www.htm</vt:lpwstr>
      </vt:variant>
      <vt:variant>
        <vt:lpwstr/>
      </vt:variant>
      <vt:variant>
        <vt:i4>4718814</vt:i4>
      </vt:variant>
      <vt:variant>
        <vt:i4>6</vt:i4>
      </vt:variant>
      <vt:variant>
        <vt:i4>0</vt:i4>
      </vt:variant>
      <vt:variant>
        <vt:i4>5</vt:i4>
      </vt:variant>
      <vt:variant>
        <vt:lpwstr>http://kormoran.vláda.cz/usneseni</vt:lpwstr>
      </vt:variant>
      <vt:variant>
        <vt:lpwstr/>
      </vt:variant>
      <vt:variant>
        <vt:i4>3080229</vt:i4>
      </vt:variant>
      <vt:variant>
        <vt:i4>3</vt:i4>
      </vt:variant>
      <vt:variant>
        <vt:i4>0</vt:i4>
      </vt:variant>
      <vt:variant>
        <vt:i4>5</vt:i4>
      </vt:variant>
      <vt:variant>
        <vt:lpwstr>http://vladce.vlada.cz/apac/www.htm</vt:lpwstr>
      </vt:variant>
      <vt:variant>
        <vt:lpwstr/>
      </vt:variant>
      <vt:variant>
        <vt:i4>6815813</vt:i4>
      </vt:variant>
      <vt:variant>
        <vt:i4>0</vt:i4>
      </vt:variant>
      <vt:variant>
        <vt:i4>0</vt:i4>
      </vt:variant>
      <vt:variant>
        <vt:i4>5</vt:i4>
      </vt:variant>
      <vt:variant>
        <vt:lpwstr>http://wtd.vlada.cz/pages/rvk_mm.htm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0640079.doc</dc:title>
  <dc:subject/>
  <dc:creator>Smirnova</dc:creator>
  <cp:keywords/>
  <dc:description/>
  <cp:lastModifiedBy>Smirnova</cp:lastModifiedBy>
  <cp:revision>3</cp:revision>
  <cp:lastPrinted>2006-04-27T14:24:00Z</cp:lastPrinted>
  <dcterms:created xsi:type="dcterms:W3CDTF">2006-04-27T14:24:00Z</dcterms:created>
  <dcterms:modified xsi:type="dcterms:W3CDTF">2006-04-27T14:24:00Z</dcterms:modified>
</cp:coreProperties>
</file>