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821"/>
        <w:gridCol w:w="3544"/>
      </w:tblGrid>
      <w:tr w:rsidR="006B3E27" w:rsidRPr="00ED7442" w:rsidTr="004A0CFC">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821"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544" w:type="dxa"/>
            <w:tcBorders>
              <w:bottom w:val="single" w:sz="4" w:space="0" w:color="auto"/>
            </w:tcBorders>
            <w:vAlign w:val="bottom"/>
          </w:tcPr>
          <w:p w:rsidR="006B3E27" w:rsidRPr="003E159A" w:rsidRDefault="00B212A9" w:rsidP="000E3EEE">
            <w:pPr>
              <w:bidi w:val="0"/>
              <w:spacing w:after="20"/>
              <w:jc w:val="left"/>
              <w:rPr>
                <w:szCs w:val="20"/>
              </w:rPr>
            </w:pPr>
            <w:r w:rsidRPr="00B212A9">
              <w:rPr>
                <w:sz w:val="40"/>
                <w:szCs w:val="20"/>
              </w:rPr>
              <w:t>C</w:t>
            </w:r>
            <w:r w:rsidRPr="00F96CC5">
              <w:rPr>
                <w:sz w:val="40"/>
                <w:szCs w:val="20"/>
              </w:rPr>
              <w:t>ED</w:t>
            </w:r>
            <w:r>
              <w:rPr>
                <w:szCs w:val="20"/>
              </w:rPr>
              <w:t>/C/12/2</w:t>
            </w:r>
          </w:p>
        </w:tc>
      </w:tr>
      <w:tr w:rsidR="006B3E27" w:rsidRPr="00ED7442" w:rsidTr="004A0CFC">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821" w:type="dxa"/>
            <w:tcBorders>
              <w:top w:val="single" w:sz="4" w:space="0" w:color="auto"/>
              <w:bottom w:val="single" w:sz="12" w:space="0" w:color="auto"/>
            </w:tcBorders>
          </w:tcPr>
          <w:p w:rsidR="006B3E27" w:rsidRPr="008930DB" w:rsidRDefault="004A0CFC" w:rsidP="004A0CFC">
            <w:pPr>
              <w:spacing w:before="120" w:after="40" w:line="640" w:lineRule="exact"/>
              <w:rPr>
                <w:b/>
                <w:bCs/>
                <w:sz w:val="56"/>
                <w:szCs w:val="56"/>
              </w:rPr>
            </w:pPr>
            <w:r w:rsidRPr="00997665">
              <w:rPr>
                <w:rFonts w:hint="cs"/>
                <w:b/>
                <w:bCs/>
                <w:sz w:val="56"/>
                <w:szCs w:val="56"/>
                <w:rtl/>
              </w:rPr>
              <w:t>الاتفاقية الدولية لحماية جميع الأشخاص من الاختفاء القسري</w:t>
            </w:r>
          </w:p>
        </w:tc>
        <w:tc>
          <w:tcPr>
            <w:tcW w:w="3544" w:type="dxa"/>
            <w:tcBorders>
              <w:top w:val="single" w:sz="4" w:space="0" w:color="auto"/>
              <w:bottom w:val="single" w:sz="12" w:space="0" w:color="auto"/>
            </w:tcBorders>
          </w:tcPr>
          <w:p w:rsidR="006B3E27" w:rsidRDefault="000E3EEE" w:rsidP="000E3EEE">
            <w:pPr>
              <w:bidi w:val="0"/>
              <w:spacing w:before="240"/>
              <w:jc w:val="left"/>
              <w:rPr>
                <w:szCs w:val="20"/>
              </w:rPr>
            </w:pPr>
            <w:r>
              <w:rPr>
                <w:szCs w:val="20"/>
              </w:rPr>
              <w:t>Distr.: General</w:t>
            </w:r>
          </w:p>
          <w:p w:rsidR="000E3EEE" w:rsidRDefault="000E3EEE" w:rsidP="000E3EEE">
            <w:pPr>
              <w:bidi w:val="0"/>
              <w:jc w:val="left"/>
              <w:rPr>
                <w:szCs w:val="20"/>
              </w:rPr>
            </w:pPr>
            <w:r>
              <w:rPr>
                <w:szCs w:val="20"/>
              </w:rPr>
              <w:t>6 April 2017</w:t>
            </w:r>
          </w:p>
          <w:p w:rsidR="000E3EEE" w:rsidRDefault="000E3EEE" w:rsidP="000E3EEE">
            <w:pPr>
              <w:bidi w:val="0"/>
              <w:jc w:val="left"/>
              <w:rPr>
                <w:szCs w:val="20"/>
              </w:rPr>
            </w:pPr>
            <w:r>
              <w:rPr>
                <w:szCs w:val="20"/>
              </w:rPr>
              <w:t>Arabic</w:t>
            </w:r>
          </w:p>
          <w:p w:rsidR="000E3EEE" w:rsidRPr="003E159A" w:rsidRDefault="000E3EEE" w:rsidP="000E3EEE">
            <w:pPr>
              <w:bidi w:val="0"/>
              <w:jc w:val="left"/>
              <w:rPr>
                <w:szCs w:val="20"/>
              </w:rPr>
            </w:pPr>
            <w:r>
              <w:rPr>
                <w:szCs w:val="20"/>
              </w:rPr>
              <w:t>Original: Spanish</w:t>
            </w:r>
          </w:p>
        </w:tc>
      </w:tr>
    </w:tbl>
    <w:p w:rsidR="000E3EEE" w:rsidRPr="004A0CFC" w:rsidRDefault="000E3EEE" w:rsidP="00ED3CCA">
      <w:pPr>
        <w:spacing w:before="120" w:line="380" w:lineRule="exact"/>
        <w:jc w:val="both"/>
        <w:outlineLvl w:val="0"/>
        <w:rPr>
          <w:b/>
          <w:bCs/>
          <w:spacing w:val="6"/>
          <w:kern w:val="16"/>
          <w:sz w:val="36"/>
          <w:szCs w:val="36"/>
          <w:rtl/>
        </w:rPr>
      </w:pPr>
      <w:r w:rsidRPr="004A0CFC">
        <w:rPr>
          <w:rFonts w:hint="cs"/>
          <w:b/>
          <w:bCs/>
          <w:spacing w:val="6"/>
          <w:kern w:val="16"/>
          <w:sz w:val="36"/>
          <w:szCs w:val="36"/>
          <w:rtl/>
        </w:rPr>
        <w:t>اللجنة</w:t>
      </w:r>
      <w:r w:rsidR="0043410F">
        <w:rPr>
          <w:rFonts w:hint="cs"/>
          <w:b/>
          <w:bCs/>
          <w:spacing w:val="6"/>
          <w:kern w:val="16"/>
          <w:sz w:val="36"/>
          <w:szCs w:val="36"/>
          <w:rtl/>
        </w:rPr>
        <w:t xml:space="preserve"> المعنية بحالات الاختفاء القسري</w:t>
      </w:r>
    </w:p>
    <w:p w:rsidR="000E3EEE" w:rsidRDefault="000E3EEE" w:rsidP="003D5A08">
      <w:pPr>
        <w:pStyle w:val="HChGA"/>
        <w:rPr>
          <w:vertAlign w:val="superscript"/>
          <w:rtl/>
          <w:lang w:bidi="ar-DZ"/>
        </w:rPr>
      </w:pPr>
      <w:r>
        <w:rPr>
          <w:rFonts w:hint="cs"/>
          <w:sz w:val="34"/>
          <w:szCs w:val="34"/>
          <w:rtl/>
        </w:rPr>
        <w:tab/>
      </w:r>
      <w:r w:rsidRPr="000E3EEE">
        <w:rPr>
          <w:rFonts w:hint="cs"/>
          <w:rtl/>
        </w:rPr>
        <w:tab/>
        <w:t>تقرير</w:t>
      </w:r>
      <w:r>
        <w:rPr>
          <w:rFonts w:hint="cs"/>
          <w:rtl/>
        </w:rPr>
        <w:t xml:space="preserve"> عن </w:t>
      </w:r>
      <w:r w:rsidRPr="00EC6275">
        <w:rPr>
          <w:rFonts w:hint="cs"/>
          <w:rtl/>
        </w:rPr>
        <w:t>طلبات</w:t>
      </w:r>
      <w:r w:rsidRPr="005B70D9">
        <w:rPr>
          <w:rFonts w:hint="cs"/>
          <w:rtl/>
        </w:rPr>
        <w:t xml:space="preserve"> الإجراء</w:t>
      </w:r>
      <w:r>
        <w:rPr>
          <w:rFonts w:hint="cs"/>
          <w:rtl/>
        </w:rPr>
        <w:t>ات</w:t>
      </w:r>
      <w:r w:rsidRPr="005B70D9">
        <w:rPr>
          <w:rFonts w:hint="cs"/>
          <w:rtl/>
        </w:rPr>
        <w:t xml:space="preserve"> العاجل</w:t>
      </w:r>
      <w:r>
        <w:rPr>
          <w:rFonts w:hint="cs"/>
          <w:rtl/>
        </w:rPr>
        <w:t>ة الواردة بموجب المادة 30 من</w:t>
      </w:r>
      <w:r w:rsidR="003D5A08">
        <w:rPr>
          <w:rFonts w:hint="eastAsia"/>
          <w:rtl/>
        </w:rPr>
        <w:t> </w:t>
      </w:r>
      <w:r w:rsidRPr="005B70D9">
        <w:rPr>
          <w:rFonts w:hint="cs"/>
          <w:rtl/>
        </w:rPr>
        <w:t>الاتفاقية</w:t>
      </w:r>
      <w:r w:rsidRPr="000E3EEE">
        <w:rPr>
          <w:rStyle w:val="FootnoteReference"/>
          <w:b/>
          <w:bCs w:val="0"/>
          <w:spacing w:val="6"/>
          <w:sz w:val="20"/>
          <w:vertAlign w:val="baseline"/>
          <w:rtl/>
        </w:rPr>
        <w:footnoteReference w:customMarkFollows="1" w:id="1"/>
        <w:t>*</w:t>
      </w:r>
    </w:p>
    <w:p w:rsidR="000E3EEE" w:rsidRDefault="000E3EEE" w:rsidP="000E3EEE">
      <w:pPr>
        <w:pStyle w:val="H1GA"/>
        <w:rPr>
          <w:rtl/>
          <w:lang w:bidi="ar-DZ"/>
        </w:rPr>
      </w:pPr>
      <w:r>
        <w:rPr>
          <w:rFonts w:hint="cs"/>
          <w:rtl/>
        </w:rPr>
        <w:tab/>
        <w:t>ألف-</w:t>
      </w:r>
      <w:r>
        <w:rPr>
          <w:rFonts w:hint="cs"/>
          <w:rtl/>
        </w:rPr>
        <w:tab/>
        <w:t>مقدمة</w:t>
      </w:r>
    </w:p>
    <w:p w:rsidR="000E3EEE" w:rsidRPr="004478A0" w:rsidRDefault="000E3EEE" w:rsidP="000E3EEE">
      <w:pPr>
        <w:pStyle w:val="SingleTxtGA"/>
        <w:rPr>
          <w:spacing w:val="6"/>
          <w:kern w:val="16"/>
          <w:sz w:val="34"/>
          <w:szCs w:val="34"/>
          <w:rtl/>
        </w:rPr>
      </w:pPr>
      <w:r>
        <w:rPr>
          <w:rFonts w:hint="cs"/>
          <w:spacing w:val="6"/>
          <w:kern w:val="16"/>
          <w:sz w:val="30"/>
          <w:rtl/>
        </w:rPr>
        <w:t>1-</w:t>
      </w:r>
      <w:r>
        <w:rPr>
          <w:rFonts w:hint="cs"/>
          <w:spacing w:val="6"/>
          <w:kern w:val="16"/>
          <w:sz w:val="30"/>
          <w:rtl/>
        </w:rPr>
        <w:tab/>
      </w:r>
      <w:r w:rsidRPr="00F77767">
        <w:rPr>
          <w:rFonts w:hint="cs"/>
          <w:spacing w:val="6"/>
          <w:kern w:val="16"/>
          <w:sz w:val="30"/>
          <w:rtl/>
        </w:rPr>
        <w:t xml:space="preserve">تنص المادتان 57 و58 من نظام اللجنة الداخلي </w:t>
      </w:r>
      <w:r w:rsidRPr="00F77767">
        <w:t>(CED/C/1)</w:t>
      </w:r>
      <w:r w:rsidRPr="00F77767">
        <w:rPr>
          <w:rFonts w:hint="cs"/>
          <w:rtl/>
        </w:rPr>
        <w:t xml:space="preserve"> </w:t>
      </w:r>
      <w:r w:rsidRPr="00F77767">
        <w:rPr>
          <w:rFonts w:ascii="Traditional Arabic" w:hAnsi="Traditional Arabic"/>
          <w:sz w:val="30"/>
          <w:rtl/>
        </w:rPr>
        <w:t>على</w:t>
      </w:r>
      <w:r w:rsidRPr="00F77767">
        <w:rPr>
          <w:rFonts w:ascii="Traditional Arabic" w:hAnsi="Traditional Arabic" w:hint="cs"/>
          <w:sz w:val="30"/>
          <w:rtl/>
        </w:rPr>
        <w:t xml:space="preserve"> توجيه نظر اللجنة إلى جميع طلبات الإجراء</w:t>
      </w:r>
      <w:r>
        <w:rPr>
          <w:rFonts w:ascii="Traditional Arabic" w:hAnsi="Traditional Arabic" w:hint="cs"/>
          <w:sz w:val="30"/>
          <w:rtl/>
        </w:rPr>
        <w:t>ات</w:t>
      </w:r>
      <w:r w:rsidRPr="00F77767">
        <w:rPr>
          <w:rFonts w:ascii="Traditional Arabic" w:hAnsi="Traditional Arabic" w:hint="cs"/>
          <w:sz w:val="30"/>
          <w:rtl/>
        </w:rPr>
        <w:t xml:space="preserve"> العاجل</w:t>
      </w:r>
      <w:r>
        <w:rPr>
          <w:rFonts w:ascii="Traditional Arabic" w:hAnsi="Traditional Arabic" w:hint="cs"/>
          <w:sz w:val="30"/>
          <w:rtl/>
        </w:rPr>
        <w:t>ة</w:t>
      </w:r>
      <w:r w:rsidRPr="00F77767">
        <w:rPr>
          <w:rFonts w:ascii="Traditional Arabic" w:hAnsi="Traditional Arabic" w:hint="cs"/>
          <w:sz w:val="30"/>
          <w:rtl/>
        </w:rPr>
        <w:t xml:space="preserve"> المقدمة لتنظر فيها بموجب المادة 30 من الاتفاقية. ويجوز إتاحة النص الكامل لأي من هذه الطلبات، باللغة التي قُدم بها، لأي عضو من أعضاء اللجنة بناء على طلبه. ويوجز هذا التقرير المواضيع الرئيسية التي بحثها المقررون المعنيون بالإجراءات العاجلة فيما يتعلق بطلبات الإجراء</w:t>
      </w:r>
      <w:r>
        <w:rPr>
          <w:rFonts w:ascii="Traditional Arabic" w:hAnsi="Traditional Arabic" w:hint="cs"/>
          <w:sz w:val="30"/>
          <w:rtl/>
        </w:rPr>
        <w:t>ات</w:t>
      </w:r>
      <w:r w:rsidRPr="00F77767">
        <w:rPr>
          <w:rFonts w:ascii="Traditional Arabic" w:hAnsi="Traditional Arabic" w:hint="cs"/>
          <w:sz w:val="30"/>
          <w:rtl/>
        </w:rPr>
        <w:t xml:space="preserve"> العاجل</w:t>
      </w:r>
      <w:r>
        <w:rPr>
          <w:rFonts w:ascii="Traditional Arabic" w:hAnsi="Traditional Arabic" w:hint="cs"/>
          <w:sz w:val="30"/>
          <w:rtl/>
        </w:rPr>
        <w:t>ة</w:t>
      </w:r>
      <w:r w:rsidRPr="00F77767">
        <w:rPr>
          <w:rFonts w:ascii="Traditional Arabic" w:hAnsi="Traditional Arabic" w:hint="cs"/>
          <w:sz w:val="30"/>
          <w:rtl/>
        </w:rPr>
        <w:t xml:space="preserve"> الواردة إلى اللجنة والقرارات المتخذة بشأنها، بموجب المادة 30 من الاتفاقية، م</w:t>
      </w:r>
      <w:r>
        <w:rPr>
          <w:rFonts w:ascii="Traditional Arabic" w:hAnsi="Traditional Arabic" w:hint="cs"/>
          <w:sz w:val="30"/>
          <w:rtl/>
        </w:rPr>
        <w:t xml:space="preserve">نذ </w:t>
      </w:r>
      <w:r w:rsidRPr="00F77767">
        <w:rPr>
          <w:rFonts w:ascii="Traditional Arabic" w:hAnsi="Traditional Arabic" w:hint="cs"/>
          <w:sz w:val="30"/>
          <w:rtl/>
        </w:rPr>
        <w:t>الدورة الحادية عشرة للجنة. واعتمدته اللجنة في</w:t>
      </w:r>
      <w:r>
        <w:rPr>
          <w:rFonts w:ascii="Traditional Arabic" w:hAnsi="Traditional Arabic" w:hint="eastAsia"/>
          <w:sz w:val="30"/>
          <w:rtl/>
        </w:rPr>
        <w:t> </w:t>
      </w:r>
      <w:r w:rsidRPr="00F77767">
        <w:rPr>
          <w:rFonts w:ascii="Traditional Arabic" w:hAnsi="Traditional Arabic" w:hint="cs"/>
          <w:sz w:val="30"/>
          <w:rtl/>
        </w:rPr>
        <w:t>16 آذار/مارس 2017.</w:t>
      </w:r>
    </w:p>
    <w:p w:rsidR="000E3EEE" w:rsidRPr="00302E21" w:rsidRDefault="000E3EEE" w:rsidP="000E3EEE">
      <w:pPr>
        <w:pStyle w:val="H1GA"/>
        <w:rPr>
          <w:rtl/>
        </w:rPr>
      </w:pPr>
      <w:r>
        <w:rPr>
          <w:rFonts w:hint="cs"/>
          <w:rtl/>
        </w:rPr>
        <w:tab/>
      </w:r>
      <w:r w:rsidRPr="00302E21">
        <w:rPr>
          <w:rFonts w:hint="cs"/>
          <w:rtl/>
        </w:rPr>
        <w:t>باء-</w:t>
      </w:r>
      <w:r w:rsidRPr="00302E21">
        <w:rPr>
          <w:rFonts w:hint="cs"/>
          <w:rtl/>
        </w:rPr>
        <w:tab/>
        <w:t>طلبات الإجراء</w:t>
      </w:r>
      <w:r>
        <w:rPr>
          <w:rFonts w:hint="cs"/>
          <w:rtl/>
        </w:rPr>
        <w:t>ات</w:t>
      </w:r>
      <w:r w:rsidRPr="00302E21">
        <w:rPr>
          <w:rFonts w:hint="cs"/>
          <w:rtl/>
        </w:rPr>
        <w:t xml:space="preserve"> </w:t>
      </w:r>
      <w:r w:rsidRPr="00F77767">
        <w:rPr>
          <w:rFonts w:hint="cs"/>
          <w:rtl/>
        </w:rPr>
        <w:t>العاجل</w:t>
      </w:r>
      <w:r>
        <w:rPr>
          <w:rFonts w:hint="cs"/>
          <w:rtl/>
        </w:rPr>
        <w:t>ة</w:t>
      </w:r>
      <w:r w:rsidRPr="00F77767">
        <w:rPr>
          <w:rFonts w:hint="cs"/>
          <w:rtl/>
        </w:rPr>
        <w:t xml:space="preserve"> الواردة منذ الدورة الحادية عشرة للجنة</w:t>
      </w:r>
    </w:p>
    <w:p w:rsidR="000E3EEE" w:rsidRDefault="000E3EEE" w:rsidP="001A63A8">
      <w:pPr>
        <w:pStyle w:val="SingleTxtGA"/>
        <w:rPr>
          <w:rFonts w:ascii="Traditional Arabic" w:hAnsi="Traditional Arabic"/>
          <w:sz w:val="30"/>
          <w:rtl/>
        </w:rPr>
      </w:pPr>
      <w:r>
        <w:rPr>
          <w:rFonts w:ascii="Traditional Arabic" w:hAnsi="Traditional Arabic" w:hint="cs"/>
          <w:sz w:val="30"/>
          <w:rtl/>
        </w:rPr>
        <w:t>2-</w:t>
      </w:r>
      <w:r>
        <w:rPr>
          <w:rFonts w:ascii="Traditional Arabic" w:hAnsi="Traditional Arabic"/>
          <w:sz w:val="30"/>
          <w:rtl/>
        </w:rPr>
        <w:tab/>
      </w:r>
      <w:r>
        <w:rPr>
          <w:rFonts w:ascii="Traditional Arabic" w:hAnsi="Traditional Arabic" w:hint="cs"/>
          <w:sz w:val="30"/>
          <w:rtl/>
        </w:rPr>
        <w:t xml:space="preserve">أبرزت </w:t>
      </w:r>
      <w:r w:rsidRPr="007C7D7F">
        <w:rPr>
          <w:rFonts w:ascii="Traditional Arabic" w:hAnsi="Traditional Arabic" w:hint="cs"/>
          <w:sz w:val="30"/>
          <w:rtl/>
        </w:rPr>
        <w:t>اللجنة في مذكرتها المتعلقة</w:t>
      </w:r>
      <w:r>
        <w:rPr>
          <w:rFonts w:ascii="Traditional Arabic" w:hAnsi="Traditional Arabic" w:hint="cs"/>
          <w:sz w:val="30"/>
          <w:rtl/>
        </w:rPr>
        <w:t xml:space="preserve"> بطلبات الإجراءات العاجلة، المعتمدة في دورتها الحادية عشرة، القرارات التي اتخذتها بشأن الإجراءات العاجلة المسجّلة حتى 11 تشرين الأول/أكتوبر 2016 البالغ </w:t>
      </w:r>
      <w:r w:rsidRPr="0057200F">
        <w:rPr>
          <w:rFonts w:ascii="Traditional Arabic" w:hAnsi="Traditional Arabic" w:hint="cs"/>
          <w:sz w:val="30"/>
          <w:rtl/>
        </w:rPr>
        <w:t xml:space="preserve">عددها 342 إجراءً. </w:t>
      </w:r>
      <w:r w:rsidRPr="008228D7">
        <w:rPr>
          <w:rFonts w:ascii="Traditional Arabic" w:hAnsi="Traditional Arabic" w:hint="cs"/>
          <w:sz w:val="30"/>
          <w:rtl/>
        </w:rPr>
        <w:t>ومنذ ذلك التاريخ</w:t>
      </w:r>
      <w:r w:rsidRPr="0057200F">
        <w:rPr>
          <w:rFonts w:ascii="Traditional Arabic" w:hAnsi="Traditional Arabic" w:hint="cs"/>
          <w:sz w:val="30"/>
          <w:rtl/>
        </w:rPr>
        <w:t xml:space="preserve"> حتى 18 كانون الثاني/</w:t>
      </w:r>
      <w:r>
        <w:rPr>
          <w:rFonts w:ascii="Traditional Arabic" w:hAnsi="Traditional Arabic" w:hint="cs"/>
          <w:sz w:val="30"/>
          <w:rtl/>
        </w:rPr>
        <w:t xml:space="preserve">   </w:t>
      </w:r>
      <w:r w:rsidRPr="0057200F">
        <w:rPr>
          <w:rFonts w:ascii="Traditional Arabic" w:hAnsi="Traditional Arabic" w:hint="cs"/>
          <w:sz w:val="30"/>
          <w:rtl/>
        </w:rPr>
        <w:t>يناير 2017، تلقّت اللجنة 21 طلباً</w:t>
      </w:r>
      <w:r>
        <w:rPr>
          <w:rFonts w:ascii="Traditional Arabic" w:hAnsi="Traditional Arabic" w:hint="cs"/>
          <w:sz w:val="30"/>
          <w:rtl/>
        </w:rPr>
        <w:t xml:space="preserve"> جديداً لاتخاذ إجراءات عاجلة، سُجل منها 17 طلباً. وتتعلق هذه الطلبات </w:t>
      </w:r>
      <w:proofErr w:type="spellStart"/>
      <w:r>
        <w:rPr>
          <w:rFonts w:ascii="Traditional Arabic" w:hAnsi="Traditional Arabic" w:hint="cs"/>
          <w:sz w:val="30"/>
          <w:rtl/>
        </w:rPr>
        <w:t>الـ</w:t>
      </w:r>
      <w:proofErr w:type="spellEnd"/>
      <w:r w:rsidR="001A63A8">
        <w:rPr>
          <w:rFonts w:ascii="Traditional Arabic" w:hAnsi="Traditional Arabic" w:hint="cs"/>
          <w:sz w:val="30"/>
          <w:rtl/>
        </w:rPr>
        <w:t xml:space="preserve"> </w:t>
      </w:r>
      <w:r>
        <w:rPr>
          <w:rFonts w:ascii="Traditional Arabic" w:hAnsi="Traditional Arabic" w:hint="cs"/>
          <w:sz w:val="30"/>
          <w:rtl/>
        </w:rPr>
        <w:t>17 المسجلة بوقائع حدثت في الأرجنتين والمكسيك. وترفَق بهذا التقرير قائمة طلبات الإجراءات العاجلة المسجلة حتى 20 آذار/مارس 2017.</w:t>
      </w:r>
    </w:p>
    <w:p w:rsidR="000E3EEE" w:rsidRDefault="000E3EEE" w:rsidP="000E3EEE">
      <w:pPr>
        <w:pStyle w:val="SingleTxtGA"/>
        <w:rPr>
          <w:rFonts w:ascii="Traditional Arabic" w:hAnsi="Traditional Arabic"/>
          <w:sz w:val="30"/>
          <w:rtl/>
        </w:rPr>
      </w:pPr>
      <w:r>
        <w:rPr>
          <w:rFonts w:ascii="Traditional Arabic" w:hAnsi="Traditional Arabic" w:hint="cs"/>
          <w:sz w:val="30"/>
          <w:rtl/>
        </w:rPr>
        <w:t>3-</w:t>
      </w:r>
      <w:r>
        <w:rPr>
          <w:rFonts w:ascii="Traditional Arabic" w:hAnsi="Traditional Arabic" w:hint="cs"/>
          <w:sz w:val="30"/>
          <w:rtl/>
        </w:rPr>
        <w:tab/>
        <w:t>وحتى تاريخ كتابة هذا التقرير، كانت اللجنة قد سجلت ما مجموعه 359 طلب إجراءات عاجلة، موزّعة على النحو التالي بحسب العام والبلد:</w:t>
      </w:r>
    </w:p>
    <w:p w:rsidR="000E3EEE" w:rsidRPr="00632384" w:rsidRDefault="000E3EEE" w:rsidP="00275C59">
      <w:pPr>
        <w:pStyle w:val="SingleTxtGA"/>
        <w:keepNext/>
        <w:keepLines/>
        <w:jc w:val="left"/>
        <w:rPr>
          <w:rFonts w:ascii="Traditional Arabic" w:hAnsi="Traditional Arabic"/>
          <w:b/>
          <w:bCs/>
          <w:sz w:val="30"/>
          <w:rtl/>
        </w:rPr>
      </w:pPr>
      <w:r>
        <w:rPr>
          <w:rFonts w:ascii="Traditional Arabic" w:hAnsi="Traditional Arabic" w:hint="cs"/>
          <w:sz w:val="30"/>
          <w:rtl/>
        </w:rPr>
        <w:lastRenderedPageBreak/>
        <w:t>الجدول</w:t>
      </w:r>
      <w:r w:rsidR="00632384">
        <w:rPr>
          <w:rFonts w:ascii="Traditional Arabic" w:hAnsi="Traditional Arabic"/>
          <w:sz w:val="30"/>
          <w:rtl/>
        </w:rPr>
        <w:br/>
      </w:r>
      <w:r w:rsidRPr="00632384">
        <w:rPr>
          <w:rFonts w:ascii="Traditional Arabic" w:hAnsi="Traditional Arabic" w:hint="cs"/>
          <w:b/>
          <w:bCs/>
          <w:sz w:val="30"/>
          <w:rtl/>
        </w:rPr>
        <w:t>الإجراءات العاجلة المسجلة بحسب العام والبلد</w:t>
      </w:r>
    </w:p>
    <w:tbl>
      <w:tblPr>
        <w:tblStyle w:val="TableGrid"/>
        <w:bidiVisual/>
        <w:tblW w:w="7362"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63"/>
        <w:gridCol w:w="950"/>
        <w:gridCol w:w="704"/>
        <w:gridCol w:w="788"/>
        <w:gridCol w:w="855"/>
        <w:gridCol w:w="661"/>
        <w:gridCol w:w="856"/>
        <w:gridCol w:w="698"/>
        <w:gridCol w:w="787"/>
      </w:tblGrid>
      <w:tr w:rsidR="00954DFA" w:rsidRPr="00391927" w:rsidTr="00391927">
        <w:trPr>
          <w:trHeight w:val="240"/>
          <w:tblHeader/>
        </w:trPr>
        <w:tc>
          <w:tcPr>
            <w:tcW w:w="1069" w:type="dxa"/>
            <w:tcBorders>
              <w:top w:val="single" w:sz="4" w:space="0" w:color="auto"/>
              <w:bottom w:val="single" w:sz="12" w:space="0" w:color="auto"/>
            </w:tcBorders>
            <w:shd w:val="clear" w:color="auto" w:fill="auto"/>
            <w:vAlign w:val="bottom"/>
          </w:tcPr>
          <w:p w:rsidR="00954DFA" w:rsidRPr="00391927" w:rsidRDefault="00954DFA" w:rsidP="00391927">
            <w:pPr>
              <w:spacing w:before="40" w:after="40" w:line="300" w:lineRule="exact"/>
              <w:ind w:left="57" w:right="57"/>
              <w:rPr>
                <w:rFonts w:ascii="Traditional Arabic" w:hAnsi="Traditional Arabic"/>
                <w:iCs/>
                <w:sz w:val="28"/>
                <w:szCs w:val="28"/>
              </w:rPr>
            </w:pPr>
            <w:r w:rsidRPr="00391927">
              <w:rPr>
                <w:rFonts w:ascii="Traditional Arabic" w:hAnsi="Traditional Arabic"/>
                <w:iCs/>
                <w:sz w:val="28"/>
                <w:szCs w:val="28"/>
                <w:rtl/>
              </w:rPr>
              <w:t>العام</w:t>
            </w:r>
          </w:p>
        </w:tc>
        <w:tc>
          <w:tcPr>
            <w:tcW w:w="966" w:type="dxa"/>
            <w:tcBorders>
              <w:top w:val="single" w:sz="4" w:space="0" w:color="auto"/>
              <w:bottom w:val="single" w:sz="12" w:space="0" w:color="auto"/>
            </w:tcBorders>
            <w:shd w:val="clear" w:color="auto" w:fill="auto"/>
            <w:vAlign w:val="bottom"/>
          </w:tcPr>
          <w:p w:rsidR="00954DFA" w:rsidRPr="00391927" w:rsidRDefault="00954DFA" w:rsidP="00391927">
            <w:pPr>
              <w:spacing w:before="40" w:after="40" w:line="300" w:lineRule="exact"/>
              <w:ind w:left="57" w:right="57"/>
              <w:rPr>
                <w:rFonts w:ascii="Traditional Arabic" w:hAnsi="Traditional Arabic"/>
                <w:iCs/>
                <w:sz w:val="28"/>
                <w:szCs w:val="28"/>
              </w:rPr>
            </w:pPr>
            <w:r w:rsidRPr="00391927">
              <w:rPr>
                <w:rFonts w:ascii="Traditional Arabic" w:hAnsi="Traditional Arabic" w:hint="cs"/>
                <w:iCs/>
                <w:sz w:val="28"/>
                <w:szCs w:val="28"/>
                <w:rtl/>
              </w:rPr>
              <w:t>ا</w:t>
            </w:r>
            <w:r w:rsidRPr="00391927">
              <w:rPr>
                <w:rFonts w:ascii="Traditional Arabic" w:hAnsi="Traditional Arabic"/>
                <w:iCs/>
                <w:sz w:val="28"/>
                <w:szCs w:val="28"/>
                <w:rtl/>
              </w:rPr>
              <w:t>لأرجنتين</w:t>
            </w:r>
          </w:p>
        </w:tc>
        <w:tc>
          <w:tcPr>
            <w:tcW w:w="714" w:type="dxa"/>
            <w:tcBorders>
              <w:top w:val="single" w:sz="4" w:space="0" w:color="auto"/>
              <w:bottom w:val="single" w:sz="12" w:space="0" w:color="auto"/>
            </w:tcBorders>
            <w:shd w:val="clear" w:color="auto" w:fill="auto"/>
            <w:vAlign w:val="bottom"/>
          </w:tcPr>
          <w:p w:rsidR="00954DFA" w:rsidRPr="00391927" w:rsidRDefault="00954DFA" w:rsidP="00391927">
            <w:pPr>
              <w:spacing w:before="40" w:after="40" w:line="300" w:lineRule="exact"/>
              <w:ind w:left="57" w:right="57"/>
              <w:rPr>
                <w:rFonts w:ascii="Traditional Arabic" w:hAnsi="Traditional Arabic"/>
                <w:iCs/>
                <w:sz w:val="28"/>
                <w:szCs w:val="28"/>
              </w:rPr>
            </w:pPr>
            <w:r w:rsidRPr="00391927">
              <w:rPr>
                <w:rFonts w:ascii="Traditional Arabic" w:hAnsi="Traditional Arabic"/>
                <w:iCs/>
                <w:sz w:val="28"/>
                <w:szCs w:val="28"/>
                <w:rtl/>
              </w:rPr>
              <w:t>البرازيل</w:t>
            </w:r>
          </w:p>
        </w:tc>
        <w:tc>
          <w:tcPr>
            <w:tcW w:w="797" w:type="dxa"/>
            <w:tcBorders>
              <w:top w:val="single" w:sz="4" w:space="0" w:color="auto"/>
              <w:bottom w:val="single" w:sz="12" w:space="0" w:color="auto"/>
            </w:tcBorders>
            <w:vAlign w:val="bottom"/>
          </w:tcPr>
          <w:p w:rsidR="00954DFA" w:rsidRPr="00391927" w:rsidRDefault="00954DFA" w:rsidP="00391927">
            <w:pPr>
              <w:spacing w:before="40" w:after="40" w:line="300" w:lineRule="exact"/>
              <w:ind w:left="57" w:right="57"/>
              <w:rPr>
                <w:rFonts w:ascii="Traditional Arabic" w:hAnsi="Traditional Arabic"/>
                <w:iCs/>
                <w:sz w:val="28"/>
                <w:szCs w:val="28"/>
              </w:rPr>
            </w:pPr>
            <w:r w:rsidRPr="00391927">
              <w:rPr>
                <w:rFonts w:ascii="Traditional Arabic" w:hAnsi="Traditional Arabic"/>
                <w:iCs/>
                <w:sz w:val="28"/>
                <w:szCs w:val="28"/>
                <w:rtl/>
              </w:rPr>
              <w:t>كمبوديا</w:t>
            </w:r>
          </w:p>
        </w:tc>
        <w:tc>
          <w:tcPr>
            <w:tcW w:w="868" w:type="dxa"/>
            <w:tcBorders>
              <w:top w:val="single" w:sz="4" w:space="0" w:color="auto"/>
              <w:bottom w:val="single" w:sz="12" w:space="0" w:color="auto"/>
            </w:tcBorders>
            <w:vAlign w:val="bottom"/>
          </w:tcPr>
          <w:p w:rsidR="00954DFA" w:rsidRPr="00391927" w:rsidRDefault="00954DFA" w:rsidP="00391927">
            <w:pPr>
              <w:spacing w:before="40" w:after="40" w:line="300" w:lineRule="exact"/>
              <w:ind w:left="57" w:right="57"/>
              <w:rPr>
                <w:rFonts w:ascii="Traditional Arabic" w:hAnsi="Traditional Arabic"/>
                <w:iCs/>
                <w:sz w:val="28"/>
                <w:szCs w:val="28"/>
              </w:rPr>
            </w:pPr>
            <w:r w:rsidRPr="00391927">
              <w:rPr>
                <w:rFonts w:ascii="Traditional Arabic" w:hAnsi="Traditional Arabic"/>
                <w:iCs/>
                <w:sz w:val="28"/>
                <w:szCs w:val="28"/>
                <w:rtl/>
              </w:rPr>
              <w:t>كولومبيا</w:t>
            </w:r>
          </w:p>
        </w:tc>
        <w:tc>
          <w:tcPr>
            <w:tcW w:w="672" w:type="dxa"/>
            <w:tcBorders>
              <w:top w:val="single" w:sz="4" w:space="0" w:color="auto"/>
              <w:bottom w:val="single" w:sz="12" w:space="0" w:color="auto"/>
            </w:tcBorders>
            <w:vAlign w:val="bottom"/>
          </w:tcPr>
          <w:p w:rsidR="00954DFA" w:rsidRPr="00391927" w:rsidRDefault="00954DFA" w:rsidP="00391927">
            <w:pPr>
              <w:spacing w:before="40" w:after="40" w:line="300" w:lineRule="exact"/>
              <w:ind w:left="57" w:right="57"/>
              <w:rPr>
                <w:rFonts w:ascii="Traditional Arabic" w:hAnsi="Traditional Arabic"/>
                <w:iCs/>
                <w:sz w:val="28"/>
                <w:szCs w:val="28"/>
              </w:rPr>
            </w:pPr>
            <w:r w:rsidRPr="00391927">
              <w:rPr>
                <w:rFonts w:ascii="Traditional Arabic" w:hAnsi="Traditional Arabic"/>
                <w:iCs/>
                <w:sz w:val="28"/>
                <w:szCs w:val="28"/>
                <w:rtl/>
              </w:rPr>
              <w:t>العراق</w:t>
            </w:r>
          </w:p>
        </w:tc>
        <w:tc>
          <w:tcPr>
            <w:tcW w:w="864" w:type="dxa"/>
            <w:tcBorders>
              <w:top w:val="single" w:sz="4" w:space="0" w:color="auto"/>
              <w:bottom w:val="single" w:sz="12" w:space="0" w:color="auto"/>
            </w:tcBorders>
            <w:vAlign w:val="bottom"/>
          </w:tcPr>
          <w:p w:rsidR="00954DFA" w:rsidRPr="00391927" w:rsidRDefault="00954DFA" w:rsidP="00391927">
            <w:pPr>
              <w:spacing w:before="40" w:after="40" w:line="300" w:lineRule="exact"/>
              <w:ind w:left="57" w:right="57"/>
              <w:rPr>
                <w:rFonts w:ascii="Traditional Arabic" w:hAnsi="Traditional Arabic"/>
                <w:iCs/>
                <w:sz w:val="28"/>
                <w:szCs w:val="28"/>
              </w:rPr>
            </w:pPr>
            <w:r w:rsidRPr="00391927">
              <w:rPr>
                <w:rFonts w:ascii="Traditional Arabic" w:hAnsi="Traditional Arabic"/>
                <w:iCs/>
                <w:sz w:val="28"/>
                <w:szCs w:val="28"/>
                <w:rtl/>
              </w:rPr>
              <w:t>المكسيك</w:t>
            </w:r>
          </w:p>
        </w:tc>
        <w:tc>
          <w:tcPr>
            <w:tcW w:w="709" w:type="dxa"/>
            <w:tcBorders>
              <w:top w:val="single" w:sz="4" w:space="0" w:color="auto"/>
              <w:bottom w:val="single" w:sz="12" w:space="0" w:color="auto"/>
            </w:tcBorders>
            <w:shd w:val="clear" w:color="auto" w:fill="auto"/>
            <w:vAlign w:val="bottom"/>
          </w:tcPr>
          <w:p w:rsidR="00954DFA" w:rsidRPr="00391927" w:rsidRDefault="00954DFA" w:rsidP="00391927">
            <w:pPr>
              <w:spacing w:before="40" w:after="40" w:line="300" w:lineRule="exact"/>
              <w:ind w:left="57" w:right="57"/>
              <w:rPr>
                <w:rFonts w:ascii="Traditional Arabic" w:hAnsi="Traditional Arabic"/>
                <w:iCs/>
                <w:sz w:val="28"/>
                <w:szCs w:val="28"/>
              </w:rPr>
            </w:pPr>
            <w:r w:rsidRPr="00391927">
              <w:rPr>
                <w:rFonts w:ascii="Traditional Arabic" w:hAnsi="Traditional Arabic"/>
                <w:iCs/>
                <w:sz w:val="28"/>
                <w:szCs w:val="28"/>
                <w:rtl/>
              </w:rPr>
              <w:t>المغرب</w:t>
            </w:r>
          </w:p>
        </w:tc>
        <w:tc>
          <w:tcPr>
            <w:tcW w:w="703" w:type="dxa"/>
            <w:tcBorders>
              <w:top w:val="single" w:sz="4" w:space="0" w:color="auto"/>
              <w:bottom w:val="single" w:sz="12" w:space="0" w:color="auto"/>
            </w:tcBorders>
            <w:shd w:val="clear" w:color="auto" w:fill="auto"/>
            <w:vAlign w:val="bottom"/>
          </w:tcPr>
          <w:p w:rsidR="00954DFA" w:rsidRPr="00391927" w:rsidRDefault="00954DFA" w:rsidP="00391927">
            <w:pPr>
              <w:spacing w:before="40" w:after="40" w:line="300" w:lineRule="exact"/>
              <w:ind w:left="57" w:right="57"/>
              <w:rPr>
                <w:rFonts w:ascii="Traditional Arabic" w:hAnsi="Traditional Arabic"/>
                <w:bCs/>
                <w:iCs/>
                <w:sz w:val="28"/>
                <w:szCs w:val="28"/>
              </w:rPr>
            </w:pPr>
            <w:r w:rsidRPr="00391927">
              <w:rPr>
                <w:rFonts w:ascii="Traditional Arabic" w:hAnsi="Traditional Arabic"/>
                <w:bCs/>
                <w:iCs/>
                <w:sz w:val="28"/>
                <w:szCs w:val="28"/>
                <w:rtl/>
              </w:rPr>
              <w:t>المجموع</w:t>
            </w:r>
          </w:p>
        </w:tc>
      </w:tr>
      <w:tr w:rsidR="00954DFA" w:rsidRPr="00391927" w:rsidTr="00391927">
        <w:trPr>
          <w:trHeight w:val="240"/>
        </w:trPr>
        <w:tc>
          <w:tcPr>
            <w:tcW w:w="1069" w:type="dxa"/>
            <w:tcBorders>
              <w:top w:val="single" w:sz="12" w:space="0" w:color="auto"/>
            </w:tcBorders>
            <w:shd w:val="clear" w:color="auto" w:fill="auto"/>
          </w:tcPr>
          <w:p w:rsidR="00954DFA" w:rsidRPr="00391927" w:rsidRDefault="00954DFA" w:rsidP="00391927">
            <w:pPr>
              <w:spacing w:before="40" w:after="40" w:line="300" w:lineRule="exact"/>
              <w:ind w:left="57" w:right="57"/>
              <w:rPr>
                <w:sz w:val="28"/>
                <w:szCs w:val="28"/>
              </w:rPr>
            </w:pPr>
            <w:r w:rsidRPr="00391927">
              <w:rPr>
                <w:rFonts w:hint="cs"/>
                <w:sz w:val="28"/>
                <w:szCs w:val="28"/>
                <w:rtl/>
              </w:rPr>
              <w:t>2012</w:t>
            </w:r>
          </w:p>
        </w:tc>
        <w:tc>
          <w:tcPr>
            <w:tcW w:w="966" w:type="dxa"/>
            <w:tcBorders>
              <w:top w:val="single" w:sz="12" w:space="0" w:color="auto"/>
            </w:tcBorders>
            <w:shd w:val="clear" w:color="auto" w:fill="auto"/>
            <w:vAlign w:val="bottom"/>
          </w:tcPr>
          <w:p w:rsidR="00954DFA" w:rsidRPr="00391927" w:rsidRDefault="00954DFA" w:rsidP="00391927">
            <w:pPr>
              <w:spacing w:before="40" w:after="40" w:line="300" w:lineRule="exact"/>
              <w:ind w:left="57" w:right="57"/>
              <w:rPr>
                <w:rFonts w:ascii="Traditional Arabic" w:hAnsi="Traditional Arabic"/>
                <w:sz w:val="28"/>
                <w:szCs w:val="28"/>
              </w:rPr>
            </w:pPr>
            <w:r w:rsidRPr="00391927">
              <w:rPr>
                <w:rFonts w:ascii="Traditional Arabic" w:hAnsi="Traditional Arabic"/>
                <w:sz w:val="28"/>
                <w:szCs w:val="28"/>
              </w:rPr>
              <w:t>-</w:t>
            </w:r>
          </w:p>
        </w:tc>
        <w:tc>
          <w:tcPr>
            <w:tcW w:w="714" w:type="dxa"/>
            <w:tcBorders>
              <w:top w:val="single" w:sz="12" w:space="0" w:color="auto"/>
            </w:tcBorders>
            <w:shd w:val="clear" w:color="auto" w:fill="auto"/>
            <w:vAlign w:val="bottom"/>
          </w:tcPr>
          <w:p w:rsidR="00954DFA" w:rsidRPr="00391927" w:rsidRDefault="00954DFA" w:rsidP="00391927">
            <w:pPr>
              <w:spacing w:before="40" w:after="40" w:line="300" w:lineRule="exact"/>
              <w:ind w:left="57" w:right="57"/>
              <w:rPr>
                <w:rFonts w:ascii="Traditional Arabic" w:hAnsi="Traditional Arabic"/>
                <w:sz w:val="28"/>
                <w:szCs w:val="28"/>
              </w:rPr>
            </w:pPr>
            <w:r w:rsidRPr="00391927">
              <w:rPr>
                <w:rFonts w:ascii="Traditional Arabic" w:hAnsi="Traditional Arabic"/>
                <w:sz w:val="28"/>
                <w:szCs w:val="28"/>
              </w:rPr>
              <w:t>-</w:t>
            </w:r>
          </w:p>
        </w:tc>
        <w:tc>
          <w:tcPr>
            <w:tcW w:w="797" w:type="dxa"/>
            <w:tcBorders>
              <w:top w:val="single" w:sz="12" w:space="0" w:color="auto"/>
            </w:tcBorders>
            <w:vAlign w:val="bottom"/>
          </w:tcPr>
          <w:p w:rsidR="00954DFA" w:rsidRPr="00391927" w:rsidRDefault="00954DFA" w:rsidP="00391927">
            <w:pPr>
              <w:spacing w:before="40" w:after="40" w:line="300" w:lineRule="exact"/>
              <w:ind w:left="57" w:right="57"/>
              <w:rPr>
                <w:rFonts w:ascii="Traditional Arabic" w:hAnsi="Traditional Arabic"/>
                <w:sz w:val="28"/>
                <w:szCs w:val="28"/>
              </w:rPr>
            </w:pPr>
            <w:r w:rsidRPr="00391927">
              <w:rPr>
                <w:rFonts w:ascii="Traditional Arabic" w:hAnsi="Traditional Arabic"/>
                <w:sz w:val="28"/>
                <w:szCs w:val="28"/>
              </w:rPr>
              <w:t>-</w:t>
            </w:r>
          </w:p>
        </w:tc>
        <w:tc>
          <w:tcPr>
            <w:tcW w:w="868" w:type="dxa"/>
            <w:tcBorders>
              <w:top w:val="single" w:sz="12" w:space="0" w:color="auto"/>
            </w:tcBorders>
            <w:vAlign w:val="bottom"/>
          </w:tcPr>
          <w:p w:rsidR="00954DFA" w:rsidRPr="00391927" w:rsidRDefault="00954DFA" w:rsidP="00391927">
            <w:pPr>
              <w:spacing w:before="40" w:after="40" w:line="300" w:lineRule="exact"/>
              <w:ind w:left="57" w:right="57"/>
              <w:rPr>
                <w:rFonts w:ascii="Traditional Arabic" w:hAnsi="Traditional Arabic"/>
                <w:sz w:val="28"/>
                <w:szCs w:val="28"/>
              </w:rPr>
            </w:pPr>
            <w:r w:rsidRPr="00391927">
              <w:rPr>
                <w:rFonts w:ascii="Traditional Arabic" w:hAnsi="Traditional Arabic"/>
                <w:sz w:val="28"/>
                <w:szCs w:val="28"/>
              </w:rPr>
              <w:t>-</w:t>
            </w:r>
          </w:p>
        </w:tc>
        <w:tc>
          <w:tcPr>
            <w:tcW w:w="672" w:type="dxa"/>
            <w:tcBorders>
              <w:top w:val="single" w:sz="12" w:space="0" w:color="auto"/>
            </w:tcBorders>
            <w:vAlign w:val="bottom"/>
          </w:tcPr>
          <w:p w:rsidR="00954DFA" w:rsidRPr="00391927" w:rsidRDefault="00954DFA" w:rsidP="00391927">
            <w:pPr>
              <w:spacing w:before="40" w:after="40" w:line="300" w:lineRule="exact"/>
              <w:ind w:left="57" w:right="57"/>
              <w:rPr>
                <w:rFonts w:ascii="Traditional Arabic" w:hAnsi="Traditional Arabic"/>
                <w:sz w:val="28"/>
                <w:szCs w:val="28"/>
              </w:rPr>
            </w:pPr>
            <w:r w:rsidRPr="00391927">
              <w:rPr>
                <w:rFonts w:ascii="Traditional Arabic" w:hAnsi="Traditional Arabic"/>
                <w:sz w:val="28"/>
                <w:szCs w:val="28"/>
              </w:rPr>
              <w:t>-</w:t>
            </w:r>
          </w:p>
        </w:tc>
        <w:tc>
          <w:tcPr>
            <w:tcW w:w="864" w:type="dxa"/>
            <w:tcBorders>
              <w:top w:val="single" w:sz="12" w:space="0" w:color="auto"/>
            </w:tcBorders>
            <w:vAlign w:val="bottom"/>
          </w:tcPr>
          <w:p w:rsidR="00954DFA" w:rsidRPr="00391927" w:rsidRDefault="00954DFA" w:rsidP="00391927">
            <w:pPr>
              <w:spacing w:before="40" w:after="40" w:line="300" w:lineRule="exact"/>
              <w:ind w:left="57" w:right="57"/>
              <w:rPr>
                <w:rFonts w:ascii="Traditional Arabic" w:hAnsi="Traditional Arabic"/>
                <w:sz w:val="28"/>
                <w:szCs w:val="28"/>
              </w:rPr>
            </w:pPr>
            <w:r w:rsidRPr="00391927">
              <w:rPr>
                <w:rFonts w:ascii="Traditional Arabic" w:hAnsi="Traditional Arabic"/>
                <w:sz w:val="28"/>
                <w:szCs w:val="28"/>
                <w:rtl/>
              </w:rPr>
              <w:t>5</w:t>
            </w:r>
          </w:p>
        </w:tc>
        <w:tc>
          <w:tcPr>
            <w:tcW w:w="709" w:type="dxa"/>
            <w:tcBorders>
              <w:top w:val="single" w:sz="12" w:space="0" w:color="auto"/>
            </w:tcBorders>
            <w:shd w:val="clear" w:color="auto" w:fill="auto"/>
            <w:vAlign w:val="bottom"/>
          </w:tcPr>
          <w:p w:rsidR="00954DFA" w:rsidRPr="00391927" w:rsidRDefault="00954DFA" w:rsidP="00391927">
            <w:pPr>
              <w:spacing w:before="40" w:after="40" w:line="300" w:lineRule="exact"/>
              <w:ind w:left="57" w:right="57"/>
              <w:rPr>
                <w:rFonts w:ascii="Traditional Arabic" w:hAnsi="Traditional Arabic"/>
                <w:sz w:val="28"/>
                <w:szCs w:val="28"/>
              </w:rPr>
            </w:pPr>
            <w:r w:rsidRPr="00391927">
              <w:rPr>
                <w:rFonts w:ascii="Traditional Arabic" w:hAnsi="Traditional Arabic"/>
                <w:sz w:val="28"/>
                <w:szCs w:val="28"/>
                <w:rtl/>
              </w:rPr>
              <w:t>-</w:t>
            </w:r>
          </w:p>
        </w:tc>
        <w:tc>
          <w:tcPr>
            <w:tcW w:w="703" w:type="dxa"/>
            <w:tcBorders>
              <w:top w:val="single" w:sz="12" w:space="0" w:color="auto"/>
            </w:tcBorders>
            <w:shd w:val="clear" w:color="auto" w:fill="auto"/>
            <w:vAlign w:val="bottom"/>
          </w:tcPr>
          <w:p w:rsidR="00954DFA" w:rsidRPr="00391927" w:rsidRDefault="00954DFA" w:rsidP="00391927">
            <w:pPr>
              <w:spacing w:before="40" w:after="40" w:line="300" w:lineRule="exact"/>
              <w:ind w:left="57" w:right="57"/>
              <w:rPr>
                <w:bCs/>
                <w:sz w:val="28"/>
                <w:szCs w:val="28"/>
              </w:rPr>
            </w:pPr>
            <w:r w:rsidRPr="00391927">
              <w:rPr>
                <w:rFonts w:hint="cs"/>
                <w:bCs/>
                <w:sz w:val="28"/>
                <w:szCs w:val="28"/>
                <w:rtl/>
              </w:rPr>
              <w:t>5</w:t>
            </w:r>
          </w:p>
        </w:tc>
      </w:tr>
      <w:tr w:rsidR="00954DFA" w:rsidRPr="00391927" w:rsidTr="00391927">
        <w:trPr>
          <w:trHeight w:val="240"/>
        </w:trPr>
        <w:tc>
          <w:tcPr>
            <w:tcW w:w="1069" w:type="dxa"/>
            <w:shd w:val="clear" w:color="auto" w:fill="auto"/>
          </w:tcPr>
          <w:p w:rsidR="00954DFA" w:rsidRPr="00391927" w:rsidRDefault="00954DFA" w:rsidP="00391927">
            <w:pPr>
              <w:spacing w:before="40" w:after="40" w:line="300" w:lineRule="exact"/>
              <w:ind w:left="57" w:right="57"/>
              <w:rPr>
                <w:sz w:val="28"/>
                <w:szCs w:val="28"/>
              </w:rPr>
            </w:pPr>
            <w:r w:rsidRPr="00391927">
              <w:rPr>
                <w:rFonts w:hint="cs"/>
                <w:sz w:val="28"/>
                <w:szCs w:val="28"/>
                <w:rtl/>
              </w:rPr>
              <w:t>2013</w:t>
            </w:r>
          </w:p>
        </w:tc>
        <w:tc>
          <w:tcPr>
            <w:tcW w:w="966" w:type="dxa"/>
            <w:shd w:val="clear" w:color="auto" w:fill="auto"/>
            <w:vAlign w:val="bottom"/>
          </w:tcPr>
          <w:p w:rsidR="00954DFA" w:rsidRPr="00391927" w:rsidRDefault="00954DFA" w:rsidP="00391927">
            <w:pPr>
              <w:spacing w:before="40" w:after="40" w:line="300" w:lineRule="exact"/>
              <w:ind w:left="57" w:right="57"/>
              <w:rPr>
                <w:rFonts w:ascii="Traditional Arabic" w:hAnsi="Traditional Arabic"/>
                <w:sz w:val="28"/>
                <w:szCs w:val="28"/>
              </w:rPr>
            </w:pPr>
            <w:r w:rsidRPr="00391927">
              <w:rPr>
                <w:rFonts w:ascii="Traditional Arabic" w:hAnsi="Traditional Arabic"/>
                <w:sz w:val="28"/>
                <w:szCs w:val="28"/>
              </w:rPr>
              <w:t>-</w:t>
            </w:r>
          </w:p>
        </w:tc>
        <w:tc>
          <w:tcPr>
            <w:tcW w:w="714" w:type="dxa"/>
            <w:shd w:val="clear" w:color="auto" w:fill="auto"/>
            <w:vAlign w:val="bottom"/>
          </w:tcPr>
          <w:p w:rsidR="00954DFA" w:rsidRPr="00391927" w:rsidRDefault="00954DFA" w:rsidP="00391927">
            <w:pPr>
              <w:spacing w:before="40" w:after="40" w:line="300" w:lineRule="exact"/>
              <w:ind w:left="57" w:right="57"/>
              <w:rPr>
                <w:rFonts w:ascii="Traditional Arabic" w:hAnsi="Traditional Arabic"/>
                <w:sz w:val="28"/>
                <w:szCs w:val="28"/>
              </w:rPr>
            </w:pPr>
            <w:r w:rsidRPr="00391927">
              <w:rPr>
                <w:rFonts w:ascii="Traditional Arabic" w:hAnsi="Traditional Arabic"/>
                <w:sz w:val="28"/>
                <w:szCs w:val="28"/>
              </w:rPr>
              <w:t>-</w:t>
            </w:r>
          </w:p>
        </w:tc>
        <w:tc>
          <w:tcPr>
            <w:tcW w:w="797" w:type="dxa"/>
            <w:vAlign w:val="bottom"/>
          </w:tcPr>
          <w:p w:rsidR="00954DFA" w:rsidRPr="00391927" w:rsidRDefault="00954DFA" w:rsidP="00391927">
            <w:pPr>
              <w:spacing w:before="40" w:after="40" w:line="300" w:lineRule="exact"/>
              <w:ind w:left="57" w:right="57"/>
              <w:rPr>
                <w:rFonts w:ascii="Traditional Arabic" w:hAnsi="Traditional Arabic"/>
                <w:sz w:val="28"/>
                <w:szCs w:val="28"/>
              </w:rPr>
            </w:pPr>
            <w:r w:rsidRPr="00391927">
              <w:rPr>
                <w:rFonts w:ascii="Traditional Arabic" w:hAnsi="Traditional Arabic"/>
                <w:sz w:val="28"/>
                <w:szCs w:val="28"/>
                <w:rtl/>
              </w:rPr>
              <w:t>-</w:t>
            </w:r>
          </w:p>
        </w:tc>
        <w:tc>
          <w:tcPr>
            <w:tcW w:w="868" w:type="dxa"/>
            <w:vAlign w:val="bottom"/>
          </w:tcPr>
          <w:p w:rsidR="00954DFA" w:rsidRPr="00391927" w:rsidRDefault="00954DFA" w:rsidP="00391927">
            <w:pPr>
              <w:spacing w:before="40" w:after="40" w:line="300" w:lineRule="exact"/>
              <w:ind w:left="57" w:right="57"/>
              <w:rPr>
                <w:rFonts w:ascii="Traditional Arabic" w:hAnsi="Traditional Arabic"/>
                <w:sz w:val="28"/>
                <w:szCs w:val="28"/>
              </w:rPr>
            </w:pPr>
            <w:r w:rsidRPr="00391927">
              <w:rPr>
                <w:rFonts w:ascii="Traditional Arabic" w:hAnsi="Traditional Arabic"/>
                <w:sz w:val="28"/>
                <w:szCs w:val="28"/>
                <w:rtl/>
              </w:rPr>
              <w:t>1</w:t>
            </w:r>
          </w:p>
        </w:tc>
        <w:tc>
          <w:tcPr>
            <w:tcW w:w="672" w:type="dxa"/>
            <w:vAlign w:val="bottom"/>
          </w:tcPr>
          <w:p w:rsidR="00954DFA" w:rsidRPr="00391927" w:rsidRDefault="00954DFA" w:rsidP="00391927">
            <w:pPr>
              <w:spacing w:before="40" w:after="40" w:line="300" w:lineRule="exact"/>
              <w:ind w:left="57" w:right="57"/>
              <w:rPr>
                <w:rFonts w:ascii="Traditional Arabic" w:hAnsi="Traditional Arabic"/>
                <w:sz w:val="28"/>
                <w:szCs w:val="28"/>
              </w:rPr>
            </w:pPr>
            <w:r w:rsidRPr="00391927">
              <w:rPr>
                <w:rFonts w:ascii="Traditional Arabic" w:hAnsi="Traditional Arabic"/>
                <w:sz w:val="28"/>
                <w:szCs w:val="28"/>
              </w:rPr>
              <w:t>-</w:t>
            </w:r>
          </w:p>
        </w:tc>
        <w:tc>
          <w:tcPr>
            <w:tcW w:w="864" w:type="dxa"/>
            <w:vAlign w:val="bottom"/>
          </w:tcPr>
          <w:p w:rsidR="00954DFA" w:rsidRPr="00391927" w:rsidRDefault="00954DFA" w:rsidP="00391927">
            <w:pPr>
              <w:spacing w:before="40" w:after="40" w:line="300" w:lineRule="exact"/>
              <w:ind w:left="57" w:right="57"/>
              <w:rPr>
                <w:rFonts w:ascii="Traditional Arabic" w:hAnsi="Traditional Arabic"/>
                <w:sz w:val="28"/>
                <w:szCs w:val="28"/>
              </w:rPr>
            </w:pPr>
            <w:r w:rsidRPr="00391927">
              <w:rPr>
                <w:rFonts w:ascii="Traditional Arabic" w:hAnsi="Traditional Arabic"/>
                <w:sz w:val="28"/>
                <w:szCs w:val="28"/>
                <w:rtl/>
              </w:rPr>
              <w:t>5</w:t>
            </w:r>
            <w:r w:rsidR="00391927" w:rsidRPr="00391927">
              <w:rPr>
                <w:rFonts w:ascii="Traditional Arabic" w:hAnsi="Traditional Arabic" w:hint="cs"/>
                <w:sz w:val="28"/>
                <w:szCs w:val="28"/>
                <w:vertAlign w:val="superscript"/>
                <w:rtl/>
              </w:rPr>
              <w:t>(</w:t>
            </w:r>
            <w:r w:rsidRPr="00391927">
              <w:rPr>
                <w:rFonts w:ascii="Traditional Arabic" w:hAnsi="Traditional Arabic"/>
                <w:sz w:val="28"/>
                <w:szCs w:val="28"/>
                <w:vertAlign w:val="superscript"/>
                <w:rtl/>
              </w:rPr>
              <w:t>أ</w:t>
            </w:r>
            <w:r w:rsidR="00391927" w:rsidRPr="00391927">
              <w:rPr>
                <w:rFonts w:ascii="Traditional Arabic" w:hAnsi="Traditional Arabic" w:hint="cs"/>
                <w:sz w:val="28"/>
                <w:szCs w:val="28"/>
                <w:vertAlign w:val="superscript"/>
                <w:rtl/>
              </w:rPr>
              <w:t>)</w:t>
            </w:r>
          </w:p>
        </w:tc>
        <w:tc>
          <w:tcPr>
            <w:tcW w:w="709" w:type="dxa"/>
            <w:shd w:val="clear" w:color="auto" w:fill="auto"/>
            <w:vAlign w:val="bottom"/>
          </w:tcPr>
          <w:p w:rsidR="00954DFA" w:rsidRPr="00391927" w:rsidRDefault="00954DFA" w:rsidP="00391927">
            <w:pPr>
              <w:spacing w:before="40" w:after="40" w:line="300" w:lineRule="exact"/>
              <w:ind w:left="57" w:right="57"/>
              <w:rPr>
                <w:rFonts w:ascii="Traditional Arabic" w:hAnsi="Traditional Arabic"/>
                <w:sz w:val="28"/>
                <w:szCs w:val="28"/>
              </w:rPr>
            </w:pPr>
            <w:r w:rsidRPr="00391927">
              <w:rPr>
                <w:rFonts w:ascii="Traditional Arabic" w:hAnsi="Traditional Arabic"/>
                <w:sz w:val="28"/>
                <w:szCs w:val="28"/>
                <w:rtl/>
              </w:rPr>
              <w:t>-</w:t>
            </w:r>
          </w:p>
        </w:tc>
        <w:tc>
          <w:tcPr>
            <w:tcW w:w="703" w:type="dxa"/>
            <w:shd w:val="clear" w:color="auto" w:fill="auto"/>
            <w:vAlign w:val="bottom"/>
          </w:tcPr>
          <w:p w:rsidR="00954DFA" w:rsidRPr="00391927" w:rsidRDefault="00954DFA" w:rsidP="00391927">
            <w:pPr>
              <w:spacing w:before="40" w:after="40" w:line="300" w:lineRule="exact"/>
              <w:ind w:left="57" w:right="57"/>
              <w:rPr>
                <w:bCs/>
                <w:sz w:val="28"/>
                <w:szCs w:val="28"/>
              </w:rPr>
            </w:pPr>
            <w:r w:rsidRPr="00391927">
              <w:rPr>
                <w:rFonts w:hint="cs"/>
                <w:bCs/>
                <w:sz w:val="28"/>
                <w:szCs w:val="28"/>
                <w:rtl/>
              </w:rPr>
              <w:t>6</w:t>
            </w:r>
          </w:p>
        </w:tc>
      </w:tr>
      <w:tr w:rsidR="00954DFA" w:rsidRPr="00391927" w:rsidTr="00391927">
        <w:trPr>
          <w:trHeight w:val="240"/>
        </w:trPr>
        <w:tc>
          <w:tcPr>
            <w:tcW w:w="1069" w:type="dxa"/>
            <w:shd w:val="clear" w:color="auto" w:fill="auto"/>
          </w:tcPr>
          <w:p w:rsidR="00954DFA" w:rsidRPr="00391927" w:rsidRDefault="00954DFA" w:rsidP="00391927">
            <w:pPr>
              <w:spacing w:before="40" w:after="40" w:line="300" w:lineRule="exact"/>
              <w:ind w:left="57" w:right="57"/>
              <w:rPr>
                <w:sz w:val="28"/>
                <w:szCs w:val="28"/>
              </w:rPr>
            </w:pPr>
            <w:r w:rsidRPr="00391927">
              <w:rPr>
                <w:rFonts w:hint="cs"/>
                <w:sz w:val="28"/>
                <w:szCs w:val="28"/>
                <w:rtl/>
              </w:rPr>
              <w:t>2014</w:t>
            </w:r>
          </w:p>
        </w:tc>
        <w:tc>
          <w:tcPr>
            <w:tcW w:w="966" w:type="dxa"/>
            <w:shd w:val="clear" w:color="auto" w:fill="auto"/>
            <w:vAlign w:val="bottom"/>
          </w:tcPr>
          <w:p w:rsidR="00954DFA" w:rsidRPr="00391927" w:rsidRDefault="00954DFA" w:rsidP="00391927">
            <w:pPr>
              <w:spacing w:before="40" w:after="40" w:line="300" w:lineRule="exact"/>
              <w:ind w:left="57" w:right="57"/>
              <w:rPr>
                <w:rFonts w:ascii="Traditional Arabic" w:hAnsi="Traditional Arabic"/>
                <w:sz w:val="28"/>
                <w:szCs w:val="28"/>
              </w:rPr>
            </w:pPr>
            <w:r w:rsidRPr="00391927">
              <w:rPr>
                <w:rFonts w:ascii="Traditional Arabic" w:hAnsi="Traditional Arabic"/>
                <w:sz w:val="28"/>
                <w:szCs w:val="28"/>
              </w:rPr>
              <w:t>-</w:t>
            </w:r>
          </w:p>
        </w:tc>
        <w:tc>
          <w:tcPr>
            <w:tcW w:w="714" w:type="dxa"/>
            <w:shd w:val="clear" w:color="auto" w:fill="auto"/>
            <w:vAlign w:val="bottom"/>
          </w:tcPr>
          <w:p w:rsidR="00954DFA" w:rsidRPr="00391927" w:rsidRDefault="00954DFA" w:rsidP="00391927">
            <w:pPr>
              <w:spacing w:before="40" w:after="40" w:line="300" w:lineRule="exact"/>
              <w:ind w:left="57" w:right="57"/>
              <w:rPr>
                <w:rFonts w:ascii="Traditional Arabic" w:hAnsi="Traditional Arabic"/>
                <w:sz w:val="28"/>
                <w:szCs w:val="28"/>
              </w:rPr>
            </w:pPr>
            <w:r w:rsidRPr="00391927">
              <w:rPr>
                <w:rFonts w:ascii="Traditional Arabic" w:hAnsi="Traditional Arabic"/>
                <w:sz w:val="28"/>
                <w:szCs w:val="28"/>
                <w:rtl/>
              </w:rPr>
              <w:t>1</w:t>
            </w:r>
          </w:p>
        </w:tc>
        <w:tc>
          <w:tcPr>
            <w:tcW w:w="797" w:type="dxa"/>
            <w:vAlign w:val="bottom"/>
          </w:tcPr>
          <w:p w:rsidR="00954DFA" w:rsidRPr="00391927" w:rsidRDefault="00954DFA" w:rsidP="00391927">
            <w:pPr>
              <w:spacing w:before="40" w:after="40" w:line="300" w:lineRule="exact"/>
              <w:ind w:left="57" w:right="57"/>
              <w:rPr>
                <w:rFonts w:ascii="Traditional Arabic" w:hAnsi="Traditional Arabic"/>
                <w:sz w:val="28"/>
                <w:szCs w:val="28"/>
              </w:rPr>
            </w:pPr>
            <w:r w:rsidRPr="00391927">
              <w:rPr>
                <w:rFonts w:ascii="Traditional Arabic" w:hAnsi="Traditional Arabic"/>
                <w:sz w:val="28"/>
                <w:szCs w:val="28"/>
                <w:rtl/>
              </w:rPr>
              <w:t>1</w:t>
            </w:r>
          </w:p>
        </w:tc>
        <w:tc>
          <w:tcPr>
            <w:tcW w:w="868" w:type="dxa"/>
            <w:vAlign w:val="bottom"/>
          </w:tcPr>
          <w:p w:rsidR="00954DFA" w:rsidRPr="00391927" w:rsidRDefault="00954DFA" w:rsidP="00391927">
            <w:pPr>
              <w:spacing w:before="40" w:after="40" w:line="300" w:lineRule="exact"/>
              <w:ind w:left="57" w:right="57"/>
              <w:rPr>
                <w:rFonts w:ascii="Traditional Arabic" w:hAnsi="Traditional Arabic"/>
                <w:sz w:val="28"/>
                <w:szCs w:val="28"/>
              </w:rPr>
            </w:pPr>
            <w:r w:rsidRPr="00391927">
              <w:rPr>
                <w:rFonts w:ascii="Traditional Arabic" w:hAnsi="Traditional Arabic"/>
                <w:sz w:val="28"/>
                <w:szCs w:val="28"/>
                <w:rtl/>
              </w:rPr>
              <w:t>1</w:t>
            </w:r>
          </w:p>
        </w:tc>
        <w:tc>
          <w:tcPr>
            <w:tcW w:w="672" w:type="dxa"/>
            <w:vAlign w:val="bottom"/>
          </w:tcPr>
          <w:p w:rsidR="00954DFA" w:rsidRPr="00391927" w:rsidRDefault="00954DFA" w:rsidP="00391927">
            <w:pPr>
              <w:spacing w:before="40" w:after="40" w:line="300" w:lineRule="exact"/>
              <w:ind w:left="57" w:right="57"/>
              <w:rPr>
                <w:rFonts w:ascii="Traditional Arabic" w:hAnsi="Traditional Arabic"/>
                <w:sz w:val="28"/>
                <w:szCs w:val="28"/>
              </w:rPr>
            </w:pPr>
            <w:r w:rsidRPr="00391927">
              <w:rPr>
                <w:rFonts w:ascii="Traditional Arabic" w:hAnsi="Traditional Arabic"/>
                <w:sz w:val="28"/>
                <w:szCs w:val="28"/>
                <w:rtl/>
              </w:rPr>
              <w:t>5</w:t>
            </w:r>
          </w:p>
        </w:tc>
        <w:tc>
          <w:tcPr>
            <w:tcW w:w="864" w:type="dxa"/>
            <w:vAlign w:val="bottom"/>
          </w:tcPr>
          <w:p w:rsidR="00954DFA" w:rsidRPr="00391927" w:rsidRDefault="00954DFA" w:rsidP="00391927">
            <w:pPr>
              <w:spacing w:before="40" w:after="40" w:line="300" w:lineRule="exact"/>
              <w:ind w:left="57" w:right="57"/>
              <w:rPr>
                <w:rFonts w:ascii="Traditional Arabic" w:hAnsi="Traditional Arabic"/>
                <w:sz w:val="28"/>
                <w:szCs w:val="28"/>
              </w:rPr>
            </w:pPr>
            <w:r w:rsidRPr="00391927">
              <w:rPr>
                <w:rFonts w:ascii="Traditional Arabic" w:hAnsi="Traditional Arabic"/>
                <w:sz w:val="28"/>
                <w:szCs w:val="28"/>
                <w:rtl/>
              </w:rPr>
              <w:t>43</w:t>
            </w:r>
          </w:p>
        </w:tc>
        <w:tc>
          <w:tcPr>
            <w:tcW w:w="709" w:type="dxa"/>
            <w:shd w:val="clear" w:color="auto" w:fill="auto"/>
            <w:vAlign w:val="bottom"/>
          </w:tcPr>
          <w:p w:rsidR="00954DFA" w:rsidRPr="00391927" w:rsidRDefault="00954DFA" w:rsidP="00391927">
            <w:pPr>
              <w:spacing w:before="40" w:after="40" w:line="300" w:lineRule="exact"/>
              <w:ind w:left="57" w:right="57"/>
              <w:rPr>
                <w:rFonts w:ascii="Traditional Arabic" w:hAnsi="Traditional Arabic"/>
                <w:sz w:val="28"/>
                <w:szCs w:val="28"/>
              </w:rPr>
            </w:pPr>
            <w:r w:rsidRPr="00391927">
              <w:rPr>
                <w:rFonts w:ascii="Traditional Arabic" w:hAnsi="Traditional Arabic"/>
                <w:sz w:val="28"/>
                <w:szCs w:val="28"/>
                <w:rtl/>
              </w:rPr>
              <w:t>-</w:t>
            </w:r>
          </w:p>
        </w:tc>
        <w:tc>
          <w:tcPr>
            <w:tcW w:w="703" w:type="dxa"/>
            <w:shd w:val="clear" w:color="auto" w:fill="auto"/>
            <w:vAlign w:val="bottom"/>
          </w:tcPr>
          <w:p w:rsidR="00954DFA" w:rsidRPr="00391927" w:rsidRDefault="00954DFA" w:rsidP="00391927">
            <w:pPr>
              <w:spacing w:before="40" w:after="40" w:line="300" w:lineRule="exact"/>
              <w:ind w:left="57" w:right="57"/>
              <w:rPr>
                <w:bCs/>
                <w:sz w:val="28"/>
                <w:szCs w:val="28"/>
              </w:rPr>
            </w:pPr>
            <w:r w:rsidRPr="00391927">
              <w:rPr>
                <w:rFonts w:hint="cs"/>
                <w:bCs/>
                <w:sz w:val="28"/>
                <w:szCs w:val="28"/>
                <w:rtl/>
              </w:rPr>
              <w:t>51</w:t>
            </w:r>
          </w:p>
        </w:tc>
      </w:tr>
      <w:tr w:rsidR="00954DFA" w:rsidRPr="00391927" w:rsidTr="00391927">
        <w:trPr>
          <w:trHeight w:val="240"/>
        </w:trPr>
        <w:tc>
          <w:tcPr>
            <w:tcW w:w="1069" w:type="dxa"/>
            <w:shd w:val="clear" w:color="auto" w:fill="auto"/>
          </w:tcPr>
          <w:p w:rsidR="00954DFA" w:rsidRPr="00391927" w:rsidRDefault="00954DFA" w:rsidP="00391927">
            <w:pPr>
              <w:spacing w:before="40" w:after="40" w:line="300" w:lineRule="exact"/>
              <w:ind w:left="57" w:right="57"/>
              <w:rPr>
                <w:sz w:val="28"/>
                <w:szCs w:val="28"/>
              </w:rPr>
            </w:pPr>
            <w:r w:rsidRPr="00391927">
              <w:rPr>
                <w:rFonts w:hint="cs"/>
                <w:sz w:val="28"/>
                <w:szCs w:val="28"/>
                <w:rtl/>
              </w:rPr>
              <w:t>2015</w:t>
            </w:r>
          </w:p>
        </w:tc>
        <w:tc>
          <w:tcPr>
            <w:tcW w:w="966" w:type="dxa"/>
            <w:shd w:val="clear" w:color="auto" w:fill="auto"/>
            <w:vAlign w:val="bottom"/>
          </w:tcPr>
          <w:p w:rsidR="00954DFA" w:rsidRPr="00391927" w:rsidRDefault="00954DFA" w:rsidP="00391927">
            <w:pPr>
              <w:spacing w:before="40" w:after="40" w:line="300" w:lineRule="exact"/>
              <w:ind w:left="57" w:right="57"/>
              <w:rPr>
                <w:rFonts w:ascii="Traditional Arabic" w:hAnsi="Traditional Arabic"/>
                <w:sz w:val="28"/>
                <w:szCs w:val="28"/>
              </w:rPr>
            </w:pPr>
            <w:r w:rsidRPr="00391927">
              <w:rPr>
                <w:rFonts w:ascii="Traditional Arabic" w:hAnsi="Traditional Arabic"/>
                <w:sz w:val="28"/>
                <w:szCs w:val="28"/>
              </w:rPr>
              <w:t>-</w:t>
            </w:r>
          </w:p>
        </w:tc>
        <w:tc>
          <w:tcPr>
            <w:tcW w:w="714" w:type="dxa"/>
            <w:shd w:val="clear" w:color="auto" w:fill="auto"/>
            <w:vAlign w:val="bottom"/>
          </w:tcPr>
          <w:p w:rsidR="00954DFA" w:rsidRPr="00391927" w:rsidRDefault="00954DFA" w:rsidP="00391927">
            <w:pPr>
              <w:spacing w:before="40" w:after="40" w:line="300" w:lineRule="exact"/>
              <w:ind w:left="57" w:right="57"/>
              <w:rPr>
                <w:rFonts w:ascii="Traditional Arabic" w:hAnsi="Traditional Arabic"/>
                <w:sz w:val="28"/>
                <w:szCs w:val="28"/>
              </w:rPr>
            </w:pPr>
            <w:r w:rsidRPr="00391927">
              <w:rPr>
                <w:rFonts w:ascii="Traditional Arabic" w:hAnsi="Traditional Arabic"/>
                <w:sz w:val="28"/>
                <w:szCs w:val="28"/>
              </w:rPr>
              <w:t>-</w:t>
            </w:r>
          </w:p>
        </w:tc>
        <w:tc>
          <w:tcPr>
            <w:tcW w:w="797" w:type="dxa"/>
            <w:vAlign w:val="bottom"/>
          </w:tcPr>
          <w:p w:rsidR="00954DFA" w:rsidRPr="00391927" w:rsidRDefault="00954DFA" w:rsidP="00391927">
            <w:pPr>
              <w:spacing w:before="40" w:after="40" w:line="300" w:lineRule="exact"/>
              <w:ind w:left="57" w:right="57"/>
              <w:rPr>
                <w:rFonts w:ascii="Traditional Arabic" w:hAnsi="Traditional Arabic"/>
                <w:sz w:val="28"/>
                <w:szCs w:val="28"/>
              </w:rPr>
            </w:pPr>
            <w:r w:rsidRPr="00391927">
              <w:rPr>
                <w:rFonts w:ascii="Traditional Arabic" w:hAnsi="Traditional Arabic"/>
                <w:sz w:val="28"/>
                <w:szCs w:val="28"/>
                <w:rtl/>
              </w:rPr>
              <w:t>-</w:t>
            </w:r>
          </w:p>
        </w:tc>
        <w:tc>
          <w:tcPr>
            <w:tcW w:w="868" w:type="dxa"/>
            <w:vAlign w:val="bottom"/>
          </w:tcPr>
          <w:p w:rsidR="00954DFA" w:rsidRPr="00391927" w:rsidRDefault="00954DFA" w:rsidP="00391927">
            <w:pPr>
              <w:spacing w:before="40" w:after="40" w:line="300" w:lineRule="exact"/>
              <w:ind w:left="57" w:right="57"/>
              <w:rPr>
                <w:rFonts w:ascii="Traditional Arabic" w:hAnsi="Traditional Arabic"/>
                <w:sz w:val="28"/>
                <w:szCs w:val="28"/>
              </w:rPr>
            </w:pPr>
            <w:r w:rsidRPr="00391927">
              <w:rPr>
                <w:rFonts w:ascii="Traditional Arabic" w:hAnsi="Traditional Arabic"/>
                <w:sz w:val="28"/>
                <w:szCs w:val="28"/>
                <w:rtl/>
              </w:rPr>
              <w:t>3</w:t>
            </w:r>
          </w:p>
        </w:tc>
        <w:tc>
          <w:tcPr>
            <w:tcW w:w="672" w:type="dxa"/>
            <w:vAlign w:val="bottom"/>
          </w:tcPr>
          <w:p w:rsidR="00954DFA" w:rsidRPr="00391927" w:rsidRDefault="00954DFA" w:rsidP="00391927">
            <w:pPr>
              <w:spacing w:before="40" w:after="40" w:line="300" w:lineRule="exact"/>
              <w:ind w:left="57" w:right="57"/>
              <w:rPr>
                <w:rFonts w:ascii="Traditional Arabic" w:hAnsi="Traditional Arabic"/>
                <w:sz w:val="28"/>
                <w:szCs w:val="28"/>
              </w:rPr>
            </w:pPr>
            <w:r w:rsidRPr="00391927">
              <w:rPr>
                <w:rFonts w:ascii="Traditional Arabic" w:hAnsi="Traditional Arabic"/>
                <w:sz w:val="28"/>
                <w:szCs w:val="28"/>
                <w:rtl/>
              </w:rPr>
              <w:t>42</w:t>
            </w:r>
          </w:p>
        </w:tc>
        <w:tc>
          <w:tcPr>
            <w:tcW w:w="864" w:type="dxa"/>
            <w:vAlign w:val="bottom"/>
          </w:tcPr>
          <w:p w:rsidR="00954DFA" w:rsidRPr="00391927" w:rsidRDefault="00954DFA" w:rsidP="00391927">
            <w:pPr>
              <w:spacing w:before="40" w:after="40" w:line="300" w:lineRule="exact"/>
              <w:ind w:left="57" w:right="57"/>
              <w:rPr>
                <w:rFonts w:ascii="Traditional Arabic" w:hAnsi="Traditional Arabic"/>
                <w:sz w:val="28"/>
                <w:szCs w:val="28"/>
              </w:rPr>
            </w:pPr>
            <w:r w:rsidRPr="00391927">
              <w:rPr>
                <w:rFonts w:ascii="Traditional Arabic" w:hAnsi="Traditional Arabic"/>
                <w:sz w:val="28"/>
                <w:szCs w:val="28"/>
                <w:rtl/>
              </w:rPr>
              <w:t>166</w:t>
            </w:r>
          </w:p>
        </w:tc>
        <w:tc>
          <w:tcPr>
            <w:tcW w:w="709" w:type="dxa"/>
            <w:shd w:val="clear" w:color="auto" w:fill="auto"/>
            <w:vAlign w:val="bottom"/>
          </w:tcPr>
          <w:p w:rsidR="00954DFA" w:rsidRPr="00391927" w:rsidRDefault="00954DFA" w:rsidP="00391927">
            <w:pPr>
              <w:spacing w:before="40" w:after="40" w:line="300" w:lineRule="exact"/>
              <w:ind w:left="57" w:right="57"/>
              <w:rPr>
                <w:rFonts w:ascii="Traditional Arabic" w:hAnsi="Traditional Arabic"/>
                <w:sz w:val="28"/>
                <w:szCs w:val="28"/>
              </w:rPr>
            </w:pPr>
            <w:r w:rsidRPr="00391927">
              <w:rPr>
                <w:rFonts w:ascii="Traditional Arabic" w:hAnsi="Traditional Arabic"/>
                <w:sz w:val="28"/>
                <w:szCs w:val="28"/>
                <w:rtl/>
              </w:rPr>
              <w:t>-</w:t>
            </w:r>
          </w:p>
        </w:tc>
        <w:tc>
          <w:tcPr>
            <w:tcW w:w="703" w:type="dxa"/>
            <w:shd w:val="clear" w:color="auto" w:fill="auto"/>
            <w:vAlign w:val="bottom"/>
          </w:tcPr>
          <w:p w:rsidR="00954DFA" w:rsidRPr="00391927" w:rsidRDefault="00954DFA" w:rsidP="00391927">
            <w:pPr>
              <w:spacing w:before="40" w:after="40" w:line="300" w:lineRule="exact"/>
              <w:ind w:left="57" w:right="57"/>
              <w:rPr>
                <w:bCs/>
                <w:sz w:val="28"/>
                <w:szCs w:val="28"/>
              </w:rPr>
            </w:pPr>
            <w:r w:rsidRPr="00391927">
              <w:rPr>
                <w:rFonts w:hint="cs"/>
                <w:bCs/>
                <w:sz w:val="28"/>
                <w:szCs w:val="28"/>
                <w:rtl/>
              </w:rPr>
              <w:t>211</w:t>
            </w:r>
          </w:p>
        </w:tc>
      </w:tr>
      <w:tr w:rsidR="00954DFA" w:rsidRPr="00391927" w:rsidTr="00391927">
        <w:trPr>
          <w:trHeight w:val="240"/>
        </w:trPr>
        <w:tc>
          <w:tcPr>
            <w:tcW w:w="1069" w:type="dxa"/>
            <w:shd w:val="clear" w:color="auto" w:fill="auto"/>
          </w:tcPr>
          <w:p w:rsidR="00954DFA" w:rsidRPr="00391927" w:rsidRDefault="00954DFA" w:rsidP="00391927">
            <w:pPr>
              <w:spacing w:before="40" w:after="40" w:line="300" w:lineRule="exact"/>
              <w:ind w:left="57" w:right="57"/>
              <w:rPr>
                <w:sz w:val="28"/>
                <w:szCs w:val="28"/>
              </w:rPr>
            </w:pPr>
            <w:r w:rsidRPr="00391927">
              <w:rPr>
                <w:rFonts w:hint="cs"/>
                <w:sz w:val="28"/>
                <w:szCs w:val="28"/>
                <w:rtl/>
              </w:rPr>
              <w:t>2016</w:t>
            </w:r>
          </w:p>
        </w:tc>
        <w:tc>
          <w:tcPr>
            <w:tcW w:w="966" w:type="dxa"/>
            <w:shd w:val="clear" w:color="auto" w:fill="auto"/>
            <w:vAlign w:val="bottom"/>
          </w:tcPr>
          <w:p w:rsidR="00954DFA" w:rsidRPr="00391927" w:rsidRDefault="00954DFA" w:rsidP="00391927">
            <w:pPr>
              <w:spacing w:before="40" w:after="40" w:line="300" w:lineRule="exact"/>
              <w:ind w:left="57" w:right="57"/>
              <w:rPr>
                <w:rFonts w:ascii="Traditional Arabic" w:hAnsi="Traditional Arabic"/>
                <w:sz w:val="28"/>
                <w:szCs w:val="28"/>
              </w:rPr>
            </w:pPr>
            <w:r w:rsidRPr="00391927">
              <w:rPr>
                <w:rFonts w:ascii="Traditional Arabic" w:hAnsi="Traditional Arabic"/>
                <w:sz w:val="28"/>
                <w:szCs w:val="28"/>
              </w:rPr>
              <w:t>-</w:t>
            </w:r>
          </w:p>
        </w:tc>
        <w:tc>
          <w:tcPr>
            <w:tcW w:w="714" w:type="dxa"/>
            <w:shd w:val="clear" w:color="auto" w:fill="auto"/>
            <w:vAlign w:val="bottom"/>
          </w:tcPr>
          <w:p w:rsidR="00954DFA" w:rsidRPr="00391927" w:rsidRDefault="00954DFA" w:rsidP="00391927">
            <w:pPr>
              <w:spacing w:before="40" w:after="40" w:line="300" w:lineRule="exact"/>
              <w:ind w:left="57" w:right="57"/>
              <w:rPr>
                <w:rFonts w:ascii="Traditional Arabic" w:hAnsi="Traditional Arabic"/>
                <w:sz w:val="28"/>
                <w:szCs w:val="28"/>
              </w:rPr>
            </w:pPr>
            <w:r w:rsidRPr="00391927">
              <w:rPr>
                <w:rFonts w:ascii="Traditional Arabic" w:hAnsi="Traditional Arabic"/>
                <w:sz w:val="28"/>
                <w:szCs w:val="28"/>
              </w:rPr>
              <w:t>-</w:t>
            </w:r>
          </w:p>
        </w:tc>
        <w:tc>
          <w:tcPr>
            <w:tcW w:w="797" w:type="dxa"/>
            <w:vAlign w:val="bottom"/>
          </w:tcPr>
          <w:p w:rsidR="00954DFA" w:rsidRPr="00391927" w:rsidRDefault="00954DFA" w:rsidP="00391927">
            <w:pPr>
              <w:spacing w:before="40" w:after="40" w:line="300" w:lineRule="exact"/>
              <w:ind w:left="57" w:right="57"/>
              <w:rPr>
                <w:rFonts w:ascii="Traditional Arabic" w:hAnsi="Traditional Arabic"/>
                <w:sz w:val="28"/>
                <w:szCs w:val="28"/>
              </w:rPr>
            </w:pPr>
            <w:r w:rsidRPr="00391927">
              <w:rPr>
                <w:rFonts w:ascii="Traditional Arabic" w:hAnsi="Traditional Arabic"/>
                <w:sz w:val="28"/>
                <w:szCs w:val="28"/>
                <w:rtl/>
              </w:rPr>
              <w:t>-</w:t>
            </w:r>
          </w:p>
        </w:tc>
        <w:tc>
          <w:tcPr>
            <w:tcW w:w="868" w:type="dxa"/>
            <w:vAlign w:val="bottom"/>
          </w:tcPr>
          <w:p w:rsidR="00954DFA" w:rsidRPr="00391927" w:rsidRDefault="00954DFA" w:rsidP="00391927">
            <w:pPr>
              <w:spacing w:before="40" w:after="40" w:line="300" w:lineRule="exact"/>
              <w:ind w:left="57" w:right="57"/>
              <w:rPr>
                <w:rFonts w:ascii="Traditional Arabic" w:hAnsi="Traditional Arabic"/>
                <w:sz w:val="28"/>
                <w:szCs w:val="28"/>
              </w:rPr>
            </w:pPr>
            <w:r w:rsidRPr="00391927">
              <w:rPr>
                <w:rFonts w:ascii="Traditional Arabic" w:hAnsi="Traditional Arabic"/>
                <w:sz w:val="28"/>
                <w:szCs w:val="28"/>
                <w:rtl/>
              </w:rPr>
              <w:t>4</w:t>
            </w:r>
          </w:p>
        </w:tc>
        <w:tc>
          <w:tcPr>
            <w:tcW w:w="672" w:type="dxa"/>
            <w:vAlign w:val="bottom"/>
          </w:tcPr>
          <w:p w:rsidR="00954DFA" w:rsidRPr="00391927" w:rsidRDefault="00954DFA" w:rsidP="00391927">
            <w:pPr>
              <w:spacing w:before="40" w:after="40" w:line="300" w:lineRule="exact"/>
              <w:ind w:left="57" w:right="57"/>
              <w:rPr>
                <w:rFonts w:ascii="Traditional Arabic" w:hAnsi="Traditional Arabic"/>
                <w:sz w:val="28"/>
                <w:szCs w:val="28"/>
              </w:rPr>
            </w:pPr>
            <w:r w:rsidRPr="00391927">
              <w:rPr>
                <w:rFonts w:ascii="Traditional Arabic" w:hAnsi="Traditional Arabic"/>
                <w:sz w:val="28"/>
                <w:szCs w:val="28"/>
                <w:rtl/>
              </w:rPr>
              <w:t>21</w:t>
            </w:r>
          </w:p>
        </w:tc>
        <w:tc>
          <w:tcPr>
            <w:tcW w:w="864" w:type="dxa"/>
            <w:vAlign w:val="bottom"/>
          </w:tcPr>
          <w:p w:rsidR="00954DFA" w:rsidRPr="00391927" w:rsidRDefault="00954DFA" w:rsidP="00391927">
            <w:pPr>
              <w:spacing w:before="40" w:after="40" w:line="300" w:lineRule="exact"/>
              <w:ind w:left="57" w:right="57"/>
              <w:rPr>
                <w:rFonts w:ascii="Traditional Arabic" w:hAnsi="Traditional Arabic"/>
                <w:sz w:val="28"/>
                <w:szCs w:val="28"/>
              </w:rPr>
            </w:pPr>
            <w:r w:rsidRPr="00391927">
              <w:rPr>
                <w:rFonts w:ascii="Traditional Arabic" w:hAnsi="Traditional Arabic"/>
                <w:sz w:val="28"/>
                <w:szCs w:val="28"/>
                <w:rtl/>
              </w:rPr>
              <w:t>58</w:t>
            </w:r>
          </w:p>
        </w:tc>
        <w:tc>
          <w:tcPr>
            <w:tcW w:w="709" w:type="dxa"/>
            <w:shd w:val="clear" w:color="auto" w:fill="auto"/>
            <w:vAlign w:val="bottom"/>
          </w:tcPr>
          <w:p w:rsidR="00954DFA" w:rsidRPr="00391927" w:rsidRDefault="00954DFA" w:rsidP="00391927">
            <w:pPr>
              <w:spacing w:before="40" w:after="40" w:line="300" w:lineRule="exact"/>
              <w:ind w:left="57" w:right="57"/>
              <w:rPr>
                <w:rFonts w:ascii="Traditional Arabic" w:hAnsi="Traditional Arabic"/>
                <w:sz w:val="28"/>
                <w:szCs w:val="28"/>
              </w:rPr>
            </w:pPr>
            <w:r w:rsidRPr="00391927">
              <w:rPr>
                <w:rFonts w:ascii="Traditional Arabic" w:hAnsi="Traditional Arabic"/>
                <w:sz w:val="28"/>
                <w:szCs w:val="28"/>
                <w:rtl/>
              </w:rPr>
              <w:t>1</w:t>
            </w:r>
          </w:p>
        </w:tc>
        <w:tc>
          <w:tcPr>
            <w:tcW w:w="703" w:type="dxa"/>
            <w:shd w:val="clear" w:color="auto" w:fill="auto"/>
            <w:vAlign w:val="bottom"/>
          </w:tcPr>
          <w:p w:rsidR="00954DFA" w:rsidRPr="00391927" w:rsidRDefault="00954DFA" w:rsidP="00391927">
            <w:pPr>
              <w:spacing w:before="40" w:after="40" w:line="300" w:lineRule="exact"/>
              <w:ind w:left="57" w:right="57"/>
              <w:rPr>
                <w:bCs/>
                <w:sz w:val="28"/>
                <w:szCs w:val="28"/>
              </w:rPr>
            </w:pPr>
            <w:r w:rsidRPr="00391927">
              <w:rPr>
                <w:rFonts w:hint="cs"/>
                <w:bCs/>
                <w:sz w:val="28"/>
                <w:szCs w:val="28"/>
                <w:rtl/>
              </w:rPr>
              <w:t>68</w:t>
            </w:r>
          </w:p>
        </w:tc>
      </w:tr>
      <w:tr w:rsidR="00954DFA" w:rsidRPr="00391927" w:rsidTr="00391927">
        <w:trPr>
          <w:trHeight w:val="240"/>
        </w:trPr>
        <w:tc>
          <w:tcPr>
            <w:tcW w:w="1069" w:type="dxa"/>
            <w:tcBorders>
              <w:bottom w:val="single" w:sz="4" w:space="0" w:color="auto"/>
            </w:tcBorders>
            <w:shd w:val="clear" w:color="auto" w:fill="auto"/>
          </w:tcPr>
          <w:p w:rsidR="00954DFA" w:rsidRPr="00391927" w:rsidRDefault="00954DFA" w:rsidP="00391927">
            <w:pPr>
              <w:keepNext/>
              <w:spacing w:before="40" w:after="40" w:line="300" w:lineRule="exact"/>
              <w:ind w:left="57" w:right="57"/>
              <w:rPr>
                <w:sz w:val="28"/>
                <w:szCs w:val="28"/>
                <w:rtl/>
              </w:rPr>
            </w:pPr>
            <w:r w:rsidRPr="00391927">
              <w:rPr>
                <w:rFonts w:hint="cs"/>
                <w:sz w:val="28"/>
                <w:szCs w:val="28"/>
                <w:rtl/>
              </w:rPr>
              <w:t>2017</w:t>
            </w:r>
            <w:r w:rsidRPr="00391927">
              <w:rPr>
                <w:rFonts w:hint="cs"/>
                <w:sz w:val="28"/>
                <w:szCs w:val="28"/>
                <w:vertAlign w:val="superscript"/>
                <w:rtl/>
              </w:rPr>
              <w:t>(ب)</w:t>
            </w:r>
          </w:p>
        </w:tc>
        <w:tc>
          <w:tcPr>
            <w:tcW w:w="966" w:type="dxa"/>
            <w:tcBorders>
              <w:bottom w:val="single" w:sz="4" w:space="0" w:color="auto"/>
            </w:tcBorders>
            <w:shd w:val="clear" w:color="auto" w:fill="auto"/>
            <w:vAlign w:val="bottom"/>
          </w:tcPr>
          <w:p w:rsidR="00954DFA" w:rsidRPr="00391927" w:rsidRDefault="00954DFA" w:rsidP="00391927">
            <w:pPr>
              <w:keepNext/>
              <w:spacing w:before="40" w:after="40" w:line="300" w:lineRule="exact"/>
              <w:ind w:left="57" w:right="57"/>
              <w:rPr>
                <w:sz w:val="28"/>
                <w:szCs w:val="28"/>
              </w:rPr>
            </w:pPr>
            <w:r w:rsidRPr="00391927">
              <w:rPr>
                <w:rFonts w:hint="cs"/>
                <w:sz w:val="28"/>
                <w:szCs w:val="28"/>
                <w:rtl/>
              </w:rPr>
              <w:t>1</w:t>
            </w:r>
          </w:p>
        </w:tc>
        <w:tc>
          <w:tcPr>
            <w:tcW w:w="714" w:type="dxa"/>
            <w:tcBorders>
              <w:bottom w:val="single" w:sz="4" w:space="0" w:color="auto"/>
            </w:tcBorders>
            <w:shd w:val="clear" w:color="auto" w:fill="auto"/>
            <w:vAlign w:val="bottom"/>
          </w:tcPr>
          <w:p w:rsidR="00954DFA" w:rsidRPr="00391927" w:rsidRDefault="00954DFA" w:rsidP="00391927">
            <w:pPr>
              <w:keepNext/>
              <w:spacing w:before="40" w:after="40" w:line="300" w:lineRule="exact"/>
              <w:ind w:left="57" w:right="57"/>
              <w:rPr>
                <w:rFonts w:ascii="Traditional Arabic" w:hAnsi="Traditional Arabic"/>
                <w:sz w:val="28"/>
                <w:szCs w:val="28"/>
              </w:rPr>
            </w:pPr>
            <w:r w:rsidRPr="00391927">
              <w:rPr>
                <w:rFonts w:ascii="Traditional Arabic" w:hAnsi="Traditional Arabic"/>
                <w:sz w:val="28"/>
                <w:szCs w:val="28"/>
              </w:rPr>
              <w:t>-</w:t>
            </w:r>
          </w:p>
        </w:tc>
        <w:tc>
          <w:tcPr>
            <w:tcW w:w="797" w:type="dxa"/>
            <w:tcBorders>
              <w:bottom w:val="single" w:sz="4" w:space="0" w:color="auto"/>
            </w:tcBorders>
            <w:vAlign w:val="bottom"/>
          </w:tcPr>
          <w:p w:rsidR="00954DFA" w:rsidRPr="00391927" w:rsidRDefault="00954DFA" w:rsidP="00391927">
            <w:pPr>
              <w:keepNext/>
              <w:spacing w:before="40" w:after="40" w:line="300" w:lineRule="exact"/>
              <w:ind w:left="57" w:right="57"/>
              <w:rPr>
                <w:rFonts w:ascii="Traditional Arabic" w:hAnsi="Traditional Arabic"/>
                <w:sz w:val="28"/>
                <w:szCs w:val="28"/>
              </w:rPr>
            </w:pPr>
            <w:r w:rsidRPr="00391927">
              <w:rPr>
                <w:rFonts w:ascii="Traditional Arabic" w:hAnsi="Traditional Arabic"/>
                <w:sz w:val="28"/>
                <w:szCs w:val="28"/>
              </w:rPr>
              <w:t>-</w:t>
            </w:r>
          </w:p>
        </w:tc>
        <w:tc>
          <w:tcPr>
            <w:tcW w:w="868" w:type="dxa"/>
            <w:tcBorders>
              <w:bottom w:val="single" w:sz="4" w:space="0" w:color="auto"/>
            </w:tcBorders>
            <w:vAlign w:val="bottom"/>
          </w:tcPr>
          <w:p w:rsidR="00954DFA" w:rsidRPr="00391927" w:rsidRDefault="00954DFA" w:rsidP="00391927">
            <w:pPr>
              <w:keepNext/>
              <w:spacing w:before="40" w:after="40" w:line="300" w:lineRule="exact"/>
              <w:ind w:left="57" w:right="57"/>
              <w:rPr>
                <w:rFonts w:ascii="Traditional Arabic" w:hAnsi="Traditional Arabic"/>
                <w:sz w:val="28"/>
                <w:szCs w:val="28"/>
              </w:rPr>
            </w:pPr>
            <w:r w:rsidRPr="00391927">
              <w:rPr>
                <w:rFonts w:ascii="Traditional Arabic" w:hAnsi="Traditional Arabic"/>
                <w:sz w:val="28"/>
                <w:szCs w:val="28"/>
              </w:rPr>
              <w:t>-</w:t>
            </w:r>
          </w:p>
        </w:tc>
        <w:tc>
          <w:tcPr>
            <w:tcW w:w="672" w:type="dxa"/>
            <w:tcBorders>
              <w:bottom w:val="single" w:sz="4" w:space="0" w:color="auto"/>
            </w:tcBorders>
            <w:vAlign w:val="bottom"/>
          </w:tcPr>
          <w:p w:rsidR="00954DFA" w:rsidRPr="00391927" w:rsidRDefault="00954DFA" w:rsidP="00391927">
            <w:pPr>
              <w:keepNext/>
              <w:spacing w:before="40" w:after="40" w:line="300" w:lineRule="exact"/>
              <w:ind w:left="57" w:right="57"/>
              <w:rPr>
                <w:rFonts w:ascii="Traditional Arabic" w:hAnsi="Traditional Arabic"/>
                <w:sz w:val="28"/>
                <w:szCs w:val="28"/>
              </w:rPr>
            </w:pPr>
            <w:r w:rsidRPr="00391927">
              <w:rPr>
                <w:rFonts w:ascii="Traditional Arabic" w:hAnsi="Traditional Arabic"/>
                <w:sz w:val="28"/>
                <w:szCs w:val="28"/>
              </w:rPr>
              <w:t>-</w:t>
            </w:r>
          </w:p>
        </w:tc>
        <w:tc>
          <w:tcPr>
            <w:tcW w:w="864" w:type="dxa"/>
            <w:tcBorders>
              <w:bottom w:val="single" w:sz="4" w:space="0" w:color="auto"/>
            </w:tcBorders>
            <w:vAlign w:val="bottom"/>
          </w:tcPr>
          <w:p w:rsidR="00954DFA" w:rsidRPr="00391927" w:rsidRDefault="00954DFA" w:rsidP="00391927">
            <w:pPr>
              <w:keepNext/>
              <w:spacing w:before="40" w:after="40" w:line="300" w:lineRule="exact"/>
              <w:ind w:left="57" w:right="57"/>
              <w:rPr>
                <w:rFonts w:ascii="Traditional Arabic" w:hAnsi="Traditional Arabic"/>
                <w:sz w:val="28"/>
                <w:szCs w:val="28"/>
              </w:rPr>
            </w:pPr>
            <w:r w:rsidRPr="00391927">
              <w:rPr>
                <w:rFonts w:ascii="Traditional Arabic" w:hAnsi="Traditional Arabic"/>
                <w:sz w:val="28"/>
                <w:szCs w:val="28"/>
              </w:rPr>
              <w:t>-</w:t>
            </w:r>
          </w:p>
        </w:tc>
        <w:tc>
          <w:tcPr>
            <w:tcW w:w="709" w:type="dxa"/>
            <w:tcBorders>
              <w:bottom w:val="single" w:sz="4" w:space="0" w:color="auto"/>
            </w:tcBorders>
            <w:shd w:val="clear" w:color="auto" w:fill="auto"/>
            <w:vAlign w:val="bottom"/>
          </w:tcPr>
          <w:p w:rsidR="00954DFA" w:rsidRPr="00391927" w:rsidRDefault="00954DFA" w:rsidP="00391927">
            <w:pPr>
              <w:keepNext/>
              <w:spacing w:before="40" w:after="40" w:line="300" w:lineRule="exact"/>
              <w:ind w:left="57" w:right="57"/>
              <w:rPr>
                <w:rFonts w:ascii="Traditional Arabic" w:hAnsi="Traditional Arabic"/>
                <w:sz w:val="28"/>
                <w:szCs w:val="28"/>
              </w:rPr>
            </w:pPr>
            <w:r w:rsidRPr="00391927">
              <w:rPr>
                <w:rFonts w:ascii="Traditional Arabic" w:hAnsi="Traditional Arabic"/>
                <w:sz w:val="28"/>
                <w:szCs w:val="28"/>
              </w:rPr>
              <w:t>-</w:t>
            </w:r>
          </w:p>
        </w:tc>
        <w:tc>
          <w:tcPr>
            <w:tcW w:w="703" w:type="dxa"/>
            <w:tcBorders>
              <w:bottom w:val="single" w:sz="4" w:space="0" w:color="auto"/>
            </w:tcBorders>
            <w:shd w:val="clear" w:color="auto" w:fill="auto"/>
            <w:vAlign w:val="bottom"/>
          </w:tcPr>
          <w:p w:rsidR="00954DFA" w:rsidRPr="00391927" w:rsidRDefault="00954DFA" w:rsidP="00391927">
            <w:pPr>
              <w:keepNext/>
              <w:spacing w:before="40" w:after="40" w:line="300" w:lineRule="exact"/>
              <w:ind w:left="57" w:right="57"/>
              <w:rPr>
                <w:bCs/>
                <w:sz w:val="28"/>
                <w:szCs w:val="28"/>
              </w:rPr>
            </w:pPr>
            <w:r w:rsidRPr="00391927">
              <w:rPr>
                <w:rFonts w:hint="cs"/>
                <w:bCs/>
                <w:sz w:val="28"/>
                <w:szCs w:val="28"/>
                <w:rtl/>
              </w:rPr>
              <w:t>1</w:t>
            </w:r>
          </w:p>
        </w:tc>
      </w:tr>
      <w:tr w:rsidR="00954DFA" w:rsidRPr="00391927" w:rsidTr="00391927">
        <w:trPr>
          <w:trHeight w:val="240"/>
        </w:trPr>
        <w:tc>
          <w:tcPr>
            <w:tcW w:w="1069" w:type="dxa"/>
            <w:tcBorders>
              <w:top w:val="single" w:sz="4" w:space="0" w:color="auto"/>
              <w:bottom w:val="single" w:sz="12" w:space="0" w:color="auto"/>
            </w:tcBorders>
            <w:shd w:val="clear" w:color="auto" w:fill="auto"/>
          </w:tcPr>
          <w:p w:rsidR="00954DFA" w:rsidRPr="00391927" w:rsidRDefault="00954DFA" w:rsidP="00391927">
            <w:pPr>
              <w:spacing w:before="40" w:after="40" w:line="300" w:lineRule="exact"/>
              <w:ind w:left="249" w:right="57"/>
              <w:rPr>
                <w:b/>
                <w:bCs/>
                <w:sz w:val="28"/>
                <w:szCs w:val="28"/>
              </w:rPr>
            </w:pPr>
            <w:r w:rsidRPr="00391927">
              <w:rPr>
                <w:rFonts w:hint="cs"/>
                <w:b/>
                <w:bCs/>
                <w:sz w:val="28"/>
                <w:szCs w:val="28"/>
                <w:rtl/>
              </w:rPr>
              <w:t>المجموع</w:t>
            </w:r>
          </w:p>
        </w:tc>
        <w:tc>
          <w:tcPr>
            <w:tcW w:w="966" w:type="dxa"/>
            <w:tcBorders>
              <w:top w:val="single" w:sz="4" w:space="0" w:color="auto"/>
              <w:bottom w:val="single" w:sz="12" w:space="0" w:color="auto"/>
            </w:tcBorders>
            <w:shd w:val="clear" w:color="auto" w:fill="auto"/>
            <w:vAlign w:val="bottom"/>
          </w:tcPr>
          <w:p w:rsidR="00954DFA" w:rsidRPr="00391927" w:rsidRDefault="00954DFA" w:rsidP="00391927">
            <w:pPr>
              <w:spacing w:before="40" w:after="40" w:line="300" w:lineRule="exact"/>
              <w:ind w:left="57" w:right="57"/>
              <w:rPr>
                <w:b/>
                <w:bCs/>
                <w:sz w:val="28"/>
                <w:szCs w:val="28"/>
                <w:rtl/>
                <w:lang w:bidi="ar-DZ"/>
              </w:rPr>
            </w:pPr>
            <w:r w:rsidRPr="00391927">
              <w:rPr>
                <w:rFonts w:hint="cs"/>
                <w:b/>
                <w:bCs/>
                <w:sz w:val="28"/>
                <w:szCs w:val="28"/>
                <w:rtl/>
              </w:rPr>
              <w:t>1</w:t>
            </w:r>
          </w:p>
        </w:tc>
        <w:tc>
          <w:tcPr>
            <w:tcW w:w="714" w:type="dxa"/>
            <w:tcBorders>
              <w:top w:val="single" w:sz="4" w:space="0" w:color="auto"/>
              <w:bottom w:val="single" w:sz="12" w:space="0" w:color="auto"/>
            </w:tcBorders>
            <w:shd w:val="clear" w:color="auto" w:fill="auto"/>
            <w:vAlign w:val="bottom"/>
          </w:tcPr>
          <w:p w:rsidR="00954DFA" w:rsidRPr="00391927" w:rsidRDefault="00954DFA" w:rsidP="00391927">
            <w:pPr>
              <w:spacing w:before="40" w:after="40" w:line="300" w:lineRule="exact"/>
              <w:ind w:left="57" w:right="57"/>
              <w:rPr>
                <w:b/>
                <w:bCs/>
                <w:sz w:val="28"/>
                <w:szCs w:val="28"/>
              </w:rPr>
            </w:pPr>
            <w:r w:rsidRPr="00391927">
              <w:rPr>
                <w:rFonts w:hint="cs"/>
                <w:b/>
                <w:bCs/>
                <w:sz w:val="28"/>
                <w:szCs w:val="28"/>
                <w:rtl/>
              </w:rPr>
              <w:t>1</w:t>
            </w:r>
          </w:p>
        </w:tc>
        <w:tc>
          <w:tcPr>
            <w:tcW w:w="797" w:type="dxa"/>
            <w:tcBorders>
              <w:top w:val="single" w:sz="4" w:space="0" w:color="auto"/>
              <w:bottom w:val="single" w:sz="12" w:space="0" w:color="auto"/>
            </w:tcBorders>
            <w:vAlign w:val="bottom"/>
          </w:tcPr>
          <w:p w:rsidR="00954DFA" w:rsidRPr="00391927" w:rsidRDefault="00954DFA" w:rsidP="00391927">
            <w:pPr>
              <w:spacing w:before="40" w:after="40" w:line="300" w:lineRule="exact"/>
              <w:ind w:left="57" w:right="57"/>
              <w:rPr>
                <w:b/>
                <w:bCs/>
                <w:sz w:val="28"/>
                <w:szCs w:val="28"/>
              </w:rPr>
            </w:pPr>
            <w:r w:rsidRPr="00391927">
              <w:rPr>
                <w:rFonts w:hint="cs"/>
                <w:b/>
                <w:bCs/>
                <w:sz w:val="28"/>
                <w:szCs w:val="28"/>
                <w:rtl/>
              </w:rPr>
              <w:t>1</w:t>
            </w:r>
          </w:p>
        </w:tc>
        <w:tc>
          <w:tcPr>
            <w:tcW w:w="868" w:type="dxa"/>
            <w:tcBorders>
              <w:top w:val="single" w:sz="4" w:space="0" w:color="auto"/>
              <w:bottom w:val="single" w:sz="12" w:space="0" w:color="auto"/>
            </w:tcBorders>
            <w:vAlign w:val="bottom"/>
          </w:tcPr>
          <w:p w:rsidR="00954DFA" w:rsidRPr="00391927" w:rsidRDefault="00954DFA" w:rsidP="00391927">
            <w:pPr>
              <w:spacing w:before="40" w:after="40" w:line="300" w:lineRule="exact"/>
              <w:ind w:left="57" w:right="57"/>
              <w:rPr>
                <w:b/>
                <w:bCs/>
                <w:sz w:val="28"/>
                <w:szCs w:val="28"/>
              </w:rPr>
            </w:pPr>
            <w:r w:rsidRPr="00391927">
              <w:rPr>
                <w:rFonts w:hint="cs"/>
                <w:b/>
                <w:bCs/>
                <w:sz w:val="28"/>
                <w:szCs w:val="28"/>
                <w:rtl/>
              </w:rPr>
              <w:t>9</w:t>
            </w:r>
          </w:p>
        </w:tc>
        <w:tc>
          <w:tcPr>
            <w:tcW w:w="672" w:type="dxa"/>
            <w:tcBorders>
              <w:top w:val="single" w:sz="4" w:space="0" w:color="auto"/>
              <w:bottom w:val="single" w:sz="12" w:space="0" w:color="auto"/>
            </w:tcBorders>
            <w:vAlign w:val="bottom"/>
          </w:tcPr>
          <w:p w:rsidR="00954DFA" w:rsidRPr="00391927" w:rsidRDefault="00954DFA" w:rsidP="00391927">
            <w:pPr>
              <w:spacing w:before="40" w:after="40" w:line="300" w:lineRule="exact"/>
              <w:ind w:left="57" w:right="57"/>
              <w:rPr>
                <w:b/>
                <w:bCs/>
                <w:sz w:val="28"/>
                <w:szCs w:val="28"/>
              </w:rPr>
            </w:pPr>
            <w:r w:rsidRPr="00391927">
              <w:rPr>
                <w:rFonts w:hint="cs"/>
                <w:b/>
                <w:bCs/>
                <w:sz w:val="28"/>
                <w:szCs w:val="28"/>
                <w:rtl/>
              </w:rPr>
              <w:t>68</w:t>
            </w:r>
          </w:p>
        </w:tc>
        <w:tc>
          <w:tcPr>
            <w:tcW w:w="864" w:type="dxa"/>
            <w:tcBorders>
              <w:top w:val="single" w:sz="4" w:space="0" w:color="auto"/>
              <w:bottom w:val="single" w:sz="12" w:space="0" w:color="auto"/>
            </w:tcBorders>
            <w:vAlign w:val="bottom"/>
          </w:tcPr>
          <w:p w:rsidR="00954DFA" w:rsidRPr="00391927" w:rsidRDefault="00954DFA" w:rsidP="00391927">
            <w:pPr>
              <w:spacing w:before="40" w:after="40" w:line="300" w:lineRule="exact"/>
              <w:ind w:left="57" w:right="57"/>
              <w:rPr>
                <w:b/>
                <w:bCs/>
                <w:sz w:val="28"/>
                <w:szCs w:val="28"/>
              </w:rPr>
            </w:pPr>
            <w:r w:rsidRPr="00391927">
              <w:rPr>
                <w:rFonts w:hint="cs"/>
                <w:b/>
                <w:bCs/>
                <w:sz w:val="28"/>
                <w:szCs w:val="28"/>
                <w:rtl/>
              </w:rPr>
              <w:t>227</w:t>
            </w:r>
          </w:p>
        </w:tc>
        <w:tc>
          <w:tcPr>
            <w:tcW w:w="709" w:type="dxa"/>
            <w:tcBorders>
              <w:top w:val="single" w:sz="4" w:space="0" w:color="auto"/>
              <w:bottom w:val="single" w:sz="12" w:space="0" w:color="auto"/>
            </w:tcBorders>
            <w:shd w:val="clear" w:color="auto" w:fill="auto"/>
            <w:vAlign w:val="bottom"/>
          </w:tcPr>
          <w:p w:rsidR="00954DFA" w:rsidRPr="00391927" w:rsidRDefault="00954DFA" w:rsidP="00391927">
            <w:pPr>
              <w:spacing w:before="40" w:after="40" w:line="300" w:lineRule="exact"/>
              <w:ind w:left="57" w:right="57"/>
              <w:rPr>
                <w:b/>
                <w:bCs/>
                <w:sz w:val="28"/>
                <w:szCs w:val="28"/>
              </w:rPr>
            </w:pPr>
            <w:r w:rsidRPr="00391927">
              <w:rPr>
                <w:rFonts w:hint="cs"/>
                <w:b/>
                <w:bCs/>
                <w:sz w:val="28"/>
                <w:szCs w:val="28"/>
                <w:rtl/>
              </w:rPr>
              <w:t>1</w:t>
            </w:r>
          </w:p>
        </w:tc>
        <w:tc>
          <w:tcPr>
            <w:tcW w:w="703" w:type="dxa"/>
            <w:tcBorders>
              <w:top w:val="single" w:sz="4" w:space="0" w:color="auto"/>
              <w:bottom w:val="single" w:sz="12" w:space="0" w:color="auto"/>
            </w:tcBorders>
            <w:shd w:val="clear" w:color="auto" w:fill="auto"/>
            <w:vAlign w:val="bottom"/>
          </w:tcPr>
          <w:p w:rsidR="00954DFA" w:rsidRPr="00391927" w:rsidRDefault="00954DFA" w:rsidP="00391927">
            <w:pPr>
              <w:spacing w:before="40" w:after="40" w:line="300" w:lineRule="exact"/>
              <w:ind w:left="57" w:right="57"/>
              <w:rPr>
                <w:bCs/>
                <w:sz w:val="28"/>
                <w:szCs w:val="28"/>
              </w:rPr>
            </w:pPr>
            <w:r w:rsidRPr="00391927">
              <w:rPr>
                <w:rFonts w:hint="cs"/>
                <w:bCs/>
                <w:sz w:val="28"/>
                <w:szCs w:val="28"/>
                <w:rtl/>
              </w:rPr>
              <w:t>359</w:t>
            </w:r>
          </w:p>
        </w:tc>
      </w:tr>
    </w:tbl>
    <w:p w:rsidR="000E3EEE" w:rsidRPr="00632384" w:rsidRDefault="00632384" w:rsidP="00361100">
      <w:pPr>
        <w:pStyle w:val="SingleTxtGA"/>
        <w:spacing w:before="40" w:after="60" w:line="300" w:lineRule="exact"/>
        <w:rPr>
          <w:rFonts w:ascii="Traditional Arabic" w:hAnsi="Traditional Arabic"/>
          <w:sz w:val="26"/>
          <w:szCs w:val="26"/>
          <w:rtl/>
        </w:rPr>
      </w:pPr>
      <w:r w:rsidRPr="00632384">
        <w:rPr>
          <w:rFonts w:ascii="Traditional Arabic" w:hAnsi="Traditional Arabic" w:hint="cs"/>
          <w:sz w:val="26"/>
          <w:szCs w:val="26"/>
          <w:rtl/>
        </w:rPr>
        <w:t>(</w:t>
      </w:r>
      <w:r w:rsidR="000E3EEE" w:rsidRPr="00632384">
        <w:rPr>
          <w:rFonts w:ascii="Traditional Arabic" w:hAnsi="Traditional Arabic" w:hint="eastAsia"/>
          <w:sz w:val="26"/>
          <w:szCs w:val="26"/>
          <w:rtl/>
        </w:rPr>
        <w:t>أ</w:t>
      </w:r>
      <w:r w:rsidRPr="00632384">
        <w:rPr>
          <w:rFonts w:ascii="Traditional Arabic" w:hAnsi="Traditional Arabic" w:hint="cs"/>
          <w:sz w:val="26"/>
          <w:szCs w:val="26"/>
          <w:rtl/>
        </w:rPr>
        <w:t>)</w:t>
      </w:r>
      <w:r w:rsidRPr="00632384">
        <w:rPr>
          <w:rFonts w:ascii="Traditional Arabic" w:hAnsi="Traditional Arabic" w:hint="cs"/>
          <w:sz w:val="26"/>
          <w:szCs w:val="26"/>
          <w:rtl/>
        </w:rPr>
        <w:tab/>
      </w:r>
      <w:r w:rsidR="000E3EEE" w:rsidRPr="00632384">
        <w:rPr>
          <w:rFonts w:ascii="Traditional Arabic" w:hAnsi="Traditional Arabic" w:hint="eastAsia"/>
          <w:sz w:val="26"/>
          <w:szCs w:val="26"/>
          <w:rtl/>
        </w:rPr>
        <w:t>يُحيل</w:t>
      </w:r>
      <w:r w:rsidR="000E3EEE" w:rsidRPr="00632384">
        <w:rPr>
          <w:rFonts w:ascii="Traditional Arabic" w:hAnsi="Traditional Arabic"/>
          <w:sz w:val="26"/>
          <w:szCs w:val="26"/>
          <w:rtl/>
        </w:rPr>
        <w:t xml:space="preserve"> </w:t>
      </w:r>
      <w:r w:rsidR="000E3EEE" w:rsidRPr="00632384">
        <w:rPr>
          <w:rFonts w:ascii="Traditional Arabic" w:hAnsi="Traditional Arabic" w:hint="eastAsia"/>
          <w:sz w:val="26"/>
          <w:szCs w:val="26"/>
          <w:rtl/>
        </w:rPr>
        <w:t>الإجراء</w:t>
      </w:r>
      <w:r w:rsidR="000E3EEE" w:rsidRPr="00632384">
        <w:rPr>
          <w:rFonts w:ascii="Traditional Arabic" w:hAnsi="Traditional Arabic"/>
          <w:sz w:val="26"/>
          <w:szCs w:val="26"/>
          <w:rtl/>
        </w:rPr>
        <w:t xml:space="preserve"> </w:t>
      </w:r>
      <w:r w:rsidR="000E3EEE" w:rsidRPr="00632384">
        <w:rPr>
          <w:rFonts w:ascii="Traditional Arabic" w:hAnsi="Traditional Arabic" w:hint="eastAsia"/>
          <w:sz w:val="26"/>
          <w:szCs w:val="26"/>
          <w:rtl/>
        </w:rPr>
        <w:t>العاجل</w:t>
      </w:r>
      <w:r w:rsidR="000E3EEE" w:rsidRPr="00632384">
        <w:rPr>
          <w:rFonts w:ascii="Traditional Arabic" w:hAnsi="Traditional Arabic"/>
          <w:sz w:val="26"/>
          <w:szCs w:val="26"/>
          <w:rtl/>
        </w:rPr>
        <w:t xml:space="preserve"> </w:t>
      </w:r>
      <w:r w:rsidR="000E3EEE" w:rsidRPr="00632384">
        <w:rPr>
          <w:rFonts w:ascii="Traditional Arabic" w:hAnsi="Traditional Arabic" w:hint="eastAsia"/>
          <w:sz w:val="26"/>
          <w:szCs w:val="26"/>
          <w:rtl/>
        </w:rPr>
        <w:t>رقم</w:t>
      </w:r>
      <w:r w:rsidR="000E3EEE" w:rsidRPr="00632384">
        <w:rPr>
          <w:rFonts w:ascii="Traditional Arabic" w:hAnsi="Traditional Arabic"/>
          <w:sz w:val="26"/>
          <w:szCs w:val="26"/>
          <w:rtl/>
        </w:rPr>
        <w:t xml:space="preserve"> 9/2013 </w:t>
      </w:r>
      <w:r w:rsidR="000E3EEE" w:rsidRPr="00632384">
        <w:rPr>
          <w:rFonts w:ascii="Traditional Arabic" w:hAnsi="Traditional Arabic" w:hint="eastAsia"/>
          <w:sz w:val="26"/>
          <w:szCs w:val="26"/>
          <w:rtl/>
        </w:rPr>
        <w:t>إلى</w:t>
      </w:r>
      <w:r w:rsidR="000E3EEE" w:rsidRPr="00632384">
        <w:rPr>
          <w:rFonts w:ascii="Traditional Arabic" w:hAnsi="Traditional Arabic"/>
          <w:sz w:val="26"/>
          <w:szCs w:val="26"/>
          <w:rtl/>
        </w:rPr>
        <w:t xml:space="preserve"> </w:t>
      </w:r>
      <w:r w:rsidR="000E3EEE" w:rsidRPr="00632384">
        <w:rPr>
          <w:rFonts w:ascii="Traditional Arabic" w:hAnsi="Traditional Arabic" w:hint="eastAsia"/>
          <w:sz w:val="26"/>
          <w:szCs w:val="26"/>
          <w:rtl/>
        </w:rPr>
        <w:t>شخصين،</w:t>
      </w:r>
      <w:r w:rsidR="000E3EEE" w:rsidRPr="00632384">
        <w:rPr>
          <w:rFonts w:ascii="Traditional Arabic" w:hAnsi="Traditional Arabic"/>
          <w:sz w:val="26"/>
          <w:szCs w:val="26"/>
          <w:rtl/>
        </w:rPr>
        <w:t xml:space="preserve"> </w:t>
      </w:r>
      <w:r w:rsidR="000E3EEE" w:rsidRPr="00632384">
        <w:rPr>
          <w:rFonts w:ascii="Traditional Arabic" w:hAnsi="Traditional Arabic" w:hint="eastAsia"/>
          <w:sz w:val="26"/>
          <w:szCs w:val="26"/>
          <w:rtl/>
        </w:rPr>
        <w:t>ومن</w:t>
      </w:r>
      <w:r w:rsidR="000E3EEE" w:rsidRPr="00632384">
        <w:rPr>
          <w:rFonts w:ascii="Traditional Arabic" w:hAnsi="Traditional Arabic"/>
          <w:sz w:val="26"/>
          <w:szCs w:val="26"/>
          <w:rtl/>
        </w:rPr>
        <w:t xml:space="preserve"> </w:t>
      </w:r>
      <w:r w:rsidR="000E3EEE" w:rsidRPr="00632384">
        <w:rPr>
          <w:rFonts w:ascii="Traditional Arabic" w:hAnsi="Traditional Arabic" w:hint="eastAsia"/>
          <w:sz w:val="26"/>
          <w:szCs w:val="26"/>
          <w:rtl/>
        </w:rPr>
        <w:t>ثم،</w:t>
      </w:r>
      <w:r w:rsidR="000E3EEE" w:rsidRPr="00632384">
        <w:rPr>
          <w:rFonts w:ascii="Traditional Arabic" w:hAnsi="Traditional Arabic"/>
          <w:sz w:val="26"/>
          <w:szCs w:val="26"/>
          <w:rtl/>
        </w:rPr>
        <w:t xml:space="preserve"> </w:t>
      </w:r>
      <w:r w:rsidR="000E3EEE" w:rsidRPr="00632384">
        <w:rPr>
          <w:rFonts w:ascii="Traditional Arabic" w:hAnsi="Traditional Arabic" w:hint="eastAsia"/>
          <w:sz w:val="26"/>
          <w:szCs w:val="26"/>
          <w:rtl/>
        </w:rPr>
        <w:t>يُحتسب</w:t>
      </w:r>
      <w:r w:rsidR="000E3EEE" w:rsidRPr="00632384">
        <w:rPr>
          <w:rFonts w:ascii="Traditional Arabic" w:hAnsi="Traditional Arabic"/>
          <w:sz w:val="26"/>
          <w:szCs w:val="26"/>
          <w:rtl/>
        </w:rPr>
        <w:t xml:space="preserve"> </w:t>
      </w:r>
      <w:r w:rsidR="0043410F">
        <w:rPr>
          <w:rFonts w:ascii="Traditional Arabic" w:hAnsi="Traditional Arabic" w:hint="eastAsia"/>
          <w:sz w:val="26"/>
          <w:szCs w:val="26"/>
          <w:rtl/>
        </w:rPr>
        <w:t>كإجرا</w:t>
      </w:r>
      <w:r w:rsidR="0043410F">
        <w:rPr>
          <w:rFonts w:ascii="Traditional Arabic" w:hAnsi="Traditional Arabic" w:hint="cs"/>
          <w:sz w:val="26"/>
          <w:szCs w:val="26"/>
          <w:rtl/>
        </w:rPr>
        <w:t>ء</w:t>
      </w:r>
      <w:r w:rsidR="000E3EEE" w:rsidRPr="00632384">
        <w:rPr>
          <w:rFonts w:ascii="Traditional Arabic" w:hAnsi="Traditional Arabic" w:hint="eastAsia"/>
          <w:sz w:val="26"/>
          <w:szCs w:val="26"/>
          <w:rtl/>
        </w:rPr>
        <w:t>ين</w:t>
      </w:r>
      <w:r w:rsidR="000E3EEE" w:rsidRPr="00632384">
        <w:rPr>
          <w:rFonts w:ascii="Traditional Arabic" w:hAnsi="Traditional Arabic"/>
          <w:sz w:val="26"/>
          <w:szCs w:val="26"/>
          <w:rtl/>
        </w:rPr>
        <w:t xml:space="preserve"> </w:t>
      </w:r>
      <w:r w:rsidR="000E3EEE" w:rsidRPr="00632384">
        <w:rPr>
          <w:rFonts w:ascii="Traditional Arabic" w:hAnsi="Traditional Arabic" w:hint="eastAsia"/>
          <w:sz w:val="26"/>
          <w:szCs w:val="26"/>
          <w:rtl/>
        </w:rPr>
        <w:t>عاجلين</w:t>
      </w:r>
      <w:r w:rsidR="000E3EEE" w:rsidRPr="00632384">
        <w:rPr>
          <w:rFonts w:ascii="Traditional Arabic" w:hAnsi="Traditional Arabic"/>
          <w:sz w:val="26"/>
          <w:szCs w:val="26"/>
          <w:rtl/>
        </w:rPr>
        <w:t>.</w:t>
      </w:r>
    </w:p>
    <w:p w:rsidR="000E3EEE" w:rsidRPr="00632384" w:rsidRDefault="00632384" w:rsidP="00632384">
      <w:pPr>
        <w:pStyle w:val="SingleTxtGA"/>
        <w:spacing w:after="60" w:line="300" w:lineRule="exact"/>
        <w:rPr>
          <w:rFonts w:ascii="Traditional Arabic" w:hAnsi="Traditional Arabic"/>
          <w:sz w:val="26"/>
          <w:szCs w:val="26"/>
          <w:rtl/>
        </w:rPr>
      </w:pPr>
      <w:r w:rsidRPr="00632384">
        <w:rPr>
          <w:rFonts w:ascii="Traditional Arabic" w:hAnsi="Traditional Arabic" w:hint="cs"/>
          <w:sz w:val="26"/>
          <w:szCs w:val="26"/>
          <w:rtl/>
        </w:rPr>
        <w:t>(</w:t>
      </w:r>
      <w:r w:rsidR="000E3EEE" w:rsidRPr="00632384">
        <w:rPr>
          <w:rFonts w:ascii="Traditional Arabic" w:hAnsi="Traditional Arabic"/>
          <w:sz w:val="26"/>
          <w:szCs w:val="26"/>
          <w:rtl/>
        </w:rPr>
        <w:t>ب)</w:t>
      </w:r>
      <w:r w:rsidRPr="00632384">
        <w:rPr>
          <w:rFonts w:ascii="Traditional Arabic" w:hAnsi="Traditional Arabic"/>
          <w:sz w:val="26"/>
          <w:szCs w:val="26"/>
          <w:rtl/>
        </w:rPr>
        <w:tab/>
      </w:r>
      <w:r w:rsidR="000E3EEE" w:rsidRPr="00632384">
        <w:rPr>
          <w:rFonts w:ascii="Traditional Arabic" w:hAnsi="Traditional Arabic"/>
          <w:sz w:val="26"/>
          <w:szCs w:val="26"/>
          <w:rtl/>
        </w:rPr>
        <w:t>في 18 كانون الثاني/يناير 2017.</w:t>
      </w:r>
    </w:p>
    <w:p w:rsidR="000E3EEE" w:rsidRDefault="000E3EEE" w:rsidP="00632384">
      <w:pPr>
        <w:pStyle w:val="H1GA"/>
        <w:rPr>
          <w:rtl/>
        </w:rPr>
      </w:pPr>
      <w:r>
        <w:rPr>
          <w:rFonts w:hint="cs"/>
          <w:rtl/>
        </w:rPr>
        <w:tab/>
      </w:r>
      <w:r w:rsidRPr="008276B3">
        <w:rPr>
          <w:rFonts w:hint="cs"/>
          <w:rtl/>
        </w:rPr>
        <w:t>جيم-</w:t>
      </w:r>
      <w:r w:rsidRPr="008276B3">
        <w:rPr>
          <w:rFonts w:hint="cs"/>
          <w:rtl/>
        </w:rPr>
        <w:tab/>
        <w:t>المسائل المتعلقة بمعايير التسجيل ونطاق الإجراءات العاجلة</w:t>
      </w:r>
    </w:p>
    <w:p w:rsidR="000E3EEE" w:rsidRPr="00FD073B" w:rsidRDefault="000E3EEE" w:rsidP="00632384">
      <w:pPr>
        <w:pStyle w:val="H23GA"/>
        <w:rPr>
          <w:rtl/>
        </w:rPr>
      </w:pPr>
      <w:r>
        <w:rPr>
          <w:rFonts w:hint="cs"/>
          <w:sz w:val="34"/>
          <w:szCs w:val="34"/>
          <w:rtl/>
        </w:rPr>
        <w:tab/>
      </w:r>
      <w:r w:rsidRPr="00FD073B">
        <w:rPr>
          <w:rFonts w:hint="cs"/>
          <w:rtl/>
        </w:rPr>
        <w:tab/>
        <w:t>1-</w:t>
      </w:r>
      <w:r w:rsidRPr="00FD073B">
        <w:rPr>
          <w:rFonts w:hint="cs"/>
          <w:rtl/>
        </w:rPr>
        <w:tab/>
        <w:t>الطلبات التي لم تستوفِ معايير التسجيل</w:t>
      </w:r>
    </w:p>
    <w:p w:rsidR="000E3EEE" w:rsidRDefault="000E3EEE" w:rsidP="00991326">
      <w:pPr>
        <w:pStyle w:val="SingleTxtGA"/>
        <w:spacing w:after="100" w:line="374" w:lineRule="exact"/>
        <w:rPr>
          <w:rFonts w:ascii="Traditional Arabic" w:hAnsi="Traditional Arabic"/>
          <w:sz w:val="30"/>
          <w:rtl/>
        </w:rPr>
      </w:pPr>
      <w:r>
        <w:rPr>
          <w:rFonts w:ascii="Traditional Arabic" w:hAnsi="Traditional Arabic" w:hint="cs"/>
          <w:sz w:val="30"/>
          <w:rtl/>
        </w:rPr>
        <w:t>4-</w:t>
      </w:r>
      <w:r>
        <w:rPr>
          <w:rFonts w:ascii="Traditional Arabic" w:hAnsi="Traditional Arabic" w:hint="cs"/>
          <w:sz w:val="30"/>
          <w:rtl/>
        </w:rPr>
        <w:tab/>
        <w:t xml:space="preserve">لقد استوفت معظم طلبات الإجراءات </w:t>
      </w:r>
      <w:r w:rsidRPr="003869FC">
        <w:rPr>
          <w:rFonts w:ascii="Traditional Arabic" w:hAnsi="Traditional Arabic" w:hint="cs"/>
          <w:sz w:val="30"/>
          <w:rtl/>
        </w:rPr>
        <w:t>العاجل</w:t>
      </w:r>
      <w:r>
        <w:rPr>
          <w:rFonts w:ascii="Traditional Arabic" w:hAnsi="Traditional Arabic" w:hint="cs"/>
          <w:sz w:val="30"/>
          <w:rtl/>
        </w:rPr>
        <w:t>ة</w:t>
      </w:r>
      <w:r w:rsidRPr="003869FC">
        <w:rPr>
          <w:rFonts w:ascii="Traditional Arabic" w:hAnsi="Traditional Arabic" w:hint="cs"/>
          <w:sz w:val="30"/>
          <w:rtl/>
        </w:rPr>
        <w:t xml:space="preserve"> التي </w:t>
      </w:r>
      <w:r w:rsidRPr="0012499A">
        <w:rPr>
          <w:rFonts w:ascii="Traditional Arabic" w:hAnsi="Traditional Arabic" w:hint="cs"/>
          <w:sz w:val="30"/>
          <w:rtl/>
        </w:rPr>
        <w:t>قُدمت منذ الدورة الحادية</w:t>
      </w:r>
      <w:r w:rsidRPr="003869FC">
        <w:rPr>
          <w:rFonts w:ascii="Traditional Arabic" w:hAnsi="Traditional Arabic" w:hint="cs"/>
          <w:sz w:val="30"/>
          <w:rtl/>
        </w:rPr>
        <w:t xml:space="preserve"> عشرة معايير المقبولية منذ لحظة تقديمها. غير أن أربعة منها لم تُسجَّل نظراً ل</w:t>
      </w:r>
      <w:r>
        <w:rPr>
          <w:rFonts w:ascii="Traditional Arabic" w:hAnsi="Traditional Arabic" w:hint="cs"/>
          <w:sz w:val="30"/>
          <w:rtl/>
        </w:rPr>
        <w:t>تحديد</w:t>
      </w:r>
      <w:r w:rsidRPr="003869FC">
        <w:rPr>
          <w:rFonts w:ascii="Traditional Arabic" w:hAnsi="Traditional Arabic" w:hint="cs"/>
          <w:sz w:val="30"/>
          <w:rtl/>
        </w:rPr>
        <w:t xml:space="preserve"> أماكن وجود الأشخاص المدّعى أنهن ضحايا قبل التمكّن من تسجيل الطلبات، عقب بضع ساعات من مبادرة مقدميها إلى إرسالها.</w:t>
      </w:r>
    </w:p>
    <w:p w:rsidR="000E3EEE" w:rsidRPr="008D754B" w:rsidRDefault="00632384" w:rsidP="006B3F88">
      <w:pPr>
        <w:pStyle w:val="H23GA"/>
        <w:rPr>
          <w:rtl/>
        </w:rPr>
      </w:pPr>
      <w:r>
        <w:rPr>
          <w:rtl/>
        </w:rPr>
        <w:tab/>
      </w:r>
      <w:r w:rsidR="000E3EEE">
        <w:rPr>
          <w:rFonts w:hint="cs"/>
          <w:rtl/>
        </w:rPr>
        <w:t>2</w:t>
      </w:r>
      <w:r w:rsidR="000E3EEE" w:rsidRPr="0012499A">
        <w:rPr>
          <w:rFonts w:hint="cs"/>
          <w:rtl/>
        </w:rPr>
        <w:t>-</w:t>
      </w:r>
      <w:r>
        <w:rPr>
          <w:rtl/>
        </w:rPr>
        <w:tab/>
      </w:r>
      <w:r w:rsidR="000E3EEE" w:rsidRPr="0012499A">
        <w:rPr>
          <w:rFonts w:hint="cs"/>
          <w:rtl/>
        </w:rPr>
        <w:t>طلبات الإجراء</w:t>
      </w:r>
      <w:r w:rsidR="000E3EEE">
        <w:rPr>
          <w:rFonts w:hint="cs"/>
          <w:rtl/>
        </w:rPr>
        <w:t>ات</w:t>
      </w:r>
      <w:r w:rsidR="000E3EEE" w:rsidRPr="0012499A">
        <w:rPr>
          <w:rFonts w:hint="cs"/>
          <w:rtl/>
        </w:rPr>
        <w:t xml:space="preserve"> العاجل</w:t>
      </w:r>
      <w:r w:rsidR="000E3EEE">
        <w:rPr>
          <w:rFonts w:hint="cs"/>
          <w:rtl/>
        </w:rPr>
        <w:t>ة</w:t>
      </w:r>
      <w:r w:rsidR="000E3EEE" w:rsidRPr="0012499A">
        <w:rPr>
          <w:rFonts w:hint="cs"/>
          <w:rtl/>
        </w:rPr>
        <w:t xml:space="preserve"> التي خلت من معلومات عن مرتكبي فعل الإخفاء المحتملين أو</w:t>
      </w:r>
      <w:r w:rsidR="006B3F88">
        <w:rPr>
          <w:rFonts w:hint="eastAsia"/>
          <w:rtl/>
        </w:rPr>
        <w:t> </w:t>
      </w:r>
      <w:r w:rsidR="000E3EEE" w:rsidRPr="0012499A">
        <w:rPr>
          <w:rFonts w:hint="cs"/>
          <w:rtl/>
        </w:rPr>
        <w:t>ادُّعي فيها احتمال مشاركة أطراف فاعلة غير تابعة للدولة فيه</w:t>
      </w:r>
    </w:p>
    <w:p w:rsidR="000E3EEE" w:rsidRDefault="000E3EEE" w:rsidP="00991326">
      <w:pPr>
        <w:pStyle w:val="SingleTxtGA"/>
        <w:spacing w:after="100" w:line="374" w:lineRule="exact"/>
        <w:rPr>
          <w:rFonts w:ascii="Traditional Arabic" w:hAnsi="Traditional Arabic"/>
          <w:sz w:val="30"/>
          <w:rtl/>
        </w:rPr>
      </w:pPr>
      <w:r>
        <w:rPr>
          <w:rFonts w:ascii="Traditional Arabic" w:hAnsi="Traditional Arabic" w:hint="cs"/>
          <w:sz w:val="30"/>
          <w:rtl/>
        </w:rPr>
        <w:t>5-</w:t>
      </w:r>
      <w:r>
        <w:rPr>
          <w:rFonts w:ascii="Traditional Arabic" w:hAnsi="Traditional Arabic" w:hint="cs"/>
          <w:sz w:val="30"/>
          <w:rtl/>
        </w:rPr>
        <w:tab/>
        <w:t xml:space="preserve">على غرار الدورات السابقة، </w:t>
      </w:r>
      <w:r w:rsidRPr="0012499A">
        <w:rPr>
          <w:rFonts w:ascii="Traditional Arabic" w:hAnsi="Traditional Arabic" w:hint="cs"/>
          <w:sz w:val="30"/>
          <w:rtl/>
        </w:rPr>
        <w:t xml:space="preserve">تظل هوية مرتكبي جرائم الاختفاء مجهولةً في معظم الحالات. ويطرح </w:t>
      </w:r>
      <w:r>
        <w:rPr>
          <w:rFonts w:ascii="Traditional Arabic" w:hAnsi="Traditional Arabic" w:hint="cs"/>
          <w:sz w:val="30"/>
          <w:rtl/>
        </w:rPr>
        <w:t>مقدمو</w:t>
      </w:r>
      <w:r w:rsidRPr="0012499A">
        <w:rPr>
          <w:rFonts w:ascii="Traditional Arabic" w:hAnsi="Traditional Arabic" w:hint="cs"/>
          <w:sz w:val="30"/>
          <w:rtl/>
        </w:rPr>
        <w:t xml:space="preserve"> الطلبات بعض الافتراضات المبنية</w:t>
      </w:r>
      <w:r>
        <w:rPr>
          <w:rFonts w:ascii="Traditional Arabic" w:hAnsi="Traditional Arabic" w:hint="cs"/>
          <w:sz w:val="30"/>
          <w:rtl/>
        </w:rPr>
        <w:t xml:space="preserve"> أساساً على أقوال شهود أو على السياق الذي وقع فيه حادث الاختفاء. وينشأ التحدي الرئيسي في هذا السياق حينما يشير الطلب المقدم إشارة واضحة إلى احتمال تورّط أطراف فاعلة غير تابعة للدولة في الجريمة، مع انعدام أي شكل من </w:t>
      </w:r>
      <w:r w:rsidRPr="00C46B59">
        <w:rPr>
          <w:rFonts w:ascii="Traditional Arabic" w:hAnsi="Traditional Arabic" w:hint="cs"/>
          <w:sz w:val="30"/>
          <w:rtl/>
        </w:rPr>
        <w:t>أشكال</w:t>
      </w:r>
      <w:r>
        <w:rPr>
          <w:rFonts w:ascii="Traditional Arabic" w:hAnsi="Traditional Arabic" w:hint="cs"/>
          <w:sz w:val="30"/>
          <w:rtl/>
        </w:rPr>
        <w:t xml:space="preserve"> دعم الجريمة أو قبولها.</w:t>
      </w:r>
      <w:r w:rsidRPr="00C46B59">
        <w:rPr>
          <w:rFonts w:ascii="Traditional Arabic" w:hAnsi="Traditional Arabic" w:hint="cs"/>
          <w:sz w:val="30"/>
          <w:rtl/>
        </w:rPr>
        <w:t xml:space="preserve"> </w:t>
      </w:r>
    </w:p>
    <w:p w:rsidR="000E3EEE" w:rsidRDefault="00632384" w:rsidP="00991326">
      <w:pPr>
        <w:pStyle w:val="SingleTxtGA"/>
        <w:spacing w:after="100" w:line="374" w:lineRule="exact"/>
        <w:rPr>
          <w:rFonts w:ascii="Traditional Arabic" w:hAnsi="Traditional Arabic"/>
          <w:sz w:val="30"/>
          <w:rtl/>
        </w:rPr>
      </w:pPr>
      <w:r>
        <w:rPr>
          <w:rFonts w:ascii="Traditional Arabic" w:hAnsi="Traditional Arabic" w:hint="cs"/>
          <w:sz w:val="30"/>
          <w:rtl/>
        </w:rPr>
        <w:t>6-</w:t>
      </w:r>
      <w:r w:rsidR="000E3EEE">
        <w:rPr>
          <w:rFonts w:ascii="Traditional Arabic" w:hAnsi="Traditional Arabic" w:hint="cs"/>
          <w:sz w:val="30"/>
          <w:rtl/>
        </w:rPr>
        <w:tab/>
        <w:t>وفي هذا السياق، يذكر المقررون المثالين التاليين:</w:t>
      </w:r>
    </w:p>
    <w:p w:rsidR="000E3EEE" w:rsidRPr="00275C59" w:rsidRDefault="000E3EEE" w:rsidP="00991326">
      <w:pPr>
        <w:pStyle w:val="SingleTxtGA"/>
        <w:spacing w:after="100" w:line="374" w:lineRule="exact"/>
        <w:rPr>
          <w:rFonts w:ascii="Traditional Arabic" w:hAnsi="Traditional Arabic"/>
          <w:spacing w:val="-5"/>
          <w:sz w:val="30"/>
          <w:rtl/>
        </w:rPr>
      </w:pPr>
      <w:r w:rsidRPr="00275C59">
        <w:rPr>
          <w:rFonts w:ascii="Traditional Arabic" w:hAnsi="Traditional Arabic" w:hint="cs"/>
          <w:spacing w:val="-5"/>
          <w:sz w:val="30"/>
          <w:rtl/>
        </w:rPr>
        <w:tab/>
        <w:t>(أ)</w:t>
      </w:r>
      <w:r w:rsidRPr="00275C59">
        <w:rPr>
          <w:rFonts w:ascii="Traditional Arabic" w:hAnsi="Traditional Arabic" w:hint="cs"/>
          <w:spacing w:val="-5"/>
          <w:sz w:val="30"/>
          <w:rtl/>
        </w:rPr>
        <w:tab/>
        <w:t>طرح مقدمو أحد طلبات الإجراءات العاجلة عدة افتراضات منها احتمال أن يكون اختفاء الضحية قد وقع على إثر نشوء مشكلة شخصية بينها وبين خطيبها السابق. وفي حالة أخرى، أشار مقدمو الطلب إلى نشوب شجار بين الشخص المدعى أنه ضحية وفرد آخر على قطعة أرض. إلا أن مقدمي الطلبات قد أكدوا أيضاً، في كلتا الحالتين، أن هذه الادعاءات لا تعدو كونها مجرد افتراضات وأنه لا يمكن أن يُستبعد "في هذا السياق" احتمال تورّط موظفين ت</w:t>
      </w:r>
      <w:r w:rsidR="00556259" w:rsidRPr="00275C59">
        <w:rPr>
          <w:rFonts w:ascii="Traditional Arabic" w:hAnsi="Traditional Arabic" w:hint="cs"/>
          <w:spacing w:val="-5"/>
          <w:sz w:val="30"/>
          <w:rtl/>
        </w:rPr>
        <w:t>ابعين للدولة فيها؛</w:t>
      </w:r>
    </w:p>
    <w:p w:rsidR="000E3EEE" w:rsidRDefault="000E3EEE" w:rsidP="00991326">
      <w:pPr>
        <w:pStyle w:val="SingleTxtGA"/>
        <w:spacing w:after="100" w:line="374" w:lineRule="exact"/>
        <w:rPr>
          <w:rFonts w:ascii="Traditional Arabic" w:hAnsi="Traditional Arabic"/>
          <w:sz w:val="30"/>
          <w:rtl/>
        </w:rPr>
      </w:pPr>
      <w:r>
        <w:rPr>
          <w:rFonts w:ascii="Traditional Arabic" w:hAnsi="Traditional Arabic" w:hint="cs"/>
          <w:sz w:val="30"/>
          <w:rtl/>
        </w:rPr>
        <w:tab/>
        <w:t>(ب)</w:t>
      </w:r>
      <w:r>
        <w:rPr>
          <w:rFonts w:ascii="Traditional Arabic" w:hAnsi="Traditional Arabic" w:hint="cs"/>
          <w:sz w:val="30"/>
          <w:rtl/>
        </w:rPr>
        <w:tab/>
        <w:t>في حالة أخرى، لم يطرح مقدمو طلب الإجراءات العاجلة أي افتراضات صريحة لمشاركة الدولة الطرف، لكن يُستنتج منه بوضوح أن الأشخاص المختفين قادة مجتمعيون على خلاف مع أطراف فاعلة تابعة للدولة.</w:t>
      </w:r>
    </w:p>
    <w:p w:rsidR="000E3EEE" w:rsidRDefault="000E3EEE" w:rsidP="000E3EEE">
      <w:pPr>
        <w:pStyle w:val="SingleTxtGA"/>
        <w:rPr>
          <w:rFonts w:ascii="Traditional Arabic" w:hAnsi="Traditional Arabic"/>
          <w:sz w:val="30"/>
          <w:rtl/>
        </w:rPr>
      </w:pPr>
      <w:r>
        <w:rPr>
          <w:rFonts w:ascii="Traditional Arabic" w:hAnsi="Traditional Arabic" w:hint="cs"/>
          <w:sz w:val="30"/>
          <w:rtl/>
        </w:rPr>
        <w:lastRenderedPageBreak/>
        <w:t>7-</w:t>
      </w:r>
      <w:r>
        <w:rPr>
          <w:rFonts w:ascii="Traditional Arabic" w:hAnsi="Traditional Arabic" w:hint="cs"/>
          <w:sz w:val="30"/>
          <w:rtl/>
        </w:rPr>
        <w:tab/>
        <w:t>وقد اتُّخذ في هاتين الحالتين القراران التاليان:</w:t>
      </w:r>
      <w:r w:rsidR="00556259">
        <w:rPr>
          <w:rFonts w:ascii="Traditional Arabic" w:hAnsi="Traditional Arabic" w:hint="cs"/>
          <w:sz w:val="30"/>
          <w:rtl/>
        </w:rPr>
        <w:t xml:space="preserve"> </w:t>
      </w:r>
    </w:p>
    <w:p w:rsidR="000E3EEE" w:rsidRDefault="000E3EEE" w:rsidP="00737803">
      <w:pPr>
        <w:pStyle w:val="SingleTxtGA"/>
        <w:rPr>
          <w:rFonts w:ascii="Traditional Arabic" w:hAnsi="Traditional Arabic"/>
          <w:sz w:val="30"/>
          <w:rtl/>
        </w:rPr>
      </w:pPr>
      <w:r>
        <w:rPr>
          <w:rFonts w:ascii="Traditional Arabic" w:hAnsi="Traditional Arabic" w:hint="cs"/>
          <w:sz w:val="30"/>
          <w:rtl/>
        </w:rPr>
        <w:tab/>
        <w:t>(أ)</w:t>
      </w:r>
      <w:r>
        <w:rPr>
          <w:rFonts w:ascii="Traditional Arabic" w:hAnsi="Traditional Arabic" w:hint="cs"/>
          <w:sz w:val="30"/>
          <w:rtl/>
        </w:rPr>
        <w:tab/>
        <w:t>لما كان يستحيل إثبات مشاركة موظفين تابعين للدولة</w:t>
      </w:r>
      <w:r w:rsidR="00D221A1">
        <w:rPr>
          <w:rFonts w:ascii="Traditional Arabic" w:hAnsi="Traditional Arabic" w:hint="cs"/>
          <w:sz w:val="30"/>
          <w:rtl/>
        </w:rPr>
        <w:t xml:space="preserve"> </w:t>
      </w:r>
      <w:r>
        <w:rPr>
          <w:rFonts w:ascii="Traditional Arabic" w:hAnsi="Traditional Arabic" w:hint="cs"/>
          <w:sz w:val="30"/>
          <w:rtl/>
        </w:rPr>
        <w:t>بالفعل أو الدعم أو</w:t>
      </w:r>
      <w:r w:rsidR="00737803">
        <w:rPr>
          <w:rFonts w:ascii="Traditional Arabic" w:hAnsi="Traditional Arabic" w:hint="eastAsia"/>
          <w:sz w:val="30"/>
          <w:rtl/>
        </w:rPr>
        <w:t> </w:t>
      </w:r>
      <w:r>
        <w:rPr>
          <w:rFonts w:ascii="Traditional Arabic" w:hAnsi="Traditional Arabic" w:hint="cs"/>
          <w:sz w:val="30"/>
          <w:rtl/>
        </w:rPr>
        <w:t xml:space="preserve">القبول قبل انتهاء التحقيق، فقد سُجّل طلبا الإجراءات العاجلة وطُلب إلى الدولة الطرف تقديم معلومات عن إجراءات التحقيق التي اتخذتها </w:t>
      </w:r>
      <w:r>
        <w:rPr>
          <w:rFonts w:ascii="Traditional Arabic" w:hAnsi="Traditional Arabic" w:hint="cs"/>
          <w:sz w:val="30"/>
          <w:rtl/>
          <w:lang w:bidi="ar-EG"/>
        </w:rPr>
        <w:t xml:space="preserve">للعثور على </w:t>
      </w:r>
      <w:r>
        <w:rPr>
          <w:rFonts w:ascii="Traditional Arabic" w:hAnsi="Traditional Arabic" w:hint="cs"/>
          <w:sz w:val="30"/>
          <w:rtl/>
        </w:rPr>
        <w:t>الضحايا؛</w:t>
      </w:r>
    </w:p>
    <w:p w:rsidR="000E3EEE" w:rsidRDefault="000E3EEE" w:rsidP="00D221A1">
      <w:pPr>
        <w:pStyle w:val="SingleTxtGA"/>
        <w:rPr>
          <w:rFonts w:ascii="Traditional Arabic" w:hAnsi="Traditional Arabic"/>
          <w:sz w:val="30"/>
          <w:rtl/>
        </w:rPr>
      </w:pPr>
      <w:r>
        <w:rPr>
          <w:rFonts w:ascii="Traditional Arabic" w:hAnsi="Traditional Arabic" w:hint="cs"/>
          <w:sz w:val="30"/>
          <w:rtl/>
        </w:rPr>
        <w:tab/>
      </w:r>
      <w:r w:rsidR="00D221A1">
        <w:rPr>
          <w:rFonts w:ascii="Traditional Arabic" w:hAnsi="Traditional Arabic" w:hint="cs"/>
          <w:sz w:val="30"/>
          <w:rtl/>
        </w:rPr>
        <w:t>(</w:t>
      </w:r>
      <w:r>
        <w:rPr>
          <w:rFonts w:ascii="Traditional Arabic" w:hAnsi="Traditional Arabic" w:hint="cs"/>
          <w:sz w:val="30"/>
          <w:rtl/>
        </w:rPr>
        <w:t>ب)</w:t>
      </w:r>
      <w:r>
        <w:rPr>
          <w:rFonts w:ascii="Traditional Arabic" w:hAnsi="Traditional Arabic" w:hint="cs"/>
          <w:sz w:val="30"/>
          <w:rtl/>
        </w:rPr>
        <w:tab/>
        <w:t xml:space="preserve">في حالة القادة المجتمعيين، رأى المقررون أن المذكرة الموجهة إلى الدولة تضمنت جميع المعلومات المتاحة عن الدوائر </w:t>
      </w:r>
      <w:r>
        <w:rPr>
          <w:rFonts w:ascii="Traditional Arabic" w:hAnsi="Traditional Arabic" w:hint="cs"/>
          <w:sz w:val="30"/>
          <w:rtl/>
          <w:lang w:bidi="ar-EG"/>
        </w:rPr>
        <w:t>التي ينتمي إليها الضحايا</w:t>
      </w:r>
      <w:r>
        <w:rPr>
          <w:rFonts w:ascii="Traditional Arabic" w:hAnsi="Traditional Arabic" w:hint="cs"/>
          <w:sz w:val="30"/>
          <w:rtl/>
        </w:rPr>
        <w:t xml:space="preserve"> وعن اجتماعاتهم الأخيرة بأطراف فاعلة تابعة للدولة، حتى وإن لم تكن اللجنة في وضع يمكّنها من </w:t>
      </w:r>
      <w:r w:rsidRPr="00B214FA">
        <w:rPr>
          <w:rFonts w:ascii="Traditional Arabic" w:hAnsi="Traditional Arabic" w:hint="cs"/>
          <w:sz w:val="30"/>
          <w:rtl/>
        </w:rPr>
        <w:t xml:space="preserve">طرح فرضية </w:t>
      </w:r>
      <w:r>
        <w:rPr>
          <w:rFonts w:ascii="Traditional Arabic" w:hAnsi="Traditional Arabic" w:hint="cs"/>
          <w:sz w:val="30"/>
          <w:rtl/>
        </w:rPr>
        <w:t>ال</w:t>
      </w:r>
      <w:r w:rsidRPr="00B214FA">
        <w:rPr>
          <w:rFonts w:ascii="Traditional Arabic" w:hAnsi="Traditional Arabic" w:hint="cs"/>
          <w:sz w:val="30"/>
          <w:rtl/>
        </w:rPr>
        <w:t xml:space="preserve">مشاركة </w:t>
      </w:r>
      <w:r>
        <w:rPr>
          <w:rFonts w:ascii="Traditional Arabic" w:hAnsi="Traditional Arabic" w:hint="cs"/>
          <w:sz w:val="30"/>
          <w:rtl/>
        </w:rPr>
        <w:t>المحتملة ل</w:t>
      </w:r>
      <w:r w:rsidRPr="00B214FA">
        <w:rPr>
          <w:rFonts w:ascii="Traditional Arabic" w:hAnsi="Traditional Arabic" w:hint="cs"/>
          <w:sz w:val="30"/>
          <w:rtl/>
        </w:rPr>
        <w:t>موظفين</w:t>
      </w:r>
      <w:r>
        <w:rPr>
          <w:rFonts w:ascii="Traditional Arabic" w:hAnsi="Traditional Arabic" w:hint="cs"/>
          <w:sz w:val="30"/>
          <w:rtl/>
        </w:rPr>
        <w:t xml:space="preserve"> تابعين للدولة في الوقائع المشار إليها. </w:t>
      </w:r>
    </w:p>
    <w:p w:rsidR="000E3EEE" w:rsidRDefault="000E3EEE" w:rsidP="00737803">
      <w:pPr>
        <w:pStyle w:val="SingleTxtGA"/>
        <w:rPr>
          <w:rFonts w:ascii="Traditional Arabic" w:hAnsi="Traditional Arabic"/>
          <w:sz w:val="30"/>
          <w:rtl/>
        </w:rPr>
      </w:pPr>
      <w:r>
        <w:rPr>
          <w:rFonts w:ascii="Traditional Arabic" w:hAnsi="Traditional Arabic" w:hint="cs"/>
          <w:sz w:val="30"/>
          <w:rtl/>
        </w:rPr>
        <w:t>8-</w:t>
      </w:r>
      <w:r>
        <w:rPr>
          <w:rFonts w:ascii="Traditional Arabic" w:hAnsi="Traditional Arabic" w:hint="cs"/>
          <w:sz w:val="30"/>
          <w:rtl/>
        </w:rPr>
        <w:tab/>
        <w:t>وبالنظر إلى ما تقدم، يوصي المقررون بما يلي:</w:t>
      </w:r>
    </w:p>
    <w:p w:rsidR="000E3EEE" w:rsidRDefault="000E3EEE" w:rsidP="000E3EEE">
      <w:pPr>
        <w:pStyle w:val="SingleTxtGA"/>
        <w:rPr>
          <w:rFonts w:ascii="Traditional Arabic" w:hAnsi="Traditional Arabic"/>
          <w:sz w:val="30"/>
          <w:rtl/>
        </w:rPr>
      </w:pPr>
      <w:r>
        <w:rPr>
          <w:rFonts w:ascii="Traditional Arabic" w:hAnsi="Traditional Arabic" w:hint="cs"/>
          <w:sz w:val="30"/>
          <w:rtl/>
        </w:rPr>
        <w:tab/>
        <w:t>(أ)</w:t>
      </w:r>
      <w:r>
        <w:rPr>
          <w:rFonts w:ascii="Traditional Arabic" w:hAnsi="Traditional Arabic" w:hint="cs"/>
          <w:sz w:val="30"/>
          <w:rtl/>
        </w:rPr>
        <w:tab/>
        <w:t>يُقترح إدماج معيارين جديدين في معايير تسجيل طلبات الإجراءات العاجلة المقدمة بموجب المادة 30 من الاتفاقية على النحو التالي: يُسجل طلب الإجراء العاجل في حالات الاختفاء التي لا تتضح فيها هوية مرتكبي جريمة الاختفاء في الحالتين التاليتين:</w:t>
      </w:r>
    </w:p>
    <w:p w:rsidR="000E3EEE" w:rsidRDefault="000E3EEE" w:rsidP="00737803">
      <w:pPr>
        <w:pStyle w:val="Roman1GA"/>
        <w:tabs>
          <w:tab w:val="clear" w:pos="2310"/>
          <w:tab w:val="left" w:pos="2626"/>
        </w:tabs>
        <w:bidi/>
        <w:ind w:left="2626"/>
        <w:rPr>
          <w:rtl/>
        </w:rPr>
      </w:pPr>
      <w:r>
        <w:rPr>
          <w:rFonts w:hint="cs"/>
          <w:rtl/>
        </w:rPr>
        <w:t>متى طُرح احتمال مشاركة أطراف فاعلة غير تابعة للدولة فيها، ولو من دون دعم أو قبول، كمجرد فرضية لا يمكن إ</w:t>
      </w:r>
      <w:r>
        <w:rPr>
          <w:rFonts w:hint="cs"/>
          <w:rtl/>
          <w:lang w:bidi="ar-EG"/>
        </w:rPr>
        <w:t>ثباتها</w:t>
      </w:r>
      <w:r>
        <w:rPr>
          <w:rFonts w:hint="cs"/>
          <w:rtl/>
        </w:rPr>
        <w:t xml:space="preserve"> أو استبعادها من دون تحقيق وافٍ تجريه السلطات المختصة؛</w:t>
      </w:r>
    </w:p>
    <w:p w:rsidR="00D221A1" w:rsidRDefault="000E3EEE" w:rsidP="00737803">
      <w:pPr>
        <w:pStyle w:val="Roman1GA"/>
        <w:tabs>
          <w:tab w:val="clear" w:pos="2310"/>
          <w:tab w:val="left" w:pos="2626"/>
        </w:tabs>
        <w:bidi/>
        <w:ind w:left="2626"/>
        <w:rPr>
          <w:rtl/>
        </w:rPr>
      </w:pPr>
      <w:r w:rsidRPr="00CB1C71">
        <w:rPr>
          <w:rFonts w:hint="cs"/>
          <w:rtl/>
        </w:rPr>
        <w:t xml:space="preserve">متى </w:t>
      </w:r>
      <w:r>
        <w:rPr>
          <w:rFonts w:hint="cs"/>
          <w:rtl/>
        </w:rPr>
        <w:t>كان هناك</w:t>
      </w:r>
      <w:r w:rsidRPr="00B274EA">
        <w:rPr>
          <w:rFonts w:hint="cs"/>
          <w:rtl/>
        </w:rPr>
        <w:t xml:space="preserve"> خلاف أو توتر بين</w:t>
      </w:r>
      <w:r>
        <w:rPr>
          <w:rFonts w:hint="cs"/>
          <w:rtl/>
        </w:rPr>
        <w:t xml:space="preserve"> الشخص المختفي وأطراف فاعلة تابعة للدولة أو كان على صلة</w:t>
      </w:r>
      <w:r>
        <w:rPr>
          <w:rFonts w:hint="cs"/>
          <w:rtl/>
          <w:lang w:bidi="ar-EG"/>
        </w:rPr>
        <w:t xml:space="preserve"> بها بما يسمح، مع مراعاة سياق الوقائع، بطرح فرضية وقوع اختفاء قسري. </w:t>
      </w:r>
    </w:p>
    <w:p w:rsidR="000E3EEE" w:rsidRDefault="000E3EEE" w:rsidP="00D221A1">
      <w:pPr>
        <w:pStyle w:val="SingleTxtGA"/>
        <w:rPr>
          <w:rFonts w:ascii="Traditional Arabic" w:hAnsi="Traditional Arabic"/>
          <w:sz w:val="30"/>
          <w:rtl/>
        </w:rPr>
      </w:pPr>
      <w:r>
        <w:rPr>
          <w:rFonts w:ascii="Traditional Arabic" w:hAnsi="Traditional Arabic" w:hint="cs"/>
          <w:sz w:val="30"/>
          <w:rtl/>
        </w:rPr>
        <w:tab/>
        <w:t>(ب)</w:t>
      </w:r>
      <w:r>
        <w:rPr>
          <w:rFonts w:ascii="Traditional Arabic" w:hAnsi="Traditional Arabic" w:hint="cs"/>
          <w:sz w:val="30"/>
          <w:rtl/>
        </w:rPr>
        <w:tab/>
        <w:t xml:space="preserve">في كلتا الحالتين، إن أثبتت المعلومات المقدمة من الطرفين أثناء </w:t>
      </w:r>
      <w:r>
        <w:rPr>
          <w:rFonts w:ascii="Traditional Arabic" w:hAnsi="Traditional Arabic" w:hint="cs"/>
          <w:sz w:val="30"/>
          <w:rtl/>
          <w:lang w:bidi="ar-EG"/>
        </w:rPr>
        <w:t>عملية</w:t>
      </w:r>
      <w:r>
        <w:rPr>
          <w:rFonts w:ascii="Traditional Arabic" w:hAnsi="Traditional Arabic" w:hint="cs"/>
          <w:sz w:val="30"/>
          <w:rtl/>
        </w:rPr>
        <w:t xml:space="preserve"> الإجراء العاجل عدم تورّط أي موظفين تابعين للدولة على أي نحو، بما في ذلك بالدعم أو القبول، في حالة الاختفاء، تُغلق اللجنة طلب الإجراء العاجل.</w:t>
      </w:r>
    </w:p>
    <w:p w:rsidR="000E3EEE" w:rsidRPr="00C50A24" w:rsidRDefault="00D221A1" w:rsidP="00D221A1">
      <w:pPr>
        <w:pStyle w:val="H23GA"/>
        <w:rPr>
          <w:rtl/>
        </w:rPr>
      </w:pPr>
      <w:r>
        <w:rPr>
          <w:rtl/>
        </w:rPr>
        <w:tab/>
      </w:r>
      <w:r w:rsidR="000E3EEE" w:rsidRPr="00C50A24">
        <w:rPr>
          <w:rFonts w:hint="cs"/>
          <w:rtl/>
        </w:rPr>
        <w:t>3-</w:t>
      </w:r>
      <w:r w:rsidR="000E3EEE" w:rsidRPr="00C50A24">
        <w:rPr>
          <w:rFonts w:hint="cs"/>
          <w:rtl/>
        </w:rPr>
        <w:tab/>
        <w:t>طلبات الإجراء</w:t>
      </w:r>
      <w:r w:rsidR="000E3EEE">
        <w:rPr>
          <w:rFonts w:hint="cs"/>
          <w:rtl/>
        </w:rPr>
        <w:t>ات</w:t>
      </w:r>
      <w:r w:rsidR="000E3EEE" w:rsidRPr="00C50A24">
        <w:rPr>
          <w:rFonts w:hint="cs"/>
          <w:rtl/>
        </w:rPr>
        <w:t xml:space="preserve"> العاجل</w:t>
      </w:r>
      <w:r w:rsidR="000E3EEE">
        <w:rPr>
          <w:rFonts w:hint="cs"/>
          <w:rtl/>
        </w:rPr>
        <w:t>ة</w:t>
      </w:r>
      <w:r w:rsidR="000E3EEE" w:rsidRPr="00C50A24">
        <w:rPr>
          <w:rFonts w:hint="cs"/>
          <w:rtl/>
        </w:rPr>
        <w:t xml:space="preserve"> التي سُجلت بعد تحديد هوية الجناة: نطاق الإجراءات العاجلة فيما يتعلق بالتحقيق الهادف إلى </w:t>
      </w:r>
      <w:r w:rsidR="000E3EEE">
        <w:rPr>
          <w:rFonts w:hint="cs"/>
          <w:rtl/>
          <w:lang w:bidi="ar-EG"/>
        </w:rPr>
        <w:t xml:space="preserve">إثبات وقوع </w:t>
      </w:r>
      <w:r w:rsidR="000E3EEE" w:rsidRPr="00C50A24">
        <w:rPr>
          <w:rFonts w:hint="cs"/>
          <w:rtl/>
        </w:rPr>
        <w:t>الجريمة و</w:t>
      </w:r>
      <w:r w:rsidR="000E3EEE">
        <w:rPr>
          <w:rFonts w:hint="cs"/>
          <w:rtl/>
        </w:rPr>
        <w:t xml:space="preserve">تحديد </w:t>
      </w:r>
      <w:r w:rsidR="000E3EEE" w:rsidRPr="00C50A24">
        <w:rPr>
          <w:rFonts w:hint="cs"/>
          <w:rtl/>
        </w:rPr>
        <w:t>هوية المسؤولين عن</w:t>
      </w:r>
      <w:r w:rsidR="000E3EEE">
        <w:rPr>
          <w:rFonts w:hint="cs"/>
          <w:rtl/>
        </w:rPr>
        <w:t>ه</w:t>
      </w:r>
      <w:r w:rsidR="000E3EEE" w:rsidRPr="00C50A24">
        <w:rPr>
          <w:rFonts w:hint="cs"/>
          <w:rtl/>
        </w:rPr>
        <w:t xml:space="preserve"> </w:t>
      </w:r>
    </w:p>
    <w:p w:rsidR="000E3EEE" w:rsidRDefault="000E3EEE" w:rsidP="000E3EEE">
      <w:pPr>
        <w:pStyle w:val="SingleTxtGA"/>
        <w:rPr>
          <w:rFonts w:ascii="Traditional Arabic" w:hAnsi="Traditional Arabic"/>
          <w:sz w:val="30"/>
          <w:rtl/>
          <w:lang w:bidi="ar-EG"/>
        </w:rPr>
      </w:pPr>
      <w:r>
        <w:rPr>
          <w:rFonts w:ascii="Traditional Arabic" w:hAnsi="Traditional Arabic" w:hint="cs"/>
          <w:sz w:val="30"/>
          <w:rtl/>
        </w:rPr>
        <w:t>9-</w:t>
      </w:r>
      <w:r>
        <w:rPr>
          <w:rFonts w:ascii="Traditional Arabic" w:hAnsi="Traditional Arabic" w:hint="cs"/>
          <w:sz w:val="30"/>
          <w:rtl/>
        </w:rPr>
        <w:tab/>
        <w:t>لقد كان سياق أحد طلبات الإجراءات العاجلة يختلف كثير</w:t>
      </w:r>
      <w:r w:rsidR="001A63A8">
        <w:rPr>
          <w:rFonts w:ascii="Traditional Arabic" w:hAnsi="Traditional Arabic" w:hint="cs"/>
          <w:sz w:val="30"/>
          <w:rtl/>
        </w:rPr>
        <w:t xml:space="preserve">اً </w:t>
      </w:r>
      <w:r>
        <w:rPr>
          <w:rFonts w:ascii="Traditional Arabic" w:hAnsi="Traditional Arabic" w:hint="cs"/>
          <w:sz w:val="30"/>
          <w:rtl/>
        </w:rPr>
        <w:t xml:space="preserve">عن سياقات سائر الطلبات المسجلة. ففي هذه الحالة، اختفى الضحية في تشرين الثاني/نوفمبر 2013، فقدّم </w:t>
      </w:r>
      <w:r>
        <w:rPr>
          <w:rFonts w:ascii="Traditional Arabic" w:hAnsi="Traditional Arabic" w:hint="cs"/>
          <w:sz w:val="30"/>
          <w:rtl/>
          <w:lang w:bidi="ar-EG"/>
        </w:rPr>
        <w:t xml:space="preserve">أقاربه بلاغاً باختفائه إلى السلطات المختصة. وأسفرت التحقيقات عن محاكمة ثلاثة من أفراد الشرطة وإدانتهم بإخفائه. ورغم ذلك، ما زال مكان الضحية مجهولاً. وعلاوة على ذلك، أعرب مقدمو الطلب عند تقديمه عن قلقهم لأن شرطياً آخر يُحتمل تورطّه في الوقائع ما زال هارباً، وفقاً للمعلومات التي في حوزتهم. كما أن من المحتمل الآن أن يفرَج قريباً عن أفراد الشرطة الثلاثة المحتجزين، </w:t>
      </w:r>
      <w:r w:rsidRPr="003077AF">
        <w:rPr>
          <w:rFonts w:ascii="Traditional Arabic" w:hAnsi="Traditional Arabic" w:hint="cs"/>
          <w:sz w:val="30"/>
          <w:rtl/>
          <w:lang w:bidi="ar-EG"/>
        </w:rPr>
        <w:t>بينما لم يتّضح مصير الضحية</w:t>
      </w:r>
      <w:r>
        <w:rPr>
          <w:rFonts w:ascii="Traditional Arabic" w:hAnsi="Traditional Arabic" w:hint="cs"/>
          <w:sz w:val="30"/>
          <w:rtl/>
          <w:lang w:bidi="ar-EG"/>
        </w:rPr>
        <w:t xml:space="preserve"> ومكان وجوده.</w:t>
      </w:r>
    </w:p>
    <w:p w:rsidR="000E3EEE" w:rsidRDefault="000E3EEE" w:rsidP="000E3EEE">
      <w:pPr>
        <w:pStyle w:val="SingleTxtGA"/>
        <w:rPr>
          <w:rFonts w:ascii="Traditional Arabic" w:hAnsi="Traditional Arabic"/>
          <w:sz w:val="30"/>
          <w:rtl/>
          <w:lang w:bidi="ar-EG"/>
        </w:rPr>
      </w:pPr>
      <w:r>
        <w:rPr>
          <w:rFonts w:ascii="Traditional Arabic" w:hAnsi="Traditional Arabic" w:hint="cs"/>
          <w:sz w:val="30"/>
          <w:rtl/>
          <w:lang w:bidi="ar-EG"/>
        </w:rPr>
        <w:t>10-</w:t>
      </w:r>
      <w:r>
        <w:rPr>
          <w:rFonts w:ascii="Traditional Arabic" w:hAnsi="Traditional Arabic" w:hint="cs"/>
          <w:sz w:val="30"/>
          <w:rtl/>
          <w:lang w:bidi="ar-EG"/>
        </w:rPr>
        <w:tab/>
        <w:t xml:space="preserve">الإجراء المتّخذ: في هذه الحالة، تُمكّن الوقائع المعروضة اللجنة من التفريق بوضوح بين التحقيق الهادف إلى تحديد المسؤولية الجنائية لمرتكبي فعل الإخفاء ومسألة البحث عن الشخص </w:t>
      </w:r>
      <w:r>
        <w:rPr>
          <w:rFonts w:ascii="Traditional Arabic" w:hAnsi="Traditional Arabic" w:hint="cs"/>
          <w:sz w:val="30"/>
          <w:rtl/>
          <w:lang w:bidi="ar-EG"/>
        </w:rPr>
        <w:lastRenderedPageBreak/>
        <w:t xml:space="preserve">المختفي، إذ هما موضوعان كثيراً ما يخلط بينهما مقدمو الطلبات أو الدولة الطرف المعنيان. فقد طلبت اللجنة إلى الدولة الطرف في إشعار تسجيل هذا الإجراء العاجل ما يلي: </w:t>
      </w:r>
    </w:p>
    <w:p w:rsidR="000E3EEE" w:rsidRDefault="000E3EEE" w:rsidP="00D221A1">
      <w:pPr>
        <w:pStyle w:val="SingleTxtGA"/>
        <w:rPr>
          <w:rFonts w:ascii="Traditional Arabic" w:hAnsi="Traditional Arabic"/>
          <w:sz w:val="30"/>
          <w:rtl/>
          <w:lang w:bidi="ar-EG"/>
        </w:rPr>
      </w:pPr>
      <w:r>
        <w:rPr>
          <w:rFonts w:ascii="Traditional Arabic" w:hAnsi="Traditional Arabic" w:hint="cs"/>
          <w:sz w:val="30"/>
          <w:rtl/>
          <w:lang w:bidi="ar-EG"/>
        </w:rPr>
        <w:tab/>
        <w:t>(أ)</w:t>
      </w:r>
      <w:r>
        <w:rPr>
          <w:rFonts w:ascii="Traditional Arabic" w:hAnsi="Traditional Arabic" w:hint="cs"/>
          <w:sz w:val="30"/>
          <w:rtl/>
          <w:lang w:bidi="ar-EG"/>
        </w:rPr>
        <w:tab/>
        <w:t>اتخاذ جميع التدابير اللازمة للبحث عن الضحية وتحديد مكان وجوده؛</w:t>
      </w:r>
    </w:p>
    <w:p w:rsidR="000E3EEE" w:rsidRPr="001A779F" w:rsidRDefault="000E3EEE" w:rsidP="00D221A1">
      <w:pPr>
        <w:pStyle w:val="SingleTxtGA"/>
        <w:rPr>
          <w:rFonts w:ascii="Traditional Arabic" w:hAnsi="Traditional Arabic"/>
          <w:sz w:val="30"/>
          <w:rtl/>
          <w:lang w:bidi="ar-EG"/>
        </w:rPr>
      </w:pPr>
      <w:r>
        <w:rPr>
          <w:rFonts w:ascii="Traditional Arabic" w:hAnsi="Traditional Arabic" w:hint="cs"/>
          <w:sz w:val="30"/>
          <w:rtl/>
          <w:lang w:bidi="ar-EG"/>
        </w:rPr>
        <w:tab/>
        <w:t>(ب)</w:t>
      </w:r>
      <w:r>
        <w:rPr>
          <w:rFonts w:ascii="Traditional Arabic" w:hAnsi="Traditional Arabic" w:hint="cs"/>
          <w:sz w:val="30"/>
          <w:rtl/>
          <w:lang w:bidi="ar-EG"/>
        </w:rPr>
        <w:tab/>
        <w:t>ضمان ألا تتسبب القرارات المتخذة في هذه الحالة في إفلات الجناة من العقاب وألا تسفر عن ضياع الأدلة اللازمة لتحديد مكان الضحية؛</w:t>
      </w:r>
    </w:p>
    <w:p w:rsidR="000E3EEE" w:rsidRDefault="000E3EEE" w:rsidP="00D221A1">
      <w:pPr>
        <w:pStyle w:val="SingleTxtGA"/>
        <w:rPr>
          <w:rFonts w:ascii="Traditional Arabic" w:hAnsi="Traditional Arabic"/>
          <w:sz w:val="30"/>
          <w:rtl/>
          <w:lang w:bidi="ar-EG"/>
        </w:rPr>
      </w:pPr>
      <w:r>
        <w:rPr>
          <w:rFonts w:ascii="Traditional Arabic" w:hAnsi="Traditional Arabic" w:hint="cs"/>
          <w:sz w:val="30"/>
          <w:rtl/>
          <w:lang w:bidi="ar-EG"/>
        </w:rPr>
        <w:tab/>
        <w:t>(ج)</w:t>
      </w:r>
      <w:r>
        <w:rPr>
          <w:rFonts w:ascii="Traditional Arabic" w:hAnsi="Traditional Arabic" w:hint="cs"/>
          <w:sz w:val="30"/>
          <w:rtl/>
          <w:lang w:bidi="ar-EG"/>
        </w:rPr>
        <w:tab/>
        <w:t>اتخاذ جميع الإجراءات اللازمة للبحث عن الشرطي الرابع المدّعى تورطه في الوقائع وتنفيذ أمر التوقيف الصادر ضده.</w:t>
      </w:r>
    </w:p>
    <w:p w:rsidR="000E3EEE" w:rsidRDefault="000E3EEE" w:rsidP="000E3EEE">
      <w:pPr>
        <w:pStyle w:val="SingleTxtGA"/>
        <w:rPr>
          <w:rFonts w:ascii="Traditional Arabic" w:hAnsi="Traditional Arabic"/>
          <w:sz w:val="30"/>
          <w:rtl/>
          <w:lang w:bidi="ar-EG"/>
        </w:rPr>
      </w:pPr>
      <w:r>
        <w:rPr>
          <w:rFonts w:ascii="Traditional Arabic" w:hAnsi="Traditional Arabic" w:hint="cs"/>
          <w:sz w:val="30"/>
          <w:rtl/>
          <w:lang w:bidi="ar-EG"/>
        </w:rPr>
        <w:t>11-</w:t>
      </w:r>
      <w:r>
        <w:rPr>
          <w:rFonts w:ascii="Traditional Arabic" w:hAnsi="Traditional Arabic" w:hint="cs"/>
          <w:sz w:val="30"/>
          <w:rtl/>
          <w:lang w:bidi="ar-EG"/>
        </w:rPr>
        <w:tab/>
        <w:t>وفي الختام، يبرز المقررون في سياق الإجراءات العاجلة أهمية قصر تدخل اللجنة على المواضيع التي تدخل في دائرة اختصاصها بموجب المادة 30 من الاتفاقية. وينبغي، في هذا الصدد، توضيح أن موضوع المسؤولية الجنائية ليس من اختصاص اللجنة بموجب المادة 30. غير أن المقررين يرَون أن الإحالات الواردة إلى التحقيق الهادف إلى إثبات وقوع الجريمة وتحديد هوية المسؤولين عنها وثيق الصلة بمعظم الحالات، ذلك أن هذا التحقيق يطرح في كثير من الأحيان عناصر لازمة لتيسير تحديد مكان الضحايا (فإن عُرفت ملابسات الحادث وهوية مرتكبه، تيسّرت إمكانية الحصول على المعلومات المهمة لتحديد مكان الشخص المختفي).</w:t>
      </w:r>
    </w:p>
    <w:p w:rsidR="000E3EEE" w:rsidRPr="0005693F" w:rsidRDefault="00D221A1" w:rsidP="00D221A1">
      <w:pPr>
        <w:pStyle w:val="H1GA"/>
        <w:rPr>
          <w:rtl/>
          <w:lang w:bidi="ar-EG"/>
        </w:rPr>
      </w:pPr>
      <w:r>
        <w:rPr>
          <w:rtl/>
          <w:lang w:bidi="ar-EG"/>
        </w:rPr>
        <w:tab/>
      </w:r>
      <w:r w:rsidR="000E3EEE" w:rsidRPr="0005693F">
        <w:rPr>
          <w:rFonts w:hint="cs"/>
          <w:rtl/>
          <w:lang w:bidi="ar-EG"/>
        </w:rPr>
        <w:t>دال-</w:t>
      </w:r>
      <w:r w:rsidR="000E3EEE" w:rsidRPr="0005693F">
        <w:rPr>
          <w:rFonts w:hint="cs"/>
          <w:rtl/>
          <w:lang w:bidi="ar-EG"/>
        </w:rPr>
        <w:tab/>
        <w:t>سيْر الإجراءات العاجلة بعد تسجيلها: الاتجاهات الملاحظة منذ</w:t>
      </w:r>
      <w:r w:rsidR="000E3EEE">
        <w:rPr>
          <w:rFonts w:hint="cs"/>
          <w:rtl/>
          <w:lang w:bidi="ar-EG"/>
        </w:rPr>
        <w:t xml:space="preserve"> </w:t>
      </w:r>
      <w:r w:rsidR="000E3EEE" w:rsidRPr="0005693F">
        <w:rPr>
          <w:rFonts w:hint="cs"/>
          <w:rtl/>
          <w:lang w:bidi="ar-EG"/>
        </w:rPr>
        <w:t>الدورة الحادية عشرة</w:t>
      </w:r>
      <w:r w:rsidR="000E3EEE">
        <w:rPr>
          <w:rFonts w:hint="cs"/>
          <w:rtl/>
          <w:lang w:bidi="ar-EG"/>
        </w:rPr>
        <w:t xml:space="preserve"> (حتى 18 كانون الثاني/يناير 2017)</w:t>
      </w:r>
    </w:p>
    <w:p w:rsidR="000E3EEE" w:rsidRPr="0005693F" w:rsidRDefault="00D221A1" w:rsidP="00D221A1">
      <w:pPr>
        <w:pStyle w:val="H23GA"/>
        <w:rPr>
          <w:rtl/>
          <w:lang w:bidi="ar-EG"/>
        </w:rPr>
      </w:pPr>
      <w:r>
        <w:rPr>
          <w:rtl/>
          <w:lang w:bidi="ar-EG"/>
        </w:rPr>
        <w:tab/>
      </w:r>
      <w:r w:rsidR="000E3EEE" w:rsidRPr="0005693F">
        <w:rPr>
          <w:rFonts w:hint="cs"/>
          <w:rtl/>
          <w:lang w:bidi="ar-EG"/>
        </w:rPr>
        <w:t>1-</w:t>
      </w:r>
      <w:r w:rsidR="000E3EEE" w:rsidRPr="0005693F">
        <w:rPr>
          <w:rFonts w:hint="cs"/>
          <w:rtl/>
          <w:lang w:bidi="ar-EG"/>
        </w:rPr>
        <w:tab/>
        <w:t>التفاعل مع الدول الأطراف</w:t>
      </w:r>
    </w:p>
    <w:p w:rsidR="000E3EEE" w:rsidRDefault="000E3EEE" w:rsidP="001A63A8">
      <w:pPr>
        <w:pStyle w:val="SingleTxtGA"/>
        <w:rPr>
          <w:rFonts w:ascii="Traditional Arabic" w:hAnsi="Traditional Arabic"/>
          <w:sz w:val="30"/>
          <w:rtl/>
          <w:lang w:bidi="ar-EG"/>
        </w:rPr>
      </w:pPr>
      <w:r>
        <w:rPr>
          <w:rFonts w:ascii="Traditional Arabic" w:hAnsi="Traditional Arabic" w:hint="cs"/>
          <w:sz w:val="30"/>
          <w:rtl/>
          <w:lang w:bidi="ar-EG"/>
        </w:rPr>
        <w:t>12-</w:t>
      </w:r>
      <w:r>
        <w:rPr>
          <w:rFonts w:ascii="Traditional Arabic" w:hAnsi="Traditional Arabic" w:hint="cs"/>
          <w:sz w:val="30"/>
          <w:rtl/>
          <w:lang w:bidi="ar-EG"/>
        </w:rPr>
        <w:tab/>
        <w:t>تتصل اللجنة بالدول الأطراف عن طريق البعثة الدائمة لكل منها، بمذكرات شفوية بصفة رئيسية. وقد نُظمت في بعض المرات (في حالات طارئة أو عند ضرورة توضيح وضع ما</w:t>
      </w:r>
      <w:r w:rsidR="001A63A8">
        <w:rPr>
          <w:rFonts w:ascii="Traditional Arabic" w:hAnsi="Traditional Arabic" w:hint="eastAsia"/>
          <w:sz w:val="30"/>
          <w:rtl/>
          <w:lang w:bidi="ar-EG"/>
        </w:rPr>
        <w:t> </w:t>
      </w:r>
      <w:r>
        <w:rPr>
          <w:rFonts w:ascii="Traditional Arabic" w:hAnsi="Traditional Arabic" w:hint="cs"/>
          <w:sz w:val="30"/>
          <w:rtl/>
          <w:lang w:bidi="ar-EG"/>
        </w:rPr>
        <w:t xml:space="preserve">يتصل بعملية الإجراءات العاجلة) اجتماعات بين ممثلي البعثة الدائمة والمقررين، أو مع أمانة اللجنة بالنيابة عن المقررين. </w:t>
      </w:r>
    </w:p>
    <w:p w:rsidR="000E3EEE" w:rsidRDefault="000E3EEE" w:rsidP="001A63A8">
      <w:pPr>
        <w:pStyle w:val="SingleTxtGA"/>
        <w:rPr>
          <w:rFonts w:ascii="Traditional Arabic" w:hAnsi="Traditional Arabic"/>
          <w:sz w:val="30"/>
          <w:rtl/>
          <w:lang w:bidi="ar-EG"/>
        </w:rPr>
      </w:pPr>
      <w:r>
        <w:rPr>
          <w:rFonts w:ascii="Traditional Arabic" w:hAnsi="Traditional Arabic" w:hint="cs"/>
          <w:sz w:val="30"/>
          <w:rtl/>
          <w:lang w:bidi="ar-EG"/>
        </w:rPr>
        <w:t>13-</w:t>
      </w:r>
      <w:r>
        <w:rPr>
          <w:rFonts w:ascii="Traditional Arabic" w:hAnsi="Traditional Arabic" w:hint="cs"/>
          <w:sz w:val="30"/>
          <w:rtl/>
          <w:lang w:bidi="ar-EG"/>
        </w:rPr>
        <w:tab/>
        <w:t>وفي العديد من طلبات الإجراءات العاجلة، ما زال مقدموها يعربون عن قلقهم لأن السلطات المكلفة بالبحث والتحقيق ليست على علم بالإجراءات العاجلة المسجلة ولا</w:t>
      </w:r>
      <w:r w:rsidR="001A63A8">
        <w:rPr>
          <w:rFonts w:ascii="Traditional Arabic" w:hAnsi="Traditional Arabic" w:hint="eastAsia"/>
          <w:sz w:val="30"/>
          <w:rtl/>
          <w:lang w:bidi="ar-EG"/>
        </w:rPr>
        <w:t> </w:t>
      </w:r>
      <w:r>
        <w:rPr>
          <w:rFonts w:ascii="Traditional Arabic" w:hAnsi="Traditional Arabic" w:hint="cs"/>
          <w:sz w:val="30"/>
          <w:rtl/>
          <w:lang w:bidi="ar-EG"/>
        </w:rPr>
        <w:t xml:space="preserve">بتوصيات اللجنة. ووفقاً للقرار الذي </w:t>
      </w:r>
      <w:r w:rsidRPr="00897DB1">
        <w:rPr>
          <w:rFonts w:ascii="Traditional Arabic" w:hAnsi="Traditional Arabic" w:hint="cs"/>
          <w:sz w:val="30"/>
          <w:rtl/>
          <w:lang w:bidi="ar-EG"/>
        </w:rPr>
        <w:t>ا</w:t>
      </w:r>
      <w:r>
        <w:rPr>
          <w:rFonts w:ascii="Traditional Arabic" w:hAnsi="Traditional Arabic" w:hint="cs"/>
          <w:sz w:val="30"/>
          <w:rtl/>
          <w:lang w:bidi="ar-EG"/>
        </w:rPr>
        <w:t xml:space="preserve">عتمدته </w:t>
      </w:r>
      <w:r w:rsidRPr="00897DB1">
        <w:rPr>
          <w:rFonts w:ascii="Traditional Arabic" w:hAnsi="Traditional Arabic" w:hint="cs"/>
          <w:sz w:val="30"/>
          <w:rtl/>
          <w:lang w:bidi="ar-EG"/>
        </w:rPr>
        <w:t>اللجنة في جلستها العامة</w:t>
      </w:r>
      <w:r>
        <w:rPr>
          <w:rFonts w:ascii="Traditional Arabic" w:hAnsi="Traditional Arabic" w:hint="cs"/>
          <w:sz w:val="30"/>
          <w:rtl/>
          <w:lang w:bidi="ar-EG"/>
        </w:rPr>
        <w:t xml:space="preserve"> في الدورة الحادية عشرة، اتصلت الأمانة بالبعثتين الدائمتين للدولتين الطرفين اللتين سجّلت اللجنة بشأنهما أكبر عدد من الإجراءات العاجلة (المكسيك والعراق) بغرض بحث الخيارات الممكنة في هذا الصدد. وحتى هذا التاريخ، لم تمكّن هذه الاتصالات من إنشاء قناة اتصال مباشر بالسلطات المختصة في كل من الدولتين الطرفين.</w:t>
      </w:r>
    </w:p>
    <w:p w:rsidR="000E3EEE" w:rsidRPr="00D3272C" w:rsidRDefault="00D221A1" w:rsidP="00D221A1">
      <w:pPr>
        <w:pStyle w:val="H23GA"/>
        <w:rPr>
          <w:rtl/>
          <w:lang w:bidi="ar-EG"/>
        </w:rPr>
      </w:pPr>
      <w:r>
        <w:rPr>
          <w:rtl/>
          <w:lang w:bidi="ar-EG"/>
        </w:rPr>
        <w:tab/>
      </w:r>
      <w:r w:rsidR="000E3EEE" w:rsidRPr="00D3272C">
        <w:rPr>
          <w:rFonts w:hint="cs"/>
          <w:rtl/>
          <w:lang w:bidi="ar-EG"/>
        </w:rPr>
        <w:t>2-</w:t>
      </w:r>
      <w:r w:rsidR="000E3EEE" w:rsidRPr="00D3272C">
        <w:rPr>
          <w:rFonts w:hint="cs"/>
          <w:rtl/>
          <w:lang w:bidi="ar-EG"/>
        </w:rPr>
        <w:tab/>
        <w:t>ردود الدول الأطراف</w:t>
      </w:r>
    </w:p>
    <w:p w:rsidR="000E3EEE" w:rsidRPr="00737803" w:rsidRDefault="000E3EEE" w:rsidP="000E3EEE">
      <w:pPr>
        <w:pStyle w:val="SingleTxtGA"/>
        <w:rPr>
          <w:rFonts w:ascii="Traditional Arabic" w:hAnsi="Traditional Arabic"/>
          <w:spacing w:val="-2"/>
          <w:sz w:val="30"/>
          <w:rtl/>
        </w:rPr>
      </w:pPr>
      <w:r w:rsidRPr="00737803">
        <w:rPr>
          <w:rFonts w:ascii="Traditional Arabic" w:hAnsi="Traditional Arabic" w:hint="cs"/>
          <w:spacing w:val="-2"/>
          <w:sz w:val="30"/>
          <w:rtl/>
          <w:lang w:bidi="ar-EG"/>
        </w:rPr>
        <w:t>14-</w:t>
      </w:r>
      <w:r w:rsidRPr="00737803">
        <w:rPr>
          <w:rFonts w:ascii="Traditional Arabic" w:hAnsi="Traditional Arabic" w:hint="cs"/>
          <w:spacing w:val="-2"/>
          <w:sz w:val="30"/>
          <w:rtl/>
          <w:lang w:bidi="ar-EG"/>
        </w:rPr>
        <w:tab/>
        <w:t xml:space="preserve">ما زالت الدول الأطراف تردّ على معظم طلبات الإجراءات العاجلة المسجلة. وفي حال عدم ردها، توجَّه إليها رسائل تذكيرية. وقد قررت اللجنة، في دورتها الحادية عشرة، </w:t>
      </w:r>
      <w:r w:rsidRPr="00737803">
        <w:rPr>
          <w:rFonts w:ascii="Traditional Arabic" w:hAnsi="Traditional Arabic" w:hint="cs"/>
          <w:spacing w:val="-2"/>
          <w:sz w:val="30"/>
          <w:rtl/>
        </w:rPr>
        <w:t>الحد من وتيرة الرسائل التذكيرية الموجهة إلى الدولة الطرف المعنية في حال عدم ردها على مذكرات اللجنة.</w:t>
      </w:r>
    </w:p>
    <w:p w:rsidR="000E3EEE" w:rsidRDefault="000E3EEE" w:rsidP="000E3EEE">
      <w:pPr>
        <w:pStyle w:val="SingleTxtGA"/>
        <w:rPr>
          <w:rFonts w:ascii="Traditional Arabic" w:hAnsi="Traditional Arabic"/>
          <w:sz w:val="30"/>
          <w:rtl/>
        </w:rPr>
      </w:pPr>
      <w:r>
        <w:rPr>
          <w:rFonts w:ascii="Traditional Arabic" w:hAnsi="Traditional Arabic" w:hint="cs"/>
          <w:sz w:val="30"/>
          <w:rtl/>
          <w:lang w:bidi="ar-EG"/>
        </w:rPr>
        <w:t>15-</w:t>
      </w:r>
      <w:r>
        <w:rPr>
          <w:rFonts w:ascii="Traditional Arabic" w:hAnsi="Traditional Arabic" w:hint="cs"/>
          <w:sz w:val="30"/>
          <w:rtl/>
          <w:lang w:bidi="ar-EG"/>
        </w:rPr>
        <w:tab/>
        <w:t xml:space="preserve">وقد شرعت الأمانة منذ الدورة الحادية عشرة في تنفيذ هذا القرار، متّبعةً القاعدة التالية: </w:t>
      </w:r>
    </w:p>
    <w:p w:rsidR="000E3EEE" w:rsidRDefault="000E3EEE" w:rsidP="000E3EEE">
      <w:pPr>
        <w:pStyle w:val="SingleTxtGA"/>
        <w:rPr>
          <w:rFonts w:ascii="Traditional Arabic" w:hAnsi="Traditional Arabic"/>
          <w:sz w:val="30"/>
          <w:rtl/>
          <w:lang w:bidi="ar-EG"/>
        </w:rPr>
      </w:pPr>
      <w:r>
        <w:rPr>
          <w:rFonts w:ascii="Traditional Arabic" w:hAnsi="Traditional Arabic" w:hint="cs"/>
          <w:sz w:val="30"/>
          <w:rtl/>
          <w:lang w:bidi="ar-EG"/>
        </w:rPr>
        <w:lastRenderedPageBreak/>
        <w:tab/>
        <w:t>(أ)</w:t>
      </w:r>
      <w:r>
        <w:rPr>
          <w:rFonts w:ascii="Traditional Arabic" w:hAnsi="Traditional Arabic" w:hint="cs"/>
          <w:sz w:val="30"/>
          <w:rtl/>
          <w:lang w:bidi="ar-EG"/>
        </w:rPr>
        <w:tab/>
        <w:t>إن لم تردّ الدولة الطرف،</w:t>
      </w:r>
      <w:r w:rsidR="00D221A1">
        <w:rPr>
          <w:rFonts w:ascii="Traditional Arabic" w:hAnsi="Traditional Arabic" w:hint="cs"/>
          <w:sz w:val="30"/>
          <w:rtl/>
          <w:lang w:bidi="ar-EG"/>
        </w:rPr>
        <w:t xml:space="preserve"> توجّه إليها ثلاث رسائل تذكيرية؛</w:t>
      </w:r>
    </w:p>
    <w:p w:rsidR="000E3EEE" w:rsidRDefault="000E3EEE" w:rsidP="000E3EEE">
      <w:pPr>
        <w:pStyle w:val="SingleTxtGA"/>
        <w:rPr>
          <w:rFonts w:ascii="Traditional Arabic" w:hAnsi="Traditional Arabic"/>
          <w:sz w:val="30"/>
          <w:rtl/>
          <w:lang w:bidi="ar-EG"/>
        </w:rPr>
      </w:pPr>
      <w:r>
        <w:rPr>
          <w:rFonts w:ascii="Traditional Arabic" w:hAnsi="Traditional Arabic" w:hint="cs"/>
          <w:sz w:val="30"/>
          <w:rtl/>
          <w:lang w:bidi="ar-EG"/>
        </w:rPr>
        <w:tab/>
        <w:t>(ب)</w:t>
      </w:r>
      <w:r>
        <w:rPr>
          <w:rFonts w:ascii="Traditional Arabic" w:hAnsi="Traditional Arabic" w:hint="cs"/>
          <w:sz w:val="30"/>
          <w:rtl/>
          <w:lang w:bidi="ar-EG"/>
        </w:rPr>
        <w:tab/>
        <w:t>في حال عدم رد الدولة الطرف في سياق طلب الإجراء العاجل الأول المسجل بشأن وقائع حدثت فيها، إن استمر عدم ردها عقب توجيه الرسالة التذكيرية الثالثة إليها، يُدعى إلى عقد اجتماع بين المقررين (أو الأم</w:t>
      </w:r>
      <w:r w:rsidR="00D221A1">
        <w:rPr>
          <w:rFonts w:ascii="Traditional Arabic" w:hAnsi="Traditional Arabic" w:hint="cs"/>
          <w:sz w:val="30"/>
          <w:rtl/>
          <w:lang w:bidi="ar-EG"/>
        </w:rPr>
        <w:t>انة نيابة عنهم) والبعثة الدائمة؛</w:t>
      </w:r>
    </w:p>
    <w:p w:rsidR="000E3EEE" w:rsidRDefault="000E3EEE" w:rsidP="00D221A1">
      <w:pPr>
        <w:pStyle w:val="SingleTxtGA"/>
        <w:rPr>
          <w:rFonts w:ascii="Traditional Arabic" w:hAnsi="Traditional Arabic"/>
          <w:sz w:val="30"/>
          <w:rtl/>
          <w:lang w:bidi="ar-EG"/>
        </w:rPr>
      </w:pPr>
      <w:r>
        <w:rPr>
          <w:rFonts w:ascii="Traditional Arabic" w:hAnsi="Traditional Arabic" w:hint="cs"/>
          <w:sz w:val="30"/>
          <w:rtl/>
          <w:lang w:bidi="ar-EG"/>
        </w:rPr>
        <w:tab/>
        <w:t>(ج)</w:t>
      </w:r>
      <w:r>
        <w:rPr>
          <w:rFonts w:ascii="Traditional Arabic" w:hAnsi="Traditional Arabic" w:hint="cs"/>
          <w:sz w:val="30"/>
          <w:rtl/>
          <w:lang w:bidi="ar-EG"/>
        </w:rPr>
        <w:tab/>
        <w:t xml:space="preserve">في حال حدوث عدم الرد في سياق طلب إجراء عاجل مسجل بشأن </w:t>
      </w:r>
      <w:r w:rsidRPr="009C57AC">
        <w:rPr>
          <w:rFonts w:ascii="Traditional Arabic" w:hAnsi="Traditional Arabic" w:hint="cs"/>
          <w:sz w:val="30"/>
          <w:rtl/>
          <w:lang w:bidi="ar-EG"/>
        </w:rPr>
        <w:t>وقائع ادُّعي حدوثها في</w:t>
      </w:r>
      <w:r>
        <w:rPr>
          <w:rFonts w:ascii="Traditional Arabic" w:hAnsi="Traditional Arabic" w:hint="cs"/>
          <w:sz w:val="30"/>
          <w:rtl/>
          <w:lang w:bidi="ar-EG"/>
        </w:rPr>
        <w:t xml:space="preserve"> دولة طرف سبق أن سُجلت بشأنها طلبات إجراءات عاجلة، لا يُدعى إلى عقد اجتماع بين المقررين (أو الأمانة نيابة عنهم) والبعثة الدائمة إلا إذا وجدت ظروف خاصة تسمح بافتراض جد</w:t>
      </w:r>
      <w:r w:rsidR="00D221A1">
        <w:rPr>
          <w:rFonts w:ascii="Traditional Arabic" w:hAnsi="Traditional Arabic" w:hint="cs"/>
          <w:sz w:val="30"/>
          <w:rtl/>
          <w:lang w:bidi="ar-EG"/>
        </w:rPr>
        <w:t>وى عقد اجتماع مع البعثة الدائمة؛</w:t>
      </w:r>
    </w:p>
    <w:p w:rsidR="000E3EEE" w:rsidRPr="003077AF" w:rsidRDefault="000E3EEE" w:rsidP="00D221A1">
      <w:pPr>
        <w:pStyle w:val="SingleTxtGA"/>
        <w:rPr>
          <w:rFonts w:ascii="Traditional Arabic" w:hAnsi="Traditional Arabic"/>
          <w:sz w:val="30"/>
          <w:rtl/>
        </w:rPr>
      </w:pPr>
      <w:r>
        <w:rPr>
          <w:rFonts w:ascii="Traditional Arabic" w:hAnsi="Traditional Arabic" w:hint="cs"/>
          <w:sz w:val="30"/>
          <w:rtl/>
        </w:rPr>
        <w:tab/>
      </w:r>
      <w:r w:rsidR="00D221A1">
        <w:rPr>
          <w:rFonts w:ascii="Traditional Arabic" w:hAnsi="Traditional Arabic" w:hint="cs"/>
          <w:sz w:val="30"/>
          <w:rtl/>
        </w:rPr>
        <w:t>(د)</w:t>
      </w:r>
      <w:r w:rsidRPr="003077AF">
        <w:rPr>
          <w:rFonts w:ascii="Traditional Arabic" w:hAnsi="Traditional Arabic" w:hint="cs"/>
          <w:sz w:val="30"/>
          <w:rtl/>
        </w:rPr>
        <w:tab/>
        <w:t>في</w:t>
      </w:r>
      <w:r>
        <w:rPr>
          <w:rFonts w:ascii="Traditional Arabic" w:hAnsi="Traditional Arabic" w:hint="cs"/>
          <w:sz w:val="30"/>
          <w:rtl/>
        </w:rPr>
        <w:t xml:space="preserve"> سائر الحالات، توجَّه الرسالة التذكيرية الرابعة. وتشير اللجنة </w:t>
      </w:r>
      <w:r w:rsidRPr="003218D8">
        <w:rPr>
          <w:rFonts w:ascii="Traditional Arabic" w:hAnsi="Traditional Arabic" w:hint="cs"/>
          <w:sz w:val="30"/>
          <w:rtl/>
        </w:rPr>
        <w:t>فيها</w:t>
      </w:r>
      <w:r w:rsidRPr="003218D8">
        <w:rPr>
          <w:rFonts w:ascii="Traditional Arabic" w:hAnsi="Traditional Arabic"/>
          <w:sz w:val="30"/>
          <w:rtl/>
        </w:rPr>
        <w:t xml:space="preserve"> </w:t>
      </w:r>
      <w:r>
        <w:rPr>
          <w:rFonts w:ascii="Traditional Arabic" w:hAnsi="Traditional Arabic" w:hint="cs"/>
          <w:sz w:val="30"/>
          <w:rtl/>
        </w:rPr>
        <w:t xml:space="preserve">إلى الرسائل التذكيرية الثلاث التي وجهتها إلى الدولة الطرف وتذكّرها بالتزامها بموجب الاتفاقية بتقديم معلومات في غضون المهلة التي تحددها اللجنة، وفقاً للفقرتين 2 و3 من المادة 30 من الاتفاقية. كما تُحاط فيها الدولة الطرف علماً بأن للجنة، في حال عدم تلقيها رداً خلال المهلة </w:t>
      </w:r>
      <w:r w:rsidRPr="003077AF">
        <w:rPr>
          <w:rFonts w:ascii="Traditional Arabic" w:hAnsi="Traditional Arabic" w:hint="cs"/>
          <w:sz w:val="30"/>
          <w:rtl/>
        </w:rPr>
        <w:t>المشار إليها، أن ت</w:t>
      </w:r>
      <w:r>
        <w:rPr>
          <w:rFonts w:ascii="Traditional Arabic" w:hAnsi="Traditional Arabic" w:hint="cs"/>
          <w:sz w:val="30"/>
          <w:rtl/>
        </w:rPr>
        <w:t xml:space="preserve">قرر </w:t>
      </w:r>
      <w:r w:rsidRPr="003077AF">
        <w:rPr>
          <w:rFonts w:ascii="Traditional Arabic" w:hAnsi="Traditional Arabic" w:hint="cs"/>
          <w:sz w:val="30"/>
          <w:rtl/>
        </w:rPr>
        <w:t>نشر هذه المعلومة في تقرير دورتها المتعلق بالإجراءات العاجلة، وفي تقريرها المقبل المقدم إلى الجمعية العامة. ويُتخذ هذا</w:t>
      </w:r>
      <w:r w:rsidR="00556259">
        <w:rPr>
          <w:rFonts w:ascii="Traditional Arabic" w:hAnsi="Traditional Arabic" w:hint="cs"/>
          <w:sz w:val="30"/>
          <w:rtl/>
        </w:rPr>
        <w:t xml:space="preserve"> القرار في اجتماع اللجنة التالي؛</w:t>
      </w:r>
    </w:p>
    <w:p w:rsidR="000E3EEE" w:rsidRDefault="000E3EEE" w:rsidP="00D221A1">
      <w:pPr>
        <w:pStyle w:val="SingleTxtGA"/>
        <w:rPr>
          <w:rFonts w:ascii="Traditional Arabic" w:hAnsi="Traditional Arabic"/>
          <w:sz w:val="30"/>
          <w:rtl/>
        </w:rPr>
      </w:pPr>
      <w:r w:rsidRPr="003077AF">
        <w:rPr>
          <w:rFonts w:ascii="Traditional Arabic" w:hAnsi="Traditional Arabic" w:hint="cs"/>
          <w:sz w:val="30"/>
          <w:rtl/>
        </w:rPr>
        <w:tab/>
        <w:t>(هـ)</w:t>
      </w:r>
      <w:r w:rsidRPr="003077AF">
        <w:rPr>
          <w:rFonts w:ascii="Traditional Arabic" w:hAnsi="Traditional Arabic" w:hint="cs"/>
          <w:sz w:val="30"/>
          <w:rtl/>
        </w:rPr>
        <w:tab/>
        <w:t xml:space="preserve"> أياً كان القرار المتَّخذ بشأن تضمين تقرير اللجنة معلومة </w:t>
      </w:r>
      <w:r>
        <w:rPr>
          <w:rFonts w:ascii="Traditional Arabic" w:hAnsi="Traditional Arabic" w:hint="cs"/>
          <w:sz w:val="30"/>
          <w:rtl/>
        </w:rPr>
        <w:t xml:space="preserve">عن </w:t>
      </w:r>
      <w:r w:rsidRPr="003077AF">
        <w:rPr>
          <w:rFonts w:ascii="Traditional Arabic" w:hAnsi="Traditional Arabic" w:hint="cs"/>
          <w:sz w:val="30"/>
          <w:rtl/>
        </w:rPr>
        <w:t>عدم</w:t>
      </w:r>
      <w:r>
        <w:rPr>
          <w:rFonts w:ascii="Traditional Arabic" w:hAnsi="Traditional Arabic" w:hint="cs"/>
          <w:sz w:val="30"/>
          <w:rtl/>
        </w:rPr>
        <w:t xml:space="preserve"> رد الدولة الطرف، يُوضع حدّ لتوجيه الرسائل التذكيرية إليها (رسالة واحدة كل ستة أشهر لا غير) وإذا جرى تقديم رد، تستعرضه بمناسبة كل دورة من دوراتها.</w:t>
      </w:r>
    </w:p>
    <w:p w:rsidR="000E3EEE" w:rsidRDefault="000E3EEE" w:rsidP="000E3EEE">
      <w:pPr>
        <w:pStyle w:val="SingleTxtGA"/>
        <w:rPr>
          <w:rFonts w:ascii="Traditional Arabic" w:hAnsi="Traditional Arabic"/>
          <w:sz w:val="30"/>
          <w:rtl/>
        </w:rPr>
      </w:pPr>
      <w:r>
        <w:rPr>
          <w:rFonts w:ascii="Traditional Arabic" w:hAnsi="Traditional Arabic" w:hint="cs"/>
          <w:sz w:val="30"/>
          <w:rtl/>
        </w:rPr>
        <w:t>16-</w:t>
      </w:r>
      <w:r>
        <w:rPr>
          <w:rFonts w:ascii="Traditional Arabic" w:hAnsi="Traditional Arabic" w:hint="cs"/>
          <w:sz w:val="30"/>
          <w:rtl/>
        </w:rPr>
        <w:tab/>
        <w:t>وفي الفترة المشمولة بهذا التقرير، وُجهت رسالة تذكيرية رابعة إلى العراق بشأن 23 طلباً مسجلاً لإجراءات عاجلة تتعلق بوقائع حدثت فيه. وعقدت اللجنة خلال دورتها الثانية عشرة اجتماعاً ثنائياً مع البعثة الدائمة للعراق لكي تتاح للدولة الطرف فرصة عرض أسباب عدم تمكنها من الرد على مذكرات اللجنة. وبعد توضيح بعض المسائل المتعلقة بعملية الإجراءات العاجلة، تعهّدت بإرسال معلومات إلى اللجنة عن الإجراءات العاجلة المشار إليها في الأسابيع التالية لانتهاء الدورة.</w:t>
      </w:r>
    </w:p>
    <w:p w:rsidR="000E3EEE" w:rsidRDefault="000E3EEE" w:rsidP="000E3EEE">
      <w:pPr>
        <w:pStyle w:val="SingleTxtGA"/>
        <w:rPr>
          <w:rFonts w:ascii="Traditional Arabic" w:hAnsi="Traditional Arabic"/>
          <w:sz w:val="30"/>
          <w:rtl/>
        </w:rPr>
      </w:pPr>
      <w:r>
        <w:rPr>
          <w:rFonts w:ascii="Traditional Arabic" w:hAnsi="Traditional Arabic" w:hint="cs"/>
          <w:sz w:val="30"/>
          <w:rtl/>
        </w:rPr>
        <w:t>17-</w:t>
      </w:r>
      <w:r>
        <w:rPr>
          <w:rFonts w:ascii="Traditional Arabic" w:hAnsi="Traditional Arabic" w:hint="cs"/>
          <w:sz w:val="30"/>
          <w:rtl/>
        </w:rPr>
        <w:tab/>
        <w:t xml:space="preserve">وفيما يتعلق بمضمون ردود الدول الأطراف، تكرر تأكيد الاتجاهات ذاتها الملاحظة في التقرير المعتمد في الدورة الحادية عشرة (انظر </w:t>
      </w:r>
      <w:r w:rsidRPr="00C0767C">
        <w:t>CED/C/11/3</w:t>
      </w:r>
      <w:r>
        <w:rPr>
          <w:rFonts w:ascii="Traditional Arabic" w:hAnsi="Traditional Arabic" w:hint="cs"/>
          <w:sz w:val="30"/>
          <w:rtl/>
        </w:rPr>
        <w:t xml:space="preserve">). ومنها يمكن إبراز مسألة عدم الرد على أسئلة اللجنة وتوصياتها وعدم الرد على المسائل المتصلة بالأسس الموضوعية. غير أنه ينبغي التأكيد أن المعلومات المقدمة من الدول الأطراف في سياق الإجراءات العاجلة قد مكّنت مقدمي </w:t>
      </w:r>
      <w:r w:rsidRPr="003077AF">
        <w:rPr>
          <w:rFonts w:ascii="Traditional Arabic" w:hAnsi="Traditional Arabic" w:hint="cs"/>
          <w:sz w:val="30"/>
          <w:rtl/>
        </w:rPr>
        <w:t>الطلبات</w:t>
      </w:r>
      <w:r>
        <w:rPr>
          <w:rFonts w:ascii="Traditional Arabic" w:hAnsi="Traditional Arabic" w:hint="cs"/>
          <w:sz w:val="30"/>
          <w:rtl/>
        </w:rPr>
        <w:t xml:space="preserve">، </w:t>
      </w:r>
      <w:r w:rsidRPr="00C54B6D">
        <w:rPr>
          <w:rFonts w:ascii="Traditional Arabic" w:hAnsi="Traditional Arabic" w:hint="cs"/>
          <w:sz w:val="30"/>
          <w:rtl/>
        </w:rPr>
        <w:t>في</w:t>
      </w:r>
      <w:r w:rsidRPr="00C54B6D">
        <w:rPr>
          <w:rFonts w:ascii="Traditional Arabic" w:hAnsi="Traditional Arabic"/>
          <w:sz w:val="30"/>
          <w:rtl/>
        </w:rPr>
        <w:t xml:space="preserve"> </w:t>
      </w:r>
      <w:r w:rsidRPr="00C54B6D">
        <w:rPr>
          <w:rFonts w:ascii="Traditional Arabic" w:hAnsi="Traditional Arabic" w:hint="cs"/>
          <w:sz w:val="30"/>
          <w:rtl/>
        </w:rPr>
        <w:t>العديد</w:t>
      </w:r>
      <w:r w:rsidRPr="00C54B6D">
        <w:rPr>
          <w:rFonts w:ascii="Traditional Arabic" w:hAnsi="Traditional Arabic"/>
          <w:sz w:val="30"/>
          <w:rtl/>
        </w:rPr>
        <w:t xml:space="preserve"> </w:t>
      </w:r>
      <w:r w:rsidRPr="00C54B6D">
        <w:rPr>
          <w:rFonts w:ascii="Traditional Arabic" w:hAnsi="Traditional Arabic" w:hint="cs"/>
          <w:sz w:val="30"/>
          <w:rtl/>
        </w:rPr>
        <w:t>من</w:t>
      </w:r>
      <w:r w:rsidRPr="00C54B6D">
        <w:rPr>
          <w:rFonts w:ascii="Traditional Arabic" w:hAnsi="Traditional Arabic"/>
          <w:sz w:val="30"/>
          <w:rtl/>
        </w:rPr>
        <w:t xml:space="preserve"> </w:t>
      </w:r>
      <w:r w:rsidRPr="00C54B6D">
        <w:rPr>
          <w:rFonts w:ascii="Traditional Arabic" w:hAnsi="Traditional Arabic" w:hint="cs"/>
          <w:sz w:val="30"/>
          <w:rtl/>
        </w:rPr>
        <w:t>الحالات</w:t>
      </w:r>
      <w:r>
        <w:rPr>
          <w:rFonts w:ascii="Traditional Arabic" w:hAnsi="Traditional Arabic" w:hint="cs"/>
          <w:sz w:val="30"/>
          <w:rtl/>
        </w:rPr>
        <w:t>،</w:t>
      </w:r>
      <w:r w:rsidRPr="003077AF">
        <w:rPr>
          <w:rFonts w:ascii="Traditional Arabic" w:hAnsi="Traditional Arabic" w:hint="cs"/>
          <w:sz w:val="30"/>
          <w:rtl/>
        </w:rPr>
        <w:t xml:space="preserve"> من الحصول</w:t>
      </w:r>
      <w:r>
        <w:rPr>
          <w:rFonts w:ascii="Traditional Arabic" w:hAnsi="Traditional Arabic" w:hint="cs"/>
          <w:sz w:val="30"/>
          <w:rtl/>
        </w:rPr>
        <w:t xml:space="preserve"> على معلومات حيوية عن إجراءات البحث والتحقيق لم يُسمح لهم بالحصول عليها </w:t>
      </w:r>
      <w:r w:rsidRPr="00C54B6D">
        <w:rPr>
          <w:rFonts w:ascii="Traditional Arabic" w:hAnsi="Traditional Arabic" w:hint="cs"/>
          <w:sz w:val="30"/>
          <w:rtl/>
        </w:rPr>
        <w:t>من</w:t>
      </w:r>
      <w:r w:rsidRPr="00C54B6D">
        <w:rPr>
          <w:rFonts w:ascii="Traditional Arabic" w:hAnsi="Traditional Arabic"/>
          <w:sz w:val="30"/>
          <w:rtl/>
        </w:rPr>
        <w:t xml:space="preserve"> </w:t>
      </w:r>
      <w:r w:rsidRPr="00C54B6D">
        <w:rPr>
          <w:rFonts w:ascii="Traditional Arabic" w:hAnsi="Traditional Arabic" w:hint="cs"/>
          <w:sz w:val="30"/>
          <w:rtl/>
        </w:rPr>
        <w:t>قبل</w:t>
      </w:r>
      <w:r>
        <w:rPr>
          <w:rFonts w:ascii="Traditional Arabic" w:hAnsi="Traditional Arabic" w:hint="cs"/>
          <w:sz w:val="30"/>
          <w:rtl/>
        </w:rPr>
        <w:t>.</w:t>
      </w:r>
    </w:p>
    <w:p w:rsidR="000E3EEE" w:rsidRDefault="000E3EEE" w:rsidP="000E3EEE">
      <w:pPr>
        <w:pStyle w:val="SingleTxtGA"/>
        <w:rPr>
          <w:rFonts w:ascii="Traditional Arabic" w:hAnsi="Traditional Arabic"/>
          <w:sz w:val="30"/>
          <w:rtl/>
        </w:rPr>
      </w:pPr>
      <w:r>
        <w:rPr>
          <w:rFonts w:ascii="Traditional Arabic" w:hAnsi="Traditional Arabic" w:hint="cs"/>
          <w:sz w:val="30"/>
          <w:rtl/>
        </w:rPr>
        <w:t>18-</w:t>
      </w:r>
      <w:r>
        <w:rPr>
          <w:rFonts w:ascii="Traditional Arabic" w:hAnsi="Traditional Arabic" w:hint="cs"/>
          <w:sz w:val="30"/>
          <w:rtl/>
        </w:rPr>
        <w:tab/>
        <w:t xml:space="preserve">توصية المقررين: زيادة فرص التفاعل مع السلطات الوطنية والتدريب على عملية الإجراءات العاجلة وأهدافها، بالتنسيق مع كل من المكاتب الميدانية لمفوضية الأمم المتحدة السامية لحقوق الإنسان والبرنامج المتعلق ببناء قدرات هيئات المعاهدات، من أجل التوعية بنطاق الإجراءات الخاصة وأهدافها. </w:t>
      </w:r>
    </w:p>
    <w:p w:rsidR="000E3EEE" w:rsidRPr="000C0F03" w:rsidRDefault="00D221A1" w:rsidP="00D221A1">
      <w:pPr>
        <w:pStyle w:val="H23GA"/>
        <w:rPr>
          <w:rtl/>
        </w:rPr>
      </w:pPr>
      <w:r>
        <w:rPr>
          <w:rtl/>
        </w:rPr>
        <w:lastRenderedPageBreak/>
        <w:tab/>
      </w:r>
      <w:r w:rsidR="000E3EEE" w:rsidRPr="000C0F03">
        <w:rPr>
          <w:rFonts w:hint="cs"/>
          <w:rtl/>
        </w:rPr>
        <w:t>3-</w:t>
      </w:r>
      <w:r w:rsidR="000E3EEE" w:rsidRPr="000C0F03">
        <w:rPr>
          <w:rFonts w:hint="cs"/>
          <w:rtl/>
        </w:rPr>
        <w:tab/>
        <w:t xml:space="preserve">التفاعل مع </w:t>
      </w:r>
      <w:r w:rsidR="000E3EEE">
        <w:rPr>
          <w:rFonts w:hint="cs"/>
          <w:rtl/>
        </w:rPr>
        <w:t>مقدمي</w:t>
      </w:r>
      <w:r w:rsidR="000E3EEE" w:rsidRPr="000C0F03">
        <w:rPr>
          <w:rFonts w:hint="cs"/>
          <w:rtl/>
        </w:rPr>
        <w:t xml:space="preserve"> الطلبات</w:t>
      </w:r>
    </w:p>
    <w:p w:rsidR="000E3EEE" w:rsidRDefault="000E3EEE" w:rsidP="00F87DAA">
      <w:pPr>
        <w:pStyle w:val="SingleTxtGA"/>
        <w:spacing w:after="100" w:line="376" w:lineRule="exact"/>
        <w:rPr>
          <w:rFonts w:ascii="Traditional Arabic" w:hAnsi="Traditional Arabic"/>
          <w:sz w:val="30"/>
          <w:rtl/>
        </w:rPr>
      </w:pPr>
      <w:r>
        <w:rPr>
          <w:rFonts w:ascii="Traditional Arabic" w:hAnsi="Traditional Arabic" w:hint="cs"/>
          <w:sz w:val="30"/>
          <w:rtl/>
        </w:rPr>
        <w:t>19-</w:t>
      </w:r>
      <w:r>
        <w:rPr>
          <w:rFonts w:ascii="Traditional Arabic" w:hAnsi="Traditional Arabic" w:hint="cs"/>
          <w:sz w:val="30"/>
          <w:rtl/>
        </w:rPr>
        <w:tab/>
        <w:t xml:space="preserve"> تظل الأمانة على اتصال دائم بمقدمي طلبات الإجراءات العاجلة، بتوجيه رسائل إليهم باسم اللجنة </w:t>
      </w:r>
      <w:r w:rsidRPr="00B274EA">
        <w:rPr>
          <w:rFonts w:ascii="Traditional Arabic" w:hAnsi="Traditional Arabic" w:hint="cs"/>
          <w:sz w:val="30"/>
          <w:rtl/>
        </w:rPr>
        <w:t>بصفة رئيسية</w:t>
      </w:r>
      <w:r w:rsidRPr="00BB2BBE">
        <w:rPr>
          <w:rFonts w:ascii="Traditional Arabic" w:hAnsi="Traditional Arabic" w:hint="cs"/>
          <w:sz w:val="30"/>
          <w:rtl/>
        </w:rPr>
        <w:t>، لكن أيضاً على نحو أكثر مباشرة</w:t>
      </w:r>
      <w:r>
        <w:rPr>
          <w:rFonts w:ascii="Traditional Arabic" w:hAnsi="Traditional Arabic" w:hint="cs"/>
          <w:sz w:val="30"/>
          <w:rtl/>
        </w:rPr>
        <w:t xml:space="preserve"> بالبريد الإلكتروني والمكالمات الهاتفية. ووفقاً لهذه الاتصالات، يمكن إبراز الاتجاهات المشار إليها أدناه.</w:t>
      </w:r>
    </w:p>
    <w:p w:rsidR="000E3EEE" w:rsidRDefault="000E3EEE" w:rsidP="00F87DAA">
      <w:pPr>
        <w:pStyle w:val="SingleTxtGA"/>
        <w:spacing w:after="100" w:line="376" w:lineRule="exact"/>
        <w:rPr>
          <w:rFonts w:ascii="Traditional Arabic" w:hAnsi="Traditional Arabic"/>
          <w:sz w:val="30"/>
          <w:rtl/>
        </w:rPr>
      </w:pPr>
      <w:r>
        <w:rPr>
          <w:rFonts w:ascii="Traditional Arabic" w:hAnsi="Traditional Arabic" w:hint="cs"/>
          <w:sz w:val="30"/>
          <w:rtl/>
        </w:rPr>
        <w:t>20-</w:t>
      </w:r>
      <w:r>
        <w:rPr>
          <w:rFonts w:ascii="Traditional Arabic" w:hAnsi="Traditional Arabic" w:hint="cs"/>
          <w:sz w:val="30"/>
          <w:rtl/>
        </w:rPr>
        <w:tab/>
        <w:t>وما برح مقدمو الطلبات يبرزون أهمية الدعم المقدم من اللجنة، التي وجدوا فيها مخاطب</w:t>
      </w:r>
      <w:r w:rsidR="001A63A8">
        <w:rPr>
          <w:rFonts w:ascii="Traditional Arabic" w:hAnsi="Traditional Arabic" w:hint="cs"/>
          <w:sz w:val="30"/>
          <w:rtl/>
        </w:rPr>
        <w:t xml:space="preserve">اً </w:t>
      </w:r>
      <w:r>
        <w:rPr>
          <w:rFonts w:ascii="Traditional Arabic" w:hAnsi="Traditional Arabic" w:hint="cs"/>
          <w:sz w:val="30"/>
          <w:rtl/>
        </w:rPr>
        <w:t>بعد أن باءت بالفشل محاولاتهم العديدة للاتصال بالسلطات الوطنية. وفي بعض الحالات، طلب مقدمو الطلبات (الأقارب أساساً) إلى اللجنة الدعم المباشر بالتدخل لدى السلطات الوطنية كوسيط. وفي مثل هذه الحالات، تسعى الأمانة دوماً إلى دعم الأشخاص محترمةً نطاق اختصاص اللجنة وفقاً للمادة 30 من الاتفاقية.</w:t>
      </w:r>
    </w:p>
    <w:p w:rsidR="000E3EEE" w:rsidRPr="009C558B" w:rsidRDefault="00D221A1" w:rsidP="00D221A1">
      <w:pPr>
        <w:pStyle w:val="H23GA"/>
        <w:rPr>
          <w:rtl/>
        </w:rPr>
      </w:pPr>
      <w:r>
        <w:rPr>
          <w:rtl/>
        </w:rPr>
        <w:tab/>
      </w:r>
      <w:r w:rsidR="000E3EEE">
        <w:rPr>
          <w:rFonts w:hint="cs"/>
          <w:rtl/>
        </w:rPr>
        <w:t>4</w:t>
      </w:r>
      <w:r w:rsidR="000E3EEE" w:rsidRPr="001D7014">
        <w:rPr>
          <w:rFonts w:hint="cs"/>
          <w:rtl/>
        </w:rPr>
        <w:t>-</w:t>
      </w:r>
      <w:r w:rsidR="000E3EEE" w:rsidRPr="001D7014">
        <w:rPr>
          <w:rFonts w:hint="cs"/>
          <w:rtl/>
        </w:rPr>
        <w:tab/>
        <w:t xml:space="preserve">ردود </w:t>
      </w:r>
      <w:r w:rsidR="000E3EEE">
        <w:rPr>
          <w:rFonts w:hint="cs"/>
          <w:rtl/>
        </w:rPr>
        <w:t>مقدمي</w:t>
      </w:r>
      <w:r w:rsidR="000E3EEE" w:rsidRPr="001D7014">
        <w:rPr>
          <w:rFonts w:hint="cs"/>
          <w:rtl/>
        </w:rPr>
        <w:t xml:space="preserve"> الطلبات</w:t>
      </w:r>
    </w:p>
    <w:p w:rsidR="000E3EEE" w:rsidRPr="00737803" w:rsidRDefault="000E3EEE" w:rsidP="00F87DAA">
      <w:pPr>
        <w:pStyle w:val="SingleTxtGA"/>
        <w:spacing w:after="100" w:line="376" w:lineRule="exact"/>
        <w:rPr>
          <w:rFonts w:ascii="Traditional Arabic" w:hAnsi="Traditional Arabic"/>
          <w:spacing w:val="-4"/>
          <w:sz w:val="30"/>
          <w:rtl/>
        </w:rPr>
      </w:pPr>
      <w:r w:rsidRPr="00737803">
        <w:rPr>
          <w:rFonts w:ascii="Traditional Arabic" w:hAnsi="Traditional Arabic" w:hint="cs"/>
          <w:spacing w:val="-4"/>
          <w:sz w:val="30"/>
          <w:rtl/>
        </w:rPr>
        <w:t>21-</w:t>
      </w:r>
      <w:r w:rsidRPr="00737803">
        <w:rPr>
          <w:rFonts w:ascii="Traditional Arabic" w:hAnsi="Traditional Arabic" w:hint="cs"/>
          <w:spacing w:val="-4"/>
          <w:sz w:val="30"/>
          <w:rtl/>
        </w:rPr>
        <w:tab/>
        <w:t>يعرب مقدمو طلبات الإجراءات العاجلة، في معظم الحالات، عن خيبة أملهم</w:t>
      </w:r>
      <w:r w:rsidR="00737803" w:rsidRPr="00737803">
        <w:rPr>
          <w:rFonts w:ascii="Traditional Arabic" w:hAnsi="Traditional Arabic" w:hint="cs"/>
          <w:spacing w:val="-4"/>
          <w:sz w:val="30"/>
          <w:rtl/>
        </w:rPr>
        <w:t xml:space="preserve"> </w:t>
      </w:r>
      <w:r w:rsidRPr="00737803">
        <w:rPr>
          <w:rFonts w:ascii="Traditional Arabic" w:hAnsi="Traditional Arabic" w:hint="cs"/>
          <w:spacing w:val="-4"/>
          <w:sz w:val="30"/>
          <w:rtl/>
        </w:rPr>
        <w:t>إزاء</w:t>
      </w:r>
      <w:r w:rsidR="00737803" w:rsidRPr="00737803">
        <w:rPr>
          <w:rFonts w:ascii="Traditional Arabic" w:hAnsi="Traditional Arabic" w:hint="cs"/>
          <w:spacing w:val="-4"/>
          <w:sz w:val="30"/>
          <w:rtl/>
        </w:rPr>
        <w:t xml:space="preserve"> </w:t>
      </w:r>
      <w:r w:rsidRPr="00737803">
        <w:rPr>
          <w:rFonts w:ascii="Traditional Arabic" w:hAnsi="Traditional Arabic" w:hint="cs"/>
          <w:spacing w:val="-4"/>
          <w:sz w:val="30"/>
          <w:rtl/>
        </w:rPr>
        <w:t xml:space="preserve">عدم التقدم في وفاء الدول الأطراف بواجباتها المتعلقة بالبحث والتحقيق (انظر الفرع </w:t>
      </w:r>
      <w:r w:rsidR="00D221A1" w:rsidRPr="00737803">
        <w:rPr>
          <w:rFonts w:ascii="Traditional Arabic" w:hAnsi="Traditional Arabic" w:hint="cs"/>
          <w:spacing w:val="-4"/>
          <w:sz w:val="30"/>
          <w:rtl/>
        </w:rPr>
        <w:t>‘</w:t>
      </w:r>
      <w:r w:rsidRPr="00737803">
        <w:rPr>
          <w:rFonts w:ascii="Traditional Arabic" w:hAnsi="Traditional Arabic" w:hint="cs"/>
          <w:spacing w:val="-4"/>
          <w:sz w:val="30"/>
          <w:rtl/>
        </w:rPr>
        <w:t>هاء‘ أعلاه).</w:t>
      </w:r>
    </w:p>
    <w:p w:rsidR="000E3EEE" w:rsidRDefault="000E3EEE" w:rsidP="00F87DAA">
      <w:pPr>
        <w:pStyle w:val="SingleTxtGA"/>
        <w:spacing w:after="100" w:line="376" w:lineRule="exact"/>
        <w:rPr>
          <w:rFonts w:ascii="Traditional Arabic" w:hAnsi="Traditional Arabic"/>
          <w:sz w:val="30"/>
          <w:rtl/>
        </w:rPr>
      </w:pPr>
      <w:r>
        <w:rPr>
          <w:rFonts w:ascii="Traditional Arabic" w:hAnsi="Traditional Arabic" w:hint="cs"/>
          <w:sz w:val="30"/>
          <w:rtl/>
        </w:rPr>
        <w:t>22-</w:t>
      </w:r>
      <w:r>
        <w:rPr>
          <w:rFonts w:ascii="Traditional Arabic" w:hAnsi="Traditional Arabic" w:hint="cs"/>
          <w:sz w:val="30"/>
          <w:rtl/>
        </w:rPr>
        <w:tab/>
        <w:t>وفي بعض الحالات، يعمد مقدمو طلبات الإجراءات العاجلة إلى تقديم طلبات لتتخذ اللجنة إجراءات دعم محددة. وفيما يلي أمثلة لهذه الطلبات وللردود التي قدمها المقررون:</w:t>
      </w:r>
    </w:p>
    <w:p w:rsidR="000E3EEE" w:rsidRDefault="000E3EEE" w:rsidP="00F87DAA">
      <w:pPr>
        <w:pStyle w:val="SingleTxtGA"/>
        <w:spacing w:after="100" w:line="376" w:lineRule="exact"/>
        <w:rPr>
          <w:rFonts w:ascii="Traditional Arabic" w:hAnsi="Traditional Arabic"/>
          <w:sz w:val="30"/>
          <w:rtl/>
        </w:rPr>
      </w:pPr>
      <w:r>
        <w:rPr>
          <w:rFonts w:ascii="Traditional Arabic" w:hAnsi="Traditional Arabic" w:hint="cs"/>
          <w:sz w:val="30"/>
          <w:rtl/>
        </w:rPr>
        <w:tab/>
        <w:t>(أ)</w:t>
      </w:r>
      <w:r>
        <w:rPr>
          <w:rFonts w:ascii="Traditional Arabic" w:hAnsi="Traditional Arabic" w:hint="cs"/>
          <w:sz w:val="30"/>
          <w:rtl/>
        </w:rPr>
        <w:tab/>
        <w:t xml:space="preserve">في أحد طلبات الإجراءات العاجلة، </w:t>
      </w:r>
      <w:r w:rsidRPr="003077AF">
        <w:rPr>
          <w:rFonts w:ascii="Traditional Arabic" w:hAnsi="Traditional Arabic" w:hint="cs"/>
          <w:sz w:val="30"/>
          <w:rtl/>
        </w:rPr>
        <w:t>أرسل مقدم الطلب</w:t>
      </w:r>
      <w:r>
        <w:rPr>
          <w:rFonts w:ascii="Traditional Arabic" w:hAnsi="Traditional Arabic" w:hint="cs"/>
          <w:sz w:val="30"/>
          <w:rtl/>
        </w:rPr>
        <w:t xml:space="preserve"> </w:t>
      </w:r>
      <w:r w:rsidRPr="00D47143">
        <w:rPr>
          <w:rFonts w:ascii="Traditional Arabic" w:hAnsi="Traditional Arabic" w:hint="cs"/>
          <w:sz w:val="30"/>
          <w:rtl/>
        </w:rPr>
        <w:t>رسالة</w:t>
      </w:r>
      <w:r>
        <w:rPr>
          <w:rFonts w:ascii="Traditional Arabic" w:hAnsi="Traditional Arabic" w:hint="cs"/>
          <w:sz w:val="30"/>
          <w:rtl/>
        </w:rPr>
        <w:t xml:space="preserve"> يشير فيها إلى أن إحدى </w:t>
      </w:r>
      <w:r w:rsidRPr="004469ED">
        <w:rPr>
          <w:rFonts w:ascii="Traditional Arabic" w:hAnsi="Traditional Arabic" w:hint="cs"/>
          <w:sz w:val="30"/>
          <w:rtl/>
        </w:rPr>
        <w:t>السلطات المختصة أساساً بحماية</w:t>
      </w:r>
      <w:r>
        <w:rPr>
          <w:rFonts w:ascii="Traditional Arabic" w:hAnsi="Traditional Arabic" w:hint="cs"/>
          <w:sz w:val="30"/>
          <w:rtl/>
        </w:rPr>
        <w:t xml:space="preserve"> الأفراد (الوحدة الوطنية للحماية) قد رفضت طلبه اتخاذ تدابير لحمايته. </w:t>
      </w:r>
      <w:r w:rsidRPr="000C3F18">
        <w:rPr>
          <w:rFonts w:ascii="Traditional Arabic" w:hAnsi="Traditional Arabic" w:hint="cs"/>
          <w:sz w:val="30"/>
          <w:rtl/>
        </w:rPr>
        <w:t>وتشير الرسالة الواردة من تلك السلطة</w:t>
      </w:r>
      <w:r>
        <w:rPr>
          <w:rFonts w:ascii="Traditional Arabic" w:hAnsi="Traditional Arabic" w:hint="cs"/>
          <w:sz w:val="30"/>
          <w:rtl/>
        </w:rPr>
        <w:t xml:space="preserve"> المكلفة بالحماية إلى أن هذه الحالة قد أُحيلت إلى جهاز الشرطة الوطنية المختص أيضاً بالحماية في بعض </w:t>
      </w:r>
      <w:r w:rsidRPr="003077AF">
        <w:rPr>
          <w:rFonts w:ascii="Traditional Arabic" w:hAnsi="Traditional Arabic" w:hint="cs"/>
          <w:sz w:val="30"/>
          <w:rtl/>
        </w:rPr>
        <w:t>الحالات. والتمس مقدم طلب من اللجنة التدخل</w:t>
      </w:r>
      <w:r w:rsidRPr="00F22FCC">
        <w:rPr>
          <w:rFonts w:ascii="Traditional Arabic" w:hAnsi="Traditional Arabic" w:hint="cs"/>
          <w:sz w:val="30"/>
          <w:rtl/>
        </w:rPr>
        <w:t xml:space="preserve"> لطلب تكليف البرنامج الوطني</w:t>
      </w:r>
      <w:r>
        <w:rPr>
          <w:rFonts w:ascii="Traditional Arabic" w:hAnsi="Traditional Arabic" w:hint="cs"/>
          <w:sz w:val="30"/>
          <w:rtl/>
        </w:rPr>
        <w:t xml:space="preserve"> ذي الصلة بحمايته. ورأى المقررون أن اللجنة غير مختصة في البتّ في ماهية السلطة المكلفة بالحماية في الدولة، ما لم يكن من شأن تقديم هذه الحماية أن يسبب مشاكل واضحة لأمن الأشخاص. وفي هذه الحالة، لم يقدم أ</w:t>
      </w:r>
      <w:r w:rsidR="00D221A1">
        <w:rPr>
          <w:rFonts w:ascii="Traditional Arabic" w:hAnsi="Traditional Arabic" w:hint="cs"/>
          <w:sz w:val="30"/>
          <w:rtl/>
        </w:rPr>
        <w:t>صحاب الطلب أي معلومات تفيد بذلك؛</w:t>
      </w:r>
    </w:p>
    <w:p w:rsidR="000E3EEE" w:rsidRDefault="000E3EEE" w:rsidP="00F87DAA">
      <w:pPr>
        <w:pStyle w:val="SingleTxtGA"/>
        <w:spacing w:after="100" w:line="376" w:lineRule="exact"/>
        <w:rPr>
          <w:rFonts w:ascii="Traditional Arabic" w:hAnsi="Traditional Arabic"/>
          <w:sz w:val="30"/>
          <w:rtl/>
          <w:lang w:bidi="ar-EG"/>
        </w:rPr>
      </w:pPr>
      <w:r>
        <w:rPr>
          <w:rFonts w:ascii="Traditional Arabic" w:hAnsi="Traditional Arabic" w:hint="cs"/>
          <w:sz w:val="30"/>
          <w:rtl/>
        </w:rPr>
        <w:tab/>
        <w:t>(ب)</w:t>
      </w:r>
      <w:r>
        <w:rPr>
          <w:rFonts w:ascii="Traditional Arabic" w:hAnsi="Traditional Arabic" w:hint="cs"/>
          <w:sz w:val="30"/>
          <w:rtl/>
        </w:rPr>
        <w:tab/>
        <w:t>في طلب لإجراءات عاجلة</w:t>
      </w:r>
      <w:r w:rsidRPr="00EE0F4D">
        <w:rPr>
          <w:rFonts w:ascii="Traditional Arabic" w:hAnsi="Traditional Arabic" w:hint="cs"/>
          <w:sz w:val="30"/>
          <w:rtl/>
        </w:rPr>
        <w:t xml:space="preserve"> </w:t>
      </w:r>
      <w:r>
        <w:rPr>
          <w:rFonts w:ascii="Traditional Arabic" w:hAnsi="Traditional Arabic" w:hint="cs"/>
          <w:sz w:val="30"/>
          <w:rtl/>
        </w:rPr>
        <w:t>آخر</w:t>
      </w:r>
      <w:r w:rsidRPr="003077AF">
        <w:rPr>
          <w:rFonts w:ascii="Traditional Arabic" w:hAnsi="Traditional Arabic" w:hint="cs"/>
          <w:sz w:val="30"/>
          <w:rtl/>
        </w:rPr>
        <w:t>، التمست مقدمة الطلب من اللجنة أن تطلب إلى الدولة الطرف التحري على وجه عاجل عن حركة الحساب الشخصي للشخص المخ</w:t>
      </w:r>
      <w:r>
        <w:rPr>
          <w:rFonts w:ascii="Traditional Arabic" w:hAnsi="Traditional Arabic" w:hint="cs"/>
          <w:sz w:val="30"/>
          <w:rtl/>
        </w:rPr>
        <w:t xml:space="preserve">تفي على شبكة التواصل الاجتماعي </w:t>
      </w:r>
      <w:r w:rsidR="00D221A1">
        <w:rPr>
          <w:rFonts w:ascii="Traditional Arabic" w:hAnsi="Traditional Arabic" w:hint="cs"/>
          <w:sz w:val="30"/>
          <w:rtl/>
        </w:rPr>
        <w:t>‘</w:t>
      </w:r>
      <w:r>
        <w:rPr>
          <w:rFonts w:ascii="Traditional Arabic" w:hAnsi="Traditional Arabic" w:hint="cs"/>
          <w:sz w:val="30"/>
          <w:rtl/>
        </w:rPr>
        <w:t>فيسبوك‘، إذ وردت رسائل تشير إلى أن الحساب كان نشطا</w:t>
      </w:r>
      <w:r w:rsidR="001A63A8">
        <w:rPr>
          <w:rFonts w:ascii="Traditional Arabic" w:hAnsi="Traditional Arabic" w:hint="cs"/>
          <w:sz w:val="30"/>
          <w:rtl/>
        </w:rPr>
        <w:t>ً</w:t>
      </w:r>
      <w:r>
        <w:rPr>
          <w:rFonts w:ascii="Traditional Arabic" w:hAnsi="Traditional Arabic" w:hint="cs"/>
          <w:sz w:val="30"/>
          <w:rtl/>
        </w:rPr>
        <w:t xml:space="preserve">. واعتبرت اللجنة أن التحري عن الحساب الشخصي المشار إليه مهم لجمع ما يمكن من معلومات عن مكان الشخص المختفي. ومن ثم، طلبت اللجنة إلى الدولة الطرف الشروع في إجراء هذا التحري كجزء من التدابير اللازمة للبحث عن الشخص المختفي </w:t>
      </w:r>
      <w:r w:rsidR="00D221A1">
        <w:rPr>
          <w:rFonts w:ascii="Traditional Arabic" w:hAnsi="Traditional Arabic" w:hint="cs"/>
          <w:sz w:val="30"/>
          <w:rtl/>
          <w:lang w:bidi="ar-EG"/>
        </w:rPr>
        <w:t>والعثور عليه؛</w:t>
      </w:r>
    </w:p>
    <w:p w:rsidR="000E3EEE" w:rsidRPr="009714C0" w:rsidRDefault="000E3EEE" w:rsidP="00F87DAA">
      <w:pPr>
        <w:pStyle w:val="SingleTxtGA"/>
        <w:spacing w:after="100" w:line="376" w:lineRule="exact"/>
        <w:rPr>
          <w:rFonts w:ascii="Traditional Arabic" w:hAnsi="Traditional Arabic"/>
          <w:spacing w:val="-4"/>
          <w:sz w:val="30"/>
          <w:rtl/>
        </w:rPr>
      </w:pPr>
      <w:r w:rsidRPr="009714C0">
        <w:rPr>
          <w:rFonts w:ascii="Traditional Arabic" w:hAnsi="Traditional Arabic" w:hint="cs"/>
          <w:spacing w:val="-4"/>
          <w:sz w:val="30"/>
          <w:rtl/>
        </w:rPr>
        <w:tab/>
        <w:t>(ج)</w:t>
      </w:r>
      <w:r w:rsidRPr="009714C0">
        <w:rPr>
          <w:rFonts w:ascii="Traditional Arabic" w:hAnsi="Traditional Arabic" w:hint="cs"/>
          <w:spacing w:val="-4"/>
          <w:sz w:val="30"/>
          <w:rtl/>
        </w:rPr>
        <w:tab/>
        <w:t xml:space="preserve">في ثلاثة طلبات للإجراءات العاجلة، اتصل مقدمو الطلبات مراراً وتكراراً باللجنة ملتمسين الدعم المادي والنفسي. وفي هذه الحالات، تأخذ اللجنة دوماً الوقت اللازم للاستماع إليهم والرد على أسئلتهم عن الإجراءات، موضحةً على الدوام حدود ولاية اللجنة. ويستقبل المكتب الميداني لمفوضية الأمم المتحدة السامية لحقوق الإنسان أيضاً مقدمي الطلبات ويردّ على شواغلهم. </w:t>
      </w:r>
    </w:p>
    <w:p w:rsidR="000E3EEE" w:rsidRDefault="000E3EEE" w:rsidP="00F87DAA">
      <w:pPr>
        <w:pStyle w:val="SingleTxtGA"/>
        <w:spacing w:after="100" w:line="376" w:lineRule="exact"/>
        <w:rPr>
          <w:rFonts w:ascii="Traditional Arabic" w:hAnsi="Traditional Arabic"/>
          <w:sz w:val="30"/>
          <w:rtl/>
        </w:rPr>
      </w:pPr>
      <w:r>
        <w:rPr>
          <w:rFonts w:ascii="Traditional Arabic" w:hAnsi="Traditional Arabic" w:hint="cs"/>
          <w:sz w:val="30"/>
          <w:rtl/>
        </w:rPr>
        <w:t>23-</w:t>
      </w:r>
      <w:r>
        <w:rPr>
          <w:rFonts w:ascii="Traditional Arabic" w:hAnsi="Traditional Arabic" w:hint="cs"/>
          <w:sz w:val="30"/>
          <w:rtl/>
        </w:rPr>
        <w:tab/>
        <w:t>وفي بعض طلبات الإجراءات العاجلة المسجلة، لم يرسل مقدمو الطلبات تعليقاتهم على ملاحظات الدولة الطرف، وهو ما يحدّ من إمكانات اللجنة لاتخاذ تدابير بشأن الطلبات المشار إليها، إلا أن هذه الطلبات لا تزال مفتوحة، وفقاً للفقرة 4 من المادة 30 من الاتفاقية.</w:t>
      </w:r>
    </w:p>
    <w:p w:rsidR="000E3EEE" w:rsidRDefault="000E3EEE" w:rsidP="000E3EEE">
      <w:pPr>
        <w:pStyle w:val="SingleTxtGA"/>
        <w:rPr>
          <w:rFonts w:ascii="Traditional Arabic" w:hAnsi="Traditional Arabic"/>
          <w:sz w:val="30"/>
          <w:rtl/>
        </w:rPr>
      </w:pPr>
      <w:r>
        <w:rPr>
          <w:rFonts w:ascii="Traditional Arabic" w:hAnsi="Traditional Arabic" w:hint="cs"/>
          <w:sz w:val="30"/>
          <w:rtl/>
        </w:rPr>
        <w:lastRenderedPageBreak/>
        <w:t>24-</w:t>
      </w:r>
      <w:r>
        <w:rPr>
          <w:rFonts w:ascii="Traditional Arabic" w:hAnsi="Traditional Arabic" w:hint="cs"/>
          <w:sz w:val="30"/>
          <w:rtl/>
        </w:rPr>
        <w:tab/>
        <w:t>وينطبق هذا الوضع أساساً على الحالتين التاليتين:</w:t>
      </w:r>
    </w:p>
    <w:p w:rsidR="000E3EEE" w:rsidRDefault="000E3EEE" w:rsidP="00D221A1">
      <w:pPr>
        <w:pStyle w:val="SingleTxtGA"/>
        <w:rPr>
          <w:rFonts w:ascii="Traditional Arabic" w:hAnsi="Traditional Arabic"/>
          <w:sz w:val="30"/>
          <w:rtl/>
        </w:rPr>
      </w:pPr>
      <w:r>
        <w:rPr>
          <w:rFonts w:ascii="Traditional Arabic" w:hAnsi="Traditional Arabic" w:hint="cs"/>
          <w:sz w:val="30"/>
          <w:rtl/>
        </w:rPr>
        <w:tab/>
        <w:t>(أ)</w:t>
      </w:r>
      <w:r>
        <w:rPr>
          <w:rFonts w:ascii="Traditional Arabic" w:hAnsi="Traditional Arabic" w:hint="cs"/>
          <w:sz w:val="30"/>
          <w:rtl/>
        </w:rPr>
        <w:tab/>
        <w:t xml:space="preserve">الحالة 1: في ستة من طلبات الإجراءات العاجلة المقدمة من منظمات غير حكومية، تعذّر على المنظمة البقاء على اتصال بأقارب الأشخاص المختفين أو لم تتمكن من </w:t>
      </w:r>
      <w:r w:rsidRPr="0012499A">
        <w:rPr>
          <w:rFonts w:ascii="Traditional Arabic" w:hAnsi="Traditional Arabic" w:hint="cs"/>
          <w:sz w:val="30"/>
          <w:rtl/>
        </w:rPr>
        <w:t>الاطلاع على ملفات التحقيقات المتعلقة بالقضايا. وفي هذه الحالات، وجهت اللجنة رسائل تذكيرية إلى مقدمي الطلبات</w:t>
      </w:r>
      <w:r>
        <w:rPr>
          <w:rFonts w:ascii="Traditional Arabic" w:hAnsi="Traditional Arabic" w:hint="cs"/>
          <w:sz w:val="30"/>
          <w:rtl/>
        </w:rPr>
        <w:t xml:space="preserve">. وفي حالتين منها، عقب مضي </w:t>
      </w:r>
      <w:r w:rsidRPr="003077AF">
        <w:rPr>
          <w:rFonts w:ascii="Traditional Arabic" w:hAnsi="Traditional Arabic" w:hint="cs"/>
          <w:sz w:val="30"/>
          <w:rtl/>
        </w:rPr>
        <w:t>عام من دون ورود</w:t>
      </w:r>
      <w:r>
        <w:rPr>
          <w:rFonts w:ascii="Traditional Arabic" w:hAnsi="Traditional Arabic" w:hint="cs"/>
          <w:sz w:val="30"/>
          <w:rtl/>
        </w:rPr>
        <w:t xml:space="preserve"> أي رد من مقدميْ الطلبين، رأى المقررون ضرورة توجيه رسالة متابعة إلى الدولة الطرف لطلب معلومات محدّثة عما أحرزته من تقدم في عمليتي التحقيق والبحث. وأُرسلت إلى مقدميْ الطلبين نسخة من هذه الرسالة. وعاود مقدما الطلب بعدئذ الاتصال بالأمانة شاكرين لها رسالتها ومبلغين إياها بأن هذه الرسالة قد مكّنتهما من الاتصال مج</w:t>
      </w:r>
      <w:r w:rsidR="00556259">
        <w:rPr>
          <w:rFonts w:ascii="Traditional Arabic" w:hAnsi="Traditional Arabic" w:hint="cs"/>
          <w:sz w:val="30"/>
          <w:rtl/>
        </w:rPr>
        <w:t>دداً بالسلطات المكلفة بالتحقيق؛</w:t>
      </w:r>
    </w:p>
    <w:p w:rsidR="000E3EEE" w:rsidRDefault="000E3EEE" w:rsidP="00D221A1">
      <w:pPr>
        <w:pStyle w:val="SingleTxtGA"/>
        <w:rPr>
          <w:rtl/>
        </w:rPr>
      </w:pPr>
      <w:r>
        <w:rPr>
          <w:rFonts w:ascii="Traditional Arabic" w:hAnsi="Traditional Arabic" w:hint="cs"/>
          <w:sz w:val="30"/>
          <w:rtl/>
        </w:rPr>
        <w:tab/>
      </w:r>
      <w:r w:rsidRPr="0012499A">
        <w:rPr>
          <w:rFonts w:ascii="Traditional Arabic" w:hAnsi="Traditional Arabic" w:hint="cs"/>
          <w:sz w:val="30"/>
          <w:rtl/>
        </w:rPr>
        <w:t>(ب)</w:t>
      </w:r>
      <w:r>
        <w:rPr>
          <w:rFonts w:ascii="Traditional Arabic" w:hAnsi="Traditional Arabic" w:hint="cs"/>
          <w:sz w:val="30"/>
          <w:rtl/>
        </w:rPr>
        <w:tab/>
        <w:t xml:space="preserve">الحالة 2: في حالات أخرى، لم يرُدَّ مقدمو الطلبات لأنهم ليسوا في وضع يمكّنهم من متابعتها أو لأنهم لا يستطيعون الكتابة أو يتعذر عليهم الاتصال بشبكة الإنترنت. وبعد ثلاث رسائل تذكيرية، اتصلت الأمانة ببعضهم هاتفياً لتحليل إمكانيات إرسالهم تعليقات على ملاحظات الدولة الطرف، سواء أكان ذلك شفهياً أو بأي وسيلة أخرى. وفي طلبين من طلبات الإجراءات العاجلة، أجرت </w:t>
      </w:r>
      <w:r w:rsidRPr="00B728FC">
        <w:rPr>
          <w:rFonts w:ascii="Traditional Arabic" w:hAnsi="Traditional Arabic" w:hint="cs"/>
          <w:sz w:val="30"/>
          <w:rtl/>
        </w:rPr>
        <w:t xml:space="preserve">الأمانة محادثة هاتفية جماعية مع </w:t>
      </w:r>
      <w:r>
        <w:rPr>
          <w:rFonts w:ascii="Traditional Arabic" w:hAnsi="Traditional Arabic" w:hint="cs"/>
          <w:sz w:val="30"/>
          <w:rtl/>
        </w:rPr>
        <w:t>مقدم الطلب لجمع تعليقاته</w:t>
      </w:r>
      <w:r w:rsidRPr="00B728FC">
        <w:rPr>
          <w:rFonts w:ascii="Traditional Arabic" w:hAnsi="Traditional Arabic" w:hint="cs"/>
          <w:sz w:val="30"/>
          <w:rtl/>
        </w:rPr>
        <w:t>.</w:t>
      </w:r>
      <w:r>
        <w:rPr>
          <w:rFonts w:ascii="Traditional Arabic" w:hAnsi="Traditional Arabic" w:hint="cs"/>
          <w:sz w:val="30"/>
          <w:rtl/>
        </w:rPr>
        <w:t xml:space="preserve"> ولا تُطبَّق هذه المنهجية إلا في </w:t>
      </w:r>
      <w:r w:rsidRPr="0012499A">
        <w:rPr>
          <w:rFonts w:ascii="Traditional Arabic" w:hAnsi="Traditional Arabic" w:hint="cs"/>
          <w:sz w:val="30"/>
          <w:rtl/>
        </w:rPr>
        <w:t xml:space="preserve">حالات استثنائية </w:t>
      </w:r>
      <w:r>
        <w:rPr>
          <w:rFonts w:ascii="Traditional Arabic" w:hAnsi="Traditional Arabic" w:hint="cs"/>
          <w:sz w:val="30"/>
          <w:rtl/>
        </w:rPr>
        <w:t xml:space="preserve">بالنظر إلى </w:t>
      </w:r>
      <w:r w:rsidRPr="0012499A">
        <w:rPr>
          <w:rFonts w:ascii="Traditional Arabic" w:hAnsi="Traditional Arabic" w:hint="cs"/>
          <w:sz w:val="30"/>
          <w:rtl/>
        </w:rPr>
        <w:t>عدد الإجراءات العاجلة.</w:t>
      </w:r>
      <w:r>
        <w:rPr>
          <w:rFonts w:ascii="Traditional Arabic" w:hAnsi="Traditional Arabic" w:hint="cs"/>
          <w:sz w:val="30"/>
          <w:rtl/>
        </w:rPr>
        <w:t xml:space="preserve"> </w:t>
      </w:r>
    </w:p>
    <w:p w:rsidR="000E3EEE" w:rsidRDefault="000E3EEE" w:rsidP="000E3EEE">
      <w:pPr>
        <w:pStyle w:val="SingleTxtGA"/>
        <w:rPr>
          <w:rFonts w:ascii="Traditional Arabic" w:hAnsi="Traditional Arabic"/>
          <w:sz w:val="30"/>
          <w:rtl/>
        </w:rPr>
      </w:pPr>
      <w:r>
        <w:rPr>
          <w:rFonts w:ascii="Traditional Arabic" w:hAnsi="Traditional Arabic" w:hint="cs"/>
          <w:sz w:val="30"/>
          <w:rtl/>
        </w:rPr>
        <w:t>25-</w:t>
      </w:r>
      <w:r>
        <w:rPr>
          <w:rFonts w:ascii="Traditional Arabic" w:hAnsi="Traditional Arabic" w:hint="cs"/>
          <w:sz w:val="30"/>
          <w:rtl/>
        </w:rPr>
        <w:tab/>
        <w:t>وبالنظر إلى ما تقدم، يوصي المقررون باعتماد قاعدة إجرائية جديدة لإدارة حالات عدم رد مقدمي الطلبات على رسائل اللجنة، على النحو التالي:</w:t>
      </w:r>
    </w:p>
    <w:p w:rsidR="000E3EEE" w:rsidRDefault="000E3EEE" w:rsidP="00D221A1">
      <w:pPr>
        <w:pStyle w:val="SingleTxtGA"/>
        <w:rPr>
          <w:rFonts w:ascii="Traditional Arabic" w:hAnsi="Traditional Arabic"/>
          <w:sz w:val="30"/>
          <w:rtl/>
        </w:rPr>
      </w:pPr>
      <w:r>
        <w:rPr>
          <w:rFonts w:ascii="Traditional Arabic" w:hAnsi="Traditional Arabic" w:hint="cs"/>
          <w:sz w:val="30"/>
          <w:rtl/>
        </w:rPr>
        <w:tab/>
        <w:t>(أ)</w:t>
      </w:r>
      <w:r>
        <w:rPr>
          <w:rFonts w:ascii="Traditional Arabic" w:hAnsi="Traditional Arabic" w:hint="cs"/>
          <w:sz w:val="30"/>
          <w:rtl/>
        </w:rPr>
        <w:tab/>
        <w:t>توجَّه إلى مقدم الطلب ثلاث رسائل تذكيرية؛</w:t>
      </w:r>
    </w:p>
    <w:p w:rsidR="000E3EEE" w:rsidRPr="00F87DAA" w:rsidRDefault="000E3EEE" w:rsidP="00D221A1">
      <w:pPr>
        <w:pStyle w:val="SingleTxtGA"/>
        <w:rPr>
          <w:rFonts w:ascii="Traditional Arabic" w:hAnsi="Traditional Arabic"/>
          <w:spacing w:val="-2"/>
          <w:sz w:val="30"/>
          <w:rtl/>
        </w:rPr>
      </w:pPr>
      <w:r w:rsidRPr="00F87DAA">
        <w:rPr>
          <w:rFonts w:ascii="Traditional Arabic" w:hAnsi="Traditional Arabic" w:hint="cs"/>
          <w:spacing w:val="-2"/>
          <w:sz w:val="30"/>
          <w:rtl/>
        </w:rPr>
        <w:tab/>
        <w:t>(ب)</w:t>
      </w:r>
      <w:r w:rsidRPr="00F87DAA">
        <w:rPr>
          <w:rFonts w:ascii="Traditional Arabic" w:hAnsi="Traditional Arabic" w:hint="cs"/>
          <w:spacing w:val="-2"/>
          <w:sz w:val="30"/>
          <w:rtl/>
        </w:rPr>
        <w:tab/>
        <w:t>إذا انقضت ثلاثة أشهر على عدم رد مقدم الطلب على الرسالة التذكيرية الثالثة، تحاول الأمانة العثور عليه بطرق أخرى وتسأله عن أسباب عدم تمكّنه من الرد على اللجنة؛</w:t>
      </w:r>
    </w:p>
    <w:p w:rsidR="000E3EEE" w:rsidRDefault="000E3EEE" w:rsidP="00D221A1">
      <w:pPr>
        <w:pStyle w:val="SingleTxtGA"/>
        <w:rPr>
          <w:rFonts w:ascii="Traditional Arabic" w:hAnsi="Traditional Arabic"/>
          <w:sz w:val="30"/>
          <w:rtl/>
        </w:rPr>
      </w:pPr>
      <w:r>
        <w:rPr>
          <w:rFonts w:ascii="Traditional Arabic" w:hAnsi="Traditional Arabic" w:hint="cs"/>
          <w:sz w:val="30"/>
          <w:rtl/>
        </w:rPr>
        <w:tab/>
        <w:t>(ج)</w:t>
      </w:r>
      <w:r>
        <w:rPr>
          <w:rFonts w:ascii="Traditional Arabic" w:hAnsi="Traditional Arabic" w:hint="cs"/>
          <w:sz w:val="30"/>
          <w:rtl/>
        </w:rPr>
        <w:tab/>
        <w:t>إذا أفاد مقدم الطلب بأنه ليس في وضع يمكّنه من الرد كتابي</w:t>
      </w:r>
      <w:r w:rsidR="001A63A8">
        <w:rPr>
          <w:rFonts w:ascii="Traditional Arabic" w:hAnsi="Traditional Arabic" w:hint="cs"/>
          <w:sz w:val="30"/>
          <w:rtl/>
        </w:rPr>
        <w:t xml:space="preserve">اً </w:t>
      </w:r>
      <w:r>
        <w:rPr>
          <w:rFonts w:ascii="Traditional Arabic" w:hAnsi="Traditional Arabic" w:hint="cs"/>
          <w:sz w:val="30"/>
          <w:rtl/>
        </w:rPr>
        <w:t>على الرسائل التذكيرية، لكنّ لديه من المعلومات ما يود إطلاع اللجنة عليه، تحاول الأمانة جمع هذه المعلومات شفهياً (هاتفياً، على سبيل المثال) وتوجِّه إلى الدولة الطرف رسالة متابعة آخذة المعلومات المجموعة في حسبانها؛</w:t>
      </w:r>
    </w:p>
    <w:p w:rsidR="000E3EEE" w:rsidRDefault="000E3EEE" w:rsidP="00D221A1">
      <w:pPr>
        <w:pStyle w:val="SingleTxtGA"/>
        <w:rPr>
          <w:rFonts w:ascii="Traditional Arabic" w:hAnsi="Traditional Arabic"/>
          <w:sz w:val="30"/>
          <w:rtl/>
        </w:rPr>
      </w:pPr>
      <w:r>
        <w:rPr>
          <w:rFonts w:ascii="Traditional Arabic" w:hAnsi="Traditional Arabic" w:hint="cs"/>
          <w:sz w:val="30"/>
          <w:rtl/>
        </w:rPr>
        <w:tab/>
        <w:t>(د)</w:t>
      </w:r>
      <w:r>
        <w:rPr>
          <w:rFonts w:ascii="Traditional Arabic" w:hAnsi="Traditional Arabic" w:hint="cs"/>
          <w:sz w:val="30"/>
          <w:rtl/>
        </w:rPr>
        <w:tab/>
        <w:t xml:space="preserve">إذا تعذر بعد ستة أشهر على توجيه الرسالة التذكيرية الثالثة العثور على مقدم الطلب أو لم تكن لديه أي معلومات، توجِّه اللجنة رسالة إلى الدولة الطرف استناداً إلى المعلومات المتاحة وتمنحها مهلة جديدة لإرسال معلومات محدّثة عن القضية. </w:t>
      </w:r>
    </w:p>
    <w:p w:rsidR="000E3EEE" w:rsidRPr="00A02C49" w:rsidRDefault="00D221A1" w:rsidP="00D221A1">
      <w:pPr>
        <w:pStyle w:val="H1GA"/>
        <w:spacing w:before="120"/>
        <w:rPr>
          <w:rtl/>
        </w:rPr>
      </w:pPr>
      <w:r>
        <w:rPr>
          <w:rtl/>
        </w:rPr>
        <w:tab/>
      </w:r>
      <w:r w:rsidR="000E3EEE" w:rsidRPr="00A02C49">
        <w:rPr>
          <w:rtl/>
        </w:rPr>
        <w:t>هاء-</w:t>
      </w:r>
      <w:r w:rsidR="000E3EEE" w:rsidRPr="00A02C49">
        <w:rPr>
          <w:rtl/>
        </w:rPr>
        <w:tab/>
        <w:t>الشواغل المتكررة في طلبات الإجراء</w:t>
      </w:r>
      <w:r w:rsidR="000E3EEE">
        <w:rPr>
          <w:rFonts w:hint="cs"/>
          <w:rtl/>
        </w:rPr>
        <w:t>ات</w:t>
      </w:r>
      <w:r w:rsidR="000E3EEE" w:rsidRPr="00A02C49">
        <w:rPr>
          <w:rtl/>
        </w:rPr>
        <w:t xml:space="preserve"> العاجل</w:t>
      </w:r>
      <w:r w:rsidR="000E3EEE">
        <w:rPr>
          <w:rFonts w:hint="cs"/>
          <w:rtl/>
        </w:rPr>
        <w:t>ة</w:t>
      </w:r>
    </w:p>
    <w:p w:rsidR="000E3EEE" w:rsidRDefault="000E3EEE" w:rsidP="00D221A1">
      <w:pPr>
        <w:pStyle w:val="SingleTxtGA"/>
        <w:rPr>
          <w:rFonts w:ascii="Traditional Arabic" w:hAnsi="Traditional Arabic"/>
          <w:sz w:val="30"/>
          <w:rtl/>
        </w:rPr>
      </w:pPr>
      <w:r>
        <w:rPr>
          <w:rFonts w:ascii="Traditional Arabic" w:hAnsi="Traditional Arabic"/>
          <w:sz w:val="30"/>
          <w:rtl/>
        </w:rPr>
        <w:t>26-</w:t>
      </w:r>
      <w:r>
        <w:rPr>
          <w:rFonts w:ascii="Traditional Arabic" w:hAnsi="Traditional Arabic"/>
          <w:sz w:val="30"/>
        </w:rPr>
        <w:tab/>
      </w:r>
      <w:r>
        <w:rPr>
          <w:rFonts w:ascii="Traditional Arabic" w:hAnsi="Traditional Arabic" w:hint="cs"/>
          <w:sz w:val="30"/>
          <w:rtl/>
        </w:rPr>
        <w:t>عدم اتخاذ السلطات المكلفة بالبحث والتحقيق إجراءات: أكد مقدمو طلبات الإجراءات العاجلة في معظم الحالات عدم قيام سلطات الدولة المكلفة بالتحقيق في جرائم الاختفاء والبحث عن المختفين با</w:t>
      </w:r>
      <w:r w:rsidR="00CE7B05">
        <w:rPr>
          <w:rFonts w:ascii="Traditional Arabic" w:hAnsi="Traditional Arabic" w:hint="cs"/>
          <w:sz w:val="30"/>
          <w:rtl/>
        </w:rPr>
        <w:t>تخاذ إجراءات. وتحيل الشواغل الم</w:t>
      </w:r>
      <w:r>
        <w:rPr>
          <w:rFonts w:ascii="Traditional Arabic" w:hAnsi="Traditional Arabic" w:hint="cs"/>
          <w:sz w:val="30"/>
          <w:rtl/>
        </w:rPr>
        <w:t xml:space="preserve">عرب عنها إلى خمس حالات بصفة رئيسية على النحو التالي: </w:t>
      </w:r>
    </w:p>
    <w:p w:rsidR="000E3EEE" w:rsidRDefault="000E3EEE" w:rsidP="00556259">
      <w:pPr>
        <w:pStyle w:val="SingleTxtGA"/>
        <w:rPr>
          <w:rFonts w:ascii="Traditional Arabic" w:hAnsi="Traditional Arabic"/>
          <w:sz w:val="30"/>
          <w:rtl/>
        </w:rPr>
      </w:pPr>
      <w:r>
        <w:rPr>
          <w:rFonts w:ascii="Traditional Arabic" w:hAnsi="Traditional Arabic" w:hint="cs"/>
          <w:sz w:val="30"/>
          <w:rtl/>
        </w:rPr>
        <w:tab/>
        <w:t>(أ)</w:t>
      </w:r>
      <w:r>
        <w:rPr>
          <w:rFonts w:ascii="Traditional Arabic" w:hAnsi="Traditional Arabic" w:hint="cs"/>
          <w:sz w:val="30"/>
          <w:rtl/>
        </w:rPr>
        <w:tab/>
        <w:t xml:space="preserve">امتناع السلطات عن اتخاذ إجراءات في الاثنتين وسبعين ساعة التالية لوقوع حادث الاختفاء: أكد مقدمو الطلبات في أكثر من 25 طلب إجراء عاجل قلقهم لرفض </w:t>
      </w:r>
      <w:r>
        <w:rPr>
          <w:rFonts w:ascii="Traditional Arabic" w:hAnsi="Traditional Arabic" w:hint="cs"/>
          <w:sz w:val="30"/>
          <w:rtl/>
        </w:rPr>
        <w:lastRenderedPageBreak/>
        <w:t>السلطات التدخل في الاثنتين وسبعين ساعة التالية لوقوع حادث الاختفاء. وفي جميع الحالات المشار إليها، أكدت اللجنة قلقها لرفض السلطات التدخل في الاثنتين وسبعين ساعة التالية لوقوع حادث الاختفاء. وفي إحدى هذه الحالات، أرسلت اللجنة توصية إلى الدولة الطرف طالبةً إليها اتخاذ ما يلزم من تدابير تكفل التزام السلطات بالنظر من دون تأخير في أي بلاغات اختفاء قسري ترِدها، وفقاً للمادة 12 من الاتفاقية</w:t>
      </w:r>
      <w:r w:rsidR="00556259">
        <w:rPr>
          <w:rFonts w:ascii="Traditional Arabic" w:hAnsi="Traditional Arabic" w:hint="cs"/>
          <w:sz w:val="30"/>
          <w:rtl/>
        </w:rPr>
        <w:t>؛</w:t>
      </w:r>
    </w:p>
    <w:p w:rsidR="000E3EEE" w:rsidRPr="00F87DAA" w:rsidRDefault="000E3EEE" w:rsidP="00D221A1">
      <w:pPr>
        <w:pStyle w:val="SingleTxtGA"/>
        <w:rPr>
          <w:rFonts w:ascii="Traditional Arabic" w:hAnsi="Traditional Arabic"/>
          <w:spacing w:val="-2"/>
          <w:sz w:val="30"/>
          <w:rtl/>
        </w:rPr>
      </w:pPr>
      <w:r w:rsidRPr="00F87DAA">
        <w:rPr>
          <w:rFonts w:ascii="Traditional Arabic" w:hAnsi="Traditional Arabic" w:hint="cs"/>
          <w:spacing w:val="-2"/>
          <w:sz w:val="30"/>
          <w:rtl/>
        </w:rPr>
        <w:tab/>
        <w:t>(ب)</w:t>
      </w:r>
      <w:r w:rsidRPr="00F87DAA">
        <w:rPr>
          <w:rFonts w:ascii="Traditional Arabic" w:hAnsi="Traditional Arabic" w:hint="cs"/>
          <w:spacing w:val="-2"/>
          <w:sz w:val="30"/>
          <w:rtl/>
        </w:rPr>
        <w:tab/>
        <w:t>انعدام استراتيجيات للبحث والتحقيق: في معظم طلبات الإجراءات العاجلة المسجلة، كشفت المعلومات المقدمة من الدول الأطراف ومن مقدمي الطلبات عن الافتقار إلى استراتيجية للبحث والتحقيق. وفي هذه الحالات، تذكّر اللجنة الدول الأطراف بالتزاماتها الناشئة عن الاتفاقية بموجب المادتين 12 و24 منها، دائم</w:t>
      </w:r>
      <w:r w:rsidR="001A63A8" w:rsidRPr="00F87DAA">
        <w:rPr>
          <w:rFonts w:ascii="Traditional Arabic" w:hAnsi="Traditional Arabic" w:hint="cs"/>
          <w:spacing w:val="-2"/>
          <w:sz w:val="30"/>
          <w:rtl/>
        </w:rPr>
        <w:t xml:space="preserve">اً </w:t>
      </w:r>
      <w:r w:rsidRPr="00F87DAA">
        <w:rPr>
          <w:rFonts w:ascii="Traditional Arabic" w:hAnsi="Traditional Arabic" w:hint="cs"/>
          <w:spacing w:val="-2"/>
          <w:sz w:val="30"/>
          <w:rtl/>
        </w:rPr>
        <w:t>على افتراض أن التحقيق في الاختفاء القسري سبيل للحصول على ما يلزم من معلومات للبحث عن الضحايا وتحديد أماكن وجودهم</w:t>
      </w:r>
      <w:r w:rsidR="00D221A1" w:rsidRPr="00F87DAA">
        <w:rPr>
          <w:rFonts w:ascii="Traditional Arabic" w:hAnsi="Traditional Arabic" w:hint="cs"/>
          <w:spacing w:val="-2"/>
          <w:sz w:val="30"/>
          <w:rtl/>
        </w:rPr>
        <w:t>؛</w:t>
      </w:r>
    </w:p>
    <w:p w:rsidR="000E3EEE" w:rsidRDefault="000E3EEE" w:rsidP="001A63A8">
      <w:pPr>
        <w:pStyle w:val="SingleTxtGA"/>
        <w:rPr>
          <w:rFonts w:ascii="Traditional Arabic" w:hAnsi="Traditional Arabic"/>
          <w:sz w:val="30"/>
          <w:rtl/>
        </w:rPr>
      </w:pPr>
      <w:r>
        <w:rPr>
          <w:rFonts w:ascii="Traditional Arabic" w:hAnsi="Traditional Arabic" w:hint="cs"/>
          <w:sz w:val="30"/>
          <w:rtl/>
        </w:rPr>
        <w:tab/>
        <w:t>(ج)</w:t>
      </w:r>
      <w:r>
        <w:rPr>
          <w:rFonts w:ascii="Traditional Arabic" w:hAnsi="Traditional Arabic" w:hint="cs"/>
          <w:sz w:val="30"/>
          <w:rtl/>
        </w:rPr>
        <w:tab/>
        <w:t>عدم تنفيذ القرارات القضائية الصادرة في القضايا: أكد مقدمو الطلبات في</w:t>
      </w:r>
      <w:r w:rsidR="00D221A1">
        <w:rPr>
          <w:rFonts w:ascii="Traditional Arabic" w:hAnsi="Traditional Arabic" w:hint="eastAsia"/>
          <w:sz w:val="30"/>
          <w:rtl/>
        </w:rPr>
        <w:t> </w:t>
      </w:r>
      <w:r>
        <w:rPr>
          <w:rFonts w:ascii="Traditional Arabic" w:hAnsi="Traditional Arabic" w:hint="cs"/>
          <w:sz w:val="30"/>
          <w:rtl/>
        </w:rPr>
        <w:t>12 طلب إجراء عاجل أن السلطات المختصة لم تنفذ القرارات القضائية الصادرة، إما</w:t>
      </w:r>
      <w:r w:rsidR="001A63A8">
        <w:rPr>
          <w:rFonts w:ascii="Traditional Arabic" w:hAnsi="Traditional Arabic" w:hint="eastAsia"/>
          <w:sz w:val="30"/>
          <w:rtl/>
        </w:rPr>
        <w:t> </w:t>
      </w:r>
      <w:r>
        <w:rPr>
          <w:rFonts w:ascii="Traditional Arabic" w:hAnsi="Traditional Arabic" w:hint="cs"/>
          <w:sz w:val="30"/>
          <w:rtl/>
        </w:rPr>
        <w:t>لانعدام الموارد أو لاحتمال تورّطها المباشر في الوقائع أو صلتها بها. وفي أربع من هذه الحالات، أبلغ مقدمو الطلبات عن عدم تنفيذ القرارات القضائية بعد عدة شهور من صدور أوامر توقيف ضد الأشخاص المدعى أنهم مرتكبو جرائم الاختفاء، على الرغم من وجود موظفي الدولة المعنيين في عين المكان. وقد أكدت الرسائل التي وُجهت إلى الدولة الطرف قلق اللجنة لعدم تنفيذ هذه التدابير وذكّرت الدولة الطرف بالتزاماتها الناشئة ع</w:t>
      </w:r>
      <w:r w:rsidR="00D221A1">
        <w:rPr>
          <w:rFonts w:ascii="Traditional Arabic" w:hAnsi="Traditional Arabic" w:hint="cs"/>
          <w:sz w:val="30"/>
          <w:rtl/>
        </w:rPr>
        <w:t>ن الاتفاقية بهذا الخصوص؛</w:t>
      </w:r>
    </w:p>
    <w:p w:rsidR="000E3EEE" w:rsidRDefault="000E3EEE" w:rsidP="00F87DAA">
      <w:pPr>
        <w:pStyle w:val="SingleTxtGA"/>
        <w:rPr>
          <w:rFonts w:ascii="Traditional Arabic" w:hAnsi="Traditional Arabic"/>
          <w:sz w:val="30"/>
          <w:rtl/>
        </w:rPr>
      </w:pPr>
      <w:r>
        <w:rPr>
          <w:rFonts w:ascii="Traditional Arabic" w:hAnsi="Traditional Arabic" w:hint="cs"/>
          <w:sz w:val="30"/>
          <w:rtl/>
        </w:rPr>
        <w:tab/>
        <w:t>(د)</w:t>
      </w:r>
      <w:r>
        <w:rPr>
          <w:rFonts w:ascii="Traditional Arabic" w:hAnsi="Traditional Arabic" w:hint="cs"/>
          <w:sz w:val="30"/>
          <w:rtl/>
        </w:rPr>
        <w:tab/>
        <w:t xml:space="preserve">عدم إجراء تحقيقات </w:t>
      </w:r>
      <w:proofErr w:type="spellStart"/>
      <w:r>
        <w:rPr>
          <w:rFonts w:ascii="Traditional Arabic" w:hAnsi="Traditional Arabic" w:hint="cs"/>
          <w:sz w:val="30"/>
          <w:rtl/>
        </w:rPr>
        <w:t>موقعية</w:t>
      </w:r>
      <w:proofErr w:type="spellEnd"/>
      <w:r>
        <w:rPr>
          <w:rFonts w:ascii="Traditional Arabic" w:hAnsi="Traditional Arabic" w:hint="cs"/>
          <w:sz w:val="30"/>
          <w:rtl/>
        </w:rPr>
        <w:t xml:space="preserve">: أكد مقدمو الطلبات في 19 طلب إجراء عاجل قلقهم لاقتصار تدخل السلطات المكلفة بالتحقيق في أغلب الأحيان على إرسال طلبات معلومات إلى دور الإيواء ومرافق المستشفيات والمرافق الطبية ومرافق السجون، والتي لا تسفر عن أي نتائج. كما أكدوا أنه بالرغم من اشتمال طلبات المعلومات هذه في كثير من الأحيان على تعليمات بإجراء التحقيقات عن طريق إجراء زيارات </w:t>
      </w:r>
      <w:proofErr w:type="spellStart"/>
      <w:r>
        <w:rPr>
          <w:rFonts w:ascii="Traditional Arabic" w:hAnsi="Traditional Arabic" w:hint="cs"/>
          <w:sz w:val="30"/>
          <w:rtl/>
        </w:rPr>
        <w:t>موقعية</w:t>
      </w:r>
      <w:proofErr w:type="spellEnd"/>
      <w:r>
        <w:rPr>
          <w:rFonts w:ascii="Traditional Arabic" w:hAnsi="Traditional Arabic" w:hint="cs"/>
          <w:sz w:val="30"/>
          <w:rtl/>
        </w:rPr>
        <w:t xml:space="preserve">، لم تنفَّذ هذه التعليمات. وفي هذه الحالات، أوصت اللجنة الدولة الطرف بأن تضمن اضطلاع السلطات المختصة بما يلي: </w:t>
      </w:r>
      <w:r w:rsidR="00D221A1">
        <w:rPr>
          <w:rFonts w:ascii="Traditional Arabic" w:hAnsi="Traditional Arabic" w:hint="cs"/>
          <w:sz w:val="30"/>
          <w:rtl/>
        </w:rPr>
        <w:t>‘</w:t>
      </w:r>
      <w:r>
        <w:rPr>
          <w:rFonts w:ascii="Traditional Arabic" w:hAnsi="Traditional Arabic" w:hint="cs"/>
          <w:sz w:val="30"/>
          <w:rtl/>
        </w:rPr>
        <w:t>1‘</w:t>
      </w:r>
      <w:r w:rsidR="001A63A8">
        <w:rPr>
          <w:rFonts w:ascii="Traditional Arabic" w:hAnsi="Traditional Arabic" w:hint="eastAsia"/>
          <w:sz w:val="30"/>
          <w:rtl/>
        </w:rPr>
        <w:t> </w:t>
      </w:r>
      <w:r>
        <w:rPr>
          <w:rFonts w:ascii="Traditional Arabic" w:hAnsi="Traditional Arabic" w:hint="cs"/>
          <w:sz w:val="30"/>
          <w:rtl/>
        </w:rPr>
        <w:t>أن تستخدم كامل صلاحياتها، بما في ذلك اتخاذ تدابير عاجلة، لتطلب إلى السلطات المعنية تقديم جميع المعلومات المطلوبة في سياق التحقيق في جرائم الاختفاء أو إجراءات البحث عن الأشخاص المختفين، و</w:t>
      </w:r>
      <w:r w:rsidR="00D221A1">
        <w:rPr>
          <w:rFonts w:ascii="Traditional Arabic" w:hAnsi="Traditional Arabic" w:hint="cs"/>
          <w:sz w:val="30"/>
          <w:rtl/>
        </w:rPr>
        <w:t>‘</w:t>
      </w:r>
      <w:r>
        <w:rPr>
          <w:rFonts w:ascii="Traditional Arabic" w:hAnsi="Traditional Arabic" w:hint="cs"/>
          <w:sz w:val="30"/>
          <w:rtl/>
        </w:rPr>
        <w:t xml:space="preserve">2‘ أن تتخذ إجراءات تهدف إلى إجراء </w:t>
      </w:r>
      <w:r w:rsidRPr="001B638C">
        <w:rPr>
          <w:rFonts w:ascii="Traditional Arabic" w:hAnsi="Traditional Arabic" w:hint="cs"/>
          <w:sz w:val="30"/>
          <w:rtl/>
        </w:rPr>
        <w:t xml:space="preserve">تحقيقات </w:t>
      </w:r>
      <w:proofErr w:type="spellStart"/>
      <w:r w:rsidRPr="001B638C">
        <w:rPr>
          <w:rFonts w:ascii="Traditional Arabic" w:hAnsi="Traditional Arabic" w:hint="cs"/>
          <w:sz w:val="30"/>
          <w:rtl/>
        </w:rPr>
        <w:t>موقعية</w:t>
      </w:r>
      <w:proofErr w:type="spellEnd"/>
      <w:r w:rsidRPr="001B638C">
        <w:rPr>
          <w:rFonts w:ascii="Traditional Arabic" w:hAnsi="Traditional Arabic" w:hint="cs"/>
          <w:sz w:val="30"/>
          <w:rtl/>
        </w:rPr>
        <w:t xml:space="preserve"> وافية تضمن فعالية </w:t>
      </w:r>
      <w:r w:rsidRPr="00830783">
        <w:rPr>
          <w:rFonts w:ascii="Traditional Arabic" w:hAnsi="Traditional Arabic" w:hint="cs"/>
          <w:sz w:val="30"/>
          <w:rtl/>
        </w:rPr>
        <w:t>عملية البحث بحيث</w:t>
      </w:r>
      <w:r w:rsidRPr="001B638C">
        <w:rPr>
          <w:rFonts w:ascii="Traditional Arabic" w:hAnsi="Traditional Arabic" w:hint="cs"/>
          <w:sz w:val="30"/>
          <w:rtl/>
        </w:rPr>
        <w:t xml:space="preserve"> لا تقتصر</w:t>
      </w:r>
      <w:r>
        <w:rPr>
          <w:rFonts w:ascii="Traditional Arabic" w:hAnsi="Traditional Arabic" w:hint="cs"/>
          <w:sz w:val="30"/>
          <w:rtl/>
        </w:rPr>
        <w:t xml:space="preserve"> فقط</w:t>
      </w:r>
      <w:r w:rsidRPr="001B638C">
        <w:rPr>
          <w:rFonts w:ascii="Traditional Arabic" w:hAnsi="Traditional Arabic" w:hint="cs"/>
          <w:sz w:val="30"/>
          <w:rtl/>
        </w:rPr>
        <w:t xml:space="preserve"> على توجيه رسائل إلى</w:t>
      </w:r>
      <w:r>
        <w:rPr>
          <w:rFonts w:ascii="Traditional Arabic" w:hAnsi="Traditional Arabic" w:hint="cs"/>
          <w:sz w:val="30"/>
          <w:rtl/>
        </w:rPr>
        <w:t xml:space="preserve"> سلطات مختلفة أو</w:t>
      </w:r>
      <w:r w:rsidR="00F87DAA">
        <w:rPr>
          <w:rFonts w:ascii="Traditional Arabic" w:hAnsi="Traditional Arabic" w:hint="eastAsia"/>
          <w:sz w:val="30"/>
          <w:rtl/>
        </w:rPr>
        <w:t> </w:t>
      </w:r>
      <w:r>
        <w:rPr>
          <w:rFonts w:ascii="Traditional Arabic" w:hAnsi="Traditional Arabic" w:hint="cs"/>
          <w:sz w:val="30"/>
          <w:rtl/>
        </w:rPr>
        <w:t>التعويل على المعلومات الموجودة في سجلات الدولة الطرف</w:t>
      </w:r>
      <w:r w:rsidR="00556259">
        <w:rPr>
          <w:rFonts w:ascii="Traditional Arabic" w:hAnsi="Traditional Arabic" w:hint="cs"/>
          <w:sz w:val="30"/>
          <w:rtl/>
        </w:rPr>
        <w:t>؛</w:t>
      </w:r>
    </w:p>
    <w:p w:rsidR="000E3EEE" w:rsidRPr="00F87DAA" w:rsidRDefault="000E3EEE" w:rsidP="00D221A1">
      <w:pPr>
        <w:pStyle w:val="SingleTxtGA"/>
        <w:rPr>
          <w:rFonts w:ascii="Traditional Arabic" w:eastAsiaTheme="minorEastAsia" w:hAnsi="Traditional Arabic"/>
          <w:spacing w:val="-2"/>
          <w:sz w:val="30"/>
          <w:rtl/>
          <w:lang w:val="fr-FR" w:eastAsia="zh-CN"/>
        </w:rPr>
      </w:pPr>
      <w:r w:rsidRPr="00F87DAA">
        <w:rPr>
          <w:rFonts w:ascii="Traditional Arabic" w:hAnsi="Traditional Arabic" w:hint="cs"/>
          <w:spacing w:val="-2"/>
          <w:sz w:val="30"/>
          <w:rtl/>
        </w:rPr>
        <w:tab/>
        <w:t>(هـ)</w:t>
      </w:r>
      <w:r w:rsidRPr="00F87DAA">
        <w:rPr>
          <w:rFonts w:ascii="Traditional Arabic" w:hAnsi="Traditional Arabic" w:hint="cs"/>
          <w:spacing w:val="-2"/>
          <w:sz w:val="30"/>
          <w:rtl/>
        </w:rPr>
        <w:tab/>
        <w:t xml:space="preserve">قصور استخدام الأدلة المتاحة: في معظم طلبات الإجراءات العاجلة المسجلة، أعرب مقدموها عن خيبة أملهم لعدم اتخاذ السلطات إجراءات تضمن تمام استخدام الأدلة المتاحة وتحليلها. فعلى سبيل المثال، كثيراً ما أبلغ مقدمو الطلبات عن محدودية أو قصور استخدام تحليل شبكات الاتصالات الهاتفية أو الرسائل الإلكترونية؛ وإجراء عمليات تفتيش جزئية لأماكن يمكن العثور فيها على أدلة مهمة؛ وعدم تحليل الرفات </w:t>
      </w:r>
      <w:proofErr w:type="spellStart"/>
      <w:r w:rsidRPr="00F87DAA">
        <w:rPr>
          <w:rFonts w:ascii="Traditional Arabic" w:hAnsi="Traditional Arabic" w:hint="cs"/>
          <w:spacing w:val="-2"/>
          <w:sz w:val="30"/>
          <w:rtl/>
        </w:rPr>
        <w:t>المعثور</w:t>
      </w:r>
      <w:proofErr w:type="spellEnd"/>
      <w:r w:rsidRPr="00F87DAA">
        <w:rPr>
          <w:rFonts w:ascii="Traditional Arabic" w:hAnsi="Traditional Arabic" w:hint="cs"/>
          <w:spacing w:val="-2"/>
          <w:sz w:val="30"/>
          <w:rtl/>
        </w:rPr>
        <w:t xml:space="preserve"> عليه؛ وممانعة بعض السلطات في إجراء مقابلات مع الشهود الذين حددهم أقارب الأشخاص المختفين أو </w:t>
      </w:r>
      <w:proofErr w:type="spellStart"/>
      <w:r w:rsidRPr="00F87DAA">
        <w:rPr>
          <w:rFonts w:ascii="Traditional Arabic" w:hAnsi="Traditional Arabic" w:hint="cs"/>
          <w:spacing w:val="-2"/>
          <w:sz w:val="30"/>
          <w:rtl/>
        </w:rPr>
        <w:t>ذووهم</w:t>
      </w:r>
      <w:proofErr w:type="spellEnd"/>
      <w:r w:rsidRPr="00F87DAA">
        <w:rPr>
          <w:rFonts w:ascii="Traditional Arabic" w:hAnsi="Traditional Arabic" w:hint="cs"/>
          <w:spacing w:val="-2"/>
          <w:sz w:val="30"/>
          <w:rtl/>
        </w:rPr>
        <w:t>. وفي هذه الحالات، تحلل اللجنة المعلومات المتاحة لها، وعقب التحقّق من صحتها، توجّه عناية السلطات المكلفة بالبحث والتحقيق إلى الشواغل المتصلة بها وتدعوها إلى اتخاذ إجراءات التحقيق اللازمة.</w:t>
      </w:r>
    </w:p>
    <w:p w:rsidR="000E3EEE" w:rsidRDefault="000E3EEE" w:rsidP="00D221A1">
      <w:pPr>
        <w:pStyle w:val="SingleTxtGA"/>
        <w:rPr>
          <w:rFonts w:ascii="Traditional Arabic" w:hAnsi="Traditional Arabic"/>
          <w:sz w:val="30"/>
          <w:rtl/>
        </w:rPr>
      </w:pPr>
      <w:r>
        <w:rPr>
          <w:rFonts w:ascii="Traditional Arabic" w:hAnsi="Traditional Arabic" w:hint="cs"/>
          <w:sz w:val="30"/>
          <w:rtl/>
        </w:rPr>
        <w:lastRenderedPageBreak/>
        <w:t>27-</w:t>
      </w:r>
      <w:r>
        <w:rPr>
          <w:rFonts w:ascii="Traditional Arabic" w:hAnsi="Traditional Arabic" w:hint="cs"/>
          <w:sz w:val="30"/>
          <w:rtl/>
        </w:rPr>
        <w:tab/>
        <w:t>إسناد التحقيقات إلى وحدات جنائية غير متخصصة: كثيراً ما أعرب مقدمو الطلبات عن قلقهم لإسناد التحقيق في قضاياهم إلى وحدات غير متخصصة في التحقيق في جرائم الاختفاء القسري. ويمكن، على سبيل المثال، ذكر القضايا التي أُسندت إلى وحدات متخصصة في التحقيق في الجرائم المرتكبة من دوائر الجريمة المنظمة. وفي هذه الحالات، استوضحت اللجنة من الدولة الطرف أسباب هذا الإسناد وطلبت موافاتها بمعلومات عن مدى إضراره بالتحقيق في جرائم الاختفاء القسري التي تدخل ضمن اختصاص وحدات أخرى، أو عما إذا كانت لسائر الوحدات أيضاً صلاحية التحقيق في الملابسات التي تسوق إلى احتمال وقوع جريمة اختفاء قسري بمعناها المحدد في الاتفاقية.</w:t>
      </w:r>
    </w:p>
    <w:p w:rsidR="000E3EEE" w:rsidRPr="00F87DAA" w:rsidRDefault="000E3EEE" w:rsidP="00D221A1">
      <w:pPr>
        <w:pStyle w:val="SingleTxtGA"/>
        <w:rPr>
          <w:rFonts w:ascii="Traditional Arabic" w:hAnsi="Traditional Arabic"/>
          <w:spacing w:val="-2"/>
          <w:sz w:val="30"/>
          <w:rtl/>
        </w:rPr>
      </w:pPr>
      <w:r w:rsidRPr="00F87DAA">
        <w:rPr>
          <w:rFonts w:ascii="Traditional Arabic" w:hAnsi="Traditional Arabic" w:hint="cs"/>
          <w:spacing w:val="-2"/>
          <w:sz w:val="30"/>
          <w:rtl/>
        </w:rPr>
        <w:t>28-</w:t>
      </w:r>
      <w:r w:rsidRPr="00F87DAA">
        <w:rPr>
          <w:rFonts w:ascii="Traditional Arabic" w:hAnsi="Traditional Arabic" w:hint="cs"/>
          <w:spacing w:val="-2"/>
          <w:sz w:val="30"/>
          <w:rtl/>
        </w:rPr>
        <w:tab/>
        <w:t xml:space="preserve">انعدام التنسيق بين المؤسسات: أعرب مقدمو طلبات الإجراءات العاجلة في معظم الطلبات المسجلة عن قلقهم لانعدام التنسيق بين الهيئات المكلفة بقضاياهم. ففي الدول الاتحادية، ينعكس ذلك أيضاً في انعدام التنسيق بين الهيئات الولائية والاتحادية، وهو ما يؤثر تأثيراً جلياً على فعالية عمليات البحث والتحقيقات التي تجريها. وفي هذه الحالات، ذكّرت اللجنة الدول الأطراف بضرورة كفالة التنسيق المؤسسي بين جميع الهيئات المعنية بالبحث والتحقيق. </w:t>
      </w:r>
    </w:p>
    <w:p w:rsidR="000E3EEE" w:rsidRPr="00F87DAA" w:rsidRDefault="000E3EEE" w:rsidP="000E3EEE">
      <w:pPr>
        <w:pStyle w:val="SingleTxtGA"/>
        <w:rPr>
          <w:rFonts w:ascii="Traditional Arabic" w:hAnsi="Traditional Arabic"/>
          <w:spacing w:val="-2"/>
          <w:sz w:val="30"/>
          <w:rtl/>
        </w:rPr>
      </w:pPr>
      <w:r w:rsidRPr="00F87DAA">
        <w:rPr>
          <w:rFonts w:ascii="Traditional Arabic" w:hAnsi="Traditional Arabic" w:hint="cs"/>
          <w:spacing w:val="-2"/>
          <w:sz w:val="30"/>
          <w:rtl/>
        </w:rPr>
        <w:t>29-</w:t>
      </w:r>
      <w:r w:rsidRPr="00F87DAA">
        <w:rPr>
          <w:rFonts w:ascii="Traditional Arabic" w:hAnsi="Traditional Arabic" w:hint="cs"/>
          <w:spacing w:val="-2"/>
          <w:sz w:val="30"/>
          <w:rtl/>
        </w:rPr>
        <w:tab/>
        <w:t>دور المحاكم الجنائية العسكرية: في طلبات الإجراءات العاجلة التي كان الجناة المحتملون فيها أو الضحايا أفراداً تابعين للسلطات العسكرية، أكد مقدمو الطلبات باستمرار قلقهم بشأن دور المحاكم الجنائية العسكرية في التحقيق في قضاياهم. وفي هذه الحالات، تذكّر اللجنة الدولة الطرف بأنه ينبغي لها اتخاذ جميع التدابير اللازمة لكفالة نظر المحاكم العادية، عملياً، في هذه القضايا منذ البداية. وقد طلبت اللجنة إلى الدولة الطرف أيضاً، متى كان ذلك ملائماً، أن تضمن تعاون السلطات العسكرية مع السلطات المدنية التي يجب أن تكون هي المكلفة بالتحقيق في هذه القضايا وتنسيقه. ويستند هذا التوضيح إلى ضرورة تلافي رفض السلطات العسكرية تقديم المساعدة أو أي معلومات خاصة في حوزتها بحجة حظر التدخل في القضاء العسكري.</w:t>
      </w:r>
    </w:p>
    <w:p w:rsidR="000E3EEE" w:rsidRDefault="000E3EEE" w:rsidP="00D221A1">
      <w:pPr>
        <w:pStyle w:val="SingleTxtGA"/>
        <w:rPr>
          <w:rFonts w:ascii="Traditional Arabic" w:hAnsi="Traditional Arabic"/>
          <w:sz w:val="30"/>
          <w:rtl/>
        </w:rPr>
      </w:pPr>
      <w:r>
        <w:rPr>
          <w:rFonts w:ascii="Traditional Arabic" w:hAnsi="Traditional Arabic" w:hint="cs"/>
          <w:sz w:val="30"/>
          <w:rtl/>
        </w:rPr>
        <w:t>30-</w:t>
      </w:r>
      <w:r>
        <w:rPr>
          <w:rFonts w:ascii="Traditional Arabic" w:hAnsi="Traditional Arabic" w:hint="cs"/>
          <w:sz w:val="30"/>
          <w:rtl/>
        </w:rPr>
        <w:tab/>
        <w:t xml:space="preserve">ضرورة تعزيز المساعدة القضائية الدولية في البحث عن الأشخاص المختفين: في عشرة </w:t>
      </w:r>
      <w:r w:rsidRPr="00C30CCC">
        <w:rPr>
          <w:rFonts w:ascii="Traditional Arabic" w:hAnsi="Traditional Arabic" w:hint="cs"/>
          <w:sz w:val="30"/>
          <w:rtl/>
        </w:rPr>
        <w:t>طلبات إجراء</w:t>
      </w:r>
      <w:r>
        <w:rPr>
          <w:rFonts w:ascii="Traditional Arabic" w:hAnsi="Traditional Arabic" w:hint="cs"/>
          <w:sz w:val="30"/>
          <w:rtl/>
        </w:rPr>
        <w:t xml:space="preserve">ات عاجلة يُفترض فيها أن الأشخاص المعنيين قد اختفوا في بلد غير البلد الذي </w:t>
      </w:r>
      <w:proofErr w:type="spellStart"/>
      <w:r>
        <w:rPr>
          <w:rFonts w:ascii="Traditional Arabic" w:hAnsi="Traditional Arabic" w:hint="cs"/>
          <w:sz w:val="30"/>
          <w:rtl/>
        </w:rPr>
        <w:t>رُؤوا</w:t>
      </w:r>
      <w:proofErr w:type="spellEnd"/>
      <w:r>
        <w:rPr>
          <w:rFonts w:ascii="Traditional Arabic" w:hAnsi="Traditional Arabic" w:hint="cs"/>
          <w:sz w:val="30"/>
          <w:rtl/>
        </w:rPr>
        <w:t xml:space="preserve"> فيه لآخر مرة، أكد مقدموها قلقهم حيال قصور التعاون بين الدول المعنية. وفي هذه الحالات، تطلب اللجنة إلى الدولة الطرف الإسراع فوراً بتقديم المساعدة القضائية الدولية اللازمة، وفقاً للمادة 14 من الاتفاقية.</w:t>
      </w:r>
    </w:p>
    <w:p w:rsidR="000E3EEE" w:rsidRPr="003B5A7B" w:rsidRDefault="000E3EEE" w:rsidP="000E3EEE">
      <w:pPr>
        <w:pStyle w:val="SingleTxtGA"/>
        <w:rPr>
          <w:rFonts w:ascii="Traditional Arabic" w:hAnsi="Traditional Arabic"/>
          <w:sz w:val="30"/>
          <w:rtl/>
          <w:lang w:bidi="ar-EG"/>
        </w:rPr>
      </w:pPr>
      <w:r>
        <w:rPr>
          <w:rFonts w:ascii="Traditional Arabic" w:hAnsi="Traditional Arabic" w:hint="cs"/>
          <w:sz w:val="30"/>
          <w:rtl/>
        </w:rPr>
        <w:t>31-</w:t>
      </w:r>
      <w:r>
        <w:rPr>
          <w:rFonts w:ascii="Traditional Arabic" w:hAnsi="Traditional Arabic" w:hint="cs"/>
          <w:sz w:val="30"/>
          <w:rtl/>
        </w:rPr>
        <w:tab/>
        <w:t xml:space="preserve">عدم إمكانية حصول أقارب الأشخاص المختفين وذويهم على معلومات عن عمليات البحث عنهم وعدم إمكانية مشاركتهم فيها: أشار مقدمو طلبات الإجراءات العاجلة في معظم الطلبات إلى الصعوبات التي </w:t>
      </w:r>
      <w:proofErr w:type="spellStart"/>
      <w:r>
        <w:rPr>
          <w:rFonts w:ascii="Traditional Arabic" w:hAnsi="Traditional Arabic" w:hint="cs"/>
          <w:sz w:val="30"/>
          <w:rtl/>
        </w:rPr>
        <w:t>واجهها</w:t>
      </w:r>
      <w:proofErr w:type="spellEnd"/>
      <w:r>
        <w:rPr>
          <w:rFonts w:ascii="Traditional Arabic" w:hAnsi="Traditional Arabic" w:hint="cs"/>
          <w:sz w:val="30"/>
          <w:rtl/>
        </w:rPr>
        <w:t xml:space="preserve"> أقارب الأشخاص المختفين </w:t>
      </w:r>
      <w:proofErr w:type="spellStart"/>
      <w:r>
        <w:rPr>
          <w:rFonts w:ascii="Traditional Arabic" w:hAnsi="Traditional Arabic" w:hint="cs"/>
          <w:sz w:val="30"/>
          <w:rtl/>
        </w:rPr>
        <w:t>وذووهم</w:t>
      </w:r>
      <w:proofErr w:type="spellEnd"/>
      <w:r>
        <w:rPr>
          <w:rFonts w:ascii="Traditional Arabic" w:hAnsi="Traditional Arabic" w:hint="cs"/>
          <w:sz w:val="30"/>
          <w:rtl/>
        </w:rPr>
        <w:t xml:space="preserve"> في إمكانية الحصول على المعلومات المتعلقة بالتحقيق في الاختفاء القسري وبعمليات البحث عن الأشخاص المختفين، وفي إمكانية المشاركة في هذه العمليات. وفي هذه الحالات، تذكّر اللجنة الدولة الطرف بالتزاميْها الناشئين عن الاتفاقية بموجب المادتين 12 و24 منها: (أ) بأن تكفل إمكانية حصول أقارب </w:t>
      </w:r>
      <w:proofErr w:type="spellStart"/>
      <w:r w:rsidRPr="003B5A7B">
        <w:rPr>
          <w:rFonts w:ascii="Traditional Arabic" w:hAnsi="Traditional Arabic" w:hint="cs"/>
          <w:sz w:val="30"/>
          <w:rtl/>
        </w:rPr>
        <w:t>ال</w:t>
      </w:r>
      <w:proofErr w:type="spellEnd"/>
      <w:r w:rsidRPr="003B5A7B">
        <w:rPr>
          <w:rFonts w:ascii="Traditional Arabic" w:hAnsi="Traditional Arabic" w:hint="cs"/>
          <w:sz w:val="30"/>
          <w:rtl/>
          <w:lang w:bidi="ar-EG"/>
        </w:rPr>
        <w:t>أشخاص المختفين وذويهم د</w:t>
      </w:r>
      <w:r w:rsidR="003864B8">
        <w:rPr>
          <w:rFonts w:ascii="Traditional Arabic" w:hAnsi="Traditional Arabic" w:hint="cs"/>
          <w:sz w:val="30"/>
          <w:rtl/>
          <w:lang w:bidi="ar-EG"/>
        </w:rPr>
        <w:t>ورياً على معلومات عن التقدم الم</w:t>
      </w:r>
      <w:r w:rsidRPr="003B5A7B">
        <w:rPr>
          <w:rFonts w:ascii="Traditional Arabic" w:hAnsi="Traditional Arabic" w:hint="cs"/>
          <w:sz w:val="30"/>
          <w:rtl/>
          <w:lang w:bidi="ar-EG"/>
        </w:rPr>
        <w:t xml:space="preserve">حرز في الوفاء بواجبي البحث والتحقيق، بما يشمل عقد لقاءات مع السلطات المكلفة </w:t>
      </w:r>
      <w:r>
        <w:rPr>
          <w:rFonts w:ascii="Traditional Arabic" w:hAnsi="Traditional Arabic" w:hint="cs"/>
          <w:sz w:val="30"/>
          <w:rtl/>
          <w:lang w:bidi="ar-EG"/>
        </w:rPr>
        <w:t>ب</w:t>
      </w:r>
      <w:r w:rsidRPr="003B5A7B">
        <w:rPr>
          <w:rFonts w:ascii="Traditional Arabic" w:hAnsi="Traditional Arabic" w:hint="cs"/>
          <w:sz w:val="30"/>
          <w:rtl/>
          <w:lang w:bidi="ar-EG"/>
        </w:rPr>
        <w:t xml:space="preserve">قضاياهم، متى رأت ذلك ملائماً، و(ب) أن </w:t>
      </w:r>
      <w:r>
        <w:rPr>
          <w:rFonts w:ascii="Traditional Arabic" w:hAnsi="Traditional Arabic" w:hint="cs"/>
          <w:sz w:val="30"/>
          <w:rtl/>
          <w:lang w:bidi="ar-EG"/>
        </w:rPr>
        <w:t>تسمح بم</w:t>
      </w:r>
      <w:r w:rsidRPr="003B5A7B">
        <w:rPr>
          <w:rFonts w:ascii="Traditional Arabic" w:hAnsi="Traditional Arabic" w:hint="cs"/>
          <w:sz w:val="30"/>
          <w:rtl/>
          <w:lang w:bidi="ar-EG"/>
        </w:rPr>
        <w:t>شاركتهم في عملية البحث مشاركةً فعل</w:t>
      </w:r>
      <w:r>
        <w:rPr>
          <w:rFonts w:ascii="Traditional Arabic" w:hAnsi="Traditional Arabic" w:hint="cs"/>
          <w:sz w:val="30"/>
          <w:rtl/>
          <w:lang w:bidi="ar-EG"/>
        </w:rPr>
        <w:t>ي</w:t>
      </w:r>
      <w:r w:rsidRPr="003B5A7B">
        <w:rPr>
          <w:rFonts w:ascii="Traditional Arabic" w:hAnsi="Traditional Arabic" w:hint="cs"/>
          <w:sz w:val="30"/>
          <w:rtl/>
          <w:lang w:bidi="ar-EG"/>
        </w:rPr>
        <w:t>ة وتدعمه</w:t>
      </w:r>
      <w:r>
        <w:rPr>
          <w:rFonts w:ascii="Traditional Arabic" w:hAnsi="Traditional Arabic" w:hint="cs"/>
          <w:sz w:val="30"/>
          <w:rtl/>
          <w:lang w:bidi="ar-EG"/>
        </w:rPr>
        <w:t>ا</w:t>
      </w:r>
      <w:r w:rsidRPr="003B5A7B">
        <w:rPr>
          <w:rFonts w:ascii="Traditional Arabic" w:hAnsi="Traditional Arabic" w:hint="cs"/>
          <w:sz w:val="30"/>
          <w:rtl/>
          <w:lang w:bidi="ar-EG"/>
        </w:rPr>
        <w:t>.</w:t>
      </w:r>
    </w:p>
    <w:p w:rsidR="000E3EEE" w:rsidRPr="00F87DAA" w:rsidRDefault="000E3EEE" w:rsidP="00F87DAA">
      <w:pPr>
        <w:pStyle w:val="SingleTxtGA"/>
        <w:rPr>
          <w:rFonts w:ascii="Traditional Arabic" w:hAnsi="Traditional Arabic"/>
          <w:spacing w:val="-2"/>
          <w:sz w:val="30"/>
          <w:rtl/>
        </w:rPr>
      </w:pPr>
      <w:r w:rsidRPr="00F87DAA">
        <w:rPr>
          <w:rFonts w:ascii="Traditional Arabic" w:hAnsi="Traditional Arabic" w:hint="cs"/>
          <w:spacing w:val="-2"/>
          <w:sz w:val="30"/>
          <w:rtl/>
          <w:lang w:bidi="ar-EG"/>
        </w:rPr>
        <w:lastRenderedPageBreak/>
        <w:t>32-</w:t>
      </w:r>
      <w:r w:rsidRPr="00F87DAA">
        <w:rPr>
          <w:rFonts w:ascii="Traditional Arabic" w:hAnsi="Traditional Arabic" w:hint="cs"/>
          <w:spacing w:val="-2"/>
          <w:sz w:val="30"/>
          <w:rtl/>
          <w:lang w:bidi="ar-EG"/>
        </w:rPr>
        <w:tab/>
        <w:t xml:space="preserve">طلب تدابير احترازية: طلب مقدمو </w:t>
      </w:r>
      <w:r w:rsidRPr="00F87DAA">
        <w:rPr>
          <w:rFonts w:ascii="Traditional Arabic" w:hAnsi="Traditional Arabic" w:hint="cs"/>
          <w:spacing w:val="-2"/>
          <w:sz w:val="30"/>
          <w:rtl/>
        </w:rPr>
        <w:t xml:space="preserve">طلبات الإجراءات العاجلة في معظم الطلبات اتخاذ تدابير احترازية لحماية أقارب المختفين وذويهم من أي تهديدات قد يتلقوْنها، وتمكينهم من مواصلة الأنشطة اللازمة للبحث عنهم والعثور عليهم. ففي أغلب الحالات، عانى أقارب المختفين </w:t>
      </w:r>
      <w:proofErr w:type="spellStart"/>
      <w:r w:rsidRPr="00F87DAA">
        <w:rPr>
          <w:rFonts w:ascii="Traditional Arabic" w:hAnsi="Traditional Arabic" w:hint="cs"/>
          <w:spacing w:val="-2"/>
          <w:sz w:val="30"/>
          <w:rtl/>
        </w:rPr>
        <w:t>وذووهم</w:t>
      </w:r>
      <w:proofErr w:type="spellEnd"/>
      <w:r w:rsidRPr="00F87DAA">
        <w:rPr>
          <w:rFonts w:ascii="Traditional Arabic" w:hAnsi="Traditional Arabic" w:hint="cs"/>
          <w:spacing w:val="-2"/>
          <w:sz w:val="30"/>
          <w:rtl/>
        </w:rPr>
        <w:t xml:space="preserve"> من ضغوط شديدة كان مصدرها المباشر في كثير من الأحيان سلطات الدولة المحتمل تورّطها في الوقائع. فقد أشاروا في هذا السياق إلى </w:t>
      </w:r>
      <w:r w:rsidRPr="00F87DAA">
        <w:rPr>
          <w:rFonts w:ascii="Traditional Arabic" w:hAnsi="Traditional Arabic" w:hint="cs"/>
          <w:spacing w:val="-2"/>
          <w:sz w:val="30"/>
          <w:rtl/>
          <w:lang w:bidi="ar-EG"/>
        </w:rPr>
        <w:t>مرور دوريات مراقبة أو وجود مكثف لقوات الأمن أمام منازلهم، وتلقيهم رسائل أو اتصالات هاتفية تهديدية، وممارسة الضغط على الأبناء القصّر، والتعرّض لتهديدات مباشرة لصرفهم</w:t>
      </w:r>
      <w:r w:rsidRPr="00F87DAA">
        <w:rPr>
          <w:rFonts w:ascii="Traditional Arabic" w:hAnsi="Traditional Arabic" w:hint="cs"/>
          <w:spacing w:val="-2"/>
          <w:sz w:val="30"/>
          <w:rtl/>
        </w:rPr>
        <w:t xml:space="preserve"> عن الإبلاغ عن الوقائع أو عن مواصلة أنشطة البحث عن المختفين. وفي بعض الحالات، أبلغ مقدمو الطلبات أيضاً عن تعرّض ممثليهم لتهديدات بدنية أو</w:t>
      </w:r>
      <w:r w:rsidR="00F87DAA">
        <w:rPr>
          <w:rFonts w:ascii="Traditional Arabic" w:hAnsi="Traditional Arabic" w:hint="eastAsia"/>
          <w:spacing w:val="-2"/>
          <w:sz w:val="30"/>
          <w:rtl/>
        </w:rPr>
        <w:t> </w:t>
      </w:r>
      <w:r w:rsidRPr="00F87DAA">
        <w:rPr>
          <w:rFonts w:ascii="Traditional Arabic" w:hAnsi="Traditional Arabic" w:hint="cs"/>
          <w:spacing w:val="-2"/>
          <w:sz w:val="30"/>
          <w:rtl/>
        </w:rPr>
        <w:t>عن مقتل فاعلين لهم صلة مباشرة بعملية البحث عن المختفين. وقد مُنحت التدابير الاحترازية للحماية كلما أثبتت المعلومات المقدمة أن حياة هؤلاء الأشخاص أو سلامتهم البدنية أو النفسية مهددة بضرر لا يمكن جبره. وفي جميع الحالات، طُلب إلى الدولة المعنية معرفة احتياجات الأشخاص الذين تنبغي حمايتهم والاستماع إلى آرائهم قبل تنفيذ أي تدابير حماية.</w:t>
      </w:r>
    </w:p>
    <w:p w:rsidR="000E3EEE" w:rsidRPr="006E31C0" w:rsidRDefault="00D221A1" w:rsidP="00D221A1">
      <w:pPr>
        <w:pStyle w:val="H1GA"/>
        <w:rPr>
          <w:rtl/>
          <w:lang w:bidi="ar-EG"/>
        </w:rPr>
      </w:pPr>
      <w:r>
        <w:rPr>
          <w:rtl/>
          <w:lang w:bidi="ar-EG"/>
        </w:rPr>
        <w:tab/>
      </w:r>
      <w:r w:rsidR="000E3EEE" w:rsidRPr="006E31C0">
        <w:rPr>
          <w:rFonts w:hint="cs"/>
          <w:rtl/>
          <w:lang w:bidi="ar-EG"/>
        </w:rPr>
        <w:t>واو-</w:t>
      </w:r>
      <w:r>
        <w:rPr>
          <w:rtl/>
          <w:lang w:bidi="ar-EG"/>
        </w:rPr>
        <w:tab/>
      </w:r>
      <w:r w:rsidR="000E3EEE" w:rsidRPr="006E31C0">
        <w:rPr>
          <w:rFonts w:hint="cs"/>
          <w:rtl/>
          <w:lang w:bidi="ar-EG"/>
        </w:rPr>
        <w:t>طلبات الإجراء</w:t>
      </w:r>
      <w:r w:rsidR="000E3EEE">
        <w:rPr>
          <w:rFonts w:hint="cs"/>
          <w:rtl/>
          <w:lang w:bidi="ar-EG"/>
        </w:rPr>
        <w:t>ات</w:t>
      </w:r>
      <w:r w:rsidR="000E3EEE" w:rsidRPr="006E31C0">
        <w:rPr>
          <w:rFonts w:hint="cs"/>
          <w:rtl/>
          <w:lang w:bidi="ar-EG"/>
        </w:rPr>
        <w:t xml:space="preserve"> العاجل</w:t>
      </w:r>
      <w:r w:rsidR="000E3EEE">
        <w:rPr>
          <w:rFonts w:hint="cs"/>
          <w:rtl/>
          <w:lang w:bidi="ar-EG"/>
        </w:rPr>
        <w:t xml:space="preserve">ة التي أُوقف النظر فيها أو أُغلقت أو لا تزال مفتوحة لحماية الأشخاص </w:t>
      </w:r>
      <w:r w:rsidR="000E3EEE" w:rsidRPr="006E31C0">
        <w:rPr>
          <w:rFonts w:hint="cs"/>
          <w:rtl/>
          <w:lang w:bidi="ar-EG"/>
        </w:rPr>
        <w:t>الممنوحين تدابير احترازية</w:t>
      </w:r>
    </w:p>
    <w:p w:rsidR="000E3EEE" w:rsidRPr="003B5A7B" w:rsidRDefault="000E3EEE" w:rsidP="000E3EEE">
      <w:pPr>
        <w:pStyle w:val="SingleTxtGA"/>
        <w:rPr>
          <w:rFonts w:ascii="Traditional Arabic" w:hAnsi="Traditional Arabic"/>
          <w:sz w:val="30"/>
          <w:rtl/>
          <w:lang w:bidi="ar-EG"/>
        </w:rPr>
      </w:pPr>
      <w:r>
        <w:rPr>
          <w:rFonts w:ascii="Traditional Arabic" w:hAnsi="Traditional Arabic" w:hint="cs"/>
          <w:sz w:val="30"/>
          <w:rtl/>
          <w:lang w:bidi="ar-EG"/>
        </w:rPr>
        <w:t>33-</w:t>
      </w:r>
      <w:r>
        <w:rPr>
          <w:rFonts w:ascii="Traditional Arabic" w:hAnsi="Traditional Arabic" w:hint="cs"/>
          <w:sz w:val="30"/>
          <w:rtl/>
          <w:lang w:bidi="ar-EG"/>
        </w:rPr>
        <w:tab/>
        <w:t xml:space="preserve">وفقاً </w:t>
      </w:r>
      <w:r w:rsidRPr="003B5A7B">
        <w:rPr>
          <w:rFonts w:ascii="Traditional Arabic" w:hAnsi="Traditional Arabic" w:hint="cs"/>
          <w:sz w:val="30"/>
          <w:rtl/>
          <w:lang w:bidi="ar-EG"/>
        </w:rPr>
        <w:t>للمعايير التي اعتمدتها اللجنة في الجلسة العامة في دورتها الثامنة:</w:t>
      </w:r>
      <w:r>
        <w:rPr>
          <w:rFonts w:ascii="Traditional Arabic" w:hAnsi="Traditional Arabic" w:hint="cs"/>
          <w:sz w:val="30"/>
          <w:rtl/>
          <w:lang w:bidi="ar-EG"/>
        </w:rPr>
        <w:t xml:space="preserve"> </w:t>
      </w:r>
    </w:p>
    <w:p w:rsidR="000E3EEE" w:rsidRPr="003B5A7B" w:rsidRDefault="000E3EEE" w:rsidP="000E3EEE">
      <w:pPr>
        <w:pStyle w:val="SingleTxtGA"/>
        <w:rPr>
          <w:rFonts w:ascii="Traditional Arabic" w:hAnsi="Traditional Arabic"/>
          <w:sz w:val="30"/>
          <w:rtl/>
          <w:lang w:bidi="ar-EG"/>
        </w:rPr>
      </w:pPr>
      <w:r w:rsidRPr="003B5A7B">
        <w:rPr>
          <w:rFonts w:ascii="Traditional Arabic" w:hAnsi="Traditional Arabic" w:hint="cs"/>
          <w:sz w:val="30"/>
          <w:rtl/>
          <w:lang w:bidi="ar-EG"/>
        </w:rPr>
        <w:tab/>
        <w:t>(أ)</w:t>
      </w:r>
      <w:r w:rsidRPr="003B5A7B">
        <w:rPr>
          <w:rFonts w:ascii="Traditional Arabic" w:hAnsi="Traditional Arabic" w:hint="cs"/>
          <w:sz w:val="30"/>
          <w:rtl/>
          <w:lang w:bidi="ar-EG"/>
        </w:rPr>
        <w:tab/>
        <w:t xml:space="preserve">يوقَف النظر في طلب الإجراء العاجل متى حُدد مكان وجود الشخص المختفي لكنه </w:t>
      </w:r>
      <w:r>
        <w:rPr>
          <w:rFonts w:ascii="Traditional Arabic" w:hAnsi="Traditional Arabic" w:hint="cs"/>
          <w:sz w:val="30"/>
          <w:rtl/>
          <w:lang w:bidi="ar-EG"/>
        </w:rPr>
        <w:t>ما زال</w:t>
      </w:r>
      <w:r w:rsidRPr="003B5A7B">
        <w:rPr>
          <w:rFonts w:ascii="Traditional Arabic" w:hAnsi="Traditional Arabic" w:hint="cs"/>
          <w:sz w:val="30"/>
          <w:rtl/>
          <w:lang w:bidi="ar-EG"/>
        </w:rPr>
        <w:t xml:space="preserve"> محتجزاً، </w:t>
      </w:r>
      <w:r>
        <w:rPr>
          <w:rFonts w:ascii="Traditional Arabic" w:hAnsi="Traditional Arabic" w:hint="cs"/>
          <w:sz w:val="30"/>
          <w:rtl/>
          <w:lang w:bidi="ar-EG"/>
        </w:rPr>
        <w:t xml:space="preserve">وذلك </w:t>
      </w:r>
      <w:r w:rsidRPr="003B5A7B">
        <w:rPr>
          <w:rFonts w:ascii="Traditional Arabic" w:hAnsi="Traditional Arabic" w:hint="cs"/>
          <w:sz w:val="30"/>
          <w:rtl/>
          <w:lang w:bidi="ar-EG"/>
        </w:rPr>
        <w:t xml:space="preserve">نظراً لشدة </w:t>
      </w:r>
      <w:r>
        <w:rPr>
          <w:rFonts w:ascii="Traditional Arabic" w:hAnsi="Traditional Arabic" w:hint="cs"/>
          <w:sz w:val="30"/>
          <w:rtl/>
          <w:lang w:bidi="ar-EG"/>
        </w:rPr>
        <w:t>احتمال ت</w:t>
      </w:r>
      <w:r w:rsidRPr="003B5A7B">
        <w:rPr>
          <w:rFonts w:ascii="Traditional Arabic" w:hAnsi="Traditional Arabic" w:hint="cs"/>
          <w:sz w:val="30"/>
          <w:rtl/>
          <w:lang w:bidi="ar-EG"/>
        </w:rPr>
        <w:t xml:space="preserve">عرضه </w:t>
      </w:r>
      <w:r>
        <w:rPr>
          <w:rFonts w:ascii="Traditional Arabic" w:hAnsi="Traditional Arabic" w:hint="cs"/>
          <w:sz w:val="30"/>
          <w:rtl/>
          <w:lang w:bidi="ar-EG"/>
        </w:rPr>
        <w:t>في هذا الوضع للاختفاء مجدداً وال</w:t>
      </w:r>
      <w:r w:rsidR="00D221A1">
        <w:rPr>
          <w:rFonts w:ascii="Traditional Arabic" w:hAnsi="Traditional Arabic" w:hint="cs"/>
          <w:sz w:val="30"/>
          <w:rtl/>
          <w:lang w:bidi="ar-EG"/>
        </w:rPr>
        <w:t>خروج من نطاق حماية القانون؛</w:t>
      </w:r>
    </w:p>
    <w:p w:rsidR="000E3EEE" w:rsidRDefault="000E3EEE" w:rsidP="000E3EEE">
      <w:pPr>
        <w:pStyle w:val="SingleTxtGA"/>
        <w:rPr>
          <w:rFonts w:ascii="Traditional Arabic" w:hAnsi="Traditional Arabic"/>
          <w:sz w:val="30"/>
          <w:rtl/>
          <w:lang w:bidi="ar-EG"/>
        </w:rPr>
      </w:pPr>
      <w:r w:rsidRPr="003B5A7B">
        <w:rPr>
          <w:rFonts w:ascii="Traditional Arabic" w:hAnsi="Traditional Arabic" w:hint="cs"/>
          <w:sz w:val="30"/>
          <w:rtl/>
          <w:lang w:bidi="ar-EG"/>
        </w:rPr>
        <w:tab/>
        <w:t>(ب)</w:t>
      </w:r>
      <w:r w:rsidRPr="003B5A7B">
        <w:rPr>
          <w:rFonts w:ascii="Traditional Arabic" w:hAnsi="Traditional Arabic" w:hint="cs"/>
          <w:sz w:val="30"/>
          <w:rtl/>
          <w:lang w:bidi="ar-EG"/>
        </w:rPr>
        <w:tab/>
        <w:t>يُغلَق طلب الإجراء العاجل متى حُدد مكان وجود الشخص المختفي وكان طليقاً أو أُطلق سراحه بعد العثور عليه، أو متى عُثر عليه</w:t>
      </w:r>
      <w:r w:rsidR="00D221A1">
        <w:rPr>
          <w:rFonts w:ascii="Traditional Arabic" w:hAnsi="Traditional Arabic" w:hint="cs"/>
          <w:sz w:val="30"/>
          <w:rtl/>
          <w:lang w:bidi="ar-EG"/>
        </w:rPr>
        <w:t xml:space="preserve"> ميتاً؛</w:t>
      </w:r>
    </w:p>
    <w:p w:rsidR="000E3EEE" w:rsidRPr="00F87DAA" w:rsidRDefault="000E3EEE" w:rsidP="000E3EEE">
      <w:pPr>
        <w:pStyle w:val="SingleTxtGA"/>
        <w:rPr>
          <w:rFonts w:ascii="Traditional Arabic" w:hAnsi="Traditional Arabic"/>
          <w:spacing w:val="-2"/>
          <w:sz w:val="30"/>
          <w:rtl/>
          <w:lang w:bidi="ar-EG"/>
        </w:rPr>
      </w:pPr>
      <w:r w:rsidRPr="00F87DAA">
        <w:rPr>
          <w:rFonts w:ascii="Traditional Arabic" w:hAnsi="Traditional Arabic" w:hint="cs"/>
          <w:spacing w:val="-2"/>
          <w:sz w:val="30"/>
          <w:rtl/>
          <w:lang w:bidi="ar-EG"/>
        </w:rPr>
        <w:tab/>
        <w:t>(ج)</w:t>
      </w:r>
      <w:r w:rsidRPr="00F87DAA">
        <w:rPr>
          <w:rFonts w:ascii="Traditional Arabic" w:hAnsi="Traditional Arabic" w:hint="cs"/>
          <w:spacing w:val="-2"/>
          <w:sz w:val="30"/>
          <w:rtl/>
          <w:lang w:bidi="ar-EG"/>
        </w:rPr>
        <w:tab/>
        <w:t>يظل طلب الإجراء العاجل مفتوحاً إذا حُدد مكان وجود الشخص المختفي لكن ما زال الأشخاص الذين اتُّخذت لصالحهم تدابير احترازية في سياق الإجراء العاجل مهددين. وفي هذه الحالات، يقتصر تدخّل اللجنة على متابعة تنفيذ التدابير الاحترازية الممنوحة.</w:t>
      </w:r>
    </w:p>
    <w:p w:rsidR="000E3EEE" w:rsidRPr="00F87DAA" w:rsidRDefault="000E3EEE" w:rsidP="00DA1743">
      <w:pPr>
        <w:pStyle w:val="SingleTxtGA"/>
        <w:rPr>
          <w:rFonts w:ascii="Traditional Arabic" w:hAnsi="Traditional Arabic"/>
          <w:spacing w:val="-2"/>
          <w:sz w:val="30"/>
          <w:rtl/>
          <w:lang w:bidi="ar-EG"/>
        </w:rPr>
      </w:pPr>
      <w:r w:rsidRPr="00F87DAA">
        <w:rPr>
          <w:rFonts w:ascii="Traditional Arabic" w:hAnsi="Traditional Arabic" w:hint="cs"/>
          <w:spacing w:val="-2"/>
          <w:sz w:val="30"/>
          <w:rtl/>
          <w:lang w:bidi="ar-EG"/>
        </w:rPr>
        <w:t>34-</w:t>
      </w:r>
      <w:r w:rsidRPr="00F87DAA">
        <w:rPr>
          <w:rFonts w:ascii="Traditional Arabic" w:hAnsi="Traditional Arabic" w:hint="cs"/>
          <w:spacing w:val="-2"/>
          <w:sz w:val="30"/>
          <w:rtl/>
          <w:lang w:bidi="ar-EG"/>
        </w:rPr>
        <w:tab/>
        <w:t>ومنذ الدورة الحادية عشرة، أغلقت اللجنة ستة طلبات إجراءات عاجلة عُثر فيها على الضحايا أحياءً: تتعلق خمسة منها بوقائع حدثت في المكسيك وواحدة بوقائع حدثت في العراق. ومن ثَم، فقد بلغ مجموع طلبات الإ</w:t>
      </w:r>
      <w:bookmarkStart w:id="0" w:name="_GoBack"/>
      <w:bookmarkEnd w:id="0"/>
      <w:r w:rsidRPr="00F87DAA">
        <w:rPr>
          <w:rFonts w:ascii="Traditional Arabic" w:hAnsi="Traditional Arabic" w:hint="cs"/>
          <w:spacing w:val="-2"/>
          <w:sz w:val="30"/>
          <w:rtl/>
          <w:lang w:bidi="ar-EG"/>
        </w:rPr>
        <w:t>جراءات العاجلة التي أوقف النظر فيها أو أُغلقت حتى تاريخ تقديم هذا التقرير 13 طلباً: أُوقف النظر في ثلاثة طلبات منها (تتعلق بأشخاص مختفين عُثر عليهم لكنهم ما زالوا رهن الاحتجاز)، وأُغلقت عشرة طلبات (تتعلق بأشخاص مختفين عُثر عليهم أحياءً وأُطلق سراحهم (ثماني حالات) أو أشخاص مختفين عُثر عليهم أمواتاً</w:t>
      </w:r>
      <w:r w:rsidR="00DA1743" w:rsidRPr="00F87DAA">
        <w:rPr>
          <w:rFonts w:ascii="Traditional Arabic" w:hAnsi="Traditional Arabic" w:hint="eastAsia"/>
          <w:spacing w:val="-2"/>
          <w:sz w:val="30"/>
          <w:rtl/>
          <w:lang w:bidi="ar-EG"/>
        </w:rPr>
        <w:t> </w:t>
      </w:r>
      <w:r w:rsidRPr="00F87DAA">
        <w:rPr>
          <w:rFonts w:ascii="Traditional Arabic" w:hAnsi="Traditional Arabic" w:hint="cs"/>
          <w:spacing w:val="-2"/>
          <w:sz w:val="30"/>
          <w:rtl/>
          <w:lang w:bidi="ar-EG"/>
        </w:rPr>
        <w:t>(حالتان).</w:t>
      </w:r>
    </w:p>
    <w:p w:rsidR="000E3EEE" w:rsidRDefault="000E3EEE" w:rsidP="00EB167B">
      <w:pPr>
        <w:pStyle w:val="SingleTxtGA"/>
        <w:rPr>
          <w:rFonts w:ascii="Traditional Arabic" w:hAnsi="Traditional Arabic"/>
          <w:sz w:val="30"/>
          <w:rtl/>
          <w:lang w:bidi="ar-EG"/>
        </w:rPr>
      </w:pPr>
      <w:r>
        <w:rPr>
          <w:rFonts w:ascii="Traditional Arabic" w:hAnsi="Traditional Arabic" w:hint="cs"/>
          <w:sz w:val="30"/>
          <w:rtl/>
          <w:lang w:bidi="ar-EG"/>
        </w:rPr>
        <w:t>35-</w:t>
      </w:r>
      <w:r>
        <w:rPr>
          <w:rFonts w:ascii="Traditional Arabic" w:hAnsi="Traditional Arabic" w:hint="cs"/>
          <w:sz w:val="30"/>
          <w:rtl/>
          <w:lang w:bidi="ar-EG"/>
        </w:rPr>
        <w:tab/>
        <w:t>ورأت اللجنة لزوم الإبقاء على ثلاثة طلبات إجراءات عاجلة مفتوحة بعد أن حُدد مكان وجود الأشخاص المختفين لأن الأشخاص الذين اتُّخذت لصالحهم تدابير احترازية في سياق الإجراء العاجل ما زالوا مهدّدين.</w:t>
      </w:r>
    </w:p>
    <w:p w:rsidR="000E3EEE" w:rsidRPr="00D221A1" w:rsidRDefault="00D221A1" w:rsidP="00D221A1">
      <w:pPr>
        <w:spacing w:before="120"/>
        <w:jc w:val="center"/>
        <w:rPr>
          <w:u w:val="single"/>
          <w:rtl/>
          <w:lang w:bidi="ar-EG"/>
        </w:rPr>
      </w:pPr>
      <w:r>
        <w:rPr>
          <w:u w:val="single"/>
          <w:rtl/>
          <w:lang w:bidi="ar-EG"/>
        </w:rPr>
        <w:tab/>
      </w:r>
      <w:r>
        <w:rPr>
          <w:u w:val="single"/>
          <w:rtl/>
          <w:lang w:bidi="ar-EG"/>
        </w:rPr>
        <w:tab/>
      </w:r>
      <w:r>
        <w:rPr>
          <w:u w:val="single"/>
          <w:rtl/>
          <w:lang w:bidi="ar-EG"/>
        </w:rPr>
        <w:tab/>
      </w:r>
    </w:p>
    <w:sectPr w:rsidR="000E3EEE" w:rsidRPr="00D221A1" w:rsidSect="00B212A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3EEE" w:rsidRPr="002901D9" w:rsidRDefault="000E3EEE" w:rsidP="002901D9">
      <w:pPr>
        <w:spacing w:after="60" w:line="240" w:lineRule="auto"/>
        <w:rPr>
          <w:i/>
          <w:iCs/>
        </w:rPr>
      </w:pPr>
      <w:r>
        <w:rPr>
          <w:rFonts w:hint="cs"/>
          <w:i/>
          <w:iCs/>
          <w:rtl/>
        </w:rPr>
        <w:t>الحواشي</w:t>
      </w:r>
    </w:p>
  </w:endnote>
  <w:endnote w:type="continuationSeparator" w:id="0">
    <w:p w:rsidR="000E3EEE" w:rsidRDefault="000E3EE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EEE" w:rsidRPr="000E3EEE" w:rsidRDefault="000E3EEE" w:rsidP="000E3EEE">
    <w:pPr>
      <w:pStyle w:val="Footer"/>
      <w:tabs>
        <w:tab w:val="right" w:pos="9598"/>
      </w:tabs>
      <w:rPr>
        <w:sz w:val="17"/>
      </w:rPr>
    </w:pPr>
    <w:r>
      <w:rPr>
        <w:sz w:val="17"/>
      </w:rPr>
      <w:t>GE.17-05576</w:t>
    </w:r>
    <w:r>
      <w:rPr>
        <w:sz w:val="17"/>
      </w:rPr>
      <w:tab/>
    </w:r>
    <w:r w:rsidRPr="000E3EEE">
      <w:rPr>
        <w:b/>
        <w:sz w:val="18"/>
      </w:rPr>
      <w:fldChar w:fldCharType="begin"/>
    </w:r>
    <w:r w:rsidRPr="000E3EEE">
      <w:rPr>
        <w:b/>
        <w:sz w:val="18"/>
      </w:rPr>
      <w:instrText xml:space="preserve"> PAGE  \* MERGEFORMAT </w:instrText>
    </w:r>
    <w:r w:rsidRPr="000E3EEE">
      <w:rPr>
        <w:b/>
        <w:sz w:val="18"/>
      </w:rPr>
      <w:fldChar w:fldCharType="separate"/>
    </w:r>
    <w:r w:rsidR="004C682B">
      <w:rPr>
        <w:b/>
        <w:noProof/>
        <w:sz w:val="18"/>
      </w:rPr>
      <w:t>2</w:t>
    </w:r>
    <w:r w:rsidRPr="000E3EE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EEE" w:rsidRPr="000E3EEE" w:rsidRDefault="000E3EEE" w:rsidP="006959B0">
    <w:pPr>
      <w:pStyle w:val="Footer"/>
      <w:tabs>
        <w:tab w:val="right" w:pos="9599"/>
      </w:tabs>
      <w:jc w:val="left"/>
      <w:rPr>
        <w:b/>
        <w:sz w:val="18"/>
        <w:lang w:val="en-US"/>
      </w:rPr>
    </w:pPr>
    <w:r w:rsidRPr="000E3EEE">
      <w:rPr>
        <w:b/>
        <w:sz w:val="18"/>
        <w:lang w:val="en-US"/>
      </w:rPr>
      <w:fldChar w:fldCharType="begin"/>
    </w:r>
    <w:r w:rsidRPr="000E3EEE">
      <w:rPr>
        <w:b/>
        <w:sz w:val="18"/>
        <w:lang w:val="en-US"/>
      </w:rPr>
      <w:instrText xml:space="preserve"> PAGE  \* MERGEFORMAT </w:instrText>
    </w:r>
    <w:r w:rsidRPr="000E3EEE">
      <w:rPr>
        <w:b/>
        <w:sz w:val="18"/>
        <w:lang w:val="en-US"/>
      </w:rPr>
      <w:fldChar w:fldCharType="separate"/>
    </w:r>
    <w:r w:rsidR="0043410F">
      <w:rPr>
        <w:b/>
        <w:noProof/>
        <w:sz w:val="18"/>
        <w:lang w:val="en-US"/>
      </w:rPr>
      <w:t>9</w:t>
    </w:r>
    <w:r w:rsidRPr="000E3EEE">
      <w:rPr>
        <w:b/>
        <w:sz w:val="18"/>
        <w:lang w:val="en-US"/>
      </w:rPr>
      <w:fldChar w:fldCharType="end"/>
    </w:r>
    <w:r>
      <w:rPr>
        <w:b/>
        <w:sz w:val="18"/>
        <w:lang w:val="en-US"/>
      </w:rPr>
      <w:tab/>
    </w:r>
    <w:r>
      <w:rPr>
        <w:sz w:val="17"/>
        <w:lang w:val="en-US"/>
      </w:rPr>
      <w:t>GE.17-05576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EEE" w:rsidRDefault="000E3EEE" w:rsidP="00F6741C">
    <w:pPr>
      <w:pStyle w:val="Footer"/>
      <w:spacing w:before="360"/>
      <w:jc w:val="right"/>
      <w:rPr>
        <w:sz w:val="20"/>
        <w:szCs w:val="20"/>
      </w:rPr>
    </w:pPr>
    <w:r>
      <w:rPr>
        <w:sz w:val="20"/>
        <w:szCs w:val="20"/>
      </w:rPr>
      <w:t>GE.17-05576</w:t>
    </w:r>
    <w:r>
      <w:rPr>
        <w:noProof/>
        <w:lang w:val="en-US"/>
      </w:rPr>
      <w:drawing>
        <wp:anchor distT="0" distB="0" distL="114300" distR="114300" simplePos="0" relativeHeight="251664384"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0E3EEE" w:rsidRPr="00B212A9" w:rsidRDefault="000E3EEE" w:rsidP="00B212A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3EEE" w:rsidRPr="0054762C" w:rsidRDefault="000E3EEE" w:rsidP="000E524A">
      <w:pPr>
        <w:pStyle w:val="Footer"/>
        <w:bidi/>
        <w:spacing w:after="80" w:line="200" w:lineRule="exact"/>
        <w:ind w:left="680"/>
      </w:pPr>
      <w:r>
        <w:rPr>
          <w:rtl/>
        </w:rPr>
        <w:t>__________</w:t>
      </w:r>
    </w:p>
  </w:footnote>
  <w:footnote w:type="continuationSeparator" w:id="0">
    <w:p w:rsidR="000E3EEE" w:rsidRDefault="000E3EEE" w:rsidP="00656392">
      <w:pPr>
        <w:spacing w:line="240" w:lineRule="auto"/>
      </w:pPr>
      <w:r>
        <w:continuationSeparator/>
      </w:r>
    </w:p>
  </w:footnote>
  <w:footnote w:id="1">
    <w:p w:rsidR="000E3EEE" w:rsidRPr="000E3EEE" w:rsidRDefault="000E3EEE" w:rsidP="00F96CC5">
      <w:pPr>
        <w:pStyle w:val="FootnoteText1"/>
        <w:rPr>
          <w:rtl/>
        </w:rPr>
      </w:pPr>
      <w:r>
        <w:rPr>
          <w:rtl/>
          <w:lang w:bidi="ar-DZ"/>
        </w:rPr>
        <w:t>*</w:t>
      </w:r>
      <w:r>
        <w:rPr>
          <w:rtl/>
          <w:lang w:bidi="ar-DZ"/>
        </w:rPr>
        <w:tab/>
      </w:r>
      <w:r w:rsidRPr="00CE364E">
        <w:rPr>
          <w:rFonts w:ascii="Traditional Arabic" w:hAnsi="Traditional Arabic"/>
          <w:sz w:val="26"/>
          <w:rtl/>
        </w:rPr>
        <w:t>اعتمدته اللجنة في دورتها الثانية عشرة (6</w:t>
      </w:r>
      <w:r w:rsidR="00F96CC5">
        <w:rPr>
          <w:rFonts w:ascii="Traditional Arabic" w:hAnsi="Traditional Arabic"/>
          <w:sz w:val="26"/>
          <w:rtl/>
        </w:rPr>
        <w:noBreakHyphen/>
      </w:r>
      <w:r w:rsidRPr="00CE364E">
        <w:rPr>
          <w:rFonts w:ascii="Traditional Arabic" w:hAnsi="Traditional Arabic"/>
          <w:sz w:val="26"/>
          <w:rtl/>
        </w:rPr>
        <w:t xml:space="preserve">17 آذار/مارس </w:t>
      </w:r>
      <w:r>
        <w:rPr>
          <w:rFonts w:ascii="Traditional Arabic" w:hAnsi="Traditional Arabic"/>
          <w:sz w:val="26"/>
          <w:rtl/>
        </w:rPr>
        <w:t>2017</w:t>
      </w:r>
      <w:r>
        <w:rPr>
          <w:rFonts w:ascii="Traditional Arabic" w:hAnsi="Traditional Arabic" w:hint="cs"/>
          <w:sz w:val="26"/>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EEE" w:rsidRPr="000E3EEE" w:rsidRDefault="000E3EEE" w:rsidP="000E3EEE">
    <w:pPr>
      <w:pStyle w:val="Header"/>
      <w:jc w:val="right"/>
    </w:pPr>
    <w:r w:rsidRPr="000E3EEE">
      <w:t>CED/C/12/2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EEE" w:rsidRPr="000E3EEE" w:rsidRDefault="000E3EEE" w:rsidP="000E3EEE">
    <w:pPr>
      <w:pStyle w:val="Header"/>
      <w:jc w:val="left"/>
    </w:pPr>
    <w:r w:rsidRPr="000E3EEE">
      <w:t>CED/C/12/2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5400B"/>
    <w:rsid w:val="000076D5"/>
    <w:rsid w:val="00043663"/>
    <w:rsid w:val="000505CF"/>
    <w:rsid w:val="000D701C"/>
    <w:rsid w:val="000E2A71"/>
    <w:rsid w:val="000E3EEE"/>
    <w:rsid w:val="000E524A"/>
    <w:rsid w:val="00160263"/>
    <w:rsid w:val="001773DB"/>
    <w:rsid w:val="00181F96"/>
    <w:rsid w:val="001A1371"/>
    <w:rsid w:val="001A63A8"/>
    <w:rsid w:val="001B346A"/>
    <w:rsid w:val="001E1CAD"/>
    <w:rsid w:val="001E290D"/>
    <w:rsid w:val="002144FA"/>
    <w:rsid w:val="0022392C"/>
    <w:rsid w:val="0023469A"/>
    <w:rsid w:val="00243C8A"/>
    <w:rsid w:val="00267A0E"/>
    <w:rsid w:val="00275C59"/>
    <w:rsid w:val="002901D9"/>
    <w:rsid w:val="002976C2"/>
    <w:rsid w:val="00325CC1"/>
    <w:rsid w:val="003260FF"/>
    <w:rsid w:val="00343D95"/>
    <w:rsid w:val="00361100"/>
    <w:rsid w:val="00374341"/>
    <w:rsid w:val="003864B8"/>
    <w:rsid w:val="00391927"/>
    <w:rsid w:val="003D1062"/>
    <w:rsid w:val="003D5A08"/>
    <w:rsid w:val="003E159A"/>
    <w:rsid w:val="004205C7"/>
    <w:rsid w:val="00420D7B"/>
    <w:rsid w:val="0043410F"/>
    <w:rsid w:val="00450B21"/>
    <w:rsid w:val="00453B63"/>
    <w:rsid w:val="00455780"/>
    <w:rsid w:val="004760CC"/>
    <w:rsid w:val="004A0CFC"/>
    <w:rsid w:val="004B0A1C"/>
    <w:rsid w:val="004C682B"/>
    <w:rsid w:val="004D298E"/>
    <w:rsid w:val="004E32F4"/>
    <w:rsid w:val="00517BC9"/>
    <w:rsid w:val="005212F8"/>
    <w:rsid w:val="00527E4C"/>
    <w:rsid w:val="0054472E"/>
    <w:rsid w:val="0054762C"/>
    <w:rsid w:val="0055400B"/>
    <w:rsid w:val="00556259"/>
    <w:rsid w:val="005662A9"/>
    <w:rsid w:val="005817D9"/>
    <w:rsid w:val="005827D4"/>
    <w:rsid w:val="0059622A"/>
    <w:rsid w:val="005C5878"/>
    <w:rsid w:val="005C7CEA"/>
    <w:rsid w:val="005D3C0B"/>
    <w:rsid w:val="005E5217"/>
    <w:rsid w:val="005F0FA4"/>
    <w:rsid w:val="005F30EE"/>
    <w:rsid w:val="0060473A"/>
    <w:rsid w:val="00606EDF"/>
    <w:rsid w:val="00632384"/>
    <w:rsid w:val="00656392"/>
    <w:rsid w:val="0068781D"/>
    <w:rsid w:val="006959B0"/>
    <w:rsid w:val="006B3E27"/>
    <w:rsid w:val="006B3F88"/>
    <w:rsid w:val="006B6507"/>
    <w:rsid w:val="006C104C"/>
    <w:rsid w:val="00733704"/>
    <w:rsid w:val="00737803"/>
    <w:rsid w:val="00740188"/>
    <w:rsid w:val="0078071A"/>
    <w:rsid w:val="007A70BB"/>
    <w:rsid w:val="00852A9A"/>
    <w:rsid w:val="00871544"/>
    <w:rsid w:val="008930DB"/>
    <w:rsid w:val="00895D16"/>
    <w:rsid w:val="008F49E1"/>
    <w:rsid w:val="0090370F"/>
    <w:rsid w:val="00922EEC"/>
    <w:rsid w:val="009269D2"/>
    <w:rsid w:val="00933C92"/>
    <w:rsid w:val="00942135"/>
    <w:rsid w:val="009521B0"/>
    <w:rsid w:val="00954DFA"/>
    <w:rsid w:val="009714C0"/>
    <w:rsid w:val="00991326"/>
    <w:rsid w:val="009A7E9F"/>
    <w:rsid w:val="009E5018"/>
    <w:rsid w:val="00A12B37"/>
    <w:rsid w:val="00A50EC0"/>
    <w:rsid w:val="00A74331"/>
    <w:rsid w:val="00AB6758"/>
    <w:rsid w:val="00B13763"/>
    <w:rsid w:val="00B212A9"/>
    <w:rsid w:val="00B477A4"/>
    <w:rsid w:val="00B54045"/>
    <w:rsid w:val="00BA5E8B"/>
    <w:rsid w:val="00C022F5"/>
    <w:rsid w:val="00C438D7"/>
    <w:rsid w:val="00C53FE8"/>
    <w:rsid w:val="00C81B50"/>
    <w:rsid w:val="00CA655B"/>
    <w:rsid w:val="00CB3C3C"/>
    <w:rsid w:val="00CD1801"/>
    <w:rsid w:val="00CE7B05"/>
    <w:rsid w:val="00D10EF1"/>
    <w:rsid w:val="00D16731"/>
    <w:rsid w:val="00D221A1"/>
    <w:rsid w:val="00D42810"/>
    <w:rsid w:val="00D914A7"/>
    <w:rsid w:val="00DA1743"/>
    <w:rsid w:val="00DD13C3"/>
    <w:rsid w:val="00DD596E"/>
    <w:rsid w:val="00DD621E"/>
    <w:rsid w:val="00DF0575"/>
    <w:rsid w:val="00E70E04"/>
    <w:rsid w:val="00EB167B"/>
    <w:rsid w:val="00EC05A7"/>
    <w:rsid w:val="00EC4B6B"/>
    <w:rsid w:val="00ED3CCA"/>
    <w:rsid w:val="00ED7442"/>
    <w:rsid w:val="00EE0B18"/>
    <w:rsid w:val="00EF1EE5"/>
    <w:rsid w:val="00F6741C"/>
    <w:rsid w:val="00F763B4"/>
    <w:rsid w:val="00F87DAA"/>
    <w:rsid w:val="00F900C3"/>
    <w:rsid w:val="00F96CC5"/>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footnote reference"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uiPriority w:val="99"/>
    <w:rsid w:val="00AB6758"/>
    <w:rPr>
      <w:rFonts w:ascii="Times New Roman" w:eastAsia="Times New Roman" w:hAnsi="Times New Roman" w:cs="Traditional Arabic"/>
      <w:b/>
      <w:bCs/>
      <w:sz w:val="18"/>
      <w:szCs w:val="26"/>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styleId="BookTitle">
    <w:name w:val="Book Title"/>
    <w:basedOn w:val="DefaultParagraphFont"/>
    <w:uiPriority w:val="33"/>
    <w:rsid w:val="00455780"/>
    <w:rPr>
      <w:b/>
      <w:bCs/>
      <w:smallCaps/>
      <w:spacing w:val="5"/>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CommentTextChar">
    <w:name w:val="Comment Text Char"/>
    <w:basedOn w:val="DefaultParagraphFont"/>
    <w:link w:val="CommentText"/>
    <w:uiPriority w:val="99"/>
    <w:rsid w:val="000E3EEE"/>
    <w:rPr>
      <w:rFonts w:eastAsiaTheme="minorHAnsi"/>
      <w:sz w:val="20"/>
      <w:szCs w:val="20"/>
    </w:rPr>
  </w:style>
  <w:style w:type="paragraph" w:styleId="CommentText">
    <w:name w:val="annotation text"/>
    <w:basedOn w:val="Normal"/>
    <w:link w:val="CommentTextChar"/>
    <w:uiPriority w:val="99"/>
    <w:unhideWhenUsed/>
    <w:rsid w:val="000E3EEE"/>
    <w:pPr>
      <w:spacing w:after="200" w:line="240" w:lineRule="auto"/>
      <w:jc w:val="left"/>
    </w:pPr>
    <w:rPr>
      <w:rFonts w:asciiTheme="minorHAnsi" w:eastAsiaTheme="minorHAnsi" w:hAnsiTheme="minorHAnsi" w:cstheme="minorBidi"/>
      <w:szCs w:val="20"/>
    </w:rPr>
  </w:style>
  <w:style w:type="character" w:customStyle="1" w:styleId="CommentSubjectChar">
    <w:name w:val="Comment Subject Char"/>
    <w:basedOn w:val="CommentTextChar"/>
    <w:link w:val="CommentSubject"/>
    <w:uiPriority w:val="99"/>
    <w:semiHidden/>
    <w:rsid w:val="000E3EEE"/>
    <w:rPr>
      <w:rFonts w:eastAsiaTheme="minorHAnsi"/>
      <w:b/>
      <w:bCs/>
      <w:sz w:val="20"/>
      <w:szCs w:val="20"/>
    </w:rPr>
  </w:style>
  <w:style w:type="paragraph" w:styleId="CommentSubject">
    <w:name w:val="annotation subject"/>
    <w:basedOn w:val="CommentText"/>
    <w:next w:val="CommentText"/>
    <w:link w:val="CommentSubjectChar"/>
    <w:uiPriority w:val="99"/>
    <w:semiHidden/>
    <w:unhideWhenUsed/>
    <w:rsid w:val="000E3EEE"/>
    <w:rPr>
      <w:b/>
      <w:bCs/>
    </w:rPr>
  </w:style>
  <w:style w:type="paragraph" w:customStyle="1" w:styleId="SingleTxtG">
    <w:name w:val="_ Single Txt_G"/>
    <w:basedOn w:val="Normal"/>
    <w:link w:val="SingleTxtGChar"/>
    <w:rsid w:val="000E3EEE"/>
    <w:pPr>
      <w:suppressAutoHyphens/>
      <w:bidi w:val="0"/>
      <w:spacing w:after="120"/>
      <w:ind w:left="1134" w:right="1134"/>
      <w:jc w:val="both"/>
    </w:pPr>
    <w:rPr>
      <w:rFonts w:cs="Times New Roman"/>
      <w:szCs w:val="20"/>
      <w:lang w:val="en-GB"/>
    </w:rPr>
  </w:style>
  <w:style w:type="character" w:customStyle="1" w:styleId="SingleTxtGChar">
    <w:name w:val="_ Single Txt_G Char"/>
    <w:link w:val="SingleTxtG"/>
    <w:rsid w:val="000E3EEE"/>
    <w:rPr>
      <w:rFonts w:ascii="Times New Roman" w:hAnsi="Times New Roman" w:cs="Times New Roman"/>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footnote reference"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uiPriority w:val="99"/>
    <w:rsid w:val="00AB6758"/>
    <w:rPr>
      <w:rFonts w:ascii="Times New Roman" w:eastAsia="Times New Roman" w:hAnsi="Times New Roman" w:cs="Traditional Arabic"/>
      <w:b/>
      <w:bCs/>
      <w:sz w:val="18"/>
      <w:szCs w:val="26"/>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styleId="BookTitle">
    <w:name w:val="Book Title"/>
    <w:basedOn w:val="DefaultParagraphFont"/>
    <w:uiPriority w:val="33"/>
    <w:rsid w:val="00455780"/>
    <w:rPr>
      <w:b/>
      <w:bCs/>
      <w:smallCaps/>
      <w:spacing w:val="5"/>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CommentTextChar">
    <w:name w:val="Comment Text Char"/>
    <w:basedOn w:val="DefaultParagraphFont"/>
    <w:link w:val="CommentText"/>
    <w:uiPriority w:val="99"/>
    <w:rsid w:val="000E3EEE"/>
    <w:rPr>
      <w:rFonts w:eastAsiaTheme="minorHAnsi"/>
      <w:sz w:val="20"/>
      <w:szCs w:val="20"/>
    </w:rPr>
  </w:style>
  <w:style w:type="paragraph" w:styleId="CommentText">
    <w:name w:val="annotation text"/>
    <w:basedOn w:val="Normal"/>
    <w:link w:val="CommentTextChar"/>
    <w:uiPriority w:val="99"/>
    <w:unhideWhenUsed/>
    <w:rsid w:val="000E3EEE"/>
    <w:pPr>
      <w:spacing w:after="200" w:line="240" w:lineRule="auto"/>
      <w:jc w:val="left"/>
    </w:pPr>
    <w:rPr>
      <w:rFonts w:asciiTheme="minorHAnsi" w:eastAsiaTheme="minorHAnsi" w:hAnsiTheme="minorHAnsi" w:cstheme="minorBidi"/>
      <w:szCs w:val="20"/>
    </w:rPr>
  </w:style>
  <w:style w:type="character" w:customStyle="1" w:styleId="CommentSubjectChar">
    <w:name w:val="Comment Subject Char"/>
    <w:basedOn w:val="CommentTextChar"/>
    <w:link w:val="CommentSubject"/>
    <w:uiPriority w:val="99"/>
    <w:semiHidden/>
    <w:rsid w:val="000E3EEE"/>
    <w:rPr>
      <w:rFonts w:eastAsiaTheme="minorHAnsi"/>
      <w:b/>
      <w:bCs/>
      <w:sz w:val="20"/>
      <w:szCs w:val="20"/>
    </w:rPr>
  </w:style>
  <w:style w:type="paragraph" w:styleId="CommentSubject">
    <w:name w:val="annotation subject"/>
    <w:basedOn w:val="CommentText"/>
    <w:next w:val="CommentText"/>
    <w:link w:val="CommentSubjectChar"/>
    <w:uiPriority w:val="99"/>
    <w:semiHidden/>
    <w:unhideWhenUsed/>
    <w:rsid w:val="000E3EEE"/>
    <w:rPr>
      <w:b/>
      <w:bCs/>
    </w:rPr>
  </w:style>
  <w:style w:type="paragraph" w:customStyle="1" w:styleId="SingleTxtG">
    <w:name w:val="_ Single Txt_G"/>
    <w:basedOn w:val="Normal"/>
    <w:link w:val="SingleTxtGChar"/>
    <w:rsid w:val="000E3EEE"/>
    <w:pPr>
      <w:suppressAutoHyphens/>
      <w:bidi w:val="0"/>
      <w:spacing w:after="120"/>
      <w:ind w:left="1134" w:right="1134"/>
      <w:jc w:val="both"/>
    </w:pPr>
    <w:rPr>
      <w:rFonts w:cs="Times New Roman"/>
      <w:szCs w:val="20"/>
      <w:lang w:val="en-GB"/>
    </w:rPr>
  </w:style>
  <w:style w:type="character" w:customStyle="1" w:styleId="SingleTxtGChar">
    <w:name w:val="_ Single Txt_G Char"/>
    <w:link w:val="SingleTxtG"/>
    <w:rsid w:val="000E3EEE"/>
    <w:rPr>
      <w:rFonts w:ascii="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A45E6E-B677-4A55-BFDD-9D09782A4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10</Pages>
  <Words>3576</Words>
  <Characters>20385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CED/C/12/2</vt:lpstr>
    </vt:vector>
  </TitlesOfParts>
  <Company>DCM</Company>
  <LinksUpToDate>false</LinksUpToDate>
  <CharactersWithSpaces>23914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CED/C/12/2</dc:title>
  <dc:subject>GE.1705576A</dc:subject>
  <dc:creator>MBU, AGH</dc:creator>
  <cp:keywords>ODS No. 1708606</cp:keywords>
  <dc:description>Original: Spanish_x000d_
Distribution: General_x000d_
Date: 6 April 2017</dc:description>
  <cp:lastModifiedBy>Tpsara</cp:lastModifiedBy>
  <cp:revision>2</cp:revision>
  <cp:lastPrinted>2017-07-11T10:56:00Z</cp:lastPrinted>
  <dcterms:created xsi:type="dcterms:W3CDTF">2017-07-12T17:54:00Z</dcterms:created>
  <dcterms:modified xsi:type="dcterms:W3CDTF">2017-07-12T17:54:00Z</dcterms:modified>
  <cp:category>Final</cp:category>
</cp:coreProperties>
</file>