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6151"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CCPR/CO/70/ARG</w:t>
      </w:r>
      <w:r>
        <w:br/>
        <w:t>15 de noviembre de 2000</w:t>
      </w:r>
    </w:p>
    <w:p w:rsidR="00000000" w:rsidRDefault="00000000">
      <w:pPr>
        <w:spacing w:after="720"/>
        <w:ind w:left="6804"/>
      </w:pPr>
      <w:r>
        <w:t>ESPAÑOL</w:t>
      </w:r>
      <w:r>
        <w:br/>
        <w:t>Original:  INGLÉS</w:t>
      </w:r>
    </w:p>
    <w:p w:rsidR="00000000" w:rsidRDefault="00000000">
      <w:pPr>
        <w:spacing w:after="960"/>
      </w:pPr>
      <w:r>
        <w:t>COMITÉ DE DERECHOS HUMANOS</w:t>
      </w:r>
      <w:r>
        <w:br/>
        <w:t>70º período de sesiones</w:t>
      </w:r>
    </w:p>
    <w:p w:rsidR="00000000" w:rsidRDefault="00000000">
      <w:pPr>
        <w:spacing w:after="240"/>
        <w:jc w:val="center"/>
      </w:pPr>
      <w:r>
        <w:t>EXAMEN DE LOS INFORMES PRESENTADOS POR LOS ESTADOS</w:t>
      </w:r>
      <w:r>
        <w:br/>
        <w:t>PARTES DE CONFORMIDAD CON EL ARTÍCULO 40 DEL PACTO</w:t>
      </w:r>
    </w:p>
    <w:p w:rsidR="00000000" w:rsidRDefault="00000000">
      <w:pPr>
        <w:spacing w:after="480"/>
        <w:jc w:val="center"/>
        <w:rPr>
          <w:u w:val="single"/>
        </w:rPr>
      </w:pPr>
      <w:r>
        <w:rPr>
          <w:u w:val="single"/>
        </w:rPr>
        <w:t>Observaciones finales del Comité de Derechos Humanos</w:t>
      </w:r>
    </w:p>
    <w:p w:rsidR="00000000" w:rsidRDefault="00000000">
      <w:pPr>
        <w:spacing w:before="240" w:after="240"/>
        <w:jc w:val="center"/>
      </w:pPr>
      <w:r>
        <w:t>ARGENTINA</w:t>
      </w:r>
    </w:p>
    <w:p w:rsidR="00000000" w:rsidRDefault="00000000">
      <w:pPr>
        <w:spacing w:after="240"/>
      </w:pPr>
      <w:r>
        <w:t>1.</w:t>
      </w:r>
      <w:r>
        <w:tab/>
        <w:t>En sus sesiones 1883ª y 1884ª (CCPR/C/SR.1883 y 1884), celebradas los días 25 y 26 de octubre de 2000, el Comité examinó el tercer informe periódico de la Argentina (CCPR/C/ARG/98/3).  En su 1893ª sesión (CCPR/C/SR.1893), celebrada el 1º de noviembre de 2000, el Comité adoptó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satisfacción la explicación franca y constructiva dada por la delegación de este país sobre las medidas tomadas por el Estado Parte desde la presentación de su segundo informe periódico para velar por el respeto de los derechos garantizados en el Pacto.  También agradece la información adicional proporcionada verbalmente por la delegación durante el examen del informe y en respuesta a las preguntas de los miembros.</w:t>
      </w:r>
    </w:p>
    <w:p w:rsidR="00000000" w:rsidRDefault="00000000">
      <w:pPr>
        <w:spacing w:after="240"/>
      </w:pPr>
      <w:r>
        <w:t>3.</w:t>
      </w:r>
      <w:r>
        <w:tab/>
        <w:t>El Comité observa que el sistema de gobierno federal del Estado Parte entraña una responsabilidad de las provincias en la observancia de muchos de los derechos previstos en el Pacto y necesita, pues, información complementaria sobre las disposiciones normativas y las medidas tomadas en el plano provincial para evaluar el progreso en la observancia de los derechos enunciados en el Pacto, de conformidad con el artículo 50 del Pacto.</w:t>
      </w:r>
    </w:p>
    <w:p w:rsidR="00000000" w:rsidRDefault="00000000">
      <w:pPr>
        <w:spacing w:after="240"/>
      </w:pPr>
      <w:r>
        <w:t>GE.00</w:t>
      </w:r>
      <w:r>
        <w:noBreakHyphen/>
        <w:t>45851  (S)</w:t>
      </w:r>
    </w:p>
    <w:p w:rsidR="00000000" w:rsidRDefault="00000000">
      <w:pPr>
        <w:spacing w:after="240"/>
        <w:jc w:val="center"/>
      </w:pPr>
      <w:r>
        <w:br w:type="page"/>
        <w:t xml:space="preserve">B.  </w:t>
      </w:r>
      <w:r>
        <w:rPr>
          <w:u w:val="single"/>
        </w:rPr>
        <w:t>Aspectos positivos</w:t>
      </w:r>
    </w:p>
    <w:p w:rsidR="00000000" w:rsidRDefault="00000000">
      <w:pPr>
        <w:spacing w:after="240"/>
      </w:pPr>
      <w:r>
        <w:t>4.</w:t>
      </w:r>
      <w:r>
        <w:tab/>
        <w:t>El Comité acoge con agrado la consolidación de los procesos democráticos y de las medidas adoptadas para promover la reconciliación nacional tras los años de gobierno militar durante los cuales se violaron flagrantemente numerosos derechos humanos fundamentales.  A este respecto, el Comité observa con satisfacción el funcionamiento de varias instituciones y programas concebidos como cauce de reparación para las víctimas de abusos pasados, como el Programa de Reparación Histórica, la Comisión Nacional sobre la Desaparición de Personas y la Comisión Nacional por el Derecho a la Identidad.  El Comité aprecia también los esfuerzos desplegados para indemnizar financieramente y de otra manera a las víctimas de detención arbitraria y las familias de personas que murieron o desaparecieron bajo el régimen militar.</w:t>
      </w:r>
    </w:p>
    <w:p w:rsidR="00000000" w:rsidRDefault="00000000">
      <w:pPr>
        <w:spacing w:after="240"/>
      </w:pPr>
      <w:r>
        <w:t>5.</w:t>
      </w:r>
      <w:r>
        <w:tab/>
        <w:t>El Comité acoge con agrado la reciente evolución consistente en el enjuiciamiento de algunos de los responsables de las violaciones más graves de los derechos humanos, comprendidas las desapariciones forzosas, la tortura y la separación de niños de sus padres con fines de adopción ilegal o trata de menores.  En particular acoge con satisfacción el establecimiento de un mecanismo, cuyas actividades no están limitadas en el tiempo, para restablecer la identidad de los niños separados por la fuerza de sus familias.</w:t>
      </w:r>
    </w:p>
    <w:p w:rsidR="00000000" w:rsidRDefault="00000000">
      <w:pPr>
        <w:spacing w:after="240"/>
      </w:pPr>
      <w:r>
        <w:t>6.</w:t>
      </w:r>
      <w:r>
        <w:tab/>
        <w:t>El Comité observa complacido las reciente reformas recogidas en la ley para promover la independencia de la judicatura, en particular el establecimiento de un sistema de selección de los jueces por concurso.</w:t>
      </w:r>
    </w:p>
    <w:p w:rsidR="00000000" w:rsidRDefault="00000000">
      <w:pPr>
        <w:spacing w:after="240"/>
      </w:pPr>
      <w:r>
        <w:t>7.</w:t>
      </w:r>
      <w:r>
        <w:tab/>
        <w:t>El Comité toma también nota con satisfacción de los progresos realizados en la protección de los derechos de las poblaciones indígenas, la devolución de tierras nacionales y provinciales a las comunidades indígenas a través del Plan Nacional para las Comunidades Indígenas y la promoción de una educación multicultural y multilingüe.</w:t>
      </w:r>
    </w:p>
    <w:p w:rsidR="00000000" w:rsidRDefault="00000000">
      <w:pPr>
        <w:spacing w:after="240"/>
        <w:jc w:val="center"/>
      </w:pPr>
      <w:r>
        <w:t xml:space="preserve">C.  </w:t>
      </w:r>
      <w:r>
        <w:rPr>
          <w:u w:val="single"/>
        </w:rPr>
        <w:t>Principales motivos de preocupación y recomendaciones</w:t>
      </w:r>
    </w:p>
    <w:p w:rsidR="00000000" w:rsidRDefault="00000000">
      <w:pPr>
        <w:spacing w:after="240"/>
      </w:pPr>
      <w:r>
        <w:t>8.</w:t>
      </w:r>
      <w:r>
        <w:tab/>
        <w:t>El Comité está preocupado por la incertidumbre persistente en relación con el reconocimiento de los derechos del Pacto en la legislación nacional.  Pese a la seguridad que se da de que el Pacto tiene rango constitucional y se le puede, por tanto, invocar directamente ante los tribunales, el Comité observa que el Estado Parte describe su aplicación como "complementaria" de la Constitución, sin otra precisión.  Observa también que el sistema federal de gobierno confiere a las provincias autoridad en sectores críticos, como la administración de justicia, con el resultado de que el Pacto no se aplica de manera uniforme en las diferentes regiones del territorio del Estado Parte.</w:t>
      </w:r>
    </w:p>
    <w:p w:rsidR="00000000" w:rsidRDefault="00000000">
      <w:pPr>
        <w:spacing w:after="240"/>
        <w:ind w:left="567" w:firstLine="567"/>
      </w:pPr>
      <w:r>
        <w:t>El Comité, recordando la responsabilidad del Estado Parte respecto del cumplimiento de las obligaciones a tenor del Pacto, recomienda que en el cuarto informe periódico se aclare la jerarquía de los derechos enunciados en el Pacto, con ejemplos concretos de casos en los que se les haya invocado ante los tribunales.  El próximo informe debe contener también información sobre disposiciones jurídicas y de otra clase tomadas para la aplicación del Pacto en el plano provincial, con objeto de velar por que toda persona pueda gozar de sus derechos en todo el territorio del Estado Parte.</w:t>
      </w:r>
    </w:p>
    <w:p w:rsidR="00000000" w:rsidRDefault="00000000">
      <w:pPr>
        <w:spacing w:after="240"/>
      </w:pPr>
      <w:r>
        <w:t>9.</w:t>
      </w:r>
      <w:r>
        <w:tab/>
        <w:t>Pese a las medidas positivas tomadas recientemente para reparar injusticias pasadas, incluida la abolición en 1998 de la Ley de obediencia debida y la Ley de punto final, preocupa al Comité que muchas personas que actuaban con arreglo a esas leyes sigan ocupando empleos militares o en la administración pública y que algunos de ellos hayan incluso obtenido ascensos en los años siguientes.  El Comité reitera, pues, su inquietud ante la sensación de impunidad de los responsables de graves violaciones de los derechos humanos bajo el gobierno militar.</w:t>
      </w:r>
    </w:p>
    <w:p w:rsidR="00000000" w:rsidRDefault="00000000">
      <w:pPr>
        <w:spacing w:after="240"/>
        <w:ind w:left="567" w:firstLine="567"/>
      </w:pPr>
      <w:r>
        <w:t>Las violaciones graves de los derechos civiles y políticos durante el gobierno militar deben ser perseguibles durante todo el tiempo necesario y con toda la retroactividad necesaria para lograr el enjuiciamiento de sus autores.  El Comité recomienda que se siga desplegando un esfuerzo riguroso a este respecto y que se tomen medidas para cerciorarse de que las personas que participaron en violaciones graves de los derechos humanos no sigan ocupando un empleo en las fuerzas armadas o en la administración pública.</w:t>
      </w:r>
    </w:p>
    <w:p w:rsidR="00000000" w:rsidRDefault="00000000">
      <w:pPr>
        <w:spacing w:after="240"/>
      </w:pPr>
      <w:r>
        <w:t>10.</w:t>
      </w:r>
      <w:r>
        <w:tab/>
        <w:t>En lo que respecta a los artículos 9 y 14 del Pacto, el Comité reitera su honda inquietud ante el hecho de que el Estado Parte no garantice plenamente el principio de la presunción de inocencia en el proceso penal.  A este respecto, el Comité considera motivo de preocupación que la duración de la prisión preventiva venga determinada por la posible longitud de la sentencia después de la condena y no por necesidad de enjuiciar al detenido y destaca a este respecto que la imposición de la prisión preventiva no debe ser la norma y sólo se debe recurrir a ella como medida excepcional y en el grado necesario y compatible con las debidas garantías procesales y con el párrafo 3 del artículo 9 del Pacto.  A este respecto, no debe existir ningún delito para el que sea obligatoria la prisión preventiva.</w:t>
      </w:r>
    </w:p>
    <w:p w:rsidR="00000000" w:rsidRDefault="00000000">
      <w:pPr>
        <w:spacing w:after="240"/>
        <w:ind w:left="567" w:firstLine="567"/>
      </w:pPr>
      <w:r>
        <w:t>Se deben reformar todos los aspectos del sistema de prisión preventiva de conformidad con los requisitos del artículo 9 y el principio de la presunción de inocencia del artículo 14.</w:t>
      </w:r>
    </w:p>
    <w:p w:rsidR="00000000" w:rsidRDefault="00000000">
      <w:pPr>
        <w:spacing w:after="240"/>
      </w:pPr>
      <w:r>
        <w:t>11.</w:t>
      </w:r>
      <w:r>
        <w:tab/>
        <w:t>Preocupa hondamente al Comité que las condiciones reinantes en las cárceles no se ajusten a las previstas en los artículos 7 y 10 del Pacto y considera que la gran superpoblación y la mala calidad en la prestación de servicios y la satisfacción de necesidades fundamentales, como la alimentación, la ropa y la asistencia médica, son incompatibles con el derecho de toda persona a un trato humano y con el respeto de la dignidad inherente al ser humano.  Se ha establecido además la existencia de abusos de autoridad por los funcionarios de prisiones, que se manifiestan en tortura y malos tratos, corrupción y otras prácticas.</w:t>
      </w:r>
    </w:p>
    <w:p w:rsidR="00000000" w:rsidRDefault="00000000">
      <w:pPr>
        <w:spacing w:after="240"/>
        <w:ind w:left="567" w:firstLine="567"/>
      </w:pPr>
      <w:r>
        <w:t>Aunque observa que hay planes en curso para la construcción de nuevas instalaciones penitenciarias, el Comité recomienda que se preste atención inmediata a la necesidad de satisfacer debidamente las necesidades fundamentales de todas las personas privadas de libertad.  En relación con las reclamaciones por malos tratos o tortura, recomienda que el Estado Parte incluya en su próximo informe datos detallados sobre el número de reclamaciones recibidas, con mención de los recursos a disposición de los reclamantes, el resultado de las reclamaciones hasta la fecha, el tipo de sanción disciplinaria o punitiva que se impone a los culpables reconocidos de estas prácticas y las responsabilidades precisas de todos los órganos pertinentes del Estado.</w:t>
      </w:r>
    </w:p>
    <w:p w:rsidR="00000000" w:rsidRDefault="00000000">
      <w:pPr>
        <w:keepNext/>
        <w:keepLines/>
        <w:spacing w:after="240"/>
      </w:pPr>
      <w:r>
        <w:t>12.</w:t>
      </w:r>
      <w:r>
        <w:tab/>
        <w:t>Además, en relación con el artículo 7 del Pacto, el Comité lamenta que en el presente informe no se aborden debidamente las cuestiones de la tortura y del uso excesivo de la fuerza por los miembros de la policía.  El Comité está preocupado ante las alegaciones que ha recibido y que indican que se trata de un problema general y que los mecanismos gubernamentales establecidos para resolverlo son inadecuados.</w:t>
      </w:r>
    </w:p>
    <w:p w:rsidR="00000000" w:rsidRDefault="00000000">
      <w:pPr>
        <w:spacing w:after="240"/>
        <w:ind w:left="567" w:firstLine="567"/>
      </w:pPr>
      <w:r>
        <w:t>El Comité recomienda que el Estado Parte incluya en su próximo informe datos detallados acerca del número de reclamaciones recibidas por tortura y malos tratos infligidos por la policía, incluidos los recursos y posibilidades de apelación de que disponen los reclamantes, el resultado de las reclamaciones, el tipo de sanción disciplinaria o punitiva que se impone a los culpables reconocidos de esas prácticas y las responsabilidades específicas de todos los órganos pertinentes del Estado en los planos federal y provincial.</w:t>
      </w:r>
    </w:p>
    <w:p w:rsidR="00000000" w:rsidRDefault="00000000">
      <w:pPr>
        <w:spacing w:after="240"/>
      </w:pPr>
      <w:r>
        <w:t>13.</w:t>
      </w:r>
      <w:r>
        <w:tab/>
        <w:t>El Comité expresa su preocupación ante los ataques continuos de que son víctima los defensores de los derechos humanos, jueces, denunciantes y representantes de las organizaciones de derechos humanos, así como los representantes de los medios de comunicación social.  Además, quienes participan en demostraciones pacíficas se exponen, según se dice, a la detención y a una acción penal.</w:t>
      </w:r>
    </w:p>
    <w:p w:rsidR="00000000" w:rsidRDefault="00000000">
      <w:pPr>
        <w:spacing w:after="240"/>
        <w:ind w:left="567" w:firstLine="567"/>
      </w:pPr>
      <w:r>
        <w:t>Los ataques contra los defensores de los derechos humanos y contra las personas que participan en demostraciones pacíficas se deben investigar con prontitud y se han de imponer a los autores las sanciones disciplinarias o punitivas que proceda.  El Estado Parte debe dar detalles en su próximo informe sobre los resultados de estas investigaciones y sobre los procedimientos seguidos para imponer sanciones disciplinarias o punitivas a los autores de esta clase de actos.</w:t>
      </w:r>
    </w:p>
    <w:p w:rsidR="00000000" w:rsidRDefault="00000000">
      <w:pPr>
        <w:spacing w:after="240"/>
      </w:pPr>
      <w:r>
        <w:t>14.</w:t>
      </w:r>
      <w:r>
        <w:tab/>
        <w:t>En cuanto a los derechos relacionados con la salud reproductiva, preocupa al Comité que la criminalización del aborto disuada a los médicos de aplicar este procedimiento sin mandato judicial incluso cuando la ley se lo permite, por ejemplo, cuando existe un claro riesgo para la salud de la madre o cuando el embarazo resulta de la violación de una mujer con discapacidad mental.  El Comité expresa también su inquietud ante los aspectos discriminatorios de las leyes y políticas vigentes, que da como resultado un recurso desproporcionado de las mujeres pobres y de las que habitan en zonas rurales a un aborto ilegal y arriesgado.</w:t>
      </w:r>
    </w:p>
    <w:p w:rsidR="00000000" w:rsidRDefault="00000000">
      <w:pPr>
        <w:spacing w:after="240"/>
        <w:ind w:left="567" w:firstLine="567"/>
      </w:pPr>
      <w:r>
        <w:t>El Comité recomienda que el Estado Parte tome medidas para aplicar la Ley de salud reproductiva y procreación responsable de julio de 2000, gracias a la cual se dará asesoramiento sobre planificación familiar y se dispensarán contraceptivos con objeto de ofrecer a la mujer verdaderas alternativas.  El Comité recomienda además que se reexaminen periódicamente las leyes y las políticas en materia de planificación familiar.  Las mujeres deben poder recurrir a los métodos de planificación familiar y al procedimiento de esterilización y, en los casos en que se pueda practicar legalmente el aborto, se deben suprimir todos los obstáculos a su obtención.  Se debe modificar la legislación nacional para autorizar el aborto en todos los casos de embarazo por violación.</w:t>
      </w:r>
    </w:p>
    <w:p w:rsidR="00000000" w:rsidRDefault="00000000">
      <w:pPr>
        <w:spacing w:after="240"/>
      </w:pPr>
      <w:r>
        <w:t>15.</w:t>
      </w:r>
      <w:r>
        <w:tab/>
        <w:t>En relación con el artículo 3 del Pacto, el Comité considera inquietante que, pese a importantes progresos, las actitudes tradicionales hacia la mujer sigan ejerciendo una influencia negativa en su disfrute de los derechos enunciados en el Pacto.  Preocupa en especial al Comité la alta incidencia de casos de violencia contra mujeres, incluidas la violación y la violencia doméstica.  También preocupan el acoso sexual y otras manifestaciones de discriminación en los sectores público y privado.  El Comité observa asimismo que no se lleva sistemáticamente información sobre estos asuntos, que las mujeres tienen un escaso conocimiento de sus derechos y de los recursos de que disponen y de que no se tramitan debidamente las denuncias.</w:t>
      </w:r>
    </w:p>
    <w:p w:rsidR="00000000" w:rsidRDefault="00000000">
      <w:pPr>
        <w:spacing w:after="240"/>
        <w:ind w:left="567"/>
      </w:pPr>
      <w:r>
        <w:tab/>
        <w:t>El Comité recomienda que se emprenda una campaña de información en gran escala para promover el conocimiento que las mujeres tienen de sus derechos y de los recursos de que disponen.  El Comité insta a que se reúnan sistemáticamente y se archiven datos fiables sobre la incidencia de la violencia y la discriminación contra la mujer en todas sus formas y a que se faciliten estos datos en el próximo informe periódico.</w:t>
      </w:r>
    </w:p>
    <w:p w:rsidR="00000000" w:rsidRDefault="00000000">
      <w:pPr>
        <w:spacing w:after="240"/>
      </w:pPr>
      <w:r>
        <w:t>16.</w:t>
      </w:r>
      <w:r>
        <w:tab/>
        <w:t>El Comité reitera su inquietud ante el trato preferencial, incluidas subvenciones financieras, que recibe la Iglesia Católica en comparación con otras confesiones, lo que constituye discriminación por razones religiosas en virtud del artículo 26 del Pacto.</w:t>
      </w:r>
    </w:p>
    <w:p w:rsidR="00000000" w:rsidRDefault="00000000">
      <w:pPr>
        <w:spacing w:after="240"/>
      </w:pPr>
      <w:r>
        <w:t>17.</w:t>
      </w:r>
      <w:r>
        <w:tab/>
        <w:t>El Comité pide que el cuarto informe periódico se presente a más tardar el 31 de octubre de 2005.  Pide también que se faciliten en dicho informe las oportunas estadísticas desglosadas por principales motivos de preocupación.  El Comité pide además que las presentes observaciones finales y el próximo informe periódico se difundan ampliamente entre la opinión pública, incluidas la sociedad civil y las organizaciones no gubernamentales que despliegan actividades en el Estado Parte.</w:t>
      </w:r>
    </w:p>
    <w:p w:rsidR="00000000" w:rsidRDefault="00000000">
      <w:pPr>
        <w:spacing w:after="240"/>
        <w:jc w:val="center"/>
        <w:rPr>
          <w:rStyle w:val="FootnoteReference"/>
          <w:b w:val="0"/>
        </w:rPr>
      </w:pPr>
      <w:r>
        <w:t>-----</w:t>
      </w:r>
    </w:p>
    <w:p w:rsidR="00000000" w:rsidRDefault="00000000">
      <w:pPr>
        <w:rPr>
          <w:rStyle w:val="FootnoteReference"/>
          <w:b w:val="0"/>
        </w:rPr>
      </w:pPr>
    </w:p>
    <w:p w:rsidR="00000000" w:rsidRDefault="00000000">
      <w:pPr>
        <w:spacing w:after="480"/>
        <w:jc w:val="cente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CCPR/CO/70/ARG</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CCPR/CO/70/ARG</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1931</Words>
  <Characters>11012</Characters>
  <Application>Microsoft Office Word</Application>
  <DocSecurity>4</DocSecurity>
  <Lines>91</Lines>
  <Paragraphs>22</Paragraphs>
  <ScaleCrop>false</ScaleCrop>
  <HeadingPairs>
    <vt:vector size="2" baseType="variant">
      <vt:variant>
        <vt:lpstr>Título</vt:lpstr>
      </vt:variant>
      <vt:variant>
        <vt:i4>1</vt:i4>
      </vt:variant>
    </vt:vector>
  </HeadingPairs>
  <TitlesOfParts>
    <vt:vector size="1" baseType="lpstr">
      <vt:lpstr>CCPR/CO/70/ARG - 00-45851</vt:lpstr>
    </vt:vector>
  </TitlesOfParts>
  <Company>ONU</Company>
  <LinksUpToDate>false</LinksUpToDate>
  <CharactersWithSpaces>13523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CCPR/CO/70/ARG - 00-45851</dc:title>
  <dc:subject/>
  <dc:creator>Henry BLANQUER</dc:creator>
  <cp:keywords/>
  <dc:description/>
  <cp:lastModifiedBy>Ascensión LEAL</cp:lastModifiedBy>
  <cp:revision>2</cp:revision>
  <cp:lastPrinted>1999-05-03T09:54:00Z</cp:lastPrinted>
  <dcterms:created xsi:type="dcterms:W3CDTF">2000-11-29T15:46:00Z</dcterms:created>
  <dcterms:modified xsi:type="dcterms:W3CDTF">2000-11-29T15:46:00Z</dcterms:modified>
</cp:coreProperties>
</file>