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3125" w:rsidRDefault="00123125" w:rsidP="00123125">
      <w:pPr>
        <w:spacing w:line="60" w:lineRule="exact"/>
        <w:sectPr w:rsidR="00123125" w:rsidSect="0012312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3" o:title="1-3Size =1Lang = C"/>
            <w10:wrap anchorx="page" anchory="page"/>
          </v:shape>
        </w:pict>
      </w:r>
      <w:commentRangeEnd w:id="0"/>
      <w:r>
        <w:rPr>
          <w:rStyle w:val="CommentReference"/>
        </w:rPr>
        <w:commentReference w:id="0"/>
      </w:r>
    </w:p>
    <w:p w:rsidR="00123125" w:rsidRDefault="00123125" w:rsidP="00123125">
      <w:pPr>
        <w:spacing w:line="60" w:lineRule="exact"/>
      </w:pPr>
    </w:p>
    <w:p w:rsidR="00D95D43" w:rsidRPr="00D95D43" w:rsidRDefault="00D95D43" w:rsidP="00D95D4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D217A5" w:rsidRDefault="00D217A5" w:rsidP="00D217A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消除对妇女歧视委员会</w:t>
      </w:r>
    </w:p>
    <w:p w:rsidR="00D217A5" w:rsidRPr="00D217A5" w:rsidRDefault="00D217A5" w:rsidP="00D217A5">
      <w:pPr>
        <w:pStyle w:val="SingleTxt"/>
        <w:spacing w:after="0" w:line="120" w:lineRule="exact"/>
        <w:ind w:right="0"/>
        <w:rPr>
          <w:sz w:val="10"/>
        </w:rPr>
      </w:pPr>
    </w:p>
    <w:p w:rsidR="00D217A5" w:rsidRPr="00D217A5" w:rsidRDefault="00D217A5" w:rsidP="00D217A5">
      <w:pPr>
        <w:pStyle w:val="SingleTxt"/>
        <w:spacing w:after="0" w:line="120" w:lineRule="exact"/>
        <w:ind w:right="0"/>
        <w:rPr>
          <w:rFonts w:hint="eastAsia"/>
          <w:sz w:val="10"/>
        </w:rPr>
      </w:pPr>
    </w:p>
    <w:p w:rsidR="00D217A5" w:rsidRPr="00D217A5" w:rsidRDefault="00D217A5" w:rsidP="00D217A5">
      <w:pPr>
        <w:pStyle w:val="SingleTxt"/>
        <w:spacing w:after="0" w:line="120" w:lineRule="exact"/>
        <w:ind w:right="0"/>
        <w:rPr>
          <w:rFonts w:hint="eastAsia"/>
          <w:sz w:val="10"/>
        </w:rPr>
      </w:pPr>
    </w:p>
    <w:p w:rsidR="00D217A5" w:rsidRDefault="00D217A5" w:rsidP="00D217A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审议缔约国根据《公约》第18条提交的报告</w:t>
      </w:r>
    </w:p>
    <w:p w:rsidR="00D217A5" w:rsidRPr="00D217A5" w:rsidRDefault="00D217A5" w:rsidP="00D217A5">
      <w:pPr>
        <w:pStyle w:val="SingleTxt"/>
        <w:spacing w:after="0" w:line="120" w:lineRule="exact"/>
        <w:ind w:right="0"/>
        <w:rPr>
          <w:rFonts w:hint="eastAsia"/>
          <w:sz w:val="10"/>
        </w:rPr>
      </w:pPr>
    </w:p>
    <w:p w:rsidR="00D217A5" w:rsidRPr="00D217A5" w:rsidRDefault="00D217A5" w:rsidP="00D217A5">
      <w:pPr>
        <w:pStyle w:val="SingleTxt"/>
        <w:spacing w:after="0" w:line="120" w:lineRule="exact"/>
        <w:ind w:right="0"/>
        <w:rPr>
          <w:rFonts w:hint="eastAsia"/>
          <w:sz w:val="10"/>
        </w:rPr>
      </w:pPr>
    </w:p>
    <w:p w:rsidR="00D217A5" w:rsidRDefault="00D217A5" w:rsidP="00D217A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2011年到期的第一至第三次定期报告</w:t>
      </w:r>
    </w:p>
    <w:p w:rsidR="00D217A5" w:rsidRPr="00D217A5" w:rsidRDefault="00D217A5" w:rsidP="00D217A5">
      <w:pPr>
        <w:pStyle w:val="SingleTxt"/>
        <w:spacing w:after="0" w:line="120" w:lineRule="exact"/>
        <w:ind w:right="0"/>
        <w:rPr>
          <w:rFonts w:hint="eastAsia"/>
          <w:sz w:val="10"/>
        </w:rPr>
      </w:pPr>
    </w:p>
    <w:p w:rsidR="00D217A5" w:rsidRPr="00D217A5" w:rsidRDefault="00D217A5" w:rsidP="00D217A5">
      <w:pPr>
        <w:pStyle w:val="SingleTxt"/>
        <w:spacing w:after="0" w:line="120" w:lineRule="exact"/>
        <w:ind w:right="0"/>
        <w:rPr>
          <w:rFonts w:hint="eastAsia"/>
          <w:sz w:val="10"/>
        </w:rPr>
      </w:pPr>
    </w:p>
    <w:p w:rsidR="00D217A5" w:rsidRDefault="00D217A5" w:rsidP="00D217A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所罗门群岛</w:t>
      </w:r>
      <w:r w:rsidRPr="002060A7">
        <w:rPr>
          <w:rFonts w:hint="eastAsia"/>
          <w:vertAlign w:val="superscript"/>
        </w:rPr>
        <w:t>*</w:t>
      </w:r>
    </w:p>
    <w:p w:rsidR="00D217A5" w:rsidRPr="002060A7" w:rsidRDefault="00D217A5" w:rsidP="00D95D43">
      <w:pPr>
        <w:framePr w:w="9792" w:h="432" w:hSpace="180" w:wrap="around" w:hAnchor="page" w:x="1210" w:yAlign="bottom"/>
        <w:spacing w:line="100" w:lineRule="exact"/>
        <w:rPr>
          <w:sz w:val="10"/>
        </w:rPr>
      </w:pPr>
    </w:p>
    <w:p w:rsidR="00D217A5" w:rsidRPr="002060A7" w:rsidRDefault="00D217A5" w:rsidP="00D95D43">
      <w:pPr>
        <w:framePr w:w="9792" w:h="432" w:hSpace="180" w:wrap="around" w:hAnchor="page" w:x="1210" w:yAlign="bottom"/>
        <w:spacing w:line="60" w:lineRule="exact"/>
        <w:rPr>
          <w:sz w:val="6"/>
        </w:rPr>
      </w:pPr>
      <w:r w:rsidRPr="002060A7">
        <w:rPr>
          <w:noProof/>
          <w:sz w:val="6"/>
        </w:rPr>
        <w:pict>
          <v:line id="_x0000_s1027" style="position:absolute;left:0;text-align:left;z-index:2;mso-position-horizontal-relative:page" from="108pt,-1pt" to="180pt,-1pt" strokeweight=".25pt">
            <w10:wrap anchorx="page"/>
          </v:line>
        </w:pict>
      </w:r>
    </w:p>
    <w:p w:rsidR="00D217A5" w:rsidRPr="00F82231" w:rsidRDefault="00D217A5" w:rsidP="00D95D43">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sz w:val="18"/>
        </w:rPr>
        <w:tab/>
      </w:r>
      <w:r w:rsidRPr="00F82231">
        <w:rPr>
          <w:sz w:val="18"/>
          <w:vertAlign w:val="superscript"/>
        </w:rPr>
        <w:t>*</w:t>
      </w:r>
      <w:r>
        <w:rPr>
          <w:sz w:val="18"/>
        </w:rPr>
        <w:tab/>
      </w:r>
      <w:r w:rsidRPr="00F82231">
        <w:rPr>
          <w:rFonts w:hint="eastAsia"/>
          <w:sz w:val="18"/>
        </w:rPr>
        <w:t>本文件未经正式编辑而印发。</w:t>
      </w:r>
    </w:p>
    <w:p w:rsidR="008232FF" w:rsidRPr="008232FF" w:rsidRDefault="008232FF" w:rsidP="008232FF">
      <w:pPr>
        <w:pStyle w:val="SingleTxt"/>
        <w:spacing w:after="0" w:line="120" w:lineRule="exact"/>
        <w:rPr>
          <w:rFonts w:hint="eastAsia"/>
          <w:sz w:val="10"/>
        </w:rPr>
      </w:pPr>
    </w:p>
    <w:p w:rsidR="008232FF" w:rsidRPr="008232FF" w:rsidRDefault="008232FF" w:rsidP="008232FF">
      <w:pPr>
        <w:pStyle w:val="SingleTxt"/>
        <w:spacing w:after="0" w:line="120" w:lineRule="exact"/>
        <w:rPr>
          <w:rFonts w:hint="eastAsia"/>
          <w:sz w:val="10"/>
        </w:rPr>
      </w:pPr>
    </w:p>
    <w:p w:rsidR="00D217A5" w:rsidRDefault="008232FF" w:rsidP="008232FF">
      <w:pPr>
        <w:pStyle w:val="SingleTxt"/>
        <w:ind w:right="0"/>
        <w:jc w:val="right"/>
      </w:pPr>
      <w:r>
        <w:rPr>
          <w:rFonts w:hint="eastAsia"/>
        </w:rPr>
        <w:t>[收到日期：2013年1月30日]</w:t>
      </w:r>
    </w:p>
    <w:p w:rsidR="00D217A5" w:rsidRDefault="00D217A5" w:rsidP="00D95D43">
      <w:pPr>
        <w:pStyle w:val="SingleTxt"/>
      </w:pPr>
    </w:p>
    <w:p w:rsidR="00D217A5" w:rsidRDefault="00D217A5" w:rsidP="00C80B0D">
      <w:pPr>
        <w:pStyle w:val="SingleTxt"/>
        <w:ind w:right="0"/>
        <w:jc w:val="right"/>
        <w:rPr>
          <w:rFonts w:hint="eastAsia"/>
        </w:rPr>
      </w:pPr>
      <w:r>
        <w:br w:type="page"/>
      </w:r>
    </w:p>
    <w:p w:rsidR="00D217A5" w:rsidRDefault="00D217A5" w:rsidP="00D95D43">
      <w:pPr>
        <w:pStyle w:val="HCh6"/>
        <w:rPr>
          <w:rFonts w:ascii="Times New Roman"/>
        </w:rPr>
      </w:pPr>
      <w:r>
        <w:rPr>
          <w:rFonts w:hint="eastAsia"/>
        </w:rPr>
        <w:t>目录</w:t>
      </w:r>
    </w:p>
    <w:tbl>
      <w:tblPr>
        <w:tblW w:w="9902" w:type="dxa"/>
        <w:tblLayout w:type="fixed"/>
        <w:tblCellMar>
          <w:left w:w="0" w:type="dxa"/>
          <w:right w:w="0" w:type="dxa"/>
        </w:tblCellMar>
        <w:tblLook w:val="0000"/>
      </w:tblPr>
      <w:tblGrid>
        <w:gridCol w:w="1060"/>
        <w:gridCol w:w="7315"/>
        <w:gridCol w:w="994"/>
        <w:gridCol w:w="533"/>
      </w:tblGrid>
      <w:tr w:rsidR="00C80B0D" w:rsidRPr="00E53517">
        <w:tblPrEx>
          <w:tblCellMar>
            <w:top w:w="0" w:type="dxa"/>
            <w:bottom w:w="0" w:type="dxa"/>
          </w:tblCellMar>
        </w:tblPrEx>
        <w:tc>
          <w:tcPr>
            <w:tcW w:w="1060" w:type="dxa"/>
          </w:tcPr>
          <w:p w:rsidR="00C80B0D" w:rsidRPr="00E53517" w:rsidRDefault="00C80B0D" w:rsidP="00C80B0D">
            <w:pPr>
              <w:pStyle w:val="GB23126"/>
            </w:pPr>
          </w:p>
        </w:tc>
        <w:tc>
          <w:tcPr>
            <w:tcW w:w="7315" w:type="dxa"/>
          </w:tcPr>
          <w:p w:rsidR="00C80B0D" w:rsidRPr="00E53517" w:rsidRDefault="00C80B0D">
            <w:pPr>
              <w:spacing w:after="120" w:line="240" w:lineRule="auto"/>
              <w:rPr>
                <w:rFonts w:eastAsia="KaiTi_GB2312"/>
                <w:color w:val="0000FF"/>
                <w:sz w:val="15"/>
                <w:szCs w:val="15"/>
              </w:rPr>
            </w:pPr>
          </w:p>
        </w:tc>
        <w:tc>
          <w:tcPr>
            <w:tcW w:w="994" w:type="dxa"/>
          </w:tcPr>
          <w:p w:rsidR="00C80B0D" w:rsidRPr="00E53517" w:rsidRDefault="00C80B0D" w:rsidP="00C80B0D">
            <w:pPr>
              <w:pStyle w:val="GB23126"/>
            </w:pPr>
          </w:p>
        </w:tc>
        <w:tc>
          <w:tcPr>
            <w:tcW w:w="533" w:type="dxa"/>
          </w:tcPr>
          <w:p w:rsidR="00C80B0D" w:rsidRPr="00E53517" w:rsidRDefault="00C80B0D" w:rsidP="00C80B0D">
            <w:pPr>
              <w:pStyle w:val="GB23126"/>
            </w:pPr>
            <w:r w:rsidRPr="00E53517">
              <w:rPr>
                <w:rFonts w:hint="eastAsia"/>
              </w:rPr>
              <w:t>页次</w:t>
            </w:r>
          </w:p>
        </w:tc>
      </w:tr>
      <w:tr w:rsidR="00C80B0D">
        <w:tblPrEx>
          <w:tblCellMar>
            <w:top w:w="0" w:type="dxa"/>
            <w:bottom w:w="0" w:type="dxa"/>
          </w:tblCellMar>
        </w:tblPrEx>
        <w:trPr>
          <w:cantSplit/>
        </w:trPr>
        <w:tc>
          <w:tcPr>
            <w:tcW w:w="9369" w:type="dxa"/>
            <w:gridSpan w:val="3"/>
          </w:tcPr>
          <w:p w:rsidR="00C80B0D" w:rsidRDefault="005810F3" w:rsidP="005810F3">
            <w:pPr>
              <w:tabs>
                <w:tab w:val="right" w:pos="1080"/>
                <w:tab w:val="right" w:leader="dot" w:pos="9371"/>
              </w:tabs>
              <w:spacing w:after="120"/>
              <w:ind w:left="1080"/>
              <w:rPr>
                <w:rFonts w:hint="eastAsia"/>
              </w:rPr>
            </w:pPr>
            <w:r>
              <w:rPr>
                <w:rFonts w:hint="eastAsia"/>
              </w:rPr>
              <w:t>简称</w:t>
            </w:r>
            <w:r w:rsidR="00C80B0D">
              <w:tab/>
            </w:r>
            <w:r w:rsidR="00C80B0D">
              <w:tab/>
            </w:r>
          </w:p>
        </w:tc>
        <w:tc>
          <w:tcPr>
            <w:tcW w:w="533" w:type="dxa"/>
            <w:vAlign w:val="bottom"/>
          </w:tcPr>
          <w:p w:rsidR="00C80B0D" w:rsidRDefault="005810F3">
            <w:pPr>
              <w:spacing w:after="120"/>
              <w:ind w:right="28"/>
              <w:jc w:val="right"/>
            </w:pPr>
            <w:r>
              <w:t>3</w:t>
            </w:r>
          </w:p>
        </w:tc>
      </w:tr>
      <w:tr w:rsidR="005810F3">
        <w:tblPrEx>
          <w:tblCellMar>
            <w:top w:w="0" w:type="dxa"/>
            <w:bottom w:w="0" w:type="dxa"/>
          </w:tblCellMar>
        </w:tblPrEx>
        <w:trPr>
          <w:cantSplit/>
        </w:trPr>
        <w:tc>
          <w:tcPr>
            <w:tcW w:w="9369" w:type="dxa"/>
            <w:gridSpan w:val="3"/>
          </w:tcPr>
          <w:p w:rsidR="005810F3" w:rsidRDefault="005810F3" w:rsidP="005810F3">
            <w:pPr>
              <w:tabs>
                <w:tab w:val="right" w:pos="1080"/>
                <w:tab w:val="right" w:leader="dot" w:pos="9371"/>
              </w:tabs>
              <w:spacing w:after="120"/>
              <w:ind w:left="1080"/>
            </w:pPr>
            <w:r>
              <w:rPr>
                <w:rFonts w:hint="eastAsia"/>
              </w:rPr>
              <w:t>前言</w:t>
            </w:r>
            <w:r>
              <w:tab/>
            </w:r>
          </w:p>
        </w:tc>
        <w:tc>
          <w:tcPr>
            <w:tcW w:w="533" w:type="dxa"/>
            <w:vAlign w:val="bottom"/>
          </w:tcPr>
          <w:p w:rsidR="005810F3" w:rsidRDefault="005810F3">
            <w:pPr>
              <w:spacing w:after="120"/>
              <w:ind w:right="28"/>
              <w:jc w:val="right"/>
            </w:pPr>
            <w:r>
              <w:t>4</w:t>
            </w:r>
          </w:p>
        </w:tc>
      </w:tr>
      <w:tr w:rsidR="005810F3">
        <w:tblPrEx>
          <w:tblCellMar>
            <w:top w:w="0" w:type="dxa"/>
            <w:bottom w:w="0" w:type="dxa"/>
          </w:tblCellMar>
        </w:tblPrEx>
        <w:trPr>
          <w:cantSplit/>
        </w:trPr>
        <w:tc>
          <w:tcPr>
            <w:tcW w:w="9369" w:type="dxa"/>
            <w:gridSpan w:val="3"/>
          </w:tcPr>
          <w:p w:rsidR="005810F3" w:rsidRDefault="005810F3" w:rsidP="005810F3">
            <w:pPr>
              <w:tabs>
                <w:tab w:val="right" w:pos="1080"/>
                <w:tab w:val="right" w:leader="dot" w:pos="9371"/>
              </w:tabs>
              <w:spacing w:after="120"/>
              <w:ind w:left="1080"/>
            </w:pPr>
            <w:r>
              <w:rPr>
                <w:rFonts w:hint="eastAsia"/>
              </w:rPr>
              <w:t>导言</w:t>
            </w:r>
            <w:r>
              <w:tab/>
            </w:r>
          </w:p>
        </w:tc>
        <w:tc>
          <w:tcPr>
            <w:tcW w:w="533" w:type="dxa"/>
            <w:vAlign w:val="bottom"/>
          </w:tcPr>
          <w:p w:rsidR="005810F3" w:rsidRDefault="005810F3">
            <w:pPr>
              <w:spacing w:after="120"/>
              <w:ind w:right="28"/>
              <w:jc w:val="right"/>
            </w:pPr>
            <w:r>
              <w:t>5</w:t>
            </w:r>
          </w:p>
        </w:tc>
      </w:tr>
      <w:tr w:rsidR="005810F3">
        <w:tblPrEx>
          <w:tblCellMar>
            <w:top w:w="0" w:type="dxa"/>
            <w:bottom w:w="0" w:type="dxa"/>
          </w:tblCellMar>
        </w:tblPrEx>
        <w:trPr>
          <w:cantSplit/>
        </w:trPr>
        <w:tc>
          <w:tcPr>
            <w:tcW w:w="9369" w:type="dxa"/>
            <w:gridSpan w:val="3"/>
          </w:tcPr>
          <w:p w:rsidR="005810F3" w:rsidRDefault="005810F3" w:rsidP="005810F3">
            <w:pPr>
              <w:tabs>
                <w:tab w:val="right" w:pos="1080"/>
                <w:tab w:val="right" w:leader="dot" w:pos="9371"/>
              </w:tabs>
              <w:spacing w:after="120"/>
              <w:ind w:left="1080"/>
            </w:pPr>
            <w:r>
              <w:rPr>
                <w:rFonts w:hint="eastAsia"/>
              </w:rPr>
              <w:t>第1条和第2条：歧视的定义和消除对妇女歧视的义务</w:t>
            </w:r>
            <w:r>
              <w:tab/>
            </w:r>
          </w:p>
        </w:tc>
        <w:tc>
          <w:tcPr>
            <w:tcW w:w="533" w:type="dxa"/>
            <w:vAlign w:val="bottom"/>
          </w:tcPr>
          <w:p w:rsidR="005810F3" w:rsidRDefault="005810F3">
            <w:pPr>
              <w:spacing w:after="120"/>
              <w:ind w:right="28"/>
              <w:jc w:val="right"/>
            </w:pPr>
            <w:r>
              <w:t>6</w:t>
            </w:r>
          </w:p>
        </w:tc>
      </w:tr>
      <w:tr w:rsidR="005810F3">
        <w:tblPrEx>
          <w:tblCellMar>
            <w:top w:w="0" w:type="dxa"/>
            <w:bottom w:w="0" w:type="dxa"/>
          </w:tblCellMar>
        </w:tblPrEx>
        <w:trPr>
          <w:cantSplit/>
        </w:trPr>
        <w:tc>
          <w:tcPr>
            <w:tcW w:w="9369" w:type="dxa"/>
            <w:gridSpan w:val="3"/>
          </w:tcPr>
          <w:p w:rsidR="005810F3" w:rsidRDefault="005810F3" w:rsidP="005810F3">
            <w:pPr>
              <w:tabs>
                <w:tab w:val="right" w:pos="1080"/>
                <w:tab w:val="right" w:leader="dot" w:pos="9371"/>
              </w:tabs>
              <w:spacing w:after="120"/>
              <w:ind w:left="1080"/>
            </w:pPr>
            <w:r w:rsidRPr="005810F3">
              <w:rPr>
                <w:rFonts w:hint="eastAsia"/>
              </w:rPr>
              <w:t>第3条：保证基本人权和基本自由</w:t>
            </w:r>
            <w:r>
              <w:tab/>
            </w:r>
          </w:p>
        </w:tc>
        <w:tc>
          <w:tcPr>
            <w:tcW w:w="533" w:type="dxa"/>
            <w:vAlign w:val="bottom"/>
          </w:tcPr>
          <w:p w:rsidR="005810F3" w:rsidRDefault="009C3BCD">
            <w:pPr>
              <w:spacing w:after="120"/>
              <w:ind w:right="28"/>
              <w:jc w:val="right"/>
            </w:pPr>
            <w:r>
              <w:t>25</w:t>
            </w:r>
          </w:p>
        </w:tc>
      </w:tr>
      <w:tr w:rsidR="005810F3">
        <w:tblPrEx>
          <w:tblCellMar>
            <w:top w:w="0" w:type="dxa"/>
            <w:bottom w:w="0" w:type="dxa"/>
          </w:tblCellMar>
        </w:tblPrEx>
        <w:trPr>
          <w:cantSplit/>
        </w:trPr>
        <w:tc>
          <w:tcPr>
            <w:tcW w:w="9369" w:type="dxa"/>
            <w:gridSpan w:val="3"/>
          </w:tcPr>
          <w:p w:rsidR="005810F3" w:rsidRPr="005810F3" w:rsidRDefault="005810F3" w:rsidP="005810F3">
            <w:pPr>
              <w:tabs>
                <w:tab w:val="right" w:pos="1080"/>
                <w:tab w:val="right" w:leader="dot" w:pos="9371"/>
              </w:tabs>
              <w:spacing w:after="120"/>
              <w:ind w:left="1080"/>
            </w:pPr>
            <w:r w:rsidRPr="005810F3">
              <w:rPr>
                <w:rFonts w:hint="eastAsia"/>
              </w:rPr>
              <w:t>第4条：加速实现男女平等</w:t>
            </w:r>
            <w:r>
              <w:tab/>
            </w:r>
          </w:p>
        </w:tc>
        <w:tc>
          <w:tcPr>
            <w:tcW w:w="533" w:type="dxa"/>
            <w:vAlign w:val="bottom"/>
          </w:tcPr>
          <w:p w:rsidR="005810F3" w:rsidRDefault="009C3BCD">
            <w:pPr>
              <w:spacing w:after="120"/>
              <w:ind w:right="28"/>
              <w:jc w:val="right"/>
            </w:pPr>
            <w:r>
              <w:t>26</w:t>
            </w:r>
          </w:p>
        </w:tc>
      </w:tr>
      <w:tr w:rsidR="005810F3">
        <w:tblPrEx>
          <w:tblCellMar>
            <w:top w:w="0" w:type="dxa"/>
            <w:bottom w:w="0" w:type="dxa"/>
          </w:tblCellMar>
        </w:tblPrEx>
        <w:trPr>
          <w:cantSplit/>
        </w:trPr>
        <w:tc>
          <w:tcPr>
            <w:tcW w:w="9369" w:type="dxa"/>
            <w:gridSpan w:val="3"/>
          </w:tcPr>
          <w:p w:rsidR="005810F3" w:rsidRPr="005810F3" w:rsidRDefault="005810F3" w:rsidP="005810F3">
            <w:pPr>
              <w:tabs>
                <w:tab w:val="right" w:pos="1080"/>
                <w:tab w:val="right" w:leader="dot" w:pos="9371"/>
              </w:tabs>
              <w:spacing w:after="120"/>
              <w:ind w:left="1080"/>
            </w:pPr>
            <w:r w:rsidRPr="005810F3">
              <w:rPr>
                <w:rFonts w:hint="eastAsia"/>
              </w:rPr>
              <w:t>第5条：性别角色和陈规定型观念</w:t>
            </w:r>
            <w:r>
              <w:tab/>
            </w:r>
          </w:p>
        </w:tc>
        <w:tc>
          <w:tcPr>
            <w:tcW w:w="533" w:type="dxa"/>
            <w:vAlign w:val="bottom"/>
          </w:tcPr>
          <w:p w:rsidR="005810F3" w:rsidRDefault="009C3BCD">
            <w:pPr>
              <w:spacing w:after="120"/>
              <w:ind w:right="28"/>
              <w:jc w:val="right"/>
            </w:pPr>
            <w:r>
              <w:t>27</w:t>
            </w:r>
          </w:p>
        </w:tc>
      </w:tr>
      <w:tr w:rsidR="005810F3" w:rsidRPr="005810F3">
        <w:tblPrEx>
          <w:tblCellMar>
            <w:top w:w="0" w:type="dxa"/>
            <w:bottom w:w="0" w:type="dxa"/>
          </w:tblCellMar>
        </w:tblPrEx>
        <w:trPr>
          <w:cantSplit/>
        </w:trPr>
        <w:tc>
          <w:tcPr>
            <w:tcW w:w="9369" w:type="dxa"/>
            <w:gridSpan w:val="3"/>
          </w:tcPr>
          <w:p w:rsidR="005810F3" w:rsidRPr="005810F3" w:rsidRDefault="005810F3" w:rsidP="005810F3">
            <w:pPr>
              <w:tabs>
                <w:tab w:val="right" w:pos="1080"/>
                <w:tab w:val="right" w:leader="dot" w:pos="9371"/>
              </w:tabs>
              <w:spacing w:after="120"/>
              <w:ind w:left="1080"/>
            </w:pPr>
            <w:r w:rsidRPr="005810F3">
              <w:rPr>
                <w:rFonts w:hint="eastAsia"/>
              </w:rPr>
              <w:t>第6条：剥削妇女</w:t>
            </w:r>
            <w:r>
              <w:tab/>
            </w:r>
          </w:p>
        </w:tc>
        <w:tc>
          <w:tcPr>
            <w:tcW w:w="533" w:type="dxa"/>
            <w:vAlign w:val="bottom"/>
          </w:tcPr>
          <w:p w:rsidR="005810F3" w:rsidRDefault="009C3BCD">
            <w:pPr>
              <w:spacing w:after="120"/>
              <w:ind w:right="28"/>
              <w:jc w:val="right"/>
            </w:pPr>
            <w:r>
              <w:t>30</w:t>
            </w:r>
          </w:p>
        </w:tc>
      </w:tr>
      <w:tr w:rsidR="009C3BCD" w:rsidRPr="005810F3">
        <w:tblPrEx>
          <w:tblCellMar>
            <w:top w:w="0" w:type="dxa"/>
            <w:bottom w:w="0" w:type="dxa"/>
          </w:tblCellMar>
        </w:tblPrEx>
        <w:trPr>
          <w:cantSplit/>
        </w:trPr>
        <w:tc>
          <w:tcPr>
            <w:tcW w:w="9369" w:type="dxa"/>
            <w:gridSpan w:val="3"/>
          </w:tcPr>
          <w:p w:rsidR="009C3BCD" w:rsidRPr="005810F3" w:rsidRDefault="009C3BCD" w:rsidP="005810F3">
            <w:pPr>
              <w:tabs>
                <w:tab w:val="right" w:pos="1080"/>
                <w:tab w:val="right" w:leader="dot" w:pos="9371"/>
              </w:tabs>
              <w:spacing w:after="120"/>
              <w:ind w:left="1080"/>
              <w:rPr>
                <w:rFonts w:hint="eastAsia"/>
              </w:rPr>
            </w:pPr>
            <w:r w:rsidRPr="005810F3">
              <w:rPr>
                <w:rFonts w:hint="eastAsia"/>
              </w:rPr>
              <w:t>第7条：参与政治和公共生活</w:t>
            </w:r>
            <w:r w:rsidRPr="005810F3">
              <w:tab/>
            </w:r>
          </w:p>
        </w:tc>
        <w:tc>
          <w:tcPr>
            <w:tcW w:w="533" w:type="dxa"/>
            <w:vAlign w:val="bottom"/>
          </w:tcPr>
          <w:p w:rsidR="009C3BCD" w:rsidRDefault="009C3BCD">
            <w:pPr>
              <w:spacing w:after="120"/>
              <w:ind w:right="28"/>
              <w:jc w:val="right"/>
            </w:pPr>
            <w:r>
              <w:t>34</w:t>
            </w:r>
          </w:p>
        </w:tc>
      </w:tr>
      <w:tr w:rsidR="009C3BCD" w:rsidRPr="005810F3">
        <w:tblPrEx>
          <w:tblCellMar>
            <w:top w:w="0" w:type="dxa"/>
            <w:bottom w:w="0" w:type="dxa"/>
          </w:tblCellMar>
        </w:tblPrEx>
        <w:trPr>
          <w:cantSplit/>
        </w:trPr>
        <w:tc>
          <w:tcPr>
            <w:tcW w:w="9369" w:type="dxa"/>
            <w:gridSpan w:val="3"/>
          </w:tcPr>
          <w:p w:rsidR="009C3BCD" w:rsidRPr="005810F3" w:rsidRDefault="009C3BCD" w:rsidP="005810F3">
            <w:pPr>
              <w:tabs>
                <w:tab w:val="right" w:pos="1080"/>
                <w:tab w:val="right" w:leader="dot" w:pos="9371"/>
              </w:tabs>
              <w:spacing w:after="120"/>
              <w:ind w:left="1080"/>
              <w:rPr>
                <w:rFonts w:hint="eastAsia"/>
              </w:rPr>
            </w:pPr>
            <w:r w:rsidRPr="005810F3">
              <w:rPr>
                <w:rFonts w:hint="eastAsia"/>
              </w:rPr>
              <w:t>第8条：国际代表权和参与情况</w:t>
            </w:r>
            <w:r w:rsidRPr="005810F3">
              <w:tab/>
            </w:r>
          </w:p>
        </w:tc>
        <w:tc>
          <w:tcPr>
            <w:tcW w:w="533" w:type="dxa"/>
            <w:vAlign w:val="bottom"/>
          </w:tcPr>
          <w:p w:rsidR="009C3BCD" w:rsidRDefault="009C3BCD">
            <w:pPr>
              <w:spacing w:after="120"/>
              <w:ind w:right="28"/>
              <w:jc w:val="right"/>
            </w:pPr>
            <w:r>
              <w:t>39</w:t>
            </w:r>
          </w:p>
        </w:tc>
      </w:tr>
      <w:tr w:rsidR="009C3BCD" w:rsidRPr="005810F3">
        <w:tblPrEx>
          <w:tblCellMar>
            <w:top w:w="0" w:type="dxa"/>
            <w:bottom w:w="0" w:type="dxa"/>
          </w:tblCellMar>
        </w:tblPrEx>
        <w:trPr>
          <w:cantSplit/>
        </w:trPr>
        <w:tc>
          <w:tcPr>
            <w:tcW w:w="9369" w:type="dxa"/>
            <w:gridSpan w:val="3"/>
          </w:tcPr>
          <w:p w:rsidR="009C3BCD" w:rsidRPr="005810F3" w:rsidRDefault="009C3BCD" w:rsidP="005810F3">
            <w:pPr>
              <w:tabs>
                <w:tab w:val="right" w:pos="1080"/>
                <w:tab w:val="right" w:leader="dot" w:pos="9371"/>
              </w:tabs>
              <w:spacing w:after="120"/>
              <w:ind w:left="1080"/>
              <w:rPr>
                <w:rFonts w:hint="eastAsia"/>
              </w:rPr>
            </w:pPr>
            <w:r w:rsidRPr="005810F3">
              <w:rPr>
                <w:rFonts w:hint="eastAsia"/>
              </w:rPr>
              <w:t>第9条：国籍和公民身份</w:t>
            </w:r>
            <w:r w:rsidRPr="005810F3">
              <w:tab/>
            </w:r>
          </w:p>
        </w:tc>
        <w:tc>
          <w:tcPr>
            <w:tcW w:w="533" w:type="dxa"/>
            <w:vAlign w:val="bottom"/>
          </w:tcPr>
          <w:p w:rsidR="009C3BCD" w:rsidRDefault="009C3BCD">
            <w:pPr>
              <w:spacing w:after="120"/>
              <w:ind w:right="28"/>
              <w:jc w:val="right"/>
            </w:pPr>
            <w:r>
              <w:t>40</w:t>
            </w:r>
          </w:p>
        </w:tc>
      </w:tr>
      <w:tr w:rsidR="009C3BCD" w:rsidRPr="005810F3">
        <w:tblPrEx>
          <w:tblCellMar>
            <w:top w:w="0" w:type="dxa"/>
            <w:bottom w:w="0" w:type="dxa"/>
          </w:tblCellMar>
        </w:tblPrEx>
        <w:trPr>
          <w:cantSplit/>
        </w:trPr>
        <w:tc>
          <w:tcPr>
            <w:tcW w:w="9369" w:type="dxa"/>
            <w:gridSpan w:val="3"/>
          </w:tcPr>
          <w:p w:rsidR="009C3BCD" w:rsidRPr="005810F3" w:rsidRDefault="009C3BCD" w:rsidP="005810F3">
            <w:pPr>
              <w:tabs>
                <w:tab w:val="right" w:pos="1080"/>
                <w:tab w:val="right" w:leader="dot" w:pos="9371"/>
              </w:tabs>
              <w:spacing w:after="120"/>
              <w:ind w:left="1080"/>
              <w:rPr>
                <w:rFonts w:hint="eastAsia"/>
              </w:rPr>
            </w:pPr>
            <w:r w:rsidRPr="005810F3">
              <w:rPr>
                <w:rFonts w:hint="eastAsia"/>
              </w:rPr>
              <w:t>第10条：教育</w:t>
            </w:r>
            <w:r w:rsidRPr="005810F3">
              <w:tab/>
            </w:r>
          </w:p>
        </w:tc>
        <w:tc>
          <w:tcPr>
            <w:tcW w:w="533" w:type="dxa"/>
            <w:vAlign w:val="bottom"/>
          </w:tcPr>
          <w:p w:rsidR="009C3BCD" w:rsidRDefault="009C3BCD">
            <w:pPr>
              <w:spacing w:after="120"/>
              <w:ind w:right="28"/>
              <w:jc w:val="right"/>
            </w:pPr>
            <w:r>
              <w:t>41</w:t>
            </w:r>
          </w:p>
        </w:tc>
      </w:tr>
      <w:tr w:rsidR="009C3BCD" w:rsidRPr="005810F3">
        <w:tblPrEx>
          <w:tblCellMar>
            <w:top w:w="0" w:type="dxa"/>
            <w:bottom w:w="0" w:type="dxa"/>
          </w:tblCellMar>
        </w:tblPrEx>
        <w:trPr>
          <w:cantSplit/>
        </w:trPr>
        <w:tc>
          <w:tcPr>
            <w:tcW w:w="9369" w:type="dxa"/>
            <w:gridSpan w:val="3"/>
          </w:tcPr>
          <w:p w:rsidR="009C3BCD" w:rsidRPr="005810F3" w:rsidRDefault="009C3BCD" w:rsidP="005810F3">
            <w:pPr>
              <w:tabs>
                <w:tab w:val="right" w:pos="1080"/>
                <w:tab w:val="right" w:leader="dot" w:pos="9371"/>
              </w:tabs>
              <w:spacing w:after="120"/>
              <w:ind w:left="1080"/>
              <w:rPr>
                <w:rFonts w:hint="eastAsia"/>
              </w:rPr>
            </w:pPr>
            <w:r w:rsidRPr="005810F3">
              <w:rPr>
                <w:rFonts w:hint="eastAsia"/>
              </w:rPr>
              <w:t>第11条：就业</w:t>
            </w:r>
            <w:r w:rsidRPr="005810F3">
              <w:tab/>
            </w:r>
          </w:p>
        </w:tc>
        <w:tc>
          <w:tcPr>
            <w:tcW w:w="533" w:type="dxa"/>
            <w:vAlign w:val="bottom"/>
          </w:tcPr>
          <w:p w:rsidR="009C3BCD" w:rsidRDefault="009C3BCD">
            <w:pPr>
              <w:spacing w:after="120"/>
              <w:ind w:right="28"/>
              <w:jc w:val="right"/>
            </w:pPr>
            <w:r>
              <w:t>51</w:t>
            </w:r>
          </w:p>
        </w:tc>
      </w:tr>
      <w:tr w:rsidR="009C3BCD" w:rsidRPr="005810F3">
        <w:tblPrEx>
          <w:tblCellMar>
            <w:top w:w="0" w:type="dxa"/>
            <w:bottom w:w="0" w:type="dxa"/>
          </w:tblCellMar>
        </w:tblPrEx>
        <w:trPr>
          <w:cantSplit/>
        </w:trPr>
        <w:tc>
          <w:tcPr>
            <w:tcW w:w="9369" w:type="dxa"/>
            <w:gridSpan w:val="3"/>
          </w:tcPr>
          <w:p w:rsidR="009C3BCD" w:rsidRPr="005810F3" w:rsidRDefault="009C3BCD" w:rsidP="005810F3">
            <w:pPr>
              <w:tabs>
                <w:tab w:val="right" w:pos="1080"/>
                <w:tab w:val="right" w:leader="dot" w:pos="9371"/>
              </w:tabs>
              <w:spacing w:after="120"/>
              <w:ind w:left="1080"/>
              <w:rPr>
                <w:rFonts w:hint="eastAsia"/>
              </w:rPr>
            </w:pPr>
            <w:r w:rsidRPr="005810F3">
              <w:rPr>
                <w:rFonts w:hint="eastAsia"/>
              </w:rPr>
              <w:t>第12条：保健和计划生育</w:t>
            </w:r>
            <w:r w:rsidRPr="005810F3">
              <w:tab/>
            </w:r>
          </w:p>
        </w:tc>
        <w:tc>
          <w:tcPr>
            <w:tcW w:w="533" w:type="dxa"/>
            <w:vAlign w:val="bottom"/>
          </w:tcPr>
          <w:p w:rsidR="009C3BCD" w:rsidRDefault="009C3BCD">
            <w:pPr>
              <w:spacing w:after="120"/>
              <w:ind w:right="28"/>
              <w:jc w:val="right"/>
            </w:pPr>
            <w:r>
              <w:t>56</w:t>
            </w:r>
          </w:p>
        </w:tc>
      </w:tr>
      <w:tr w:rsidR="009C3BCD" w:rsidRPr="005810F3">
        <w:tblPrEx>
          <w:tblCellMar>
            <w:top w:w="0" w:type="dxa"/>
            <w:bottom w:w="0" w:type="dxa"/>
          </w:tblCellMar>
        </w:tblPrEx>
        <w:trPr>
          <w:cantSplit/>
        </w:trPr>
        <w:tc>
          <w:tcPr>
            <w:tcW w:w="9369" w:type="dxa"/>
            <w:gridSpan w:val="3"/>
          </w:tcPr>
          <w:p w:rsidR="009C3BCD" w:rsidRPr="005810F3" w:rsidRDefault="009C3BCD" w:rsidP="005810F3">
            <w:pPr>
              <w:tabs>
                <w:tab w:val="right" w:pos="1080"/>
                <w:tab w:val="right" w:leader="dot" w:pos="9371"/>
              </w:tabs>
              <w:spacing w:after="120"/>
              <w:ind w:left="1080"/>
              <w:rPr>
                <w:rFonts w:hint="eastAsia"/>
              </w:rPr>
            </w:pPr>
            <w:r w:rsidRPr="005810F3">
              <w:rPr>
                <w:rFonts w:hint="eastAsia"/>
              </w:rPr>
              <w:t>第13条：经济和社会福利</w:t>
            </w:r>
            <w:r w:rsidRPr="005810F3">
              <w:tab/>
            </w:r>
          </w:p>
        </w:tc>
        <w:tc>
          <w:tcPr>
            <w:tcW w:w="533" w:type="dxa"/>
            <w:vAlign w:val="bottom"/>
          </w:tcPr>
          <w:p w:rsidR="009C3BCD" w:rsidRDefault="009C3BCD">
            <w:pPr>
              <w:spacing w:after="120"/>
              <w:ind w:right="28"/>
              <w:jc w:val="right"/>
            </w:pPr>
            <w:r>
              <w:t>65</w:t>
            </w:r>
          </w:p>
        </w:tc>
      </w:tr>
      <w:tr w:rsidR="009C3BCD" w:rsidRPr="005810F3">
        <w:tblPrEx>
          <w:tblCellMar>
            <w:top w:w="0" w:type="dxa"/>
            <w:bottom w:w="0" w:type="dxa"/>
          </w:tblCellMar>
        </w:tblPrEx>
        <w:trPr>
          <w:cantSplit/>
        </w:trPr>
        <w:tc>
          <w:tcPr>
            <w:tcW w:w="9369" w:type="dxa"/>
            <w:gridSpan w:val="3"/>
          </w:tcPr>
          <w:p w:rsidR="009C3BCD" w:rsidRPr="005810F3" w:rsidRDefault="009C3BCD" w:rsidP="005810F3">
            <w:pPr>
              <w:tabs>
                <w:tab w:val="right" w:pos="1080"/>
                <w:tab w:val="right" w:leader="dot" w:pos="9371"/>
              </w:tabs>
              <w:spacing w:after="120"/>
              <w:ind w:left="1080"/>
              <w:rPr>
                <w:rFonts w:hint="eastAsia"/>
              </w:rPr>
            </w:pPr>
            <w:r w:rsidRPr="005810F3">
              <w:rPr>
                <w:rFonts w:hint="eastAsia"/>
              </w:rPr>
              <w:t>第14条：农村妇女</w:t>
            </w:r>
            <w:r w:rsidRPr="005810F3">
              <w:tab/>
            </w:r>
          </w:p>
        </w:tc>
        <w:tc>
          <w:tcPr>
            <w:tcW w:w="533" w:type="dxa"/>
            <w:vAlign w:val="bottom"/>
          </w:tcPr>
          <w:p w:rsidR="009C3BCD" w:rsidRDefault="009C3BCD">
            <w:pPr>
              <w:spacing w:after="120"/>
              <w:ind w:right="28"/>
              <w:jc w:val="right"/>
            </w:pPr>
            <w:r>
              <w:t>68</w:t>
            </w:r>
          </w:p>
        </w:tc>
      </w:tr>
      <w:tr w:rsidR="009C3BCD" w:rsidRPr="005810F3">
        <w:tblPrEx>
          <w:tblCellMar>
            <w:top w:w="0" w:type="dxa"/>
            <w:bottom w:w="0" w:type="dxa"/>
          </w:tblCellMar>
        </w:tblPrEx>
        <w:trPr>
          <w:cantSplit/>
        </w:trPr>
        <w:tc>
          <w:tcPr>
            <w:tcW w:w="9369" w:type="dxa"/>
            <w:gridSpan w:val="3"/>
          </w:tcPr>
          <w:p w:rsidR="009C3BCD" w:rsidRPr="005810F3" w:rsidRDefault="009C3BCD" w:rsidP="005810F3">
            <w:pPr>
              <w:tabs>
                <w:tab w:val="right" w:pos="1080"/>
                <w:tab w:val="right" w:leader="dot" w:pos="9371"/>
              </w:tabs>
              <w:spacing w:after="120"/>
              <w:ind w:left="1080"/>
              <w:rPr>
                <w:rFonts w:hint="eastAsia"/>
              </w:rPr>
            </w:pPr>
            <w:r w:rsidRPr="005810F3">
              <w:rPr>
                <w:rFonts w:hint="eastAsia"/>
              </w:rPr>
              <w:t>第15条：法律面前人人平等及民事事项</w:t>
            </w:r>
            <w:r w:rsidRPr="005810F3">
              <w:tab/>
            </w:r>
          </w:p>
        </w:tc>
        <w:tc>
          <w:tcPr>
            <w:tcW w:w="533" w:type="dxa"/>
            <w:vAlign w:val="bottom"/>
          </w:tcPr>
          <w:p w:rsidR="009C3BCD" w:rsidRDefault="009C3BCD">
            <w:pPr>
              <w:spacing w:after="120"/>
              <w:ind w:right="28"/>
              <w:jc w:val="right"/>
            </w:pPr>
            <w:r>
              <w:t>74</w:t>
            </w:r>
          </w:p>
        </w:tc>
      </w:tr>
      <w:tr w:rsidR="009C3BCD" w:rsidRPr="005810F3">
        <w:tblPrEx>
          <w:tblCellMar>
            <w:top w:w="0" w:type="dxa"/>
            <w:bottom w:w="0" w:type="dxa"/>
          </w:tblCellMar>
        </w:tblPrEx>
        <w:trPr>
          <w:cantSplit/>
        </w:trPr>
        <w:tc>
          <w:tcPr>
            <w:tcW w:w="9369" w:type="dxa"/>
            <w:gridSpan w:val="3"/>
          </w:tcPr>
          <w:p w:rsidR="009C3BCD" w:rsidRPr="005810F3" w:rsidRDefault="009C3BCD" w:rsidP="005810F3">
            <w:pPr>
              <w:tabs>
                <w:tab w:val="right" w:pos="1080"/>
                <w:tab w:val="right" w:leader="dot" w:pos="9371"/>
              </w:tabs>
              <w:spacing w:after="120"/>
              <w:ind w:left="1080"/>
              <w:rPr>
                <w:rFonts w:hint="eastAsia"/>
              </w:rPr>
            </w:pPr>
            <w:r w:rsidRPr="005810F3">
              <w:rPr>
                <w:rFonts w:hint="eastAsia"/>
              </w:rPr>
              <w:t>第16条：个人和家庭法</w:t>
            </w:r>
            <w:r w:rsidRPr="005810F3">
              <w:tab/>
            </w:r>
          </w:p>
        </w:tc>
        <w:tc>
          <w:tcPr>
            <w:tcW w:w="533" w:type="dxa"/>
            <w:vAlign w:val="bottom"/>
          </w:tcPr>
          <w:p w:rsidR="009C3BCD" w:rsidRDefault="009C3BCD">
            <w:pPr>
              <w:spacing w:after="120"/>
              <w:ind w:right="28"/>
              <w:jc w:val="right"/>
            </w:pPr>
            <w:r>
              <w:t>76</w:t>
            </w:r>
          </w:p>
        </w:tc>
      </w:tr>
    </w:tbl>
    <w:p w:rsidR="00D217A5" w:rsidRDefault="00D217A5"/>
    <w:p w:rsidR="00D217A5" w:rsidRDefault="00D217A5" w:rsidP="00D95D43">
      <w:pPr>
        <w:pStyle w:val="SingleTxt"/>
      </w:pPr>
    </w:p>
    <w:p w:rsidR="00D217A5" w:rsidRDefault="00D217A5" w:rsidP="00D95D4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tab/>
      </w:r>
      <w:r>
        <w:tab/>
      </w:r>
      <w:r>
        <w:rPr>
          <w:rFonts w:hint="eastAsia"/>
        </w:rPr>
        <w:t>简称</w:t>
      </w:r>
    </w:p>
    <w:p w:rsidR="00D217A5" w:rsidRPr="00F82231" w:rsidRDefault="00D217A5" w:rsidP="00D95D43">
      <w:pPr>
        <w:pStyle w:val="SingleTxt"/>
        <w:spacing w:after="0" w:line="120" w:lineRule="exact"/>
        <w:rPr>
          <w:sz w:val="10"/>
        </w:rPr>
      </w:pPr>
    </w:p>
    <w:p w:rsidR="00D217A5" w:rsidRPr="00F82231" w:rsidRDefault="00D217A5" w:rsidP="00D95D43">
      <w:pPr>
        <w:pStyle w:val="SingleTxt"/>
        <w:spacing w:after="0" w:line="120" w:lineRule="exact"/>
        <w:rPr>
          <w:rFonts w:hint="eastAsia"/>
          <w:sz w:val="10"/>
        </w:rPr>
      </w:pPr>
    </w:p>
    <w:p w:rsidR="00D217A5" w:rsidRDefault="00D217A5" w:rsidP="00D95D43">
      <w:pPr>
        <w:pStyle w:val="SingleTxt"/>
        <w:rPr>
          <w:rFonts w:hint="eastAsia"/>
        </w:rPr>
      </w:pPr>
      <w:r>
        <w:rPr>
          <w:rFonts w:hint="eastAsia"/>
        </w:rPr>
        <w:t>开发署</w:t>
      </w:r>
      <w:r>
        <w:rPr>
          <w:rFonts w:hint="eastAsia"/>
        </w:rPr>
        <w:tab/>
      </w:r>
      <w:r>
        <w:rPr>
          <w:rFonts w:hint="eastAsia"/>
        </w:rPr>
        <w:tab/>
        <w:t>联合国开发计划署</w:t>
      </w:r>
    </w:p>
    <w:p w:rsidR="00D217A5" w:rsidRDefault="00D217A5" w:rsidP="00D95D43">
      <w:pPr>
        <w:pStyle w:val="SingleTxt"/>
        <w:rPr>
          <w:rFonts w:hint="eastAsia"/>
        </w:rPr>
      </w:pPr>
      <w:r>
        <w:rPr>
          <w:rFonts w:hint="eastAsia"/>
        </w:rPr>
        <w:t>人口基金</w:t>
      </w:r>
      <w:r>
        <w:rPr>
          <w:rFonts w:hint="eastAsia"/>
        </w:rPr>
        <w:tab/>
      </w:r>
      <w:r>
        <w:rPr>
          <w:rFonts w:hint="eastAsia"/>
        </w:rPr>
        <w:tab/>
        <w:t>联合国人口基金</w:t>
      </w:r>
    </w:p>
    <w:p w:rsidR="00D217A5" w:rsidRDefault="00D217A5" w:rsidP="00D95D43">
      <w:pPr>
        <w:pStyle w:val="SingleTxt"/>
        <w:rPr>
          <w:rFonts w:hint="eastAsia"/>
        </w:rPr>
      </w:pPr>
      <w:r>
        <w:rPr>
          <w:rFonts w:hint="eastAsia"/>
        </w:rPr>
        <w:t>儿基会</w:t>
      </w:r>
      <w:r>
        <w:rPr>
          <w:rFonts w:hint="eastAsia"/>
        </w:rPr>
        <w:tab/>
      </w:r>
      <w:r>
        <w:rPr>
          <w:rFonts w:hint="eastAsia"/>
        </w:rPr>
        <w:tab/>
        <w:t>联合国儿童基金会</w:t>
      </w:r>
    </w:p>
    <w:p w:rsidR="00D217A5" w:rsidRDefault="00D217A5" w:rsidP="00D95D43">
      <w:pPr>
        <w:pStyle w:val="SingleTxt"/>
        <w:rPr>
          <w:rFonts w:hint="eastAsia"/>
        </w:rPr>
      </w:pPr>
      <w:r>
        <w:rPr>
          <w:rFonts w:hint="eastAsia"/>
        </w:rPr>
        <w:t>妇发基金</w:t>
      </w:r>
      <w:r>
        <w:rPr>
          <w:rFonts w:hint="eastAsia"/>
        </w:rPr>
        <w:tab/>
      </w:r>
      <w:r>
        <w:rPr>
          <w:rFonts w:hint="eastAsia"/>
        </w:rPr>
        <w:tab/>
        <w:t>联合国妇女发展基金</w:t>
      </w:r>
    </w:p>
    <w:p w:rsidR="00D217A5" w:rsidRDefault="00D217A5" w:rsidP="00D95D43">
      <w:pPr>
        <w:pStyle w:val="SingleTxt"/>
        <w:rPr>
          <w:rFonts w:hint="eastAsia"/>
        </w:rPr>
      </w:pPr>
      <w:r>
        <w:rPr>
          <w:rFonts w:hint="eastAsia"/>
        </w:rPr>
        <w:t>世卫组织</w:t>
      </w:r>
      <w:r>
        <w:rPr>
          <w:rFonts w:hint="eastAsia"/>
        </w:rPr>
        <w:tab/>
      </w:r>
      <w:r>
        <w:rPr>
          <w:rFonts w:hint="eastAsia"/>
        </w:rPr>
        <w:tab/>
        <w:t>世界卫生组织</w:t>
      </w:r>
    </w:p>
    <w:p w:rsidR="00D217A5" w:rsidRDefault="00D217A5" w:rsidP="00D95D43">
      <w:pPr>
        <w:pStyle w:val="SingleTxt"/>
      </w:pPr>
      <w:r>
        <w:t xml:space="preserve"> </w:t>
      </w:r>
    </w:p>
    <w:p w:rsidR="00D217A5" w:rsidRDefault="00D217A5" w:rsidP="00D95D4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tab/>
      </w:r>
      <w:r>
        <w:tab/>
      </w:r>
      <w:r>
        <w:rPr>
          <w:rFonts w:hint="eastAsia"/>
        </w:rPr>
        <w:t>前言</w:t>
      </w:r>
    </w:p>
    <w:p w:rsidR="00D217A5" w:rsidRPr="00F82231" w:rsidRDefault="00D217A5" w:rsidP="00D95D43">
      <w:pPr>
        <w:pStyle w:val="SingleTxt"/>
        <w:spacing w:after="0" w:line="120" w:lineRule="exact"/>
        <w:rPr>
          <w:rFonts w:hint="eastAsia"/>
          <w:sz w:val="10"/>
        </w:rPr>
      </w:pPr>
    </w:p>
    <w:p w:rsidR="00D217A5" w:rsidRPr="00F82231" w:rsidRDefault="00D217A5" w:rsidP="00D95D43">
      <w:pPr>
        <w:pStyle w:val="SingleTxt"/>
        <w:spacing w:after="0" w:line="120" w:lineRule="exact"/>
        <w:rPr>
          <w:rFonts w:hint="eastAsia"/>
          <w:sz w:val="10"/>
        </w:rPr>
      </w:pPr>
    </w:p>
    <w:p w:rsidR="00D217A5" w:rsidRDefault="00D217A5" w:rsidP="00D95D43">
      <w:pPr>
        <w:pStyle w:val="SingleTxt"/>
        <w:rPr>
          <w:rFonts w:hint="eastAsia"/>
        </w:rPr>
      </w:pPr>
      <w:r>
        <w:tab/>
      </w:r>
      <w:r>
        <w:rPr>
          <w:rFonts w:hint="eastAsia"/>
        </w:rPr>
        <w:t>我感谢有此机会介绍所罗门群岛关于《消除对妇女歧视公约》的本合并报告，它涵盖了第一、第二和第三次定期报告。</w:t>
      </w:r>
    </w:p>
    <w:p w:rsidR="00D217A5" w:rsidRDefault="00D217A5" w:rsidP="00D95D43">
      <w:pPr>
        <w:pStyle w:val="SingleTxt"/>
        <w:rPr>
          <w:rFonts w:hint="eastAsia"/>
        </w:rPr>
      </w:pPr>
      <w:r>
        <w:tab/>
      </w:r>
      <w:r>
        <w:rPr>
          <w:rFonts w:hint="eastAsia"/>
        </w:rPr>
        <w:t>所罗门群岛在成为《公约》缔约国十年后终于编写了本合并报告，这本身就是一个重要的里程碑。所罗门群岛是一个冲突后国家，紧张局势及其后果不可避免地推迟了本报告的编写。所罗门群岛政府在向联合国提交这种周密的研究报告所需的技术和财政能力方面具有局限性，这也是推迟按期编写三份报告的原因。然而，我们相信，经过编写本合并报告的艰苦过程，下一次报告的编写将会容易一些，因为我们从编写本报告所采取的步骤中获益匪浅。</w:t>
      </w:r>
    </w:p>
    <w:p w:rsidR="00D217A5" w:rsidRDefault="00D217A5" w:rsidP="00D95D43">
      <w:pPr>
        <w:pStyle w:val="SingleTxt"/>
        <w:rPr>
          <w:rFonts w:hint="eastAsia"/>
        </w:rPr>
      </w:pPr>
      <w:r>
        <w:tab/>
      </w:r>
      <w:r>
        <w:rPr>
          <w:rFonts w:hint="eastAsia"/>
        </w:rPr>
        <w:t>我们会认真对待这一报告的结果。政府认识到，《消除对妇女歧视公约》是一份重要的人权文书，可以确保增强妇女权能，推动性别平等。我们承认，我们对执行《公约》规定的义务有所疏忽，其代价是所罗门群岛人无法享有其权利和自由以及所有公民应该享受的和平共处和繁荣的生活。</w:t>
      </w:r>
    </w:p>
    <w:p w:rsidR="00D217A5" w:rsidRDefault="00D217A5" w:rsidP="00D95D43">
      <w:pPr>
        <w:pStyle w:val="SingleTxt"/>
        <w:rPr>
          <w:rFonts w:hint="eastAsia"/>
        </w:rPr>
      </w:pPr>
      <w:r>
        <w:tab/>
      </w:r>
      <w:r>
        <w:rPr>
          <w:rFonts w:hint="eastAsia"/>
        </w:rPr>
        <w:t>我们对迄今取得的成就感到自豪，并决心确保我们不会忽视需要立即得到重视的重要领域，包括必须系统地监测和评估在执行《公约》方面取得的进展。</w:t>
      </w:r>
    </w:p>
    <w:p w:rsidR="00D217A5" w:rsidRDefault="00D217A5" w:rsidP="00D95D43">
      <w:pPr>
        <w:pStyle w:val="SingleTxt"/>
        <w:rPr>
          <w:rFonts w:hint="eastAsia"/>
        </w:rPr>
      </w:pPr>
      <w:r>
        <w:tab/>
      </w:r>
      <w:r>
        <w:rPr>
          <w:rFonts w:hint="eastAsia"/>
        </w:rPr>
        <w:t>作为发展中国家，我们从发展伙伴的支持中获益甚多，它们帮助我们在执行《公约》方面取得进展。关于这一点，我想感谢妇女署与所罗门群岛政府结成伙伴关系，支付编写本合并报告的费用。《公约》的执行工作将继续受益于所罗门群岛政府与发展伙伴和各机构的伙伴关系。</w:t>
      </w:r>
    </w:p>
    <w:p w:rsidR="00D217A5" w:rsidRDefault="00D217A5" w:rsidP="00D95D43">
      <w:pPr>
        <w:pStyle w:val="SingleTxt"/>
        <w:rPr>
          <w:rFonts w:hint="eastAsia"/>
        </w:rPr>
      </w:pPr>
      <w:r>
        <w:tab/>
      </w:r>
      <w:r>
        <w:rPr>
          <w:rFonts w:hint="eastAsia"/>
        </w:rPr>
        <w:t>请允许我充满敬意地感谢联合国消除对妇女歧视委员会对我们所处困境的理解以及它的耐心。我还希望在当地翻译《公约》方面，请该委员会继续向所罗门群岛政府提供指导和支持。</w:t>
      </w:r>
    </w:p>
    <w:p w:rsidR="00D217A5" w:rsidRDefault="00D217A5" w:rsidP="00D95D43">
      <w:pPr>
        <w:pStyle w:val="SingleTxt"/>
        <w:rPr>
          <w:rFonts w:hint="eastAsia"/>
        </w:rPr>
      </w:pPr>
      <w:r>
        <w:tab/>
      </w:r>
      <w:r>
        <w:rPr>
          <w:rFonts w:hint="eastAsia"/>
        </w:rPr>
        <w:t>我们期待收到结论意见。上帝保佑所罗门群岛。</w:t>
      </w:r>
    </w:p>
    <w:p w:rsidR="00D217A5" w:rsidRDefault="00D217A5" w:rsidP="00D95D43">
      <w:pPr>
        <w:pStyle w:val="SingleTxt"/>
      </w:pPr>
    </w:p>
    <w:p w:rsidR="00D217A5" w:rsidRDefault="00D217A5" w:rsidP="00D95D43">
      <w:pPr>
        <w:pStyle w:val="SingleTxt"/>
        <w:rPr>
          <w:rFonts w:hint="eastAsia"/>
        </w:rPr>
      </w:pPr>
      <w:r>
        <w:tab/>
      </w:r>
      <w:r>
        <w:tab/>
      </w:r>
      <w:r>
        <w:tab/>
      </w:r>
      <w:r>
        <w:tab/>
      </w:r>
      <w:r>
        <w:tab/>
      </w:r>
      <w:r>
        <w:tab/>
      </w:r>
      <w:r>
        <w:tab/>
      </w:r>
      <w:r>
        <w:tab/>
      </w:r>
      <w:r>
        <w:tab/>
      </w:r>
      <w:r>
        <w:rPr>
          <w:rFonts w:hint="eastAsia"/>
        </w:rPr>
        <w:t>妇女、青年、儿童和家庭事务部</w:t>
      </w:r>
    </w:p>
    <w:p w:rsidR="00D217A5" w:rsidRDefault="00D217A5" w:rsidP="00D95D43">
      <w:pPr>
        <w:pStyle w:val="SingleTxt"/>
      </w:pPr>
      <w:r>
        <w:tab/>
      </w:r>
      <w:r>
        <w:tab/>
      </w:r>
      <w:r>
        <w:tab/>
      </w:r>
      <w:r>
        <w:tab/>
      </w:r>
      <w:r>
        <w:tab/>
      </w:r>
      <w:r>
        <w:tab/>
      </w:r>
      <w:r>
        <w:tab/>
      </w:r>
      <w:r>
        <w:tab/>
      </w:r>
      <w:r>
        <w:tab/>
      </w:r>
      <w:r>
        <w:rPr>
          <w:rFonts w:hint="eastAsia"/>
        </w:rPr>
        <w:t>彼得·</w:t>
      </w:r>
      <w:r w:rsidRPr="003112DC">
        <w:rPr>
          <w:rFonts w:ascii="SimHei" w:eastAsia="SimHei" w:hint="eastAsia"/>
        </w:rPr>
        <w:t>汤姆</w:t>
      </w:r>
      <w:r>
        <w:rPr>
          <w:rFonts w:hint="eastAsia"/>
        </w:rPr>
        <w:t>议员(</w:t>
      </w:r>
      <w:r w:rsidRPr="00F82231">
        <w:rPr>
          <w:rFonts w:ascii="KaiTi_GB2312" w:eastAsia="KaiTi_GB2312" w:hint="eastAsia"/>
        </w:rPr>
        <w:t>签名</w:t>
      </w:r>
      <w:r>
        <w:rPr>
          <w:rFonts w:hint="eastAsia"/>
        </w:rPr>
        <w:t>)</w:t>
      </w:r>
    </w:p>
    <w:p w:rsidR="00D217A5" w:rsidRDefault="00D217A5" w:rsidP="00D95D4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tab/>
      </w:r>
      <w:r>
        <w:tab/>
      </w:r>
      <w:r>
        <w:rPr>
          <w:rFonts w:hint="eastAsia"/>
        </w:rPr>
        <w:t>导言</w:t>
      </w:r>
    </w:p>
    <w:p w:rsidR="00D217A5" w:rsidRPr="00F82231" w:rsidRDefault="00D217A5" w:rsidP="00D95D43">
      <w:pPr>
        <w:pStyle w:val="SingleTxt"/>
        <w:spacing w:after="0" w:line="120" w:lineRule="exact"/>
        <w:rPr>
          <w:rFonts w:hint="eastAsia"/>
          <w:sz w:val="10"/>
        </w:rPr>
      </w:pPr>
    </w:p>
    <w:p w:rsidR="00D217A5" w:rsidRPr="00F82231" w:rsidRDefault="00D217A5" w:rsidP="00D95D43">
      <w:pPr>
        <w:pStyle w:val="SingleTxt"/>
        <w:spacing w:after="0" w:line="120" w:lineRule="exact"/>
        <w:rPr>
          <w:rFonts w:hint="eastAsia"/>
          <w:sz w:val="10"/>
        </w:rPr>
      </w:pPr>
    </w:p>
    <w:p w:rsidR="00D217A5" w:rsidRDefault="00D217A5" w:rsidP="00D95D43">
      <w:pPr>
        <w:pStyle w:val="SingleTxt"/>
        <w:rPr>
          <w:rFonts w:hint="eastAsia"/>
        </w:rPr>
      </w:pPr>
      <w:r>
        <w:tab/>
      </w:r>
      <w:r>
        <w:rPr>
          <w:rFonts w:hint="eastAsia"/>
        </w:rPr>
        <w:t>所罗门群岛政府于2002年5月6日加入《消除对妇女一切形式歧视公约》(《消除对妇女歧视公约》)。迄今没有就《公约》的执行情况提交过报告。</w:t>
      </w:r>
    </w:p>
    <w:p w:rsidR="00D217A5" w:rsidRDefault="00D217A5" w:rsidP="00D95D43">
      <w:pPr>
        <w:pStyle w:val="SingleTxt"/>
        <w:rPr>
          <w:rFonts w:hint="eastAsia"/>
        </w:rPr>
      </w:pPr>
      <w:r>
        <w:tab/>
      </w:r>
      <w:r>
        <w:rPr>
          <w:rFonts w:hint="eastAsia"/>
        </w:rPr>
        <w:t>1998年至2003年是所罗门群岛处境艰难的时期，国家陷入了所谓的两个族群之间的“族裔冲突”。这导致区域援助所罗门群岛特派团在2003年7月出面干涉。迄今，该特派团仍驻在所罗门群岛，并计划在2013年6月开始过渡阶段并进行缩编。</w:t>
      </w:r>
    </w:p>
    <w:p w:rsidR="00D217A5" w:rsidRDefault="00D217A5" w:rsidP="00D95D43">
      <w:pPr>
        <w:pStyle w:val="SingleTxt"/>
        <w:rPr>
          <w:rFonts w:hint="eastAsia"/>
        </w:rPr>
      </w:pPr>
      <w:r>
        <w:tab/>
      </w:r>
      <w:r>
        <w:rPr>
          <w:rFonts w:hint="eastAsia"/>
        </w:rPr>
        <w:t>族裔冲突不仅造成所罗门群岛政府的系统、程序和过程失效，而且更严重地</w:t>
      </w:r>
      <w:r w:rsidRPr="00103E5E">
        <w:rPr>
          <w:rFonts w:hint="eastAsia"/>
          <w:spacing w:val="-2"/>
        </w:rPr>
        <w:t>限制了其履行基本职能的普遍能力。因此，所罗门群岛没有完成第一次和第二次报告。本报告是根据《公约》第18条规定的义务提交的第一、第二和第三次合并定期报告。完成这一合并报告显示出所罗门群岛政府对继续改善妇女生活的承诺。</w:t>
      </w:r>
    </w:p>
    <w:p w:rsidR="00D217A5" w:rsidRDefault="00D217A5" w:rsidP="00D95D43">
      <w:pPr>
        <w:pStyle w:val="SingleTxt"/>
        <w:rPr>
          <w:rFonts w:hint="eastAsia"/>
        </w:rPr>
      </w:pPr>
      <w:r>
        <w:tab/>
      </w:r>
      <w:r>
        <w:rPr>
          <w:rFonts w:hint="eastAsia"/>
        </w:rPr>
        <w:t>尽管在执行《公约》方面遇到挫折，启动缓慢，但所罗门群岛政府在改善所罗门群岛妇女的生活方面取得重大进展。关于妇女权利的政策框架取得重大改善，正在为规定法律框架作出实质性努力。在这一过程中，对影响妇女的问题进行了重大社会研究，在这一研究的指导下，制定并执行了一些政府政策。2009年，完成了家庭健康和安全研究报告。这一研究报告为制定与妇女和暴力侵害妇女行为有关的新政策提供了基石。2010年，妇女、青年、儿童和家庭事务部启动了性别平等和妇女发展国家政策，以及消除暴力侵害妇女行为国家政策。这两项政策提供了妇女、青年、儿童和家庭事务部的方案和工作框架。性别平等和妇女发展国家政策是一项以《公约》为基础的全面政策，附带一项国家行动计划，旨在提高妇女在关键发展领域的地位，经确定，这些领域对改善所罗门群岛妇女的生活至关重要，包括教育和卫生、妇女参与经济、妇女参与决策、消除暴力侵害妇女行为以及把性别主流化作为贯穿所有领域的主题。消除暴力侵害妇女行为国家政策是所罗门群岛第一项此类政策。这些积极的步骤表明，所罗门群岛政府致力于执行《公约》和改善所罗门群岛妇女的生活。</w:t>
      </w:r>
    </w:p>
    <w:p w:rsidR="00D217A5" w:rsidRDefault="00D217A5" w:rsidP="00D95D43">
      <w:pPr>
        <w:pStyle w:val="SingleTxt"/>
        <w:rPr>
          <w:rFonts w:hint="eastAsia"/>
        </w:rPr>
      </w:pPr>
      <w:r>
        <w:tab/>
      </w:r>
      <w:r>
        <w:rPr>
          <w:rFonts w:hint="eastAsia"/>
        </w:rPr>
        <w:t>自所罗门群岛政府加入《公约》以来，女孩受教育的机会大大增加。小学中女孩与男孩的比率接近到几乎可以忽略不计。尽管在更高等的教育中仍有差异，但接受小学教育对女孩显然已经成为标准。实现这一重大改善的手段是持续制定教育政策和一以贯之地为教育部门分配资源。</w:t>
      </w:r>
    </w:p>
    <w:p w:rsidR="00D217A5" w:rsidRDefault="00D217A5" w:rsidP="00D95D43">
      <w:pPr>
        <w:pStyle w:val="SingleTxt"/>
        <w:rPr>
          <w:rFonts w:hint="eastAsia"/>
        </w:rPr>
      </w:pPr>
      <w:r>
        <w:tab/>
      </w:r>
      <w:r>
        <w:rPr>
          <w:rFonts w:hint="eastAsia"/>
        </w:rPr>
        <w:t>随着更多妇女能够得到产前保健服务和接生保健服务，妇女的健康也得到改善。由于所罗门群岛的地理位置，以及在农村地区发展基础设施费用高昂，向农村地区提供服务仍然是挑战。尽管如此，农村地区的妇女不仅包括大多数为维持生计而无报酬工作的工人，而且她们通过非正规渠道销售多数粮食产品，这是她们养家糊口的普通资金来源。</w:t>
      </w:r>
    </w:p>
    <w:p w:rsidR="00D217A5" w:rsidRDefault="00D217A5" w:rsidP="00D95D43">
      <w:pPr>
        <w:pStyle w:val="SingleTxt"/>
        <w:rPr>
          <w:rFonts w:hint="eastAsia"/>
        </w:rPr>
      </w:pPr>
      <w:r>
        <w:tab/>
      </w:r>
      <w:r>
        <w:rPr>
          <w:rFonts w:hint="eastAsia"/>
        </w:rPr>
        <w:t>所罗门群岛政府致力于制定消除家庭暴力的立法，并在2012年发展预算中为开展协商分配了预算。“妇女与和平与安全”国家行动计划的最后确定工作也在进行之中。在参与领导和决策领域，所罗门群岛政府承诺在国家议会中为妇女提供几个席位，目前已在为实现这些妇女席位寻求立法备选方案。</w:t>
      </w:r>
    </w:p>
    <w:p w:rsidR="00D217A5" w:rsidRDefault="00D217A5" w:rsidP="00D95D43">
      <w:pPr>
        <w:pStyle w:val="SingleTxt"/>
        <w:rPr>
          <w:rFonts w:hint="eastAsia"/>
        </w:rPr>
      </w:pPr>
      <w:r>
        <w:tab/>
      </w:r>
      <w:r>
        <w:rPr>
          <w:rFonts w:hint="eastAsia"/>
        </w:rPr>
        <w:t>作为所罗门群岛政府所作承诺的一部分，为提高妇女的经济地位和改善妇女的生活，目前已经制定和审查了一些授权和促进妇女参与的国家政策。</w:t>
      </w:r>
    </w:p>
    <w:p w:rsidR="00D217A5" w:rsidRDefault="00D217A5" w:rsidP="00D95D4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tab/>
      </w:r>
      <w:r>
        <w:rPr>
          <w:rFonts w:hint="eastAsia"/>
        </w:rPr>
        <w:t>第1条和第2条：歧视的定义和消除对妇女歧视的义务</w:t>
      </w:r>
    </w:p>
    <w:p w:rsidR="00D217A5" w:rsidRPr="00F82231" w:rsidRDefault="00D217A5" w:rsidP="00D95D43">
      <w:pPr>
        <w:pStyle w:val="SingleTxt"/>
        <w:spacing w:after="0" w:line="120" w:lineRule="exact"/>
        <w:rPr>
          <w:rFonts w:hint="eastAsia"/>
          <w:sz w:val="10"/>
        </w:rPr>
      </w:pPr>
    </w:p>
    <w:p w:rsidR="00D217A5" w:rsidRDefault="00D217A5" w:rsidP="00D95D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法律背景</w:t>
      </w:r>
    </w:p>
    <w:p w:rsidR="00D217A5" w:rsidRPr="00F82231" w:rsidRDefault="00D217A5" w:rsidP="00D95D43">
      <w:pPr>
        <w:pStyle w:val="SingleTxt"/>
        <w:spacing w:after="0" w:line="120" w:lineRule="exact"/>
        <w:rPr>
          <w:rFonts w:hint="eastAsia"/>
          <w:sz w:val="10"/>
        </w:rPr>
      </w:pPr>
    </w:p>
    <w:p w:rsidR="00D217A5" w:rsidRDefault="00D217A5" w:rsidP="00D95D43">
      <w:pPr>
        <w:pStyle w:val="SingleTxt"/>
        <w:rPr>
          <w:rFonts w:hint="eastAsia"/>
        </w:rPr>
      </w:pPr>
      <w:r>
        <w:rPr>
          <w:rFonts w:hint="eastAsia"/>
        </w:rPr>
        <w:t>1.</w:t>
      </w:r>
      <w:r w:rsidR="00D95D43">
        <w:tab/>
      </w:r>
      <w:r>
        <w:rPr>
          <w:rFonts w:hint="eastAsia"/>
        </w:rPr>
        <w:t>《宪法》是所罗门群岛至高无上的法律。第2章载有一项权利法案，提供了授予所有公民的个人权利清单。《宪法》第3条保障所有公民的基本权利和自由，无论其种族、出生地、政治见解、肤色、信仰或性别。这些权利和自由受到公共利益及他人权利和自由的制约。因此，如果法院认为拒绝给予这些权利和自由符合公众的利益，它们有这样做的斟酌决定权。</w:t>
      </w:r>
    </w:p>
    <w:p w:rsidR="00D217A5" w:rsidRDefault="00D217A5" w:rsidP="00D95D43">
      <w:pPr>
        <w:pStyle w:val="SingleTxt"/>
        <w:rPr>
          <w:rFonts w:hint="eastAsia"/>
        </w:rPr>
      </w:pPr>
      <w:r>
        <w:rPr>
          <w:rFonts w:hint="eastAsia"/>
        </w:rPr>
        <w:t>2.</w:t>
      </w:r>
      <w:r w:rsidR="00D95D43">
        <w:tab/>
      </w:r>
      <w:r>
        <w:rPr>
          <w:rFonts w:hint="eastAsia"/>
        </w:rPr>
        <w:t>《宪法》第4条至第15条规定保护个人权利和自由。规定的具体权利和自由包括：</w:t>
      </w:r>
    </w:p>
    <w:p w:rsidR="00D217A5" w:rsidRDefault="00D217A5" w:rsidP="00D95D43">
      <w:pPr>
        <w:pStyle w:val="SingleTxt"/>
        <w:ind w:left="1695"/>
        <w:rPr>
          <w:rFonts w:hint="eastAsia"/>
        </w:rPr>
      </w:pPr>
      <w:r>
        <w:rPr>
          <w:rFonts w:hint="eastAsia"/>
        </w:rPr>
        <w:t>a.</w:t>
      </w:r>
      <w:r>
        <w:rPr>
          <w:rFonts w:hint="eastAsia"/>
        </w:rPr>
        <w:tab/>
        <w:t>保护生命权——第4条</w:t>
      </w:r>
    </w:p>
    <w:p w:rsidR="00D217A5" w:rsidRDefault="00D217A5" w:rsidP="00D95D43">
      <w:pPr>
        <w:pStyle w:val="SingleTxt"/>
        <w:ind w:left="1695"/>
        <w:rPr>
          <w:rFonts w:hint="eastAsia"/>
        </w:rPr>
      </w:pPr>
      <w:r>
        <w:rPr>
          <w:rFonts w:hint="eastAsia"/>
        </w:rPr>
        <w:t>b.</w:t>
      </w:r>
      <w:r>
        <w:rPr>
          <w:rFonts w:hint="eastAsia"/>
        </w:rPr>
        <w:tab/>
        <w:t>保护人身自由权——第5条</w:t>
      </w:r>
    </w:p>
    <w:p w:rsidR="00D217A5" w:rsidRDefault="00D217A5" w:rsidP="00D95D43">
      <w:pPr>
        <w:pStyle w:val="SingleTxt"/>
        <w:ind w:left="1695"/>
        <w:rPr>
          <w:rFonts w:hint="eastAsia"/>
        </w:rPr>
      </w:pPr>
      <w:r>
        <w:rPr>
          <w:rFonts w:hint="eastAsia"/>
        </w:rPr>
        <w:t>c.</w:t>
      </w:r>
      <w:r>
        <w:rPr>
          <w:rFonts w:hint="eastAsia"/>
        </w:rPr>
        <w:tab/>
        <w:t>保护免遭奴役和强迫劳动——第6条</w:t>
      </w:r>
    </w:p>
    <w:p w:rsidR="00D217A5" w:rsidRDefault="00D217A5" w:rsidP="00D95D43">
      <w:pPr>
        <w:pStyle w:val="SingleTxt"/>
        <w:ind w:left="1695"/>
        <w:rPr>
          <w:rFonts w:hint="eastAsia"/>
        </w:rPr>
      </w:pPr>
      <w:r>
        <w:rPr>
          <w:rFonts w:hint="eastAsia"/>
        </w:rPr>
        <w:t>d.</w:t>
      </w:r>
      <w:r>
        <w:rPr>
          <w:rFonts w:hint="eastAsia"/>
        </w:rPr>
        <w:tab/>
        <w:t>保护免遭非人待遇——第7条</w:t>
      </w:r>
    </w:p>
    <w:p w:rsidR="00D217A5" w:rsidRDefault="00D217A5" w:rsidP="00D95D43">
      <w:pPr>
        <w:pStyle w:val="SingleTxt"/>
        <w:ind w:left="1695"/>
        <w:rPr>
          <w:rFonts w:hint="eastAsia"/>
        </w:rPr>
      </w:pPr>
      <w:r>
        <w:rPr>
          <w:rFonts w:hint="eastAsia"/>
        </w:rPr>
        <w:t>e.</w:t>
      </w:r>
      <w:r>
        <w:rPr>
          <w:rFonts w:hint="eastAsia"/>
        </w:rPr>
        <w:tab/>
        <w:t>保护财产免遭剥夺——第8条</w:t>
      </w:r>
    </w:p>
    <w:p w:rsidR="00D217A5" w:rsidRDefault="00D217A5" w:rsidP="00D95D43">
      <w:pPr>
        <w:pStyle w:val="SingleTxt"/>
        <w:ind w:left="1695"/>
        <w:rPr>
          <w:rFonts w:hint="eastAsia"/>
        </w:rPr>
      </w:pPr>
      <w:r>
        <w:rPr>
          <w:rFonts w:hint="eastAsia"/>
        </w:rPr>
        <w:t>f.</w:t>
      </w:r>
      <w:r>
        <w:rPr>
          <w:rFonts w:hint="eastAsia"/>
        </w:rPr>
        <w:tab/>
        <w:t>保护私人住宅和其他财产——第9条</w:t>
      </w:r>
    </w:p>
    <w:p w:rsidR="00D217A5" w:rsidRDefault="00D217A5" w:rsidP="00D95D43">
      <w:pPr>
        <w:pStyle w:val="SingleTxt"/>
        <w:ind w:left="1695"/>
        <w:rPr>
          <w:rFonts w:hint="eastAsia"/>
        </w:rPr>
      </w:pPr>
      <w:r>
        <w:rPr>
          <w:rFonts w:hint="eastAsia"/>
        </w:rPr>
        <w:t>g.</w:t>
      </w:r>
      <w:r>
        <w:rPr>
          <w:rFonts w:hint="eastAsia"/>
        </w:rPr>
        <w:tab/>
        <w:t>保护法律——第10条</w:t>
      </w:r>
    </w:p>
    <w:p w:rsidR="00D217A5" w:rsidRDefault="00D217A5" w:rsidP="00D95D43">
      <w:pPr>
        <w:pStyle w:val="SingleTxt"/>
        <w:ind w:left="1695"/>
        <w:rPr>
          <w:rFonts w:hint="eastAsia"/>
        </w:rPr>
      </w:pPr>
      <w:r>
        <w:rPr>
          <w:rFonts w:hint="eastAsia"/>
        </w:rPr>
        <w:t>h.</w:t>
      </w:r>
      <w:r>
        <w:rPr>
          <w:rFonts w:hint="eastAsia"/>
        </w:rPr>
        <w:tab/>
        <w:t>保护良心自由——第11条</w:t>
      </w:r>
    </w:p>
    <w:p w:rsidR="00D217A5" w:rsidRDefault="00D217A5" w:rsidP="00D95D43">
      <w:pPr>
        <w:pStyle w:val="SingleTxt"/>
        <w:ind w:left="1695"/>
        <w:rPr>
          <w:rFonts w:hint="eastAsia"/>
        </w:rPr>
      </w:pPr>
      <w:r>
        <w:rPr>
          <w:rFonts w:hint="eastAsia"/>
        </w:rPr>
        <w:t>i.</w:t>
      </w:r>
      <w:r>
        <w:rPr>
          <w:rFonts w:hint="eastAsia"/>
        </w:rPr>
        <w:tab/>
        <w:t>保护表达自由——第12条</w:t>
      </w:r>
    </w:p>
    <w:p w:rsidR="00D217A5" w:rsidRDefault="00D217A5" w:rsidP="00D95D43">
      <w:pPr>
        <w:pStyle w:val="SingleTxt"/>
        <w:ind w:left="1695"/>
        <w:rPr>
          <w:rFonts w:hint="eastAsia"/>
        </w:rPr>
      </w:pPr>
      <w:r>
        <w:rPr>
          <w:rFonts w:hint="eastAsia"/>
        </w:rPr>
        <w:t>j.</w:t>
      </w:r>
      <w:r>
        <w:rPr>
          <w:rFonts w:hint="eastAsia"/>
        </w:rPr>
        <w:tab/>
        <w:t>保护集会和结社自由——第13条</w:t>
      </w:r>
    </w:p>
    <w:p w:rsidR="00D217A5" w:rsidRDefault="00D217A5" w:rsidP="00D95D43">
      <w:pPr>
        <w:pStyle w:val="SingleTxt"/>
        <w:ind w:left="1695"/>
        <w:rPr>
          <w:rFonts w:hint="eastAsia"/>
        </w:rPr>
      </w:pPr>
      <w:r>
        <w:rPr>
          <w:rFonts w:hint="eastAsia"/>
        </w:rPr>
        <w:t>k.</w:t>
      </w:r>
      <w:r>
        <w:rPr>
          <w:rFonts w:hint="eastAsia"/>
        </w:rPr>
        <w:tab/>
        <w:t>保护行动自由——第14条</w:t>
      </w:r>
    </w:p>
    <w:p w:rsidR="00D217A5" w:rsidRDefault="00D217A5" w:rsidP="00D95D43">
      <w:pPr>
        <w:pStyle w:val="SingleTxt"/>
        <w:ind w:left="1695"/>
        <w:rPr>
          <w:rFonts w:hint="eastAsia"/>
        </w:rPr>
      </w:pPr>
      <w:r>
        <w:rPr>
          <w:rFonts w:hint="eastAsia"/>
        </w:rPr>
        <w:t>l.</w:t>
      </w:r>
      <w:r>
        <w:rPr>
          <w:rFonts w:hint="eastAsia"/>
        </w:rPr>
        <w:tab/>
        <w:t>免遭歧视——第15条</w:t>
      </w:r>
    </w:p>
    <w:p w:rsidR="00D217A5" w:rsidRDefault="00D217A5" w:rsidP="00D95D43">
      <w:pPr>
        <w:pStyle w:val="SingleTxt"/>
        <w:rPr>
          <w:rFonts w:hint="eastAsia"/>
        </w:rPr>
      </w:pPr>
      <w:r>
        <w:rPr>
          <w:rFonts w:hint="eastAsia"/>
        </w:rPr>
        <w:t>3.</w:t>
      </w:r>
      <w:r w:rsidR="00D95D43">
        <w:tab/>
      </w:r>
      <w:r>
        <w:rPr>
          <w:rFonts w:hint="eastAsia"/>
        </w:rPr>
        <w:t>《宪法》通过附则3第3条给予习惯法法律地位。它规定：</w:t>
      </w:r>
    </w:p>
    <w:p w:rsidR="00D217A5" w:rsidRDefault="00D217A5" w:rsidP="00D95D43">
      <w:pPr>
        <w:pStyle w:val="SingleTxt"/>
        <w:ind w:left="1695"/>
        <w:rPr>
          <w:rFonts w:hint="eastAsia"/>
        </w:rPr>
      </w:pPr>
      <w:r>
        <w:rPr>
          <w:rFonts w:hint="eastAsia"/>
        </w:rPr>
        <w:t>1.</w:t>
      </w:r>
      <w:r w:rsidR="00175EBC">
        <w:tab/>
      </w:r>
      <w:r>
        <w:rPr>
          <w:rFonts w:hint="eastAsia"/>
        </w:rPr>
        <w:t>“根据本款，习惯法具有作为所罗门群岛法律一部分的效力。</w:t>
      </w:r>
    </w:p>
    <w:p w:rsidR="00D217A5" w:rsidRDefault="00D217A5" w:rsidP="00D95D43">
      <w:pPr>
        <w:pStyle w:val="SingleTxt"/>
        <w:ind w:left="1695"/>
        <w:rPr>
          <w:rFonts w:hint="eastAsia"/>
        </w:rPr>
      </w:pPr>
      <w:r>
        <w:rPr>
          <w:rFonts w:hint="eastAsia"/>
        </w:rPr>
        <w:t>2.</w:t>
      </w:r>
      <w:r>
        <w:rPr>
          <w:rFonts w:hint="eastAsia"/>
        </w:rPr>
        <w:tab/>
        <w:t>前一分款不得适用于任何不符合本《宪法》或议会法令的习惯法以及习惯法不符合本《宪法》或议会法令之处。</w:t>
      </w:r>
    </w:p>
    <w:p w:rsidR="00D217A5" w:rsidRDefault="00D217A5" w:rsidP="00D95D43">
      <w:pPr>
        <w:pStyle w:val="SingleTxt"/>
        <w:ind w:left="1695"/>
        <w:rPr>
          <w:rFonts w:hint="eastAsia"/>
        </w:rPr>
      </w:pPr>
      <w:r>
        <w:rPr>
          <w:rFonts w:hint="eastAsia"/>
        </w:rPr>
        <w:t>3.</w:t>
      </w:r>
      <w:r>
        <w:rPr>
          <w:rFonts w:hint="eastAsia"/>
        </w:rPr>
        <w:tab/>
        <w:t>议会法令可以：</w:t>
      </w:r>
    </w:p>
    <w:p w:rsidR="00D217A5" w:rsidRDefault="00D217A5" w:rsidP="00D95D43">
      <w:pPr>
        <w:pStyle w:val="SingleTxt"/>
        <w:ind w:left="2126"/>
        <w:rPr>
          <w:rFonts w:hint="eastAsia"/>
        </w:rPr>
      </w:pPr>
      <w:r>
        <w:rPr>
          <w:rFonts w:hint="eastAsia"/>
        </w:rPr>
        <w:t>a.</w:t>
      </w:r>
      <w:r w:rsidR="00175EBC">
        <w:tab/>
      </w:r>
      <w:r>
        <w:rPr>
          <w:rFonts w:hint="eastAsia"/>
        </w:rPr>
        <w:t>规定习惯法的举证和申诉用于任何目的；</w:t>
      </w:r>
    </w:p>
    <w:p w:rsidR="00D217A5" w:rsidRDefault="00D217A5" w:rsidP="00D95D43">
      <w:pPr>
        <w:pStyle w:val="SingleTxt"/>
        <w:ind w:left="2126"/>
        <w:rPr>
          <w:rFonts w:hint="eastAsia"/>
        </w:rPr>
      </w:pPr>
      <w:r>
        <w:rPr>
          <w:rFonts w:hint="eastAsia"/>
        </w:rPr>
        <w:t>b.</w:t>
      </w:r>
      <w:r w:rsidR="00175EBC">
        <w:tab/>
      </w:r>
      <w:r>
        <w:rPr>
          <w:rFonts w:hint="eastAsia"/>
        </w:rPr>
        <w:t>规定承认习惯法的方式和目的；</w:t>
      </w:r>
    </w:p>
    <w:p w:rsidR="00D217A5" w:rsidRDefault="00D217A5" w:rsidP="00D95D43">
      <w:pPr>
        <w:pStyle w:val="SingleTxt"/>
        <w:ind w:left="2126"/>
        <w:rPr>
          <w:rFonts w:hint="eastAsia"/>
        </w:rPr>
      </w:pPr>
      <w:r>
        <w:rPr>
          <w:rFonts w:hint="eastAsia"/>
        </w:rPr>
        <w:t>c.</w:t>
      </w:r>
      <w:r w:rsidR="00175EBC">
        <w:tab/>
      </w:r>
      <w:r>
        <w:rPr>
          <w:rFonts w:hint="eastAsia"/>
        </w:rPr>
        <w:t>规定习惯法的冲突解决办法。”</w:t>
      </w:r>
    </w:p>
    <w:p w:rsidR="00D217A5" w:rsidRDefault="00D217A5" w:rsidP="00D95D43">
      <w:pPr>
        <w:pStyle w:val="SingleTxt"/>
        <w:rPr>
          <w:rFonts w:hint="eastAsia"/>
        </w:rPr>
      </w:pPr>
      <w:r>
        <w:rPr>
          <w:rFonts w:hint="eastAsia"/>
        </w:rPr>
        <w:t>4.</w:t>
      </w:r>
      <w:r w:rsidR="00D95D43">
        <w:tab/>
      </w:r>
      <w:r>
        <w:rPr>
          <w:rFonts w:hint="eastAsia"/>
        </w:rPr>
        <w:t>《宪法》第2条规定，《宪法》是所罗门群岛的最高法律，与其不一致的任何其他法律就其不一致而言都应无效。这一但书适用于习惯法，除非《宪法》规定了其他例外理由。</w:t>
      </w:r>
    </w:p>
    <w:p w:rsidR="00D217A5" w:rsidRDefault="00D217A5" w:rsidP="00D95D43">
      <w:pPr>
        <w:pStyle w:val="SingleTxt"/>
        <w:rPr>
          <w:rFonts w:hint="eastAsia"/>
        </w:rPr>
      </w:pPr>
      <w:r>
        <w:rPr>
          <w:rFonts w:hint="eastAsia"/>
        </w:rPr>
        <w:t>5.</w:t>
      </w:r>
      <w:r w:rsidR="00D95D43">
        <w:tab/>
      </w:r>
      <w:r>
        <w:rPr>
          <w:rFonts w:hint="eastAsia"/>
        </w:rPr>
        <w:t>《宪法》中没有保障男女实质上平等</w:t>
      </w:r>
      <w:r w:rsidRPr="00D95D43">
        <w:rPr>
          <w:rStyle w:val="FootnoteReference"/>
        </w:rPr>
        <w:footnoteReference w:id="1"/>
      </w:r>
      <w:r>
        <w:rPr>
          <w:rFonts w:hint="eastAsia"/>
        </w:rPr>
        <w:t xml:space="preserve"> 的条款。《宪法》也没有规定享有可达到的最高水准身心健康权利的保障。然而，《宪法》确实含有一项反对以性别为由进行歧视的条款。《宪法》第15条禁止因性别给予不同的人不同待遇，使其遭受同类人没有遭受的不利条件或限制，或获得同类人未获得的特权或有利条件。</w:t>
      </w:r>
    </w:p>
    <w:p w:rsidR="00D217A5" w:rsidRDefault="00D217A5" w:rsidP="00D95D43">
      <w:pPr>
        <w:pStyle w:val="SingleTxt"/>
        <w:rPr>
          <w:rFonts w:hint="eastAsia"/>
        </w:rPr>
      </w:pPr>
      <w:r>
        <w:rPr>
          <w:rFonts w:hint="eastAsia"/>
        </w:rPr>
        <w:t>6.</w:t>
      </w:r>
      <w:r>
        <w:rPr>
          <w:rFonts w:hint="eastAsia"/>
        </w:rPr>
        <w:tab/>
        <w:t>然而，第15条对与适用习惯法有关的法律提供了例外。第15条(1)规定，任何法律不得作出本身具有歧视性或具有歧视性效果的规定。这一点受到一些例外的制约，包括列入第15条(5)中的例外，即对任何规定适用习惯法的法律免于适用第15条(1)。习惯法的适用往往对妇女具有歧视性。因此，《宪法》第15条对基于习惯法的歧视提供了例外。《宪法》中没有在与习惯法冲突的情况下优先保障平等的规定。</w:t>
      </w:r>
    </w:p>
    <w:p w:rsidR="00D217A5" w:rsidRDefault="00D217A5" w:rsidP="00D95D43">
      <w:pPr>
        <w:pStyle w:val="SingleTxt"/>
        <w:rPr>
          <w:rFonts w:hint="eastAsia"/>
        </w:rPr>
      </w:pPr>
      <w:r>
        <w:rPr>
          <w:rFonts w:hint="eastAsia"/>
        </w:rPr>
        <w:t>7.</w:t>
      </w:r>
      <w:r w:rsidR="00D95D43">
        <w:tab/>
      </w:r>
      <w:r>
        <w:rPr>
          <w:rFonts w:hint="eastAsia"/>
        </w:rPr>
        <w:t>《宪法》中没有反对以婚姻状况、性取向、感染艾滋病毒或健康状况或残疾为由进行歧视的条款。在不同的议会法令</w:t>
      </w:r>
      <w:r w:rsidRPr="00D95D43">
        <w:rPr>
          <w:rStyle w:val="FootnoteReference"/>
        </w:rPr>
        <w:footnoteReference w:id="2"/>
      </w:r>
      <w:r>
        <w:rPr>
          <w:rFonts w:hint="eastAsia"/>
        </w:rPr>
        <w:t xml:space="preserve"> 中，存在因其中一些理由歧视妇女的条款。例如，《岛民离婚法》第18条规定：</w:t>
      </w:r>
    </w:p>
    <w:p w:rsidR="00D217A5" w:rsidRDefault="00D217A5" w:rsidP="00D95D43">
      <w:pPr>
        <w:pStyle w:val="SingleTxt"/>
        <w:ind w:left="1695"/>
        <w:rPr>
          <w:rFonts w:hint="eastAsia"/>
        </w:rPr>
      </w:pPr>
      <w:r>
        <w:tab/>
      </w:r>
      <w:r>
        <w:rPr>
          <w:rFonts w:hint="eastAsia"/>
        </w:rPr>
        <w:t>“</w:t>
      </w:r>
      <w:r w:rsidRPr="00103E5E">
        <w:rPr>
          <w:rFonts w:ascii="KaiTi_GB2312" w:eastAsia="KaiTi_GB2312" w:hint="eastAsia"/>
          <w:spacing w:val="-2"/>
        </w:rPr>
        <w:t>丈夫可在离婚申请或法定分居中宣称因另一人与申请者妻子通奸而受到损害</w:t>
      </w:r>
      <w:r>
        <w:rPr>
          <w:rFonts w:hint="eastAsia"/>
        </w:rPr>
        <w:t>。”</w:t>
      </w:r>
    </w:p>
    <w:p w:rsidR="00D217A5" w:rsidRDefault="00D217A5" w:rsidP="00D95D43">
      <w:pPr>
        <w:pStyle w:val="SingleTxt"/>
        <w:rPr>
          <w:rFonts w:hint="eastAsia"/>
        </w:rPr>
      </w:pPr>
      <w:r>
        <w:rPr>
          <w:rFonts w:hint="eastAsia"/>
        </w:rPr>
        <w:t>8.</w:t>
      </w:r>
      <w:r>
        <w:rPr>
          <w:rFonts w:hint="eastAsia"/>
        </w:rPr>
        <w:tab/>
        <w:t>这一条款强化了妻子是丈夫财产的陈规定型观念，因而构成对妇女的歧视。</w:t>
      </w:r>
    </w:p>
    <w:p w:rsidR="00D217A5" w:rsidRDefault="00D217A5" w:rsidP="00D95D43">
      <w:pPr>
        <w:pStyle w:val="SingleTxt"/>
        <w:rPr>
          <w:rFonts w:hint="eastAsia"/>
        </w:rPr>
      </w:pPr>
      <w:r>
        <w:rPr>
          <w:rFonts w:hint="eastAsia"/>
        </w:rPr>
        <w:t>9.</w:t>
      </w:r>
      <w:r>
        <w:rPr>
          <w:rFonts w:hint="eastAsia"/>
        </w:rPr>
        <w:tab/>
        <w:t>《宪法》第15条所载关于歧视的定义规定，“法律无论本身或其效果都不得具有歧视性”。延伸至法律效果在间接及直接歧视方面提供了行动能力。然而，这一规定仅适用于法律的效果，而不适用于个人或组织的行动。</w:t>
      </w:r>
    </w:p>
    <w:p w:rsidR="00D217A5" w:rsidRDefault="00D217A5" w:rsidP="00D95D43">
      <w:pPr>
        <w:pStyle w:val="SingleTxt"/>
        <w:rPr>
          <w:rFonts w:hint="eastAsia"/>
        </w:rPr>
      </w:pPr>
      <w:r>
        <w:rPr>
          <w:rFonts w:hint="eastAsia"/>
        </w:rPr>
        <w:t>10.</w:t>
      </w:r>
      <w:r>
        <w:rPr>
          <w:rFonts w:hint="eastAsia"/>
        </w:rPr>
        <w:tab/>
        <w:t>通过《宪法》第15条(1)和15条(2)，反歧视条款对公共当局和机构具有约束力。私营机构和个人为妇女提供了一些反歧视的保护。但这些保护非常有限，涉及很窄的日常生活领域。第15条(3)规定：</w:t>
      </w:r>
    </w:p>
    <w:p w:rsidR="00D217A5" w:rsidRPr="00F82231" w:rsidRDefault="00D217A5" w:rsidP="00D95D43">
      <w:pPr>
        <w:pStyle w:val="SingleTxt"/>
        <w:ind w:left="1695"/>
        <w:rPr>
          <w:rFonts w:ascii="KaiTi_GB2312" w:eastAsia="KaiTi_GB2312" w:hint="eastAsia"/>
        </w:rPr>
      </w:pPr>
      <w:r>
        <w:rPr>
          <w:rFonts w:ascii="Times New Roman" w:eastAsia="KaiTi_GB2312"/>
        </w:rPr>
        <w:tab/>
      </w:r>
      <w:r w:rsidRPr="00F82231">
        <w:rPr>
          <w:rFonts w:ascii="KaiTi_GB2312" w:eastAsia="KaiTi_GB2312" w:hint="eastAsia"/>
        </w:rPr>
        <w:t>“就出入商店、旅馆、客栈、公共餐馆、食堂或公共娱乐场所，或出入全部或部分由公共资金维持或专供大众使用的公共场所而言，任何人不得受到歧视对待。”</w:t>
      </w:r>
    </w:p>
    <w:p w:rsidR="00D217A5" w:rsidRDefault="00D217A5" w:rsidP="00D95D43">
      <w:pPr>
        <w:pStyle w:val="SingleTxt"/>
        <w:rPr>
          <w:rFonts w:hint="eastAsia"/>
        </w:rPr>
      </w:pPr>
      <w:r>
        <w:rPr>
          <w:rFonts w:hint="eastAsia"/>
        </w:rPr>
        <w:t>11.</w:t>
      </w:r>
      <w:r w:rsidR="00D95D43">
        <w:tab/>
      </w:r>
      <w:r>
        <w:rPr>
          <w:rFonts w:hint="eastAsia"/>
        </w:rPr>
        <w:t>《宪法》第18条规定，任何人声称《宪法》第1条至第16条所规定的保护受到违反，都可向高等法院申请纠正。高等法院宣布命令、发布令状和下达指示来实施和保护权利。根据第17条，权利或自由受到侵犯者可向应对侵犯行为负责的个人或组织索取赔偿。</w:t>
      </w:r>
    </w:p>
    <w:p w:rsidR="00D217A5" w:rsidRDefault="00D217A5" w:rsidP="00D95D43">
      <w:pPr>
        <w:pStyle w:val="SingleTxt"/>
        <w:rPr>
          <w:rFonts w:hint="eastAsia"/>
        </w:rPr>
      </w:pPr>
      <w:r>
        <w:rPr>
          <w:rFonts w:hint="eastAsia"/>
        </w:rPr>
        <w:t>12.</w:t>
      </w:r>
      <w:r>
        <w:rPr>
          <w:rFonts w:hint="eastAsia"/>
        </w:rPr>
        <w:tab/>
        <w:t>所罗门群岛没有单独的反歧视立法。</w:t>
      </w:r>
    </w:p>
    <w:p w:rsidR="00D217A5" w:rsidRDefault="00D217A5" w:rsidP="00D95D43">
      <w:pPr>
        <w:pStyle w:val="SingleTxt"/>
        <w:rPr>
          <w:rFonts w:hint="eastAsia"/>
        </w:rPr>
      </w:pPr>
      <w:r>
        <w:rPr>
          <w:rFonts w:hint="eastAsia"/>
        </w:rPr>
        <w:t>13.</w:t>
      </w:r>
      <w:r w:rsidR="00D95D43">
        <w:tab/>
      </w:r>
      <w:r>
        <w:rPr>
          <w:rFonts w:hint="eastAsia"/>
        </w:rPr>
        <w:t>《所罗门群岛公务员行为守则》规定了以下关于歧视的定义：</w:t>
      </w:r>
    </w:p>
    <w:p w:rsidR="00D217A5" w:rsidRPr="00F82231" w:rsidRDefault="00D217A5" w:rsidP="00D95D43">
      <w:pPr>
        <w:pStyle w:val="SingleTxt"/>
        <w:ind w:left="1695"/>
        <w:rPr>
          <w:rFonts w:ascii="KaiTi_GB2312" w:eastAsia="KaiTi_GB2312" w:hint="eastAsia"/>
        </w:rPr>
      </w:pPr>
      <w:r>
        <w:rPr>
          <w:rFonts w:ascii="Times New Roman" w:eastAsia="KaiTi_GB2312"/>
        </w:rPr>
        <w:tab/>
      </w:r>
      <w:r w:rsidRPr="00F82231">
        <w:rPr>
          <w:rFonts w:ascii="KaiTi_GB2312" w:eastAsia="KaiTi_GB2312" w:hint="eastAsia"/>
        </w:rPr>
        <w:t>“歧视</w:t>
      </w:r>
      <w:r w:rsidRPr="00103E5E">
        <w:rPr>
          <w:rFonts w:hAnsi="SimSun"/>
          <w:spacing w:val="-6"/>
        </w:rPr>
        <w:t>——</w:t>
      </w:r>
      <w:r w:rsidRPr="00F82231">
        <w:rPr>
          <w:rFonts w:ascii="KaiTi_GB2312" w:eastAsia="KaiTi_GB2312" w:hint="eastAsia"/>
        </w:rPr>
        <w:t>因种族、年龄、性别或残疾等问题，某人对另一人给予优待或排除另一人获得平等就业机会”。</w:t>
      </w:r>
    </w:p>
    <w:p w:rsidR="00D217A5" w:rsidRDefault="00D217A5" w:rsidP="00D95D43">
      <w:pPr>
        <w:pStyle w:val="SingleTxt"/>
        <w:rPr>
          <w:rFonts w:hint="eastAsia"/>
        </w:rPr>
      </w:pPr>
      <w:r>
        <w:rPr>
          <w:rFonts w:hint="eastAsia"/>
        </w:rPr>
        <w:t>14.</w:t>
      </w:r>
      <w:r w:rsidR="00D95D43">
        <w:tab/>
      </w:r>
      <w:r>
        <w:rPr>
          <w:rFonts w:hint="eastAsia"/>
        </w:rPr>
        <w:t>《行为守则》中规定，所有公务员必须确保其行为和言论不对他人构成冒犯或歧视。对违反《行为守则》的行为课以的处罚包括警告、关于不端行为的指控、训斥和开除。</w:t>
      </w:r>
    </w:p>
    <w:p w:rsidR="00D217A5" w:rsidRDefault="00D217A5" w:rsidP="00D95D43">
      <w:pPr>
        <w:pStyle w:val="SingleTxt"/>
        <w:rPr>
          <w:rFonts w:hint="eastAsia"/>
        </w:rPr>
      </w:pPr>
      <w:r>
        <w:rPr>
          <w:rFonts w:hint="eastAsia"/>
        </w:rPr>
        <w:t>15.</w:t>
      </w:r>
      <w:r>
        <w:rPr>
          <w:rFonts w:hint="eastAsia"/>
        </w:rPr>
        <w:tab/>
        <w:t>国内立法中有很多不符合《消除对妇女歧视公约》规定的地方。所罗门群岛的法律和规章制度，包括习惯法产生、解释和实施的所有机制，以及社区惯例，都没有有效地保障消除对妇女的歧视。特别是《刑法》中关于对妇女的性犯罪，以及《劳动法》中关于就业条件，存在很多歧视性条款。目前正在对《刑法》进行重大审查，以努力废除这些歧视性条款。</w:t>
      </w:r>
    </w:p>
    <w:p w:rsidR="00D217A5" w:rsidRDefault="00D217A5" w:rsidP="00D95D43">
      <w:pPr>
        <w:pStyle w:val="SingleTxt"/>
        <w:rPr>
          <w:rFonts w:hint="eastAsia"/>
        </w:rPr>
      </w:pPr>
      <w:r>
        <w:rPr>
          <w:rFonts w:hint="eastAsia"/>
        </w:rPr>
        <w:t>16.</w:t>
      </w:r>
      <w:r w:rsidR="00D95D43">
        <w:tab/>
      </w:r>
      <w:r>
        <w:rPr>
          <w:rFonts w:hint="eastAsia"/>
        </w:rPr>
        <w:t>《刑法》中对于家庭暴力没有任何具体罪名。有一些可视事实情况而利用的条款。这些条款如下：</w:t>
      </w:r>
    </w:p>
    <w:p w:rsidR="00D217A5" w:rsidRDefault="00D217A5" w:rsidP="00D95D43">
      <w:pPr>
        <w:pStyle w:val="SingleTxt"/>
        <w:ind w:left="1695"/>
        <w:rPr>
          <w:rFonts w:hint="eastAsia"/>
        </w:rPr>
      </w:pPr>
      <w:r>
        <w:rPr>
          <w:rFonts w:hint="eastAsia"/>
        </w:rPr>
        <w:t>a.</w:t>
      </w:r>
      <w:r>
        <w:rPr>
          <w:rFonts w:hint="eastAsia"/>
        </w:rPr>
        <w:tab/>
        <w:t>s.231条(i)，恫吓和调戏，最多可判处3年监禁；</w:t>
      </w:r>
    </w:p>
    <w:p w:rsidR="00D217A5" w:rsidRDefault="00D217A5" w:rsidP="00D95D43">
      <w:pPr>
        <w:pStyle w:val="SingleTxt"/>
        <w:ind w:left="1695"/>
        <w:rPr>
          <w:rFonts w:hint="eastAsia"/>
        </w:rPr>
      </w:pPr>
      <w:r>
        <w:rPr>
          <w:rFonts w:hint="eastAsia"/>
        </w:rPr>
        <w:t>b.</w:t>
      </w:r>
      <w:r>
        <w:rPr>
          <w:rFonts w:hint="eastAsia"/>
        </w:rPr>
        <w:tab/>
        <w:t>s.244条，一般攻击，最多可判处1年监禁；</w:t>
      </w:r>
    </w:p>
    <w:p w:rsidR="00D217A5" w:rsidRDefault="00D217A5" w:rsidP="00D95D43">
      <w:pPr>
        <w:pStyle w:val="SingleTxt"/>
        <w:ind w:left="1695"/>
        <w:rPr>
          <w:rFonts w:hint="eastAsia"/>
        </w:rPr>
      </w:pPr>
      <w:r>
        <w:rPr>
          <w:rFonts w:hint="eastAsia"/>
        </w:rPr>
        <w:t>c.</w:t>
      </w:r>
      <w:r>
        <w:rPr>
          <w:rFonts w:hint="eastAsia"/>
        </w:rPr>
        <w:tab/>
        <w:t>s.245条，引起实际身体伤害的攻击，最多可判处5年监禁；</w:t>
      </w:r>
    </w:p>
    <w:p w:rsidR="00D217A5" w:rsidRDefault="00D217A5" w:rsidP="00D95D43">
      <w:pPr>
        <w:pStyle w:val="SingleTxt"/>
        <w:ind w:left="1695"/>
        <w:rPr>
          <w:rFonts w:hint="eastAsia"/>
        </w:rPr>
      </w:pPr>
      <w:r>
        <w:rPr>
          <w:rFonts w:hint="eastAsia"/>
        </w:rPr>
        <w:t>d.</w:t>
      </w:r>
      <w:r>
        <w:rPr>
          <w:rFonts w:hint="eastAsia"/>
        </w:rPr>
        <w:tab/>
        <w:t>s.226条，引起严重伤害的攻击，最多可判处14年监禁。</w:t>
      </w:r>
    </w:p>
    <w:p w:rsidR="00D217A5" w:rsidRDefault="00D217A5" w:rsidP="00D95D43">
      <w:pPr>
        <w:pStyle w:val="SingleTxt"/>
        <w:rPr>
          <w:rFonts w:hint="eastAsia"/>
        </w:rPr>
      </w:pPr>
      <w:r>
        <w:rPr>
          <w:rFonts w:hint="eastAsia"/>
        </w:rPr>
        <w:t>17.</w:t>
      </w:r>
      <w:r>
        <w:rPr>
          <w:rFonts w:hint="eastAsia"/>
        </w:rPr>
        <w:tab/>
        <w:t>对家庭暴力罪行或等于家庭暴力的罪行，没有规定强制性起诉的立法。</w:t>
      </w:r>
    </w:p>
    <w:p w:rsidR="00D217A5" w:rsidRDefault="00D217A5" w:rsidP="00D95D43">
      <w:pPr>
        <w:pStyle w:val="SingleTxt"/>
        <w:rPr>
          <w:rFonts w:hint="eastAsia"/>
        </w:rPr>
      </w:pPr>
      <w:r>
        <w:rPr>
          <w:rFonts w:hint="eastAsia"/>
        </w:rPr>
        <w:t>18.</w:t>
      </w:r>
      <w:r>
        <w:rPr>
          <w:rFonts w:hint="eastAsia"/>
        </w:rPr>
        <w:tab/>
        <w:t>《刑法》没有规定跟踪这一具体罪名。但在某些情况下，可利用第231条(i)</w:t>
      </w:r>
      <w:r w:rsidRPr="00103E5E">
        <w:rPr>
          <w:rFonts w:hint="eastAsia"/>
          <w:spacing w:val="-2"/>
        </w:rPr>
        <w:t>规定的恫吓和调戏罪名。这一罪名规定，任何恫吓和调戏他人的人应被判有罪，并规定最多可判处3年监禁。该罪名的定义没有宽泛到包括妇女被跟踪的所有情况。</w:t>
      </w:r>
    </w:p>
    <w:p w:rsidR="00D217A5" w:rsidRDefault="00D217A5" w:rsidP="00D95D43">
      <w:pPr>
        <w:pStyle w:val="SingleTxt"/>
        <w:rPr>
          <w:rFonts w:hint="eastAsia"/>
        </w:rPr>
      </w:pPr>
      <w:r>
        <w:rPr>
          <w:rFonts w:hint="eastAsia"/>
        </w:rPr>
        <w:t>19.</w:t>
      </w:r>
      <w:r>
        <w:rPr>
          <w:rFonts w:hint="eastAsia"/>
        </w:rPr>
        <w:tab/>
        <w:t>1971年《亲子关系、分居和抚养法》第22条规定，如果法院认定某人有暴力倾向或威胁使用暴力，则可命令该人离开婚后住所，并禁止其重新进入夫妇同居的住所。一方和双方都可申请这一命令。这一命令使警察有权力在有足够理由怀疑这一命令被违反时进行逮捕。这些规定并非所有妇女都可利用，因此具有歧视性。在正规的法律或习惯法中，只向已婚妇女提供了保护。它不适用于处于事实关系或双方不居住在一起的妇女。</w:t>
      </w:r>
    </w:p>
    <w:p w:rsidR="00D217A5" w:rsidRDefault="00D217A5" w:rsidP="00D95D43">
      <w:pPr>
        <w:pStyle w:val="SingleTxt"/>
        <w:rPr>
          <w:rFonts w:hint="eastAsia"/>
        </w:rPr>
      </w:pPr>
      <w:r>
        <w:rPr>
          <w:rFonts w:hint="eastAsia"/>
        </w:rPr>
        <w:t>20.</w:t>
      </w:r>
      <w:r>
        <w:rPr>
          <w:rFonts w:hint="eastAsia"/>
        </w:rPr>
        <w:tab/>
        <w:t>1966年《刑法》规定了广泛的一系列性攻击犯罪，刑罚各异，包括：</w:t>
      </w:r>
    </w:p>
    <w:p w:rsidR="00D217A5" w:rsidRDefault="00D217A5" w:rsidP="00D95D43">
      <w:pPr>
        <w:pStyle w:val="SingleTxt"/>
        <w:ind w:left="2126" w:hanging="431"/>
        <w:rPr>
          <w:rFonts w:hint="eastAsia"/>
        </w:rPr>
      </w:pPr>
      <w:r>
        <w:rPr>
          <w:rFonts w:hint="eastAsia"/>
        </w:rPr>
        <w:t>a.</w:t>
      </w:r>
      <w:r>
        <w:rPr>
          <w:rFonts w:hint="eastAsia"/>
        </w:rPr>
        <w:tab/>
        <w:t>s.136条，强奸——最多可判处终身监禁；</w:t>
      </w:r>
    </w:p>
    <w:p w:rsidR="00D217A5" w:rsidRDefault="00D217A5" w:rsidP="00D95D43">
      <w:pPr>
        <w:pStyle w:val="SingleTxt"/>
        <w:ind w:left="2126" w:hanging="431"/>
        <w:rPr>
          <w:rFonts w:hint="eastAsia"/>
        </w:rPr>
      </w:pPr>
      <w:r>
        <w:rPr>
          <w:rFonts w:hint="eastAsia"/>
        </w:rPr>
        <w:t>b.</w:t>
      </w:r>
      <w:r>
        <w:rPr>
          <w:rFonts w:hint="eastAsia"/>
        </w:rPr>
        <w:tab/>
        <w:t>s.140条，绑架18岁以下未婚少女，以图与其发生两性关系——轻罪，最多可判处2年监禁；</w:t>
      </w:r>
    </w:p>
    <w:p w:rsidR="00D217A5" w:rsidRDefault="00D217A5" w:rsidP="00D95D43">
      <w:pPr>
        <w:pStyle w:val="SingleTxt"/>
        <w:ind w:left="2126" w:hanging="431"/>
        <w:rPr>
          <w:rFonts w:hint="eastAsia"/>
        </w:rPr>
      </w:pPr>
      <w:r>
        <w:rPr>
          <w:rFonts w:hint="eastAsia"/>
        </w:rPr>
        <w:t>c.</w:t>
      </w:r>
      <w:r>
        <w:rPr>
          <w:rFonts w:hint="eastAsia"/>
        </w:rPr>
        <w:tab/>
        <w:t>s.141条，猥亵——最多可判处5年监禁；</w:t>
      </w:r>
    </w:p>
    <w:p w:rsidR="00D217A5" w:rsidRDefault="00D217A5" w:rsidP="00D95D43">
      <w:pPr>
        <w:pStyle w:val="SingleTxt"/>
        <w:ind w:left="2126" w:hanging="431"/>
        <w:rPr>
          <w:rFonts w:hint="eastAsia"/>
        </w:rPr>
      </w:pPr>
      <w:r>
        <w:rPr>
          <w:rFonts w:hint="eastAsia"/>
        </w:rPr>
        <w:t>d.</w:t>
      </w:r>
      <w:r>
        <w:rPr>
          <w:rFonts w:hint="eastAsia"/>
        </w:rPr>
        <w:tab/>
        <w:t>s.142条，侮辱13岁以下女孩——最多可判处终身监禁；</w:t>
      </w:r>
    </w:p>
    <w:p w:rsidR="00D217A5" w:rsidRDefault="00D217A5" w:rsidP="00D95D43">
      <w:pPr>
        <w:pStyle w:val="SingleTxt"/>
        <w:ind w:left="2126" w:hanging="431"/>
        <w:rPr>
          <w:rFonts w:hint="eastAsia"/>
        </w:rPr>
      </w:pPr>
      <w:r>
        <w:rPr>
          <w:rFonts w:hint="eastAsia"/>
        </w:rPr>
        <w:t>e.</w:t>
      </w:r>
      <w:r>
        <w:rPr>
          <w:rFonts w:hint="eastAsia"/>
        </w:rPr>
        <w:tab/>
        <w:t>s.143条，侮辱13岁至15岁女孩——5年监禁。</w:t>
      </w:r>
    </w:p>
    <w:p w:rsidR="00D217A5" w:rsidRDefault="00D217A5" w:rsidP="00D95D43">
      <w:pPr>
        <w:pStyle w:val="SingleTxt"/>
        <w:rPr>
          <w:rFonts w:hint="eastAsia"/>
        </w:rPr>
      </w:pPr>
      <w:r>
        <w:rPr>
          <w:rFonts w:hint="eastAsia"/>
        </w:rPr>
        <w:t>21.</w:t>
      </w:r>
      <w:r>
        <w:rPr>
          <w:rFonts w:hint="eastAsia"/>
        </w:rPr>
        <w:tab/>
        <w:t>《刑法》中关于强奸的定义很窄，除阴茎插入阴道外，其他插入均不包括在内。第168条规定，不必以实际射精来证明性交完成，仅证明插入即可视为性交完成。这一定义排除了妇女可能受到的性侵犯的其他各种形式。</w:t>
      </w:r>
    </w:p>
    <w:p w:rsidR="00D217A5" w:rsidRDefault="00D217A5" w:rsidP="00D95D43">
      <w:pPr>
        <w:pStyle w:val="SingleTxt"/>
        <w:rPr>
          <w:rFonts w:hint="eastAsia"/>
        </w:rPr>
      </w:pPr>
      <w:r>
        <w:rPr>
          <w:rFonts w:hint="eastAsia"/>
        </w:rPr>
        <w:t>22.</w:t>
      </w:r>
      <w:r>
        <w:rPr>
          <w:rFonts w:hint="eastAsia"/>
        </w:rPr>
        <w:tab/>
        <w:t>《刑法》第164条规定了乱伦罪，这意味着，本身为乱伦受害者的妇女和15岁及15岁以上女孩可被指控犯有与乱伦有关的罪名。</w:t>
      </w:r>
    </w:p>
    <w:p w:rsidR="00D217A5" w:rsidRDefault="00D217A5" w:rsidP="00D95D43">
      <w:pPr>
        <w:pStyle w:val="SingleTxt"/>
        <w:rPr>
          <w:rFonts w:hint="eastAsia"/>
        </w:rPr>
      </w:pPr>
      <w:r>
        <w:rPr>
          <w:rFonts w:hint="eastAsia"/>
        </w:rPr>
        <w:t>23.</w:t>
      </w:r>
      <w:r>
        <w:rPr>
          <w:rFonts w:hint="eastAsia"/>
        </w:rPr>
        <w:tab/>
        <w:t>《刑法》第136条界定了同意的定义。它规定了一个清单，但这一清单并没有广泛到包括妇女在胁迫下表示同意的所有情况。例如，定义中未规定因第三方受到威胁而同意的情况。</w:t>
      </w:r>
    </w:p>
    <w:p w:rsidR="00D217A5" w:rsidRDefault="00D217A5" w:rsidP="00D95D43">
      <w:pPr>
        <w:pStyle w:val="SingleTxt"/>
        <w:rPr>
          <w:rFonts w:hint="eastAsia"/>
        </w:rPr>
      </w:pPr>
      <w:r>
        <w:rPr>
          <w:rFonts w:hint="eastAsia"/>
        </w:rPr>
        <w:t>24.</w:t>
      </w:r>
      <w:r>
        <w:rPr>
          <w:rFonts w:hint="eastAsia"/>
        </w:rPr>
        <w:tab/>
        <w:t>2009年《证据法》第7条规定，废除英国的确证规则，第18条规定，一方依赖的证据无需确证，但须受到任何其他书面法的制约。《刑法》规定的有些罪行是需要确证的。例如，第145条规定了以威胁、诈骗或施药等手段玷污妇女名誉罪。这一条规定，被指控犯有此罪者的定罪不能仅根据一位证人的证言，除非某些实物尤其是涉及被告的证据可确证证人的证词。</w:t>
      </w:r>
    </w:p>
    <w:p w:rsidR="00D217A5" w:rsidRDefault="00D217A5" w:rsidP="00D95D43">
      <w:pPr>
        <w:pStyle w:val="SingleTxt"/>
        <w:rPr>
          <w:rFonts w:hint="eastAsia"/>
        </w:rPr>
      </w:pPr>
      <w:r>
        <w:rPr>
          <w:rFonts w:hint="eastAsia"/>
        </w:rPr>
        <w:t>25.</w:t>
      </w:r>
      <w:r>
        <w:rPr>
          <w:rFonts w:hint="eastAsia"/>
        </w:rPr>
        <w:tab/>
        <w:t>没有法律条款绝对禁止为确立同意使用事先性行为。但有条款限制可从性犯罪受害者获得证据的种类。2009年《证据法》第58条规定了法院可获得性犯罪受害者与事先性行为有关的证据的条件。该条规定，法院可斟酌决定根据罪行发生的情况，听取关于受害者以往性行为的证据。法律没有禁止要求提供做出抵抗的证据，但如果认为它是确证没有同意的证据，鉴于2009年《证据法》第18条，则不要求提供。</w:t>
      </w:r>
    </w:p>
    <w:p w:rsidR="00D217A5" w:rsidRDefault="00D217A5" w:rsidP="00D95D43">
      <w:pPr>
        <w:pStyle w:val="SingleTxt"/>
        <w:rPr>
          <w:rFonts w:hint="eastAsia"/>
        </w:rPr>
      </w:pPr>
      <w:r>
        <w:rPr>
          <w:rFonts w:hint="eastAsia"/>
        </w:rPr>
        <w:t>26.</w:t>
      </w:r>
      <w:r>
        <w:rPr>
          <w:rFonts w:hint="eastAsia"/>
        </w:rPr>
        <w:tab/>
        <w:t>对一些性犯罪，《刑法》提供了真诚并合理地相信这一辩护理由。对《刑法》s140条下规定的罪行，即“绑架18岁以下未婚女子，以图与其发生两性关系”，真诚并合理地相信受害人的年龄为18岁或18岁以上是一个辩护理由。对玷污13岁至15岁女孩的指控，如果犯罪人真诚并合理地相信该女孩的年龄为15岁或15岁以上，这是一个辩护理由。对关于户主允许第147条下玷污发生的指控，如果被告真诚并合理地相信该女孩的年龄超过15岁，这也是一个辩护理由。</w:t>
      </w:r>
    </w:p>
    <w:p w:rsidR="00D217A5" w:rsidRDefault="00D217A5" w:rsidP="00D95D43">
      <w:pPr>
        <w:pStyle w:val="SingleTxt"/>
        <w:rPr>
          <w:rFonts w:hint="eastAsia"/>
        </w:rPr>
      </w:pPr>
      <w:r>
        <w:rPr>
          <w:rFonts w:hint="eastAsia"/>
        </w:rPr>
        <w:t>27.</w:t>
      </w:r>
      <w:r w:rsidR="00D95D43">
        <w:tab/>
      </w:r>
      <w:r>
        <w:rPr>
          <w:rFonts w:hint="eastAsia"/>
        </w:rPr>
        <w:t>《刑法》中有些条款规定，同意不是性犯罪的辩护理由。这些规定在提到受害者年龄时各不相同，因此具有很强的歧视性。第141条(2)规定，对猥亵15岁以下女孩的指控，女孩的同意不能作为一个辩护理由。第142条(3)规定，对猥亵13岁以下女孩的指控，女孩的同意不是一个辩护理由。第144 条下为卖淫的目的购买女孩或妇女，无论该妇女或女孩是否同意，也没有任何年龄限制，都是犯罪。第163条下所载乱伦罪规定，同意不是辩护理由。这一规定没有年龄限制。</w:t>
      </w:r>
    </w:p>
    <w:p w:rsidR="00D217A5" w:rsidRDefault="00D217A5" w:rsidP="00D95D43">
      <w:pPr>
        <w:pStyle w:val="SingleTxt"/>
        <w:rPr>
          <w:rFonts w:hint="eastAsia"/>
        </w:rPr>
      </w:pPr>
      <w:r>
        <w:rPr>
          <w:rFonts w:hint="eastAsia"/>
        </w:rPr>
        <w:t>28.</w:t>
      </w:r>
      <w:r>
        <w:rPr>
          <w:rFonts w:hint="eastAsia"/>
        </w:rPr>
        <w:tab/>
        <w:t>没有法律规定婚内强奸可免于起诉。在Regina诉Gua案</w:t>
      </w:r>
      <w:r w:rsidRPr="00D95D43">
        <w:rPr>
          <w:rStyle w:val="FootnoteReference"/>
        </w:rPr>
        <w:footnoteReference w:id="3"/>
      </w:r>
      <w:r>
        <w:rPr>
          <w:rFonts w:hint="eastAsia"/>
        </w:rPr>
        <w:t xml:space="preserve"> 中，法院推翻了在所罗门群岛一直适用的普通法法律主张，即丈夫不能被判强奸妻子罪。法院适用了《消除对妇女歧视公约》，</w:t>
      </w:r>
      <w:r w:rsidRPr="00D95D43">
        <w:rPr>
          <w:rStyle w:val="FootnoteReference"/>
        </w:rPr>
        <w:footnoteReference w:id="4"/>
      </w:r>
      <w:r>
        <w:t xml:space="preserve"> </w:t>
      </w:r>
      <w:r>
        <w:rPr>
          <w:rFonts w:hint="eastAsia"/>
        </w:rPr>
        <w:t>指出丈夫和妻子在婚姻中是平等伙伴，认为丈夫可以因强奸妻子而负有刑法上的责任。这一具有里程碑意义的判决反映出法院在承认两性平等方面取得巨大进步。</w:t>
      </w:r>
    </w:p>
    <w:p w:rsidR="00D217A5" w:rsidRDefault="00D217A5" w:rsidP="00D95D43">
      <w:pPr>
        <w:pStyle w:val="SingleTxt"/>
        <w:rPr>
          <w:rFonts w:hint="eastAsia"/>
        </w:rPr>
      </w:pPr>
      <w:r>
        <w:rPr>
          <w:rFonts w:hint="eastAsia"/>
        </w:rPr>
        <w:t>29.</w:t>
      </w:r>
      <w:r w:rsidR="00D95D43">
        <w:tab/>
      </w:r>
      <w:r>
        <w:rPr>
          <w:rFonts w:hint="eastAsia"/>
        </w:rPr>
        <w:t>《刑事诉讼法》(第7章)管辖准予保释被控犯有性罪行者的问题。管理性犯罪保释的方式与管理所有其他罪行的保释方式相同。也就是说，法律对性犯罪没有具体规定更多要求。除非犯罪性质严重，否则警察可以准予保释。法律没有对性质严重进行界定，因此可以斟酌决定。关于在法院审理期间提出的保释申请，法院理所当然将审议对受害者的风险，如果准予保释，法院通常将实施保护受害者的保释条件。对被指控性犯罪并被法庭准予保释的人，不得与受害者接触条款是普通的保释条件。</w:t>
      </w:r>
    </w:p>
    <w:p w:rsidR="00D217A5" w:rsidRDefault="00D217A5" w:rsidP="00D95D43">
      <w:pPr>
        <w:pStyle w:val="SingleTxt"/>
        <w:rPr>
          <w:rFonts w:hint="eastAsia"/>
        </w:rPr>
      </w:pPr>
      <w:r>
        <w:rPr>
          <w:rFonts w:hint="eastAsia"/>
        </w:rPr>
        <w:t>30.</w:t>
      </w:r>
      <w:r>
        <w:rPr>
          <w:rFonts w:hint="eastAsia"/>
        </w:rPr>
        <w:tab/>
        <w:t>《刑法》没有规定对性犯罪者的最低刑罚。《刑法》规定了每一犯罪的最高刑罚，判刑由判刑法院斟酌决定。法律没有规定判刑原则，但法庭尊重案例法确立的原则，例如加重处罚情节，一般震慑和个人震慑。刑事立法中没有规定习惯的宽恕做法不得影响刑事起诉或判刑。《治安法庭法》(第20章)第35条规定，对个人或私人性质且不构成重罪的普通攻击或其他犯罪，法庭有权继续刑事诉讼或停止刑事诉讼。问题通常以和解以及使法院满意的支付赔偿方式解决。高等法院的大法官可就适用第35条提供程序指示，但这一条可能被滥用，并且没有为受家庭暴力之害的妇女提供保护。</w:t>
      </w:r>
    </w:p>
    <w:p w:rsidR="00D217A5" w:rsidRDefault="00D217A5" w:rsidP="00D95D43">
      <w:pPr>
        <w:pStyle w:val="SingleTxt"/>
        <w:rPr>
          <w:rFonts w:hint="eastAsia"/>
        </w:rPr>
      </w:pPr>
      <w:r>
        <w:rPr>
          <w:rFonts w:hint="eastAsia"/>
        </w:rPr>
        <w:t>31.</w:t>
      </w:r>
      <w:r>
        <w:rPr>
          <w:rFonts w:hint="eastAsia"/>
        </w:rPr>
        <w:tab/>
        <w:t>不存在具体的刑事赔偿法。然而，1962年《刑事诉讼法》第156条(1)(b)规定，法院可以命令被告向犯罪受害者支付赔偿。然而，情况受到限制，因为实际上是从可收回罚款中支付赔偿。如果犯罪者没有被判处支付罚款，例如被判处有期徒刑，对这种情况却没有单独的规定。在这些情况下，可依靠民事行动而不根据任何法律条款收到赔偿。</w:t>
      </w:r>
    </w:p>
    <w:p w:rsidR="00D217A5" w:rsidRDefault="00D217A5" w:rsidP="00D95D43">
      <w:pPr>
        <w:pStyle w:val="SingleTxt"/>
        <w:rPr>
          <w:rFonts w:hint="eastAsia"/>
        </w:rPr>
      </w:pPr>
      <w:r>
        <w:rPr>
          <w:rFonts w:hint="eastAsia"/>
        </w:rPr>
        <w:t>32.</w:t>
      </w:r>
      <w:r>
        <w:rPr>
          <w:rFonts w:hint="eastAsia"/>
        </w:rPr>
        <w:tab/>
        <w:t>《刑法》(第26章)第206条相对谋杀罪而规定了杀婴罪。然而，该条把杀婴罪视同非预谋杀人罪，因此最多可判处终身监禁。谋杀罪的强制性刑罚是终身监禁，而非预谋杀人罪的最高刑罚是终身监禁，实际判刑由法院斟酌决定。杀婴罪的定义不包括环境或社会压力。其定义如下：</w:t>
      </w:r>
    </w:p>
    <w:p w:rsidR="00D217A5" w:rsidRPr="00F82231" w:rsidRDefault="00D217A5" w:rsidP="00D95D43">
      <w:pPr>
        <w:pStyle w:val="SingleTxt"/>
        <w:ind w:left="1695"/>
        <w:rPr>
          <w:rFonts w:ascii="KaiTi_GB2312" w:eastAsia="KaiTi_GB2312" w:hint="eastAsia"/>
        </w:rPr>
      </w:pPr>
      <w:r>
        <w:rPr>
          <w:rFonts w:ascii="Times New Roman" w:eastAsia="KaiTi_GB2312"/>
        </w:rPr>
        <w:tab/>
      </w:r>
      <w:r w:rsidRPr="00F82231">
        <w:rPr>
          <w:rFonts w:ascii="KaiTi_GB2312" w:eastAsia="KaiTi_GB2312" w:hint="eastAsia"/>
        </w:rPr>
        <w:t>“妇女因故意作为或不作为造成其年龄不到12个月的子女死亡，但其时心智未从分娩该子女的影响中完全恢复，或因产子后哺乳的影响而失去平衡的情况除外</w:t>
      </w:r>
      <w:r w:rsidRPr="00103E5E">
        <w:rPr>
          <w:rFonts w:hAnsi="SimSun" w:hint="eastAsia"/>
        </w:rPr>
        <w:t>……</w:t>
      </w:r>
      <w:r w:rsidRPr="00F82231">
        <w:rPr>
          <w:rFonts w:ascii="KaiTi_GB2312" w:eastAsia="KaiTi_GB2312" w:hint="eastAsia"/>
        </w:rPr>
        <w:t>”</w:t>
      </w:r>
    </w:p>
    <w:p w:rsidR="00D217A5" w:rsidRPr="00F82231" w:rsidRDefault="00D217A5" w:rsidP="00D95D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sidRPr="00F82231">
        <w:rPr>
          <w:rFonts w:hint="eastAsia"/>
        </w:rPr>
        <w:tab/>
        <w:t>法律的适用</w:t>
      </w:r>
    </w:p>
    <w:p w:rsidR="00D217A5" w:rsidRPr="00F82231" w:rsidRDefault="00D217A5" w:rsidP="00D95D43">
      <w:pPr>
        <w:pStyle w:val="SingleTxt"/>
        <w:spacing w:after="0" w:line="120" w:lineRule="exact"/>
        <w:rPr>
          <w:rFonts w:hint="eastAsia"/>
          <w:sz w:val="10"/>
        </w:rPr>
      </w:pPr>
    </w:p>
    <w:p w:rsidR="00D217A5" w:rsidRDefault="00D217A5" w:rsidP="00D95D43">
      <w:pPr>
        <w:pStyle w:val="SingleTxt"/>
        <w:rPr>
          <w:rFonts w:hint="eastAsia"/>
        </w:rPr>
      </w:pPr>
      <w:r>
        <w:rPr>
          <w:rFonts w:hint="eastAsia"/>
        </w:rPr>
        <w:t>33.</w:t>
      </w:r>
      <w:r>
        <w:rPr>
          <w:rFonts w:hint="eastAsia"/>
        </w:rPr>
        <w:tab/>
        <w:t>我们承认《宪法》中的规定不完全符合《消除对妇女歧视条约》，因为它们没有保障实质上的平等。它们只适用于公共领域，而且歧视的定义不是《消除对妇女歧视条约》中规定的扩大了的歧视定义。</w:t>
      </w:r>
    </w:p>
    <w:p w:rsidR="00D217A5" w:rsidRDefault="00D217A5" w:rsidP="00D95D43">
      <w:pPr>
        <w:pStyle w:val="SingleTxt"/>
        <w:rPr>
          <w:rFonts w:hint="eastAsia"/>
        </w:rPr>
      </w:pPr>
      <w:r>
        <w:rPr>
          <w:rFonts w:hint="eastAsia"/>
        </w:rPr>
        <w:t>34.</w:t>
      </w:r>
      <w:r>
        <w:rPr>
          <w:rFonts w:hint="eastAsia"/>
        </w:rPr>
        <w:tab/>
        <w:t>《宪法》中规定的歧视定义不够宽泛，不足以解释为与《公约》中所载定义相一致。</w:t>
      </w:r>
      <w:r w:rsidRPr="00D95D43">
        <w:rPr>
          <w:rStyle w:val="FootnoteReference"/>
        </w:rPr>
        <w:footnoteReference w:id="5"/>
      </w:r>
      <w:r>
        <w:rPr>
          <w:rFonts w:hint="eastAsia"/>
        </w:rPr>
        <w:t xml:space="preserve"> </w:t>
      </w:r>
    </w:p>
    <w:p w:rsidR="00D217A5" w:rsidRDefault="00D217A5" w:rsidP="00D95D43">
      <w:pPr>
        <w:pStyle w:val="SingleTxt"/>
        <w:rPr>
          <w:rFonts w:hint="eastAsia"/>
        </w:rPr>
      </w:pPr>
      <w:r>
        <w:rPr>
          <w:rFonts w:hint="eastAsia"/>
        </w:rPr>
        <w:t>35.</w:t>
      </w:r>
      <w:r>
        <w:rPr>
          <w:rFonts w:hint="eastAsia"/>
        </w:rPr>
        <w:tab/>
        <w:t>《宪法》第15条所载对平等的保障与习惯法的冲突没有得到解决。不清楚《宪法》第15条所载的对不歧视规定的例外，其目的是规定所有习惯法对不歧视条款的例外(宽泛的解释)，还是应当更狭义地解释为把例外限于关于何时或如何适用习惯法的法律。</w:t>
      </w:r>
      <w:r w:rsidRPr="00D95D43">
        <w:rPr>
          <w:rStyle w:val="FootnoteReference"/>
        </w:rPr>
        <w:footnoteReference w:id="6"/>
      </w:r>
      <w:r>
        <w:rPr>
          <w:rFonts w:hint="eastAsia"/>
        </w:rPr>
        <w:t xml:space="preserve"> </w:t>
      </w:r>
    </w:p>
    <w:p w:rsidR="00D217A5" w:rsidRDefault="00D217A5" w:rsidP="00D95D43">
      <w:pPr>
        <w:pStyle w:val="SingleTxt"/>
        <w:rPr>
          <w:rFonts w:hint="eastAsia"/>
        </w:rPr>
      </w:pPr>
      <w:r>
        <w:rPr>
          <w:rFonts w:hint="eastAsia"/>
        </w:rPr>
        <w:t>36.</w:t>
      </w:r>
      <w:r>
        <w:rPr>
          <w:rFonts w:hint="eastAsia"/>
        </w:rPr>
        <w:tab/>
        <w:t>尽管《宪法》给予议会就习惯法的适用制订法律的权力，但议会没有制订任何法令对该条款的解释作出澄清。法院在若干场合审议了这个问题，但均在《消除对妇女歧视公约》得到批准前。在Tanavalu 诉Tanavalu案</w:t>
      </w:r>
      <w:r w:rsidRPr="00D95D43">
        <w:rPr>
          <w:rStyle w:val="FootnoteReference"/>
        </w:rPr>
        <w:footnoteReference w:id="7"/>
      </w:r>
      <w:r>
        <w:rPr>
          <w:rFonts w:hint="eastAsia"/>
        </w:rPr>
        <w:t xml:space="preserve"> 中，高等法院赞成广义的解释，即例外适用于所有习惯法。上诉法院维持了这一裁决。在省政府部长诉瓜达尔卡纳尔省议会案</w:t>
      </w:r>
      <w:r w:rsidRPr="00D95D43">
        <w:rPr>
          <w:rStyle w:val="FootnoteReference"/>
        </w:rPr>
        <w:footnoteReference w:id="8"/>
      </w:r>
      <w:r>
        <w:rPr>
          <w:rFonts w:hint="eastAsia"/>
        </w:rPr>
        <w:t xml:space="preserve"> 中，法院审议了妇女不能担任酋长因而受到歧视的问题。上诉法院认为，歧视妇女并没有违反《宪法》，因为《宪法》本身使性别歧视合法化。在Remisio Pusi诉James Leni和Ors案</w:t>
      </w:r>
      <w:r w:rsidRPr="00D95D43">
        <w:rPr>
          <w:rStyle w:val="FootnoteReference"/>
        </w:rPr>
        <w:footnoteReference w:id="9"/>
      </w:r>
      <w:r>
        <w:rPr>
          <w:rFonts w:hint="eastAsia"/>
        </w:rPr>
        <w:t xml:space="preserve"> 中，法院指出，《宪法》中的不歧视条款不一定适用习惯法。这取决于案情。这些案件表明，在歧视妇女方面，关于如何适用习惯法，不存在明确和一以贯之的方式。</w:t>
      </w:r>
    </w:p>
    <w:p w:rsidR="00D217A5" w:rsidRDefault="00D217A5" w:rsidP="00D95D43">
      <w:pPr>
        <w:pStyle w:val="SingleTxt"/>
        <w:rPr>
          <w:rFonts w:hint="eastAsia"/>
        </w:rPr>
      </w:pPr>
      <w:r>
        <w:rPr>
          <w:rFonts w:hint="eastAsia"/>
        </w:rPr>
        <w:t>37.</w:t>
      </w:r>
      <w:r>
        <w:rPr>
          <w:rFonts w:hint="eastAsia"/>
        </w:rPr>
        <w:tab/>
        <w:t>普遍认为依靠《刑法》规定的各种罪行来起诉家庭暴力行为，对于家庭暴力的持续性和严重性是不适合的。此外，鉴于围绕实施家庭暴力的条件，刑罚是相当低的。《治安法院法》的和解规定使得家庭暴力得以持续，并有可能使犯罪者不承担后果。这一规定没有承认家庭、宗教和习俗为使妇女在遭受家庭暴力后回到丈夫身边对其施加的压力。</w:t>
      </w:r>
    </w:p>
    <w:p w:rsidR="00D217A5" w:rsidRDefault="00D217A5" w:rsidP="00D95D43">
      <w:pPr>
        <w:pStyle w:val="SingleTxt"/>
        <w:rPr>
          <w:rFonts w:hint="eastAsia"/>
        </w:rPr>
      </w:pPr>
      <w:r>
        <w:rPr>
          <w:rFonts w:hint="eastAsia"/>
        </w:rPr>
        <w:t>38.</w:t>
      </w:r>
      <w:r w:rsidR="00D95D43">
        <w:tab/>
      </w:r>
      <w:r>
        <w:rPr>
          <w:rFonts w:hint="eastAsia"/>
        </w:rPr>
        <w:t>《刑法》中关于性犯罪的定义和规定的刑罚是歧视性的。尽管玷污13岁以下女孩被视为重罪，并规定最多可判处终身监禁，但对待玷污13岁至15岁女孩就有很大区别。这意味着如果女孩年纪较大，对其实施性犯罪就不那么严重。乱伦罪和强奸罪的判刑也不平等。强奸罪最多可判处终身监禁，而与15岁至18岁女孩乱伦的最高刑罚只要7年监禁。法律不公平地假设，15岁至18岁女孩对自己的生活有充分的控制权，或者说能够给予同意。它没有考虑到相比受害者，犯罪者的地位。罪名的范围没有广到足以为妇女提供充足的保护。</w:t>
      </w:r>
    </w:p>
    <w:p w:rsidR="00D217A5" w:rsidRDefault="00D217A5" w:rsidP="00D95D43">
      <w:pPr>
        <w:pStyle w:val="SingleTxt"/>
        <w:rPr>
          <w:rFonts w:hint="eastAsia"/>
        </w:rPr>
      </w:pPr>
      <w:r>
        <w:rPr>
          <w:rFonts w:hint="eastAsia"/>
        </w:rPr>
        <w:t>39.</w:t>
      </w:r>
      <w:r w:rsidR="00D95D43">
        <w:tab/>
      </w:r>
      <w:r>
        <w:rPr>
          <w:rFonts w:hint="eastAsia"/>
        </w:rPr>
        <w:t>《刑法》第143条规定了玷污13岁至15岁女孩罪。这一条规定，犯罪的实施超过12个月后，不得对罪行加以起诉。这是一项歧视性条款。它忽略了通常围绕性虐待的秘密性以及受害者与犯罪者之间权力的不平衡，这使得受害者很难举报虐待行为。</w:t>
      </w:r>
    </w:p>
    <w:p w:rsidR="00D217A5" w:rsidRDefault="00D217A5" w:rsidP="00D95D43">
      <w:pPr>
        <w:pStyle w:val="SingleTxt"/>
        <w:rPr>
          <w:rFonts w:hint="eastAsia"/>
        </w:rPr>
      </w:pPr>
      <w:r>
        <w:rPr>
          <w:rFonts w:hint="eastAsia"/>
        </w:rPr>
        <w:t>40.</w:t>
      </w:r>
      <w:r>
        <w:rPr>
          <w:rFonts w:hint="eastAsia"/>
        </w:rPr>
        <w:tab/>
        <w:t>涉及15岁和15岁以上受害者的乱伦罪具有高度歧视性。它没有承认妇女、女孩与男性亲属之间权力的不平衡。此外，男子一般都是在女孩和妇女不同意和受胁迫的情况下对其犯罪的。由于不考虑围绕犯罪的各种情况的动态，这一罪行处罚的是受害者。</w:t>
      </w:r>
    </w:p>
    <w:p w:rsidR="00D217A5" w:rsidRDefault="00D217A5" w:rsidP="00D95D43">
      <w:pPr>
        <w:pStyle w:val="SingleTxt"/>
        <w:rPr>
          <w:rFonts w:hint="eastAsia"/>
        </w:rPr>
      </w:pPr>
      <w:r>
        <w:rPr>
          <w:rFonts w:hint="eastAsia"/>
        </w:rPr>
        <w:t>41.</w:t>
      </w:r>
      <w:r w:rsidR="00D95D43">
        <w:tab/>
      </w:r>
      <w:r>
        <w:rPr>
          <w:rFonts w:hint="eastAsia"/>
        </w:rPr>
        <w:t>《刑法》中没有去除玷污、猥亵和调戏等术语，而且在涉及性犯罪的条款中</w:t>
      </w:r>
      <w:r w:rsidRPr="007D039E">
        <w:rPr>
          <w:rFonts w:hint="eastAsia"/>
          <w:spacing w:val="-2"/>
        </w:rPr>
        <w:t>通篇提到。这些术语具有冒犯性和歧视性，因为它们让人联想到妇女和女孩被性犯罪所损害或“损坏”。应使用非歧视性语言，并侧重这些术语对个人自主的侵犯。</w:t>
      </w:r>
    </w:p>
    <w:p w:rsidR="00D217A5" w:rsidRDefault="00D217A5" w:rsidP="00D95D43">
      <w:pPr>
        <w:pStyle w:val="SingleTxt"/>
        <w:rPr>
          <w:rFonts w:hint="eastAsia"/>
        </w:rPr>
      </w:pPr>
      <w:r>
        <w:rPr>
          <w:rFonts w:hint="eastAsia"/>
        </w:rPr>
        <w:t>42.</w:t>
      </w:r>
      <w:r w:rsidR="00D95D43">
        <w:tab/>
      </w:r>
      <w:r>
        <w:rPr>
          <w:rFonts w:hint="eastAsia"/>
        </w:rPr>
        <w:t>《刑法》中规定的各种性犯罪都把真诚并合理地相信受害者年龄作为辩护理由，这具有歧视性，不能向受害者提供免遭这些种类犯罪的任何保护。为这些犯罪提供这一辩护理由，是把揭示年龄的责任强加在还是儿童的受害者身上，而不规定犯罪者须采取措施弄清受害者的实际年龄。这基本上是在受害者通常是儿童的情况下将责任转嫁到受害者身上。</w:t>
      </w:r>
    </w:p>
    <w:p w:rsidR="00C509DE" w:rsidRPr="00287AA9" w:rsidRDefault="00C509DE" w:rsidP="00C509DE">
      <w:pPr>
        <w:pStyle w:val="SingleTxt"/>
        <w:rPr>
          <w:rFonts w:ascii="SimHei" w:eastAsia="SimHei" w:hint="eastAsia"/>
        </w:rPr>
      </w:pPr>
      <w:r w:rsidRPr="00287AA9">
        <w:rPr>
          <w:rFonts w:ascii="SimHei" w:eastAsia="SimHei" w:hint="eastAsia"/>
        </w:rPr>
        <w:t>法律改革</w:t>
      </w:r>
    </w:p>
    <w:p w:rsidR="00C509DE" w:rsidRPr="00287AA9" w:rsidRDefault="00C509DE" w:rsidP="00C509DE">
      <w:pPr>
        <w:pStyle w:val="SingleTxt"/>
        <w:rPr>
          <w:rFonts w:hint="eastAsia"/>
        </w:rPr>
      </w:pPr>
      <w:r w:rsidRPr="00287AA9">
        <w:rPr>
          <w:rFonts w:hint="eastAsia"/>
        </w:rPr>
        <w:t>43.</w:t>
      </w:r>
      <w:r w:rsidRPr="00287AA9">
        <w:rPr>
          <w:rFonts w:hint="eastAsia"/>
        </w:rPr>
        <w:tab/>
        <w:t>所罗门群岛法律改革委员会目前正在审查《刑法》和《刑事诉讼法》。法律改革委员会必须向司法和法律事务部长报告需要进行哪些改革，以反映所罗门群岛人民当前的需求，并履行所罗门群岛的国际义务。如果司法和法律事务部长同意法律改革委员会提出的建议，则将这些建议转交内阁审议。《刑法》和《刑事诉讼法》审查是1995年司法和法律事务部长向法律改革委员会提供的参考意见之一。法律改革委员会的职权范围要求该委员会调查并报告需要进行哪些改革，以反映所罗门群岛人民当前的需求和愿望。这两部法典分别于1963年和1964年在所罗门群岛推出，此后没有做过大的更改。审查工作复杂而且量大——两部法典共有约700项条款。已将该工作分成不同项目，包括不同的审查阶段，目前正在按照所罗门群岛根据《消除对妇女歧视公约》所承担的义务进行这项工作。为修订《刑法》，使其与《消除对妇女歧视公约》的原则相符，法律改革委员会提出了以下建议：</w:t>
      </w:r>
    </w:p>
    <w:p w:rsidR="00C509DE" w:rsidRPr="00287AA9" w:rsidRDefault="00C509DE" w:rsidP="00C509DE">
      <w:pPr>
        <w:pStyle w:val="SingleTxt"/>
        <w:rPr>
          <w:rFonts w:hint="eastAsia"/>
        </w:rPr>
      </w:pPr>
      <w:r w:rsidRPr="00287AA9">
        <w:rPr>
          <w:rFonts w:hint="eastAsia"/>
        </w:rPr>
        <w:tab/>
        <w:t>一.</w:t>
      </w:r>
      <w:r w:rsidRPr="00287AA9">
        <w:rPr>
          <w:rFonts w:hint="eastAsia"/>
        </w:rPr>
        <w:tab/>
        <w:t>修改现有的罪行定义，以充分保护妇女；</w:t>
      </w:r>
    </w:p>
    <w:p w:rsidR="00C509DE" w:rsidRPr="00287AA9" w:rsidRDefault="00C509DE" w:rsidP="00C509DE">
      <w:pPr>
        <w:pStyle w:val="SingleTxt"/>
        <w:rPr>
          <w:rFonts w:hint="eastAsia"/>
        </w:rPr>
      </w:pPr>
      <w:r w:rsidRPr="00287AA9">
        <w:rPr>
          <w:rFonts w:hint="eastAsia"/>
        </w:rPr>
        <w:tab/>
        <w:t>二.</w:t>
      </w:r>
      <w:r w:rsidRPr="00287AA9">
        <w:rPr>
          <w:rFonts w:hint="eastAsia"/>
        </w:rPr>
        <w:tab/>
        <w:t>界定新的和具体的罪行，以保护儿童；</w:t>
      </w:r>
    </w:p>
    <w:p w:rsidR="00C509DE" w:rsidRPr="00287AA9" w:rsidRDefault="00C509DE" w:rsidP="00C509DE">
      <w:pPr>
        <w:pStyle w:val="SingleTxt"/>
        <w:rPr>
          <w:rFonts w:hint="eastAsia"/>
        </w:rPr>
      </w:pPr>
      <w:r w:rsidRPr="00287AA9">
        <w:rPr>
          <w:rFonts w:hint="eastAsia"/>
        </w:rPr>
        <w:tab/>
        <w:t>三.</w:t>
      </w:r>
      <w:r w:rsidRPr="00287AA9">
        <w:rPr>
          <w:rFonts w:hint="eastAsia"/>
        </w:rPr>
        <w:tab/>
        <w:t>解决在关于性犯罪的现行法律方面已查明的问题；</w:t>
      </w:r>
    </w:p>
    <w:p w:rsidR="00C509DE" w:rsidRPr="00287AA9" w:rsidRDefault="00C509DE" w:rsidP="00C509DE">
      <w:pPr>
        <w:pStyle w:val="SingleTxt"/>
        <w:rPr>
          <w:rFonts w:hint="eastAsia"/>
        </w:rPr>
      </w:pPr>
      <w:r w:rsidRPr="00287AA9">
        <w:rPr>
          <w:rFonts w:hint="eastAsia"/>
        </w:rPr>
        <w:tab/>
        <w:t>四.</w:t>
      </w:r>
      <w:r w:rsidRPr="00287AA9">
        <w:rPr>
          <w:rFonts w:hint="eastAsia"/>
        </w:rPr>
        <w:tab/>
        <w:t>消除歧视。</w:t>
      </w:r>
    </w:p>
    <w:p w:rsidR="00C509DE" w:rsidRPr="00287AA9" w:rsidRDefault="00C509DE" w:rsidP="00C509DE">
      <w:pPr>
        <w:pStyle w:val="SingleTxt"/>
        <w:rPr>
          <w:rFonts w:hint="eastAsia"/>
        </w:rPr>
      </w:pPr>
      <w:r w:rsidRPr="00287AA9">
        <w:rPr>
          <w:rFonts w:hint="eastAsia"/>
        </w:rPr>
        <w:t>44.</w:t>
      </w:r>
      <w:r w:rsidRPr="00287AA9">
        <w:rPr>
          <w:rFonts w:hint="eastAsia"/>
        </w:rPr>
        <w:tab/>
        <w:t>法律改革委员会就性犯罪问题对修改《刑法》提出了广泛的建议，其中包括加强目前的条款和增列具体的新罪行。这些建议旨在确保罪行不分性别，去除歧视性的陈旧语言，并界定新的罪行以填补现行法律的空白。关于性犯罪的建议正在提交司法和法律事务部长。</w:t>
      </w:r>
    </w:p>
    <w:p w:rsidR="00C509DE" w:rsidRPr="00287AA9" w:rsidRDefault="00C509DE" w:rsidP="00C509DE">
      <w:pPr>
        <w:pStyle w:val="SingleTxt"/>
        <w:rPr>
          <w:rFonts w:hint="eastAsia"/>
        </w:rPr>
      </w:pPr>
      <w:r w:rsidRPr="00287AA9">
        <w:rPr>
          <w:rFonts w:hint="eastAsia"/>
        </w:rPr>
        <w:t>45.</w:t>
      </w:r>
      <w:r w:rsidRPr="00287AA9">
        <w:rPr>
          <w:rFonts w:hint="eastAsia"/>
        </w:rPr>
        <w:tab/>
        <w:t>这些建议包括对《刑法》进行下列补充和修改：</w:t>
      </w:r>
    </w:p>
    <w:p w:rsidR="00C509DE" w:rsidRPr="00287AA9" w:rsidRDefault="00C509DE" w:rsidP="00C509DE">
      <w:pPr>
        <w:pStyle w:val="SingleTxt"/>
        <w:rPr>
          <w:rFonts w:hint="eastAsia"/>
        </w:rPr>
      </w:pPr>
      <w:r w:rsidRPr="00287AA9">
        <w:rPr>
          <w:rFonts w:hint="eastAsia"/>
        </w:rPr>
        <w:tab/>
        <w:t>1.</w:t>
      </w:r>
      <w:r w:rsidRPr="00287AA9">
        <w:rPr>
          <w:rFonts w:hint="eastAsia"/>
        </w:rPr>
        <w:tab/>
        <w:t>与未满15岁儿童性交——取代陈旧的玷污罪——新罪行，修改玷污罪；</w:t>
      </w:r>
    </w:p>
    <w:p w:rsidR="00C509DE" w:rsidRPr="00287AA9" w:rsidRDefault="00C509DE" w:rsidP="00C509DE">
      <w:pPr>
        <w:pStyle w:val="SingleTxt"/>
        <w:rPr>
          <w:rFonts w:hint="eastAsia"/>
        </w:rPr>
      </w:pPr>
      <w:r w:rsidRPr="00287AA9">
        <w:rPr>
          <w:rFonts w:hint="eastAsia"/>
        </w:rPr>
        <w:tab/>
        <w:t>2.</w:t>
      </w:r>
      <w:r w:rsidRPr="00287AA9">
        <w:rPr>
          <w:rFonts w:hint="eastAsia"/>
        </w:rPr>
        <w:tab/>
        <w:t>滥用信任、权力或扶养关系——新罪行；</w:t>
      </w:r>
    </w:p>
    <w:p w:rsidR="00C509DE" w:rsidRPr="00287AA9" w:rsidRDefault="00C509DE" w:rsidP="00C509DE">
      <w:pPr>
        <w:pStyle w:val="SingleTxt"/>
        <w:rPr>
          <w:rFonts w:hint="eastAsia"/>
        </w:rPr>
      </w:pPr>
      <w:r w:rsidRPr="00287AA9">
        <w:rPr>
          <w:rFonts w:hint="eastAsia"/>
        </w:rPr>
        <w:tab/>
        <w:t>3.</w:t>
      </w:r>
      <w:r w:rsidRPr="00287AA9">
        <w:rPr>
          <w:rFonts w:hint="eastAsia"/>
        </w:rPr>
        <w:tab/>
        <w:t>对儿童持续进行性虐待——新罪行；</w:t>
      </w:r>
    </w:p>
    <w:p w:rsidR="00C509DE" w:rsidRPr="00287AA9" w:rsidRDefault="00C509DE" w:rsidP="00C509DE">
      <w:pPr>
        <w:pStyle w:val="SingleTxt"/>
        <w:rPr>
          <w:rFonts w:hint="eastAsia"/>
        </w:rPr>
      </w:pPr>
      <w:r w:rsidRPr="00287AA9">
        <w:rPr>
          <w:rFonts w:hint="eastAsia"/>
        </w:rPr>
        <w:tab/>
        <w:t>4.</w:t>
      </w:r>
      <w:r w:rsidRPr="00287AA9">
        <w:rPr>
          <w:rFonts w:hint="eastAsia"/>
        </w:rPr>
        <w:tab/>
        <w:t>对儿童的不正当触摸——新罪行；</w:t>
      </w:r>
    </w:p>
    <w:p w:rsidR="00C509DE" w:rsidRPr="00287AA9" w:rsidRDefault="00C509DE" w:rsidP="00C509DE">
      <w:pPr>
        <w:pStyle w:val="SingleTxt"/>
        <w:rPr>
          <w:rFonts w:hint="eastAsia"/>
        </w:rPr>
      </w:pPr>
      <w:r w:rsidRPr="00287AA9">
        <w:rPr>
          <w:rFonts w:hint="eastAsia"/>
        </w:rPr>
        <w:tab/>
        <w:t>5.</w:t>
      </w:r>
      <w:r w:rsidRPr="00287AA9">
        <w:rPr>
          <w:rFonts w:hint="eastAsia"/>
        </w:rPr>
        <w:tab/>
        <w:t>针对儿童的不正当行为——新罪行；</w:t>
      </w:r>
    </w:p>
    <w:p w:rsidR="00C509DE" w:rsidRPr="00287AA9" w:rsidRDefault="00C509DE" w:rsidP="00C509DE">
      <w:pPr>
        <w:pStyle w:val="SingleTxt"/>
        <w:rPr>
          <w:rFonts w:hint="eastAsia"/>
        </w:rPr>
      </w:pPr>
      <w:r w:rsidRPr="00287AA9">
        <w:rPr>
          <w:rFonts w:hint="eastAsia"/>
        </w:rPr>
        <w:tab/>
        <w:t>6.</w:t>
      </w:r>
      <w:r w:rsidRPr="00287AA9">
        <w:rPr>
          <w:rFonts w:hint="eastAsia"/>
        </w:rPr>
        <w:tab/>
        <w:t>儿童卖淫——新罪行；</w:t>
      </w:r>
    </w:p>
    <w:p w:rsidR="00C509DE" w:rsidRPr="00287AA9" w:rsidRDefault="00C509DE" w:rsidP="00C509DE">
      <w:pPr>
        <w:pStyle w:val="SingleTxt"/>
        <w:rPr>
          <w:rFonts w:hint="eastAsia"/>
        </w:rPr>
      </w:pPr>
      <w:r w:rsidRPr="00287AA9">
        <w:rPr>
          <w:rFonts w:hint="eastAsia"/>
        </w:rPr>
        <w:tab/>
        <w:t>7.</w:t>
      </w:r>
      <w:r w:rsidRPr="00287AA9">
        <w:rPr>
          <w:rFonts w:hint="eastAsia"/>
        </w:rPr>
        <w:tab/>
        <w:t>扩大强奸的定义。</w:t>
      </w:r>
    </w:p>
    <w:p w:rsidR="00C509DE" w:rsidRPr="00287AA9" w:rsidRDefault="00C509DE" w:rsidP="00C509DE">
      <w:pPr>
        <w:pStyle w:val="SingleTxt"/>
        <w:rPr>
          <w:rFonts w:hint="eastAsia"/>
        </w:rPr>
      </w:pPr>
      <w:r w:rsidRPr="00287AA9">
        <w:rPr>
          <w:rFonts w:hint="eastAsia"/>
        </w:rPr>
        <w:t>46.</w:t>
      </w:r>
      <w:r w:rsidRPr="00287AA9">
        <w:rPr>
          <w:rFonts w:hint="eastAsia"/>
        </w:rPr>
        <w:tab/>
        <w:t>还建议增列与儿童色情制品有关的新罪行，但法律改革委员会成员还在审议这一点。</w:t>
      </w:r>
    </w:p>
    <w:p w:rsidR="00C509DE" w:rsidRPr="00287AA9" w:rsidRDefault="00C509DE" w:rsidP="00C509DE">
      <w:pPr>
        <w:pStyle w:val="SingleTxt"/>
        <w:rPr>
          <w:rFonts w:hint="eastAsia"/>
        </w:rPr>
      </w:pPr>
      <w:r w:rsidRPr="00287AA9">
        <w:rPr>
          <w:rFonts w:hint="eastAsia"/>
        </w:rPr>
        <w:t>47.</w:t>
      </w:r>
      <w:r w:rsidRPr="00287AA9">
        <w:rPr>
          <w:rFonts w:hint="eastAsia"/>
        </w:rPr>
        <w:tab/>
        <w:t>法律改革委员会就强奸罪提出了以下建议：</w:t>
      </w:r>
    </w:p>
    <w:p w:rsidR="00C509DE" w:rsidRPr="00287AA9" w:rsidRDefault="00C509DE" w:rsidP="00C509DE">
      <w:pPr>
        <w:pStyle w:val="SingleTxt"/>
        <w:ind w:left="2126" w:hanging="431"/>
        <w:rPr>
          <w:rFonts w:hint="eastAsia"/>
        </w:rPr>
      </w:pPr>
      <w:r w:rsidRPr="00287AA9">
        <w:rPr>
          <w:rFonts w:hint="eastAsia"/>
        </w:rPr>
        <w:sym w:font="Symbol" w:char="F0B7"/>
      </w:r>
      <w:r w:rsidRPr="00287AA9">
        <w:tab/>
      </w:r>
      <w:r w:rsidRPr="00287AA9">
        <w:rPr>
          <w:rFonts w:hint="eastAsia"/>
        </w:rPr>
        <w:t>将强奸定为不分性别的犯罪行为，以同等保护妇女和男子、男孩和女孩；</w:t>
      </w:r>
    </w:p>
    <w:p w:rsidR="00C509DE" w:rsidRPr="00287AA9" w:rsidRDefault="00C509DE" w:rsidP="00C509DE">
      <w:pPr>
        <w:pStyle w:val="SingleTxt"/>
        <w:ind w:left="2126" w:hanging="431"/>
        <w:rPr>
          <w:rFonts w:hint="eastAsia"/>
        </w:rPr>
      </w:pPr>
      <w:r w:rsidRPr="00287AA9">
        <w:rPr>
          <w:rFonts w:hint="eastAsia"/>
        </w:rPr>
        <w:sym w:font="Symbol" w:char="F0B7"/>
      </w:r>
      <w:r w:rsidRPr="00287AA9">
        <w:tab/>
      </w:r>
      <w:r w:rsidRPr="00287AA9">
        <w:rPr>
          <w:rFonts w:hint="eastAsia"/>
        </w:rPr>
        <w:t>性交应包括伸入身体其他部位，包括用器具伸入身体其他部位，</w:t>
      </w:r>
    </w:p>
    <w:p w:rsidR="00C509DE" w:rsidRPr="00287AA9" w:rsidRDefault="00C509DE" w:rsidP="00C509DE">
      <w:pPr>
        <w:pStyle w:val="SingleTxt"/>
        <w:ind w:left="2126" w:hanging="431"/>
        <w:rPr>
          <w:rFonts w:hint="eastAsia"/>
        </w:rPr>
      </w:pPr>
      <w:r w:rsidRPr="00287AA9">
        <w:rPr>
          <w:rFonts w:hint="eastAsia"/>
        </w:rPr>
        <w:sym w:font="Symbol" w:char="F0B7"/>
      </w:r>
      <w:r w:rsidRPr="00287AA9">
        <w:tab/>
      </w:r>
      <w:r w:rsidRPr="00287AA9">
        <w:rPr>
          <w:rFonts w:hint="eastAsia"/>
        </w:rPr>
        <w:t>“同意”的法律定义为“个人在有作出选择的自由和能力的情况下给予的自由和自愿的同意”；</w:t>
      </w:r>
    </w:p>
    <w:p w:rsidR="00C509DE" w:rsidRPr="00287AA9" w:rsidRDefault="00C509DE" w:rsidP="00C509DE">
      <w:pPr>
        <w:pStyle w:val="SingleTxt"/>
        <w:ind w:left="2126" w:hanging="431"/>
        <w:rPr>
          <w:rFonts w:hint="eastAsia"/>
        </w:rPr>
      </w:pPr>
      <w:r w:rsidRPr="00287AA9">
        <w:rPr>
          <w:rFonts w:hint="eastAsia"/>
        </w:rPr>
        <w:sym w:font="Symbol" w:char="F0B7"/>
      </w:r>
      <w:r w:rsidRPr="00287AA9">
        <w:tab/>
      </w:r>
      <w:r w:rsidRPr="00287AA9">
        <w:rPr>
          <w:rFonts w:hint="eastAsia"/>
        </w:rPr>
        <w:t>对于个人因未成年、心理能力、熟睡或无知觉等原因而不能给予自由同意的情况，《刑法》应该给予指导。</w:t>
      </w:r>
    </w:p>
    <w:p w:rsidR="00C509DE" w:rsidRPr="00287AA9" w:rsidRDefault="00C509DE" w:rsidP="00C509DE">
      <w:pPr>
        <w:pStyle w:val="SingleTxt"/>
        <w:ind w:left="2126" w:hanging="431"/>
        <w:rPr>
          <w:rFonts w:hint="eastAsia"/>
        </w:rPr>
      </w:pPr>
      <w:r w:rsidRPr="00287AA9">
        <w:rPr>
          <w:rFonts w:hint="eastAsia"/>
        </w:rPr>
        <w:sym w:font="Symbol" w:char="F0B7"/>
      </w:r>
      <w:r w:rsidRPr="00287AA9">
        <w:tab/>
      </w:r>
      <w:r w:rsidRPr="00287AA9">
        <w:rPr>
          <w:rFonts w:hint="eastAsia"/>
        </w:rPr>
        <w:t>个人仅仅不喊叫或不挣扎并不表示同意；</w:t>
      </w:r>
    </w:p>
    <w:p w:rsidR="00C509DE" w:rsidRPr="00287AA9" w:rsidRDefault="00C509DE" w:rsidP="00C509DE">
      <w:pPr>
        <w:pStyle w:val="SingleTxt"/>
        <w:ind w:left="2126" w:hanging="431"/>
        <w:rPr>
          <w:rFonts w:hint="eastAsia"/>
        </w:rPr>
      </w:pPr>
      <w:r w:rsidRPr="00287AA9">
        <w:rPr>
          <w:rFonts w:hint="eastAsia"/>
        </w:rPr>
        <w:sym w:font="Symbol" w:char="F0B7"/>
      </w:r>
      <w:r w:rsidRPr="00287AA9">
        <w:tab/>
      </w:r>
      <w:r w:rsidRPr="00287AA9">
        <w:rPr>
          <w:rFonts w:hint="eastAsia"/>
        </w:rPr>
        <w:t>该罪行适用于所有人，包括受害者与被告人之间存在婚姻关系的情况。</w:t>
      </w:r>
    </w:p>
    <w:p w:rsidR="00C509DE" w:rsidRPr="00287AA9" w:rsidRDefault="00C509DE" w:rsidP="00C509DE">
      <w:pPr>
        <w:pStyle w:val="SingleTxt"/>
        <w:rPr>
          <w:rFonts w:hint="eastAsia"/>
        </w:rPr>
      </w:pPr>
      <w:r w:rsidRPr="00287AA9">
        <w:rPr>
          <w:rFonts w:hint="eastAsia"/>
        </w:rPr>
        <w:t>48.</w:t>
      </w:r>
      <w:r w:rsidRPr="00287AA9">
        <w:rPr>
          <w:rFonts w:hint="eastAsia"/>
        </w:rPr>
        <w:tab/>
        <w:t>法律改革委员会还收到关于审查《亲子关系、分居和抚养法》的参考意见。该参考意见于1995年提交法律改革委员会，但尚未着手执行。</w:t>
      </w:r>
    </w:p>
    <w:p w:rsidR="00C509DE" w:rsidRPr="00287AA9" w:rsidRDefault="00C509DE" w:rsidP="00C509DE">
      <w:pPr>
        <w:pStyle w:val="SingleTxt"/>
        <w:rPr>
          <w:rFonts w:hint="eastAsia"/>
        </w:rPr>
      </w:pPr>
      <w:r w:rsidRPr="00287AA9">
        <w:rPr>
          <w:rFonts w:hint="eastAsia"/>
        </w:rPr>
        <w:t>49.</w:t>
      </w:r>
      <w:r w:rsidRPr="00287AA9">
        <w:rPr>
          <w:rFonts w:hint="eastAsia"/>
        </w:rPr>
        <w:tab/>
        <w:t>法律改革委员会的工作受到人力资源、能力问题和优先事项相互竞争的限制。《刑法》审查工作一直稳步进行，已经取得显著成效。法律改革仍然是建立不歧视妇女的法律框架的一个优先事项(结论第93段)。</w:t>
      </w:r>
    </w:p>
    <w:p w:rsidR="00C509DE" w:rsidRPr="00287AA9" w:rsidRDefault="00C509DE" w:rsidP="00C509DE">
      <w:pPr>
        <w:pStyle w:val="SingleTxt"/>
        <w:rPr>
          <w:rFonts w:ascii="SimHei" w:eastAsia="SimHei" w:hint="eastAsia"/>
        </w:rPr>
      </w:pPr>
      <w:r w:rsidRPr="00287AA9">
        <w:rPr>
          <w:rFonts w:ascii="SimHei" w:eastAsia="SimHei" w:hint="eastAsia"/>
        </w:rPr>
        <w:t>妇女事务国家机构和政府政策</w:t>
      </w:r>
    </w:p>
    <w:p w:rsidR="00C509DE" w:rsidRPr="00287AA9" w:rsidRDefault="00C509DE" w:rsidP="00C509DE">
      <w:pPr>
        <w:pStyle w:val="SingleTxt"/>
        <w:rPr>
          <w:rFonts w:hint="eastAsia"/>
        </w:rPr>
      </w:pPr>
      <w:r w:rsidRPr="00287AA9">
        <w:rPr>
          <w:rFonts w:hint="eastAsia"/>
        </w:rPr>
        <w:t>50.</w:t>
      </w:r>
      <w:r w:rsidRPr="00287AA9">
        <w:rPr>
          <w:rFonts w:hint="eastAsia"/>
        </w:rPr>
        <w:tab/>
        <w:t>自1990年代以来，妇女事务政府机构经过了一些结构和职能变化。1994年，政府设立了青年、妇女、体育和娱乐部。1997年该部解散，将青年和妇女事务分配给不同的各部。2007年4月新设了一个部，即妇女、青年和儿童事务部，以确认妇女、青年和儿童作为社会发展的贡献者和受益者的重要地位。该部的任务陈述反映了所罗门群岛政府对平等的承诺，其中提到，“设立本部是为了通过有效的伙伴关系和坚定的承诺，主张并促进妇女、青年和儿童的权利，从而为所有人创造促进民族福祉的平等机会”。该部设有妇女发展司，该司根据有关性别平等和妇女问题的国家政策和行动计划履行其职责，并实施这些政策和计划。该司本身的任务陈述是“制定、协调和实施各项计划与活动，提供各种机会，增强妇女权能，使其能够充分参与索罗门群岛的发展”。若干发展伙伴提供了捐助，促进实施一些性别平等举措，使妇女发展司取得进展。</w:t>
      </w:r>
    </w:p>
    <w:p w:rsidR="00C509DE" w:rsidRPr="00287AA9" w:rsidRDefault="00C509DE" w:rsidP="00C509DE">
      <w:pPr>
        <w:pStyle w:val="SingleTxt"/>
        <w:rPr>
          <w:rFonts w:hint="eastAsia"/>
        </w:rPr>
      </w:pPr>
      <w:r w:rsidRPr="00287AA9">
        <w:rPr>
          <w:rFonts w:hint="eastAsia"/>
        </w:rPr>
        <w:t>51.</w:t>
      </w:r>
      <w:r w:rsidRPr="00287AA9">
        <w:rPr>
          <w:rFonts w:hint="eastAsia"/>
        </w:rPr>
        <w:tab/>
        <w:t>自设立妇女、青年、儿童与家庭事务部以来，《消除对妇女歧视公约》的执行工作虽然缓慢但一直在取得进展。为制定全面政策框架作出了很大努力，该框架不仅保护妇女权利，而且力求促进妇女的发展并处理关切问题。该部下一步的工作是制定执行、监测和评价这些政策的机制和程序。</w:t>
      </w:r>
    </w:p>
    <w:p w:rsidR="00C509DE" w:rsidRPr="00287AA9" w:rsidRDefault="00C509DE" w:rsidP="00C509DE">
      <w:pPr>
        <w:pStyle w:val="SingleTxt"/>
        <w:rPr>
          <w:rFonts w:hint="eastAsia"/>
        </w:rPr>
      </w:pPr>
      <w:r w:rsidRPr="00287AA9">
        <w:rPr>
          <w:rFonts w:hint="eastAsia"/>
        </w:rPr>
        <w:t>52.</w:t>
      </w:r>
      <w:r w:rsidRPr="00287AA9">
        <w:rPr>
          <w:rFonts w:hint="eastAsia"/>
        </w:rPr>
        <w:tab/>
        <w:t>2007年，妇女发展司共有8名工作人员，2009年稍有增加，有9名工作人员，所有工作人员都是妇女。2010年，妇女、青年和儿童事务部改称妇女、青年、儿童与家庭事务部。该部的运作表明索罗门群岛政府致力于在生活的各个方面实现妇女平等。</w:t>
      </w:r>
    </w:p>
    <w:p w:rsidR="00C509DE" w:rsidRPr="00287AA9" w:rsidRDefault="00C509DE" w:rsidP="00C509DE">
      <w:pPr>
        <w:pStyle w:val="SingleTxt"/>
        <w:rPr>
          <w:rFonts w:hint="eastAsia"/>
        </w:rPr>
      </w:pPr>
      <w:r w:rsidRPr="00287AA9">
        <w:rPr>
          <w:rFonts w:hint="eastAsia"/>
        </w:rPr>
        <w:t>53.</w:t>
      </w:r>
      <w:r w:rsidRPr="00287AA9">
        <w:rPr>
          <w:rFonts w:hint="eastAsia"/>
        </w:rPr>
        <w:tab/>
        <w:t>第一项国家妇女政策于1998年得到核可。该政策的宗旨和目标是促进和增加妇女在国家决策一级的参与，改善妇女和儿童福利相关信息的提供和流通，并促进开展培训方案，以提高妇女在国家发展各个层面的有效参与能力。但是，该政策一直没有相配的执行计划，尽管妇女、青年和儿童事务部2008-2010年整体计划最终提供了一些执行准则。该政策和计划一同提供了一个性别平等综合平台。</w:t>
      </w:r>
      <w:r w:rsidRPr="00287AA9">
        <w:rPr>
          <w:rStyle w:val="FootnoteReference"/>
        </w:rPr>
        <w:footnoteReference w:id="10"/>
      </w:r>
      <w:r w:rsidRPr="00287AA9">
        <w:rPr>
          <w:rFonts w:hint="eastAsia"/>
        </w:rPr>
        <w:t xml:space="preserve"> 在妇女获得保健和教育以及更多参与劳动队伍方面取得了明显改观，但占一半人口的所罗门群岛妇女与男子相比，这方面的情况仍然落后。</w:t>
      </w:r>
      <w:r w:rsidRPr="00287AA9">
        <w:rPr>
          <w:rStyle w:val="FootnoteReference"/>
        </w:rPr>
        <w:footnoteReference w:id="11"/>
      </w:r>
    </w:p>
    <w:p w:rsidR="00C509DE" w:rsidRPr="00287AA9" w:rsidRDefault="00C509DE" w:rsidP="00C509DE">
      <w:pPr>
        <w:pStyle w:val="SingleTxt"/>
        <w:rPr>
          <w:rFonts w:hint="eastAsia"/>
        </w:rPr>
      </w:pPr>
      <w:r w:rsidRPr="00287AA9">
        <w:rPr>
          <w:rFonts w:hint="eastAsia"/>
        </w:rPr>
        <w:t>54.</w:t>
      </w:r>
      <w:r w:rsidRPr="00287AA9">
        <w:rPr>
          <w:rFonts w:hint="eastAsia"/>
        </w:rPr>
        <w:tab/>
      </w:r>
      <w:r w:rsidRPr="00287AA9">
        <w:rPr>
          <w:rFonts w:hint="eastAsia"/>
          <w:spacing w:val="-2"/>
        </w:rPr>
        <w:t>2007年设立妇女、青年和儿童事务部时，没有配拨适当数量的资源，这反映了当时政府缺乏对性别平等的承诺。2009年，妇女发展司方案费用只得到1 120 584</w:t>
      </w:r>
      <w:r w:rsidRPr="00287AA9">
        <w:rPr>
          <w:rFonts w:hint="eastAsia"/>
        </w:rPr>
        <w:t>所罗门元的拨款，2010年稍有增加，增至1 204 613所罗门元。妇女发展司一直因缺乏资源而受到限制。</w:t>
      </w:r>
    </w:p>
    <w:p w:rsidR="00C509DE" w:rsidRPr="00287AA9" w:rsidRDefault="00C509DE" w:rsidP="00C509DE">
      <w:pPr>
        <w:pStyle w:val="SingleTxt"/>
        <w:rPr>
          <w:rFonts w:hint="eastAsia"/>
        </w:rPr>
      </w:pPr>
      <w:r w:rsidRPr="00287AA9">
        <w:rPr>
          <w:rFonts w:hint="eastAsia"/>
        </w:rPr>
        <w:t>55.</w:t>
      </w:r>
      <w:r w:rsidRPr="00287AA9">
        <w:rPr>
          <w:rFonts w:hint="eastAsia"/>
        </w:rPr>
        <w:tab/>
        <w:t>2006年，设立了所罗门群岛消除对妇女歧视公约国家咨询委员会。该委员会由家庭事务、妇女、青年和体育部常务秘书担任主席，但一段时间以来没有开展活动。2012年6月，对该委员会的成员情况进行了审查，并重新设立了该委员会。由于认识到《公约》涉及多个部门的交叉问题，该委员会承担了政府与非政府组织之间的伙伴关系角色，其成员代表各个部门和行为体。为该委员会制定了新的职权范围，并于2012年6月举行了该委员会第一次会议。根据设想，该委员会将每季度举行会议。它将作为一个顾问和咨询小组，其主要作用是监督《公约》的执行情况。</w:t>
      </w:r>
    </w:p>
    <w:p w:rsidR="00C509DE" w:rsidRPr="00287AA9" w:rsidRDefault="00C509DE" w:rsidP="00C509DE">
      <w:pPr>
        <w:pStyle w:val="SingleTxt"/>
        <w:rPr>
          <w:rFonts w:hint="eastAsia"/>
        </w:rPr>
      </w:pPr>
      <w:r w:rsidRPr="00287AA9">
        <w:rPr>
          <w:rFonts w:hint="eastAsia"/>
        </w:rPr>
        <w:t>56.</w:t>
      </w:r>
      <w:r w:rsidRPr="00287AA9">
        <w:rPr>
          <w:rFonts w:hint="eastAsia"/>
        </w:rPr>
        <w:tab/>
        <w:t>自2007年以来，妇女、青年、儿童与家庭事务部(按其目前的名称)为白丝带运动发挥了协调作用。这一运动是非政府组织和该部发起的消除“暴力侵害妇女行为”宣传活动，于每年的11月25日开始，12月10日结束，每次都以穿过首都霍尼亚拉的游行为起点。该运动被称为“16日活动”，其间开展一系列提高对暴力侵害妇女行为认识的活动。该运动的规模每年不断增加，私营部门和发展伙伴的参与也有所增加。自2012年起，政府将增加支助，以便在更多省份开展该运动。2007年以前，由非政府组织负责该运动的协调。该运动提高了对性别平等的认识。</w:t>
      </w:r>
    </w:p>
    <w:p w:rsidR="00C509DE" w:rsidRPr="00287AA9" w:rsidRDefault="00C509DE" w:rsidP="00C509DE">
      <w:pPr>
        <w:pStyle w:val="SingleTxt"/>
        <w:rPr>
          <w:rFonts w:hint="eastAsia"/>
        </w:rPr>
      </w:pPr>
      <w:r w:rsidRPr="00287AA9">
        <w:rPr>
          <w:rFonts w:hint="eastAsia"/>
        </w:rPr>
        <w:t>57.</w:t>
      </w:r>
      <w:r w:rsidRPr="00287AA9">
        <w:rPr>
          <w:rFonts w:hint="eastAsia"/>
        </w:rPr>
        <w:tab/>
        <w:t>2007年，妇女发展司就《消除对妇女歧视公约》、人权和暴力侵害妇女行为举办了一系列提高认识讲习班。共举办了8个讲习班，其中4个是在各省举办的。2007年，妇女发展司的援助赠款支付总额为215 345.09所罗门岛元。2008-2010年整个期间，就《消除对妇女歧视公约》在9个省中的8个省以及首都霍尼亚拉实施了一系列全国宣传和提高认识方案。讲习班包括性别平等、《消除对妇女歧视公约》的各项规定、暴力侵害妇女行为和生活技能等主题。讲习班还注重加强经济权能。另外还向妇女的社区发展项目提供了赠款。</w:t>
      </w:r>
    </w:p>
    <w:p w:rsidR="00C509DE" w:rsidRPr="00287AA9" w:rsidRDefault="00C509DE" w:rsidP="00C509DE">
      <w:pPr>
        <w:pStyle w:val="SingleTxt"/>
        <w:rPr>
          <w:rFonts w:hint="eastAsia"/>
        </w:rPr>
      </w:pPr>
      <w:r w:rsidRPr="00287AA9">
        <w:rPr>
          <w:rFonts w:hint="eastAsia"/>
        </w:rPr>
        <w:t>58.</w:t>
      </w:r>
      <w:r w:rsidRPr="00287AA9">
        <w:rPr>
          <w:rFonts w:hint="eastAsia"/>
        </w:rPr>
        <w:tab/>
        <w:t>以前，妇女发展司的政策和方案监测和评价机制未包括业绩指标，也未受到严格审查。监测的主要途径是每月召开工作人员会议和向内阁提交年度报告。现已认识到，必须作为优先事项，对有关《消除对妇女歧视公约》的所有政策进行连贯和严格的监测和评价。</w:t>
      </w:r>
    </w:p>
    <w:p w:rsidR="00C509DE" w:rsidRPr="00287AA9" w:rsidRDefault="00C509DE" w:rsidP="00C509DE">
      <w:pPr>
        <w:pStyle w:val="SingleTxt"/>
        <w:rPr>
          <w:rFonts w:hint="eastAsia"/>
        </w:rPr>
      </w:pPr>
      <w:r w:rsidRPr="00287AA9">
        <w:rPr>
          <w:rFonts w:hint="eastAsia"/>
        </w:rPr>
        <w:t>59.</w:t>
      </w:r>
      <w:r w:rsidRPr="00287AA9">
        <w:rPr>
          <w:rFonts w:hint="eastAsia"/>
        </w:rPr>
        <w:tab/>
        <w:t>妇女发展司实施的一些项目仍然以满足妇女的实际需求为核心。但是，在发展伙伴的支持下，方案和项目越来越多地按照所罗门群岛对国际人权标准和原则的承诺来拟定，包括编写2009年向核心小组提交的暂行特别措施政策文件。然而，核心小组认为，对此没有进行足够的协商，因此不支持该政策文件。</w:t>
      </w:r>
    </w:p>
    <w:p w:rsidR="00C509DE" w:rsidRPr="00287AA9" w:rsidRDefault="00C509DE" w:rsidP="00C509DE">
      <w:pPr>
        <w:pStyle w:val="SingleTxt"/>
        <w:rPr>
          <w:rFonts w:hint="eastAsia"/>
        </w:rPr>
      </w:pPr>
      <w:r w:rsidRPr="00287AA9">
        <w:rPr>
          <w:rFonts w:hint="eastAsia"/>
        </w:rPr>
        <w:t>60.</w:t>
      </w:r>
      <w:r w:rsidRPr="00287AA9">
        <w:rPr>
          <w:rFonts w:hint="eastAsia"/>
        </w:rPr>
        <w:tab/>
        <w:t>一些民间社会组织在促进、执行和支持妇女发展司的工作方面发挥了主要作用。1983年设立的索罗门群岛国家妇女理事会是索罗门群岛政府的一项举措，它作为妇女对政府的监察实体和论坛而设立，是国家妇女机构的一部分。国家妇女理事会的宗旨和目标是：</w:t>
      </w:r>
    </w:p>
    <w:p w:rsidR="00C509DE" w:rsidRPr="00287AA9" w:rsidRDefault="00C509DE" w:rsidP="00C509DE">
      <w:pPr>
        <w:pStyle w:val="SingleTxt"/>
        <w:ind w:left="2126" w:hanging="431"/>
        <w:rPr>
          <w:rFonts w:hint="eastAsia"/>
        </w:rPr>
      </w:pPr>
      <w:r w:rsidRPr="00287AA9">
        <w:rPr>
          <w:rFonts w:hint="eastAsia"/>
        </w:rPr>
        <w:sym w:font="Symbol" w:char="F0B7"/>
      </w:r>
      <w:r w:rsidRPr="00287AA9">
        <w:tab/>
      </w:r>
      <w:r w:rsidRPr="00287AA9">
        <w:rPr>
          <w:rFonts w:hint="eastAsia"/>
        </w:rPr>
        <w:t>充当妇女在所罗门群岛政府和其他实体中的代表；</w:t>
      </w:r>
    </w:p>
    <w:p w:rsidR="00C509DE" w:rsidRPr="00287AA9" w:rsidRDefault="00C509DE" w:rsidP="00C509DE">
      <w:pPr>
        <w:pStyle w:val="SingleTxt"/>
        <w:ind w:left="2126" w:hanging="431"/>
        <w:rPr>
          <w:rFonts w:hint="eastAsia"/>
        </w:rPr>
      </w:pPr>
      <w:r w:rsidRPr="00287AA9">
        <w:rPr>
          <w:rFonts w:hint="eastAsia"/>
        </w:rPr>
        <w:sym w:font="Symbol" w:char="F0B7"/>
      </w:r>
      <w:r w:rsidRPr="00287AA9">
        <w:tab/>
      </w:r>
      <w:r w:rsidRPr="00287AA9">
        <w:rPr>
          <w:rFonts w:hint="eastAsia"/>
        </w:rPr>
        <w:t>就政府政策向所罗门群岛政府提供咨询意见；</w:t>
      </w:r>
    </w:p>
    <w:p w:rsidR="00C509DE" w:rsidRPr="00287AA9" w:rsidRDefault="00C509DE" w:rsidP="00C509DE">
      <w:pPr>
        <w:pStyle w:val="SingleTxt"/>
        <w:ind w:left="2126" w:hanging="431"/>
        <w:rPr>
          <w:rFonts w:hint="eastAsia"/>
        </w:rPr>
      </w:pPr>
      <w:r w:rsidRPr="00287AA9">
        <w:rPr>
          <w:rFonts w:hint="eastAsia"/>
        </w:rPr>
        <w:sym w:font="Symbol" w:char="F0B7"/>
      </w:r>
      <w:r w:rsidRPr="00287AA9">
        <w:tab/>
      </w:r>
      <w:r w:rsidRPr="00287AA9">
        <w:rPr>
          <w:rFonts w:hint="eastAsia"/>
        </w:rPr>
        <w:t>提供一个论坛，让所罗门群岛妇女就影响她们的问题发表意见；</w:t>
      </w:r>
    </w:p>
    <w:p w:rsidR="00C509DE" w:rsidRPr="00287AA9" w:rsidRDefault="00C509DE" w:rsidP="00C509DE">
      <w:pPr>
        <w:pStyle w:val="SingleTxt"/>
        <w:ind w:left="2126" w:hanging="431"/>
        <w:rPr>
          <w:rFonts w:hint="eastAsia"/>
        </w:rPr>
      </w:pPr>
      <w:r w:rsidRPr="00287AA9">
        <w:rPr>
          <w:rFonts w:hint="eastAsia"/>
        </w:rPr>
        <w:sym w:font="Symbol" w:char="F0B7"/>
      </w:r>
      <w:r w:rsidRPr="00287AA9">
        <w:tab/>
      </w:r>
      <w:r w:rsidRPr="00287AA9">
        <w:rPr>
          <w:rFonts w:hint="eastAsia"/>
        </w:rPr>
        <w:t>鼓励所罗门群岛妇女参与决策机构和进程；</w:t>
      </w:r>
    </w:p>
    <w:p w:rsidR="00C509DE" w:rsidRPr="00287AA9" w:rsidRDefault="00C509DE" w:rsidP="00C509DE">
      <w:pPr>
        <w:pStyle w:val="SingleTxt"/>
        <w:ind w:left="2126" w:hanging="431"/>
        <w:rPr>
          <w:rFonts w:hint="eastAsia"/>
        </w:rPr>
      </w:pPr>
      <w:r w:rsidRPr="00287AA9">
        <w:rPr>
          <w:rFonts w:hint="eastAsia"/>
        </w:rPr>
        <w:sym w:font="Symbol" w:char="F0B7"/>
      </w:r>
      <w:r w:rsidRPr="00287AA9">
        <w:tab/>
      </w:r>
      <w:r w:rsidRPr="00287AA9">
        <w:rPr>
          <w:rFonts w:hint="eastAsia"/>
        </w:rPr>
        <w:t>确定所罗门群岛妇女的需求并找出满足这些需求的途径；</w:t>
      </w:r>
    </w:p>
    <w:p w:rsidR="00C509DE" w:rsidRPr="00287AA9" w:rsidRDefault="00C509DE" w:rsidP="00C509DE">
      <w:pPr>
        <w:pStyle w:val="SingleTxt"/>
        <w:ind w:left="2126" w:hanging="431"/>
        <w:rPr>
          <w:rFonts w:hint="eastAsia"/>
        </w:rPr>
      </w:pPr>
      <w:r w:rsidRPr="00287AA9">
        <w:rPr>
          <w:rFonts w:hint="eastAsia"/>
        </w:rPr>
        <w:sym w:font="Symbol" w:char="F0B7"/>
      </w:r>
      <w:r w:rsidRPr="00287AA9">
        <w:tab/>
      </w:r>
      <w:r w:rsidRPr="00287AA9">
        <w:rPr>
          <w:rFonts w:hint="eastAsia"/>
        </w:rPr>
        <w:t>提高对妇女关切问题的认识；</w:t>
      </w:r>
    </w:p>
    <w:p w:rsidR="00C509DE" w:rsidRPr="00287AA9" w:rsidRDefault="00C509DE" w:rsidP="00C509DE">
      <w:pPr>
        <w:pStyle w:val="SingleTxt"/>
        <w:ind w:left="2126" w:hanging="431"/>
        <w:rPr>
          <w:rFonts w:hint="eastAsia"/>
        </w:rPr>
      </w:pPr>
      <w:r w:rsidRPr="00287AA9">
        <w:rPr>
          <w:rFonts w:hint="eastAsia"/>
        </w:rPr>
        <w:sym w:font="Symbol" w:char="F0B7"/>
      </w:r>
      <w:r w:rsidRPr="00287AA9">
        <w:tab/>
      </w:r>
      <w:r w:rsidRPr="00287AA9">
        <w:rPr>
          <w:rFonts w:hint="eastAsia"/>
        </w:rPr>
        <w:t>酌情与其他机构和组织建立有效的伙伴关系。</w:t>
      </w:r>
    </w:p>
    <w:p w:rsidR="00C509DE" w:rsidRPr="00287AA9" w:rsidRDefault="00C509DE" w:rsidP="00C509DE">
      <w:pPr>
        <w:pStyle w:val="SingleTxt"/>
        <w:rPr>
          <w:rFonts w:hint="eastAsia"/>
        </w:rPr>
      </w:pPr>
      <w:r w:rsidRPr="00287AA9">
        <w:rPr>
          <w:rFonts w:hint="eastAsia"/>
        </w:rPr>
        <w:t>61.</w:t>
      </w:r>
      <w:r w:rsidRPr="00287AA9">
        <w:rPr>
          <w:rFonts w:hint="eastAsia"/>
        </w:rPr>
        <w:tab/>
        <w:t>公务员委员会是负责整个公务员人力资源管理的实体。目前，公务员委员会没有支持性别平等的具体规则或条例。不过，所罗门群岛政府于2010年启动了一项“所罗门群岛2010-2015年人力资源管理战略”。该战略的目标14是“协助所罗门群岛政府在整个公务员领域执行性别平等战略，为妇女提供与男子相同的就业和职业发展机会”。迄今一直将重点放在建立该战略的执行机制和程序，而没有监测或评价这项目标的执行情况。2011年，公共服务部启动了“领导和管理发展框架”，该框架强调必须在公务员领域平等地提供领导和管理机会。</w:t>
      </w:r>
    </w:p>
    <w:p w:rsidR="00C509DE" w:rsidRPr="00287AA9" w:rsidRDefault="00C509DE" w:rsidP="00C509DE">
      <w:pPr>
        <w:pStyle w:val="SingleTxt"/>
        <w:spacing w:after="120"/>
        <w:rPr>
          <w:rFonts w:hint="eastAsia"/>
        </w:rPr>
      </w:pPr>
      <w:r w:rsidRPr="00287AA9">
        <w:rPr>
          <w:rFonts w:hint="eastAsia"/>
        </w:rPr>
        <w:t>62.</w:t>
      </w:r>
      <w:r w:rsidRPr="00287AA9">
        <w:rPr>
          <w:rFonts w:hint="eastAsia"/>
        </w:rPr>
        <w:tab/>
        <w:t>公务员委员会商定了促进性别平等的若干战略，</w:t>
      </w:r>
      <w:r w:rsidRPr="00287AA9">
        <w:rPr>
          <w:rStyle w:val="FootnoteReference"/>
        </w:rPr>
        <w:footnoteReference w:id="12"/>
      </w:r>
      <w:r w:rsidRPr="00287AA9">
        <w:rPr>
          <w:rFonts w:hint="eastAsia"/>
        </w:rPr>
        <w:t xml:space="preserve"> 包括将性别平等主流化作为常务秘书业绩协定的四个主要成果领域之一。2012年8月，妇女、青年、儿童与家庭事务部为常务秘书举办了性别平等主流化讨论会，会议讨论的成果是商定设立性别平等问题协调中心，以确保在整个政府中采纳和执行性别平等主流化。在区域援助所罗门群岛特派团</w:t>
      </w:r>
      <w:r w:rsidRPr="00287AA9">
        <w:rPr>
          <w:rStyle w:val="FootnoteReference"/>
        </w:rPr>
        <w:footnoteReference w:id="13"/>
      </w:r>
      <w:r w:rsidRPr="00287AA9">
        <w:rPr>
          <w:rFonts w:hint="eastAsia"/>
        </w:rPr>
        <w:t xml:space="preserve"> 和太平洋共同体秘书处</w:t>
      </w:r>
      <w:r w:rsidRPr="00287AA9">
        <w:rPr>
          <w:rStyle w:val="FootnoteReference"/>
        </w:rPr>
        <w:footnoteReference w:id="14"/>
      </w:r>
      <w:r w:rsidRPr="00287AA9">
        <w:rPr>
          <w:rFonts w:hint="eastAsia"/>
        </w:rPr>
        <w:t xml:space="preserve"> 帮助下，该部还在制定一份《性别平等主流化手册》，将于2012年底前最后定稿。</w:t>
      </w:r>
    </w:p>
    <w:p w:rsidR="00C509DE" w:rsidRPr="00287AA9" w:rsidRDefault="00C509DE" w:rsidP="00C509DE">
      <w:pPr>
        <w:pStyle w:val="SingleTxt"/>
        <w:spacing w:after="120"/>
        <w:rPr>
          <w:rFonts w:hint="eastAsia"/>
        </w:rPr>
      </w:pPr>
      <w:r w:rsidRPr="00287AA9">
        <w:rPr>
          <w:rFonts w:hint="eastAsia"/>
        </w:rPr>
        <w:t>63.</w:t>
      </w:r>
      <w:r w:rsidRPr="00287AA9">
        <w:rPr>
          <w:rFonts w:hint="eastAsia"/>
        </w:rPr>
        <w:tab/>
        <w:t>妇女、青年、儿童与家庭事务部还开始清点公务员部门现有和潜在的性别平等协调中心，目的是与它们建立工作联系，并确定必要的能力建设需求。这些协调中心将由该部通过其性别平等和妇女发展国家政策协调股予以协调。</w:t>
      </w:r>
    </w:p>
    <w:p w:rsidR="00C509DE" w:rsidRPr="00287AA9" w:rsidRDefault="00C509DE" w:rsidP="00C509DE">
      <w:pPr>
        <w:pStyle w:val="SingleTxt"/>
        <w:spacing w:after="120"/>
        <w:rPr>
          <w:rFonts w:hint="eastAsia"/>
        </w:rPr>
      </w:pPr>
      <w:r w:rsidRPr="00287AA9">
        <w:rPr>
          <w:rFonts w:hint="eastAsia"/>
        </w:rPr>
        <w:t>64.</w:t>
      </w:r>
      <w:r w:rsidRPr="00287AA9">
        <w:rPr>
          <w:rFonts w:hint="eastAsia"/>
        </w:rPr>
        <w:tab/>
        <w:t>为了促进性别平等主流化，一些部已经设立了性别平等协调中心。财政部、总理办公厅和发展、规划与援助协调部设立这些协调中心是作为性别平等和妇女发展国家政策执行计划的一部分。发展、规划与援助协调部已经征聘了性别平等协调中心工作人员。</w:t>
      </w:r>
    </w:p>
    <w:p w:rsidR="00C509DE" w:rsidRPr="00287AA9" w:rsidRDefault="00C509DE" w:rsidP="00C509DE">
      <w:pPr>
        <w:pStyle w:val="SingleTxt"/>
        <w:spacing w:after="120"/>
        <w:rPr>
          <w:rFonts w:hint="eastAsia"/>
        </w:rPr>
      </w:pPr>
      <w:r w:rsidRPr="00287AA9">
        <w:rPr>
          <w:rFonts w:hint="eastAsia"/>
        </w:rPr>
        <w:t>65.</w:t>
      </w:r>
      <w:r w:rsidRPr="00287AA9">
        <w:rPr>
          <w:rFonts w:hint="eastAsia"/>
        </w:rPr>
        <w:tab/>
        <w:t>议会中没有具体负责性别平等协调任务的委员会。</w:t>
      </w:r>
    </w:p>
    <w:p w:rsidR="00C509DE" w:rsidRPr="00287AA9" w:rsidRDefault="00C509DE" w:rsidP="00C509DE">
      <w:pPr>
        <w:pStyle w:val="SingleTxt"/>
        <w:spacing w:after="120" w:line="310" w:lineRule="exact"/>
        <w:rPr>
          <w:rFonts w:hint="eastAsia"/>
        </w:rPr>
      </w:pPr>
      <w:r w:rsidRPr="00287AA9">
        <w:rPr>
          <w:rFonts w:hint="eastAsia"/>
        </w:rPr>
        <w:t>66.</w:t>
      </w:r>
      <w:r w:rsidRPr="00287AA9">
        <w:rPr>
          <w:rFonts w:hint="eastAsia"/>
        </w:rPr>
        <w:tab/>
        <w:t>渔业和海洋资源部认识到妇女在渔业部门的重要性，通过“Mekem Strong所罗门群岛渔业机构强化方案”与世界渔业中心建立了伙伴关系，合作制定一项将性别平等纳入渔业主流的战略。为了在渔业部门实现性别平等，对渔业和海洋资源部2011-2013年整体计划进行了审查，为上述战略奠定了基础。该战略的目标是加强妇女的作用，将性别平等纳入渔业主流。它将确保妇女成为近岸渔业管理和发展的积极参与人，并确保她们做出有意义的贡献。该战略的目标之一是为渔业和海洋资源部2011-2013年整体计划的转化实施提供一个对性别问题有敏感认识的角度。</w:t>
      </w:r>
    </w:p>
    <w:p w:rsidR="00C509DE" w:rsidRPr="00287AA9" w:rsidRDefault="00C509DE" w:rsidP="00C509DE">
      <w:pPr>
        <w:pStyle w:val="SingleTxt"/>
        <w:spacing w:after="120" w:line="310" w:lineRule="exact"/>
        <w:rPr>
          <w:rFonts w:hint="eastAsia"/>
        </w:rPr>
      </w:pPr>
      <w:r w:rsidRPr="00287AA9">
        <w:rPr>
          <w:rFonts w:hint="eastAsia"/>
        </w:rPr>
        <w:t>67.</w:t>
      </w:r>
      <w:r w:rsidRPr="00287AA9">
        <w:rPr>
          <w:rFonts w:hint="eastAsia"/>
        </w:rPr>
        <w:tab/>
        <w:t>2004年，卫生和医疗部制定了所罗门群岛2005-2010年残疾问题国家政策。该政策的目标之一是促进残疾妇女平等参与，并将残疾妇女问题纳入国家、区域和国际各级主流。该政策认识到，与残疾男子和男童相比，残疾妇女和女童在家庭内部遭受更多歧视，她们得不到保健服务和教育，并经常被社会和社区活动拒之门外。该政策的另一个目标是，在无论残疾状况或性别所有人均享有平等权利和赋权的基础上，创造更多的创收、就业和晋升机会。定于2013年对该政策进行审查，以便制定和执行更符合最新情况的政策。</w:t>
      </w:r>
    </w:p>
    <w:p w:rsidR="00C509DE" w:rsidRPr="00287AA9" w:rsidRDefault="00C509DE" w:rsidP="00C509DE">
      <w:pPr>
        <w:pStyle w:val="SingleTxt"/>
        <w:rPr>
          <w:rFonts w:hint="eastAsia"/>
        </w:rPr>
      </w:pPr>
      <w:r w:rsidRPr="00287AA9">
        <w:rPr>
          <w:rFonts w:hint="eastAsia"/>
        </w:rPr>
        <w:t>68.</w:t>
      </w:r>
      <w:r w:rsidRPr="00287AA9">
        <w:rPr>
          <w:rFonts w:hint="eastAsia"/>
        </w:rPr>
        <w:tab/>
        <w:t>由于认识到需要对学生进行人权教育，2011年开始对8年级社会科学教科书进行审查。将在该教科书中列入三个有关人权的章节，包括：规章、法律和司法机构——法院和法律在保护《宪法》保障所罗门群岛公民拥有的人权和基本自由方面的作用；性别不平等——在所罗门群岛社会应该如何鼓励性别平等；妇女和领导——妇女在社会中不断变化的作用及其面临的障碍。预期更新后的教科书将在2013年提供给学校使用。</w:t>
      </w:r>
    </w:p>
    <w:p w:rsidR="00C509DE" w:rsidRPr="00287AA9" w:rsidRDefault="00C509DE" w:rsidP="00C509DE">
      <w:pPr>
        <w:pStyle w:val="SingleTxt"/>
        <w:rPr>
          <w:rFonts w:ascii="SimHei" w:eastAsia="SimHei" w:hint="eastAsia"/>
        </w:rPr>
      </w:pPr>
      <w:r w:rsidRPr="00287AA9">
        <w:rPr>
          <w:rFonts w:ascii="SimHei" w:eastAsia="SimHei" w:hint="eastAsia"/>
        </w:rPr>
        <w:t>性别平等和妇女发展国家政策</w:t>
      </w:r>
    </w:p>
    <w:p w:rsidR="00C509DE" w:rsidRPr="00287AA9" w:rsidRDefault="00C509DE" w:rsidP="00C509DE">
      <w:pPr>
        <w:pStyle w:val="SingleTxt"/>
        <w:rPr>
          <w:rFonts w:hint="eastAsia"/>
        </w:rPr>
      </w:pPr>
      <w:r w:rsidRPr="00287AA9">
        <w:rPr>
          <w:rFonts w:hint="eastAsia"/>
        </w:rPr>
        <w:t>69.</w:t>
      </w:r>
      <w:r w:rsidRPr="00287AA9">
        <w:rPr>
          <w:rFonts w:hint="eastAsia"/>
        </w:rPr>
        <w:tab/>
        <w:t>2009年对国家妇女政策进行了审查。2010年，内阁核可了性别平等和妇女发展国家政策。该政策配有一项战略行动计划(2010-2012年)，并与具体的国际和区域性别平等承诺相联系。该政策的目标是促进性别平等和加强妇女发展，确保所罗门群岛妇女和男子在发展和决策的所有领域、所有层次作出积极贡献和有效参与。该政策将性别平等与发展相结合，因此是一个非常重要的步骤。相比之下，以前的政策主要偏重发展。该政策的目标与所罗门群岛政府2008-2010年中期发展战略相一致。由于大部分人口居住在农村，中期发展战略认识到，妇女的发展将有助于实现满足农村人民基本需求的国家目标，并确保真正提高农村人民的生活水平。</w:t>
      </w:r>
    </w:p>
    <w:p w:rsidR="00C509DE" w:rsidRPr="00287AA9" w:rsidRDefault="00C509DE" w:rsidP="00C509DE">
      <w:pPr>
        <w:pStyle w:val="SingleTxt"/>
        <w:rPr>
          <w:rFonts w:hint="eastAsia"/>
        </w:rPr>
      </w:pPr>
      <w:r w:rsidRPr="00287AA9">
        <w:rPr>
          <w:rFonts w:hint="eastAsia"/>
        </w:rPr>
        <w:t>70.</w:t>
      </w:r>
      <w:r w:rsidRPr="00287AA9">
        <w:rPr>
          <w:rFonts w:hint="eastAsia"/>
        </w:rPr>
        <w:tab/>
        <w:t>尽管已有性别平等和妇女发展国家政策，目前尚无省级妇女政策。妇女、青年、儿童与家庭事务部两年来的工作计划一直包括制定省级妇女政策，但制定工作尚待完成。达尔卡纳尔省和舒瓦瑟尔省的妇女政策制定工作已经开始。预期这两个省将在2012年底或2013年初完成确定其政策。由于资源限制、预算支持问题以及该部相互竞争的优先事项，省级政策制定工作进展缓慢。</w:t>
      </w:r>
    </w:p>
    <w:p w:rsidR="00C509DE" w:rsidRPr="00287AA9" w:rsidRDefault="00C509DE" w:rsidP="00C509DE">
      <w:pPr>
        <w:pStyle w:val="SingleTxt"/>
        <w:rPr>
          <w:rFonts w:hint="eastAsia"/>
        </w:rPr>
      </w:pPr>
      <w:r w:rsidRPr="00287AA9">
        <w:rPr>
          <w:rFonts w:hint="eastAsia"/>
        </w:rPr>
        <w:t>71.</w:t>
      </w:r>
      <w:r w:rsidRPr="00287AA9">
        <w:rPr>
          <w:rFonts w:hint="eastAsia"/>
        </w:rPr>
        <w:tab/>
        <w:t>为了显示其消除对妇女一切形式歧视的决心，所罗门群岛政府承诺为执行性别平等和妇女发展国家政策提供充足资源。在该政策整个周期内(2010-2015年)，将力求实现下列5项优先成果：</w:t>
      </w:r>
    </w:p>
    <w:p w:rsidR="00C509DE" w:rsidRPr="00287AA9" w:rsidRDefault="00C509DE" w:rsidP="00C509DE">
      <w:pPr>
        <w:pStyle w:val="SingleTxt"/>
        <w:ind w:left="2126" w:hanging="431"/>
        <w:rPr>
          <w:rFonts w:hint="eastAsia"/>
        </w:rPr>
      </w:pPr>
      <w:r w:rsidRPr="00287AA9">
        <w:rPr>
          <w:rFonts w:hint="eastAsia"/>
        </w:rPr>
        <w:sym w:font="Symbol" w:char="F0B7"/>
      </w:r>
      <w:r w:rsidRPr="00287AA9">
        <w:tab/>
      </w:r>
      <w:r w:rsidRPr="00287AA9">
        <w:rPr>
          <w:rFonts w:hint="eastAsia"/>
        </w:rPr>
        <w:t>为妇女、男子、女孩和男孩提供更好的和公平的保健和教育；</w:t>
      </w:r>
    </w:p>
    <w:p w:rsidR="00C509DE" w:rsidRPr="00287AA9" w:rsidRDefault="00C509DE" w:rsidP="00C509DE">
      <w:pPr>
        <w:pStyle w:val="SingleTxt"/>
        <w:ind w:left="2126" w:hanging="431"/>
        <w:rPr>
          <w:rFonts w:hint="eastAsia"/>
        </w:rPr>
      </w:pPr>
      <w:r w:rsidRPr="00287AA9">
        <w:rPr>
          <w:rFonts w:hint="eastAsia"/>
        </w:rPr>
        <w:sym w:font="Symbol" w:char="F0B7"/>
      </w:r>
      <w:r w:rsidRPr="00287AA9">
        <w:tab/>
      </w:r>
      <w:r w:rsidRPr="00287AA9">
        <w:rPr>
          <w:rFonts w:hint="eastAsia"/>
        </w:rPr>
        <w:t>改善妇女的经济地位；</w:t>
      </w:r>
    </w:p>
    <w:p w:rsidR="00C509DE" w:rsidRPr="00287AA9" w:rsidRDefault="00C509DE" w:rsidP="00C509DE">
      <w:pPr>
        <w:pStyle w:val="SingleTxt"/>
        <w:ind w:left="2126" w:hanging="431"/>
        <w:rPr>
          <w:rFonts w:hint="eastAsia"/>
        </w:rPr>
      </w:pPr>
      <w:r w:rsidRPr="00287AA9">
        <w:rPr>
          <w:rFonts w:hint="eastAsia"/>
        </w:rPr>
        <w:sym w:font="Symbol" w:char="F0B7"/>
      </w:r>
      <w:r w:rsidRPr="00287AA9">
        <w:tab/>
      </w:r>
      <w:r w:rsidRPr="00287AA9">
        <w:rPr>
          <w:rFonts w:hint="eastAsia"/>
        </w:rPr>
        <w:t>妇女和男子平等参与决策和领导；</w:t>
      </w:r>
    </w:p>
    <w:p w:rsidR="00C509DE" w:rsidRPr="00287AA9" w:rsidRDefault="00C509DE" w:rsidP="00C509DE">
      <w:pPr>
        <w:pStyle w:val="SingleTxt"/>
        <w:ind w:left="2126" w:hanging="431"/>
        <w:rPr>
          <w:rFonts w:hint="eastAsia"/>
        </w:rPr>
      </w:pPr>
      <w:r w:rsidRPr="00287AA9">
        <w:rPr>
          <w:rFonts w:hint="eastAsia"/>
        </w:rPr>
        <w:sym w:font="Symbol" w:char="F0B7"/>
      </w:r>
      <w:r w:rsidRPr="00287AA9">
        <w:tab/>
      </w:r>
      <w:r w:rsidRPr="00287AA9">
        <w:rPr>
          <w:rFonts w:hint="eastAsia"/>
        </w:rPr>
        <w:t>消除暴力侵害妇女行为；</w:t>
      </w:r>
    </w:p>
    <w:p w:rsidR="00C509DE" w:rsidRPr="00287AA9" w:rsidRDefault="00C509DE" w:rsidP="00C509DE">
      <w:pPr>
        <w:pStyle w:val="SingleTxt"/>
        <w:ind w:left="2126" w:hanging="431"/>
        <w:rPr>
          <w:rFonts w:hint="eastAsia"/>
        </w:rPr>
      </w:pPr>
      <w:r w:rsidRPr="00287AA9">
        <w:rPr>
          <w:rFonts w:hint="eastAsia"/>
        </w:rPr>
        <w:sym w:font="Symbol" w:char="F0B7"/>
      </w:r>
      <w:r w:rsidRPr="00287AA9">
        <w:tab/>
      </w:r>
      <w:r w:rsidRPr="00287AA9">
        <w:rPr>
          <w:rFonts w:hint="eastAsia"/>
        </w:rPr>
        <w:t>加强性别平等主流化能力。</w:t>
      </w:r>
    </w:p>
    <w:p w:rsidR="00C509DE" w:rsidRPr="00287AA9" w:rsidRDefault="00C509DE" w:rsidP="00C509DE">
      <w:pPr>
        <w:pStyle w:val="SingleTxt"/>
        <w:rPr>
          <w:rFonts w:hint="eastAsia"/>
        </w:rPr>
      </w:pPr>
      <w:r w:rsidRPr="00287AA9">
        <w:rPr>
          <w:rFonts w:hint="eastAsia"/>
        </w:rPr>
        <w:t>72.</w:t>
      </w:r>
      <w:r w:rsidRPr="00287AA9">
        <w:rPr>
          <w:rFonts w:hint="eastAsia"/>
        </w:rPr>
        <w:tab/>
        <w:t>由常务秘书组成的性别平等和妇女发展国家政策国家指导委员会以及主要利益攸关方对该政策的业绩进行监督，每年通过妇女、青年、儿童与家庭事务部向议会报告。该政策的每项优先成果分别由各个全国工作队进行监督。所罗门群岛消除对妇女歧视公约国家咨询委员会向性别平等和妇女发展国家政策性别主流化工作队报告。国家指导委员会于2011年建立，2011年7月举行了第一次会议。此后未再举行会议，但计划于2012年7月举行会议。因此，国家指导委员会的监督和评估作用尚未开始。目前对性别平等和妇女发展国家政策的执行情况没有进行监督。但是，2012年妇女、青年、儿童与家庭事务部工作计划包括制定监测和评价框架以及就该框架对该部工作人员进行培训和发展，并打算该部在2013年开始进行监测和评价。该部正在作出很大努力，以确保为监督评估性别平等和妇女发展国家政策而制定的制度和进程持久有效。</w:t>
      </w:r>
    </w:p>
    <w:p w:rsidR="00C509DE" w:rsidRPr="00287AA9" w:rsidRDefault="00C509DE" w:rsidP="00C509DE">
      <w:pPr>
        <w:pStyle w:val="SingleTxt"/>
        <w:rPr>
          <w:rFonts w:hint="eastAsia"/>
        </w:rPr>
      </w:pPr>
      <w:r w:rsidRPr="00287AA9">
        <w:rPr>
          <w:rFonts w:hint="eastAsia"/>
        </w:rPr>
        <w:t>73.</w:t>
      </w:r>
      <w:r w:rsidRPr="00287AA9">
        <w:rPr>
          <w:rFonts w:hint="eastAsia"/>
        </w:rPr>
        <w:tab/>
        <w:t>索罗门群岛国家妇女理事会的协调作用被纳入了性别平等和妇女发展国家政策。妇女理事会的任务是组织季度论坛，内容包括：政策对话；分享信息；讨论政策执行情况；促使教会和民间组织参与；监测政策成果。妇女理事会是性别平等和妇女发展国家政策国家指导委员会的成员，其职权范围在政策附件中有所说明。在政策的执行方面，根据性别平等和妇女发展国家政策，妇女理事会的主要作用是与非政府组织、民间社会组织和教会协调该政策的执行。</w:t>
      </w:r>
    </w:p>
    <w:p w:rsidR="00C509DE" w:rsidRPr="00B842B2" w:rsidRDefault="00C509DE" w:rsidP="00C509DE">
      <w:pPr>
        <w:pStyle w:val="SingleTxt"/>
        <w:rPr>
          <w:rFonts w:ascii="SimHei" w:eastAsia="SimHei" w:hint="eastAsia"/>
        </w:rPr>
      </w:pPr>
      <w:r w:rsidRPr="00B842B2">
        <w:rPr>
          <w:rFonts w:ascii="SimHei" w:eastAsia="SimHei" w:hint="eastAsia"/>
        </w:rPr>
        <w:t>消除暴力侵害妇女行为国家政策</w:t>
      </w:r>
    </w:p>
    <w:p w:rsidR="00C509DE" w:rsidRDefault="00C509DE" w:rsidP="00C509DE">
      <w:pPr>
        <w:pStyle w:val="SingleTxt"/>
        <w:rPr>
          <w:rFonts w:hint="eastAsia"/>
        </w:rPr>
      </w:pPr>
      <w:r>
        <w:rPr>
          <w:rFonts w:hint="eastAsia"/>
        </w:rPr>
        <w:t>74.</w:t>
      </w:r>
      <w:r>
        <w:tab/>
      </w:r>
      <w:r>
        <w:rPr>
          <w:rFonts w:hint="eastAsia"/>
        </w:rPr>
        <w:t>2009年，所罗门群岛与若干发展伙伴结成伙伴关系，以妇女、青年、儿童和家庭事务部为国家协调员，完成了“所罗门群岛家庭健康和安全研究：关于暴力侵害妇女和儿童行为的研究报告”。这是迄今关于所罗门群岛性别暴力和暴力侵害儿童事件发生率的最全面研究报告。所罗门群岛家庭健康和安全研究发现，所罗门群岛15岁至49岁之间的妇女有64</w:t>
      </w:r>
      <w:r>
        <w:t>%</w:t>
      </w:r>
      <w:r>
        <w:rPr>
          <w:rFonts w:hint="eastAsia"/>
        </w:rPr>
        <w:t>或三分之二都受到亲密伴侣的身体虐待或性虐待，或两者兼而有之。在族裔关系紧张期间，许多妇女受到武装分子的性虐待，这种虐待加上冲突的社会和经济影响使她们受到了伤害。</w:t>
      </w:r>
      <w:r w:rsidRPr="0023565E">
        <w:rPr>
          <w:rStyle w:val="FootnoteReference"/>
        </w:rPr>
        <w:footnoteReference w:id="15"/>
      </w:r>
    </w:p>
    <w:p w:rsidR="00C509DE" w:rsidRDefault="00C509DE" w:rsidP="00C509DE">
      <w:pPr>
        <w:pStyle w:val="SingleTxt"/>
        <w:rPr>
          <w:rFonts w:hint="eastAsia"/>
        </w:rPr>
      </w:pPr>
      <w:r>
        <w:rPr>
          <w:rFonts w:hint="eastAsia"/>
        </w:rPr>
        <w:t>75.</w:t>
      </w:r>
      <w:r>
        <w:tab/>
      </w:r>
      <w:r>
        <w:rPr>
          <w:rFonts w:hint="eastAsia"/>
        </w:rPr>
        <w:t>所罗门群岛家庭健康和安全研究建议政府制定消除暴力侵害妇女行为的政策。2009年，内阁针对这些建议，核准了消除暴力侵害妇女行为国家政策。内阁还核准了制定全面、独立的家庭暴力法案的起草说明。</w:t>
      </w:r>
      <w:r>
        <w:rPr>
          <w:rStyle w:val="FootnoteReference"/>
        </w:rPr>
        <w:footnoteReference w:id="16"/>
      </w:r>
      <w:r>
        <w:t xml:space="preserve"> </w:t>
      </w:r>
      <w:r>
        <w:rPr>
          <w:rFonts w:hint="eastAsia"/>
        </w:rPr>
        <w:t>目前已形成草案的妇女与和平与安全国家行动计划也是落实家庭健康和安全研究建议的又一举措。</w:t>
      </w:r>
    </w:p>
    <w:p w:rsidR="00C509DE" w:rsidRDefault="00C509DE" w:rsidP="00C509DE">
      <w:pPr>
        <w:pStyle w:val="SingleTxt"/>
        <w:rPr>
          <w:rFonts w:hint="eastAsia"/>
        </w:rPr>
      </w:pPr>
      <w:r>
        <w:t>7</w:t>
      </w:r>
      <w:r>
        <w:rPr>
          <w:rFonts w:hint="eastAsia"/>
        </w:rPr>
        <w:t>6.</w:t>
      </w:r>
      <w:r>
        <w:tab/>
      </w:r>
      <w:r>
        <w:rPr>
          <w:rFonts w:hint="eastAsia"/>
        </w:rPr>
        <w:t>利用研究报告表明的暴力侵害妇女行为高发生率来提出性别平等和妇女发展国家政策的优先政策成果。后来这项政策扩大，制订了消除暴力侵害妇女行为国家政策(2010年)，把它作为性别平等和妇女发展国家政策的辅助政策。通过消除暴力侵害妇女行为国家工作队实施这一国家政策，该工作队向性别平等和妇女发展国家指导委员会报告工作，由警察、卫生、教育、医疗服务等消除暴力侵害妇女行为支助机构和若干其他利益攸关方的代表组成。工作队接受三年期多部门国家行动计划的指导，该行动计划则在最初执行两年后由国家工作队和国家指导委员会进行审查。通过妇女、青年、儿童和家庭事务部每年向议会报告政策的监测情况。这些审查报告将指导国家行动计划的更新，并指导政府评估政策的效用。</w:t>
      </w:r>
    </w:p>
    <w:p w:rsidR="00C509DE" w:rsidRDefault="00C509DE" w:rsidP="00C509DE">
      <w:pPr>
        <w:pStyle w:val="SingleTxt"/>
        <w:rPr>
          <w:rFonts w:hint="eastAsia"/>
        </w:rPr>
      </w:pPr>
      <w:r>
        <w:rPr>
          <w:rFonts w:hint="eastAsia"/>
        </w:rPr>
        <w:t>77.</w:t>
      </w:r>
      <w:r>
        <w:tab/>
      </w:r>
      <w:r>
        <w:rPr>
          <w:rFonts w:hint="eastAsia"/>
        </w:rPr>
        <w:t>消除暴力侵害妇女行为国家政策有四项指导原则和价值观，它们是：</w:t>
      </w:r>
    </w:p>
    <w:p w:rsidR="00C509DE" w:rsidRDefault="00C509DE" w:rsidP="00C509DE">
      <w:pPr>
        <w:pStyle w:val="SingleTxt"/>
        <w:ind w:left="2126" w:hanging="431"/>
        <w:rPr>
          <w:rFonts w:hint="eastAsia"/>
        </w:rPr>
      </w:pPr>
      <w:r>
        <w:rPr>
          <w:rFonts w:hint="eastAsia"/>
        </w:rPr>
        <w:sym w:font="Symbol" w:char="F0B7"/>
      </w:r>
      <w:r>
        <w:tab/>
      </w:r>
      <w:r>
        <w:rPr>
          <w:rFonts w:hint="eastAsia"/>
        </w:rPr>
        <w:t>对暴力行为零容忍；</w:t>
      </w:r>
    </w:p>
    <w:p w:rsidR="00C509DE" w:rsidRDefault="00C509DE" w:rsidP="00C509DE">
      <w:pPr>
        <w:pStyle w:val="SingleTxt"/>
        <w:ind w:left="2126" w:hanging="431"/>
        <w:rPr>
          <w:rFonts w:hint="eastAsia"/>
        </w:rPr>
      </w:pPr>
      <w:r>
        <w:rPr>
          <w:rFonts w:hint="eastAsia"/>
        </w:rPr>
        <w:sym w:font="Symbol" w:char="F0B7"/>
      </w:r>
      <w:r>
        <w:tab/>
      </w:r>
      <w:r>
        <w:rPr>
          <w:rFonts w:hint="eastAsia"/>
        </w:rPr>
        <w:t>确认妇女权利；</w:t>
      </w:r>
    </w:p>
    <w:p w:rsidR="00C509DE" w:rsidRDefault="00C509DE" w:rsidP="00C509DE">
      <w:pPr>
        <w:pStyle w:val="SingleTxt"/>
        <w:ind w:left="2126" w:hanging="431"/>
        <w:rPr>
          <w:rFonts w:hint="eastAsia"/>
        </w:rPr>
      </w:pPr>
      <w:r>
        <w:rPr>
          <w:rFonts w:hint="eastAsia"/>
        </w:rPr>
        <w:sym w:font="Symbol" w:char="F0B7"/>
      </w:r>
      <w:r>
        <w:tab/>
      </w:r>
      <w:r>
        <w:rPr>
          <w:rFonts w:hint="eastAsia"/>
        </w:rPr>
        <w:t>共同承担消除暴力侵害妇女行为的责任；</w:t>
      </w:r>
    </w:p>
    <w:p w:rsidR="00C509DE" w:rsidRDefault="00C509DE" w:rsidP="00C509DE">
      <w:pPr>
        <w:pStyle w:val="SingleTxt"/>
        <w:ind w:left="2126" w:hanging="431"/>
        <w:rPr>
          <w:rFonts w:hint="eastAsia"/>
        </w:rPr>
      </w:pPr>
      <w:r>
        <w:rPr>
          <w:rFonts w:hint="eastAsia"/>
        </w:rPr>
        <w:sym w:font="Symbol" w:char="F0B7"/>
      </w:r>
      <w:r>
        <w:tab/>
      </w:r>
      <w:r>
        <w:rPr>
          <w:rFonts w:hint="eastAsia"/>
        </w:rPr>
        <w:t>实现性别平等。</w:t>
      </w:r>
    </w:p>
    <w:p w:rsidR="00C509DE" w:rsidRDefault="00C509DE" w:rsidP="00C509DE">
      <w:pPr>
        <w:pStyle w:val="SingleTxt"/>
        <w:rPr>
          <w:rFonts w:hint="eastAsia"/>
        </w:rPr>
      </w:pPr>
      <w:r>
        <w:rPr>
          <w:rFonts w:hint="eastAsia"/>
        </w:rPr>
        <w:t>78.</w:t>
      </w:r>
      <w:r>
        <w:rPr>
          <w:rFonts w:hint="eastAsia"/>
        </w:rPr>
        <w:tab/>
        <w:t>该政策有七大主要战略领域：</w:t>
      </w:r>
    </w:p>
    <w:p w:rsidR="00C509DE" w:rsidRDefault="00C509DE" w:rsidP="00C509DE">
      <w:pPr>
        <w:pStyle w:val="SingleTxt"/>
        <w:ind w:left="2126" w:hanging="431"/>
        <w:rPr>
          <w:rFonts w:hint="eastAsia"/>
        </w:rPr>
      </w:pPr>
      <w:r>
        <w:rPr>
          <w:rFonts w:hint="eastAsia"/>
        </w:rPr>
        <w:sym w:font="Symbol" w:char="F0B7"/>
      </w:r>
      <w:r>
        <w:tab/>
      </w:r>
      <w:r>
        <w:rPr>
          <w:rFonts w:hint="eastAsia"/>
        </w:rPr>
        <w:t>制订对消除暴力侵害妇女行为的国家承诺；</w:t>
      </w:r>
    </w:p>
    <w:p w:rsidR="00C509DE" w:rsidRDefault="00C509DE" w:rsidP="00C509DE">
      <w:pPr>
        <w:pStyle w:val="SingleTxt"/>
        <w:ind w:left="2126" w:hanging="431"/>
        <w:rPr>
          <w:rFonts w:hint="eastAsia"/>
        </w:rPr>
      </w:pPr>
      <w:r>
        <w:rPr>
          <w:rFonts w:hint="eastAsia"/>
        </w:rPr>
        <w:sym w:font="Symbol" w:char="F0B7"/>
      </w:r>
      <w:r>
        <w:tab/>
      </w:r>
      <w:r>
        <w:rPr>
          <w:rFonts w:hint="eastAsia"/>
        </w:rPr>
        <w:t>加强法律框架、执法和司法系统；</w:t>
      </w:r>
    </w:p>
    <w:p w:rsidR="00C509DE" w:rsidRDefault="00C509DE" w:rsidP="00C509DE">
      <w:pPr>
        <w:pStyle w:val="SingleTxt"/>
        <w:ind w:left="2126" w:hanging="431"/>
        <w:rPr>
          <w:rFonts w:hint="eastAsia"/>
        </w:rPr>
      </w:pPr>
      <w:r>
        <w:rPr>
          <w:rFonts w:hint="eastAsia"/>
        </w:rPr>
        <w:sym w:font="Symbol" w:char="F0B7"/>
      </w:r>
      <w:r>
        <w:tab/>
      </w:r>
      <w:r>
        <w:rPr>
          <w:rFonts w:hint="eastAsia"/>
        </w:rPr>
        <w:t>通过提高公众认识和宣传，消除和防止暴力侵害妇女行为；</w:t>
      </w:r>
    </w:p>
    <w:p w:rsidR="00C509DE" w:rsidRDefault="00C509DE" w:rsidP="00C509DE">
      <w:pPr>
        <w:pStyle w:val="SingleTxt"/>
        <w:ind w:left="2126" w:hanging="431"/>
        <w:rPr>
          <w:rFonts w:hint="eastAsia"/>
        </w:rPr>
      </w:pPr>
      <w:r>
        <w:rPr>
          <w:rFonts w:hint="eastAsia"/>
        </w:rPr>
        <w:sym w:font="Symbol" w:char="F0B7"/>
      </w:r>
      <w:r>
        <w:tab/>
      </w:r>
      <w:r>
        <w:rPr>
          <w:rFonts w:hint="eastAsia"/>
        </w:rPr>
        <w:t>加强和改进保护、社会和支助服务；</w:t>
      </w:r>
    </w:p>
    <w:p w:rsidR="00C509DE" w:rsidRDefault="00C509DE" w:rsidP="00C509DE">
      <w:pPr>
        <w:pStyle w:val="SingleTxt"/>
        <w:ind w:left="2126" w:hanging="431"/>
        <w:rPr>
          <w:rFonts w:hint="eastAsia"/>
        </w:rPr>
      </w:pPr>
      <w:r>
        <w:rPr>
          <w:rFonts w:hint="eastAsia"/>
        </w:rPr>
        <w:sym w:font="Symbol" w:char="F0B7"/>
      </w:r>
      <w:r>
        <w:tab/>
      </w:r>
      <w:r>
        <w:rPr>
          <w:rFonts w:hint="eastAsia"/>
        </w:rPr>
        <w:t>改造和处理肇事者；</w:t>
      </w:r>
    </w:p>
    <w:p w:rsidR="00C509DE" w:rsidRDefault="00C509DE" w:rsidP="00C509DE">
      <w:pPr>
        <w:pStyle w:val="SingleTxt"/>
        <w:ind w:left="2126" w:hanging="431"/>
        <w:rPr>
          <w:rFonts w:hint="eastAsia"/>
        </w:rPr>
      </w:pPr>
      <w:r>
        <w:rPr>
          <w:rFonts w:hint="eastAsia"/>
        </w:rPr>
        <w:sym w:font="Symbol" w:char="F0B7"/>
      </w:r>
      <w:r>
        <w:tab/>
      </w:r>
      <w:r>
        <w:rPr>
          <w:rFonts w:hint="eastAsia"/>
        </w:rPr>
        <w:t>与男子一起协作制止暴力侵害妇女行为；</w:t>
      </w:r>
    </w:p>
    <w:p w:rsidR="00C509DE" w:rsidRDefault="00C509DE" w:rsidP="00C509DE">
      <w:pPr>
        <w:pStyle w:val="SingleTxt"/>
        <w:ind w:left="2126" w:hanging="431"/>
        <w:rPr>
          <w:rFonts w:hint="eastAsia"/>
        </w:rPr>
      </w:pPr>
      <w:r>
        <w:rPr>
          <w:rFonts w:hint="eastAsia"/>
        </w:rPr>
        <w:sym w:font="Symbol" w:char="F0B7"/>
      </w:r>
      <w:r>
        <w:tab/>
      </w:r>
      <w:r>
        <w:rPr>
          <w:rFonts w:hint="eastAsia"/>
        </w:rPr>
        <w:t>把这项政策与相关政策协调，使消除暴力侵害妇女行为的事务相互协调并与这项政策协调。</w:t>
      </w:r>
    </w:p>
    <w:p w:rsidR="00C509DE" w:rsidRDefault="00C509DE" w:rsidP="00C509DE">
      <w:pPr>
        <w:pStyle w:val="SingleTxt"/>
        <w:rPr>
          <w:rFonts w:hint="eastAsia"/>
        </w:rPr>
      </w:pPr>
      <w:r>
        <w:rPr>
          <w:rFonts w:hint="eastAsia"/>
        </w:rPr>
        <w:t>79.</w:t>
      </w:r>
      <w:r>
        <w:rPr>
          <w:rFonts w:hint="eastAsia"/>
        </w:rPr>
        <w:tab/>
        <w:t>到目前为止，还没有对性别平等和妇女发展国家政策和消除暴力侵害妇女行为国家政策的实施情况进行监测或评价。妇女、青年、儿童和家庭事务部主要的工作重点是制定供执行的政策、程序和流程。为执行政策发展与主要利益攸关者的关系和向妇女、青年、儿童和家庭事务部工作人员提供性别平等培训也一直是工作的重点。因此，尽管2012年工作计划规定开始监测或评价工作，但是妇女、青年、儿童和家庭事务部尚未这样做。</w:t>
      </w:r>
    </w:p>
    <w:p w:rsidR="00C509DE" w:rsidRDefault="00C509DE" w:rsidP="00C509DE">
      <w:pPr>
        <w:pStyle w:val="SingleTxt"/>
        <w:rPr>
          <w:rFonts w:hint="eastAsia"/>
        </w:rPr>
      </w:pPr>
      <w:r>
        <w:rPr>
          <w:rFonts w:hint="eastAsia"/>
        </w:rPr>
        <w:t>80.</w:t>
      </w:r>
      <w:r>
        <w:rPr>
          <w:rFonts w:hint="eastAsia"/>
        </w:rPr>
        <w:tab/>
        <w:t>所罗门群岛皇家警察部队采取了一项不撤回政策，称为“受害者保护政策”，其中规定警方必须通过治安法庭程序，调查和跟踪关于家庭暴力行为、暴力侵害妇女和儿童行为以及性暴力行为的投诉。因此，如果受害者要求终止刑事起诉，它只能由治安法官酌情裁决。</w:t>
      </w:r>
    </w:p>
    <w:p w:rsidR="00C509DE" w:rsidRDefault="00C509DE" w:rsidP="00C509DE">
      <w:pPr>
        <w:pStyle w:val="SingleTxt"/>
        <w:rPr>
          <w:rFonts w:hint="eastAsia"/>
        </w:rPr>
      </w:pPr>
      <w:r>
        <w:rPr>
          <w:rFonts w:hint="eastAsia"/>
        </w:rPr>
        <w:t>81.</w:t>
      </w:r>
      <w:r>
        <w:rPr>
          <w:rFonts w:hint="eastAsia"/>
        </w:rPr>
        <w:tab/>
        <w:t>虽然没有强制起诉性犯罪行为的法律规定，但是检察长办公室已制定了一些起诉性犯罪行为的准则。检察长提出一项起诉政策，其中规定了裁决的一般原则和对起诉的指导意见。目前对性犯罪还没有单独的起诉政策，但检察长2012年度工作计划包括了制定性犯罪起诉准则的任务。检察长认真处理所有性犯罪行为，并努力把所有事项纳入法庭程序。2012年高等法院与检察长和公设律师办公室一起作出决定，把编制性犯罪清单作为优先事项，这说明了性犯罪行为的严重性。检察长办公室的大多数案件都是性犯罪案件。</w:t>
      </w:r>
    </w:p>
    <w:p w:rsidR="00C509DE" w:rsidRDefault="00C509DE" w:rsidP="00C509DE">
      <w:pPr>
        <w:pStyle w:val="SingleTxt"/>
        <w:rPr>
          <w:rFonts w:hint="eastAsia"/>
        </w:rPr>
      </w:pPr>
      <w:r>
        <w:rPr>
          <w:rFonts w:hint="eastAsia"/>
        </w:rPr>
        <w:t>82.</w:t>
      </w:r>
      <w:r>
        <w:rPr>
          <w:rFonts w:hint="eastAsia"/>
        </w:rPr>
        <w:tab/>
        <w:t>为了解决家庭健康和安全研究报告中强调的暴力问题，政府与利益攸关方结成伙伴关系，目前正努力制定全面、独立的消除家庭暴力法案。消除暴力侵害妇女行为国家政策和性别平等和妇女发展国家政策的一个主要战略领域，是制定保护妇女及其家庭成员免遭家庭暴力的法律和建立相关机制。所罗门群岛政府在2012年发展预算中，已为确定拟议法案的工作范围分配了预算资源。消除暴力侵害妇女行为国家政策立法工作组(由政府、非政府组织、国际非政府组织、教会和其他民间社会组织组成)在监督该法案的制订工作。协商工作已经进行，2012年10月29日内阁核准了制订消除家庭暴力法案的工作。在法案草案完成后，将开展进一步协商。预计该法案将于2014年提交议会。</w:t>
      </w:r>
    </w:p>
    <w:p w:rsidR="00C509DE" w:rsidRDefault="00C509DE" w:rsidP="00C509DE">
      <w:pPr>
        <w:pStyle w:val="SingleTxt"/>
        <w:rPr>
          <w:rFonts w:hint="eastAsia"/>
        </w:rPr>
      </w:pPr>
      <w:r>
        <w:rPr>
          <w:rFonts w:hint="eastAsia"/>
        </w:rPr>
        <w:t>83.</w:t>
      </w:r>
      <w:r>
        <w:rPr>
          <w:rFonts w:hint="eastAsia"/>
        </w:rPr>
        <w:tab/>
        <w:t>现已查明，缺乏性别平等和保护妇女人权的立法框架不足是造成所罗门群岛妇女遭受大量暴力侵害的主要系统性因素。2007年所罗门群岛人口和健康调查表明，69%的女受访者至少同意在被询问的原因中，一个原因可以作为暴力侵害妇女行为的理由。对于妇女和男子来说，最普遍接受的暴力原因是忽视了子女。2009年家庭健康和安全研究发现，73</w:t>
      </w:r>
      <w:r>
        <w:t>%</w:t>
      </w:r>
      <w:r>
        <w:rPr>
          <w:rFonts w:hint="eastAsia"/>
        </w:rPr>
        <w:t>的妇女认为，在某些情况下丈夫殴打妻子是有道理的，特别是对于不忠诚和不服从行为。令人关注的是，大多数妇女认为在某些情况下亲密伴侣的暴力行为是有道理的，这表明妇女本身在男女关系中普遍接受从属的地位。</w:t>
      </w:r>
    </w:p>
    <w:p w:rsidR="00C509DE" w:rsidRDefault="00C509DE" w:rsidP="00C509DE">
      <w:pPr>
        <w:pStyle w:val="SingleTxt"/>
        <w:rPr>
          <w:rFonts w:hint="eastAsia"/>
        </w:rPr>
      </w:pPr>
      <w:r>
        <w:rPr>
          <w:rFonts w:hint="eastAsia"/>
        </w:rPr>
        <w:t>84.</w:t>
      </w:r>
      <w:r>
        <w:rPr>
          <w:rFonts w:hint="eastAsia"/>
        </w:rPr>
        <w:tab/>
        <w:t>所罗门群岛为性别暴力和虐待儿童的受害者建立了若干转介网络。这些网络由卫生部门、警察、公设律师办公室、基督教护理中心、家庭支助中心和社会福利司组成。目前通过建立“安全网转介网络”，在尝试正式确认其中一个网络。网络成员已起草并准备签署一份谅解备忘录。所罗门群岛政府为了表明对“安全网转介网络”的重视，2013年将设立一个安全网协调员员额，并纳入公务员编制员额。目前发展伙伴向这个职位提供资金，以加强转诊网络的职能。从2013年起，政府也为支持转介网络划拨预算承付款项。</w:t>
      </w:r>
    </w:p>
    <w:p w:rsidR="00C509DE" w:rsidRPr="00B842B2" w:rsidRDefault="00C509DE" w:rsidP="00C509DE">
      <w:pPr>
        <w:pStyle w:val="SingleTxt"/>
        <w:rPr>
          <w:rFonts w:ascii="SimHei" w:eastAsia="SimHei" w:hint="eastAsia"/>
        </w:rPr>
      </w:pPr>
      <w:r w:rsidRPr="00B842B2">
        <w:rPr>
          <w:rFonts w:ascii="SimHei" w:eastAsia="SimHei" w:hint="eastAsia"/>
        </w:rPr>
        <w:t>获得法律服务</w:t>
      </w:r>
    </w:p>
    <w:p w:rsidR="00C509DE" w:rsidRDefault="00C509DE" w:rsidP="00C509DE">
      <w:pPr>
        <w:pStyle w:val="SingleTxt"/>
        <w:rPr>
          <w:rFonts w:hint="eastAsia"/>
        </w:rPr>
      </w:pPr>
      <w:r>
        <w:rPr>
          <w:rFonts w:hint="eastAsia"/>
        </w:rPr>
        <w:t>85.</w:t>
      </w:r>
      <w:r>
        <w:rPr>
          <w:rFonts w:hint="eastAsia"/>
        </w:rPr>
        <w:tab/>
        <w:t>公设律师办公室负责向受害者和犯罪者提供法律援助。所罗门群岛没有社区法律中心。公设律师办公室是政府提供法律援助的服务机构，目前仅在首都霍尼亚拉、马莱塔省和西部省三个地点运作。现行法律规定，年收入不足12 000所罗门岛元的人符合获得法律援助的条件。自从1989年该法律颁布以来，这个数额一直没有更新。这个门槛值太低，导致大批人因经济状况而不符合条件。私营法律专业服务的平均费用为每小时700</w:t>
      </w:r>
      <w:r>
        <w:t>-</w:t>
      </w:r>
      <w:r>
        <w:rPr>
          <w:rFonts w:hint="eastAsia"/>
        </w:rPr>
        <w:t>800所罗门岛元，费用过高。因此，许多妇女尤其无法获得政府法律援助或支付私人律师费用。公设律师办公室就测查经济状况门槛值的问题进行了协商，并建议把最低门槛值提高到每年35 000所罗门岛元。这项建议最近已得到司法和法律事务部长的批准，等有关手续完成后，就能加以实施。</w:t>
      </w:r>
    </w:p>
    <w:p w:rsidR="00C509DE" w:rsidRDefault="00C509DE" w:rsidP="00C509DE">
      <w:pPr>
        <w:pStyle w:val="SingleTxt"/>
        <w:spacing w:line="310" w:lineRule="exact"/>
        <w:rPr>
          <w:rFonts w:hint="eastAsia"/>
        </w:rPr>
      </w:pPr>
      <w:r>
        <w:rPr>
          <w:rFonts w:hint="eastAsia"/>
        </w:rPr>
        <w:t>86.</w:t>
      </w:r>
      <w:r>
        <w:tab/>
      </w:r>
      <w:r>
        <w:rPr>
          <w:rFonts w:hint="eastAsia"/>
        </w:rPr>
        <w:t>公设律师办公室就制定经济状况和案情测查政策进行了协商。该政策将帮助确保向妇女公平地提供服务。经协商后，公设律师办公室设立了家庭保护股，它与一批非政府组织协调，特别是在性暴力和性别暴力方面向妇女和儿童提供专门服务。然而，由于资源的限制，公设律师办公室向全国提供这些服务的能力有限。</w:t>
      </w:r>
    </w:p>
    <w:p w:rsidR="00C509DE" w:rsidRPr="00B842B2" w:rsidRDefault="00C509DE" w:rsidP="00C509DE">
      <w:pPr>
        <w:pStyle w:val="SingleTxt"/>
        <w:spacing w:line="310" w:lineRule="exact"/>
        <w:rPr>
          <w:rFonts w:ascii="SimHei" w:eastAsia="SimHei" w:hint="eastAsia"/>
        </w:rPr>
      </w:pPr>
      <w:r w:rsidRPr="00B842B2">
        <w:rPr>
          <w:rFonts w:ascii="SimHei" w:eastAsia="SimHei" w:hint="eastAsia"/>
        </w:rPr>
        <w:t>国家儿童政策</w:t>
      </w:r>
    </w:p>
    <w:p w:rsidR="00C509DE" w:rsidRDefault="00C509DE" w:rsidP="00C509DE">
      <w:pPr>
        <w:pStyle w:val="SingleTxt"/>
        <w:spacing w:line="310" w:lineRule="exact"/>
        <w:rPr>
          <w:rFonts w:hint="eastAsia"/>
        </w:rPr>
      </w:pPr>
      <w:r>
        <w:rPr>
          <w:rFonts w:hint="eastAsia"/>
        </w:rPr>
        <w:t>87.</w:t>
      </w:r>
      <w:r>
        <w:tab/>
      </w:r>
      <w:r>
        <w:rPr>
          <w:rFonts w:hint="eastAsia"/>
        </w:rPr>
        <w:t>2010年4月，所罗门群岛启动了第一项附有行动计划的国家儿童政策。它的目标是保护和发展所罗门群岛儿童的利益和权利，而不论其年龄、性别、宗教、种族或文化背景，同时确保这些权利得到承认和促进，以及确保儿童成长成为负责任的公民。根据这项政策，儿童的定义为18岁以下任何人。</w:t>
      </w:r>
    </w:p>
    <w:p w:rsidR="00C509DE" w:rsidRDefault="00C509DE" w:rsidP="00C509DE">
      <w:pPr>
        <w:pStyle w:val="SingleTxt"/>
        <w:spacing w:after="120" w:line="310" w:lineRule="exact"/>
        <w:rPr>
          <w:rFonts w:hint="eastAsia"/>
        </w:rPr>
      </w:pPr>
      <w:r>
        <w:rPr>
          <w:rFonts w:hint="eastAsia"/>
        </w:rPr>
        <w:t>88.</w:t>
      </w:r>
      <w:r>
        <w:tab/>
      </w:r>
      <w:r>
        <w:rPr>
          <w:rFonts w:hint="eastAsia"/>
        </w:rPr>
        <w:t>题为“用挚爱与关怀保护我，2008年所罗门群岛基线报告”的所罗门群岛儿童问题研究(2010年出版)说明了该政策的成果和方向，它由儿童基金会和澳大利亚援助署供资。这项政策在2010年才开始实施，对这项政策的监测和评估工作尚未开始。所罗门群岛儿童国家政策有5个行动——成果战略计划：</w:t>
      </w:r>
    </w:p>
    <w:p w:rsidR="00C509DE" w:rsidRDefault="00C509DE" w:rsidP="00C509DE">
      <w:pPr>
        <w:pStyle w:val="SingleTxt"/>
        <w:spacing w:after="120"/>
        <w:rPr>
          <w:rFonts w:hint="eastAsia"/>
        </w:rPr>
      </w:pPr>
      <w:r>
        <w:tab/>
        <w:t>a.</w:t>
      </w:r>
      <w:r>
        <w:tab/>
      </w:r>
      <w:r>
        <w:rPr>
          <w:rFonts w:hint="eastAsia"/>
        </w:rPr>
        <w:t>保护</w:t>
      </w:r>
    </w:p>
    <w:p w:rsidR="00C509DE" w:rsidRDefault="00C509DE" w:rsidP="00C509DE">
      <w:pPr>
        <w:pStyle w:val="SingleTxt"/>
        <w:spacing w:after="120"/>
        <w:rPr>
          <w:rFonts w:hint="eastAsia"/>
        </w:rPr>
      </w:pPr>
      <w:r>
        <w:tab/>
        <w:t>b.</w:t>
      </w:r>
      <w:r>
        <w:tab/>
      </w:r>
      <w:r>
        <w:rPr>
          <w:rFonts w:hint="eastAsia"/>
        </w:rPr>
        <w:t>发展</w:t>
      </w:r>
    </w:p>
    <w:p w:rsidR="00C509DE" w:rsidRDefault="00C509DE" w:rsidP="00C509DE">
      <w:pPr>
        <w:pStyle w:val="SingleTxt"/>
        <w:spacing w:after="120"/>
        <w:rPr>
          <w:rFonts w:hint="eastAsia"/>
        </w:rPr>
      </w:pPr>
      <w:r>
        <w:tab/>
        <w:t>c.</w:t>
      </w:r>
      <w:r>
        <w:tab/>
      </w:r>
      <w:r>
        <w:rPr>
          <w:rFonts w:hint="eastAsia"/>
        </w:rPr>
        <w:t>生存</w:t>
      </w:r>
    </w:p>
    <w:p w:rsidR="00C509DE" w:rsidRDefault="00C509DE" w:rsidP="00C509DE">
      <w:pPr>
        <w:pStyle w:val="SingleTxt"/>
        <w:spacing w:after="120"/>
        <w:rPr>
          <w:rFonts w:hint="eastAsia"/>
        </w:rPr>
      </w:pPr>
      <w:r>
        <w:tab/>
        <w:t>d.</w:t>
      </w:r>
      <w:r>
        <w:tab/>
      </w:r>
      <w:r>
        <w:rPr>
          <w:rFonts w:hint="eastAsia"/>
        </w:rPr>
        <w:t>参与</w:t>
      </w:r>
    </w:p>
    <w:p w:rsidR="00C509DE" w:rsidRDefault="00C509DE" w:rsidP="00C509DE">
      <w:pPr>
        <w:pStyle w:val="SingleTxt"/>
        <w:rPr>
          <w:rFonts w:hint="eastAsia"/>
        </w:rPr>
      </w:pPr>
      <w:r>
        <w:tab/>
        <w:t>e.</w:t>
      </w:r>
      <w:r>
        <w:tab/>
      </w:r>
      <w:r>
        <w:rPr>
          <w:rFonts w:hint="eastAsia"/>
        </w:rPr>
        <w:t>规划</w:t>
      </w:r>
    </w:p>
    <w:p w:rsidR="00C509DE" w:rsidRPr="00454F06" w:rsidRDefault="00C509DE" w:rsidP="00C509DE">
      <w:pPr>
        <w:pStyle w:val="SingleTxt"/>
        <w:rPr>
          <w:rFonts w:ascii="SimHei" w:eastAsia="SimHei" w:hint="eastAsia"/>
        </w:rPr>
      </w:pPr>
      <w:r w:rsidRPr="00454F06">
        <w:rPr>
          <w:rFonts w:ascii="SimHei" w:eastAsia="SimHei" w:hint="eastAsia"/>
        </w:rPr>
        <w:t>国家青年政策</w:t>
      </w:r>
    </w:p>
    <w:p w:rsidR="00C509DE" w:rsidRDefault="00C509DE" w:rsidP="00C509DE">
      <w:pPr>
        <w:pStyle w:val="SingleTxt"/>
        <w:rPr>
          <w:rFonts w:hint="eastAsia"/>
        </w:rPr>
      </w:pPr>
      <w:r>
        <w:rPr>
          <w:rFonts w:hint="eastAsia"/>
        </w:rPr>
        <w:t>89.</w:t>
      </w:r>
      <w:r>
        <w:tab/>
      </w:r>
      <w:r>
        <w:rPr>
          <w:rFonts w:hint="eastAsia"/>
        </w:rPr>
        <w:t>除了国家儿童政策外，所罗门群岛还制定了国家青年政策。2000年第一项国家青年政策出台。然后在2007年，当时的妇女、青年和儿童事务部审查了这一政策，随后产生了2010-2015年所罗门群岛国家青年政策。</w:t>
      </w:r>
    </w:p>
    <w:p w:rsidR="00C509DE" w:rsidRDefault="00C509DE" w:rsidP="00C509DE">
      <w:pPr>
        <w:pStyle w:val="SingleTxt"/>
        <w:rPr>
          <w:rFonts w:hint="eastAsia"/>
        </w:rPr>
      </w:pPr>
      <w:r>
        <w:rPr>
          <w:rFonts w:hint="eastAsia"/>
        </w:rPr>
        <w:t>90.</w:t>
      </w:r>
      <w:r>
        <w:tab/>
      </w:r>
      <w:r>
        <w:rPr>
          <w:rFonts w:hint="eastAsia"/>
        </w:rPr>
        <w:t>2010-2015年所罗门群岛国家青年政策是未来五年国家指导青年发展的文件。它涵盖年龄14至29岁的青年。国家青年政策的目的是通过一系列方案和活动，让青年对自己在所罗门群岛政治、社会和经济发展中的未来、作用和责任作出选择，并协助他们作出知情的决定，促进青年发展和充分发挥其潜力。该政策也采取“主流化做法”，促进实施工作的跨部门协调。这项政策已查明的优先政策成果包括：</w:t>
      </w:r>
    </w:p>
    <w:p w:rsidR="00C509DE" w:rsidRDefault="00C509DE" w:rsidP="00C509DE">
      <w:pPr>
        <w:pStyle w:val="SingleTxt"/>
        <w:ind w:left="1695"/>
        <w:rPr>
          <w:rFonts w:hint="eastAsia"/>
        </w:rPr>
      </w:pPr>
      <w:r>
        <w:rPr>
          <w:rFonts w:hint="eastAsia"/>
        </w:rPr>
        <w:t>一.</w:t>
      </w:r>
      <w:r>
        <w:tab/>
      </w:r>
      <w:r>
        <w:rPr>
          <w:rFonts w:hint="eastAsia"/>
        </w:rPr>
        <w:t>青年男女更好和公平地获得教育、培训和就业机会(青年和职业途径)。</w:t>
      </w:r>
    </w:p>
    <w:p w:rsidR="00C509DE" w:rsidRDefault="00C509DE" w:rsidP="00C509DE">
      <w:pPr>
        <w:pStyle w:val="SingleTxt"/>
        <w:ind w:left="1695"/>
        <w:rPr>
          <w:rFonts w:hint="eastAsia"/>
        </w:rPr>
      </w:pPr>
      <w:r>
        <w:rPr>
          <w:rFonts w:hint="eastAsia"/>
        </w:rPr>
        <w:t>二.</w:t>
      </w:r>
      <w:r>
        <w:tab/>
      </w:r>
      <w:r>
        <w:rPr>
          <w:rFonts w:hint="eastAsia"/>
        </w:rPr>
        <w:t>青年男女参与决策和领导的平等机会增加(青年和治理)。</w:t>
      </w:r>
    </w:p>
    <w:p w:rsidR="00C509DE" w:rsidRDefault="00C509DE" w:rsidP="00C509DE">
      <w:pPr>
        <w:pStyle w:val="SingleTxt"/>
        <w:ind w:left="1695"/>
        <w:rPr>
          <w:rFonts w:hint="eastAsia"/>
        </w:rPr>
      </w:pPr>
      <w:r>
        <w:rPr>
          <w:rFonts w:hint="eastAsia"/>
        </w:rPr>
        <w:t>三.</w:t>
      </w:r>
      <w:r>
        <w:tab/>
      </w:r>
      <w:r w:rsidRPr="00C509DE">
        <w:rPr>
          <w:rFonts w:hint="eastAsia"/>
          <w:spacing w:val="-4"/>
        </w:rPr>
        <w:t>通过青年男女公平地获得医疗服务，改善青年与保健工作(青年和福利)。</w:t>
      </w:r>
    </w:p>
    <w:p w:rsidR="00C509DE" w:rsidRDefault="00C509DE" w:rsidP="00C509DE">
      <w:pPr>
        <w:pStyle w:val="SingleTxt"/>
        <w:ind w:left="1695"/>
        <w:rPr>
          <w:rFonts w:hint="eastAsia"/>
        </w:rPr>
      </w:pPr>
      <w:r>
        <w:rPr>
          <w:rFonts w:hint="eastAsia"/>
        </w:rPr>
        <w:t>四.</w:t>
      </w:r>
      <w:r>
        <w:tab/>
      </w:r>
      <w:r>
        <w:rPr>
          <w:rFonts w:hint="eastAsia"/>
        </w:rPr>
        <w:t>更多的青年参与促进建设和平和预防冲突的活动(青年与建设和平)。</w:t>
      </w:r>
    </w:p>
    <w:p w:rsidR="00C509DE" w:rsidRDefault="00C509DE" w:rsidP="00C509DE">
      <w:pPr>
        <w:pStyle w:val="SingleTxt"/>
        <w:ind w:left="1695"/>
        <w:rPr>
          <w:rFonts w:hint="eastAsia"/>
        </w:rPr>
      </w:pPr>
      <w:r>
        <w:rPr>
          <w:rFonts w:hint="eastAsia"/>
        </w:rPr>
        <w:t>五.</w:t>
      </w:r>
      <w:r>
        <w:tab/>
      </w:r>
      <w:r>
        <w:rPr>
          <w:rFonts w:hint="eastAsia"/>
        </w:rPr>
        <w:t>更多的青年促进可持续发展(青年与可持续发展)。</w:t>
      </w:r>
    </w:p>
    <w:p w:rsidR="00C509DE" w:rsidRDefault="00C509DE" w:rsidP="00C509DE">
      <w:pPr>
        <w:pStyle w:val="SingleTxt"/>
        <w:ind w:left="1695"/>
        <w:rPr>
          <w:rFonts w:hint="eastAsia"/>
        </w:rPr>
      </w:pPr>
      <w:r>
        <w:rPr>
          <w:rFonts w:hint="eastAsia"/>
        </w:rPr>
        <w:t>六.</w:t>
      </w:r>
      <w:r>
        <w:tab/>
      </w:r>
      <w:r>
        <w:rPr>
          <w:rFonts w:hint="eastAsia"/>
        </w:rPr>
        <w:t>执行这项政策的能力提高(青年纳入主流)。</w:t>
      </w:r>
    </w:p>
    <w:p w:rsidR="00C509DE" w:rsidRDefault="00C509DE" w:rsidP="00C509DE">
      <w:pPr>
        <w:pStyle w:val="SingleTxt"/>
        <w:rPr>
          <w:rFonts w:hint="eastAsia"/>
        </w:rPr>
      </w:pPr>
      <w:r>
        <w:rPr>
          <w:rFonts w:hint="eastAsia"/>
        </w:rPr>
        <w:t>91.</w:t>
      </w:r>
      <w:r>
        <w:tab/>
      </w:r>
      <w:r>
        <w:rPr>
          <w:rFonts w:hint="eastAsia"/>
        </w:rPr>
        <w:t>关于业绩计量，该政策提到编写年度业绩报告，以加强问责制和帮助查明需要进行青年能力建设的领域。该政策还提到妇女、青年、儿童和家庭事务部确定的衡量政策执行情况的相关部门和跨部门青年发展指标。然而，该政策并没有说明这些措施是什么，迄今尚未确定有关措施。除了国家青年政策外，各省都有省级青年政策。所有省级青年政策的基础都是确认青年男女需要平等地获得社会经济、保健、教育、就业和技能培训等领域的机会。</w:t>
      </w:r>
    </w:p>
    <w:p w:rsidR="00C509DE" w:rsidRPr="00454F06" w:rsidRDefault="00C509DE" w:rsidP="00C509DE">
      <w:pPr>
        <w:pStyle w:val="SingleTxt"/>
        <w:rPr>
          <w:rFonts w:ascii="SimHei" w:eastAsia="SimHei" w:hint="eastAsia"/>
        </w:rPr>
      </w:pPr>
      <w:r w:rsidRPr="00454F06">
        <w:rPr>
          <w:rFonts w:ascii="SimHei" w:eastAsia="SimHei" w:hint="eastAsia"/>
        </w:rPr>
        <w:t>分列数据</w:t>
      </w:r>
    </w:p>
    <w:p w:rsidR="00C509DE" w:rsidRDefault="00C509DE" w:rsidP="00C509DE">
      <w:pPr>
        <w:pStyle w:val="SingleTxt"/>
        <w:rPr>
          <w:rFonts w:hint="eastAsia"/>
        </w:rPr>
      </w:pPr>
      <w:r>
        <w:rPr>
          <w:rFonts w:hint="eastAsia"/>
        </w:rPr>
        <w:t>92.</w:t>
      </w:r>
      <w:r>
        <w:tab/>
      </w:r>
      <w:r>
        <w:rPr>
          <w:rFonts w:hint="eastAsia"/>
        </w:rPr>
        <w:t>过去的法律和政策一直没有提及政府部门和服务机构收集分列数据一事。因此，一直缺乏足够的数据以监测《公约》的执行情况。各方认识到，需要制定和实施处理分列数据收集工作的明确政策和程序。缺乏全面和易获得的性别分列数据会继续限制编写有意义的报告。性别平等和妇女发展国家政策行动计划建议在妇女、青年、儿童和家庭事务部建立性别问题信息管理系统。这个系统尚未建立，但已开始设定数据库的范围。发展伙伴已提供资金，以协助建立数据库。2012-2014年国家人力资源开发与培训计划确认有必要开发信息收集和分析系统，其中包括公营和私营、国际、国家和省级所有的经济部门。不过，这尚未得到落实。收集分列数据将有助于政府规划、取得政策成果和达到报告编写要求。</w:t>
      </w:r>
    </w:p>
    <w:p w:rsidR="00C509DE" w:rsidRPr="00454F06" w:rsidRDefault="00C509DE" w:rsidP="00C509DE">
      <w:pPr>
        <w:pStyle w:val="SingleTxt"/>
        <w:rPr>
          <w:rFonts w:ascii="SimHei" w:eastAsia="SimHei" w:hint="eastAsia"/>
        </w:rPr>
      </w:pPr>
      <w:r w:rsidRPr="00454F06">
        <w:rPr>
          <w:rFonts w:ascii="SimHei" w:eastAsia="SimHei" w:hint="eastAsia"/>
        </w:rPr>
        <w:t>政府伙伴关系</w:t>
      </w:r>
    </w:p>
    <w:p w:rsidR="00C509DE" w:rsidRDefault="00C509DE" w:rsidP="00C509DE">
      <w:pPr>
        <w:pStyle w:val="SingleTxt"/>
        <w:rPr>
          <w:rFonts w:hint="eastAsia"/>
        </w:rPr>
      </w:pPr>
      <w:r>
        <w:rPr>
          <w:rFonts w:hint="eastAsia"/>
        </w:rPr>
        <w:t>93.</w:t>
      </w:r>
      <w:r>
        <w:tab/>
      </w:r>
      <w:r>
        <w:rPr>
          <w:rFonts w:hint="eastAsia"/>
        </w:rPr>
        <w:t>2010年11月，妇女、青年、儿童和家庭事务部与妇女署结成伙伴关系，推出了完整的“在所罗门群岛法律中保护妇女人权”工具包。该工具包评估了所罗门群岛的法律和政策符合《消除对妇女歧视公约》各项规定的情况。由于工具包是太平洋区域开发的第一个这类产品，它的完成是一项重大成就。工具包将成为促进妇女权利的宣传工具，因而是《公约》本土化的重要步骤。</w:t>
      </w:r>
    </w:p>
    <w:p w:rsidR="00C509DE" w:rsidRDefault="00C509DE" w:rsidP="00C509DE">
      <w:pPr>
        <w:pStyle w:val="SingleTxt"/>
        <w:rPr>
          <w:rFonts w:hint="eastAsia"/>
        </w:rPr>
      </w:pPr>
      <w:r>
        <w:rPr>
          <w:rFonts w:hint="eastAsia"/>
        </w:rPr>
        <w:t>94.</w:t>
      </w:r>
      <w:r>
        <w:tab/>
      </w:r>
      <w:r>
        <w:rPr>
          <w:rFonts w:hint="eastAsia"/>
        </w:rPr>
        <w:t>2011年，妇女、青年、儿童和家庭事务部与区域援助所罗门群岛特派团一起制订了2011</w:t>
      </w:r>
      <w:r>
        <w:t>-</w:t>
      </w:r>
      <w:r>
        <w:rPr>
          <w:rFonts w:hint="eastAsia"/>
        </w:rPr>
        <w:t>2013年性别问题行动计划。该计划的目标是促进所罗门群岛政府在所有政府领域始终如一地贯彻性别平等的政策承诺。该计划的四项目标是：</w:t>
      </w:r>
    </w:p>
    <w:p w:rsidR="00C509DE" w:rsidRDefault="00C509DE" w:rsidP="00C509DE">
      <w:pPr>
        <w:pStyle w:val="SingleTxt"/>
        <w:ind w:left="2126" w:hanging="431"/>
        <w:rPr>
          <w:rFonts w:hint="eastAsia"/>
        </w:rPr>
      </w:pPr>
      <w:r>
        <w:rPr>
          <w:rFonts w:hint="eastAsia"/>
        </w:rPr>
        <w:sym w:font="Symbol" w:char="F0B7"/>
      </w:r>
      <w:r>
        <w:tab/>
      </w:r>
      <w:r>
        <w:rPr>
          <w:rFonts w:hint="eastAsia"/>
        </w:rPr>
        <w:t>支持区域援助所罗门群岛特派团支持政府伙伴机构的方案；</w:t>
      </w:r>
    </w:p>
    <w:p w:rsidR="00C509DE" w:rsidRDefault="00C509DE" w:rsidP="00C509DE">
      <w:pPr>
        <w:pStyle w:val="SingleTxt"/>
        <w:ind w:left="2126" w:hanging="431"/>
        <w:rPr>
          <w:rFonts w:hint="eastAsia"/>
        </w:rPr>
      </w:pPr>
      <w:r>
        <w:rPr>
          <w:rFonts w:hint="eastAsia"/>
        </w:rPr>
        <w:sym w:font="Symbol" w:char="F0B7"/>
      </w:r>
      <w:r>
        <w:tab/>
      </w:r>
      <w:r>
        <w:rPr>
          <w:rFonts w:hint="eastAsia"/>
        </w:rPr>
        <w:t>使政府的性别政策与政府/区域援助所罗门群岛特派团关于优先行动的联合协议保持一致；</w:t>
      </w:r>
    </w:p>
    <w:p w:rsidR="00C509DE" w:rsidRDefault="00C509DE" w:rsidP="00C509DE">
      <w:pPr>
        <w:pStyle w:val="SingleTxt"/>
        <w:ind w:left="2126" w:hanging="431"/>
        <w:rPr>
          <w:rFonts w:hint="eastAsia"/>
        </w:rPr>
      </w:pPr>
      <w:r>
        <w:rPr>
          <w:rFonts w:hint="eastAsia"/>
        </w:rPr>
        <w:sym w:font="Symbol" w:char="F0B7"/>
      </w:r>
      <w:r>
        <w:tab/>
      </w:r>
      <w:r>
        <w:rPr>
          <w:rFonts w:hint="eastAsia"/>
        </w:rPr>
        <w:t>提高循证和注重成果的性别问题报告的质量；</w:t>
      </w:r>
    </w:p>
    <w:p w:rsidR="00C509DE" w:rsidRDefault="00C509DE" w:rsidP="00C509DE">
      <w:pPr>
        <w:pStyle w:val="SingleTxt"/>
        <w:ind w:left="2126" w:hanging="431"/>
        <w:rPr>
          <w:rFonts w:hint="eastAsia"/>
        </w:rPr>
      </w:pPr>
      <w:r>
        <w:rPr>
          <w:rFonts w:hint="eastAsia"/>
        </w:rPr>
        <w:sym w:font="Symbol" w:char="F0B7"/>
      </w:r>
      <w:r>
        <w:tab/>
      </w:r>
      <w:r>
        <w:rPr>
          <w:rFonts w:hint="eastAsia"/>
        </w:rPr>
        <w:t>提高对性别问题的认识和能力。</w:t>
      </w:r>
    </w:p>
    <w:p w:rsidR="00C509DE" w:rsidRDefault="00C509DE" w:rsidP="00C509DE">
      <w:pPr>
        <w:pStyle w:val="SingleTxt"/>
        <w:rPr>
          <w:rFonts w:hint="eastAsia"/>
        </w:rPr>
      </w:pPr>
      <w:r>
        <w:rPr>
          <w:rFonts w:hint="eastAsia"/>
        </w:rPr>
        <w:t>95.</w:t>
      </w:r>
      <w:r>
        <w:tab/>
      </w:r>
      <w:r>
        <w:rPr>
          <w:rFonts w:hint="eastAsia"/>
        </w:rPr>
        <w:t>性别问题行动计划有以下四项主要成果：</w:t>
      </w:r>
    </w:p>
    <w:p w:rsidR="00C509DE" w:rsidRDefault="00C509DE" w:rsidP="00C509DE">
      <w:pPr>
        <w:pStyle w:val="SingleTxt"/>
        <w:rPr>
          <w:rFonts w:hint="eastAsia"/>
        </w:rPr>
      </w:pPr>
      <w:r>
        <w:tab/>
      </w:r>
      <w:r>
        <w:rPr>
          <w:rFonts w:hint="eastAsia"/>
        </w:rPr>
        <w:t>1.</w:t>
      </w:r>
      <w:r>
        <w:tab/>
      </w:r>
      <w:r>
        <w:rPr>
          <w:rFonts w:hint="eastAsia"/>
        </w:rPr>
        <w:t>参与公共部门管理和领导的妇女人数增加；</w:t>
      </w:r>
    </w:p>
    <w:p w:rsidR="00C509DE" w:rsidRDefault="00C509DE" w:rsidP="00C509DE">
      <w:pPr>
        <w:pStyle w:val="SingleTxt"/>
        <w:rPr>
          <w:rFonts w:hint="eastAsia"/>
        </w:rPr>
      </w:pPr>
      <w:r>
        <w:tab/>
      </w:r>
      <w:r>
        <w:rPr>
          <w:rFonts w:hint="eastAsia"/>
        </w:rPr>
        <w:t>2.</w:t>
      </w:r>
      <w:r>
        <w:tab/>
      </w:r>
      <w:r>
        <w:rPr>
          <w:rFonts w:hint="eastAsia"/>
        </w:rPr>
        <w:t>立法机关的女代表人数增加；</w:t>
      </w:r>
    </w:p>
    <w:p w:rsidR="00C509DE" w:rsidRDefault="00C509DE" w:rsidP="00C509DE">
      <w:pPr>
        <w:pStyle w:val="SingleTxt"/>
        <w:rPr>
          <w:rFonts w:hint="eastAsia"/>
        </w:rPr>
      </w:pPr>
      <w:r>
        <w:tab/>
      </w:r>
      <w:r>
        <w:rPr>
          <w:rFonts w:hint="eastAsia"/>
        </w:rPr>
        <w:t>3.</w:t>
      </w:r>
      <w:r>
        <w:tab/>
      </w:r>
      <w:r>
        <w:rPr>
          <w:rFonts w:hint="eastAsia"/>
        </w:rPr>
        <w:t>消除暴力侵害妇女行为的有效政策和程序已经设立和发挥作用；</w:t>
      </w:r>
    </w:p>
    <w:p w:rsidR="00C509DE" w:rsidRDefault="00C509DE" w:rsidP="00C509DE">
      <w:pPr>
        <w:pStyle w:val="SingleTxt"/>
        <w:rPr>
          <w:rFonts w:hint="eastAsia"/>
        </w:rPr>
      </w:pPr>
      <w:r>
        <w:tab/>
      </w:r>
      <w:r>
        <w:rPr>
          <w:rFonts w:hint="eastAsia"/>
        </w:rPr>
        <w:t>4.</w:t>
      </w:r>
      <w:r>
        <w:tab/>
      </w:r>
      <w:r>
        <w:rPr>
          <w:rFonts w:hint="eastAsia"/>
        </w:rPr>
        <w:t>所罗门群岛主要政府机构设立有效和充满活力的国家妇女机制和性别问题协调中心。</w:t>
      </w:r>
    </w:p>
    <w:p w:rsidR="00C509DE" w:rsidRDefault="00C509DE" w:rsidP="00C509DE">
      <w:pPr>
        <w:pStyle w:val="SingleTxt"/>
        <w:rPr>
          <w:rFonts w:hint="eastAsia"/>
        </w:rPr>
      </w:pPr>
      <w:r>
        <w:rPr>
          <w:rFonts w:hint="eastAsia"/>
        </w:rPr>
        <w:t>96.</w:t>
      </w:r>
      <w:r>
        <w:tab/>
      </w:r>
      <w:r>
        <w:rPr>
          <w:rFonts w:hint="eastAsia"/>
        </w:rPr>
        <w:t>在编写性别问题行动计划时，完成了主要成果领域的基线研究，表明妇女仅占(2011年)公务人员队伍人数的38</w:t>
      </w:r>
      <w:r>
        <w:t>%</w:t>
      </w:r>
      <w:r>
        <w:rPr>
          <w:rFonts w:hint="eastAsia"/>
        </w:rPr>
        <w:t>，男子控制了高级职位。</w:t>
      </w:r>
    </w:p>
    <w:p w:rsidR="00C509DE" w:rsidRPr="00454F06" w:rsidRDefault="00C509DE" w:rsidP="00C509DE">
      <w:pPr>
        <w:pStyle w:val="SingleTxt"/>
        <w:rPr>
          <w:rFonts w:ascii="SimHei" w:eastAsia="SimHei" w:hint="eastAsia"/>
        </w:rPr>
      </w:pPr>
      <w:r w:rsidRPr="00454F06">
        <w:rPr>
          <w:rFonts w:ascii="SimHei" w:eastAsia="SimHei" w:hint="eastAsia"/>
        </w:rPr>
        <w:t>非政府组织、国际非政府组织、教会和民间社会组织</w:t>
      </w:r>
    </w:p>
    <w:p w:rsidR="00C509DE" w:rsidRDefault="00C509DE" w:rsidP="00C509DE">
      <w:pPr>
        <w:pStyle w:val="SingleTxt"/>
        <w:rPr>
          <w:rFonts w:hint="eastAsia"/>
        </w:rPr>
      </w:pPr>
      <w:r>
        <w:rPr>
          <w:rFonts w:hint="eastAsia"/>
        </w:rPr>
        <w:t>97.</w:t>
      </w:r>
      <w:r>
        <w:tab/>
      </w:r>
      <w:r>
        <w:rPr>
          <w:rFonts w:hint="eastAsia"/>
        </w:rPr>
        <w:t>有其他许多非政府组织和民间社会组织为促进妇女权利和发展作出了贡献，其中包括2003年成立的所罗门妇女之声，它是一个全国妇女媒体组织，从事倡导和宣传全国各地妇女问题的媒体出版和广播节目。</w:t>
      </w:r>
    </w:p>
    <w:p w:rsidR="00C509DE" w:rsidRDefault="00C509DE" w:rsidP="00C509DE">
      <w:pPr>
        <w:pStyle w:val="SingleTxt"/>
        <w:rPr>
          <w:rFonts w:hint="eastAsia"/>
        </w:rPr>
      </w:pPr>
      <w:r>
        <w:rPr>
          <w:rFonts w:hint="eastAsia"/>
        </w:rPr>
        <w:t>98.</w:t>
      </w:r>
      <w:r>
        <w:tab/>
      </w:r>
      <w:r>
        <w:rPr>
          <w:rFonts w:hint="eastAsia"/>
        </w:rPr>
        <w:t>霍尼亚拉家庭支助中心成立于1995年，目的是解决所罗门群岛家庭暴力、性虐待、虐待儿童和强奸发生率高的问题。该中心通过咨询、提供法律信息和援助、培训、提高认识和资源库，向遭受暴力和虐待的个人和家庭提供服务。法律信息、援助和咨询均无偿提供。家庭支助中心与公设律师办公室、警察、医疗服务机构和基督教护理中心建立了密切的工作关系和转介网络。家庭支助中心仅在首都霍尼亚拉提供支助服务，但在各省开展提高认识活动。</w:t>
      </w:r>
    </w:p>
    <w:p w:rsidR="00C509DE" w:rsidRDefault="00C509DE" w:rsidP="00C509DE">
      <w:pPr>
        <w:pStyle w:val="SingleTxt"/>
        <w:rPr>
          <w:rFonts w:hint="eastAsia"/>
        </w:rPr>
      </w:pPr>
      <w:r>
        <w:rPr>
          <w:rFonts w:hint="eastAsia"/>
        </w:rPr>
        <w:t>99.</w:t>
      </w:r>
      <w:r>
        <w:tab/>
      </w:r>
      <w:r>
        <w:rPr>
          <w:rFonts w:hint="eastAsia"/>
        </w:rPr>
        <w:t>基督教护理中心由美拉尼西亚教会开办，提供所罗门群岛唯一的避难所设施。该避难所位于首都郊区。基督教护理中心接受警察、社会福利署、公设律师办公室、家庭支助中心的介绍以及未经预约者。该中心为受害者提供咨询和避难住所，包括提供食物、支付医疗费用、支付遣返费用和提供传统补偿。作为教会经营的机构，该中心的资金有限，未从政府得到补充资金。妇女、青年、儿童和家庭事务部已向政府申请285 935美元，从2013年起支助基督教护理中心和家庭支助中心。</w:t>
      </w:r>
    </w:p>
    <w:p w:rsidR="00C509DE" w:rsidRDefault="00C509DE" w:rsidP="00C509DE">
      <w:pPr>
        <w:pStyle w:val="SingleTxt"/>
        <w:rPr>
          <w:rFonts w:hint="eastAsia"/>
        </w:rPr>
      </w:pPr>
      <w:r>
        <w:rPr>
          <w:rFonts w:hint="eastAsia"/>
        </w:rPr>
        <w:t>100.　所罗门群岛基督教协会向受害者提供支助和转介网络，过去曾经营过规模庞大的农村网络，向家庭暴力和暴力侵害妇女和儿童行为的受害者提供支持。该网络由数个十人小队组成，其中包括宗教领导人、警察、护士、教师和省福利处，覆盖8个省。这些小队接受基本训练，不过，维持网络的资金供应于2011年底到期，在没有外部资金的情况下，所罗门群岛基督教协会无法继续维持该网络。</w:t>
      </w:r>
    </w:p>
    <w:p w:rsidR="00C509DE" w:rsidRDefault="00C509DE" w:rsidP="00C509DE">
      <w:pPr>
        <w:pStyle w:val="SingleTxt"/>
        <w:rPr>
          <w:rFonts w:hint="eastAsia"/>
        </w:rPr>
      </w:pPr>
      <w:r>
        <w:rPr>
          <w:rFonts w:hint="eastAsia"/>
        </w:rPr>
        <w:t>101.　其他非政府组织、国际非政府组织和教会，其中包括但不限于所罗门群岛福音协会、世界展望组织、国家妇女理事会、各省的妇女理事会、基督教女青年会、乐施会所罗门群岛联合起来反对暴力项目、环境教育活到老学到老协会和所罗门群岛发展信托基金，都为解决暴力侵害妇女和促进妇女权利和发展问题作出了贡献。</w:t>
      </w:r>
    </w:p>
    <w:p w:rsidR="001F5207" w:rsidRPr="001F5207" w:rsidRDefault="001F5207" w:rsidP="001F5207">
      <w:pPr>
        <w:pStyle w:val="SingleTxt"/>
        <w:rPr>
          <w:rFonts w:ascii="SimHei" w:eastAsia="SimHei" w:hint="eastAsia"/>
          <w:sz w:val="24"/>
          <w:szCs w:val="24"/>
        </w:rPr>
      </w:pPr>
      <w:r w:rsidRPr="001F5207">
        <w:rPr>
          <w:rFonts w:ascii="SimHei" w:eastAsia="SimHei" w:hint="eastAsia"/>
          <w:sz w:val="24"/>
          <w:szCs w:val="24"/>
        </w:rPr>
        <w:t>第3条：保证基本人权和基本自由</w:t>
      </w:r>
    </w:p>
    <w:p w:rsidR="001F5207" w:rsidRPr="00C818B3" w:rsidRDefault="001F5207" w:rsidP="001F5207">
      <w:pPr>
        <w:pStyle w:val="SingleTxt"/>
        <w:rPr>
          <w:rFonts w:ascii="SimHei" w:eastAsia="SimHei" w:hint="eastAsia"/>
        </w:rPr>
      </w:pPr>
      <w:r w:rsidRPr="00C818B3">
        <w:rPr>
          <w:rFonts w:ascii="SimHei" w:eastAsia="SimHei" w:hint="eastAsia"/>
        </w:rPr>
        <w:t>法律背景</w:t>
      </w:r>
    </w:p>
    <w:p w:rsidR="001F5207" w:rsidRPr="00C818B3" w:rsidRDefault="001F5207" w:rsidP="001F5207">
      <w:pPr>
        <w:pStyle w:val="SingleTxt"/>
        <w:rPr>
          <w:rFonts w:hint="eastAsia"/>
        </w:rPr>
      </w:pPr>
      <w:r w:rsidRPr="00C818B3">
        <w:rPr>
          <w:rFonts w:hint="eastAsia"/>
        </w:rPr>
        <w:t>102.　不存在关于设立一个国家人权机构，负责促进和保护人权(包括妇女权利)的立法。不存在关于设立一个得到供资的机构以监督执行非歧视性法律和提高妇女地位政策的立法。还承认通过法院程序来推行权利和自由昂贵而耗时。此外，正式司法系统对所罗门群岛大多数公民来说是不可及的，原因包括地理位置分散、高文盲率和资源匮乏。</w:t>
      </w:r>
    </w:p>
    <w:p w:rsidR="001F5207" w:rsidRPr="00C818B3" w:rsidRDefault="001F5207" w:rsidP="001F5207">
      <w:pPr>
        <w:pStyle w:val="SingleTxt"/>
        <w:rPr>
          <w:rFonts w:hint="eastAsia"/>
        </w:rPr>
      </w:pPr>
      <w:r w:rsidRPr="00C818B3">
        <w:rPr>
          <w:rFonts w:hint="eastAsia"/>
        </w:rPr>
        <w:t>103.　《宪法》第96条规定设立监察员办公室，作为公职。1983年《监察员(增补规定)法》列出该办公室的具体职能。其目的是调查施政不善情况。有时可能会出现关于施政不善的指控会影响到公民权利和自由的情况。监察员职能包括调查任何被任命的公务人员(例如公务员、警察部队、惩教部门、霍尼亚拉市政府、省政府以及议会所规定的其他办公室、委员会和团体或公共机构的成员)的行为，但不包括总督或其私人工作人员，以及检察长或任何按其指示行事的人。监察员办公室向所罗门群岛所有公民开放，他们可就有关公职机构和公职人员的决策方式提出任何问题。</w:t>
      </w:r>
    </w:p>
    <w:p w:rsidR="001F5207" w:rsidRPr="00C818B3" w:rsidRDefault="001F5207" w:rsidP="001F5207">
      <w:pPr>
        <w:pStyle w:val="SingleTxt"/>
        <w:rPr>
          <w:rFonts w:hint="eastAsia"/>
        </w:rPr>
      </w:pPr>
      <w:r w:rsidRPr="00C818B3">
        <w:rPr>
          <w:rFonts w:hint="eastAsia"/>
        </w:rPr>
        <w:t>104.　就违反基本人权和基本自由的行为寻求补救的唯一机制是向所罗门群岛高等法院申诉。《宪法》第18条规定，任何人声称《宪法》第1条至第16条所规定的保护受到违反，都可向高等法院申请纠正。高等法院宣布命令、发布令状和下达指示来实施和保护权利。按照第17条，权利或自由受到侵犯者可向应对侵犯行为负责的个人或组织索取赔偿。</w:t>
      </w:r>
    </w:p>
    <w:p w:rsidR="001F5207" w:rsidRPr="00C818B3" w:rsidRDefault="001F5207" w:rsidP="001F5207">
      <w:pPr>
        <w:pStyle w:val="SingleTxt"/>
        <w:rPr>
          <w:rFonts w:hint="eastAsia"/>
        </w:rPr>
      </w:pPr>
      <w:r w:rsidRPr="00C818B3">
        <w:rPr>
          <w:rFonts w:hint="eastAsia"/>
        </w:rPr>
        <w:t>105.　《宪法》第92条设立公设律师职位，并规定公设律师办公室为公职机构。公设律师的职能是向有需要的人提供法律援助、咨询和帮助。</w:t>
      </w:r>
    </w:p>
    <w:p w:rsidR="001F5207" w:rsidRPr="00C818B3" w:rsidRDefault="001F5207" w:rsidP="001F5207">
      <w:pPr>
        <w:pStyle w:val="SingleTxt"/>
        <w:rPr>
          <w:rFonts w:hint="eastAsia"/>
        </w:rPr>
      </w:pPr>
      <w:r w:rsidRPr="00C818B3">
        <w:rPr>
          <w:rFonts w:hint="eastAsia"/>
        </w:rPr>
        <w:t>106.　所罗门群岛加入了《消除对妇女一切形式歧视公约任择议定书》，因此其公民可向消除对妇女歧视委员会呈文。</w:t>
      </w:r>
    </w:p>
    <w:p w:rsidR="001F5207" w:rsidRPr="00C818B3" w:rsidRDefault="001F5207" w:rsidP="001F5207">
      <w:pPr>
        <w:pStyle w:val="SingleTxt"/>
        <w:rPr>
          <w:rFonts w:ascii="SimHei" w:eastAsia="SimHei" w:hint="eastAsia"/>
        </w:rPr>
      </w:pPr>
      <w:r w:rsidRPr="00C818B3">
        <w:rPr>
          <w:rFonts w:ascii="SimHei" w:eastAsia="SimHei" w:hint="eastAsia"/>
        </w:rPr>
        <w:t>公职和政府机构</w:t>
      </w:r>
    </w:p>
    <w:p w:rsidR="001F5207" w:rsidRPr="00C818B3" w:rsidRDefault="001F5207" w:rsidP="001F5207">
      <w:pPr>
        <w:pStyle w:val="SingleTxt"/>
        <w:rPr>
          <w:rFonts w:hint="eastAsia"/>
        </w:rPr>
      </w:pPr>
      <w:r w:rsidRPr="00C818B3">
        <w:rPr>
          <w:rFonts w:hint="eastAsia"/>
        </w:rPr>
        <w:t>107.　监察员办公室向检察长办公室提交了对《宪法》第四章的修正案，以设立一个执行其建议的法庭，并作出关于调解的规定，因为考虑到调解在所罗门群岛传统文化中的重要作用。迄今没有就这些建议采取行动。</w:t>
      </w:r>
    </w:p>
    <w:p w:rsidR="001F5207" w:rsidRPr="00C818B3" w:rsidRDefault="001F5207" w:rsidP="001F5207">
      <w:pPr>
        <w:pStyle w:val="SingleTxt"/>
        <w:rPr>
          <w:rFonts w:hint="eastAsia"/>
        </w:rPr>
      </w:pPr>
      <w:r w:rsidRPr="00C818B3">
        <w:rPr>
          <w:rFonts w:hint="eastAsia"/>
        </w:rPr>
        <w:t>108.　为了确保所罗门群岛的所有公民能够利用监察员办公室，办公室于2010年2月同所罗门群岛邮政公司执行了一项谅解备忘录，其中规定免费航空投寄给监察员办公室的投诉信。可在所罗门群岛的任何一个邮政局邮寄此类信件。监察员办公室还已开始在每个省和所罗门群岛政府办事处设监察员办公室事务协调人。</w:t>
      </w:r>
    </w:p>
    <w:p w:rsidR="001F5207" w:rsidRPr="00C818B3" w:rsidRDefault="001F5207" w:rsidP="001F5207">
      <w:pPr>
        <w:pStyle w:val="SingleTxt"/>
        <w:rPr>
          <w:rFonts w:hint="eastAsia"/>
        </w:rPr>
      </w:pPr>
      <w:r w:rsidRPr="00C818B3">
        <w:rPr>
          <w:rFonts w:hint="eastAsia"/>
        </w:rPr>
        <w:t>109.　对违反宪法规定的权利和自由的行为，公设律师办公室免费提供法律咨询。公设律师办公室优先处理这类案件。曾经有过这样的案件，即公民个人，包括被拘留者，就其所罗门群岛《宪法》所规定的权利和自由受到损害向高等法院寻求补救。</w:t>
      </w:r>
      <w:r w:rsidRPr="00C818B3">
        <w:rPr>
          <w:rStyle w:val="FootnoteReference"/>
        </w:rPr>
        <w:footnoteReference w:id="17"/>
      </w:r>
      <w:r w:rsidRPr="00C818B3">
        <w:rPr>
          <w:rFonts w:hint="eastAsia"/>
        </w:rPr>
        <w:t xml:space="preserve"> 不过，这些申求大多由男性提出。</w:t>
      </w:r>
    </w:p>
    <w:p w:rsidR="001F5207" w:rsidRPr="00C818B3" w:rsidRDefault="001F5207" w:rsidP="001F5207">
      <w:pPr>
        <w:pStyle w:val="SingleTxt"/>
        <w:rPr>
          <w:rFonts w:hint="eastAsia"/>
        </w:rPr>
      </w:pPr>
      <w:r w:rsidRPr="00C818B3">
        <w:rPr>
          <w:rFonts w:hint="eastAsia"/>
        </w:rPr>
        <w:t>110.　妇女、青年、儿童和家庭事务部妇女发展司具有监测提高妇女地位非歧视性法律执行情况的任务。妇女发展司与所罗门群岛消除对妇女歧视公约国家咨询委员会协调工作，后者是一个咨询和协商小组，其主要作用是监测《消除对妇女歧视公约》的执行和提出相关报告。国家咨询委员会的任务是向政府提出建议并监测提高妇女地位反歧视法律和政策的执行情况。鉴于国家咨询委员会2012年6月才恢复，因此需要一些时间来加强其运作。建立可持续的业务和机制需要时间。但所罗门群岛政府致力于让国家咨询委员会发挥重要作用。</w:t>
      </w:r>
    </w:p>
    <w:p w:rsidR="001F5207" w:rsidRPr="00C818B3" w:rsidRDefault="001F5207" w:rsidP="001F5207">
      <w:pPr>
        <w:pStyle w:val="SingleTxt"/>
        <w:rPr>
          <w:rFonts w:ascii="SimHei" w:eastAsia="SimHei" w:hint="eastAsia"/>
        </w:rPr>
      </w:pPr>
      <w:r w:rsidRPr="00C818B3">
        <w:rPr>
          <w:rFonts w:ascii="SimHei" w:eastAsia="SimHei" w:hint="eastAsia"/>
        </w:rPr>
        <w:t>人权机构</w:t>
      </w:r>
    </w:p>
    <w:p w:rsidR="001F5207" w:rsidRPr="00C818B3" w:rsidRDefault="001F5207" w:rsidP="001F5207">
      <w:pPr>
        <w:pStyle w:val="SingleTxt"/>
        <w:rPr>
          <w:rFonts w:hint="eastAsia"/>
        </w:rPr>
      </w:pPr>
      <w:r w:rsidRPr="00C818B3">
        <w:rPr>
          <w:rFonts w:hint="eastAsia"/>
        </w:rPr>
        <w:t>111.　由于太平洋岛屿国家和最不发达国家规模小，难以负担国家人权机构，所以所罗门群岛参与了太平洋区域关于建立一个区域人权机构的讨论和规划。</w:t>
      </w:r>
    </w:p>
    <w:p w:rsidR="001F5207" w:rsidRPr="00C818B3" w:rsidRDefault="001F5207" w:rsidP="001F5207">
      <w:pPr>
        <w:pStyle w:val="SingleTxt"/>
        <w:rPr>
          <w:rFonts w:hint="eastAsia"/>
        </w:rPr>
      </w:pPr>
      <w:r w:rsidRPr="00C818B3">
        <w:rPr>
          <w:rFonts w:hint="eastAsia"/>
        </w:rPr>
        <w:t>112.　2012年1月，同人权事务高级专员办事处的一个代表团一起开展了一项全国性考察，评估建立一个独立的国家人权机构是否可行；该代表团是应所罗门群岛政府请求派出的。这项请求在2011年5月普遍定期审查之后提出。内阁审议了考察团提出的各项建议，但鉴于现有资源和人力有限，决定优先考虑加强人力并分配更多的资源给负责促进和保护人权的现有机构，其中包括法院和廉正机构，如监察员办公室、领导人纪律委员会和审计长办公室。这项工作是所罗门群岛政府-区域援助所罗门群岛特派团加强政府机构伙伴关系框架的一部分。</w:t>
      </w:r>
    </w:p>
    <w:p w:rsidR="001F5207" w:rsidRPr="001F5207" w:rsidRDefault="001F5207" w:rsidP="001F5207">
      <w:pPr>
        <w:pStyle w:val="SingleTxt"/>
        <w:rPr>
          <w:rFonts w:ascii="SimHei" w:eastAsia="SimHei" w:hint="eastAsia"/>
          <w:sz w:val="24"/>
          <w:szCs w:val="24"/>
        </w:rPr>
      </w:pPr>
      <w:r w:rsidRPr="001F5207">
        <w:rPr>
          <w:rFonts w:ascii="SimHei" w:eastAsia="SimHei" w:hint="eastAsia"/>
          <w:sz w:val="24"/>
          <w:szCs w:val="24"/>
        </w:rPr>
        <w:t>第4条：加速实现男女平等</w:t>
      </w:r>
    </w:p>
    <w:p w:rsidR="001F5207" w:rsidRPr="00C818B3" w:rsidRDefault="001F5207" w:rsidP="001F5207">
      <w:pPr>
        <w:pStyle w:val="SingleTxt"/>
        <w:rPr>
          <w:rFonts w:ascii="SimHei" w:eastAsia="SimHei" w:hint="eastAsia"/>
        </w:rPr>
      </w:pPr>
      <w:r w:rsidRPr="00C818B3">
        <w:rPr>
          <w:rFonts w:ascii="SimHei" w:eastAsia="SimHei" w:hint="eastAsia"/>
        </w:rPr>
        <w:t>法律背景</w:t>
      </w:r>
    </w:p>
    <w:p w:rsidR="001F5207" w:rsidRPr="00C818B3" w:rsidRDefault="001F5207" w:rsidP="001F5207">
      <w:pPr>
        <w:pStyle w:val="SingleTxt"/>
        <w:rPr>
          <w:rFonts w:hint="eastAsia"/>
        </w:rPr>
      </w:pPr>
      <w:r w:rsidRPr="00C818B3">
        <w:rPr>
          <w:rFonts w:hint="eastAsia"/>
        </w:rPr>
        <w:t>113.　所罗门群岛的《宪法》中没有关于暂行特别措施的规定。因此，暂行特别保护措施不需要作为例外。但是，第15条⑸(f)规定，“不应将提高处境不利的社区成员地位”的法律“视为歧视性”。这一规定可用来加速在妇女历来处于不利地位的领域取得进展。但是，第15条(5)(c)至(e)对与收养、结婚、离婚、埋葬、死亡后财产继承或属人法其他类似事项有关的法律提供了例外，并对有关习惯法适用的法律以及关于土地、土地保有权、收复和获取土地和其他类似目的的法律提供了例外。因此，有众多领域需要作为《宪法》规定的例外情况。</w:t>
      </w:r>
    </w:p>
    <w:p w:rsidR="001F5207" w:rsidRPr="00C818B3" w:rsidRDefault="001F5207" w:rsidP="001F5207">
      <w:pPr>
        <w:pStyle w:val="SingleTxt"/>
        <w:rPr>
          <w:rFonts w:ascii="SimHei" w:eastAsia="SimHei" w:hint="eastAsia"/>
        </w:rPr>
      </w:pPr>
      <w:r w:rsidRPr="00C818B3">
        <w:rPr>
          <w:rFonts w:ascii="SimHei" w:eastAsia="SimHei" w:hint="eastAsia"/>
        </w:rPr>
        <w:t>关于在议会中为妇女采取暂行特别措施</w:t>
      </w:r>
    </w:p>
    <w:p w:rsidR="001F5207" w:rsidRPr="00C818B3" w:rsidRDefault="001F5207" w:rsidP="001F5207">
      <w:pPr>
        <w:pStyle w:val="SingleTxt"/>
        <w:rPr>
          <w:rFonts w:hint="eastAsia"/>
        </w:rPr>
      </w:pPr>
      <w:r w:rsidRPr="00C818B3">
        <w:rPr>
          <w:rFonts w:hint="eastAsia"/>
        </w:rPr>
        <w:t>114.　已就采取暂行特别措施以加速实现男女平等作出努力。这包括拟定一项在议会中为妇女保留席位的暂行特别措施政策文件，已在2009年将该文件提交核心小组。但核心小组认为对该政策文件没有进行足够的协商，因此不支持这份文件。</w:t>
      </w:r>
    </w:p>
    <w:p w:rsidR="001F5207" w:rsidRPr="00C818B3" w:rsidRDefault="001F5207" w:rsidP="001F5207">
      <w:pPr>
        <w:pStyle w:val="SingleTxt"/>
        <w:rPr>
          <w:rFonts w:hint="eastAsia"/>
        </w:rPr>
      </w:pPr>
      <w:r w:rsidRPr="00C818B3">
        <w:rPr>
          <w:rFonts w:hint="eastAsia"/>
        </w:rPr>
        <w:t>115.　社区成员对暂行特别措施和在议会选举中为妇女保留席位的理念的支持继续增加。2010年和2011年进行的民意调查都显示对保留女议员席位的支持增加(分别为84%和91%)。</w:t>
      </w:r>
    </w:p>
    <w:p w:rsidR="001F5207" w:rsidRPr="00C818B3" w:rsidRDefault="001F5207" w:rsidP="001F5207">
      <w:pPr>
        <w:pStyle w:val="SingleTxt"/>
        <w:rPr>
          <w:rFonts w:hint="eastAsia"/>
        </w:rPr>
      </w:pPr>
      <w:r w:rsidRPr="00C818B3">
        <w:rPr>
          <w:rFonts w:hint="eastAsia"/>
        </w:rPr>
        <w:t>116.　所罗门群岛政府对在议会选举中为妇女保留席位的暂行特别措施表示了政策上的支持。政府已表示希望就政策制定和立法实行包容和参与式施政。因此，已设立一个立法工作组，以审议有关暂行特别措施的各种备选办法，包括在议会选举中保留席位。</w:t>
      </w:r>
    </w:p>
    <w:p w:rsidR="001F5207" w:rsidRPr="00C818B3" w:rsidRDefault="001F5207" w:rsidP="001F5207">
      <w:pPr>
        <w:pStyle w:val="SingleTxt"/>
        <w:rPr>
          <w:rFonts w:hint="eastAsia"/>
        </w:rPr>
      </w:pPr>
      <w:r w:rsidRPr="00C818B3">
        <w:rPr>
          <w:rFonts w:hint="eastAsia"/>
        </w:rPr>
        <w:t>117.　认识到需要鼓励和支持妇女参政，2011年，由开发计划署资助的加强议会方案与所罗门群岛政府合作，设立了青年妇女议会团体。该团体一直在积极提高人们的认识，鼓励就在议会选举中为妇女保留席位的暂行特别措施进行辩论。</w:t>
      </w:r>
    </w:p>
    <w:p w:rsidR="001F5207" w:rsidRPr="001F5207" w:rsidRDefault="001F5207" w:rsidP="001F5207">
      <w:pPr>
        <w:pStyle w:val="SingleTxt"/>
        <w:rPr>
          <w:rFonts w:ascii="SimHei" w:eastAsia="SimHei" w:hint="eastAsia"/>
          <w:sz w:val="24"/>
          <w:szCs w:val="24"/>
        </w:rPr>
      </w:pPr>
      <w:r w:rsidRPr="001F5207">
        <w:rPr>
          <w:rFonts w:ascii="SimHei" w:eastAsia="SimHei" w:hint="eastAsia"/>
          <w:sz w:val="24"/>
          <w:szCs w:val="24"/>
        </w:rPr>
        <w:t>第5条：性别角色和陈规定型观念</w:t>
      </w:r>
    </w:p>
    <w:p w:rsidR="001F5207" w:rsidRPr="00C818B3" w:rsidRDefault="001F5207" w:rsidP="001F5207">
      <w:pPr>
        <w:pStyle w:val="SingleTxt"/>
        <w:rPr>
          <w:rFonts w:ascii="SimHei" w:eastAsia="SimHei" w:hint="eastAsia"/>
        </w:rPr>
      </w:pPr>
      <w:r w:rsidRPr="00C818B3">
        <w:rPr>
          <w:rFonts w:ascii="SimHei" w:eastAsia="SimHei" w:hint="eastAsia"/>
        </w:rPr>
        <w:t>法律背景</w:t>
      </w:r>
    </w:p>
    <w:p w:rsidR="001F5207" w:rsidRPr="00C818B3" w:rsidRDefault="001F5207" w:rsidP="001F5207">
      <w:pPr>
        <w:pStyle w:val="SingleTxt"/>
        <w:rPr>
          <w:rFonts w:hint="eastAsia"/>
        </w:rPr>
      </w:pPr>
      <w:r w:rsidRPr="00C818B3">
        <w:rPr>
          <w:rFonts w:hint="eastAsia"/>
        </w:rPr>
        <w:t>118.　《所罗门群岛宪法》给予习惯法法律地位。《宪法》第75条(1)规定，议会得就法律的适用，包括习惯法的适用作出规定。《宪法》附则3规定，习惯法是所罗门群岛法律的一部分，但不符合《宪法》或议会法令的习惯法以及习惯法中不符合《宪法》和议会法令之处除外。《宪法》中关于歧视的规定对与适用习惯法有关的法律提供了豁免。</w:t>
      </w:r>
    </w:p>
    <w:p w:rsidR="001F5207" w:rsidRPr="00C818B3" w:rsidRDefault="001F5207" w:rsidP="001F5207">
      <w:pPr>
        <w:pStyle w:val="SingleTxt"/>
        <w:rPr>
          <w:rFonts w:ascii="SimHei" w:eastAsia="SimHei" w:hint="eastAsia"/>
        </w:rPr>
      </w:pPr>
      <w:r w:rsidRPr="00C818B3">
        <w:rPr>
          <w:rFonts w:ascii="SimHei" w:eastAsia="SimHei" w:hint="eastAsia"/>
        </w:rPr>
        <w:t>所罗门群岛妇女的状况</w:t>
      </w:r>
    </w:p>
    <w:p w:rsidR="001F5207" w:rsidRPr="00C818B3" w:rsidRDefault="001F5207" w:rsidP="001F5207">
      <w:pPr>
        <w:pStyle w:val="SingleTxt"/>
        <w:rPr>
          <w:rFonts w:hint="eastAsia"/>
        </w:rPr>
      </w:pPr>
      <w:r w:rsidRPr="00C818B3">
        <w:rPr>
          <w:rFonts w:hint="eastAsia"/>
        </w:rPr>
        <w:t>119.　所罗门群岛的传统对男子和妇女的权力领地作出了界定。但权力和控制权主要属于男子。妇女在家庭、部族和社区各层的领导和决策作用有限。因此，既定的观念是，领导是男子的领地。这种定型观念反映在目前提名和选举妇女进入国家和省级立法机构以发挥领导国家的作用这一过程中，也反映在其他领域，如就业、教育、保健和司法系统。</w:t>
      </w:r>
    </w:p>
    <w:p w:rsidR="001F5207" w:rsidRPr="00C818B3" w:rsidRDefault="001F5207" w:rsidP="001F5207">
      <w:pPr>
        <w:pStyle w:val="SingleTxt"/>
        <w:spacing w:line="300" w:lineRule="exact"/>
        <w:rPr>
          <w:rFonts w:hint="eastAsia"/>
        </w:rPr>
      </w:pPr>
      <w:r w:rsidRPr="00C818B3">
        <w:rPr>
          <w:rFonts w:hint="eastAsia"/>
        </w:rPr>
        <w:t>120.　在所罗门群岛，人们认为妇女的作用主要是理家和生育，男子则负有家庭之外的责任。通常，妇女大多住在自己父母的村庄，直到给她们定了亲，这时她们就迁到新郎的村庄。</w:t>
      </w:r>
      <w:r w:rsidRPr="00C818B3">
        <w:rPr>
          <w:rStyle w:val="FootnoteReference"/>
        </w:rPr>
        <w:footnoteReference w:id="18"/>
      </w:r>
      <w:r w:rsidRPr="00C818B3">
        <w:rPr>
          <w:rFonts w:hint="eastAsia"/>
        </w:rPr>
        <w:t xml:space="preserve"> 虽然由于教育和商品经济等因素，妇女的角色正在发生变化，但总体上妇女的作用往往仍然是家庭责任。</w:t>
      </w:r>
    </w:p>
    <w:p w:rsidR="001F5207" w:rsidRPr="00C818B3" w:rsidRDefault="001F5207" w:rsidP="001F5207">
      <w:pPr>
        <w:pStyle w:val="SingleTxt"/>
        <w:spacing w:line="300" w:lineRule="exact"/>
        <w:rPr>
          <w:rFonts w:hint="eastAsia"/>
        </w:rPr>
      </w:pPr>
      <w:r w:rsidRPr="00C818B3">
        <w:rPr>
          <w:rFonts w:hint="eastAsia"/>
        </w:rPr>
        <w:t>121.　妇女生儿育女，在社会中被视为提供照料者，她们的作用围绕着这些责任。因此，照料和监护儿童以及照顾老人或生病的亲戚是她们的责任。妇女还负责家务，包括烹饪、打扫、涮洗、汲水、园植和养育子女。她们还对农村经济作出非常重要的贡献。在传统上，男子负责捕鱼、贸易和雇工。</w:t>
      </w:r>
    </w:p>
    <w:p w:rsidR="001F5207" w:rsidRPr="00C818B3" w:rsidRDefault="001F5207" w:rsidP="001F5207">
      <w:pPr>
        <w:pStyle w:val="SingleTxt"/>
        <w:spacing w:line="300" w:lineRule="exact"/>
        <w:rPr>
          <w:rFonts w:hint="eastAsia"/>
        </w:rPr>
      </w:pPr>
      <w:r w:rsidRPr="00C818B3">
        <w:rPr>
          <w:rFonts w:hint="eastAsia"/>
        </w:rPr>
        <w:t>122.　2010年，亚洲南太平洋基础教育和成人教育协会与所罗门群岛教育联盟在伊萨贝尔以及拉纳尔和贝罗纳两省进行了学历调查和识字评估。调查发现，性别与主要工作类型之间有明确的联系：大部分妇女从事手工艺生产和销售、家务和育儿，大部分男子则从事捕鱼、政府、专业和贸易工作。</w:t>
      </w:r>
    </w:p>
    <w:p w:rsidR="001F5207" w:rsidRDefault="001F5207" w:rsidP="001F5207">
      <w:pPr>
        <w:pStyle w:val="SingleTxt"/>
        <w:spacing w:line="300" w:lineRule="exact"/>
        <w:rPr>
          <w:rFonts w:hint="eastAsia"/>
        </w:rPr>
      </w:pPr>
      <w:r w:rsidRPr="00C818B3">
        <w:rPr>
          <w:rFonts w:hint="eastAsia"/>
        </w:rPr>
        <w:t>123.　出彩礼的习俗根深蒂固，不过，在所罗门群岛不是所有地区都这样。传统上收付彩礼的做法是巩固部族之间社会关系的一种手段。新郎家庭通过送礼来表示对新娘家庭嫁女儿的感谢。彩礼的轻重意味着女儿对其家庭的价值。但有时支付聘礼的传统会被滥用。由于商品经济的出现，有时新娘成了一种商品，而不再是积极的社会关系的象征。然而，这并不取消新娘家庭让她出嫁所涉及的价值。这一习俗可使妇女自己不得做主，有时还会引起新娘及婚姻所产生的任何子女“归谁所有”的问题。家庭健康和安全研究也显示了支付彩礼与暴力侵害妇女行为之间的直接联系。</w:t>
      </w:r>
    </w:p>
    <w:p w:rsidR="001F5207" w:rsidRPr="00C818B3" w:rsidRDefault="001F5207" w:rsidP="001F5207">
      <w:pPr>
        <w:pStyle w:val="SingleTxt"/>
        <w:spacing w:line="300" w:lineRule="exact"/>
        <w:rPr>
          <w:rFonts w:hint="eastAsia"/>
        </w:rPr>
      </w:pPr>
      <w:r w:rsidRPr="00C818B3">
        <w:rPr>
          <w:rFonts w:hint="eastAsia"/>
        </w:rPr>
        <w:t>124.　情况已开始发生变化，主要是由于教育、获得经营技能、融资途径、现代化、妇女参与各级教会机构和妇女志向的改变。但这些态度和文化方面的改变需要时间。最近制定了性别平等和妇女发展国家政策和消除暴力侵害妇女行为国家政策，这是改变男子和妇女关于性别角色和陈规定型观念的积极步骤。两项政策的着重点都是实现男女平等和消除对妇女的暴力。</w:t>
      </w:r>
    </w:p>
    <w:p w:rsidR="001F5207" w:rsidRPr="00C818B3" w:rsidRDefault="001F5207" w:rsidP="001F5207">
      <w:pPr>
        <w:pStyle w:val="SingleTxt"/>
        <w:spacing w:line="300" w:lineRule="exact"/>
        <w:rPr>
          <w:rFonts w:hint="eastAsia"/>
        </w:rPr>
      </w:pPr>
      <w:r w:rsidRPr="00C818B3">
        <w:rPr>
          <w:rFonts w:hint="eastAsia"/>
        </w:rPr>
        <w:t>125.　已认识到需要采取相当大的努力，以消除妇女性别角色和陈规定型观念，增加其担任领导角色和履行超越传统规定的角色的机会。</w:t>
      </w:r>
    </w:p>
    <w:p w:rsidR="001F5207" w:rsidRPr="00C818B3" w:rsidRDefault="001F5207" w:rsidP="001F5207">
      <w:pPr>
        <w:pStyle w:val="SingleTxt"/>
        <w:spacing w:line="300" w:lineRule="exact"/>
        <w:rPr>
          <w:rFonts w:ascii="SimHei" w:eastAsia="SimHei" w:hint="eastAsia"/>
        </w:rPr>
      </w:pPr>
      <w:r w:rsidRPr="00C818B3">
        <w:rPr>
          <w:rFonts w:ascii="SimHei" w:eastAsia="SimHei" w:hint="eastAsia"/>
        </w:rPr>
        <w:t>妇女参与领导和决策</w:t>
      </w:r>
    </w:p>
    <w:p w:rsidR="001F5207" w:rsidRPr="00C818B3" w:rsidRDefault="001F5207" w:rsidP="001F5207">
      <w:pPr>
        <w:pStyle w:val="SingleTxt"/>
        <w:spacing w:line="300" w:lineRule="exact"/>
        <w:rPr>
          <w:rFonts w:hint="eastAsia"/>
        </w:rPr>
      </w:pPr>
      <w:r w:rsidRPr="00C818B3">
        <w:rPr>
          <w:rFonts w:hint="eastAsia"/>
        </w:rPr>
        <w:t>126.　传统的领导权以强人领导(获取的权力)和酋长领导(通常是继承的权力)为基础。强人领导的基础是与男子气概和力量相联的勇士、施主和精神领袖等男性角色。传统上这些形式的领导一直与男子相关联。</w:t>
      </w:r>
    </w:p>
    <w:p w:rsidR="001F5207" w:rsidRPr="00C818B3" w:rsidRDefault="001F5207" w:rsidP="001F5207">
      <w:pPr>
        <w:pStyle w:val="SingleTxt"/>
        <w:spacing w:line="300" w:lineRule="exact"/>
        <w:rPr>
          <w:rFonts w:hint="eastAsia"/>
        </w:rPr>
      </w:pPr>
      <w:r w:rsidRPr="00C818B3">
        <w:rPr>
          <w:rFonts w:hint="eastAsia"/>
        </w:rPr>
        <w:t>127.　教会也采取了重大步骤，以促进妇女参与领导和决策。五大主流教会之一的联合教会有一项政策，即妇女须占每一决策层成员的30%。基督徒教会在其《会章》中规定，妇女在大会(该教会的最高决策机构)成员中至多应占50%。</w:t>
      </w:r>
    </w:p>
    <w:p w:rsidR="001F5207" w:rsidRPr="00C818B3" w:rsidRDefault="001F5207" w:rsidP="001F5207">
      <w:pPr>
        <w:pStyle w:val="SingleTxt"/>
        <w:rPr>
          <w:rFonts w:hint="eastAsia"/>
        </w:rPr>
      </w:pPr>
      <w:r w:rsidRPr="00C818B3">
        <w:rPr>
          <w:rFonts w:hint="eastAsia"/>
        </w:rPr>
        <w:t>128.　虽然在一些母系社会中由妇女继承传统土地，但对传统土地管理的决定几乎总是由男子作出。</w:t>
      </w:r>
      <w:r w:rsidRPr="00C818B3">
        <w:rPr>
          <w:rStyle w:val="FootnoteReference"/>
        </w:rPr>
        <w:footnoteReference w:id="19"/>
      </w:r>
      <w:r w:rsidRPr="00C818B3">
        <w:rPr>
          <w:rFonts w:hint="eastAsia"/>
        </w:rPr>
        <w:t xml:space="preserve"> 伐木、采矿和其他商务机构在寻求土地使用权时将男性酋长看作土地保管人，与他们接洽。</w:t>
      </w:r>
      <w:r w:rsidRPr="00C818B3">
        <w:rPr>
          <w:rStyle w:val="FootnoteReference"/>
        </w:rPr>
        <w:footnoteReference w:id="20"/>
      </w:r>
      <w:r w:rsidRPr="00C818B3">
        <w:rPr>
          <w:rFonts w:hint="eastAsia"/>
        </w:rPr>
        <w:t xml:space="preserve"> 因此，妇女从为经济目的使用土地中得到的经济利益极少。</w:t>
      </w:r>
    </w:p>
    <w:p w:rsidR="001F5207" w:rsidRPr="00C818B3" w:rsidRDefault="001F5207" w:rsidP="001F5207">
      <w:pPr>
        <w:pStyle w:val="SingleTxt"/>
        <w:rPr>
          <w:rFonts w:hint="eastAsia"/>
        </w:rPr>
      </w:pPr>
      <w:r w:rsidRPr="00C818B3">
        <w:rPr>
          <w:rFonts w:hint="eastAsia"/>
        </w:rPr>
        <w:t>129.　2007年进行的人口和健康调查结果显示，妇女被排除在家庭决策之外。调查显示，只有28%的已婚妇女独立决定自身保健问题，在23%的作答复家庭中，家庭开支的决定完全由男子作出。</w:t>
      </w:r>
    </w:p>
    <w:p w:rsidR="001F5207" w:rsidRPr="00C818B3" w:rsidRDefault="001F5207" w:rsidP="001F5207">
      <w:pPr>
        <w:pStyle w:val="SingleTxt"/>
        <w:rPr>
          <w:rFonts w:hint="eastAsia"/>
        </w:rPr>
      </w:pPr>
      <w:r w:rsidRPr="00C818B3">
        <w:rPr>
          <w:rFonts w:hint="eastAsia"/>
        </w:rPr>
        <w:t>130.　在人口和健康调查中，大多数妇女报告性自主的程度很高。只有6.4%的妇女不接受妻子可有正当理由拒绝与丈夫的性行为。在男子中，4.1%的人认为妇女没有理由拒绝与丈夫的性行为。这一比率低于妇女的比率，这可能说明，男子比妇女本身更尊重妇女的性自主。</w:t>
      </w:r>
    </w:p>
    <w:p w:rsidR="001F5207" w:rsidRPr="00C818B3" w:rsidRDefault="001F5207" w:rsidP="001F5207">
      <w:pPr>
        <w:pStyle w:val="SingleTxt"/>
        <w:rPr>
          <w:rFonts w:hint="eastAsia"/>
        </w:rPr>
      </w:pPr>
      <w:r w:rsidRPr="00C818B3">
        <w:rPr>
          <w:rFonts w:hint="eastAsia"/>
        </w:rPr>
        <w:t>131.　2009年家庭健康和安全研究也审查了妇女在婚姻关系中的性自主。13%的答卷人感到妇女在任何情况下都不能拒绝性行为。在拒绝性行为的理由中，最可接受的是受到虐待，最不接受的是女方不想要性行为。</w:t>
      </w:r>
    </w:p>
    <w:p w:rsidR="001F5207" w:rsidRPr="00C818B3" w:rsidRDefault="001F5207" w:rsidP="001F5207">
      <w:pPr>
        <w:pStyle w:val="SingleTxt"/>
        <w:rPr>
          <w:rFonts w:ascii="SimHei" w:eastAsia="SimHei" w:hint="eastAsia"/>
        </w:rPr>
      </w:pPr>
      <w:r w:rsidRPr="00C818B3">
        <w:rPr>
          <w:rFonts w:ascii="SimHei" w:eastAsia="SimHei" w:hint="eastAsia"/>
        </w:rPr>
        <w:t>暴力侵害妇女行为</w:t>
      </w:r>
    </w:p>
    <w:p w:rsidR="001F5207" w:rsidRPr="00C818B3" w:rsidRDefault="001F5207" w:rsidP="001F5207">
      <w:pPr>
        <w:pStyle w:val="SingleTxt"/>
        <w:rPr>
          <w:rFonts w:hint="eastAsia"/>
        </w:rPr>
      </w:pPr>
      <w:r w:rsidRPr="00C818B3">
        <w:rPr>
          <w:rFonts w:hint="eastAsia"/>
        </w:rPr>
        <w:t>132.　人口和健康调查显示，妇女和男子都认为，在某些情况下伴侣间的暴力行为是有正当理由的。69%的妇女同意，在所问理由中，至少有一项可以作为暴力侵害妇女行为的正当理由。作为比较，65%的男子认为伴侣间的暴力行为有正当理由。不顾小孩是男子和妇女都最普遍接受的家庭暴力理由。亲密和非亲密关系中对妇女的暴力行为都被视为是软弱的表现，因为这表明男方掌控不力或缺乏力量。不过，也经常不当援引传统规范来使家庭暴力合理化。</w:t>
      </w:r>
    </w:p>
    <w:p w:rsidR="001F5207" w:rsidRPr="00C818B3" w:rsidRDefault="001F5207" w:rsidP="001F5207">
      <w:pPr>
        <w:pStyle w:val="SingleTxt"/>
        <w:rPr>
          <w:rFonts w:hint="eastAsia"/>
        </w:rPr>
      </w:pPr>
      <w:r w:rsidRPr="00C818B3">
        <w:rPr>
          <w:rFonts w:hint="eastAsia"/>
        </w:rPr>
        <w:t>133.　2009年，由妇女、青年、儿童和家庭事务部进行全国协调，与一些发展伙伴合作完成了所罗门群岛家庭健康和安全研究：关于暴力侵害妇女和儿童行为的研究。这项研究也显示了对暴力侵害妇女行为较高程度的接受。大多数妇女(73%)认为，在某些情况下男人打妻子是合理的，特别是在不忠和不服从情况下。研究还显示，经常用体罚来教训被视为跨出规定性别角色的妇女。</w:t>
      </w:r>
    </w:p>
    <w:p w:rsidR="001F5207" w:rsidRPr="00C818B3" w:rsidRDefault="001F5207" w:rsidP="001F5207">
      <w:pPr>
        <w:pStyle w:val="SingleTxt"/>
        <w:rPr>
          <w:rFonts w:ascii="SimHei" w:eastAsia="SimHei" w:hint="eastAsia"/>
        </w:rPr>
      </w:pPr>
      <w:r w:rsidRPr="00C818B3">
        <w:rPr>
          <w:rFonts w:ascii="SimHei" w:eastAsia="SimHei" w:hint="eastAsia"/>
        </w:rPr>
        <w:t>妇女参加正规就业</w:t>
      </w:r>
    </w:p>
    <w:p w:rsidR="001F5207" w:rsidRPr="00C818B3" w:rsidRDefault="001F5207" w:rsidP="001F5207">
      <w:pPr>
        <w:pStyle w:val="SingleTxt"/>
        <w:rPr>
          <w:rFonts w:hint="eastAsia"/>
        </w:rPr>
      </w:pPr>
      <w:r w:rsidRPr="00C818B3">
        <w:rPr>
          <w:rFonts w:hint="eastAsia"/>
        </w:rPr>
        <w:t>134.　所罗门群岛男性占支配地位的文化不鼓励妇女进入正规行业。这一文化接受妇女参加小规模非正规农业生产，但不利于妇女推进到正式的私营部门。</w:t>
      </w:r>
      <w:r w:rsidRPr="00C818B3">
        <w:rPr>
          <w:rStyle w:val="FootnoteReference"/>
        </w:rPr>
        <w:footnoteReference w:id="21"/>
      </w:r>
      <w:r w:rsidRPr="00C818B3">
        <w:rPr>
          <w:rFonts w:hint="eastAsia"/>
        </w:rPr>
        <w:t xml:space="preserve"> 近年来，将自己的经营活动正规化的妇女人数增加，但这类男性人数仍然大大超过妇女。有各种因素限制妇女从事正规经营，包括信贷问题、受教育水平低和识字少，以及家庭需求的压力。</w:t>
      </w:r>
    </w:p>
    <w:p w:rsidR="001F5207" w:rsidRPr="00C818B3" w:rsidRDefault="001F5207" w:rsidP="001F5207">
      <w:pPr>
        <w:pStyle w:val="SingleTxt"/>
        <w:rPr>
          <w:rFonts w:hint="eastAsia"/>
        </w:rPr>
      </w:pPr>
      <w:r w:rsidRPr="00C818B3">
        <w:rPr>
          <w:rFonts w:hint="eastAsia"/>
        </w:rPr>
        <w:t>135.　妇女从事的主要职业是教育、护理和行政。男子从事的主要职业是教育、工业发展、海洋资源和渔业以及自然资源。这些情况反映在所罗门群岛高等教育学院的入学注册中，具体见下表。</w:t>
      </w:r>
    </w:p>
    <w:p w:rsidR="001F5207" w:rsidRPr="00C818B3" w:rsidRDefault="001F5207" w:rsidP="001F5207">
      <w:pPr>
        <w:pStyle w:val="SingleTxt"/>
        <w:rPr>
          <w:rFonts w:ascii="SimHei" w:eastAsia="SimHei" w:hint="eastAsia"/>
        </w:rPr>
      </w:pPr>
      <w:r w:rsidRPr="00C818B3">
        <w:rPr>
          <w:rFonts w:ascii="SimHei" w:eastAsia="SimHei" w:hint="eastAsia"/>
        </w:rPr>
        <w:t>2005-2007年所罗门群岛高等教育学院按性别和学院分列的入学注册(注：2005年和2006年为入学人数，2007年为毕业人数)</w:t>
      </w:r>
    </w:p>
    <w:tbl>
      <w:tblPr>
        <w:tblW w:w="0" w:type="auto"/>
        <w:tblInd w:w="1260" w:type="dxa"/>
        <w:tblLayout w:type="fixed"/>
        <w:tblCellMar>
          <w:left w:w="0" w:type="dxa"/>
          <w:right w:w="0" w:type="dxa"/>
        </w:tblCellMar>
        <w:tblLook w:val="0000"/>
      </w:tblPr>
      <w:tblGrid>
        <w:gridCol w:w="1764"/>
        <w:gridCol w:w="926"/>
        <w:gridCol w:w="926"/>
        <w:gridCol w:w="926"/>
        <w:gridCol w:w="78"/>
        <w:gridCol w:w="848"/>
        <w:gridCol w:w="926"/>
        <w:gridCol w:w="926"/>
      </w:tblGrid>
      <w:tr w:rsidR="001F5207" w:rsidRPr="00C818B3" w:rsidTr="001F5207">
        <w:tblPrEx>
          <w:tblCellMar>
            <w:top w:w="0" w:type="dxa"/>
            <w:bottom w:w="0" w:type="dxa"/>
          </w:tblCellMar>
        </w:tblPrEx>
        <w:trPr>
          <w:tblHeader/>
        </w:trPr>
        <w:tc>
          <w:tcPr>
            <w:tcW w:w="1764" w:type="dxa"/>
            <w:tcBorders>
              <w:top w:val="single" w:sz="4" w:space="0" w:color="auto"/>
            </w:tcBorders>
            <w:shd w:val="clear" w:color="auto" w:fill="auto"/>
            <w:vAlign w:val="bottom"/>
          </w:tcPr>
          <w:p w:rsidR="001F5207" w:rsidRPr="00C818B3" w:rsidRDefault="001F5207" w:rsidP="001F5207">
            <w:pPr>
              <w:suppressAutoHyphens/>
              <w:spacing w:before="60" w:after="60" w:line="200" w:lineRule="exact"/>
              <w:ind w:right="57"/>
              <w:rPr>
                <w:rFonts w:ascii="KaiTi_GB2312" w:eastAsia="KaiTi_GB2312"/>
                <w:sz w:val="15"/>
                <w:szCs w:val="24"/>
              </w:rPr>
            </w:pPr>
          </w:p>
        </w:tc>
        <w:tc>
          <w:tcPr>
            <w:tcW w:w="926" w:type="dxa"/>
            <w:tcBorders>
              <w:top w:val="single" w:sz="4" w:space="0" w:color="auto"/>
              <w:bottom w:val="single" w:sz="2" w:space="0" w:color="auto"/>
            </w:tcBorders>
            <w:shd w:val="clear" w:color="auto" w:fill="auto"/>
            <w:vAlign w:val="bottom"/>
          </w:tcPr>
          <w:p w:rsidR="001F5207" w:rsidRPr="00C818B3" w:rsidRDefault="001F5207" w:rsidP="001F5207">
            <w:pPr>
              <w:suppressAutoHyphens/>
              <w:spacing w:before="60" w:after="60" w:line="200" w:lineRule="exact"/>
              <w:ind w:right="57"/>
              <w:jc w:val="right"/>
              <w:rPr>
                <w:rFonts w:ascii="KaiTi_GB2312" w:eastAsia="KaiTi_GB2312"/>
                <w:sz w:val="15"/>
                <w:szCs w:val="24"/>
              </w:rPr>
            </w:pPr>
          </w:p>
        </w:tc>
        <w:tc>
          <w:tcPr>
            <w:tcW w:w="926" w:type="dxa"/>
            <w:tcBorders>
              <w:top w:val="single" w:sz="4" w:space="0" w:color="auto"/>
              <w:bottom w:val="single" w:sz="2" w:space="0" w:color="auto"/>
            </w:tcBorders>
            <w:shd w:val="clear" w:color="auto" w:fill="auto"/>
            <w:vAlign w:val="bottom"/>
          </w:tcPr>
          <w:p w:rsidR="001F5207" w:rsidRPr="00C818B3" w:rsidRDefault="001F5207" w:rsidP="001F5207">
            <w:pPr>
              <w:suppressAutoHyphens/>
              <w:spacing w:before="60" w:after="60" w:line="200" w:lineRule="exact"/>
              <w:ind w:right="57"/>
              <w:jc w:val="center"/>
              <w:rPr>
                <w:rFonts w:ascii="KaiTi_GB2312" w:eastAsia="KaiTi_GB2312"/>
                <w:sz w:val="15"/>
                <w:szCs w:val="24"/>
              </w:rPr>
            </w:pPr>
            <w:r w:rsidRPr="00C818B3">
              <w:rPr>
                <w:rFonts w:ascii="KaiTi_GB2312" w:eastAsia="KaiTi_GB2312" w:hint="eastAsia"/>
                <w:sz w:val="15"/>
                <w:szCs w:val="24"/>
                <w:lang w:val="zh-CN"/>
              </w:rPr>
              <w:t>女性</w:t>
            </w:r>
          </w:p>
        </w:tc>
        <w:tc>
          <w:tcPr>
            <w:tcW w:w="926" w:type="dxa"/>
            <w:tcBorders>
              <w:top w:val="single" w:sz="4" w:space="0" w:color="auto"/>
              <w:bottom w:val="single" w:sz="2" w:space="0" w:color="auto"/>
            </w:tcBorders>
            <w:shd w:val="clear" w:color="auto" w:fill="auto"/>
            <w:vAlign w:val="bottom"/>
          </w:tcPr>
          <w:p w:rsidR="001F5207" w:rsidRPr="00C818B3" w:rsidRDefault="001F5207" w:rsidP="001F5207">
            <w:pPr>
              <w:suppressAutoHyphens/>
              <w:spacing w:before="60" w:after="60" w:line="200" w:lineRule="exact"/>
              <w:ind w:right="57"/>
              <w:jc w:val="right"/>
              <w:rPr>
                <w:rFonts w:ascii="KaiTi_GB2312" w:eastAsia="KaiTi_GB2312"/>
                <w:sz w:val="15"/>
                <w:szCs w:val="24"/>
              </w:rPr>
            </w:pPr>
          </w:p>
        </w:tc>
        <w:tc>
          <w:tcPr>
            <w:tcW w:w="78" w:type="dxa"/>
            <w:tcBorders>
              <w:top w:val="single" w:sz="4" w:space="0" w:color="auto"/>
            </w:tcBorders>
            <w:shd w:val="clear" w:color="auto" w:fill="auto"/>
            <w:vAlign w:val="bottom"/>
          </w:tcPr>
          <w:p w:rsidR="001F5207" w:rsidRPr="00C818B3" w:rsidRDefault="001F5207" w:rsidP="001F5207">
            <w:pPr>
              <w:suppressAutoHyphens/>
              <w:spacing w:before="60" w:after="60" w:line="200" w:lineRule="exact"/>
              <w:ind w:right="57"/>
              <w:jc w:val="right"/>
              <w:rPr>
                <w:rFonts w:ascii="KaiTi_GB2312" w:eastAsia="KaiTi_GB2312"/>
                <w:sz w:val="15"/>
                <w:szCs w:val="24"/>
              </w:rPr>
            </w:pPr>
          </w:p>
        </w:tc>
        <w:tc>
          <w:tcPr>
            <w:tcW w:w="2700" w:type="dxa"/>
            <w:gridSpan w:val="3"/>
            <w:tcBorders>
              <w:top w:val="single" w:sz="4" w:space="0" w:color="auto"/>
              <w:bottom w:val="single" w:sz="2" w:space="0" w:color="auto"/>
            </w:tcBorders>
            <w:shd w:val="clear" w:color="auto" w:fill="auto"/>
            <w:vAlign w:val="bottom"/>
          </w:tcPr>
          <w:p w:rsidR="001F5207" w:rsidRPr="00C818B3" w:rsidRDefault="001F5207" w:rsidP="001F5207">
            <w:pPr>
              <w:suppressAutoHyphens/>
              <w:spacing w:before="60" w:after="60" w:line="200" w:lineRule="exact"/>
              <w:ind w:right="57"/>
              <w:jc w:val="center"/>
              <w:rPr>
                <w:rFonts w:ascii="KaiTi_GB2312" w:eastAsia="KaiTi_GB2312"/>
                <w:sz w:val="15"/>
                <w:szCs w:val="24"/>
              </w:rPr>
            </w:pPr>
            <w:r w:rsidRPr="00C818B3">
              <w:rPr>
                <w:rFonts w:ascii="KaiTi_GB2312" w:eastAsia="KaiTi_GB2312" w:hint="eastAsia"/>
                <w:sz w:val="15"/>
                <w:szCs w:val="24"/>
                <w:lang w:val="zh-CN"/>
              </w:rPr>
              <w:t>男性</w:t>
            </w:r>
          </w:p>
        </w:tc>
      </w:tr>
      <w:tr w:rsidR="001F5207" w:rsidRPr="00C818B3" w:rsidTr="001F5207">
        <w:tblPrEx>
          <w:tblCellMar>
            <w:top w:w="0" w:type="dxa"/>
            <w:bottom w:w="0" w:type="dxa"/>
          </w:tblCellMar>
        </w:tblPrEx>
        <w:trPr>
          <w:tblHeader/>
        </w:trPr>
        <w:tc>
          <w:tcPr>
            <w:tcW w:w="1764" w:type="dxa"/>
            <w:tcBorders>
              <w:bottom w:val="single" w:sz="12" w:space="0" w:color="auto"/>
            </w:tcBorders>
            <w:shd w:val="clear" w:color="auto" w:fill="auto"/>
            <w:vAlign w:val="bottom"/>
          </w:tcPr>
          <w:p w:rsidR="001F5207" w:rsidRPr="00C818B3" w:rsidRDefault="001F5207" w:rsidP="001F5207">
            <w:pPr>
              <w:suppressAutoHyphens/>
              <w:spacing w:before="80" w:after="60" w:line="200" w:lineRule="exact"/>
              <w:ind w:right="57"/>
              <w:rPr>
                <w:rFonts w:ascii="KaiTi_GB2312" w:eastAsia="KaiTi_GB2312"/>
                <w:sz w:val="15"/>
                <w:szCs w:val="24"/>
              </w:rPr>
            </w:pPr>
            <w:r w:rsidRPr="00C818B3">
              <w:rPr>
                <w:rFonts w:ascii="KaiTi_GB2312" w:eastAsia="KaiTi_GB2312" w:hint="eastAsia"/>
                <w:sz w:val="15"/>
                <w:szCs w:val="24"/>
                <w:lang w:val="zh-CN"/>
              </w:rPr>
              <w:t>学院</w:t>
            </w:r>
          </w:p>
        </w:tc>
        <w:tc>
          <w:tcPr>
            <w:tcW w:w="926" w:type="dxa"/>
            <w:tcBorders>
              <w:top w:val="single" w:sz="2" w:space="0" w:color="auto"/>
              <w:bottom w:val="single" w:sz="12" w:space="0" w:color="auto"/>
            </w:tcBorders>
            <w:shd w:val="clear" w:color="auto" w:fill="auto"/>
            <w:vAlign w:val="bottom"/>
          </w:tcPr>
          <w:p w:rsidR="001F5207" w:rsidRPr="00C818B3" w:rsidRDefault="001F5207" w:rsidP="001F5207">
            <w:pPr>
              <w:suppressAutoHyphens/>
              <w:spacing w:before="80" w:after="60" w:line="200" w:lineRule="exact"/>
              <w:ind w:right="57"/>
              <w:jc w:val="right"/>
              <w:rPr>
                <w:rFonts w:ascii="KaiTi_GB2312" w:eastAsia="KaiTi_GB2312"/>
                <w:sz w:val="15"/>
                <w:szCs w:val="24"/>
              </w:rPr>
            </w:pPr>
            <w:r w:rsidRPr="00C818B3">
              <w:rPr>
                <w:rFonts w:ascii="KaiTi_GB2312" w:eastAsia="KaiTi_GB2312"/>
                <w:sz w:val="15"/>
                <w:szCs w:val="24"/>
                <w:lang w:val="zh-CN"/>
              </w:rPr>
              <w:t>2005</w:t>
            </w:r>
            <w:r w:rsidRPr="00C818B3">
              <w:rPr>
                <w:rFonts w:ascii="KaiTi_GB2312" w:eastAsia="KaiTi_GB2312" w:hint="eastAsia"/>
                <w:sz w:val="15"/>
                <w:szCs w:val="24"/>
                <w:lang w:val="zh-CN"/>
              </w:rPr>
              <w:t>年</w:t>
            </w:r>
          </w:p>
        </w:tc>
        <w:tc>
          <w:tcPr>
            <w:tcW w:w="926" w:type="dxa"/>
            <w:tcBorders>
              <w:top w:val="single" w:sz="2" w:space="0" w:color="auto"/>
              <w:bottom w:val="single" w:sz="12" w:space="0" w:color="auto"/>
            </w:tcBorders>
            <w:shd w:val="clear" w:color="auto" w:fill="auto"/>
            <w:vAlign w:val="bottom"/>
          </w:tcPr>
          <w:p w:rsidR="001F5207" w:rsidRPr="00C818B3" w:rsidRDefault="001F5207" w:rsidP="001F5207">
            <w:pPr>
              <w:suppressAutoHyphens/>
              <w:spacing w:before="80" w:after="60" w:line="200" w:lineRule="exact"/>
              <w:ind w:right="57"/>
              <w:jc w:val="right"/>
              <w:rPr>
                <w:rFonts w:ascii="KaiTi_GB2312" w:eastAsia="KaiTi_GB2312"/>
                <w:sz w:val="15"/>
                <w:szCs w:val="24"/>
              </w:rPr>
            </w:pPr>
            <w:r w:rsidRPr="00C818B3">
              <w:rPr>
                <w:rFonts w:ascii="KaiTi_GB2312" w:eastAsia="KaiTi_GB2312"/>
                <w:noProof/>
                <w:sz w:val="15"/>
                <w:szCs w:val="24"/>
              </w:rPr>
              <w:t>2006</w:t>
            </w:r>
            <w:r w:rsidRPr="00C818B3">
              <w:rPr>
                <w:rFonts w:ascii="KaiTi_GB2312" w:eastAsia="KaiTi_GB2312" w:hint="eastAsia"/>
                <w:noProof/>
                <w:sz w:val="15"/>
                <w:szCs w:val="24"/>
              </w:rPr>
              <w:t>年</w:t>
            </w:r>
          </w:p>
        </w:tc>
        <w:tc>
          <w:tcPr>
            <w:tcW w:w="926" w:type="dxa"/>
            <w:tcBorders>
              <w:top w:val="single" w:sz="2" w:space="0" w:color="auto"/>
              <w:bottom w:val="single" w:sz="12" w:space="0" w:color="auto"/>
            </w:tcBorders>
            <w:shd w:val="clear" w:color="auto" w:fill="auto"/>
            <w:vAlign w:val="bottom"/>
          </w:tcPr>
          <w:p w:rsidR="001F5207" w:rsidRPr="00C818B3" w:rsidRDefault="001F5207" w:rsidP="001F5207">
            <w:pPr>
              <w:suppressAutoHyphens/>
              <w:spacing w:before="80" w:after="60" w:line="200" w:lineRule="exact"/>
              <w:ind w:right="57"/>
              <w:jc w:val="right"/>
              <w:rPr>
                <w:rFonts w:ascii="KaiTi_GB2312" w:eastAsia="KaiTi_GB2312"/>
                <w:sz w:val="15"/>
                <w:szCs w:val="24"/>
              </w:rPr>
            </w:pPr>
            <w:r w:rsidRPr="00C818B3">
              <w:rPr>
                <w:rFonts w:ascii="KaiTi_GB2312" w:eastAsia="KaiTi_GB2312"/>
                <w:noProof/>
                <w:sz w:val="15"/>
                <w:szCs w:val="24"/>
              </w:rPr>
              <w:t>2007</w:t>
            </w:r>
            <w:r w:rsidRPr="00C818B3">
              <w:rPr>
                <w:rFonts w:ascii="KaiTi_GB2312" w:eastAsia="KaiTi_GB2312" w:hint="eastAsia"/>
                <w:noProof/>
                <w:sz w:val="15"/>
                <w:szCs w:val="24"/>
              </w:rPr>
              <w:t>年</w:t>
            </w:r>
          </w:p>
        </w:tc>
        <w:tc>
          <w:tcPr>
            <w:tcW w:w="926" w:type="dxa"/>
            <w:gridSpan w:val="2"/>
            <w:tcBorders>
              <w:bottom w:val="single" w:sz="12" w:space="0" w:color="auto"/>
            </w:tcBorders>
            <w:shd w:val="clear" w:color="auto" w:fill="auto"/>
            <w:vAlign w:val="bottom"/>
          </w:tcPr>
          <w:p w:rsidR="001F5207" w:rsidRPr="00C818B3" w:rsidRDefault="001F5207" w:rsidP="001F5207">
            <w:pPr>
              <w:suppressAutoHyphens/>
              <w:spacing w:before="80" w:after="60" w:line="200" w:lineRule="exact"/>
              <w:ind w:right="57"/>
              <w:jc w:val="right"/>
              <w:rPr>
                <w:rFonts w:ascii="KaiTi_GB2312" w:eastAsia="KaiTi_GB2312"/>
                <w:sz w:val="15"/>
                <w:szCs w:val="24"/>
              </w:rPr>
            </w:pPr>
            <w:r w:rsidRPr="00C818B3">
              <w:rPr>
                <w:rFonts w:ascii="KaiTi_GB2312" w:eastAsia="KaiTi_GB2312"/>
                <w:sz w:val="15"/>
                <w:szCs w:val="24"/>
                <w:lang w:val="zh-CN"/>
              </w:rPr>
              <w:t>2005</w:t>
            </w:r>
            <w:r w:rsidRPr="00C818B3">
              <w:rPr>
                <w:rFonts w:ascii="KaiTi_GB2312" w:eastAsia="KaiTi_GB2312" w:hint="eastAsia"/>
                <w:sz w:val="15"/>
                <w:szCs w:val="24"/>
                <w:lang w:val="zh-CN"/>
              </w:rPr>
              <w:t>年</w:t>
            </w:r>
          </w:p>
        </w:tc>
        <w:tc>
          <w:tcPr>
            <w:tcW w:w="926" w:type="dxa"/>
            <w:tcBorders>
              <w:bottom w:val="single" w:sz="12" w:space="0" w:color="auto"/>
            </w:tcBorders>
            <w:shd w:val="clear" w:color="auto" w:fill="auto"/>
            <w:vAlign w:val="bottom"/>
          </w:tcPr>
          <w:p w:rsidR="001F5207" w:rsidRPr="00C818B3" w:rsidRDefault="001F5207" w:rsidP="001F5207">
            <w:pPr>
              <w:suppressAutoHyphens/>
              <w:spacing w:before="80" w:after="60" w:line="200" w:lineRule="exact"/>
              <w:ind w:right="57"/>
              <w:jc w:val="right"/>
              <w:rPr>
                <w:rFonts w:ascii="KaiTi_GB2312" w:eastAsia="KaiTi_GB2312"/>
                <w:sz w:val="15"/>
                <w:szCs w:val="24"/>
              </w:rPr>
            </w:pPr>
            <w:r w:rsidRPr="00C818B3">
              <w:rPr>
                <w:rFonts w:ascii="KaiTi_GB2312" w:eastAsia="KaiTi_GB2312"/>
                <w:noProof/>
                <w:sz w:val="15"/>
                <w:szCs w:val="24"/>
              </w:rPr>
              <w:t>2006</w:t>
            </w:r>
            <w:r w:rsidRPr="00C818B3">
              <w:rPr>
                <w:rFonts w:ascii="KaiTi_GB2312" w:eastAsia="KaiTi_GB2312" w:hint="eastAsia"/>
                <w:noProof/>
                <w:sz w:val="15"/>
                <w:szCs w:val="24"/>
              </w:rPr>
              <w:t>年</w:t>
            </w:r>
          </w:p>
        </w:tc>
        <w:tc>
          <w:tcPr>
            <w:tcW w:w="926" w:type="dxa"/>
            <w:tcBorders>
              <w:bottom w:val="single" w:sz="12" w:space="0" w:color="auto"/>
            </w:tcBorders>
            <w:shd w:val="clear" w:color="auto" w:fill="auto"/>
            <w:vAlign w:val="bottom"/>
          </w:tcPr>
          <w:p w:rsidR="001F5207" w:rsidRPr="00C818B3" w:rsidRDefault="001F5207" w:rsidP="001F5207">
            <w:pPr>
              <w:suppressAutoHyphens/>
              <w:spacing w:before="80" w:after="60" w:line="200" w:lineRule="exact"/>
              <w:ind w:right="57"/>
              <w:jc w:val="right"/>
              <w:rPr>
                <w:rFonts w:ascii="KaiTi_GB2312" w:eastAsia="KaiTi_GB2312"/>
                <w:sz w:val="15"/>
                <w:szCs w:val="24"/>
              </w:rPr>
            </w:pPr>
            <w:r w:rsidRPr="00C818B3">
              <w:rPr>
                <w:rFonts w:ascii="KaiTi_GB2312" w:eastAsia="KaiTi_GB2312"/>
                <w:noProof/>
                <w:sz w:val="15"/>
                <w:szCs w:val="24"/>
              </w:rPr>
              <w:t>2007</w:t>
            </w:r>
            <w:r w:rsidRPr="00C818B3">
              <w:rPr>
                <w:rFonts w:ascii="KaiTi_GB2312" w:eastAsia="KaiTi_GB2312" w:hint="eastAsia"/>
                <w:noProof/>
                <w:sz w:val="15"/>
                <w:szCs w:val="24"/>
              </w:rPr>
              <w:t>年</w:t>
            </w:r>
          </w:p>
        </w:tc>
      </w:tr>
      <w:tr w:rsidR="001F5207" w:rsidRPr="00C818B3" w:rsidTr="001F5207">
        <w:tblPrEx>
          <w:tblCellMar>
            <w:top w:w="0" w:type="dxa"/>
            <w:bottom w:w="0" w:type="dxa"/>
          </w:tblCellMar>
        </w:tblPrEx>
        <w:trPr>
          <w:trHeight w:hRule="exact" w:val="115"/>
          <w:tblHeader/>
        </w:trPr>
        <w:tc>
          <w:tcPr>
            <w:tcW w:w="1764" w:type="dxa"/>
            <w:tcBorders>
              <w:top w:val="single" w:sz="12" w:space="0" w:color="auto"/>
            </w:tcBorders>
            <w:shd w:val="clear" w:color="auto" w:fill="auto"/>
            <w:vAlign w:val="bottom"/>
          </w:tcPr>
          <w:p w:rsidR="001F5207" w:rsidRPr="00C818B3" w:rsidRDefault="001F5207" w:rsidP="001F5207">
            <w:pPr>
              <w:suppressAutoHyphens/>
              <w:spacing w:after="60" w:line="280" w:lineRule="exact"/>
              <w:ind w:right="57"/>
              <w:rPr>
                <w:rFonts w:ascii="System" w:hint="eastAsia"/>
                <w:sz w:val="17"/>
                <w:szCs w:val="24"/>
                <w:lang w:val="zh-CN"/>
              </w:rPr>
            </w:pPr>
          </w:p>
        </w:tc>
        <w:tc>
          <w:tcPr>
            <w:tcW w:w="926" w:type="dxa"/>
            <w:tcBorders>
              <w:top w:val="single" w:sz="12" w:space="0" w:color="auto"/>
            </w:tcBorders>
            <w:shd w:val="clear" w:color="auto" w:fill="auto"/>
            <w:vAlign w:val="bottom"/>
          </w:tcPr>
          <w:p w:rsidR="001F5207" w:rsidRPr="00C818B3" w:rsidRDefault="001F5207" w:rsidP="001F5207">
            <w:pPr>
              <w:suppressAutoHyphens/>
              <w:spacing w:after="60" w:line="280" w:lineRule="exact"/>
              <w:ind w:right="57"/>
              <w:jc w:val="right"/>
              <w:rPr>
                <w:sz w:val="17"/>
                <w:szCs w:val="24"/>
              </w:rPr>
            </w:pPr>
          </w:p>
        </w:tc>
        <w:tc>
          <w:tcPr>
            <w:tcW w:w="926" w:type="dxa"/>
            <w:tcBorders>
              <w:top w:val="single" w:sz="12" w:space="0" w:color="auto"/>
            </w:tcBorders>
            <w:shd w:val="clear" w:color="auto" w:fill="auto"/>
            <w:vAlign w:val="bottom"/>
          </w:tcPr>
          <w:p w:rsidR="001F5207" w:rsidRPr="00C818B3" w:rsidRDefault="001F5207" w:rsidP="001F5207">
            <w:pPr>
              <w:suppressAutoHyphens/>
              <w:spacing w:after="60" w:line="280" w:lineRule="exact"/>
              <w:ind w:right="57"/>
              <w:jc w:val="right"/>
              <w:rPr>
                <w:sz w:val="17"/>
                <w:szCs w:val="24"/>
              </w:rPr>
            </w:pPr>
          </w:p>
        </w:tc>
        <w:tc>
          <w:tcPr>
            <w:tcW w:w="926" w:type="dxa"/>
            <w:tcBorders>
              <w:top w:val="single" w:sz="12" w:space="0" w:color="auto"/>
            </w:tcBorders>
            <w:shd w:val="clear" w:color="auto" w:fill="auto"/>
            <w:vAlign w:val="bottom"/>
          </w:tcPr>
          <w:p w:rsidR="001F5207" w:rsidRPr="00C818B3" w:rsidRDefault="001F5207" w:rsidP="001F5207">
            <w:pPr>
              <w:suppressAutoHyphens/>
              <w:spacing w:after="60" w:line="280" w:lineRule="exact"/>
              <w:ind w:right="57"/>
              <w:jc w:val="right"/>
              <w:rPr>
                <w:sz w:val="17"/>
                <w:szCs w:val="24"/>
              </w:rPr>
            </w:pPr>
          </w:p>
        </w:tc>
        <w:tc>
          <w:tcPr>
            <w:tcW w:w="926" w:type="dxa"/>
            <w:gridSpan w:val="2"/>
            <w:tcBorders>
              <w:top w:val="single" w:sz="12" w:space="0" w:color="auto"/>
            </w:tcBorders>
            <w:shd w:val="clear" w:color="auto" w:fill="auto"/>
            <w:vAlign w:val="bottom"/>
          </w:tcPr>
          <w:p w:rsidR="001F5207" w:rsidRPr="00C818B3" w:rsidRDefault="001F5207" w:rsidP="001F5207">
            <w:pPr>
              <w:suppressAutoHyphens/>
              <w:spacing w:after="60" w:line="280" w:lineRule="exact"/>
              <w:ind w:right="57"/>
              <w:jc w:val="right"/>
              <w:rPr>
                <w:sz w:val="17"/>
                <w:szCs w:val="24"/>
              </w:rPr>
            </w:pPr>
          </w:p>
        </w:tc>
        <w:tc>
          <w:tcPr>
            <w:tcW w:w="926" w:type="dxa"/>
            <w:tcBorders>
              <w:top w:val="single" w:sz="12" w:space="0" w:color="auto"/>
            </w:tcBorders>
            <w:shd w:val="clear" w:color="auto" w:fill="auto"/>
            <w:vAlign w:val="bottom"/>
          </w:tcPr>
          <w:p w:rsidR="001F5207" w:rsidRPr="00C818B3" w:rsidRDefault="001F5207" w:rsidP="001F5207">
            <w:pPr>
              <w:suppressAutoHyphens/>
              <w:spacing w:after="60" w:line="280" w:lineRule="exact"/>
              <w:ind w:right="57"/>
              <w:jc w:val="right"/>
              <w:rPr>
                <w:sz w:val="17"/>
                <w:szCs w:val="24"/>
              </w:rPr>
            </w:pPr>
          </w:p>
        </w:tc>
        <w:tc>
          <w:tcPr>
            <w:tcW w:w="926" w:type="dxa"/>
            <w:tcBorders>
              <w:top w:val="single" w:sz="12" w:space="0" w:color="auto"/>
            </w:tcBorders>
            <w:shd w:val="clear" w:color="auto" w:fill="auto"/>
            <w:vAlign w:val="bottom"/>
          </w:tcPr>
          <w:p w:rsidR="001F5207" w:rsidRPr="00C818B3" w:rsidRDefault="001F5207" w:rsidP="001F5207">
            <w:pPr>
              <w:suppressAutoHyphens/>
              <w:spacing w:after="60" w:line="280" w:lineRule="exact"/>
              <w:ind w:right="57"/>
              <w:jc w:val="right"/>
              <w:rPr>
                <w:sz w:val="17"/>
                <w:szCs w:val="24"/>
              </w:rPr>
            </w:pPr>
          </w:p>
        </w:tc>
      </w:tr>
      <w:tr w:rsidR="001F5207" w:rsidRPr="00C818B3" w:rsidTr="001F5207">
        <w:tblPrEx>
          <w:tblCellMar>
            <w:top w:w="0" w:type="dxa"/>
            <w:bottom w:w="0" w:type="dxa"/>
          </w:tblCellMar>
        </w:tblPrEx>
        <w:tc>
          <w:tcPr>
            <w:tcW w:w="1764" w:type="dxa"/>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rPr>
                <w:sz w:val="17"/>
                <w:szCs w:val="24"/>
              </w:rPr>
            </w:pPr>
            <w:r w:rsidRPr="00C818B3">
              <w:rPr>
                <w:rFonts w:ascii="System" w:hint="eastAsia"/>
                <w:sz w:val="17"/>
                <w:szCs w:val="24"/>
                <w:lang w:val="zh-CN"/>
              </w:rPr>
              <w:t>教育</w:t>
            </w:r>
          </w:p>
        </w:tc>
        <w:tc>
          <w:tcPr>
            <w:tcW w:w="926" w:type="dxa"/>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238</w:t>
            </w:r>
          </w:p>
        </w:tc>
        <w:tc>
          <w:tcPr>
            <w:tcW w:w="926" w:type="dxa"/>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163</w:t>
            </w:r>
          </w:p>
        </w:tc>
        <w:tc>
          <w:tcPr>
            <w:tcW w:w="926" w:type="dxa"/>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174</w:t>
            </w:r>
          </w:p>
        </w:tc>
        <w:tc>
          <w:tcPr>
            <w:tcW w:w="926" w:type="dxa"/>
            <w:gridSpan w:val="2"/>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248</w:t>
            </w:r>
          </w:p>
        </w:tc>
        <w:tc>
          <w:tcPr>
            <w:tcW w:w="926" w:type="dxa"/>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172</w:t>
            </w:r>
          </w:p>
        </w:tc>
        <w:tc>
          <w:tcPr>
            <w:tcW w:w="926" w:type="dxa"/>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172</w:t>
            </w:r>
          </w:p>
        </w:tc>
      </w:tr>
      <w:tr w:rsidR="001F5207" w:rsidRPr="00C818B3" w:rsidTr="001F5207">
        <w:tblPrEx>
          <w:tblCellMar>
            <w:top w:w="0" w:type="dxa"/>
            <w:bottom w:w="0" w:type="dxa"/>
          </w:tblCellMar>
        </w:tblPrEx>
        <w:tc>
          <w:tcPr>
            <w:tcW w:w="1764" w:type="dxa"/>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rPr>
                <w:sz w:val="17"/>
                <w:szCs w:val="24"/>
              </w:rPr>
            </w:pPr>
            <w:r w:rsidRPr="00C818B3">
              <w:rPr>
                <w:rFonts w:ascii="System" w:hint="eastAsia"/>
                <w:sz w:val="17"/>
                <w:szCs w:val="24"/>
                <w:lang w:val="zh-CN"/>
              </w:rPr>
              <w:t>金融和行政</w:t>
            </w:r>
          </w:p>
        </w:tc>
        <w:tc>
          <w:tcPr>
            <w:tcW w:w="926" w:type="dxa"/>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168</w:t>
            </w:r>
          </w:p>
        </w:tc>
        <w:tc>
          <w:tcPr>
            <w:tcW w:w="926" w:type="dxa"/>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96</w:t>
            </w:r>
          </w:p>
        </w:tc>
        <w:tc>
          <w:tcPr>
            <w:tcW w:w="926" w:type="dxa"/>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62</w:t>
            </w:r>
          </w:p>
        </w:tc>
        <w:tc>
          <w:tcPr>
            <w:tcW w:w="926" w:type="dxa"/>
            <w:gridSpan w:val="2"/>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146</w:t>
            </w:r>
          </w:p>
        </w:tc>
        <w:tc>
          <w:tcPr>
            <w:tcW w:w="926" w:type="dxa"/>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82</w:t>
            </w:r>
          </w:p>
        </w:tc>
        <w:tc>
          <w:tcPr>
            <w:tcW w:w="926" w:type="dxa"/>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65</w:t>
            </w:r>
          </w:p>
        </w:tc>
      </w:tr>
      <w:tr w:rsidR="001F5207" w:rsidRPr="00C818B3" w:rsidTr="001F5207">
        <w:tblPrEx>
          <w:tblCellMar>
            <w:top w:w="0" w:type="dxa"/>
            <w:bottom w:w="0" w:type="dxa"/>
          </w:tblCellMar>
        </w:tblPrEx>
        <w:tc>
          <w:tcPr>
            <w:tcW w:w="1764" w:type="dxa"/>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rPr>
                <w:sz w:val="17"/>
                <w:szCs w:val="24"/>
              </w:rPr>
            </w:pPr>
            <w:r w:rsidRPr="00C818B3">
              <w:rPr>
                <w:rFonts w:ascii="System" w:hint="eastAsia"/>
                <w:sz w:val="17"/>
                <w:szCs w:val="24"/>
                <w:lang w:val="zh-CN"/>
              </w:rPr>
              <w:t>工业发展</w:t>
            </w:r>
          </w:p>
        </w:tc>
        <w:tc>
          <w:tcPr>
            <w:tcW w:w="926" w:type="dxa"/>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1</w:t>
            </w:r>
          </w:p>
        </w:tc>
        <w:tc>
          <w:tcPr>
            <w:tcW w:w="926" w:type="dxa"/>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7</w:t>
            </w:r>
          </w:p>
        </w:tc>
        <w:tc>
          <w:tcPr>
            <w:tcW w:w="926" w:type="dxa"/>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5</w:t>
            </w:r>
          </w:p>
        </w:tc>
        <w:tc>
          <w:tcPr>
            <w:tcW w:w="926" w:type="dxa"/>
            <w:gridSpan w:val="2"/>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89</w:t>
            </w:r>
          </w:p>
        </w:tc>
        <w:tc>
          <w:tcPr>
            <w:tcW w:w="926" w:type="dxa"/>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115</w:t>
            </w:r>
          </w:p>
        </w:tc>
        <w:tc>
          <w:tcPr>
            <w:tcW w:w="926" w:type="dxa"/>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81</w:t>
            </w:r>
          </w:p>
        </w:tc>
      </w:tr>
      <w:tr w:rsidR="001F5207" w:rsidRPr="00C818B3" w:rsidTr="001F5207">
        <w:tblPrEx>
          <w:tblCellMar>
            <w:top w:w="0" w:type="dxa"/>
            <w:bottom w:w="0" w:type="dxa"/>
          </w:tblCellMar>
        </w:tblPrEx>
        <w:tc>
          <w:tcPr>
            <w:tcW w:w="1764" w:type="dxa"/>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rPr>
                <w:sz w:val="17"/>
                <w:szCs w:val="24"/>
              </w:rPr>
            </w:pPr>
            <w:r w:rsidRPr="00C818B3">
              <w:rPr>
                <w:rFonts w:ascii="System" w:hint="eastAsia"/>
                <w:sz w:val="17"/>
                <w:szCs w:val="24"/>
                <w:lang w:val="zh-CN"/>
              </w:rPr>
              <w:t>海洋资源和渔业学</w:t>
            </w:r>
          </w:p>
        </w:tc>
        <w:tc>
          <w:tcPr>
            <w:tcW w:w="926" w:type="dxa"/>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0</w:t>
            </w:r>
          </w:p>
        </w:tc>
        <w:tc>
          <w:tcPr>
            <w:tcW w:w="926" w:type="dxa"/>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rFonts w:ascii="System" w:hint="eastAsia"/>
                <w:sz w:val="17"/>
                <w:szCs w:val="24"/>
                <w:lang w:val="zh-CN"/>
              </w:rPr>
              <w:t>不适用</w:t>
            </w:r>
          </w:p>
        </w:tc>
        <w:tc>
          <w:tcPr>
            <w:tcW w:w="926" w:type="dxa"/>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rFonts w:ascii="System" w:hint="eastAsia"/>
                <w:sz w:val="17"/>
                <w:szCs w:val="24"/>
                <w:lang w:val="zh-CN"/>
              </w:rPr>
              <w:t>不适用</w:t>
            </w:r>
          </w:p>
        </w:tc>
        <w:tc>
          <w:tcPr>
            <w:tcW w:w="926" w:type="dxa"/>
            <w:gridSpan w:val="2"/>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40</w:t>
            </w:r>
          </w:p>
        </w:tc>
        <w:tc>
          <w:tcPr>
            <w:tcW w:w="926" w:type="dxa"/>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rFonts w:ascii="System" w:hint="eastAsia"/>
                <w:sz w:val="17"/>
                <w:szCs w:val="24"/>
                <w:lang w:val="zh-CN"/>
              </w:rPr>
              <w:t>不适用</w:t>
            </w:r>
          </w:p>
        </w:tc>
        <w:tc>
          <w:tcPr>
            <w:tcW w:w="926" w:type="dxa"/>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rFonts w:ascii="System" w:hint="eastAsia"/>
                <w:sz w:val="17"/>
                <w:szCs w:val="24"/>
                <w:lang w:val="zh-CN"/>
              </w:rPr>
              <w:t>不适用</w:t>
            </w:r>
          </w:p>
        </w:tc>
      </w:tr>
      <w:tr w:rsidR="001F5207" w:rsidRPr="00C818B3" w:rsidTr="001F5207">
        <w:tblPrEx>
          <w:tblCellMar>
            <w:top w:w="0" w:type="dxa"/>
            <w:bottom w:w="0" w:type="dxa"/>
          </w:tblCellMar>
        </w:tblPrEx>
        <w:tc>
          <w:tcPr>
            <w:tcW w:w="1764" w:type="dxa"/>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rPr>
                <w:sz w:val="17"/>
                <w:szCs w:val="24"/>
              </w:rPr>
            </w:pPr>
            <w:r w:rsidRPr="00C818B3">
              <w:rPr>
                <w:rFonts w:ascii="System" w:hint="eastAsia"/>
                <w:sz w:val="17"/>
                <w:szCs w:val="24"/>
                <w:lang w:val="zh-CN"/>
              </w:rPr>
              <w:t>护理和保健学</w:t>
            </w:r>
          </w:p>
        </w:tc>
        <w:tc>
          <w:tcPr>
            <w:tcW w:w="926" w:type="dxa"/>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71</w:t>
            </w:r>
          </w:p>
        </w:tc>
        <w:tc>
          <w:tcPr>
            <w:tcW w:w="926" w:type="dxa"/>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85</w:t>
            </w:r>
          </w:p>
        </w:tc>
        <w:tc>
          <w:tcPr>
            <w:tcW w:w="926" w:type="dxa"/>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62</w:t>
            </w:r>
          </w:p>
        </w:tc>
        <w:tc>
          <w:tcPr>
            <w:tcW w:w="926" w:type="dxa"/>
            <w:gridSpan w:val="2"/>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14</w:t>
            </w:r>
          </w:p>
        </w:tc>
        <w:tc>
          <w:tcPr>
            <w:tcW w:w="926" w:type="dxa"/>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24</w:t>
            </w:r>
          </w:p>
        </w:tc>
        <w:tc>
          <w:tcPr>
            <w:tcW w:w="926" w:type="dxa"/>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12</w:t>
            </w:r>
          </w:p>
        </w:tc>
      </w:tr>
      <w:tr w:rsidR="001F5207" w:rsidRPr="00C818B3" w:rsidTr="001F5207">
        <w:tblPrEx>
          <w:tblCellMar>
            <w:top w:w="0" w:type="dxa"/>
            <w:bottom w:w="0" w:type="dxa"/>
          </w:tblCellMar>
        </w:tblPrEx>
        <w:tc>
          <w:tcPr>
            <w:tcW w:w="1764" w:type="dxa"/>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rPr>
                <w:sz w:val="17"/>
                <w:szCs w:val="24"/>
              </w:rPr>
            </w:pPr>
            <w:r w:rsidRPr="00C818B3">
              <w:rPr>
                <w:rFonts w:ascii="System" w:hint="eastAsia"/>
                <w:sz w:val="17"/>
                <w:szCs w:val="24"/>
                <w:lang w:val="zh-CN"/>
              </w:rPr>
              <w:t>自然资源</w:t>
            </w:r>
          </w:p>
        </w:tc>
        <w:tc>
          <w:tcPr>
            <w:tcW w:w="926" w:type="dxa"/>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28</w:t>
            </w:r>
          </w:p>
        </w:tc>
        <w:tc>
          <w:tcPr>
            <w:tcW w:w="926" w:type="dxa"/>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46</w:t>
            </w:r>
          </w:p>
        </w:tc>
        <w:tc>
          <w:tcPr>
            <w:tcW w:w="926" w:type="dxa"/>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33</w:t>
            </w:r>
          </w:p>
        </w:tc>
        <w:tc>
          <w:tcPr>
            <w:tcW w:w="926" w:type="dxa"/>
            <w:gridSpan w:val="2"/>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36</w:t>
            </w:r>
          </w:p>
        </w:tc>
        <w:tc>
          <w:tcPr>
            <w:tcW w:w="926" w:type="dxa"/>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74</w:t>
            </w:r>
          </w:p>
        </w:tc>
        <w:tc>
          <w:tcPr>
            <w:tcW w:w="926" w:type="dxa"/>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51</w:t>
            </w:r>
          </w:p>
        </w:tc>
      </w:tr>
      <w:tr w:rsidR="001F5207" w:rsidRPr="00C818B3" w:rsidTr="001F5207">
        <w:tblPrEx>
          <w:tblCellMar>
            <w:top w:w="0" w:type="dxa"/>
            <w:bottom w:w="0" w:type="dxa"/>
          </w:tblCellMar>
        </w:tblPrEx>
        <w:tc>
          <w:tcPr>
            <w:tcW w:w="1764" w:type="dxa"/>
            <w:tcBorders>
              <w:bottom w:val="single" w:sz="12" w:space="0" w:color="auto"/>
            </w:tcBorders>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rPr>
                <w:sz w:val="17"/>
                <w:szCs w:val="24"/>
              </w:rPr>
            </w:pPr>
            <w:r w:rsidRPr="00C818B3">
              <w:rPr>
                <w:rFonts w:ascii="System" w:hint="eastAsia"/>
                <w:sz w:val="17"/>
                <w:szCs w:val="24"/>
                <w:lang w:val="zh-CN"/>
              </w:rPr>
              <w:t>男女分别共计</w:t>
            </w:r>
          </w:p>
        </w:tc>
        <w:tc>
          <w:tcPr>
            <w:tcW w:w="926" w:type="dxa"/>
            <w:tcBorders>
              <w:bottom w:val="single" w:sz="12" w:space="0" w:color="auto"/>
            </w:tcBorders>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506</w:t>
            </w:r>
          </w:p>
        </w:tc>
        <w:tc>
          <w:tcPr>
            <w:tcW w:w="926" w:type="dxa"/>
            <w:tcBorders>
              <w:bottom w:val="single" w:sz="12" w:space="0" w:color="auto"/>
            </w:tcBorders>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397</w:t>
            </w:r>
          </w:p>
        </w:tc>
        <w:tc>
          <w:tcPr>
            <w:tcW w:w="926" w:type="dxa"/>
            <w:tcBorders>
              <w:bottom w:val="single" w:sz="12" w:space="0" w:color="auto"/>
            </w:tcBorders>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336</w:t>
            </w:r>
          </w:p>
        </w:tc>
        <w:tc>
          <w:tcPr>
            <w:tcW w:w="926" w:type="dxa"/>
            <w:gridSpan w:val="2"/>
            <w:tcBorders>
              <w:bottom w:val="single" w:sz="12" w:space="0" w:color="auto"/>
            </w:tcBorders>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573</w:t>
            </w:r>
          </w:p>
        </w:tc>
        <w:tc>
          <w:tcPr>
            <w:tcW w:w="926" w:type="dxa"/>
            <w:tcBorders>
              <w:bottom w:val="single" w:sz="12" w:space="0" w:color="auto"/>
            </w:tcBorders>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467</w:t>
            </w:r>
          </w:p>
        </w:tc>
        <w:tc>
          <w:tcPr>
            <w:tcW w:w="926" w:type="dxa"/>
            <w:tcBorders>
              <w:bottom w:val="single" w:sz="12" w:space="0" w:color="auto"/>
            </w:tcBorders>
            <w:shd w:val="clear" w:color="auto" w:fill="auto"/>
            <w:vAlign w:val="bottom"/>
          </w:tcPr>
          <w:p w:rsidR="001F5207" w:rsidRPr="00C818B3" w:rsidRDefault="001F5207" w:rsidP="001F5207">
            <w:pPr>
              <w:tabs>
                <w:tab w:val="left" w:pos="334"/>
                <w:tab w:val="left" w:pos="669"/>
                <w:tab w:val="left" w:pos="1003"/>
                <w:tab w:val="left" w:pos="1338"/>
              </w:tabs>
              <w:suppressAutoHyphens/>
              <w:spacing w:after="80" w:line="280" w:lineRule="exact"/>
              <w:ind w:right="57"/>
              <w:jc w:val="right"/>
              <w:rPr>
                <w:sz w:val="17"/>
                <w:szCs w:val="24"/>
              </w:rPr>
            </w:pPr>
            <w:r w:rsidRPr="00C818B3">
              <w:rPr>
                <w:sz w:val="17"/>
                <w:szCs w:val="24"/>
              </w:rPr>
              <w:t>381</w:t>
            </w:r>
          </w:p>
        </w:tc>
      </w:tr>
    </w:tbl>
    <w:p w:rsidR="001F5207" w:rsidRPr="00C818B3" w:rsidRDefault="001F5207" w:rsidP="001F5207">
      <w:pPr>
        <w:pStyle w:val="SingleTxt"/>
        <w:spacing w:after="0" w:line="120" w:lineRule="exact"/>
        <w:rPr>
          <w:rFonts w:hint="eastAsia"/>
          <w:sz w:val="10"/>
        </w:rPr>
      </w:pPr>
    </w:p>
    <w:p w:rsidR="001F5207" w:rsidRPr="00C818B3" w:rsidRDefault="001F5207" w:rsidP="001F5207">
      <w:pPr>
        <w:pStyle w:val="SingleTxt"/>
        <w:spacing w:after="0" w:line="120" w:lineRule="exact"/>
        <w:rPr>
          <w:rFonts w:hint="eastAsia"/>
          <w:sz w:val="10"/>
        </w:rPr>
      </w:pPr>
    </w:p>
    <w:p w:rsidR="001F5207" w:rsidRPr="00C818B3" w:rsidRDefault="001F5207" w:rsidP="001F5207">
      <w:pPr>
        <w:pStyle w:val="SingleTxt"/>
        <w:rPr>
          <w:rFonts w:ascii="SimHei" w:eastAsia="SimHei" w:hint="eastAsia"/>
        </w:rPr>
      </w:pPr>
      <w:r w:rsidRPr="00C818B3">
        <w:rPr>
          <w:rFonts w:ascii="SimHei" w:eastAsia="SimHei" w:hint="eastAsia"/>
        </w:rPr>
        <w:t>妇女参加非正规就业</w:t>
      </w:r>
    </w:p>
    <w:p w:rsidR="001F5207" w:rsidRPr="00C818B3" w:rsidRDefault="001F5207" w:rsidP="001F5207">
      <w:pPr>
        <w:pStyle w:val="SingleTxt"/>
        <w:rPr>
          <w:rFonts w:hint="eastAsia"/>
        </w:rPr>
      </w:pPr>
      <w:r w:rsidRPr="00C818B3">
        <w:rPr>
          <w:rFonts w:hint="eastAsia"/>
        </w:rPr>
        <w:t>136.　妇女为农村经济、特别是农业生产作出了很大贡献。她们从事生产和(或)销售，通常进行非正式经营。农村妇女从事的农业活动已从传统的自给性园植转为小规模商业生产。据世界银行最近的一份报告估计，霍尼亚拉中央市场的年营业额在1</w:t>
      </w:r>
      <w:r>
        <w:rPr>
          <w:rFonts w:hint="eastAsia"/>
        </w:rPr>
        <w:t xml:space="preserve"> </w:t>
      </w:r>
      <w:r w:rsidRPr="00C818B3">
        <w:rPr>
          <w:rFonts w:hint="eastAsia"/>
        </w:rPr>
        <w:t>000万至1</w:t>
      </w:r>
      <w:r>
        <w:rPr>
          <w:rFonts w:hint="eastAsia"/>
        </w:rPr>
        <w:t xml:space="preserve"> </w:t>
      </w:r>
      <w:r w:rsidRPr="00C818B3">
        <w:rPr>
          <w:rFonts w:hint="eastAsia"/>
        </w:rPr>
        <w:t>600万美元之间，在农民批量购买和商贩的销售活动中，妇女占90%。</w:t>
      </w:r>
      <w:r w:rsidRPr="00C818B3">
        <w:rPr>
          <w:rStyle w:val="FootnoteReference"/>
        </w:rPr>
        <w:footnoteReference w:id="22"/>
      </w:r>
    </w:p>
    <w:p w:rsidR="008538B6" w:rsidRPr="008538B6" w:rsidRDefault="008538B6" w:rsidP="008538B6">
      <w:pPr>
        <w:pStyle w:val="SingleTxt"/>
        <w:rPr>
          <w:rFonts w:ascii="SimHei" w:eastAsia="SimHei" w:hint="eastAsia"/>
          <w:sz w:val="24"/>
          <w:szCs w:val="24"/>
        </w:rPr>
      </w:pPr>
      <w:r w:rsidRPr="008538B6">
        <w:rPr>
          <w:rFonts w:ascii="SimHei" w:eastAsia="SimHei" w:hint="eastAsia"/>
          <w:sz w:val="24"/>
          <w:szCs w:val="24"/>
        </w:rPr>
        <w:t>第6条：剥削妇女</w:t>
      </w:r>
    </w:p>
    <w:p w:rsidR="008538B6" w:rsidRPr="00105002" w:rsidRDefault="008538B6" w:rsidP="008538B6">
      <w:pPr>
        <w:pStyle w:val="SingleTxt"/>
        <w:rPr>
          <w:rFonts w:ascii="SimHei" w:eastAsia="SimHei" w:hint="eastAsia"/>
        </w:rPr>
      </w:pPr>
      <w:r w:rsidRPr="00105002">
        <w:rPr>
          <w:rFonts w:ascii="SimHei" w:eastAsia="SimHei" w:hint="eastAsia"/>
        </w:rPr>
        <w:t>法律背景</w:t>
      </w:r>
    </w:p>
    <w:p w:rsidR="008538B6" w:rsidRPr="00105002" w:rsidRDefault="008538B6" w:rsidP="008538B6">
      <w:pPr>
        <w:pStyle w:val="SingleTxt"/>
        <w:rPr>
          <w:rFonts w:hint="eastAsia"/>
        </w:rPr>
      </w:pPr>
      <w:r w:rsidRPr="00105002">
        <w:rPr>
          <w:rFonts w:hint="eastAsia"/>
        </w:rPr>
        <w:t>137.　淫媒行为被定为刑事犯罪。《刑法》第153条规定，任何出于不道德目的的淫媒或纠缠行为都可定为轻罪。此类罪行最高可判处两年徒刑，对男女均适用，但不适用于客户(通常是男性)。《刑法》中使用了卖淫一词，但未界定其含义。</w:t>
      </w:r>
    </w:p>
    <w:p w:rsidR="008538B6" w:rsidRPr="00105002" w:rsidRDefault="008538B6" w:rsidP="008538B6">
      <w:pPr>
        <w:pStyle w:val="SingleTxt"/>
        <w:rPr>
          <w:rFonts w:hint="eastAsia"/>
        </w:rPr>
      </w:pPr>
      <w:r w:rsidRPr="00105002">
        <w:rPr>
          <w:rFonts w:hint="eastAsia"/>
        </w:rPr>
        <w:t>138.　协助和怂恿双方同意的拉皮条行为属刑事犯罪。《刑法》将靠卖淫为生和经营妓院定为刑事犯罪。此类罪行对男女均适用。第153条(1)(a)禁止靠卖淫所得为生，第155条禁止经营妓院。这两项罪行最高可判处两年徒刑。</w:t>
      </w:r>
    </w:p>
    <w:p w:rsidR="008538B6" w:rsidRPr="00105002" w:rsidRDefault="008538B6" w:rsidP="008538B6">
      <w:pPr>
        <w:pStyle w:val="SingleTxt"/>
        <w:rPr>
          <w:rFonts w:hint="eastAsia"/>
        </w:rPr>
      </w:pPr>
      <w:r w:rsidRPr="00105002">
        <w:rPr>
          <w:rFonts w:hint="eastAsia"/>
        </w:rPr>
        <w:t>139.　《刑法》中有多项条款规定，引诱妇女或18岁以下女孩卖淫为犯罪行为，具体包括：</w:t>
      </w:r>
    </w:p>
    <w:p w:rsidR="008538B6" w:rsidRPr="00105002" w:rsidRDefault="008538B6" w:rsidP="008538B6">
      <w:pPr>
        <w:pStyle w:val="SingleTxt"/>
        <w:ind w:left="2126" w:hanging="431"/>
        <w:rPr>
          <w:rFonts w:hint="eastAsia"/>
        </w:rPr>
      </w:pPr>
      <w:r w:rsidRPr="00105002">
        <w:rPr>
          <w:rFonts w:hint="eastAsia"/>
        </w:rPr>
        <w:sym w:font="Symbol" w:char="F0B7"/>
      </w:r>
      <w:r w:rsidRPr="00105002">
        <w:tab/>
      </w:r>
      <w:r w:rsidRPr="00105002">
        <w:rPr>
          <w:rFonts w:hint="eastAsia"/>
        </w:rPr>
        <w:t>第147条规定，场所的所有者或使用者引诱或在知情情况下允许13岁以上、15岁以下女孩在该场所性交(允许玷污)构成罪行。真诚并合理地相信女孩年龄为15岁以上可作为辩护理由。</w:t>
      </w:r>
    </w:p>
    <w:p w:rsidR="008538B6" w:rsidRPr="00105002" w:rsidRDefault="008538B6" w:rsidP="008538B6">
      <w:pPr>
        <w:pStyle w:val="SingleTxt"/>
        <w:ind w:left="2126" w:hanging="431"/>
        <w:rPr>
          <w:rFonts w:hint="eastAsia"/>
        </w:rPr>
      </w:pPr>
      <w:r w:rsidRPr="00105002">
        <w:rPr>
          <w:rFonts w:hint="eastAsia"/>
        </w:rPr>
        <w:sym w:font="Symbol" w:char="F0B7"/>
      </w:r>
      <w:r w:rsidRPr="00105002">
        <w:tab/>
      </w:r>
      <w:r w:rsidRPr="00105002">
        <w:rPr>
          <w:rFonts w:hint="eastAsia"/>
        </w:rPr>
        <w:t>第148条规定，未经同意将女孩或妇女扣押在妓院的行为构成犯罪，最高可判处两年徒刑。</w:t>
      </w:r>
    </w:p>
    <w:p w:rsidR="008538B6" w:rsidRPr="00105002" w:rsidRDefault="008538B6" w:rsidP="008538B6">
      <w:pPr>
        <w:pStyle w:val="SingleTxt"/>
        <w:ind w:left="2126" w:hanging="431"/>
        <w:rPr>
          <w:rFonts w:hint="eastAsia"/>
        </w:rPr>
      </w:pPr>
      <w:r w:rsidRPr="00105002">
        <w:rPr>
          <w:rFonts w:hint="eastAsia"/>
        </w:rPr>
        <w:sym w:font="Symbol" w:char="F0B7"/>
      </w:r>
      <w:r w:rsidRPr="00105002">
        <w:tab/>
      </w:r>
      <w:r w:rsidRPr="00105002">
        <w:rPr>
          <w:rFonts w:hint="eastAsia"/>
        </w:rPr>
        <w:t>第149条规定，父母或监护人要求15岁以下女孩卖淫构成犯罪行为，最高可判处两年徒刑。</w:t>
      </w:r>
    </w:p>
    <w:p w:rsidR="008538B6" w:rsidRPr="00105002" w:rsidRDefault="008538B6" w:rsidP="008538B6">
      <w:pPr>
        <w:pStyle w:val="SingleTxt"/>
        <w:ind w:left="2126" w:hanging="431"/>
        <w:rPr>
          <w:rFonts w:hint="eastAsia"/>
        </w:rPr>
      </w:pPr>
      <w:r w:rsidRPr="00105002">
        <w:rPr>
          <w:rFonts w:hint="eastAsia"/>
        </w:rPr>
        <w:sym w:font="Symbol" w:char="F0B7"/>
      </w:r>
      <w:r w:rsidRPr="00105002">
        <w:tab/>
      </w:r>
      <w:r w:rsidRPr="00105002">
        <w:rPr>
          <w:rFonts w:hint="eastAsia"/>
        </w:rPr>
        <w:t>第156条规定，通过欺诈方式开展淫媒活动属犯罪行为，最高可判处两年徒刑。</w:t>
      </w:r>
    </w:p>
    <w:p w:rsidR="008538B6" w:rsidRPr="00105002" w:rsidRDefault="008538B6" w:rsidP="008538B6">
      <w:pPr>
        <w:pStyle w:val="SingleTxt"/>
        <w:rPr>
          <w:rFonts w:hint="eastAsia"/>
        </w:rPr>
      </w:pPr>
      <w:r w:rsidRPr="00105002">
        <w:rPr>
          <w:rFonts w:hint="eastAsia"/>
        </w:rPr>
        <w:t>140.　《刑法》规定了暴力和性犯罪方面的各种罪行。没有法律禁止将这些保护适用于妇女性工作者。在这方面将适用常规的证据程序，例如在强奸方面，问题在于是否经对方同意。</w:t>
      </w:r>
    </w:p>
    <w:p w:rsidR="008538B6" w:rsidRPr="00105002" w:rsidRDefault="008538B6" w:rsidP="008538B6">
      <w:pPr>
        <w:pStyle w:val="SingleTxt"/>
        <w:rPr>
          <w:rFonts w:hint="eastAsia"/>
        </w:rPr>
      </w:pPr>
      <w:r w:rsidRPr="00105002">
        <w:rPr>
          <w:rFonts w:hint="eastAsia"/>
        </w:rPr>
        <w:t>141.　就业立法框架没有为从事性工作换取金钱或物质利益的人提供职业健康和安全立法方面的保护。</w:t>
      </w:r>
    </w:p>
    <w:p w:rsidR="008538B6" w:rsidRPr="00105002" w:rsidRDefault="008538B6" w:rsidP="008538B6">
      <w:pPr>
        <w:pStyle w:val="SingleTxt"/>
        <w:rPr>
          <w:rFonts w:hint="eastAsia"/>
        </w:rPr>
      </w:pPr>
      <w:r w:rsidRPr="00105002">
        <w:rPr>
          <w:rFonts w:hint="eastAsia"/>
        </w:rPr>
        <w:t>142.　《刑法》关于绑架的条款规定贩卖人口为犯罪行为，并禁止与贩运人口相关的各种活动，如强迫卖淫、强迫劳动和乞讨。为保护妇女和女孩免遭贩运，《刑法》规定了一些保护措施。这些规定适用于所罗门群岛内的人口贩运，但不适用于国际性的人口贩运。此类情况下可适用的罪行包括：</w:t>
      </w:r>
    </w:p>
    <w:p w:rsidR="008538B6" w:rsidRPr="00105002" w:rsidRDefault="008538B6" w:rsidP="008538B6">
      <w:pPr>
        <w:pStyle w:val="SingleTxt"/>
        <w:ind w:left="2126" w:hanging="431"/>
        <w:rPr>
          <w:rFonts w:hint="eastAsia"/>
        </w:rPr>
      </w:pPr>
      <w:r w:rsidRPr="00105002">
        <w:rPr>
          <w:rFonts w:hint="eastAsia"/>
        </w:rPr>
        <w:sym w:font="Symbol" w:char="F0B7"/>
      </w:r>
      <w:r w:rsidRPr="00105002">
        <w:tab/>
      </w:r>
      <w:r w:rsidRPr="00105002">
        <w:rPr>
          <w:rFonts w:hint="eastAsia"/>
        </w:rPr>
        <w:t>第144条禁止迫使女孩或妇女在所罗门群岛或其他地点与另一人性交或经常出入其他地点的妓院。此类罪行最高可判处两年徒刑。</w:t>
      </w:r>
    </w:p>
    <w:p w:rsidR="008538B6" w:rsidRPr="00105002" w:rsidRDefault="008538B6" w:rsidP="008538B6">
      <w:pPr>
        <w:pStyle w:val="SingleTxt"/>
        <w:ind w:left="2126" w:hanging="431"/>
        <w:rPr>
          <w:rFonts w:hint="eastAsia"/>
        </w:rPr>
      </w:pPr>
      <w:r w:rsidRPr="00105002">
        <w:rPr>
          <w:rFonts w:hint="eastAsia"/>
        </w:rPr>
        <w:sym w:font="Symbol" w:char="F0B7"/>
      </w:r>
      <w:r w:rsidRPr="00105002">
        <w:tab/>
      </w:r>
      <w:r w:rsidRPr="00105002">
        <w:rPr>
          <w:rFonts w:hint="eastAsia"/>
        </w:rPr>
        <w:t>第145条规定，通过威胁、欺骗或使用毒品迫使女孩或妇女在所罗门群岛或其他地点卖淫为犯罪行为，最高可判处两年徒刑。</w:t>
      </w:r>
    </w:p>
    <w:p w:rsidR="008538B6" w:rsidRPr="00105002" w:rsidRDefault="008538B6" w:rsidP="008538B6">
      <w:pPr>
        <w:pStyle w:val="SingleTxt"/>
        <w:ind w:left="2126" w:hanging="431"/>
        <w:rPr>
          <w:rFonts w:hint="eastAsia"/>
        </w:rPr>
      </w:pPr>
      <w:r w:rsidRPr="00105002">
        <w:rPr>
          <w:rFonts w:hint="eastAsia"/>
        </w:rPr>
        <w:sym w:font="Symbol" w:char="F0B7"/>
      </w:r>
      <w:r w:rsidRPr="00105002">
        <w:tab/>
      </w:r>
      <w:r w:rsidRPr="00105002">
        <w:rPr>
          <w:rFonts w:hint="eastAsia"/>
        </w:rPr>
        <w:t>第140条规定，为结婚或性交的目的进行绑架为犯罪行为，最高可判处7年徒刑。</w:t>
      </w:r>
    </w:p>
    <w:p w:rsidR="008538B6" w:rsidRPr="00105002" w:rsidRDefault="008538B6" w:rsidP="008538B6">
      <w:pPr>
        <w:pStyle w:val="SingleTxt"/>
        <w:ind w:left="2126" w:hanging="431"/>
        <w:rPr>
          <w:rFonts w:hint="eastAsia"/>
        </w:rPr>
      </w:pPr>
      <w:r w:rsidRPr="00105002">
        <w:rPr>
          <w:rFonts w:hint="eastAsia"/>
        </w:rPr>
        <w:sym w:font="Symbol" w:char="F0B7"/>
      </w:r>
      <w:r w:rsidRPr="00105002">
        <w:tab/>
      </w:r>
      <w:r w:rsidRPr="00105002">
        <w:rPr>
          <w:rFonts w:hint="eastAsia"/>
        </w:rPr>
        <w:t>第141条禁止在未经女孩父母或监护人同意的情况下绑架18岁以下女孩进行性交。该条不包括未经女孩同意这一条件，而是完全基于父母或监护人的同意。此类罪行最高可判处两年徒刑。</w:t>
      </w:r>
    </w:p>
    <w:p w:rsidR="008538B6" w:rsidRPr="00105002" w:rsidRDefault="008538B6" w:rsidP="008538B6">
      <w:pPr>
        <w:pStyle w:val="SingleTxt"/>
        <w:rPr>
          <w:rFonts w:hint="eastAsia"/>
        </w:rPr>
      </w:pPr>
      <w:r w:rsidRPr="00105002">
        <w:rPr>
          <w:rFonts w:hint="eastAsia"/>
        </w:rPr>
        <w:t>143.　所有此类罪行的刑罚都很低，且具有很高的歧视性，因为不是所有规定都考虑到受害人是否同意。没有禁止色情旅游业的规定。色情旅游业所引起的任何罪行都将根据现有的性犯罪罪名处理，如强奸、玷污和《刑法》中所载的其他罪行。</w:t>
      </w:r>
    </w:p>
    <w:p w:rsidR="008538B6" w:rsidRPr="00105002" w:rsidRDefault="008538B6" w:rsidP="008538B6">
      <w:pPr>
        <w:pStyle w:val="SingleTxt"/>
        <w:rPr>
          <w:rFonts w:hint="eastAsia"/>
        </w:rPr>
      </w:pPr>
      <w:r w:rsidRPr="00105002">
        <w:rPr>
          <w:rFonts w:hint="eastAsia"/>
        </w:rPr>
        <w:t xml:space="preserve">144.　</w:t>
      </w:r>
      <w:r w:rsidRPr="00105002">
        <w:rPr>
          <w:rFonts w:hint="eastAsia"/>
          <w:spacing w:val="-2"/>
        </w:rPr>
        <w:t>议会2012年通过的《移民法》在人口贩运方面提供了一些保护。《移民法》第7部分第2节对偷运和贩运人口罪行作出了规定。第76条规定贩运人口为犯罪行为，最高可判处45 000个罚款单位的罚款或5年监禁，或两项刑罚并处。第77条规定贩运18岁以下儿童为犯罪行为。该罪行的刑罚较重，最高可判处90 000</w:t>
      </w:r>
      <w:r w:rsidRPr="00105002">
        <w:rPr>
          <w:rFonts w:hint="eastAsia"/>
        </w:rPr>
        <w:t>个罚款单位的罚款或10年监禁，或两项刑罚并处。第78条规定，从剥削被贩运者中牟利或参与剥削为犯罪行为，最高可判处45 000个罚款单位的罚款或5年监禁，或两项刑罚并处。</w:t>
      </w:r>
    </w:p>
    <w:p w:rsidR="008538B6" w:rsidRPr="00105002" w:rsidRDefault="008538B6" w:rsidP="008538B6">
      <w:pPr>
        <w:pStyle w:val="SingleTxt"/>
        <w:rPr>
          <w:rFonts w:hint="eastAsia"/>
        </w:rPr>
      </w:pPr>
      <w:r w:rsidRPr="00105002">
        <w:rPr>
          <w:rFonts w:hint="eastAsia"/>
        </w:rPr>
        <w:t>145.　《宪法》第6条规定了免遭奴役和强迫劳动的保护措施。</w:t>
      </w:r>
    </w:p>
    <w:p w:rsidR="008538B6" w:rsidRPr="00105002" w:rsidRDefault="008538B6" w:rsidP="008538B6">
      <w:pPr>
        <w:pStyle w:val="SingleTxt"/>
        <w:rPr>
          <w:rFonts w:ascii="SimHei" w:eastAsia="SimHei" w:hint="eastAsia"/>
        </w:rPr>
      </w:pPr>
      <w:r w:rsidRPr="00105002">
        <w:rPr>
          <w:rFonts w:ascii="SimHei" w:eastAsia="SimHei" w:hint="eastAsia"/>
        </w:rPr>
        <w:t>法律的适用</w:t>
      </w:r>
    </w:p>
    <w:p w:rsidR="008538B6" w:rsidRPr="00105002" w:rsidRDefault="008538B6" w:rsidP="008538B6">
      <w:pPr>
        <w:pStyle w:val="SingleTxt"/>
        <w:rPr>
          <w:rFonts w:hint="eastAsia"/>
        </w:rPr>
      </w:pPr>
      <w:r w:rsidRPr="00105002">
        <w:rPr>
          <w:rFonts w:hint="eastAsia"/>
        </w:rPr>
        <w:t>146.　涉及一般剥削罪行的最高刑罚通常很低。此外，罪行也不够广泛，不包括违背妇女和女童的意愿，通过威胁、药物或其他胁迫手段引诱其卖淫的情况。这些规定的歧视性很强，因为使用妓女服务未被列为犯罪行为。因此，法律惩罚的往往是十分贫穷、就业机会很少的脆弱妇女。</w:t>
      </w:r>
    </w:p>
    <w:p w:rsidR="008538B6" w:rsidRPr="00105002" w:rsidRDefault="008538B6" w:rsidP="008538B6">
      <w:pPr>
        <w:pStyle w:val="SingleTxt"/>
        <w:rPr>
          <w:rFonts w:hint="eastAsia"/>
        </w:rPr>
      </w:pPr>
      <w:r w:rsidRPr="00105002">
        <w:rPr>
          <w:rFonts w:hint="eastAsia"/>
        </w:rPr>
        <w:t>147.　关于贩运人口的规定仅在近期才引入《移民法》。规定为女性和男性贩运受害人提供了平等保护，并为针对儿童的犯罪规定了更高的刑罚。由于其他立法要求，《移民法》迄今尚未生效。</w:t>
      </w:r>
    </w:p>
    <w:p w:rsidR="008538B6" w:rsidRPr="00105002" w:rsidRDefault="008538B6" w:rsidP="008538B6">
      <w:pPr>
        <w:pStyle w:val="SingleTxt"/>
        <w:rPr>
          <w:rFonts w:ascii="SimHei" w:eastAsia="SimHei" w:hint="eastAsia"/>
        </w:rPr>
      </w:pPr>
      <w:r w:rsidRPr="00105002">
        <w:rPr>
          <w:rFonts w:ascii="SimHei" w:eastAsia="SimHei" w:hint="eastAsia"/>
        </w:rPr>
        <w:t>法律改革</w:t>
      </w:r>
    </w:p>
    <w:p w:rsidR="008538B6" w:rsidRPr="00105002" w:rsidRDefault="008538B6" w:rsidP="008538B6">
      <w:pPr>
        <w:pStyle w:val="SingleTxt"/>
        <w:rPr>
          <w:rFonts w:hint="eastAsia"/>
        </w:rPr>
      </w:pPr>
      <w:r w:rsidRPr="00105002">
        <w:rPr>
          <w:rFonts w:hint="eastAsia"/>
        </w:rPr>
        <w:t>148.　法律改革委员会审查了《刑法》规定的性犯罪。此外，这次审查还涉及贩卖儿童问题。目前，对《刑法》多项现有性犯罪规定提出了修正意见并建议设立新罪名。所罗门群岛法律改革委员会的这项工作正在开展之中。</w:t>
      </w:r>
    </w:p>
    <w:p w:rsidR="008538B6" w:rsidRPr="00105002" w:rsidRDefault="008538B6" w:rsidP="008538B6">
      <w:pPr>
        <w:pStyle w:val="SingleTxt"/>
        <w:rPr>
          <w:rFonts w:ascii="SimHei" w:eastAsia="SimHei" w:hint="eastAsia"/>
        </w:rPr>
      </w:pPr>
      <w:r w:rsidRPr="00105002">
        <w:rPr>
          <w:rFonts w:ascii="SimHei" w:eastAsia="SimHei" w:hint="eastAsia"/>
        </w:rPr>
        <w:t>性剥削</w:t>
      </w:r>
    </w:p>
    <w:p w:rsidR="008538B6" w:rsidRPr="00105002" w:rsidRDefault="008538B6" w:rsidP="008538B6">
      <w:pPr>
        <w:pStyle w:val="SingleTxt"/>
        <w:rPr>
          <w:rFonts w:hint="eastAsia"/>
        </w:rPr>
      </w:pPr>
      <w:r w:rsidRPr="00105002">
        <w:rPr>
          <w:rFonts w:hint="eastAsia"/>
        </w:rPr>
        <w:t>149.　儿基会、亚太经社会和根除儿童卖淫现象国际运动在2006年汇编的《太平洋地区儿童性虐待和儿童商业性剥削问题区域报告》是一份区域报告，载有2004年10月至2005年6月期间对所罗门群岛和其他太平洋国家所作调查的结果。该报告的首要目的是总结国家调查的主要结果，明确这些国家中对儿童进行性虐待和商业性剥削的普遍程度和性质。该调查在与所罗门群岛政府的合作下开展，初步调查于2004年7至12月进行。</w:t>
      </w:r>
    </w:p>
    <w:p w:rsidR="008538B6" w:rsidRPr="00105002" w:rsidRDefault="008538B6" w:rsidP="008538B6">
      <w:pPr>
        <w:pStyle w:val="SingleTxt"/>
        <w:rPr>
          <w:rFonts w:hint="eastAsia"/>
        </w:rPr>
      </w:pPr>
      <w:r w:rsidRPr="00105002">
        <w:rPr>
          <w:rFonts w:hint="eastAsia"/>
        </w:rPr>
        <w:t>150.　研究表明，在所罗门群岛存在对儿童进行性虐待和商业性剥削的问题。研究未能说明儿童性虐待问题的确切范围和性质，但明确指出该问题在所罗门群岛确实存在。研究清楚表明，因政府机构和其他组织的数据收集不足，无法真正量化对儿童进行性虐待和商业性剥削的程度。研究还表明，儿童性虐待发生在各种地点，从城市中心到偏远的农村地区。另外，许多女孩在族裔关系紧张期间受到武装分子的强暴。还发现存在涉及男孩和女孩的儿童卖淫问题，且有一些证据表明，存在投机性质的儿童色情旅游业。报告没有表明存在见于世界其他地区的高度有组织儿童性旅游网络，也没有提供贩卖儿童进行性虐待或性剥削的任何证据。</w:t>
      </w:r>
    </w:p>
    <w:p w:rsidR="008538B6" w:rsidRPr="00105002" w:rsidRDefault="008538B6" w:rsidP="008538B6">
      <w:pPr>
        <w:pStyle w:val="SingleTxt"/>
        <w:rPr>
          <w:rFonts w:hint="eastAsia"/>
        </w:rPr>
      </w:pPr>
      <w:r w:rsidRPr="00105002">
        <w:rPr>
          <w:rFonts w:hint="eastAsia"/>
        </w:rPr>
        <w:t>151.　2010年，题为《离开父母生活的太平洋儿童》的报告审议了对儿童的商业性剥削问题。报告发现有传闻表明，外国伐木者伐木营地附近的社区利用聘金制度把女孩嫁给外国伐木者，造成对儿童的性剥削。</w:t>
      </w:r>
      <w:r w:rsidRPr="00105002">
        <w:rPr>
          <w:rStyle w:val="FootnoteReference"/>
        </w:rPr>
        <w:footnoteReference w:id="23"/>
      </w:r>
      <w:r w:rsidRPr="00105002">
        <w:rPr>
          <w:rFonts w:hint="eastAsia"/>
        </w:rPr>
        <w:t xml:space="preserve"> 研究表明，存在通过不当或非法婚姻买卖儿童以及按习俗收养儿童以进行剥削或虐待的问题。</w:t>
      </w:r>
    </w:p>
    <w:p w:rsidR="008538B6" w:rsidRPr="00105002" w:rsidRDefault="008538B6" w:rsidP="008538B6">
      <w:pPr>
        <w:pStyle w:val="SingleTxt"/>
        <w:rPr>
          <w:rFonts w:hint="eastAsia"/>
        </w:rPr>
      </w:pPr>
      <w:r w:rsidRPr="00105002">
        <w:rPr>
          <w:rFonts w:hint="eastAsia"/>
        </w:rPr>
        <w:t>152.　2008至2009年，儿基会太平洋办事处和所罗门群岛政府联合开展了知识、态度和实践调查，以更好地了解所罗门群岛极易受伤害的高风险青少年、年轻人和一般民众中与艾滋病毒和艾滋病有关的风险及脆弱性。调查考虑的方面之一是商业和交易性质的性行为。在219个性行为活跃的女性答卷者中，有41人曾为换取金钱性交。此类事件大多数发生在首都霍尼亚拉，但在其他省也有发生。调查发现，性行为活跃女性为了礼物、食品或交易而发生性关系的人数是男性的三倍，与商业性活动中的情况相同。</w:t>
      </w:r>
    </w:p>
    <w:p w:rsidR="008538B6" w:rsidRPr="00105002" w:rsidRDefault="008538B6" w:rsidP="008538B6">
      <w:pPr>
        <w:pStyle w:val="SingleTxt"/>
        <w:rPr>
          <w:rFonts w:hint="eastAsia"/>
        </w:rPr>
      </w:pPr>
      <w:r w:rsidRPr="00105002">
        <w:rPr>
          <w:rFonts w:hint="eastAsia"/>
        </w:rPr>
        <w:t>153.　2009年，所罗门群岛计划生育协会启动了性工作者项目。该项目与美拉尼西亚圣公会合作开展，旨在为性工作者提供信息，并帮助他们提高认识。2010年，项目侧重于首都霍尼亚拉的6个不同地区。2010年，有10名男性和79名妇女参与了该项目。</w:t>
      </w:r>
    </w:p>
    <w:p w:rsidR="008538B6" w:rsidRPr="00105002" w:rsidRDefault="008538B6" w:rsidP="008538B6">
      <w:pPr>
        <w:pStyle w:val="SingleTxt"/>
        <w:rPr>
          <w:rFonts w:hint="eastAsia"/>
        </w:rPr>
      </w:pPr>
      <w:r w:rsidRPr="00105002">
        <w:rPr>
          <w:rFonts w:hint="eastAsia"/>
        </w:rPr>
        <w:t>154.　没有监测外来移民或出国移民以主要从事性工作换取金钱或物质利益的程序或制度。</w:t>
      </w:r>
    </w:p>
    <w:p w:rsidR="008538B6" w:rsidRPr="00105002" w:rsidRDefault="008538B6" w:rsidP="008538B6">
      <w:pPr>
        <w:pStyle w:val="SingleTxt"/>
        <w:rPr>
          <w:rFonts w:ascii="SimHei" w:eastAsia="SimHei" w:hint="eastAsia"/>
        </w:rPr>
      </w:pPr>
      <w:r w:rsidRPr="00105002">
        <w:rPr>
          <w:rFonts w:ascii="SimHei" w:eastAsia="SimHei" w:hint="eastAsia"/>
        </w:rPr>
        <w:t>贩运人口</w:t>
      </w:r>
    </w:p>
    <w:p w:rsidR="008538B6" w:rsidRPr="00105002" w:rsidRDefault="008538B6" w:rsidP="008538B6">
      <w:pPr>
        <w:pStyle w:val="SingleTxt"/>
        <w:rPr>
          <w:rFonts w:hint="eastAsia"/>
        </w:rPr>
      </w:pPr>
      <w:r w:rsidRPr="00105002">
        <w:rPr>
          <w:rFonts w:hint="eastAsia"/>
        </w:rPr>
        <w:t>155.　2011年11月，启动了得到美国政府支持的打击人口贩运方案。该方案目前与所罗门群岛基督教协会和家庭支助中心等民间社会组织合作开展。所罗门群岛基督教协会将确认4个问题领域，以举办打击人口贩运问题研讨会，并借此收集数据和开展社区教育。将为此编制教育手册，分发给各省份并加强转介机制。研讨会将着重讨论妇女、儿童及伐木营问题。方案在2011年11月至2012年11月期间执行。</w:t>
      </w:r>
    </w:p>
    <w:p w:rsidR="008538B6" w:rsidRPr="00105002" w:rsidRDefault="008538B6" w:rsidP="008538B6">
      <w:pPr>
        <w:pStyle w:val="SingleTxt"/>
        <w:rPr>
          <w:rFonts w:hint="eastAsia"/>
        </w:rPr>
      </w:pPr>
      <w:r w:rsidRPr="00105002">
        <w:rPr>
          <w:rFonts w:hint="eastAsia"/>
        </w:rPr>
        <w:t>156.　家庭支助中心目前正在开展协商，为起诉人口贩运罪行制定《所罗门群岛打击人口贩运法律框架手册》。预计手册将于2012年底完成，将向警察、检察当局、民间社会组织和法律界分发。该手册是协助服务提供者解决妇女和女孩受剥削问题的重要工具。</w:t>
      </w:r>
    </w:p>
    <w:p w:rsidR="008538B6" w:rsidRPr="008538B6" w:rsidRDefault="008538B6" w:rsidP="008538B6">
      <w:pPr>
        <w:pStyle w:val="SingleTxt"/>
        <w:rPr>
          <w:rFonts w:ascii="SimHei" w:eastAsia="SimHei" w:hint="eastAsia"/>
          <w:sz w:val="24"/>
          <w:szCs w:val="24"/>
        </w:rPr>
      </w:pPr>
      <w:r w:rsidRPr="008538B6">
        <w:rPr>
          <w:rFonts w:ascii="SimHei" w:eastAsia="SimHei" w:hint="eastAsia"/>
          <w:sz w:val="24"/>
          <w:szCs w:val="24"/>
        </w:rPr>
        <w:t>第7条：参与政治和公共生活</w:t>
      </w:r>
    </w:p>
    <w:p w:rsidR="008538B6" w:rsidRPr="00105002" w:rsidRDefault="008538B6" w:rsidP="008538B6">
      <w:pPr>
        <w:pStyle w:val="SingleTxt"/>
        <w:rPr>
          <w:rFonts w:ascii="SimHei" w:eastAsia="SimHei" w:hint="eastAsia"/>
        </w:rPr>
      </w:pPr>
      <w:r w:rsidRPr="00105002">
        <w:rPr>
          <w:rFonts w:ascii="SimHei" w:eastAsia="SimHei" w:hint="eastAsia"/>
        </w:rPr>
        <w:t>法律背景</w:t>
      </w:r>
    </w:p>
    <w:p w:rsidR="008538B6" w:rsidRPr="00105002" w:rsidRDefault="008538B6" w:rsidP="008538B6">
      <w:pPr>
        <w:pStyle w:val="SingleTxt"/>
        <w:rPr>
          <w:rFonts w:hint="eastAsia"/>
        </w:rPr>
      </w:pPr>
      <w:r w:rsidRPr="00105002">
        <w:rPr>
          <w:rFonts w:hint="eastAsia"/>
        </w:rPr>
        <w:t>157.　所罗门群岛《宪法》第56条规定了平等投票权。虽然该条规定“任何登记的人都有权投票”，但选举权的豁免规定全部使用“他”字。尽管该条规定了平等选举权，但措辞具有歧视性。</w:t>
      </w:r>
    </w:p>
    <w:p w:rsidR="008538B6" w:rsidRPr="00105002" w:rsidRDefault="008538B6" w:rsidP="008538B6">
      <w:pPr>
        <w:pStyle w:val="SingleTxt"/>
        <w:rPr>
          <w:rFonts w:hint="eastAsia"/>
        </w:rPr>
      </w:pPr>
      <w:r w:rsidRPr="00105002">
        <w:rPr>
          <w:rFonts w:hint="eastAsia"/>
        </w:rPr>
        <w:t>158.　《宪法》第48条规定政治代表权的平等资格。虽然该条规定“有资格”，但却使用“他”字说明应满足的标准。尽管该条规定了政治代表权的平等资格，但措辞具有歧视性。</w:t>
      </w:r>
    </w:p>
    <w:p w:rsidR="008538B6" w:rsidRPr="00105002" w:rsidRDefault="008538B6" w:rsidP="008538B6">
      <w:pPr>
        <w:pStyle w:val="SingleTxt"/>
        <w:rPr>
          <w:rFonts w:hint="eastAsia"/>
        </w:rPr>
      </w:pPr>
      <w:r w:rsidRPr="00105002">
        <w:rPr>
          <w:rFonts w:hint="eastAsia"/>
        </w:rPr>
        <w:t>159.　《宪法》和任何其他议会法案都没有对妇女在议会中的最低配额作出法律规定。</w:t>
      </w:r>
    </w:p>
    <w:p w:rsidR="008538B6" w:rsidRPr="00105002" w:rsidRDefault="008538B6" w:rsidP="008538B6">
      <w:pPr>
        <w:pStyle w:val="SingleTxt"/>
        <w:rPr>
          <w:rFonts w:hint="eastAsia"/>
        </w:rPr>
      </w:pPr>
      <w:r w:rsidRPr="00105002">
        <w:rPr>
          <w:rFonts w:hint="eastAsia"/>
        </w:rPr>
        <w:t>160.　非政府组织根据《慈善信托法》注册登记。在妇女平等参与非政府组织方面不存在任何法律障碍。但计划对《慈善信托法》进行审查，以更好地促进非政府组织的工作。</w:t>
      </w:r>
    </w:p>
    <w:p w:rsidR="008538B6" w:rsidRPr="00105002" w:rsidRDefault="008538B6" w:rsidP="008538B6">
      <w:pPr>
        <w:pStyle w:val="SingleTxt"/>
        <w:rPr>
          <w:rFonts w:ascii="SimHei" w:eastAsia="SimHei" w:hint="eastAsia"/>
        </w:rPr>
      </w:pPr>
      <w:r w:rsidRPr="00105002">
        <w:rPr>
          <w:rFonts w:ascii="SimHei" w:eastAsia="SimHei" w:hint="eastAsia"/>
        </w:rPr>
        <w:t>议会中的妇女</w:t>
      </w:r>
    </w:p>
    <w:p w:rsidR="008538B6" w:rsidRPr="00105002" w:rsidRDefault="008538B6" w:rsidP="008538B6">
      <w:pPr>
        <w:pStyle w:val="SingleTxt"/>
        <w:rPr>
          <w:rFonts w:hint="eastAsia"/>
        </w:rPr>
      </w:pPr>
      <w:r w:rsidRPr="00105002">
        <w:rPr>
          <w:rFonts w:hint="eastAsia"/>
        </w:rPr>
        <w:t>161.　所罗门群岛议会有50个席位。1978年独立以来，只有两名妇女被选入议会。2009年，妇女、青年、儿童和家庭事务部建议通过为妇女保留特定席位来改善议会中的性别均衡情况，但因缺乏协商，这一建议此前没有得到核心小组的支持。</w:t>
      </w:r>
    </w:p>
    <w:p w:rsidR="008538B6" w:rsidRPr="00105002" w:rsidRDefault="008538B6" w:rsidP="008538B6">
      <w:pPr>
        <w:pStyle w:val="SingleTxt"/>
        <w:rPr>
          <w:rFonts w:hint="eastAsia"/>
        </w:rPr>
      </w:pPr>
      <w:r w:rsidRPr="00105002">
        <w:rPr>
          <w:rFonts w:hint="eastAsia"/>
        </w:rPr>
        <w:t>162.　所罗门群岛政府对在议会中为妇女保留特定席位的暂行特别措施表示了政策上的支持。所罗门群岛政府还希望以包容、鼓励参与的方式开展政策制定和立法工作。为此建立了一个立法工作组，以重新考虑引入暂行特别措施的各种备选方案，包括在议会中为妇女保留特定席位。工作组为在高级别审议该问题创造了平台。</w:t>
      </w:r>
    </w:p>
    <w:p w:rsidR="008538B6" w:rsidRPr="00105002" w:rsidRDefault="008538B6" w:rsidP="008538B6">
      <w:pPr>
        <w:pStyle w:val="SingleTxt"/>
        <w:rPr>
          <w:rFonts w:hint="eastAsia"/>
        </w:rPr>
      </w:pPr>
      <w:r w:rsidRPr="00105002">
        <w:rPr>
          <w:rFonts w:hint="eastAsia"/>
        </w:rPr>
        <w:t>163.　在2010年举行的国家选举中，虽然有25位女性候选人参选，但没有女性入选国家议会。但在2012年8月为北马莱塔选区进行的补选中，一名女候选人赢得这一席位，在共计5 665张选票中获得了2 802张多数票。因此，目前在国家议会中有一名女议员。在该候选人2012年入选国家议会之前，国家议会自独立以来只有一名女国家议员。她也是通过补选赢得的席位。与男候选人一样，女候选人的人数也在不断增加。2001年，共339名候选人中有14名为女性。2006年，女候选人增至26名，但候选人总数增至453人。2010年，在共计509名候选人中，只有25名为女性。尽管有越来越多的女候选人参选，但她们未能提高女性的总体得票数。女候选人得票数不到总票数的7%。女候选人的人数增加表明妇女对参与政治生活的兴趣更加浓厚。下文表1显示了女性候选人的参选趋势和得票趋势。需要取得重大进展，女候选人才可能真正对男候选人构成选举挑战。</w:t>
      </w:r>
    </w:p>
    <w:p w:rsidR="008538B6" w:rsidRPr="00105002" w:rsidRDefault="008538B6" w:rsidP="008538B6">
      <w:pPr>
        <w:pStyle w:val="SingleTxt"/>
        <w:rPr>
          <w:rFonts w:ascii="SimHei" w:eastAsia="SimHei" w:hint="eastAsia"/>
        </w:rPr>
      </w:pPr>
      <w:r w:rsidRPr="00105002">
        <w:rPr>
          <w:rFonts w:ascii="SimHei" w:eastAsia="SimHei" w:hint="eastAsia"/>
        </w:rPr>
        <w:t>1980-2010年全国选举投票情况汇总</w:t>
      </w:r>
    </w:p>
    <w:tbl>
      <w:tblPr>
        <w:tblW w:w="0" w:type="auto"/>
        <w:tblInd w:w="1260" w:type="dxa"/>
        <w:tblLayout w:type="fixed"/>
        <w:tblCellMar>
          <w:left w:w="0" w:type="dxa"/>
          <w:right w:w="0" w:type="dxa"/>
        </w:tblCellMar>
        <w:tblLook w:val="0000"/>
      </w:tblPr>
      <w:tblGrid>
        <w:gridCol w:w="1554"/>
        <w:gridCol w:w="720"/>
        <w:gridCol w:w="720"/>
        <w:gridCol w:w="720"/>
        <w:gridCol w:w="720"/>
        <w:gridCol w:w="720"/>
        <w:gridCol w:w="720"/>
        <w:gridCol w:w="720"/>
        <w:gridCol w:w="720"/>
      </w:tblGrid>
      <w:tr w:rsidR="008538B6" w:rsidRPr="00105002" w:rsidTr="008538B6">
        <w:tblPrEx>
          <w:tblCellMar>
            <w:top w:w="0" w:type="dxa"/>
            <w:bottom w:w="0" w:type="dxa"/>
          </w:tblCellMar>
        </w:tblPrEx>
        <w:trPr>
          <w:tblHeader/>
        </w:trPr>
        <w:tc>
          <w:tcPr>
            <w:tcW w:w="1554" w:type="dxa"/>
            <w:tcBorders>
              <w:top w:val="single" w:sz="4" w:space="0" w:color="auto"/>
              <w:bottom w:val="single" w:sz="12" w:space="0" w:color="auto"/>
            </w:tcBorders>
            <w:shd w:val="clear" w:color="auto" w:fill="auto"/>
            <w:vAlign w:val="bottom"/>
          </w:tcPr>
          <w:p w:rsidR="008538B6" w:rsidRPr="00105002" w:rsidRDefault="008538B6" w:rsidP="008538B6">
            <w:pPr>
              <w:suppressAutoHyphens/>
              <w:autoSpaceDE w:val="0"/>
              <w:autoSpaceDN w:val="0"/>
              <w:adjustRightInd w:val="0"/>
              <w:spacing w:before="60" w:after="60" w:line="200" w:lineRule="exact"/>
              <w:ind w:right="57"/>
              <w:rPr>
                <w:rFonts w:ascii="KaiTi_GB2312" w:eastAsia="KaiTi_GB2312"/>
                <w:spacing w:val="-4"/>
                <w:sz w:val="15"/>
                <w:szCs w:val="18"/>
              </w:rPr>
            </w:pPr>
            <w:r w:rsidRPr="00105002">
              <w:rPr>
                <w:rFonts w:ascii="KaiTi_GB2312" w:eastAsia="KaiTi_GB2312" w:hAnsi="SimSun"/>
                <w:spacing w:val="-4"/>
                <w:sz w:val="15"/>
                <w:szCs w:val="18"/>
                <w:lang w:val="zh-CN"/>
              </w:rPr>
              <w:t>年度</w:t>
            </w:r>
          </w:p>
        </w:tc>
        <w:tc>
          <w:tcPr>
            <w:tcW w:w="720" w:type="dxa"/>
            <w:tcBorders>
              <w:top w:val="single" w:sz="4" w:space="0" w:color="auto"/>
              <w:bottom w:val="single" w:sz="12" w:space="0" w:color="auto"/>
            </w:tcBorders>
            <w:shd w:val="clear" w:color="auto" w:fill="auto"/>
            <w:vAlign w:val="bottom"/>
          </w:tcPr>
          <w:p w:rsidR="008538B6" w:rsidRPr="00105002" w:rsidRDefault="008538B6" w:rsidP="008538B6">
            <w:pPr>
              <w:suppressAutoHyphens/>
              <w:spacing w:before="60" w:after="60" w:line="200" w:lineRule="exact"/>
              <w:ind w:right="57"/>
              <w:jc w:val="right"/>
              <w:rPr>
                <w:rFonts w:ascii="KaiTi_GB2312" w:eastAsia="KaiTi_GB2312"/>
                <w:spacing w:val="-4"/>
                <w:sz w:val="15"/>
                <w:szCs w:val="18"/>
              </w:rPr>
            </w:pPr>
            <w:r w:rsidRPr="00105002">
              <w:rPr>
                <w:rFonts w:ascii="KaiTi_GB2312" w:eastAsia="KaiTi_GB2312"/>
                <w:bCs/>
                <w:spacing w:val="-4"/>
                <w:sz w:val="15"/>
                <w:szCs w:val="18"/>
              </w:rPr>
              <w:t>1980</w:t>
            </w:r>
          </w:p>
        </w:tc>
        <w:tc>
          <w:tcPr>
            <w:tcW w:w="720" w:type="dxa"/>
            <w:tcBorders>
              <w:top w:val="single" w:sz="4" w:space="0" w:color="auto"/>
              <w:bottom w:val="single" w:sz="12" w:space="0" w:color="auto"/>
            </w:tcBorders>
            <w:shd w:val="clear" w:color="auto" w:fill="auto"/>
            <w:vAlign w:val="bottom"/>
          </w:tcPr>
          <w:p w:rsidR="008538B6" w:rsidRPr="00105002" w:rsidRDefault="008538B6" w:rsidP="008538B6">
            <w:pPr>
              <w:suppressAutoHyphens/>
              <w:spacing w:before="60" w:after="60" w:line="200" w:lineRule="exact"/>
              <w:ind w:right="57"/>
              <w:jc w:val="right"/>
              <w:rPr>
                <w:rFonts w:ascii="KaiTi_GB2312" w:eastAsia="KaiTi_GB2312"/>
                <w:spacing w:val="-4"/>
                <w:sz w:val="15"/>
                <w:szCs w:val="18"/>
              </w:rPr>
            </w:pPr>
            <w:r w:rsidRPr="00105002">
              <w:rPr>
                <w:rFonts w:ascii="KaiTi_GB2312" w:eastAsia="KaiTi_GB2312"/>
                <w:bCs/>
                <w:spacing w:val="-4"/>
                <w:sz w:val="15"/>
                <w:szCs w:val="18"/>
              </w:rPr>
              <w:t>1984</w:t>
            </w:r>
          </w:p>
        </w:tc>
        <w:tc>
          <w:tcPr>
            <w:tcW w:w="720" w:type="dxa"/>
            <w:tcBorders>
              <w:top w:val="single" w:sz="4" w:space="0" w:color="auto"/>
              <w:bottom w:val="single" w:sz="12" w:space="0" w:color="auto"/>
            </w:tcBorders>
            <w:shd w:val="clear" w:color="auto" w:fill="auto"/>
            <w:vAlign w:val="bottom"/>
          </w:tcPr>
          <w:p w:rsidR="008538B6" w:rsidRPr="00105002" w:rsidRDefault="008538B6" w:rsidP="008538B6">
            <w:pPr>
              <w:suppressAutoHyphens/>
              <w:spacing w:before="60" w:after="60" w:line="200" w:lineRule="exact"/>
              <w:ind w:right="57"/>
              <w:jc w:val="right"/>
              <w:rPr>
                <w:rFonts w:ascii="KaiTi_GB2312" w:eastAsia="KaiTi_GB2312"/>
                <w:spacing w:val="-4"/>
                <w:sz w:val="15"/>
                <w:szCs w:val="18"/>
              </w:rPr>
            </w:pPr>
            <w:r w:rsidRPr="00105002">
              <w:rPr>
                <w:rFonts w:ascii="KaiTi_GB2312" w:eastAsia="KaiTi_GB2312"/>
                <w:bCs/>
                <w:spacing w:val="-4"/>
                <w:sz w:val="15"/>
                <w:szCs w:val="18"/>
              </w:rPr>
              <w:t>1989</w:t>
            </w:r>
          </w:p>
        </w:tc>
        <w:tc>
          <w:tcPr>
            <w:tcW w:w="720" w:type="dxa"/>
            <w:tcBorders>
              <w:top w:val="single" w:sz="4" w:space="0" w:color="auto"/>
              <w:bottom w:val="single" w:sz="12" w:space="0" w:color="auto"/>
            </w:tcBorders>
            <w:shd w:val="clear" w:color="auto" w:fill="auto"/>
            <w:vAlign w:val="bottom"/>
          </w:tcPr>
          <w:p w:rsidR="008538B6" w:rsidRPr="00105002" w:rsidRDefault="008538B6" w:rsidP="008538B6">
            <w:pPr>
              <w:suppressAutoHyphens/>
              <w:spacing w:before="60" w:after="60" w:line="200" w:lineRule="exact"/>
              <w:ind w:right="57"/>
              <w:jc w:val="right"/>
              <w:rPr>
                <w:rFonts w:ascii="KaiTi_GB2312" w:eastAsia="KaiTi_GB2312"/>
                <w:spacing w:val="-4"/>
                <w:sz w:val="15"/>
                <w:szCs w:val="18"/>
              </w:rPr>
            </w:pPr>
            <w:r w:rsidRPr="00105002">
              <w:rPr>
                <w:rFonts w:ascii="KaiTi_GB2312" w:eastAsia="KaiTi_GB2312"/>
                <w:bCs/>
                <w:spacing w:val="-4"/>
                <w:sz w:val="15"/>
                <w:szCs w:val="18"/>
              </w:rPr>
              <w:t>1993</w:t>
            </w:r>
          </w:p>
        </w:tc>
        <w:tc>
          <w:tcPr>
            <w:tcW w:w="720" w:type="dxa"/>
            <w:tcBorders>
              <w:top w:val="single" w:sz="4" w:space="0" w:color="auto"/>
              <w:bottom w:val="single" w:sz="12" w:space="0" w:color="auto"/>
            </w:tcBorders>
            <w:shd w:val="clear" w:color="auto" w:fill="auto"/>
            <w:vAlign w:val="bottom"/>
          </w:tcPr>
          <w:p w:rsidR="008538B6" w:rsidRPr="00105002" w:rsidRDefault="008538B6" w:rsidP="008538B6">
            <w:pPr>
              <w:suppressAutoHyphens/>
              <w:spacing w:before="60" w:after="60" w:line="200" w:lineRule="exact"/>
              <w:ind w:right="57"/>
              <w:jc w:val="right"/>
              <w:rPr>
                <w:rFonts w:ascii="KaiTi_GB2312" w:eastAsia="KaiTi_GB2312"/>
                <w:spacing w:val="-4"/>
                <w:sz w:val="15"/>
                <w:szCs w:val="18"/>
              </w:rPr>
            </w:pPr>
            <w:r w:rsidRPr="00105002">
              <w:rPr>
                <w:rFonts w:ascii="KaiTi_GB2312" w:eastAsia="KaiTi_GB2312"/>
                <w:bCs/>
                <w:spacing w:val="-4"/>
                <w:sz w:val="15"/>
                <w:szCs w:val="18"/>
              </w:rPr>
              <w:t>1997</w:t>
            </w:r>
          </w:p>
        </w:tc>
        <w:tc>
          <w:tcPr>
            <w:tcW w:w="720" w:type="dxa"/>
            <w:tcBorders>
              <w:top w:val="single" w:sz="4" w:space="0" w:color="auto"/>
              <w:bottom w:val="single" w:sz="12" w:space="0" w:color="auto"/>
            </w:tcBorders>
            <w:shd w:val="clear" w:color="auto" w:fill="auto"/>
            <w:vAlign w:val="bottom"/>
          </w:tcPr>
          <w:p w:rsidR="008538B6" w:rsidRPr="00105002" w:rsidRDefault="008538B6" w:rsidP="008538B6">
            <w:pPr>
              <w:suppressAutoHyphens/>
              <w:spacing w:before="60" w:after="60" w:line="200" w:lineRule="exact"/>
              <w:ind w:right="57"/>
              <w:jc w:val="right"/>
              <w:rPr>
                <w:rFonts w:ascii="KaiTi_GB2312" w:eastAsia="KaiTi_GB2312"/>
                <w:spacing w:val="-4"/>
                <w:sz w:val="15"/>
                <w:szCs w:val="18"/>
              </w:rPr>
            </w:pPr>
            <w:r w:rsidRPr="00105002">
              <w:rPr>
                <w:rFonts w:ascii="KaiTi_GB2312" w:eastAsia="KaiTi_GB2312"/>
                <w:bCs/>
                <w:spacing w:val="-4"/>
                <w:sz w:val="15"/>
                <w:szCs w:val="18"/>
              </w:rPr>
              <w:t>2001</w:t>
            </w:r>
          </w:p>
        </w:tc>
        <w:tc>
          <w:tcPr>
            <w:tcW w:w="720" w:type="dxa"/>
            <w:tcBorders>
              <w:top w:val="single" w:sz="4" w:space="0" w:color="auto"/>
              <w:bottom w:val="single" w:sz="12" w:space="0" w:color="auto"/>
            </w:tcBorders>
            <w:shd w:val="clear" w:color="auto" w:fill="auto"/>
            <w:vAlign w:val="bottom"/>
          </w:tcPr>
          <w:p w:rsidR="008538B6" w:rsidRPr="00105002" w:rsidRDefault="008538B6" w:rsidP="008538B6">
            <w:pPr>
              <w:suppressAutoHyphens/>
              <w:spacing w:before="60" w:after="60" w:line="200" w:lineRule="exact"/>
              <w:ind w:right="57"/>
              <w:jc w:val="right"/>
              <w:rPr>
                <w:rFonts w:ascii="KaiTi_GB2312" w:eastAsia="KaiTi_GB2312"/>
                <w:spacing w:val="-4"/>
                <w:sz w:val="15"/>
                <w:szCs w:val="18"/>
              </w:rPr>
            </w:pPr>
            <w:r w:rsidRPr="00105002">
              <w:rPr>
                <w:rFonts w:ascii="KaiTi_GB2312" w:eastAsia="KaiTi_GB2312"/>
                <w:bCs/>
                <w:spacing w:val="-4"/>
                <w:sz w:val="15"/>
                <w:szCs w:val="18"/>
              </w:rPr>
              <w:t>2006</w:t>
            </w:r>
          </w:p>
        </w:tc>
        <w:tc>
          <w:tcPr>
            <w:tcW w:w="720" w:type="dxa"/>
            <w:tcBorders>
              <w:top w:val="single" w:sz="4" w:space="0" w:color="auto"/>
              <w:bottom w:val="single" w:sz="12" w:space="0" w:color="auto"/>
            </w:tcBorders>
            <w:shd w:val="clear" w:color="auto" w:fill="auto"/>
            <w:vAlign w:val="bottom"/>
          </w:tcPr>
          <w:p w:rsidR="008538B6" w:rsidRPr="00105002" w:rsidRDefault="008538B6" w:rsidP="008538B6">
            <w:pPr>
              <w:suppressAutoHyphens/>
              <w:spacing w:before="60" w:after="60" w:line="200" w:lineRule="exact"/>
              <w:ind w:right="57"/>
              <w:jc w:val="right"/>
              <w:rPr>
                <w:rFonts w:ascii="KaiTi_GB2312" w:eastAsia="KaiTi_GB2312"/>
                <w:spacing w:val="-4"/>
                <w:sz w:val="15"/>
                <w:szCs w:val="18"/>
              </w:rPr>
            </w:pPr>
            <w:r w:rsidRPr="00105002">
              <w:rPr>
                <w:rFonts w:ascii="KaiTi_GB2312" w:eastAsia="KaiTi_GB2312"/>
                <w:bCs/>
                <w:spacing w:val="-4"/>
                <w:sz w:val="15"/>
                <w:szCs w:val="18"/>
              </w:rPr>
              <w:t>20</w:t>
            </w:r>
            <w:r w:rsidRPr="00105002">
              <w:rPr>
                <w:rFonts w:ascii="KaiTi_GB2312" w:eastAsia="KaiTi_GB2312" w:hint="eastAsia"/>
                <w:bCs/>
                <w:spacing w:val="-4"/>
                <w:sz w:val="15"/>
                <w:szCs w:val="18"/>
              </w:rPr>
              <w:t>1</w:t>
            </w:r>
            <w:r w:rsidRPr="00105002">
              <w:rPr>
                <w:rFonts w:ascii="KaiTi_GB2312" w:eastAsia="KaiTi_GB2312"/>
                <w:bCs/>
                <w:spacing w:val="-4"/>
                <w:sz w:val="15"/>
                <w:szCs w:val="18"/>
              </w:rPr>
              <w:t>0</w:t>
            </w:r>
          </w:p>
        </w:tc>
      </w:tr>
      <w:tr w:rsidR="008538B6" w:rsidRPr="00105002" w:rsidTr="008538B6">
        <w:tblPrEx>
          <w:tblCellMar>
            <w:top w:w="0" w:type="dxa"/>
            <w:bottom w:w="0" w:type="dxa"/>
          </w:tblCellMar>
        </w:tblPrEx>
        <w:trPr>
          <w:trHeight w:hRule="exact" w:val="115"/>
          <w:tblHeader/>
        </w:trPr>
        <w:tc>
          <w:tcPr>
            <w:tcW w:w="1554" w:type="dxa"/>
            <w:tcBorders>
              <w:top w:val="single" w:sz="12" w:space="0" w:color="auto"/>
            </w:tcBorders>
            <w:shd w:val="clear" w:color="auto" w:fill="auto"/>
            <w:vAlign w:val="bottom"/>
          </w:tcPr>
          <w:p w:rsidR="008538B6" w:rsidRPr="00105002" w:rsidRDefault="008538B6" w:rsidP="008538B6">
            <w:pPr>
              <w:suppressAutoHyphens/>
              <w:autoSpaceDE w:val="0"/>
              <w:autoSpaceDN w:val="0"/>
              <w:adjustRightInd w:val="0"/>
              <w:spacing w:after="60" w:line="280" w:lineRule="exact"/>
              <w:ind w:left="360" w:right="57"/>
              <w:rPr>
                <w:rFonts w:hAnsi="SimSun"/>
                <w:spacing w:val="-4"/>
                <w:sz w:val="17"/>
                <w:szCs w:val="18"/>
                <w:lang w:val="zh-CN"/>
              </w:rPr>
            </w:pPr>
          </w:p>
        </w:tc>
        <w:tc>
          <w:tcPr>
            <w:tcW w:w="720" w:type="dxa"/>
            <w:tcBorders>
              <w:top w:val="single" w:sz="12" w:space="0" w:color="auto"/>
            </w:tcBorders>
            <w:shd w:val="clear" w:color="auto" w:fill="auto"/>
            <w:vAlign w:val="bottom"/>
          </w:tcPr>
          <w:p w:rsidR="008538B6" w:rsidRPr="00105002" w:rsidRDefault="008538B6" w:rsidP="008538B6">
            <w:pPr>
              <w:suppressAutoHyphens/>
              <w:spacing w:after="60" w:line="280" w:lineRule="exact"/>
              <w:ind w:right="57"/>
              <w:jc w:val="right"/>
              <w:rPr>
                <w:spacing w:val="-4"/>
                <w:sz w:val="17"/>
                <w:szCs w:val="18"/>
              </w:rPr>
            </w:pPr>
          </w:p>
        </w:tc>
        <w:tc>
          <w:tcPr>
            <w:tcW w:w="720" w:type="dxa"/>
            <w:tcBorders>
              <w:top w:val="single" w:sz="12" w:space="0" w:color="auto"/>
            </w:tcBorders>
            <w:shd w:val="clear" w:color="auto" w:fill="auto"/>
            <w:vAlign w:val="bottom"/>
          </w:tcPr>
          <w:p w:rsidR="008538B6" w:rsidRPr="00105002" w:rsidRDefault="008538B6" w:rsidP="008538B6">
            <w:pPr>
              <w:suppressAutoHyphens/>
              <w:spacing w:after="60" w:line="280" w:lineRule="exact"/>
              <w:ind w:right="57"/>
              <w:jc w:val="right"/>
              <w:rPr>
                <w:spacing w:val="-4"/>
                <w:sz w:val="17"/>
                <w:szCs w:val="18"/>
              </w:rPr>
            </w:pPr>
          </w:p>
        </w:tc>
        <w:tc>
          <w:tcPr>
            <w:tcW w:w="720" w:type="dxa"/>
            <w:tcBorders>
              <w:top w:val="single" w:sz="12" w:space="0" w:color="auto"/>
            </w:tcBorders>
            <w:shd w:val="clear" w:color="auto" w:fill="auto"/>
            <w:vAlign w:val="bottom"/>
          </w:tcPr>
          <w:p w:rsidR="008538B6" w:rsidRPr="00105002" w:rsidRDefault="008538B6" w:rsidP="008538B6">
            <w:pPr>
              <w:suppressAutoHyphens/>
              <w:spacing w:after="60" w:line="280" w:lineRule="exact"/>
              <w:ind w:right="57"/>
              <w:jc w:val="right"/>
              <w:rPr>
                <w:spacing w:val="-4"/>
                <w:sz w:val="17"/>
                <w:szCs w:val="18"/>
              </w:rPr>
            </w:pPr>
          </w:p>
        </w:tc>
        <w:tc>
          <w:tcPr>
            <w:tcW w:w="720" w:type="dxa"/>
            <w:tcBorders>
              <w:top w:val="single" w:sz="12" w:space="0" w:color="auto"/>
            </w:tcBorders>
            <w:shd w:val="clear" w:color="auto" w:fill="auto"/>
            <w:vAlign w:val="bottom"/>
          </w:tcPr>
          <w:p w:rsidR="008538B6" w:rsidRPr="00105002" w:rsidRDefault="008538B6" w:rsidP="008538B6">
            <w:pPr>
              <w:suppressAutoHyphens/>
              <w:spacing w:after="60" w:line="280" w:lineRule="exact"/>
              <w:ind w:right="57"/>
              <w:jc w:val="right"/>
              <w:rPr>
                <w:spacing w:val="-4"/>
                <w:sz w:val="17"/>
                <w:szCs w:val="18"/>
              </w:rPr>
            </w:pPr>
          </w:p>
        </w:tc>
        <w:tc>
          <w:tcPr>
            <w:tcW w:w="720" w:type="dxa"/>
            <w:tcBorders>
              <w:top w:val="single" w:sz="12" w:space="0" w:color="auto"/>
            </w:tcBorders>
            <w:shd w:val="clear" w:color="auto" w:fill="auto"/>
            <w:vAlign w:val="bottom"/>
          </w:tcPr>
          <w:p w:rsidR="008538B6" w:rsidRPr="00105002" w:rsidRDefault="008538B6" w:rsidP="008538B6">
            <w:pPr>
              <w:suppressAutoHyphens/>
              <w:spacing w:after="60" w:line="280" w:lineRule="exact"/>
              <w:ind w:right="57"/>
              <w:jc w:val="right"/>
              <w:rPr>
                <w:spacing w:val="-4"/>
                <w:sz w:val="17"/>
                <w:szCs w:val="18"/>
              </w:rPr>
            </w:pPr>
          </w:p>
        </w:tc>
        <w:tc>
          <w:tcPr>
            <w:tcW w:w="720" w:type="dxa"/>
            <w:tcBorders>
              <w:top w:val="single" w:sz="12" w:space="0" w:color="auto"/>
            </w:tcBorders>
            <w:shd w:val="clear" w:color="auto" w:fill="auto"/>
            <w:vAlign w:val="bottom"/>
          </w:tcPr>
          <w:p w:rsidR="008538B6" w:rsidRPr="00105002" w:rsidRDefault="008538B6" w:rsidP="008538B6">
            <w:pPr>
              <w:suppressAutoHyphens/>
              <w:spacing w:after="60" w:line="280" w:lineRule="exact"/>
              <w:ind w:right="57"/>
              <w:jc w:val="right"/>
              <w:rPr>
                <w:spacing w:val="-4"/>
                <w:sz w:val="17"/>
                <w:szCs w:val="18"/>
              </w:rPr>
            </w:pPr>
          </w:p>
        </w:tc>
        <w:tc>
          <w:tcPr>
            <w:tcW w:w="720" w:type="dxa"/>
            <w:tcBorders>
              <w:top w:val="single" w:sz="12" w:space="0" w:color="auto"/>
            </w:tcBorders>
            <w:shd w:val="clear" w:color="auto" w:fill="auto"/>
            <w:vAlign w:val="bottom"/>
          </w:tcPr>
          <w:p w:rsidR="008538B6" w:rsidRPr="00105002" w:rsidRDefault="008538B6" w:rsidP="008538B6">
            <w:pPr>
              <w:suppressAutoHyphens/>
              <w:spacing w:after="60" w:line="280" w:lineRule="exact"/>
              <w:ind w:right="57"/>
              <w:jc w:val="right"/>
              <w:rPr>
                <w:spacing w:val="-4"/>
                <w:sz w:val="17"/>
                <w:szCs w:val="18"/>
              </w:rPr>
            </w:pPr>
          </w:p>
        </w:tc>
        <w:tc>
          <w:tcPr>
            <w:tcW w:w="720" w:type="dxa"/>
            <w:tcBorders>
              <w:top w:val="single" w:sz="12" w:space="0" w:color="auto"/>
            </w:tcBorders>
            <w:shd w:val="clear" w:color="auto" w:fill="auto"/>
            <w:vAlign w:val="bottom"/>
          </w:tcPr>
          <w:p w:rsidR="008538B6" w:rsidRPr="00105002" w:rsidRDefault="008538B6" w:rsidP="008538B6">
            <w:pPr>
              <w:suppressAutoHyphens/>
              <w:spacing w:after="60" w:line="280" w:lineRule="exact"/>
              <w:ind w:right="57"/>
              <w:jc w:val="right"/>
              <w:rPr>
                <w:spacing w:val="-4"/>
                <w:sz w:val="17"/>
                <w:szCs w:val="18"/>
              </w:rPr>
            </w:pPr>
          </w:p>
        </w:tc>
      </w:tr>
      <w:tr w:rsidR="008538B6" w:rsidRPr="00105002" w:rsidTr="008538B6">
        <w:tblPrEx>
          <w:tblCellMar>
            <w:top w:w="0" w:type="dxa"/>
            <w:bottom w:w="0" w:type="dxa"/>
          </w:tblCellMar>
        </w:tblPrEx>
        <w:tc>
          <w:tcPr>
            <w:tcW w:w="1554"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rPr>
                <w:spacing w:val="-4"/>
                <w:sz w:val="17"/>
                <w:szCs w:val="18"/>
              </w:rPr>
            </w:pPr>
            <w:r w:rsidRPr="00105002">
              <w:rPr>
                <w:rFonts w:hAnsi="SimSun"/>
                <w:spacing w:val="-4"/>
                <w:sz w:val="17"/>
                <w:szCs w:val="18"/>
                <w:lang w:val="zh-CN"/>
              </w:rPr>
              <w:t>女候选人</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1</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2</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1</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10</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14</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14</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26</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25</w:t>
            </w:r>
          </w:p>
        </w:tc>
      </w:tr>
      <w:tr w:rsidR="008538B6" w:rsidRPr="00105002" w:rsidTr="008538B6">
        <w:tblPrEx>
          <w:tblCellMar>
            <w:top w:w="0" w:type="dxa"/>
            <w:bottom w:w="0" w:type="dxa"/>
          </w:tblCellMar>
        </w:tblPrEx>
        <w:tc>
          <w:tcPr>
            <w:tcW w:w="1554"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rPr>
                <w:spacing w:val="-4"/>
                <w:sz w:val="17"/>
                <w:szCs w:val="18"/>
              </w:rPr>
            </w:pPr>
            <w:r w:rsidRPr="00105002">
              <w:rPr>
                <w:rFonts w:hAnsi="SimSun"/>
                <w:spacing w:val="-4"/>
                <w:sz w:val="17"/>
                <w:szCs w:val="18"/>
                <w:lang w:val="zh-CN"/>
              </w:rPr>
              <w:t>候选人总数</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218</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207</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255</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280</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336</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339</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453</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509</w:t>
            </w:r>
          </w:p>
        </w:tc>
      </w:tr>
      <w:tr w:rsidR="008538B6" w:rsidRPr="00105002" w:rsidTr="008538B6">
        <w:tblPrEx>
          <w:tblCellMar>
            <w:top w:w="0" w:type="dxa"/>
            <w:bottom w:w="0" w:type="dxa"/>
          </w:tblCellMar>
        </w:tblPrEx>
        <w:tc>
          <w:tcPr>
            <w:tcW w:w="1554"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rPr>
                <w:spacing w:val="-4"/>
                <w:sz w:val="17"/>
                <w:szCs w:val="18"/>
              </w:rPr>
            </w:pPr>
            <w:r w:rsidRPr="00105002">
              <w:rPr>
                <w:rFonts w:hAnsi="SimSun"/>
                <w:spacing w:val="-4"/>
                <w:sz w:val="17"/>
                <w:szCs w:val="18"/>
                <w:lang w:val="zh-CN"/>
              </w:rPr>
              <w:t>女候选人得票占比</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0.1%</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0.9%</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1.0%</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3.0%</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3.2%</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2.6%</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3.7%</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2.7%</w:t>
            </w:r>
          </w:p>
        </w:tc>
      </w:tr>
      <w:tr w:rsidR="008538B6" w:rsidRPr="00105002" w:rsidTr="008538B6">
        <w:tblPrEx>
          <w:tblCellMar>
            <w:top w:w="0" w:type="dxa"/>
            <w:bottom w:w="0" w:type="dxa"/>
          </w:tblCellMar>
        </w:tblPrEx>
        <w:tc>
          <w:tcPr>
            <w:tcW w:w="1554"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rPr>
                <w:spacing w:val="-4"/>
                <w:sz w:val="17"/>
                <w:szCs w:val="18"/>
              </w:rPr>
            </w:pPr>
            <w:r w:rsidRPr="00105002">
              <w:rPr>
                <w:rFonts w:hAnsi="SimSun"/>
                <w:spacing w:val="-4"/>
                <w:sz w:val="17"/>
                <w:szCs w:val="18"/>
                <w:lang w:val="zh-CN"/>
              </w:rPr>
              <w:t>女候选人</w:t>
            </w:r>
            <w:r w:rsidRPr="00105002">
              <w:rPr>
                <w:rFonts w:hAnsi="SimSun" w:hint="eastAsia"/>
                <w:spacing w:val="-4"/>
                <w:sz w:val="17"/>
                <w:szCs w:val="18"/>
                <w:lang w:val="zh-CN"/>
              </w:rPr>
              <w:t>得</w:t>
            </w:r>
            <w:r w:rsidRPr="00105002">
              <w:rPr>
                <w:rFonts w:hAnsi="SimSun"/>
                <w:spacing w:val="-4"/>
                <w:sz w:val="17"/>
                <w:szCs w:val="18"/>
                <w:lang w:val="zh-CN"/>
              </w:rPr>
              <w:t>票数</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68</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601</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777</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3,183</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4,552</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4,824</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7,244</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6,270</w:t>
            </w:r>
          </w:p>
        </w:tc>
      </w:tr>
      <w:tr w:rsidR="008538B6" w:rsidRPr="00105002" w:rsidTr="008538B6">
        <w:tblPrEx>
          <w:tblCellMar>
            <w:top w:w="0" w:type="dxa"/>
            <w:bottom w:w="0" w:type="dxa"/>
          </w:tblCellMar>
        </w:tblPrEx>
        <w:tc>
          <w:tcPr>
            <w:tcW w:w="1554"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rPr>
                <w:spacing w:val="-4"/>
                <w:sz w:val="17"/>
                <w:szCs w:val="18"/>
              </w:rPr>
            </w:pPr>
            <w:r w:rsidRPr="00105002">
              <w:rPr>
                <w:rFonts w:hAnsi="SimSun" w:hint="eastAsia"/>
                <w:spacing w:val="-4"/>
                <w:sz w:val="17"/>
                <w:szCs w:val="18"/>
                <w:lang w:val="zh-CN"/>
              </w:rPr>
              <w:t>选</w:t>
            </w:r>
            <w:r w:rsidRPr="00105002">
              <w:rPr>
                <w:rFonts w:hAnsi="SimSun"/>
                <w:spacing w:val="-4"/>
                <w:sz w:val="17"/>
                <w:szCs w:val="18"/>
                <w:lang w:val="zh-CN"/>
              </w:rPr>
              <w:t>票数总计</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57</w:t>
            </w:r>
            <w:r w:rsidRPr="00105002">
              <w:rPr>
                <w:rFonts w:hint="eastAsia"/>
                <w:spacing w:val="-4"/>
                <w:sz w:val="17"/>
                <w:szCs w:val="18"/>
              </w:rPr>
              <w:t xml:space="preserve"> </w:t>
            </w:r>
            <w:r w:rsidRPr="00105002">
              <w:rPr>
                <w:spacing w:val="-4"/>
                <w:sz w:val="17"/>
                <w:szCs w:val="18"/>
              </w:rPr>
              <w:t>874</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67</w:t>
            </w:r>
            <w:r w:rsidRPr="00105002">
              <w:rPr>
                <w:rFonts w:hint="eastAsia"/>
                <w:spacing w:val="-4"/>
                <w:sz w:val="17"/>
                <w:szCs w:val="18"/>
              </w:rPr>
              <w:t xml:space="preserve"> </w:t>
            </w:r>
            <w:r w:rsidRPr="00105002">
              <w:rPr>
                <w:spacing w:val="-4"/>
                <w:sz w:val="17"/>
                <w:szCs w:val="18"/>
              </w:rPr>
              <w:t>285</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81</w:t>
            </w:r>
            <w:r w:rsidRPr="00105002">
              <w:rPr>
                <w:rFonts w:hint="eastAsia"/>
                <w:spacing w:val="-4"/>
                <w:sz w:val="17"/>
                <w:szCs w:val="18"/>
              </w:rPr>
              <w:t xml:space="preserve"> </w:t>
            </w:r>
            <w:r w:rsidRPr="00105002">
              <w:rPr>
                <w:spacing w:val="-4"/>
                <w:sz w:val="17"/>
                <w:szCs w:val="18"/>
              </w:rPr>
              <w:t>238</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104</w:t>
            </w:r>
            <w:r w:rsidRPr="00105002">
              <w:rPr>
                <w:rFonts w:hint="eastAsia"/>
                <w:spacing w:val="-4"/>
                <w:sz w:val="17"/>
                <w:szCs w:val="18"/>
              </w:rPr>
              <w:t xml:space="preserve"> </w:t>
            </w:r>
            <w:r w:rsidRPr="00105002">
              <w:rPr>
                <w:spacing w:val="-4"/>
                <w:sz w:val="17"/>
                <w:szCs w:val="18"/>
              </w:rPr>
              <w:t>954</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140</w:t>
            </w:r>
            <w:r w:rsidRPr="00105002">
              <w:rPr>
                <w:rFonts w:hint="eastAsia"/>
                <w:spacing w:val="-4"/>
                <w:sz w:val="17"/>
                <w:szCs w:val="18"/>
              </w:rPr>
              <w:t xml:space="preserve"> </w:t>
            </w:r>
            <w:r w:rsidRPr="00105002">
              <w:rPr>
                <w:spacing w:val="-4"/>
                <w:sz w:val="17"/>
                <w:szCs w:val="18"/>
              </w:rPr>
              <w:t>425</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184</w:t>
            </w:r>
            <w:r w:rsidRPr="00105002">
              <w:rPr>
                <w:rFonts w:hint="eastAsia"/>
                <w:spacing w:val="-4"/>
                <w:sz w:val="17"/>
                <w:szCs w:val="18"/>
              </w:rPr>
              <w:t xml:space="preserve"> </w:t>
            </w:r>
            <w:r w:rsidRPr="00105002">
              <w:rPr>
                <w:spacing w:val="-4"/>
                <w:sz w:val="17"/>
                <w:szCs w:val="18"/>
              </w:rPr>
              <w:t>315</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193</w:t>
            </w:r>
            <w:r w:rsidRPr="00105002">
              <w:rPr>
                <w:rFonts w:hint="eastAsia"/>
                <w:spacing w:val="-4"/>
                <w:sz w:val="17"/>
                <w:szCs w:val="18"/>
              </w:rPr>
              <w:t xml:space="preserve"> </w:t>
            </w:r>
            <w:r w:rsidRPr="00105002">
              <w:rPr>
                <w:spacing w:val="-4"/>
                <w:sz w:val="17"/>
                <w:szCs w:val="18"/>
              </w:rPr>
              <w:t>495</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230 936</w:t>
            </w:r>
            <w:r w:rsidRPr="00AB2F36">
              <w:rPr>
                <w:spacing w:val="-4"/>
                <w:sz w:val="17"/>
                <w:szCs w:val="18"/>
                <w:vertAlign w:val="superscript"/>
              </w:rPr>
              <w:t>*</w:t>
            </w:r>
          </w:p>
        </w:tc>
      </w:tr>
      <w:tr w:rsidR="008538B6" w:rsidRPr="00105002" w:rsidTr="008538B6">
        <w:tblPrEx>
          <w:tblCellMar>
            <w:top w:w="0" w:type="dxa"/>
            <w:bottom w:w="0" w:type="dxa"/>
          </w:tblCellMar>
        </w:tblPrEx>
        <w:tc>
          <w:tcPr>
            <w:tcW w:w="1554"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rPr>
                <w:rFonts w:hint="eastAsia"/>
                <w:spacing w:val="-4"/>
                <w:sz w:val="17"/>
                <w:szCs w:val="18"/>
              </w:rPr>
            </w:pPr>
            <w:r w:rsidRPr="00105002">
              <w:rPr>
                <w:rFonts w:hAnsi="SimSun"/>
                <w:spacing w:val="-4"/>
                <w:sz w:val="17"/>
                <w:szCs w:val="18"/>
                <w:lang w:val="zh-CN"/>
              </w:rPr>
              <w:t>投票总</w:t>
            </w:r>
            <w:r w:rsidRPr="00105002">
              <w:rPr>
                <w:rFonts w:hAnsi="SimSun" w:hint="eastAsia"/>
                <w:spacing w:val="-4"/>
                <w:sz w:val="17"/>
                <w:szCs w:val="18"/>
                <w:lang w:val="zh-CN"/>
              </w:rPr>
              <w:t>人</w:t>
            </w:r>
            <w:r w:rsidRPr="00105002">
              <w:rPr>
                <w:rFonts w:hAnsi="SimSun"/>
                <w:spacing w:val="-4"/>
                <w:sz w:val="17"/>
                <w:szCs w:val="18"/>
                <w:lang w:val="zh-CN"/>
              </w:rPr>
              <w:t>数</w:t>
            </w:r>
            <w:r w:rsidRPr="00105002">
              <w:rPr>
                <w:rFonts w:hAnsi="SimSun" w:hint="eastAsia"/>
                <w:spacing w:val="-4"/>
                <w:sz w:val="17"/>
                <w:szCs w:val="18"/>
                <w:lang w:val="zh-CN"/>
              </w:rPr>
              <w:t>增长</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16%</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21%</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29%</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34%</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31%</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5%</w:t>
            </w:r>
          </w:p>
        </w:tc>
        <w:tc>
          <w:tcPr>
            <w:tcW w:w="720"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19%</w:t>
            </w:r>
          </w:p>
        </w:tc>
      </w:tr>
      <w:tr w:rsidR="008538B6" w:rsidRPr="00105002" w:rsidTr="008538B6">
        <w:tblPrEx>
          <w:tblCellMar>
            <w:top w:w="0" w:type="dxa"/>
            <w:bottom w:w="0" w:type="dxa"/>
          </w:tblCellMar>
        </w:tblPrEx>
        <w:tc>
          <w:tcPr>
            <w:tcW w:w="1554" w:type="dxa"/>
            <w:tcBorders>
              <w:bottom w:val="single" w:sz="12" w:space="0" w:color="auto"/>
            </w:tcBorders>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rPr>
                <w:rFonts w:hint="eastAsia"/>
                <w:spacing w:val="-4"/>
                <w:sz w:val="17"/>
                <w:szCs w:val="18"/>
              </w:rPr>
            </w:pPr>
            <w:r w:rsidRPr="00105002">
              <w:rPr>
                <w:rFonts w:hAnsi="SimSun"/>
                <w:spacing w:val="-4"/>
                <w:sz w:val="17"/>
                <w:szCs w:val="18"/>
                <w:lang w:val="zh-CN"/>
              </w:rPr>
              <w:t>妇女得票数</w:t>
            </w:r>
            <w:r w:rsidRPr="00105002">
              <w:rPr>
                <w:rFonts w:hAnsi="SimSun" w:hint="eastAsia"/>
                <w:spacing w:val="-4"/>
                <w:sz w:val="17"/>
                <w:szCs w:val="18"/>
                <w:lang w:val="zh-CN"/>
              </w:rPr>
              <w:t>增长</w:t>
            </w:r>
          </w:p>
        </w:tc>
        <w:tc>
          <w:tcPr>
            <w:tcW w:w="720" w:type="dxa"/>
            <w:tcBorders>
              <w:bottom w:val="single" w:sz="12" w:space="0" w:color="auto"/>
            </w:tcBorders>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p>
        </w:tc>
        <w:tc>
          <w:tcPr>
            <w:tcW w:w="720" w:type="dxa"/>
            <w:tcBorders>
              <w:bottom w:val="single" w:sz="12" w:space="0" w:color="auto"/>
            </w:tcBorders>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784%</w:t>
            </w:r>
          </w:p>
        </w:tc>
        <w:tc>
          <w:tcPr>
            <w:tcW w:w="720" w:type="dxa"/>
            <w:tcBorders>
              <w:bottom w:val="single" w:sz="12" w:space="0" w:color="auto"/>
            </w:tcBorders>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29%</w:t>
            </w:r>
          </w:p>
        </w:tc>
        <w:tc>
          <w:tcPr>
            <w:tcW w:w="720" w:type="dxa"/>
            <w:tcBorders>
              <w:bottom w:val="single" w:sz="12" w:space="0" w:color="auto"/>
            </w:tcBorders>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310%</w:t>
            </w:r>
          </w:p>
        </w:tc>
        <w:tc>
          <w:tcPr>
            <w:tcW w:w="720" w:type="dxa"/>
            <w:tcBorders>
              <w:bottom w:val="single" w:sz="12" w:space="0" w:color="auto"/>
            </w:tcBorders>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43%</w:t>
            </w:r>
          </w:p>
        </w:tc>
        <w:tc>
          <w:tcPr>
            <w:tcW w:w="720" w:type="dxa"/>
            <w:tcBorders>
              <w:bottom w:val="single" w:sz="12" w:space="0" w:color="auto"/>
            </w:tcBorders>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6%</w:t>
            </w:r>
          </w:p>
        </w:tc>
        <w:tc>
          <w:tcPr>
            <w:tcW w:w="720" w:type="dxa"/>
            <w:tcBorders>
              <w:bottom w:val="single" w:sz="12" w:space="0" w:color="auto"/>
            </w:tcBorders>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50%</w:t>
            </w:r>
          </w:p>
        </w:tc>
        <w:tc>
          <w:tcPr>
            <w:tcW w:w="720" w:type="dxa"/>
            <w:tcBorders>
              <w:bottom w:val="single" w:sz="12" w:space="0" w:color="auto"/>
            </w:tcBorders>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spacing w:val="-4"/>
                <w:sz w:val="17"/>
                <w:szCs w:val="18"/>
              </w:rPr>
            </w:pPr>
            <w:r w:rsidRPr="00105002">
              <w:rPr>
                <w:spacing w:val="-4"/>
                <w:sz w:val="17"/>
                <w:szCs w:val="18"/>
              </w:rPr>
              <w:t>-13%</w:t>
            </w:r>
          </w:p>
        </w:tc>
      </w:tr>
    </w:tbl>
    <w:p w:rsidR="008538B6" w:rsidRPr="00105002" w:rsidRDefault="008538B6" w:rsidP="008538B6">
      <w:pPr>
        <w:pStyle w:val="SingleTxt"/>
        <w:spacing w:after="0" w:line="120" w:lineRule="exact"/>
        <w:rPr>
          <w:rFonts w:hint="eastAsia"/>
          <w:sz w:val="10"/>
        </w:rPr>
      </w:pPr>
    </w:p>
    <w:p w:rsidR="008538B6" w:rsidRPr="00105002" w:rsidRDefault="008538B6" w:rsidP="008538B6">
      <w:pPr>
        <w:pStyle w:val="FootnoteText"/>
        <w:tabs>
          <w:tab w:val="clear" w:pos="418"/>
          <w:tab w:val="right" w:pos="1476"/>
          <w:tab w:val="left" w:pos="1548"/>
          <w:tab w:val="right" w:pos="1836"/>
          <w:tab w:val="left" w:pos="1908"/>
        </w:tabs>
        <w:spacing w:after="180"/>
        <w:ind w:left="1548" w:right="1264" w:hanging="289"/>
        <w:rPr>
          <w:rFonts w:hint="eastAsia"/>
        </w:rPr>
      </w:pPr>
      <w:r w:rsidRPr="00105002">
        <w:rPr>
          <w:rFonts w:hint="eastAsia"/>
        </w:rPr>
        <w:tab/>
      </w:r>
      <w:r w:rsidRPr="00105002">
        <w:rPr>
          <w:rFonts w:ascii="Times New Roman"/>
          <w:sz w:val="21"/>
          <w:szCs w:val="21"/>
          <w:vertAlign w:val="superscript"/>
        </w:rPr>
        <w:t>*</w:t>
      </w:r>
      <w:r w:rsidRPr="00105002">
        <w:rPr>
          <w:rFonts w:hint="eastAsia"/>
        </w:rPr>
        <w:tab/>
        <w:t>包括被拒绝的选票</w:t>
      </w:r>
    </w:p>
    <w:p w:rsidR="008538B6" w:rsidRPr="00105002" w:rsidRDefault="008538B6" w:rsidP="008538B6">
      <w:pPr>
        <w:pStyle w:val="SingleTxt"/>
        <w:rPr>
          <w:rFonts w:hint="eastAsia"/>
        </w:rPr>
      </w:pPr>
      <w:r w:rsidRPr="00105002">
        <w:rPr>
          <w:rFonts w:hint="eastAsia"/>
        </w:rPr>
        <w:t>164.　2006年以来，9个省中的5个省有妇女入选省议会。伊萨贝尔省有两名妇女当选，拉纳尔和贝罗纳省有一名妇女入选省议会。一名妇女2006年入选马莱塔省议会，直至2010年失去席位。一名妇女2006年入选马基拉省议会，直至2012年失去席位。在西部省，一名妇女2009年入选省议会。瓜达尔卡纳尔省议会中目前有一名女议员。</w:t>
      </w:r>
    </w:p>
    <w:p w:rsidR="008538B6" w:rsidRPr="00105002" w:rsidRDefault="008538B6" w:rsidP="008538B6">
      <w:pPr>
        <w:pStyle w:val="SingleTxt"/>
        <w:rPr>
          <w:rFonts w:hint="eastAsia"/>
        </w:rPr>
      </w:pPr>
      <w:r w:rsidRPr="00105002">
        <w:rPr>
          <w:rFonts w:hint="eastAsia"/>
        </w:rPr>
        <w:t>165.　2010年开展的诊断研究显示，在9个省议会中，有4个省议会拥有6名地方省一级的女议员，还有一名女议员在霍尼亚拉市议会任职。这在省议会和霍尼亚拉市议会共计183名当选议员中占3.3%(男议员占87.3%)。</w:t>
      </w:r>
    </w:p>
    <w:p w:rsidR="008538B6" w:rsidRPr="00105002" w:rsidRDefault="008538B6" w:rsidP="008538B6">
      <w:pPr>
        <w:pStyle w:val="SingleTxt"/>
        <w:rPr>
          <w:rFonts w:hint="eastAsia"/>
        </w:rPr>
      </w:pPr>
      <w:r w:rsidRPr="00105002">
        <w:rPr>
          <w:rFonts w:hint="eastAsia"/>
        </w:rPr>
        <w:t>166.　在省一级，2010年和2011年有13名妇女参加6次省选举和一次霍尼亚拉市议会选举。只有伊萨贝尔和瓜达尔卡纳尔两省有3名妇女当选。在当选者中，伊萨贝尔省的两名为连任，瓜达尔卡纳尔省的一名当选者是唯一新当选的女性候选人。过去曾有一名妇女担任省副总理职务，这是在省政府级别首次由妇女担任的高级职位。</w:t>
      </w:r>
    </w:p>
    <w:p w:rsidR="008538B6" w:rsidRPr="00105002" w:rsidRDefault="008538B6" w:rsidP="008538B6">
      <w:pPr>
        <w:pStyle w:val="SingleTxt"/>
        <w:rPr>
          <w:rFonts w:hint="eastAsia"/>
        </w:rPr>
      </w:pPr>
      <w:r w:rsidRPr="00105002">
        <w:rPr>
          <w:rFonts w:hint="eastAsia"/>
        </w:rPr>
        <w:t>167.　决策被认为是由男性主导的领域。使妇女处于不利地位的“获得多数票者当选”的选举制度、教育和就业领域对妇女的歧视均是造成国家和省级议会中缺少妇女的因素。</w:t>
      </w:r>
      <w:r w:rsidRPr="00105002">
        <w:rPr>
          <w:rStyle w:val="FootnoteReference"/>
        </w:rPr>
        <w:footnoteReference w:id="24"/>
      </w:r>
      <w:r w:rsidRPr="00105002">
        <w:rPr>
          <w:rFonts w:hint="eastAsia"/>
        </w:rPr>
        <w:t xml:space="preserve"> 2006年，全国选举候选人的登记费用为2 000所罗门群岛元，省级选举的登记费用是1 000所罗门群岛元。这些费用对妇女来说过于高昂，阻碍她们登记。其他阻碍因素包括认为妇女不具备优秀领导者所需的适当素质。不利因素包括竞选活动的高昂成本，或丈夫所在社区将妻子视为局外人的倾向，这使妇女无法在自己的选区得到充分支持。</w:t>
      </w:r>
      <w:r w:rsidRPr="00105002">
        <w:rPr>
          <w:rStyle w:val="FootnoteReference"/>
        </w:rPr>
        <w:footnoteReference w:id="25"/>
      </w:r>
      <w:r w:rsidRPr="00105002">
        <w:rPr>
          <w:rFonts w:hint="eastAsia"/>
        </w:rPr>
        <w:t xml:space="preserve"> 只有少数妇女被选入地方政府，其他重要的决策机构，包括习俗、宗教、私营部门和司法领域的机构，也同样由男性主导。</w:t>
      </w:r>
      <w:r w:rsidRPr="00105002">
        <w:rPr>
          <w:rStyle w:val="FootnoteReference"/>
        </w:rPr>
        <w:footnoteReference w:id="26"/>
      </w:r>
    </w:p>
    <w:p w:rsidR="008538B6" w:rsidRPr="00105002" w:rsidRDefault="008538B6" w:rsidP="008538B6">
      <w:pPr>
        <w:pStyle w:val="SingleTxt"/>
        <w:rPr>
          <w:rFonts w:hint="eastAsia"/>
        </w:rPr>
      </w:pPr>
      <w:r w:rsidRPr="00105002">
        <w:rPr>
          <w:rFonts w:hint="eastAsia"/>
        </w:rPr>
        <w:t>168.　有传闻表明，妇女倾向于按照丈夫和男性亲属的意愿投票。社会似乎期待妇女的投票与丈夫一致。</w:t>
      </w:r>
      <w:r w:rsidRPr="00105002">
        <w:rPr>
          <w:rStyle w:val="FootnoteReference"/>
        </w:rPr>
        <w:footnoteReference w:id="27"/>
      </w:r>
      <w:r w:rsidRPr="00105002">
        <w:rPr>
          <w:rFonts w:hint="eastAsia"/>
        </w:rPr>
        <w:t xml:space="preserve"> 这事实上剥夺了妇女对自己投票的决定权，进而影响到女性候选人获得自己选区中妇女选票的能力。</w:t>
      </w:r>
    </w:p>
    <w:p w:rsidR="008538B6" w:rsidRPr="00105002" w:rsidRDefault="008538B6" w:rsidP="008538B6">
      <w:pPr>
        <w:pStyle w:val="SingleTxt"/>
        <w:rPr>
          <w:rFonts w:hint="eastAsia"/>
        </w:rPr>
      </w:pPr>
      <w:r w:rsidRPr="00105002">
        <w:rPr>
          <w:rFonts w:hint="eastAsia"/>
        </w:rPr>
        <w:t>169.　由发展伙伴提供资金、与所罗门群岛政府和民间社会组织合作开展了施政中的性别平等方案。该方案采用为民主、施政和选举筹集资源的项目方法，积极参与举办能力建设培训研讨会。培训研讨会旨在促进各个层级的利益攸关方对人权的重要意义、性别平等、通过采取暂行特别措施提高妇女在议会、省和地方政府的参与和代表性等问题的了解、认识和接受程度。2009年以来，共举办了12个能力研讨会，其中2个在农村社区举办，3个在省一级举办，7个在霍尼亚拉举办。2009至2011年，共有357人(125名男子和232名妇女)接受了培训。</w:t>
      </w:r>
    </w:p>
    <w:p w:rsidR="008538B6" w:rsidRPr="00105002" w:rsidRDefault="008538B6" w:rsidP="008538B6">
      <w:pPr>
        <w:pStyle w:val="SingleTxt"/>
        <w:rPr>
          <w:rFonts w:hint="eastAsia"/>
        </w:rPr>
      </w:pPr>
      <w:r w:rsidRPr="00105002">
        <w:rPr>
          <w:rFonts w:hint="eastAsia"/>
        </w:rPr>
        <w:t>170.　2011年，认识到需要在政治领域鼓励和支持妇女，所罗门群岛政府在发展伙伴援助下实施的加强议会方案建立了青年妇女议会团体。提出青年妇女议会团体的理念是为了确保在议会教育举措中将性别平等问题作为核心要素，在议会秘书处委任性别平等问题协调员，以及支持妇女团体酌情与议会各委员会互动。青年妇女议会团体的愿景是发现、培养新出现的青年妇女领袖，使她们充分发挥潜力以积极影响社区，并为青年妇女提供与现任领导人接触的机会，培养和加强青年妇女的领导才能。目前，青年妇女议会团体有50名成员和13名支持者。支持者包括首相、议会议长、议会内务委员会成员和妇女、青年、儿童和家庭事务部常务秘书。迄今，青年妇女议会团体主持了一次讨论暂行特别措施的电台对话节目，举办了两次模拟议会辩论。一次模拟辩论讨论为妇女在议会中保留特定席位的暂行特别措施问题，另一次讨论消除暴力侵害妇女行为问题。此外还举办了一些建立社会网络的活动。青年妇女议会团体制定了2012年度工作计划。</w:t>
      </w:r>
    </w:p>
    <w:p w:rsidR="008538B6" w:rsidRPr="00105002" w:rsidRDefault="008538B6" w:rsidP="008538B6">
      <w:pPr>
        <w:pStyle w:val="SingleTxt"/>
        <w:rPr>
          <w:rFonts w:hint="eastAsia"/>
        </w:rPr>
      </w:pPr>
      <w:r w:rsidRPr="00105002">
        <w:rPr>
          <w:rFonts w:hint="eastAsia"/>
        </w:rPr>
        <w:t>171.　尽管政府中缺乏女性领导者，但2010和2011年的“人民调查”均显示，所罗门群岛人民普遍认为女性可成为优秀的领导者。2010年有84%的受访者、2011年有90%的受访者认为女性可成为优秀的领导者。在2007、2008、2009、2010和2011年的“人民调查”中，85%以上的受访者表示支持妇女进入议会。暂行特别措施和在议会中为妇女保留特定席位的理念继续得到社区成员越来越多的支持。2010和2011年开展的“人民调查”显示，为女性议员保留特定席位的支持者增加(分别为84%和91%)。</w:t>
      </w:r>
    </w:p>
    <w:p w:rsidR="008538B6" w:rsidRPr="00105002" w:rsidRDefault="008538B6" w:rsidP="008538B6">
      <w:pPr>
        <w:pStyle w:val="SingleTxt"/>
        <w:rPr>
          <w:rFonts w:ascii="SimHei" w:eastAsia="SimHei" w:hint="eastAsia"/>
        </w:rPr>
      </w:pPr>
      <w:r>
        <w:rPr>
          <w:rFonts w:ascii="SimHei" w:eastAsia="SimHei"/>
        </w:rPr>
        <w:br w:type="page"/>
      </w:r>
      <w:r w:rsidRPr="00105002">
        <w:rPr>
          <w:rFonts w:ascii="SimHei" w:eastAsia="SimHei" w:hint="eastAsia"/>
        </w:rPr>
        <w:t>公务员领域的妇女</w:t>
      </w:r>
    </w:p>
    <w:p w:rsidR="008538B6" w:rsidRPr="00105002" w:rsidRDefault="008538B6" w:rsidP="008538B6">
      <w:pPr>
        <w:pStyle w:val="SingleTxt"/>
        <w:rPr>
          <w:rFonts w:hint="eastAsia"/>
        </w:rPr>
      </w:pPr>
      <w:r w:rsidRPr="00105002">
        <w:rPr>
          <w:rFonts w:hint="eastAsia"/>
        </w:rPr>
        <w:t>172.　2007年，妇女在公务员领域中所占比例略高于30%，其中60%是初级职位。当时，妇女占25个常务秘书职位中的5个(20%)，20个副部长职位中的3个(15%)，总体而言，妇女仅占高级公务员职位的6%。2011年，有9 068名男子受雇于公务员部门(62%)，而妇女只有5 542名(38%)。</w:t>
      </w:r>
    </w:p>
    <w:p w:rsidR="008538B6" w:rsidRPr="00105002" w:rsidRDefault="008538B6" w:rsidP="008538B6">
      <w:pPr>
        <w:pStyle w:val="SingleTxt"/>
        <w:rPr>
          <w:rFonts w:ascii="SimHei" w:eastAsia="SimHei" w:hint="eastAsia"/>
        </w:rPr>
      </w:pPr>
      <w:r w:rsidRPr="00105002">
        <w:rPr>
          <w:rFonts w:ascii="SimHei" w:eastAsia="SimHei" w:hint="eastAsia"/>
        </w:rPr>
        <w:t>2010年公务员领域最高三个级别中的男女人数</w:t>
      </w:r>
    </w:p>
    <w:tbl>
      <w:tblPr>
        <w:tblW w:w="0" w:type="auto"/>
        <w:tblInd w:w="1260" w:type="dxa"/>
        <w:tblLayout w:type="fixed"/>
        <w:tblCellMar>
          <w:left w:w="0" w:type="dxa"/>
          <w:right w:w="0" w:type="dxa"/>
        </w:tblCellMar>
        <w:tblLook w:val="0000"/>
      </w:tblPr>
      <w:tblGrid>
        <w:gridCol w:w="4354"/>
        <w:gridCol w:w="1483"/>
        <w:gridCol w:w="1483"/>
      </w:tblGrid>
      <w:tr w:rsidR="008538B6" w:rsidRPr="00105002" w:rsidTr="008538B6">
        <w:tblPrEx>
          <w:tblCellMar>
            <w:top w:w="0" w:type="dxa"/>
            <w:bottom w:w="0" w:type="dxa"/>
          </w:tblCellMar>
        </w:tblPrEx>
        <w:trPr>
          <w:tblHeader/>
        </w:trPr>
        <w:tc>
          <w:tcPr>
            <w:tcW w:w="4354" w:type="dxa"/>
            <w:tcBorders>
              <w:top w:val="single" w:sz="4" w:space="0" w:color="auto"/>
              <w:bottom w:val="single" w:sz="12" w:space="0" w:color="auto"/>
            </w:tcBorders>
            <w:shd w:val="clear" w:color="auto" w:fill="auto"/>
            <w:vAlign w:val="bottom"/>
          </w:tcPr>
          <w:p w:rsidR="008538B6" w:rsidRPr="00105002" w:rsidRDefault="008538B6" w:rsidP="008538B6">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r w:rsidRPr="00105002">
              <w:rPr>
                <w:rFonts w:ascii="KaiTi_GB2312" w:eastAsia="KaiTi_GB2312" w:hint="eastAsia"/>
                <w:sz w:val="15"/>
              </w:rPr>
              <w:t>职位</w:t>
            </w:r>
          </w:p>
        </w:tc>
        <w:tc>
          <w:tcPr>
            <w:tcW w:w="1483" w:type="dxa"/>
            <w:tcBorders>
              <w:top w:val="single" w:sz="4" w:space="0" w:color="auto"/>
              <w:bottom w:val="single" w:sz="12" w:space="0" w:color="auto"/>
            </w:tcBorders>
            <w:shd w:val="clear" w:color="auto" w:fill="auto"/>
            <w:vAlign w:val="bottom"/>
          </w:tcPr>
          <w:p w:rsidR="008538B6" w:rsidRPr="00105002" w:rsidRDefault="008538B6" w:rsidP="008538B6">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105002">
              <w:rPr>
                <w:rFonts w:ascii="KaiTi_GB2312" w:eastAsia="KaiTi_GB2312" w:hint="eastAsia"/>
                <w:sz w:val="15"/>
              </w:rPr>
              <w:t>男性</w:t>
            </w:r>
          </w:p>
        </w:tc>
        <w:tc>
          <w:tcPr>
            <w:tcW w:w="1483" w:type="dxa"/>
            <w:tcBorders>
              <w:top w:val="single" w:sz="4" w:space="0" w:color="auto"/>
              <w:bottom w:val="single" w:sz="12" w:space="0" w:color="auto"/>
            </w:tcBorders>
            <w:shd w:val="clear" w:color="auto" w:fill="auto"/>
            <w:vAlign w:val="bottom"/>
          </w:tcPr>
          <w:p w:rsidR="008538B6" w:rsidRPr="00105002" w:rsidRDefault="008538B6" w:rsidP="008538B6">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r w:rsidRPr="00105002">
              <w:rPr>
                <w:rFonts w:ascii="KaiTi_GB2312" w:eastAsia="KaiTi_GB2312" w:hint="eastAsia"/>
                <w:sz w:val="15"/>
              </w:rPr>
              <w:t>女性</w:t>
            </w:r>
          </w:p>
        </w:tc>
      </w:tr>
      <w:tr w:rsidR="008538B6" w:rsidRPr="00105002" w:rsidTr="008538B6">
        <w:tblPrEx>
          <w:tblCellMar>
            <w:top w:w="0" w:type="dxa"/>
            <w:bottom w:w="0" w:type="dxa"/>
          </w:tblCellMar>
        </w:tblPrEx>
        <w:trPr>
          <w:trHeight w:hRule="exact" w:val="115"/>
          <w:tblHeader/>
        </w:trPr>
        <w:tc>
          <w:tcPr>
            <w:tcW w:w="4354" w:type="dxa"/>
            <w:tcBorders>
              <w:top w:val="single" w:sz="12" w:space="0" w:color="auto"/>
            </w:tcBorders>
            <w:shd w:val="clear" w:color="auto" w:fill="auto"/>
            <w:vAlign w:val="bottom"/>
          </w:tcPr>
          <w:p w:rsidR="008538B6" w:rsidRPr="00105002" w:rsidRDefault="008538B6" w:rsidP="008538B6">
            <w:pPr>
              <w:tabs>
                <w:tab w:val="left" w:pos="360"/>
                <w:tab w:val="left" w:pos="720"/>
                <w:tab w:val="left" w:pos="1080"/>
                <w:tab w:val="left" w:pos="1440"/>
              </w:tabs>
              <w:suppressAutoHyphens/>
              <w:spacing w:after="60" w:line="280" w:lineRule="exact"/>
              <w:ind w:right="57"/>
              <w:rPr>
                <w:rFonts w:hint="eastAsia"/>
                <w:sz w:val="17"/>
              </w:rPr>
            </w:pPr>
          </w:p>
        </w:tc>
        <w:tc>
          <w:tcPr>
            <w:tcW w:w="1483" w:type="dxa"/>
            <w:tcBorders>
              <w:top w:val="single" w:sz="12" w:space="0" w:color="auto"/>
            </w:tcBorders>
            <w:shd w:val="clear" w:color="auto" w:fill="auto"/>
            <w:vAlign w:val="bottom"/>
          </w:tcPr>
          <w:p w:rsidR="008538B6" w:rsidRPr="00105002" w:rsidRDefault="008538B6" w:rsidP="008538B6">
            <w:pPr>
              <w:tabs>
                <w:tab w:val="left" w:pos="360"/>
                <w:tab w:val="left" w:pos="720"/>
                <w:tab w:val="left" w:pos="1080"/>
                <w:tab w:val="left" w:pos="1440"/>
              </w:tabs>
              <w:suppressAutoHyphens/>
              <w:spacing w:after="60" w:line="280" w:lineRule="exact"/>
              <w:ind w:right="57"/>
              <w:jc w:val="right"/>
              <w:rPr>
                <w:rFonts w:hint="eastAsia"/>
                <w:sz w:val="17"/>
              </w:rPr>
            </w:pPr>
          </w:p>
        </w:tc>
        <w:tc>
          <w:tcPr>
            <w:tcW w:w="1483" w:type="dxa"/>
            <w:tcBorders>
              <w:top w:val="single" w:sz="12" w:space="0" w:color="auto"/>
            </w:tcBorders>
            <w:shd w:val="clear" w:color="auto" w:fill="auto"/>
            <w:vAlign w:val="bottom"/>
          </w:tcPr>
          <w:p w:rsidR="008538B6" w:rsidRPr="00105002" w:rsidRDefault="008538B6" w:rsidP="008538B6">
            <w:pPr>
              <w:tabs>
                <w:tab w:val="left" w:pos="360"/>
                <w:tab w:val="left" w:pos="720"/>
                <w:tab w:val="left" w:pos="1080"/>
                <w:tab w:val="left" w:pos="1440"/>
              </w:tabs>
              <w:suppressAutoHyphens/>
              <w:spacing w:after="60" w:line="280" w:lineRule="exact"/>
              <w:ind w:right="57"/>
              <w:jc w:val="right"/>
              <w:rPr>
                <w:rFonts w:hint="eastAsia"/>
                <w:sz w:val="17"/>
              </w:rPr>
            </w:pPr>
          </w:p>
        </w:tc>
      </w:tr>
      <w:tr w:rsidR="008538B6" w:rsidRPr="00105002" w:rsidTr="008538B6">
        <w:tblPrEx>
          <w:tblCellMar>
            <w:top w:w="0" w:type="dxa"/>
            <w:bottom w:w="0" w:type="dxa"/>
          </w:tblCellMar>
        </w:tblPrEx>
        <w:tc>
          <w:tcPr>
            <w:tcW w:w="4354"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rPr>
                <w:rFonts w:hint="eastAsia"/>
                <w:sz w:val="17"/>
              </w:rPr>
            </w:pPr>
            <w:r w:rsidRPr="00105002">
              <w:rPr>
                <w:rFonts w:hint="eastAsia"/>
                <w:sz w:val="17"/>
              </w:rPr>
              <w:t>最高级别</w:t>
            </w:r>
          </w:p>
        </w:tc>
        <w:tc>
          <w:tcPr>
            <w:tcW w:w="1483"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rFonts w:hint="eastAsia"/>
                <w:sz w:val="17"/>
              </w:rPr>
            </w:pPr>
            <w:r w:rsidRPr="00105002">
              <w:rPr>
                <w:rFonts w:hint="eastAsia"/>
                <w:sz w:val="17"/>
              </w:rPr>
              <w:t>10</w:t>
            </w:r>
          </w:p>
        </w:tc>
        <w:tc>
          <w:tcPr>
            <w:tcW w:w="1483"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rFonts w:hint="eastAsia"/>
                <w:sz w:val="17"/>
              </w:rPr>
            </w:pPr>
            <w:r w:rsidRPr="00105002">
              <w:rPr>
                <w:rFonts w:hint="eastAsia"/>
                <w:sz w:val="17"/>
              </w:rPr>
              <w:t>6</w:t>
            </w:r>
          </w:p>
        </w:tc>
      </w:tr>
      <w:tr w:rsidR="008538B6" w:rsidRPr="00105002" w:rsidTr="008538B6">
        <w:tblPrEx>
          <w:tblCellMar>
            <w:top w:w="0" w:type="dxa"/>
            <w:bottom w:w="0" w:type="dxa"/>
          </w:tblCellMar>
        </w:tblPrEx>
        <w:tc>
          <w:tcPr>
            <w:tcW w:w="4354"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rPr>
                <w:rFonts w:hint="eastAsia"/>
                <w:sz w:val="17"/>
              </w:rPr>
            </w:pPr>
            <w:r w:rsidRPr="00105002">
              <w:rPr>
                <w:rFonts w:hint="eastAsia"/>
                <w:sz w:val="17"/>
              </w:rPr>
              <w:t>第二级别</w:t>
            </w:r>
          </w:p>
        </w:tc>
        <w:tc>
          <w:tcPr>
            <w:tcW w:w="1483"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rFonts w:hint="eastAsia"/>
                <w:sz w:val="17"/>
              </w:rPr>
            </w:pPr>
            <w:r w:rsidRPr="00105002">
              <w:rPr>
                <w:rFonts w:hint="eastAsia"/>
                <w:sz w:val="17"/>
              </w:rPr>
              <w:t>14</w:t>
            </w:r>
          </w:p>
        </w:tc>
        <w:tc>
          <w:tcPr>
            <w:tcW w:w="1483" w:type="dxa"/>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rFonts w:hint="eastAsia"/>
                <w:sz w:val="17"/>
              </w:rPr>
            </w:pPr>
            <w:r w:rsidRPr="00105002">
              <w:rPr>
                <w:rFonts w:hint="eastAsia"/>
                <w:sz w:val="17"/>
              </w:rPr>
              <w:t>4</w:t>
            </w:r>
          </w:p>
        </w:tc>
      </w:tr>
      <w:tr w:rsidR="008538B6" w:rsidRPr="00105002" w:rsidTr="008538B6">
        <w:tblPrEx>
          <w:tblCellMar>
            <w:top w:w="0" w:type="dxa"/>
            <w:bottom w:w="0" w:type="dxa"/>
          </w:tblCellMar>
        </w:tblPrEx>
        <w:tc>
          <w:tcPr>
            <w:tcW w:w="4354" w:type="dxa"/>
            <w:tcBorders>
              <w:bottom w:val="single" w:sz="12" w:space="0" w:color="auto"/>
            </w:tcBorders>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rPr>
                <w:rFonts w:hint="eastAsia"/>
                <w:sz w:val="17"/>
              </w:rPr>
            </w:pPr>
            <w:r w:rsidRPr="00105002">
              <w:rPr>
                <w:rFonts w:hint="eastAsia"/>
                <w:sz w:val="17"/>
              </w:rPr>
              <w:t>第三级别</w:t>
            </w:r>
          </w:p>
        </w:tc>
        <w:tc>
          <w:tcPr>
            <w:tcW w:w="1483" w:type="dxa"/>
            <w:tcBorders>
              <w:bottom w:val="single" w:sz="12" w:space="0" w:color="auto"/>
            </w:tcBorders>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rFonts w:hint="eastAsia"/>
                <w:sz w:val="17"/>
              </w:rPr>
            </w:pPr>
            <w:r w:rsidRPr="00105002">
              <w:rPr>
                <w:rFonts w:hint="eastAsia"/>
                <w:sz w:val="17"/>
              </w:rPr>
              <w:t>44</w:t>
            </w:r>
          </w:p>
        </w:tc>
        <w:tc>
          <w:tcPr>
            <w:tcW w:w="1483" w:type="dxa"/>
            <w:tcBorders>
              <w:bottom w:val="single" w:sz="12" w:space="0" w:color="auto"/>
            </w:tcBorders>
            <w:shd w:val="clear" w:color="auto" w:fill="auto"/>
            <w:vAlign w:val="bottom"/>
          </w:tcPr>
          <w:p w:rsidR="008538B6" w:rsidRPr="00105002" w:rsidRDefault="008538B6" w:rsidP="008538B6">
            <w:pPr>
              <w:tabs>
                <w:tab w:val="left" w:pos="334"/>
                <w:tab w:val="left" w:pos="669"/>
                <w:tab w:val="left" w:pos="1003"/>
                <w:tab w:val="left" w:pos="1338"/>
              </w:tabs>
              <w:suppressAutoHyphens/>
              <w:spacing w:after="60" w:line="280" w:lineRule="exact"/>
              <w:ind w:right="57"/>
              <w:jc w:val="right"/>
              <w:rPr>
                <w:rFonts w:hint="eastAsia"/>
                <w:sz w:val="17"/>
              </w:rPr>
            </w:pPr>
            <w:r w:rsidRPr="00105002">
              <w:rPr>
                <w:rFonts w:hint="eastAsia"/>
                <w:sz w:val="17"/>
              </w:rPr>
              <w:t>11</w:t>
            </w:r>
          </w:p>
        </w:tc>
      </w:tr>
    </w:tbl>
    <w:p w:rsidR="008538B6" w:rsidRPr="00105002" w:rsidRDefault="008538B6" w:rsidP="008538B6">
      <w:pPr>
        <w:pStyle w:val="SingleTxt"/>
        <w:spacing w:after="0" w:line="120" w:lineRule="exact"/>
        <w:rPr>
          <w:rFonts w:hint="eastAsia"/>
          <w:sz w:val="10"/>
        </w:rPr>
      </w:pPr>
    </w:p>
    <w:p w:rsidR="008538B6" w:rsidRPr="008538B6" w:rsidRDefault="008538B6" w:rsidP="008538B6">
      <w:pPr>
        <w:pStyle w:val="SingleTxt"/>
        <w:rPr>
          <w:rFonts w:hint="eastAsia"/>
          <w:spacing w:val="-2"/>
        </w:rPr>
      </w:pPr>
      <w:r w:rsidRPr="00105002">
        <w:rPr>
          <w:rFonts w:hint="eastAsia"/>
        </w:rPr>
        <w:t>173.　上表显示政府决策仍由男性主导，特别是在资源和经济部门。社会部门中</w:t>
      </w:r>
      <w:r w:rsidRPr="008538B6">
        <w:rPr>
          <w:rFonts w:hint="eastAsia"/>
          <w:spacing w:val="-2"/>
        </w:rPr>
        <w:t>的妇女较多，如在保健、教育、国家和解领域以及妇女、青年、儿童和家庭事务部。</w:t>
      </w:r>
    </w:p>
    <w:p w:rsidR="008538B6" w:rsidRPr="00105002" w:rsidRDefault="008538B6" w:rsidP="008538B6">
      <w:pPr>
        <w:pStyle w:val="SingleTxt"/>
        <w:rPr>
          <w:rFonts w:hint="eastAsia"/>
        </w:rPr>
      </w:pPr>
      <w:r w:rsidRPr="00105002">
        <w:rPr>
          <w:rFonts w:hint="eastAsia"/>
        </w:rPr>
        <w:t>174.　政府中最资深的职位永远由男子占据。妇女从未担任过总督、议长、公设律师、检察长、副检察长、高等法院法官、审计长和监察长等依宪法设立的职位。一名妇女曾短期代理过检察长职务。2011年，在所罗门群岛的28个部委和法定机构中，仅有10个机构有妇女担任高级管理职务。国家议会办公室属例外情况，其所有高级管理成员都是女性。妇女在国家司法部，妇女、青年、儿童和家庭事务部，农村发展和土著事务部中占高级管理人员的50%。然而，在司法和法律事务部、内政部和总理与内阁部，没有妇女担任高级管理职位。2011年，在公务员部门就业的大多数妇女供职于较初级的行政岗位。</w:t>
      </w:r>
    </w:p>
    <w:p w:rsidR="008538B6" w:rsidRPr="00105002" w:rsidRDefault="008538B6" w:rsidP="008538B6">
      <w:pPr>
        <w:pStyle w:val="SingleTxt"/>
        <w:rPr>
          <w:rFonts w:hint="eastAsia"/>
        </w:rPr>
      </w:pPr>
      <w:r w:rsidRPr="00105002">
        <w:rPr>
          <w:rFonts w:hint="eastAsia"/>
        </w:rPr>
        <w:t>175.　妇女在议会、省议会和高层公务员中的任职比例很低，造成对妇女问题的关注不足。</w:t>
      </w:r>
    </w:p>
    <w:p w:rsidR="008538B6" w:rsidRPr="00105002" w:rsidRDefault="008538B6" w:rsidP="008538B6">
      <w:pPr>
        <w:pStyle w:val="SingleTxt"/>
        <w:rPr>
          <w:rFonts w:hint="eastAsia"/>
        </w:rPr>
      </w:pPr>
      <w:r w:rsidRPr="00105002">
        <w:rPr>
          <w:rFonts w:hint="eastAsia"/>
        </w:rPr>
        <w:t>176.　没有鼓励更多妇女担任公务员中决策或技术职务的正式方案。由于缺乏认识和对妇女角色的陈规定型观念普遍流行，没有结构性的体制来提高妇女在公务员部门的地位。</w:t>
      </w:r>
      <w:r w:rsidRPr="00105002">
        <w:rPr>
          <w:rStyle w:val="FootnoteReference"/>
        </w:rPr>
        <w:footnoteReference w:id="28"/>
      </w:r>
      <w:r w:rsidRPr="00105002">
        <w:rPr>
          <w:rFonts w:hint="eastAsia"/>
        </w:rPr>
        <w:t xml:space="preserve"> 认识到有必要增加妇女对公务员部门的参与，所罗门群岛政府在2010年启动了“所罗门群岛2010-2015年人力资源管理战略”。该战略的第14项目标是“协助所罗门群岛政府在整个公务员部门执行性别平等战略，为妇女提供与男性同等的就业和职业发展机会”。目前还没有对这一目标进行监测和评价的报告，因为迄今的重点是建立落实战略的机制和程序。</w:t>
      </w:r>
    </w:p>
    <w:p w:rsidR="008538B6" w:rsidRPr="00105002" w:rsidRDefault="008538B6" w:rsidP="008538B6">
      <w:pPr>
        <w:pStyle w:val="SingleTxt"/>
        <w:rPr>
          <w:rFonts w:hint="eastAsia"/>
        </w:rPr>
      </w:pPr>
      <w:r w:rsidRPr="00105002">
        <w:rPr>
          <w:rFonts w:hint="eastAsia"/>
        </w:rPr>
        <w:t>177.　公共服务部2011年启动了“领导才能和管理发展框架”，突出了在公务员部门平等地提供领导和管理机会的重要意义。这项政策将有助于提高妇女在各级公务员中的地位。</w:t>
      </w:r>
    </w:p>
    <w:p w:rsidR="008538B6" w:rsidRPr="00105002" w:rsidRDefault="008538B6" w:rsidP="008538B6">
      <w:pPr>
        <w:pStyle w:val="SingleTxt"/>
        <w:rPr>
          <w:rFonts w:hint="eastAsia"/>
        </w:rPr>
      </w:pPr>
      <w:r w:rsidRPr="00105002">
        <w:rPr>
          <w:rFonts w:hint="eastAsia"/>
        </w:rPr>
        <w:t>178.　作为政府机构支柱的一部分，区域援助所罗门群岛特派团实施了提高妇女在政府中地位的战略。战略确保在设计、执行、监测和评价工作中使妇女领导主流化，以增加妇女在各级公务员中所占比例，减少妇女在政府中所面临的障碍。战略还力求提升有潜力加强妇女担任公职愿望的组织的能力。因此该战略符合性别平等和妇女发展国家政策。2008年，妇女参政战略协调员与妇女、青年、儿童和家庭事务部妇女发展处、国家妇女理事会和内阁秘书密切合作，发现实现协同效应、改善沟通和合作的机会。为这项战略举办的讲习班还提供了领导才能培训和战略规划讲座，协助将提高妇女在政府中地位的问题主流化。还制定并实施了妇女学习辅导方案，有80多名妇女在2008和2009年期间完成了该方案。</w:t>
      </w:r>
    </w:p>
    <w:p w:rsidR="008538B6" w:rsidRPr="00105002" w:rsidRDefault="008538B6" w:rsidP="008538B6">
      <w:pPr>
        <w:pStyle w:val="SingleTxt"/>
        <w:rPr>
          <w:rFonts w:ascii="SimHei" w:eastAsia="SimHei" w:hint="eastAsia"/>
        </w:rPr>
      </w:pPr>
      <w:r w:rsidRPr="00105002">
        <w:rPr>
          <w:rFonts w:ascii="SimHei" w:eastAsia="SimHei" w:hint="eastAsia"/>
        </w:rPr>
        <w:t>担任传统领导职位的妇女</w:t>
      </w:r>
    </w:p>
    <w:p w:rsidR="008538B6" w:rsidRPr="00105002" w:rsidRDefault="008538B6" w:rsidP="008538B6">
      <w:pPr>
        <w:pStyle w:val="SingleTxt"/>
        <w:rPr>
          <w:rFonts w:hint="eastAsia"/>
        </w:rPr>
      </w:pPr>
      <w:r w:rsidRPr="00105002">
        <w:rPr>
          <w:rFonts w:hint="eastAsia"/>
        </w:rPr>
        <w:t>179.　伊萨贝尔省(该省为母系社会)中的妇女被任命为部落酋长。这使妇女能参加伊萨贝尔酋长理事会。据报告，2010年在伊萨贝尔酋长理事会中有一名妇女。瓜达尔卡纳尔省酋长理事会2010年也有一名女性代表。</w:t>
      </w:r>
    </w:p>
    <w:p w:rsidR="008538B6" w:rsidRPr="00105002" w:rsidRDefault="008538B6" w:rsidP="008538B6">
      <w:pPr>
        <w:pStyle w:val="SingleTxt"/>
        <w:rPr>
          <w:rFonts w:ascii="SimHei" w:eastAsia="SimHei" w:hint="eastAsia"/>
        </w:rPr>
      </w:pPr>
      <w:r w:rsidRPr="00105002">
        <w:rPr>
          <w:rFonts w:ascii="SimHei" w:eastAsia="SimHei" w:hint="eastAsia"/>
        </w:rPr>
        <w:t>妇女与和平</w:t>
      </w:r>
    </w:p>
    <w:p w:rsidR="008538B6" w:rsidRPr="00105002" w:rsidRDefault="008538B6" w:rsidP="008538B6">
      <w:pPr>
        <w:pStyle w:val="SingleTxt"/>
        <w:rPr>
          <w:rFonts w:hint="eastAsia"/>
        </w:rPr>
      </w:pPr>
      <w:r w:rsidRPr="00105002">
        <w:rPr>
          <w:rFonts w:hint="eastAsia"/>
        </w:rPr>
        <w:t xml:space="preserve">180.　</w:t>
      </w:r>
      <w:r w:rsidRPr="00105002">
        <w:rPr>
          <w:rFonts w:hint="eastAsia"/>
          <w:spacing w:val="2"/>
        </w:rPr>
        <w:t>在为终止族裔紧张关系而进行的正式和平谈判</w:t>
      </w:r>
      <w:r w:rsidRPr="00105002">
        <w:rPr>
          <w:rStyle w:val="FootnoteReference"/>
          <w:spacing w:val="2"/>
        </w:rPr>
        <w:footnoteReference w:id="29"/>
      </w:r>
      <w:r w:rsidRPr="00105002">
        <w:rPr>
          <w:rFonts w:hint="eastAsia"/>
          <w:spacing w:val="2"/>
        </w:rPr>
        <w:t xml:space="preserve"> 中，妇女及其利益都没有得到代表。</w:t>
      </w:r>
      <w:r w:rsidRPr="00105002">
        <w:rPr>
          <w:rStyle w:val="FootnoteReference"/>
          <w:spacing w:val="2"/>
        </w:rPr>
        <w:footnoteReference w:id="30"/>
      </w:r>
      <w:r w:rsidRPr="00105002">
        <w:rPr>
          <w:rFonts w:hint="eastAsia"/>
          <w:spacing w:val="2"/>
        </w:rPr>
        <w:t xml:space="preserve"> </w:t>
      </w:r>
      <w:r w:rsidRPr="00105002">
        <w:rPr>
          <w:rFonts w:hint="eastAsia"/>
        </w:rPr>
        <w:t>妇女在其社区、教会和民间社会组织中为促进和平发挥了重要作用。在族裔关系紧张期间，诞生了许多旨在提高妇女地位的小型妇女组织和机构。妇女动员起来组成各种团体，特别是妇女争取和平团体、瓜达尔卡纳尔妇女促进和平团体和西部妇女促进和平团体。然而，这并没有使妇女被纳入正式和平谈判。</w:t>
      </w:r>
      <w:r w:rsidRPr="00105002">
        <w:rPr>
          <w:rStyle w:val="FootnoteReference"/>
        </w:rPr>
        <w:footnoteReference w:id="31"/>
      </w:r>
      <w:r w:rsidRPr="00105002">
        <w:rPr>
          <w:rFonts w:hint="eastAsia"/>
        </w:rPr>
        <w:t xml:space="preserve"> 妇女也没有在区域援助所罗门群岛特派团干预措施的决策方面发挥任何作用。</w:t>
      </w:r>
    </w:p>
    <w:p w:rsidR="008538B6" w:rsidRPr="00105002" w:rsidRDefault="008538B6" w:rsidP="008538B6">
      <w:pPr>
        <w:pStyle w:val="SingleTxt"/>
        <w:rPr>
          <w:rFonts w:hint="eastAsia"/>
        </w:rPr>
      </w:pPr>
      <w:r w:rsidRPr="00105002">
        <w:rPr>
          <w:rFonts w:hint="eastAsia"/>
        </w:rPr>
        <w:t>181.　妇女对所罗门群岛和平与安全的重要意义现已得到正式确认。在2008年任命的真相与和解委员会5名专员中，有两名妇女，其中一名是索罗门群岛人。专员的角色是在和解进程中与所有利益攸关方互动协作，审查在冲突期间发生的侵犯人权行为。为确保真相与和解委员会能够听到妇女的声音，提交了一份题为“Herem Kam：Stori Blong Mifala Olketa Mere，妇女提交给所罗门群岛真相与和解委员会的报告”的妇女来文。妇女在建设和平和过渡司法进程中发挥了关键作用，但她们未能通过任何官方渠道发出自己的声音。来文记载了妇女在紧张时期的经历，确保这些经历能够纳入真相与和解委员会的工作。来文还向真相与和解委员会提出了妇女的各项建议，涉及伸张正义、愈合和结束矛盾需采取的步骤。与妇女领袖和深刻了解紧张时期妇女问题的妇女们举办了研讨会，该报告即采用了研讨会中得到的资料。近60名妇女参加了在霍尼亚拉及其他省份举办的研讨会。这些研讨会和报告为妇女创造了安全的空间和进程，使她们能考虑并向真相与和解委员会提出自身需求。真相与和解委员会的最后报告已提交内阁，目前正在接受审核，以待公开发表。</w:t>
      </w:r>
    </w:p>
    <w:p w:rsidR="008538B6" w:rsidRPr="00105002" w:rsidRDefault="008538B6" w:rsidP="008538B6">
      <w:pPr>
        <w:pStyle w:val="SingleTxt"/>
        <w:rPr>
          <w:rFonts w:hint="eastAsia"/>
        </w:rPr>
      </w:pPr>
      <w:r w:rsidRPr="00105002">
        <w:rPr>
          <w:rFonts w:hint="eastAsia"/>
        </w:rPr>
        <w:t>182.　几位妇女在社会动荡后为促进社区和平所发挥的作用得到了承认。</w:t>
      </w:r>
    </w:p>
    <w:p w:rsidR="008538B6" w:rsidRPr="00105002" w:rsidRDefault="008538B6" w:rsidP="008538B6">
      <w:pPr>
        <w:pStyle w:val="SingleTxt"/>
        <w:rPr>
          <w:rFonts w:hint="eastAsia"/>
        </w:rPr>
      </w:pPr>
      <w:r w:rsidRPr="00105002">
        <w:rPr>
          <w:rFonts w:hint="eastAsia"/>
        </w:rPr>
        <w:t>183.　妇女、青年、儿童和家庭事务部一直在制定“所罗门群岛妇女与和平与安全国家行动计划”。计划的初稿已完成，目前正在修订中，预计将于2013年初提交内阁。</w:t>
      </w:r>
    </w:p>
    <w:p w:rsidR="008538B6" w:rsidRPr="00105002" w:rsidRDefault="008538B6" w:rsidP="008538B6">
      <w:pPr>
        <w:pStyle w:val="SingleTxt"/>
        <w:rPr>
          <w:rFonts w:ascii="SimHei" w:eastAsia="SimHei" w:hint="eastAsia"/>
        </w:rPr>
      </w:pPr>
      <w:r w:rsidRPr="00105002">
        <w:rPr>
          <w:rFonts w:ascii="SimHei" w:eastAsia="SimHei" w:hint="eastAsia"/>
        </w:rPr>
        <w:t>担任各组织/委员会成员的妇女</w:t>
      </w:r>
    </w:p>
    <w:p w:rsidR="008538B6" w:rsidRPr="00105002" w:rsidRDefault="008538B6" w:rsidP="008538B6">
      <w:pPr>
        <w:pStyle w:val="SingleTxt"/>
        <w:rPr>
          <w:rFonts w:hint="eastAsia"/>
        </w:rPr>
      </w:pPr>
      <w:r w:rsidRPr="00105002">
        <w:rPr>
          <w:rFonts w:hint="eastAsia"/>
        </w:rPr>
        <w:t>184.　商会有120多位成员，还有40位荣誉成员，均为由开发署赞助的讲习班支持的年轻创业者。其中12人为妇女。</w:t>
      </w:r>
    </w:p>
    <w:p w:rsidR="008538B6" w:rsidRPr="00105002" w:rsidRDefault="008538B6" w:rsidP="008538B6">
      <w:pPr>
        <w:pStyle w:val="SingleTxt"/>
        <w:rPr>
          <w:rFonts w:hint="eastAsia"/>
        </w:rPr>
      </w:pPr>
      <w:r w:rsidRPr="00105002">
        <w:rPr>
          <w:rFonts w:hint="eastAsia"/>
        </w:rPr>
        <w:t>185.　所罗门群岛妇女商业协会主要代表霍尼亚拉有薪酬的妇女和其他自营职业妇女。协会的主要作用是提供建立网络的平台，而非进行倡导。协会在商会委员会中有一名代表，商会所有女性成员都是协会的成员。</w:t>
      </w:r>
    </w:p>
    <w:p w:rsidR="008538B6" w:rsidRPr="00105002" w:rsidRDefault="008538B6" w:rsidP="008538B6">
      <w:pPr>
        <w:pStyle w:val="SingleTxt"/>
        <w:rPr>
          <w:rFonts w:hint="eastAsia"/>
        </w:rPr>
      </w:pPr>
      <w:r w:rsidRPr="00105002">
        <w:rPr>
          <w:rFonts w:hint="eastAsia"/>
        </w:rPr>
        <w:t>186.　所罗门群岛制造商协会代表所罗门群岛的制造业部门。协会管理委员会中有女性成员。</w:t>
      </w:r>
      <w:r w:rsidRPr="00105002">
        <w:rPr>
          <w:rStyle w:val="FootnoteReference"/>
        </w:rPr>
        <w:footnoteReference w:id="32"/>
      </w:r>
    </w:p>
    <w:p w:rsidR="008538B6" w:rsidRPr="00105002" w:rsidRDefault="008538B6" w:rsidP="008538B6">
      <w:pPr>
        <w:pStyle w:val="SingleTxt"/>
        <w:rPr>
          <w:rFonts w:hint="eastAsia"/>
        </w:rPr>
      </w:pPr>
      <w:r w:rsidRPr="00105002">
        <w:rPr>
          <w:rFonts w:hint="eastAsia"/>
        </w:rPr>
        <w:t>187.　有9个国有企业委员会。这些委员会共有63名成员，其中仅有9人为女性。5个委员会没有女性成员。区域援助所罗门群岛特派团通过财政和国库部的公司管理服务方案开展了供资投标，以便所罗门群岛工商会能协同所罗门群岛妇女商业协会，增加妇女在国有企业委员会中的人数。</w:t>
      </w:r>
      <w:r w:rsidRPr="00105002">
        <w:rPr>
          <w:rStyle w:val="FootnoteReference"/>
        </w:rPr>
        <w:footnoteReference w:id="33"/>
      </w:r>
      <w:r w:rsidRPr="00105002">
        <w:rPr>
          <w:rFonts w:hint="eastAsia"/>
        </w:rPr>
        <w:t xml:space="preserve"> 由财政和国库部(经济改革科)、所罗门群岛妇女商会、国有企业论坛和所罗门群岛工商会成员组成的指导委员会负责协调该方案。所罗门群岛工商会为该方案(针对私营和公共部门)制定了工作计划，计划尚待最后确定，并尚待通过指导委员会得到所罗门群岛工商会委员会的批准。</w:t>
      </w:r>
    </w:p>
    <w:p w:rsidR="008538B6" w:rsidRPr="008538B6" w:rsidRDefault="008538B6" w:rsidP="008538B6">
      <w:pPr>
        <w:pStyle w:val="SingleTxt"/>
        <w:rPr>
          <w:rFonts w:ascii="SimHei" w:eastAsia="SimHei" w:hint="eastAsia"/>
          <w:sz w:val="24"/>
          <w:szCs w:val="24"/>
        </w:rPr>
      </w:pPr>
      <w:r w:rsidRPr="008538B6">
        <w:rPr>
          <w:rFonts w:ascii="SimHei" w:eastAsia="SimHei" w:hint="eastAsia"/>
          <w:sz w:val="24"/>
          <w:szCs w:val="24"/>
        </w:rPr>
        <w:t>第8条：国际代表权和参与情况</w:t>
      </w:r>
    </w:p>
    <w:p w:rsidR="008538B6" w:rsidRPr="00245C5A" w:rsidRDefault="008538B6" w:rsidP="008538B6">
      <w:pPr>
        <w:pStyle w:val="SingleTxt"/>
        <w:rPr>
          <w:rFonts w:ascii="SimHei" w:eastAsia="SimHei" w:hint="eastAsia"/>
        </w:rPr>
      </w:pPr>
      <w:r w:rsidRPr="00245C5A">
        <w:rPr>
          <w:rFonts w:ascii="SimHei" w:eastAsia="SimHei" w:hint="eastAsia"/>
        </w:rPr>
        <w:t>法律背景</w:t>
      </w:r>
    </w:p>
    <w:p w:rsidR="008538B6" w:rsidRDefault="008538B6" w:rsidP="008538B6">
      <w:pPr>
        <w:pStyle w:val="SingleTxt"/>
        <w:rPr>
          <w:rFonts w:hint="eastAsia"/>
        </w:rPr>
      </w:pPr>
      <w:r>
        <w:rPr>
          <w:rFonts w:hint="eastAsia"/>
        </w:rPr>
        <w:t>188.　妇女在有平等机会在国际一级代表政府及参与国际组织工作方面没有面临任何法律障碍。</w:t>
      </w:r>
    </w:p>
    <w:p w:rsidR="008538B6" w:rsidRPr="00245C5A" w:rsidRDefault="008538B6" w:rsidP="008538B6">
      <w:pPr>
        <w:pStyle w:val="SingleTxt"/>
        <w:rPr>
          <w:rFonts w:ascii="SimHei" w:eastAsia="SimHei" w:hint="eastAsia"/>
        </w:rPr>
      </w:pPr>
      <w:r>
        <w:rPr>
          <w:rFonts w:ascii="SimHei" w:eastAsia="SimHei"/>
        </w:rPr>
        <w:br w:type="page"/>
      </w:r>
      <w:r w:rsidRPr="00245C5A">
        <w:rPr>
          <w:rFonts w:ascii="SimHei" w:eastAsia="SimHei" w:hint="eastAsia"/>
        </w:rPr>
        <w:t xml:space="preserve">妇女的参与情况 </w:t>
      </w:r>
    </w:p>
    <w:p w:rsidR="008538B6" w:rsidRDefault="008538B6" w:rsidP="008538B6">
      <w:pPr>
        <w:pStyle w:val="SingleTxt"/>
        <w:rPr>
          <w:rFonts w:hint="eastAsia"/>
        </w:rPr>
      </w:pPr>
      <w:r>
        <w:rPr>
          <w:rFonts w:hint="eastAsia"/>
        </w:rPr>
        <w:t>189.　鉴于只出现过两位女议员，妇女在部长一级的任职人数一直非常有限。然而，女公务员参加了各种区域和国际会议。妇女、青年、儿童和家庭事务部定期参加每三年举行一次的太平洋共同体秘书处妇女问题三年期会议，讨论性别平等及妇女问题。会议的宗旨是监测各国在执行《妇女问题太平洋行动纲要》方面取得的进展，它是解决妇女问题的区域性纲领。</w:t>
      </w:r>
    </w:p>
    <w:p w:rsidR="008538B6" w:rsidRDefault="008538B6" w:rsidP="008538B6">
      <w:pPr>
        <w:pStyle w:val="SingleTxt"/>
        <w:rPr>
          <w:rFonts w:hint="eastAsia"/>
        </w:rPr>
      </w:pPr>
      <w:r>
        <w:rPr>
          <w:rFonts w:hint="eastAsia"/>
        </w:rPr>
        <w:t xml:space="preserve">190.　</w:t>
      </w:r>
      <w:r w:rsidRPr="004F23DB">
        <w:rPr>
          <w:rFonts w:hint="eastAsia"/>
          <w:spacing w:val="-4"/>
        </w:rPr>
        <w:t>妇女、青年、儿童和家庭事务部的女性常务秘书是下列区域和国际组织成员</w:t>
      </w:r>
      <w:r>
        <w:rPr>
          <w:rFonts w:hint="eastAsia"/>
        </w:rPr>
        <w:t>：</w:t>
      </w:r>
    </w:p>
    <w:p w:rsidR="008538B6" w:rsidRDefault="008538B6" w:rsidP="008538B6">
      <w:pPr>
        <w:pStyle w:val="SingleTxt"/>
        <w:rPr>
          <w:rFonts w:hint="eastAsia"/>
        </w:rPr>
      </w:pPr>
      <w:r>
        <w:tab/>
      </w:r>
      <w:r>
        <w:rPr>
          <w:rFonts w:hint="eastAsia"/>
        </w:rPr>
        <w:t>1.</w:t>
      </w:r>
      <w:r>
        <w:rPr>
          <w:rFonts w:hint="eastAsia"/>
        </w:rPr>
        <w:tab/>
        <w:t>太平洋岛屿论坛性暴力和性别暴力问题咨商小组；</w:t>
      </w:r>
    </w:p>
    <w:p w:rsidR="008538B6" w:rsidRDefault="008538B6" w:rsidP="008538B6">
      <w:pPr>
        <w:pStyle w:val="SingleTxt"/>
        <w:rPr>
          <w:rFonts w:hint="eastAsia"/>
        </w:rPr>
      </w:pPr>
      <w:r>
        <w:tab/>
      </w:r>
      <w:r>
        <w:rPr>
          <w:rFonts w:hint="eastAsia"/>
        </w:rPr>
        <w:t>2.</w:t>
      </w:r>
      <w:r>
        <w:rPr>
          <w:rFonts w:hint="eastAsia"/>
        </w:rPr>
        <w:tab/>
        <w:t>妇女与和平与安全问题亚太高级别咨询小组；</w:t>
      </w:r>
    </w:p>
    <w:p w:rsidR="008538B6" w:rsidRDefault="008538B6" w:rsidP="008538B6">
      <w:pPr>
        <w:pStyle w:val="SingleTxt"/>
        <w:rPr>
          <w:rFonts w:hint="eastAsia"/>
        </w:rPr>
      </w:pPr>
      <w:r>
        <w:tab/>
      </w:r>
      <w:r>
        <w:rPr>
          <w:rFonts w:hint="eastAsia"/>
        </w:rPr>
        <w:t>3.</w:t>
      </w:r>
      <w:r>
        <w:rPr>
          <w:rFonts w:hint="eastAsia"/>
        </w:rPr>
        <w:tab/>
        <w:t>太平洋区域妇女与和平与安全问题工作组；</w:t>
      </w:r>
    </w:p>
    <w:p w:rsidR="008538B6" w:rsidRDefault="008538B6" w:rsidP="008538B6">
      <w:pPr>
        <w:pStyle w:val="SingleTxt"/>
        <w:rPr>
          <w:rFonts w:hint="eastAsia"/>
        </w:rPr>
      </w:pPr>
      <w:r>
        <w:tab/>
      </w:r>
      <w:r>
        <w:rPr>
          <w:rFonts w:hint="eastAsia"/>
        </w:rPr>
        <w:t>4.</w:t>
      </w:r>
      <w:r>
        <w:rPr>
          <w:rFonts w:hint="eastAsia"/>
        </w:rPr>
        <w:tab/>
        <w:t>太平洋共同体秘书处区域权利资料小组外部咨询委员会；</w:t>
      </w:r>
    </w:p>
    <w:p w:rsidR="008538B6" w:rsidRDefault="008538B6" w:rsidP="008538B6">
      <w:pPr>
        <w:pStyle w:val="SingleTxt"/>
        <w:rPr>
          <w:rFonts w:hint="eastAsia"/>
        </w:rPr>
      </w:pPr>
      <w:r>
        <w:tab/>
      </w:r>
      <w:r>
        <w:rPr>
          <w:rFonts w:hint="eastAsia"/>
        </w:rPr>
        <w:t>5.</w:t>
      </w:r>
      <w:r>
        <w:rPr>
          <w:rFonts w:hint="eastAsia"/>
        </w:rPr>
        <w:tab/>
        <w:t>妇女、青年、儿童和家庭事务部是在妇女署执行局代表所罗门群岛的协调中心。该部的作用是为参加执行局会议的所罗门群岛代表提供各种技术咨询。</w:t>
      </w:r>
    </w:p>
    <w:p w:rsidR="008538B6" w:rsidRDefault="008538B6" w:rsidP="008538B6">
      <w:pPr>
        <w:pStyle w:val="SingleTxt"/>
        <w:rPr>
          <w:rFonts w:hint="eastAsia"/>
        </w:rPr>
      </w:pPr>
      <w:r>
        <w:rPr>
          <w:rFonts w:hint="eastAsia"/>
        </w:rPr>
        <w:t xml:space="preserve">191.　</w:t>
      </w:r>
      <w:r w:rsidRPr="004F23DB">
        <w:rPr>
          <w:rFonts w:hint="eastAsia"/>
          <w:spacing w:val="-4"/>
        </w:rPr>
        <w:t>2012年5月，所罗门群岛当选为2013-2015年期间联合国妇女署执行局成员</w:t>
      </w:r>
      <w:r>
        <w:rPr>
          <w:rFonts w:hint="eastAsia"/>
        </w:rPr>
        <w:t>。</w:t>
      </w:r>
    </w:p>
    <w:p w:rsidR="008538B6" w:rsidRDefault="008538B6" w:rsidP="008538B6">
      <w:pPr>
        <w:pStyle w:val="SingleTxt"/>
        <w:rPr>
          <w:rFonts w:hint="eastAsia"/>
        </w:rPr>
      </w:pPr>
      <w:r>
        <w:rPr>
          <w:rFonts w:hint="eastAsia"/>
        </w:rPr>
        <w:t>192.　担任公务员的妇女通常能够作为代表团成员赴海外参加国际培训和讲习班，然而，妇女在所罗门群岛代表团中担任领导职位的情况并不常见。在有些情况下，当有关部长无法前往出席某国际论坛或会议，一位常务秘书可代替部长前往。由于担任常务秘书职位的妇女人数很少(2012年有3位)，上述情况并不频繁。</w:t>
      </w:r>
    </w:p>
    <w:p w:rsidR="008538B6" w:rsidRDefault="008538B6" w:rsidP="008538B6">
      <w:pPr>
        <w:pStyle w:val="SingleTxt"/>
        <w:rPr>
          <w:rFonts w:hint="eastAsia"/>
        </w:rPr>
      </w:pPr>
      <w:r>
        <w:rPr>
          <w:rFonts w:hint="eastAsia"/>
        </w:rPr>
        <w:t>193.　从未有女性被任命为所罗门群岛驻外外交使团团长。这些职位总是由男子担任。然而，所罗门群岛驻外使团中有女外交官。</w:t>
      </w:r>
    </w:p>
    <w:p w:rsidR="008538B6" w:rsidRPr="008538B6" w:rsidRDefault="008538B6" w:rsidP="008538B6">
      <w:pPr>
        <w:pStyle w:val="SingleTxt"/>
        <w:rPr>
          <w:rFonts w:ascii="Times New Roman" w:eastAsia="SimHei"/>
          <w:sz w:val="24"/>
          <w:szCs w:val="24"/>
        </w:rPr>
      </w:pPr>
      <w:r w:rsidRPr="008538B6">
        <w:rPr>
          <w:rFonts w:ascii="SimHei" w:eastAsia="SimHei" w:hint="eastAsia"/>
          <w:sz w:val="24"/>
          <w:szCs w:val="24"/>
        </w:rPr>
        <w:t>第9</w:t>
      </w:r>
      <w:r>
        <w:rPr>
          <w:rFonts w:ascii="SimHei" w:eastAsia="SimHei" w:hint="eastAsia"/>
          <w:sz w:val="24"/>
          <w:szCs w:val="24"/>
        </w:rPr>
        <w:t>条：国籍和公民身份</w:t>
      </w:r>
    </w:p>
    <w:p w:rsidR="008538B6" w:rsidRPr="00245C5A" w:rsidRDefault="008538B6" w:rsidP="008538B6">
      <w:pPr>
        <w:pStyle w:val="SingleTxt"/>
        <w:rPr>
          <w:rFonts w:ascii="SimHei" w:eastAsia="SimHei" w:hint="eastAsia"/>
        </w:rPr>
      </w:pPr>
      <w:r w:rsidRPr="00245C5A">
        <w:rPr>
          <w:rFonts w:ascii="SimHei" w:eastAsia="SimHei" w:hint="eastAsia"/>
        </w:rPr>
        <w:t>法律背景</w:t>
      </w:r>
    </w:p>
    <w:p w:rsidR="008538B6" w:rsidRDefault="008538B6" w:rsidP="008538B6">
      <w:pPr>
        <w:pStyle w:val="SingleTxt"/>
        <w:rPr>
          <w:rFonts w:hint="eastAsia"/>
        </w:rPr>
      </w:pPr>
      <w:r>
        <w:rPr>
          <w:rFonts w:hint="eastAsia"/>
        </w:rPr>
        <w:t>194.　《宪法》第20条规定妇女有获得国籍的平等权利。</w:t>
      </w:r>
    </w:p>
    <w:p w:rsidR="008538B6" w:rsidRDefault="008538B6" w:rsidP="008538B6">
      <w:pPr>
        <w:pStyle w:val="SingleTxt"/>
        <w:rPr>
          <w:rFonts w:hint="eastAsia"/>
        </w:rPr>
      </w:pPr>
      <w:r>
        <w:rPr>
          <w:rFonts w:hint="eastAsia"/>
        </w:rPr>
        <w:t>195.　所罗门群岛妇女与没有国民身份的男子结婚会影响她的国籍。1978年《公民身份法》(第57章)第10条规定，所罗门群岛妇女若成为其丈夫国籍所在国的国民或公民，她将失去所罗门群岛国籍。失去所罗门群岛国籍的妇女只有在婚姻破裂后方可重获国籍。该规定并不反之适用于男子。</w:t>
      </w:r>
    </w:p>
    <w:p w:rsidR="008538B6" w:rsidRDefault="008538B6" w:rsidP="008538B6">
      <w:pPr>
        <w:pStyle w:val="SingleTxt"/>
        <w:rPr>
          <w:rFonts w:hint="eastAsia"/>
        </w:rPr>
      </w:pPr>
      <w:r>
        <w:rPr>
          <w:rFonts w:hint="eastAsia"/>
        </w:rPr>
        <w:t>196.　现行《公民身份法》以歧视性方式对待所罗门群岛国民的配偶。该法第7条(3)规定，如其丈夫同意，所罗门群岛人的外国妻子可在两年后成为公民。第11条随后规定，外国妇女如果通过婚姻获得公民身份，随后离婚且嫁给另一国籍人士，她将被视为放弃了公民身份。这两项条款都具有歧视性，因为它们不适用于男子。第7条要求两年居住期，期间妻子不能获得护照。</w:t>
      </w:r>
    </w:p>
    <w:p w:rsidR="008538B6" w:rsidRDefault="008538B6" w:rsidP="008538B6">
      <w:pPr>
        <w:pStyle w:val="SingleTxt"/>
        <w:rPr>
          <w:rFonts w:hint="eastAsia"/>
        </w:rPr>
      </w:pPr>
      <w:r>
        <w:rPr>
          <w:rFonts w:hint="eastAsia"/>
        </w:rPr>
        <w:t>197.　《宪法》第20条规定了成为公民的条件。根据规定，妇女可成为公民的条件是嫁给土著所罗门群岛人或嫁给具有英国保护者地位的人士，或其父亲具有上述地位。这一规定具有歧视性，因为它仅适用于嫁给所罗门群岛人的外国妇女，而非娶了所罗门群岛人的外国男子。此外，它只承认父亲但不承认母亲。</w:t>
      </w:r>
    </w:p>
    <w:p w:rsidR="008538B6" w:rsidRDefault="008538B6" w:rsidP="008538B6">
      <w:pPr>
        <w:pStyle w:val="SingleTxt"/>
        <w:rPr>
          <w:rFonts w:hint="eastAsia"/>
        </w:rPr>
      </w:pPr>
      <w:r>
        <w:rPr>
          <w:rFonts w:hint="eastAsia"/>
        </w:rPr>
        <w:t>198.　配偶双方在决定子女国籍时没有平等权利。根据《公民身份法》第6条，在联合申请公民身份时，如果男性收养者是公民，被收养的儿童才有资格获得所罗门群岛公民身份。该法第7条规定了通过归化获得公民身份的条件。该条规定，男性可为子女提出公民身份申请。然而，并未对女性申请者作出相同规定。2012年，所罗门群岛议会通过了新的《护照法》。根据该法第4条，身为所罗门群岛公民的妇女与男子享有获取护照的平等权利。护照的发放取决于公民身份。因此，如上文所述，根据《公民身份法》，嫁给所罗门群岛人的外国国民妇女必须等待两年并获得其丈夫同意，才能成为公民，然后才能获取所罗门群岛护照。这一限制并不适用于男子。因此，尽管男女获取护照的能力平等，但《公民身份法》的运作影响到妇女获取护照的能力。向18岁以下儿童发放护照需获得对该名儿童负有父母或监护人法律责任的每个人同意，或需要法院下令向这名儿童提供护照。在向未满18岁的儿童提供护照方面，母亲和父亲的同意具有平等性。文化习俗、社会和经济优势也影响到妇女为自己及其子女作出的国籍选择。改变这些习俗和状况需要时间。</w:t>
      </w:r>
    </w:p>
    <w:p w:rsidR="008538B6" w:rsidRPr="00245C5A" w:rsidRDefault="008538B6" w:rsidP="008538B6">
      <w:pPr>
        <w:pStyle w:val="SingleTxt"/>
        <w:rPr>
          <w:rFonts w:ascii="SimHei" w:eastAsia="SimHei" w:hint="eastAsia"/>
        </w:rPr>
      </w:pPr>
      <w:r w:rsidRPr="00245C5A">
        <w:rPr>
          <w:rFonts w:ascii="SimHei" w:eastAsia="SimHei" w:hint="eastAsia"/>
        </w:rPr>
        <w:t xml:space="preserve">限制 </w:t>
      </w:r>
    </w:p>
    <w:p w:rsidR="008538B6" w:rsidRDefault="008538B6" w:rsidP="008538B6">
      <w:pPr>
        <w:pStyle w:val="SingleTxt"/>
        <w:rPr>
          <w:rFonts w:hint="eastAsia"/>
        </w:rPr>
      </w:pPr>
      <w:r>
        <w:rPr>
          <w:rFonts w:hint="eastAsia"/>
        </w:rPr>
        <w:t>199.　《公民身份法》极具歧视性。对女性申请人施加的限制并不适用于男性申请人。要求取得丈夫同意这一点强化了丈夫是一家之主及唯一决策者的陈规定型观念。《公民身份法》认为妇女无法作出自己的决定，并施加了极具歧视性的做法。</w:t>
      </w:r>
    </w:p>
    <w:p w:rsidR="008538B6" w:rsidRDefault="008538B6" w:rsidP="008538B6">
      <w:pPr>
        <w:pStyle w:val="SingleTxt"/>
        <w:rPr>
          <w:rFonts w:hint="eastAsia"/>
        </w:rPr>
      </w:pPr>
      <w:r>
        <w:rPr>
          <w:rFonts w:hint="eastAsia"/>
        </w:rPr>
        <w:t>200.　有许多因素实际限制了妇女选择其国籍的能力。这些包括社会和宗教压力、文化压力及经济压力。在所罗门群岛，男性传统上被视为决策者。这体现在《公民身份法》关于征得丈夫同意的要求上。有鉴于此，外国妇女无法作出选择。一切取决于其丈夫。鉴于正式劳动队伍中多为男子，在经济因素制约下，妇女选择其国籍的能力通常受到限制。</w:t>
      </w:r>
    </w:p>
    <w:p w:rsidR="008538B6" w:rsidRPr="008538B6" w:rsidRDefault="008538B6" w:rsidP="008538B6">
      <w:pPr>
        <w:pStyle w:val="SingleTxt"/>
        <w:rPr>
          <w:rFonts w:ascii="SimHei" w:eastAsia="SimHei" w:hint="eastAsia"/>
          <w:sz w:val="24"/>
          <w:szCs w:val="24"/>
        </w:rPr>
      </w:pPr>
      <w:r w:rsidRPr="008538B6">
        <w:rPr>
          <w:rFonts w:ascii="SimHei" w:eastAsia="SimHei" w:hint="eastAsia"/>
          <w:sz w:val="24"/>
          <w:szCs w:val="24"/>
        </w:rPr>
        <w:t>第10条：教育</w:t>
      </w:r>
    </w:p>
    <w:p w:rsidR="008538B6" w:rsidRPr="00245C5A" w:rsidRDefault="008538B6" w:rsidP="008538B6">
      <w:pPr>
        <w:pStyle w:val="SingleTxt"/>
        <w:rPr>
          <w:rFonts w:ascii="SimHei" w:eastAsia="SimHei" w:hint="eastAsia"/>
        </w:rPr>
      </w:pPr>
      <w:r w:rsidRPr="00245C5A">
        <w:rPr>
          <w:rFonts w:ascii="SimHei" w:eastAsia="SimHei" w:hint="eastAsia"/>
        </w:rPr>
        <w:t>法律背景</w:t>
      </w:r>
    </w:p>
    <w:p w:rsidR="008538B6" w:rsidRDefault="008538B6" w:rsidP="008538B6">
      <w:pPr>
        <w:pStyle w:val="SingleTxt"/>
        <w:rPr>
          <w:rFonts w:hint="eastAsia"/>
        </w:rPr>
      </w:pPr>
      <w:r>
        <w:rPr>
          <w:rFonts w:hint="eastAsia"/>
        </w:rPr>
        <w:t>201.　1978年《教育法》是制订、实施和监督教育的法律框架。根据该法，教育并非是免费和义务性的。</w:t>
      </w:r>
    </w:p>
    <w:p w:rsidR="008538B6" w:rsidRDefault="008538B6" w:rsidP="008538B6">
      <w:pPr>
        <w:pStyle w:val="SingleTxt"/>
        <w:rPr>
          <w:rFonts w:hint="eastAsia"/>
        </w:rPr>
      </w:pPr>
      <w:r>
        <w:rPr>
          <w:rFonts w:hint="eastAsia"/>
        </w:rPr>
        <w:t>202.　该法并没有保障妇女与女孩平等获得教育的机会，该法也未载有在教育中提高妇女地位的特别措施。</w:t>
      </w:r>
    </w:p>
    <w:p w:rsidR="008538B6" w:rsidRDefault="008538B6" w:rsidP="008538B6">
      <w:pPr>
        <w:pStyle w:val="SingleTxt"/>
        <w:rPr>
          <w:rFonts w:hint="eastAsia"/>
        </w:rPr>
      </w:pPr>
      <w:r>
        <w:rPr>
          <w:rFonts w:hint="eastAsia"/>
        </w:rPr>
        <w:t>203.　没有立法禁止将怀孕女生驱逐出学校的做法。没有立法要求必须在学校中开展生殖教育与性教育。</w:t>
      </w:r>
    </w:p>
    <w:p w:rsidR="008538B6" w:rsidRPr="00245C5A" w:rsidRDefault="008538B6" w:rsidP="008538B6">
      <w:pPr>
        <w:pStyle w:val="SingleTxt"/>
        <w:rPr>
          <w:rFonts w:ascii="SimHei" w:eastAsia="SimHei" w:hint="eastAsia"/>
        </w:rPr>
      </w:pPr>
      <w:r w:rsidRPr="00245C5A">
        <w:rPr>
          <w:rFonts w:ascii="SimHei" w:eastAsia="SimHei" w:hint="eastAsia"/>
        </w:rPr>
        <w:t>政府政策</w:t>
      </w:r>
    </w:p>
    <w:p w:rsidR="008538B6" w:rsidRDefault="008538B6" w:rsidP="008538B6">
      <w:pPr>
        <w:pStyle w:val="SingleTxt"/>
        <w:rPr>
          <w:rFonts w:hint="eastAsia"/>
        </w:rPr>
      </w:pPr>
      <w:r>
        <w:rPr>
          <w:rFonts w:hint="eastAsia"/>
        </w:rPr>
        <w:t>204.　《2011-2020年国家发展战略》将“确保所有所罗门群岛人都能获得高质量教育及可持续地满足国家人力资源需要”确定为目标4。这一目标表明所罗门群岛政府致力于为男孩和女孩提供平等受教育机会。但所罗门群岛的教育既非普及教育也非义务教育。</w:t>
      </w:r>
    </w:p>
    <w:p w:rsidR="008538B6" w:rsidRDefault="008538B6" w:rsidP="008538B6">
      <w:pPr>
        <w:pStyle w:val="SingleTxt"/>
        <w:rPr>
          <w:rFonts w:hint="eastAsia"/>
        </w:rPr>
      </w:pPr>
      <w:r>
        <w:rPr>
          <w:rFonts w:hint="eastAsia"/>
        </w:rPr>
        <w:t>205.　在族裔关系紧张期间(1998-2003年)，教育部门受到严重影响，无法为教师发薪金，也无法向学校提供业务赠款。为帮助重振教育部门，制订了《2004-2006年战略教育计划》。在此战略框架下，实施了《教育部门投资和改革方案》以重振教育部门并进行教育改革。此后，战略规划有所改进，且教育预算经费持续保持在国家预算的22%或以上。</w:t>
      </w:r>
    </w:p>
    <w:p w:rsidR="008538B6" w:rsidRDefault="008538B6" w:rsidP="008538B6">
      <w:pPr>
        <w:pStyle w:val="SingleTxt"/>
        <w:rPr>
          <w:rFonts w:hint="eastAsia"/>
        </w:rPr>
      </w:pPr>
      <w:r>
        <w:rPr>
          <w:rFonts w:hint="eastAsia"/>
        </w:rPr>
        <w:t>206.　自2005年以来，实施了社区高中举措。正在村庄和社区附近或内部修建社区中学，旨在解决性别平衡问题，包括使女孩能够获得中等教育。</w:t>
      </w:r>
    </w:p>
    <w:p w:rsidR="008538B6" w:rsidRDefault="008538B6" w:rsidP="008538B6">
      <w:pPr>
        <w:pStyle w:val="SingleTxt"/>
        <w:rPr>
          <w:rFonts w:hint="eastAsia"/>
        </w:rPr>
      </w:pPr>
      <w:r>
        <w:rPr>
          <w:rFonts w:hint="eastAsia"/>
        </w:rPr>
        <w:t>207.　2009年，所罗门群岛政府发布了《所罗门群岛基础教育政策声明与准则》。该项政策的战略目标是使所罗门群岛的所有儿童能够平等地获得高质量基础教育。政策的目标包括平等地向所有六岁至十五岁的儿童提供充分入学机会，并在2015年前实现所有六年级儿童100%地转入七年级。</w:t>
      </w:r>
    </w:p>
    <w:p w:rsidR="008538B6" w:rsidRDefault="008538B6" w:rsidP="008538B6">
      <w:pPr>
        <w:pStyle w:val="SingleTxt"/>
        <w:rPr>
          <w:rFonts w:hint="eastAsia"/>
        </w:rPr>
      </w:pPr>
      <w:r>
        <w:rPr>
          <w:rFonts w:hint="eastAsia"/>
        </w:rPr>
        <w:t>208.　所罗门群岛承认受教育机会是一项人权，而且自2009年初以来，实施了免费基础教育政策，以解决父母在付学费方面的困难。这项政策涵盖一至九年级学生；然而，该政策仅支付学校的运作费用。这意味着学校管理层仍可要求家长付费。这些费用不受监测，学校可提出其认为合适的任何费率。对所筹资金的使用方式没有进行监测或评价。2009年，一至六年级儿童(包括城市和农村学校)的人均费用为320所罗门群岛元。2010年，农村小学的儿童人均费用仍为320所罗门群岛元。然而，鉴于学校的水电成本，城市小学的人均费用涨至520所罗门群岛元。2011年，上述金额没有上涨。至于社区高中(七至九年级全日制学生)，2009年城市和农村地区的儿童人均费用为800所罗门群岛元。2010年，农村社区高中向每位儿童收取800所罗门群岛元，</w:t>
      </w:r>
      <w:r w:rsidRPr="004F23DB">
        <w:rPr>
          <w:rFonts w:hint="eastAsia"/>
          <w:spacing w:val="-6"/>
        </w:rPr>
        <w:t>城市社区高中则向每位儿童收取</w:t>
      </w:r>
      <w:r>
        <w:rPr>
          <w:rFonts w:hint="eastAsia"/>
        </w:rPr>
        <w:t>了1 000所罗门群岛元。城市学校计算出的额外费用反映了水电消耗。这些数额在2011年没有上涨。当在配备寄宿设施的中学推出“免费基础教育”政策时，为七至九年级儿童支付的人均费用为1 640所罗门群岛元。2010年，为城市和农村社区高中寄宿学生支付的人均费用涨至2 140所罗门群岛元。</w:t>
      </w:r>
    </w:p>
    <w:p w:rsidR="008538B6" w:rsidRDefault="008538B6" w:rsidP="008538B6">
      <w:pPr>
        <w:pStyle w:val="SingleTxt"/>
        <w:rPr>
          <w:rFonts w:hint="eastAsia"/>
        </w:rPr>
      </w:pPr>
      <w:r>
        <w:rPr>
          <w:rFonts w:hint="eastAsia"/>
        </w:rPr>
        <w:t>209.　教育和人力资源发展部认识到教育障碍，制订了2010</w:t>
      </w:r>
      <w:r>
        <w:t>-</w:t>
      </w:r>
      <w:r>
        <w:rPr>
          <w:rFonts w:hint="eastAsia"/>
        </w:rPr>
        <w:t>2012年《国家教育行动计划》。该计划的首要战略目标是给予所有所罗门群岛人平等接受教育的机会，不论其性别、族裔、宗教、地点或残疾状况。这将通过提供数量充足的学校、教室、课桌、宿舍及其他基础设施和政府财政支助予以实现。</w:t>
      </w:r>
    </w:p>
    <w:p w:rsidR="008538B6" w:rsidRDefault="008538B6" w:rsidP="008538B6">
      <w:pPr>
        <w:pStyle w:val="SingleTxt"/>
        <w:rPr>
          <w:rFonts w:hint="eastAsia"/>
        </w:rPr>
      </w:pPr>
      <w:r>
        <w:rPr>
          <w:rFonts w:hint="eastAsia"/>
        </w:rPr>
        <w:t>210.　2010年内阁核准的《高等教育政策声明与准则》规定，一项主要政策目标是“提供接受高质量高等教育的机会，消除边缘化群体在获得高等教育方面的机遇差距。”制定该政策的原则是确保所有人，包括来自所有省份的男子与妇女以及残疾学生平等地获得高等教育。</w:t>
      </w:r>
    </w:p>
    <w:p w:rsidR="008538B6" w:rsidRPr="00245C5A" w:rsidRDefault="008538B6" w:rsidP="008538B6">
      <w:pPr>
        <w:pStyle w:val="SingleTxt"/>
        <w:rPr>
          <w:rFonts w:ascii="SimHei" w:eastAsia="SimHei" w:hint="eastAsia"/>
        </w:rPr>
      </w:pPr>
      <w:r w:rsidRPr="00245C5A">
        <w:rPr>
          <w:rFonts w:ascii="SimHei" w:eastAsia="SimHei" w:hint="eastAsia"/>
        </w:rPr>
        <w:t>教育指标</w:t>
      </w:r>
    </w:p>
    <w:p w:rsidR="008538B6" w:rsidRDefault="008538B6" w:rsidP="008538B6">
      <w:pPr>
        <w:pStyle w:val="SingleTxt"/>
        <w:rPr>
          <w:rFonts w:hint="eastAsia"/>
        </w:rPr>
      </w:pPr>
      <w:r>
        <w:rPr>
          <w:rFonts w:hint="eastAsia"/>
        </w:rPr>
        <w:t xml:space="preserve">211.　</w:t>
      </w:r>
      <w:r w:rsidRPr="00245C5A">
        <w:rPr>
          <w:rFonts w:hint="eastAsia"/>
          <w:spacing w:val="-4"/>
        </w:rPr>
        <w:t>没有针对年轻人制订具体的扫盲目标。2003年，据称妇女识字率仅为17%。</w:t>
      </w:r>
      <w:r w:rsidRPr="00245C5A">
        <w:rPr>
          <w:rStyle w:val="FootnoteReference"/>
          <w:spacing w:val="-4"/>
        </w:rPr>
        <w:footnoteReference w:id="34"/>
      </w:r>
      <w:r>
        <w:rPr>
          <w:rFonts w:hint="eastAsia"/>
          <w:spacing w:val="-4"/>
        </w:rPr>
        <w:t xml:space="preserve"> </w:t>
      </w:r>
      <w:r w:rsidRPr="00245C5A">
        <w:rPr>
          <w:rFonts w:hint="eastAsia"/>
          <w:spacing w:val="-4"/>
        </w:rPr>
        <w:t>2007年所</w:t>
      </w:r>
      <w:r>
        <w:rPr>
          <w:rFonts w:hint="eastAsia"/>
        </w:rPr>
        <w:t>罗门群岛人口和健康调查发现，妇女的识字率为21%。2008年，</w:t>
      </w:r>
      <w:r w:rsidRPr="004F23DB">
        <w:rPr>
          <w:rFonts w:hint="eastAsia"/>
          <w:spacing w:val="-4"/>
        </w:rPr>
        <w:t>初中辍学率为26%，5 000多名青年实际上被推出了学校系统。高中辍学率为63%</w:t>
      </w:r>
      <w:r>
        <w:rPr>
          <w:rFonts w:hint="eastAsia"/>
        </w:rPr>
        <w:t>，有6 800多名学生被推出学校。</w:t>
      </w:r>
      <w:r>
        <w:rPr>
          <w:rStyle w:val="FootnoteReference"/>
        </w:rPr>
        <w:footnoteReference w:id="35"/>
      </w:r>
      <w:r>
        <w:rPr>
          <w:rFonts w:hint="eastAsia"/>
        </w:rPr>
        <w:t xml:space="preserve"> </w:t>
      </w:r>
    </w:p>
    <w:p w:rsidR="008538B6" w:rsidRDefault="008538B6" w:rsidP="008538B6">
      <w:pPr>
        <w:pStyle w:val="SingleTxt"/>
        <w:rPr>
          <w:rFonts w:hint="eastAsia"/>
        </w:rPr>
      </w:pPr>
      <w:r>
        <w:rPr>
          <w:rFonts w:hint="eastAsia"/>
        </w:rPr>
        <w:t>212.　2009年人口普查表明，6-12岁儿童的总体入学率为83.3%。男性入学率为82.8%，女性入学率为83.9%。15岁以上女性的识字率为79.2%，男性为88.9%。15-24岁年龄段的男女差距较小，据报告，女性识字率为88.4%，男性为90.5%。</w:t>
      </w:r>
    </w:p>
    <w:p w:rsidR="008538B6" w:rsidRDefault="008538B6" w:rsidP="008538B6">
      <w:pPr>
        <w:pStyle w:val="SingleTxt"/>
        <w:rPr>
          <w:rFonts w:hint="eastAsia"/>
        </w:rPr>
      </w:pPr>
      <w:r>
        <w:rPr>
          <w:rFonts w:hint="eastAsia"/>
        </w:rPr>
        <w:t>213.　近年来，教育和人力资源发展部在提升受教育机会方面取得了显著进展。2007至2009年，早期幼儿教育入学率提高了2.6%。2007年，接受早期幼儿教育的女性比例为49.2%，男性为50.8%。2009年，女性比例为48.4%，男性为52.6%。小学净入学率从2004年的85.9%增至2009年的99%。初中入学率的进展同样引人注目，2004至2009年期间净入学率从23.3%增至38%。</w:t>
      </w:r>
      <w:r>
        <w:rPr>
          <w:rStyle w:val="FootnoteReference"/>
        </w:rPr>
        <w:footnoteReference w:id="36"/>
      </w:r>
      <w:r>
        <w:rPr>
          <w:rFonts w:hint="eastAsia"/>
        </w:rPr>
        <w:t xml:space="preserve"> 2007-2009年期间，小学的性别均衡略有改善。2009年，小学女性比例为47.5%，男性比例为52.5%，而2007年女性比例为47.2%，男性比例为52.8%。在此期间，小学教育的学生总数从2004年的90 612人增至2009年的115 728人；学生人数增加25 116人。初中学生人数从2004年的16 231人增至2009年的24 847人，即增加了7 615名学生。</w:t>
      </w:r>
      <w:r>
        <w:rPr>
          <w:rStyle w:val="FootnoteReference"/>
        </w:rPr>
        <w:footnoteReference w:id="37"/>
      </w:r>
      <w:r>
        <w:rPr>
          <w:rFonts w:hint="eastAsia"/>
        </w:rPr>
        <w:t xml:space="preserve"> 2007-2009年期间的性别均衡也有所改善，2009年女性比例为46.4%，而2007年女性比例为45.3%。尽管在整个2007-2009年期间，高中教育入学率有所提高，但绝大多数学生是男性，而且这个教育层次的性别差距最大。现有数据表明，在整个2007-2009年期间，女性转入更高层次教育的升学率远低于男性。导致这种差距的一些因素包括：家庭规模较大、没有为罹患智力残障或严重身体残疾儿童提供设施、儿童缺乏父母支持、教师的行为和态度、家庭和个人的财政困难及粮食安全问题。</w:t>
      </w:r>
      <w:r>
        <w:rPr>
          <w:rStyle w:val="FootnoteReference"/>
        </w:rPr>
        <w:footnoteReference w:id="38"/>
      </w:r>
      <w:r>
        <w:rPr>
          <w:rFonts w:hint="eastAsia"/>
        </w:rPr>
        <w:t xml:space="preserve"> 其他因素包括女生宿舍数量少、上学路远及文化因素。</w:t>
      </w:r>
    </w:p>
    <w:p w:rsidR="008538B6" w:rsidRDefault="008538B6" w:rsidP="008538B6">
      <w:pPr>
        <w:pStyle w:val="SingleTxt"/>
        <w:rPr>
          <w:rFonts w:hint="eastAsia"/>
        </w:rPr>
      </w:pPr>
      <w:r>
        <w:rPr>
          <w:rFonts w:hint="eastAsia"/>
        </w:rPr>
        <w:t>214.　尽管入学数字有所改善，但在让所有儿童入学并确保他们完成九年基础教育周期方面仍然存在重大挑战。2007-2009年期间小学辍学率有所提高，从8%增至11%，特别是女孩辍学率(从7%增至11%)。2009年，马莱塔省的辍学率最高(18%)，但中部省(13%)、拉纳尔 省(12%)和泰莫图省也有很高的辍学率。</w:t>
      </w:r>
      <w:r>
        <w:rPr>
          <w:rStyle w:val="FootnoteReference"/>
        </w:rPr>
        <w:footnoteReference w:id="39"/>
      </w:r>
      <w:r>
        <w:rPr>
          <w:rFonts w:hint="eastAsia"/>
        </w:rPr>
        <w:t xml:space="preserve"> 在初中也显现出类似的负面趋势。初中辍学率从2007年的</w:t>
      </w:r>
      <w:r>
        <w:t>-</w:t>
      </w:r>
      <w:r>
        <w:rPr>
          <w:rFonts w:hint="eastAsia"/>
        </w:rPr>
        <w:t>1%增至2009年的4%。女孩辍学率高于男孩，分别为13%和</w:t>
      </w:r>
      <w:r>
        <w:t>-</w:t>
      </w:r>
      <w:r>
        <w:rPr>
          <w:rFonts w:hint="eastAsia"/>
        </w:rPr>
        <w:t>8%。乔伊索省和中部省的初中辍学率最高，分别为17%和18%。</w:t>
      </w:r>
    </w:p>
    <w:p w:rsidR="008538B6" w:rsidRDefault="008538B6" w:rsidP="008538B6">
      <w:pPr>
        <w:pStyle w:val="SingleTxt"/>
        <w:rPr>
          <w:rFonts w:hint="eastAsia"/>
        </w:rPr>
      </w:pPr>
      <w:r>
        <w:rPr>
          <w:rFonts w:hint="eastAsia"/>
        </w:rPr>
        <w:t>215.　入学率升高给学校系统及教师提供高质量教育的能力带来了压力。已经实现了相当高的入学率(尤其是小学)，但继续学业、完成学业、教师动力不足、教师旷工和水准低及学生出勤率时断时续等挑战仍然存在。来自农村和贫民窟地区的儿童以及残疾儿童在获得高质量教育方面仍然面临严重障碍。</w:t>
      </w:r>
    </w:p>
    <w:p w:rsidR="008538B6" w:rsidRDefault="008538B6" w:rsidP="008538B6">
      <w:pPr>
        <w:pStyle w:val="SingleTxt"/>
        <w:rPr>
          <w:rFonts w:hint="eastAsia"/>
        </w:rPr>
      </w:pPr>
      <w:r>
        <w:rPr>
          <w:rFonts w:hint="eastAsia"/>
        </w:rPr>
        <w:t>216.　此外，学生旷课是一个严重问题。2007年至2009年，中央省、拉纳尔和贝罗纳省及泰莫图省的旷课率有所恶化——中部省从6%升至7%；拉纳尔和贝罗纳省从2%升至3%；泰莫图省从5%升至7%。</w:t>
      </w:r>
    </w:p>
    <w:p w:rsidR="008538B6" w:rsidRDefault="008538B6" w:rsidP="008538B6">
      <w:pPr>
        <w:pStyle w:val="SingleTxt"/>
        <w:rPr>
          <w:rFonts w:hint="eastAsia"/>
        </w:rPr>
      </w:pPr>
      <w:r>
        <w:rPr>
          <w:rFonts w:hint="eastAsia"/>
        </w:rPr>
        <w:t>217.　初等教育的性别差距正在缩小，2007年小学女生对男生的比例是0.97,而1990年代为0.86。2008年，94%的女孩和95%的男孩接受了初等教育。中学教育的男女比率也显著改善，2007年的比例为0.84，而1991年为0.69。2006年，30%的女孩在初中就读。这一比例在2008年升至32%。然而，传闻表明，在送女孩入学方面仍然存在偏见。如果需要决定送男孩还是送女孩上学，家长往往先让男孩接受教育。性别差距随着教育层次升高而有所提高。已经为制定消除这些差距的政策作出了巨大努力，特别是提高了女孩在教育系统高级层次的参与度。同时还需提高教师的性别均等程度。</w:t>
      </w:r>
    </w:p>
    <w:p w:rsidR="008538B6" w:rsidRDefault="008538B6" w:rsidP="008538B6">
      <w:pPr>
        <w:pStyle w:val="SingleTxt"/>
        <w:rPr>
          <w:rFonts w:hint="eastAsia"/>
        </w:rPr>
      </w:pPr>
      <w:r>
        <w:rPr>
          <w:rFonts w:hint="eastAsia"/>
        </w:rPr>
        <w:t>218.　中等教育中女生特别面临的一个重要问题是缺乏宿舍设施。这意味着，需要寄宿以完成学业的女生由于没有女生宿舍而被推出系统之外。没有关于现有女生宿舍的分列数据，但通常而言，现有男生宿舍多于现有女生宿舍。</w:t>
      </w:r>
    </w:p>
    <w:p w:rsidR="008538B6" w:rsidRDefault="008538B6" w:rsidP="008538B6">
      <w:pPr>
        <w:pStyle w:val="SingleTxt"/>
        <w:rPr>
          <w:rFonts w:hint="eastAsia"/>
        </w:rPr>
      </w:pPr>
      <w:r>
        <w:rPr>
          <w:rFonts w:hint="eastAsia"/>
        </w:rPr>
        <w:t>219.　教育和人力资源发展部已极大改进了其数据收集系统。然而，该部将继续更多地关注学校分列数据的整理工作，以协助制订教育普及政策。该部承认需要加强对学校数据的监测，包括对父母付费支出情况的监测，以确保这些所付费用用于为所有儿童提供接受高质量教育的机会。</w:t>
      </w:r>
    </w:p>
    <w:p w:rsidR="008538B6" w:rsidRPr="00245C5A" w:rsidRDefault="008538B6" w:rsidP="008538B6">
      <w:pPr>
        <w:pStyle w:val="SingleTxt"/>
        <w:rPr>
          <w:rFonts w:ascii="SimHei" w:eastAsia="SimHei" w:hint="eastAsia"/>
        </w:rPr>
      </w:pPr>
      <w:r w:rsidRPr="00245C5A">
        <w:rPr>
          <w:rFonts w:ascii="SimHei" w:eastAsia="SimHei" w:hint="eastAsia"/>
        </w:rPr>
        <w:t>高等教育</w:t>
      </w:r>
    </w:p>
    <w:p w:rsidR="008538B6" w:rsidRDefault="008538B6" w:rsidP="008538B6">
      <w:pPr>
        <w:pStyle w:val="SingleTxt"/>
        <w:rPr>
          <w:rFonts w:hint="eastAsia"/>
        </w:rPr>
      </w:pPr>
      <w:r>
        <w:rPr>
          <w:rFonts w:hint="eastAsia"/>
        </w:rPr>
        <w:t>220.　两所主要的高等教育机构之一，是成立于1985年的所罗门群岛高等教育学院，该学院现为一所国立大学，</w:t>
      </w:r>
      <w:r>
        <w:rPr>
          <w:rStyle w:val="FootnoteReference"/>
        </w:rPr>
        <w:footnoteReference w:id="40"/>
      </w:r>
      <w:r>
        <w:rPr>
          <w:rFonts w:hint="eastAsia"/>
        </w:rPr>
        <w:t xml:space="preserve"> 并提供一系列与专业就业有关的证书和文凭课程，以及教学和商业领域的学士学位课程。2005年，共有1 756名学生就读于所罗门群岛高等教育学院，其中45%为女性，55%为男性。</w:t>
      </w:r>
      <w:r>
        <w:rPr>
          <w:rStyle w:val="FootnoteReference"/>
        </w:rPr>
        <w:footnoteReference w:id="41"/>
      </w:r>
      <w:r>
        <w:rPr>
          <w:rFonts w:hint="eastAsia"/>
        </w:rPr>
        <w:t xml:space="preserve"> 另一所重要高等教育机构是南太平洋大学霍尼亚拉中心，该中心以有人辅导的远距离学习课程方式，提供南太平洋大学的大多数课程。通过所罗门群岛政府或第三国奖学金的形式为海外留学提供了一些支助。没有说明上述教育机构在读学生构成的现有分列数据。</w:t>
      </w:r>
    </w:p>
    <w:p w:rsidR="008538B6" w:rsidRDefault="008538B6" w:rsidP="008538B6">
      <w:pPr>
        <w:pStyle w:val="SingleTxt"/>
        <w:rPr>
          <w:rFonts w:hint="eastAsia"/>
        </w:rPr>
      </w:pPr>
      <w:r>
        <w:rPr>
          <w:rFonts w:hint="eastAsia"/>
        </w:rPr>
        <w:t>221.　高等教育在女性参与方面显现出与中学类似的特征。2005年，在就读的所有1 756名学生中，972人为男孩，784人为女孩。教育和人力资源发展部《国家教育计划》(2007-2009)表明，就读的不同领域反映出有关妇女和男子角色的陈规定型观念。选择教育、护理、财务和行政管理等领域的多为妇女，而选择工业和资源相关领域的多为男子。在资源领域就读的女生人数不足，导致这些部门的女性就业不足。</w:t>
      </w:r>
      <w:r>
        <w:rPr>
          <w:rStyle w:val="FootnoteReference"/>
        </w:rPr>
        <w:footnoteReference w:id="42"/>
      </w:r>
      <w:r>
        <w:rPr>
          <w:rFonts w:hint="eastAsia"/>
        </w:rPr>
        <w:t xml:space="preserve"> </w:t>
      </w:r>
    </w:p>
    <w:p w:rsidR="008538B6" w:rsidRPr="00245C5A" w:rsidRDefault="008538B6" w:rsidP="008538B6">
      <w:pPr>
        <w:pStyle w:val="SingleTxt"/>
        <w:rPr>
          <w:rFonts w:ascii="SimHei" w:eastAsia="SimHei" w:hint="eastAsia"/>
        </w:rPr>
      </w:pPr>
      <w:r w:rsidRPr="00245C5A">
        <w:rPr>
          <w:rFonts w:ascii="SimHei" w:eastAsia="SimHei" w:hint="eastAsia"/>
        </w:rPr>
        <w:t>教育调查与研究</w:t>
      </w:r>
    </w:p>
    <w:p w:rsidR="008538B6" w:rsidRDefault="008538B6" w:rsidP="008538B6">
      <w:pPr>
        <w:pStyle w:val="SingleTxt"/>
        <w:rPr>
          <w:rFonts w:hint="eastAsia"/>
        </w:rPr>
      </w:pPr>
      <w:r>
        <w:rPr>
          <w:rFonts w:hint="eastAsia"/>
        </w:rPr>
        <w:t>222.　2008年，教育和人力资源发展部与发展伙伴共同成立了一个特别工作队，负责领导和执行一项研究，以确定基础教育层面的“教育障碍”。这项研究的宗旨是“确定导致无法入学及辍学的因素，从而支持教育和人力资源发展部执行各项战略，以提高基础教育周期的入学率和完成率”。</w:t>
      </w:r>
    </w:p>
    <w:p w:rsidR="008538B6" w:rsidRDefault="008538B6" w:rsidP="008538B6">
      <w:pPr>
        <w:pStyle w:val="SingleTxt"/>
        <w:rPr>
          <w:rFonts w:hint="eastAsia"/>
        </w:rPr>
      </w:pPr>
      <w:r>
        <w:rPr>
          <w:rFonts w:hint="eastAsia"/>
        </w:rPr>
        <w:t>223.　“教育障碍研究”的一个重要结论是，虽然所罗门群岛并未强制推行初等教育，但上小学已成为所罗门群岛童年生活的正常组成部分，很少有儿童完全不上学。根据对389个家庭的访谈，仅66名儿童(6.8%)被确定为没有上过学。这一群体的年龄各不相同，但基础教育周期两端的未入学儿童似乎较多。数据还显示，不上学的女孩(48%)多于男孩(33%)。然而必须指出，所罗门群岛教育管理信息系统的数据表明，在小学和初中层面几乎实现了两性均等，因此需要谨慎解释上述结论。家庭调查发现，25个家庭中至少有1名儿童一生中任何时候都从未上过学。这在家庭调查所涉儿童总数中约占6%。</w:t>
      </w:r>
      <w:r>
        <w:rPr>
          <w:rStyle w:val="FootnoteReference"/>
        </w:rPr>
        <w:footnoteReference w:id="43"/>
      </w:r>
      <w:r>
        <w:rPr>
          <w:rFonts w:hint="eastAsia"/>
        </w:rPr>
        <w:t xml:space="preserve"> </w:t>
      </w:r>
    </w:p>
    <w:p w:rsidR="008538B6" w:rsidRDefault="008538B6" w:rsidP="008538B6">
      <w:pPr>
        <w:pStyle w:val="SingleTxt"/>
        <w:rPr>
          <w:rFonts w:hint="eastAsia"/>
        </w:rPr>
      </w:pPr>
      <w:r>
        <w:rPr>
          <w:rFonts w:hint="eastAsia"/>
        </w:rPr>
        <w:t>224.　2010年，亚洲南太平洋基础和成人教育协会及所罗门群岛教育联盟在伊萨贝尔省及拉纳尔和贝罗纳省进行了扫盲研究。这项研究表明，在上述两省，据报告，从未上学的妇女多于男子。在伊萨贝尔省，9.7%的妇女报告说从未上过学，而男子为4.3%。在拉纳尔和贝罗纳省，这一数字是5.9%的妇女和2.9%的男子。调查还表明，两省男性完成中等教育的可能性是女性的两倍。对大学教育的调查结果表现出同样情况。在上述两省，接受高等教育的男性比例高于女性。在拉纳尔和贝罗纳省，11.6%的男性和5.45%的女性达到大学教育程度。在伊萨贝尔省，12.3%的男性和6.5%的女性达到大学教育程度。</w:t>
      </w:r>
    </w:p>
    <w:p w:rsidR="008538B6" w:rsidRDefault="008538B6" w:rsidP="008538B6">
      <w:pPr>
        <w:pStyle w:val="SingleTxt"/>
        <w:rPr>
          <w:rFonts w:hint="eastAsia"/>
        </w:rPr>
      </w:pPr>
      <w:r>
        <w:rPr>
          <w:rFonts w:hint="eastAsia"/>
        </w:rPr>
        <w:t>225.　2011年，进行了所罗门群岛政府-区域援助所罗门群岛特派团的第五次人民调查，以了解对所罗门群岛经济状况、治理及法律和秩序的看法。共有6个省及首都霍尼亚拉市参加了调查。共完成了4 972份问卷调查，并进行了70多个重点小组访谈。调查显示，有83%答复者的住所与一所小学相距一小时，其余大多数答复者可在两小时内到达一所小学。</w:t>
      </w:r>
    </w:p>
    <w:p w:rsidR="008538B6" w:rsidRPr="00245C5A" w:rsidRDefault="008538B6" w:rsidP="008538B6">
      <w:pPr>
        <w:pStyle w:val="SingleTxt"/>
        <w:rPr>
          <w:rFonts w:ascii="SimHei" w:eastAsia="SimHei" w:hint="eastAsia"/>
        </w:rPr>
      </w:pPr>
      <w:r w:rsidRPr="00245C5A">
        <w:rPr>
          <w:rFonts w:ascii="SimHei" w:eastAsia="SimHei" w:hint="eastAsia"/>
        </w:rPr>
        <w:t>残疾儿童</w:t>
      </w:r>
    </w:p>
    <w:p w:rsidR="008538B6" w:rsidRPr="002F6826" w:rsidRDefault="008538B6" w:rsidP="008538B6">
      <w:pPr>
        <w:pStyle w:val="SingleTxt"/>
        <w:rPr>
          <w:rFonts w:hint="eastAsia"/>
        </w:rPr>
      </w:pPr>
      <w:r>
        <w:rPr>
          <w:rFonts w:hint="eastAsia"/>
        </w:rPr>
        <w:t>226.　残疾儿童在学校教育领域仍然面临歧视。“太平洋残疾儿童”报告发现，残疾儿童所受教育非常有限。根据官方教育统计数据，仅有很小比例的残疾儿童正在上学。官方统计数字表明，2%的残疾儿童上了小学，1%上了初中，不到1%上了高中。这些上学的残疾儿童往往只读几年。显然，大多数农村地区的残疾儿童(所罗门群岛残疾儿童的主要组成部分)不上学。这通常是由于这些儿童必须步行到学校的距离，还由于教师的态度，因为他们缺乏信心去教导这些被视为能力不同的儿童。在霍尼亚拉，残疾儿童红十字会中心为约155名6个月至20岁的残疾儿童提供基本保健、教育和培训。该中心面向患有各种残疾的儿童，并设有早期干预股及物理治疗部门。该中心尝试尽可能将一些儿童重新纳入主流学校系统，并在此方面取得了一些成功。一些聋哑儿童随后进入San Isidro照管中心，这是面向聋哑青年的农村培训中心，传授农业、家政学和生活技能。</w:t>
      </w:r>
      <w:r>
        <w:rPr>
          <w:rStyle w:val="FootnoteReference"/>
        </w:rPr>
        <w:footnoteReference w:id="44"/>
      </w:r>
      <w:r>
        <w:rPr>
          <w:rFonts w:hint="eastAsia"/>
        </w:rPr>
        <w:t xml:space="preserve"> 没有关于残疾儿童上学情况的分列数据。</w:t>
      </w:r>
      <w:r>
        <w:rPr>
          <w:rFonts w:hint="eastAsia"/>
        </w:rPr>
        <w:tab/>
      </w:r>
    </w:p>
    <w:p w:rsidR="0080267F" w:rsidRPr="006C14AA" w:rsidRDefault="0080267F" w:rsidP="0080267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6C14AA">
        <w:rPr>
          <w:rFonts w:hint="eastAsia"/>
        </w:rPr>
        <w:tab/>
      </w:r>
      <w:r w:rsidRPr="006C14AA">
        <w:rPr>
          <w:rFonts w:hint="eastAsia"/>
        </w:rPr>
        <w:tab/>
        <w:t>教育与怀孕</w:t>
      </w:r>
    </w:p>
    <w:p w:rsidR="0080267F" w:rsidRPr="0080267F" w:rsidRDefault="0080267F" w:rsidP="0080267F">
      <w:pPr>
        <w:pStyle w:val="SingleTxt"/>
        <w:spacing w:after="0" w:line="120" w:lineRule="exact"/>
        <w:ind w:right="0"/>
        <w:rPr>
          <w:rFonts w:hint="eastAsia"/>
          <w:sz w:val="10"/>
        </w:rPr>
      </w:pPr>
    </w:p>
    <w:p w:rsidR="0080267F" w:rsidRPr="006C14AA" w:rsidRDefault="0080267F" w:rsidP="0023041C">
      <w:pPr>
        <w:pStyle w:val="SingleTxt"/>
        <w:rPr>
          <w:rFonts w:hint="eastAsia"/>
        </w:rPr>
      </w:pPr>
      <w:r w:rsidRPr="006C14AA">
        <w:rPr>
          <w:rFonts w:hint="eastAsia"/>
        </w:rPr>
        <w:t>227.　女生怀孕有可能被学校开除。目前没有保护怀孕女生受教育权利的国家政策或战略。相关学校自行决定怀孕女生是否可以继续上学。包括宗教学校在内的所有学校的现行做法都是开除怀孕女生。虽然没有因怀孕被开除的女生人数的数据，但传闻表明，全国各地大部分学校都存在这样的作法。目前尚未制订和执行让怀孕女生能够继续上学的政策或战略。而与女生发生性关系并导致其怀孕的男生却很少受到同类惩罚。</w:t>
      </w:r>
    </w:p>
    <w:p w:rsidR="0080267F" w:rsidRPr="006C14AA" w:rsidRDefault="0080267F" w:rsidP="0080267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6C14AA">
        <w:rPr>
          <w:rFonts w:hint="eastAsia"/>
        </w:rPr>
        <w:tab/>
      </w:r>
      <w:r w:rsidRPr="006C14AA">
        <w:rPr>
          <w:rFonts w:hint="eastAsia"/>
        </w:rPr>
        <w:tab/>
        <w:t>审查课程设置</w:t>
      </w:r>
    </w:p>
    <w:p w:rsidR="0080267F" w:rsidRPr="0080267F" w:rsidRDefault="0080267F" w:rsidP="0080267F">
      <w:pPr>
        <w:pStyle w:val="SingleTxt"/>
        <w:spacing w:after="0" w:line="120" w:lineRule="exact"/>
        <w:ind w:right="0"/>
        <w:rPr>
          <w:rFonts w:hint="eastAsia"/>
          <w:sz w:val="10"/>
        </w:rPr>
      </w:pPr>
    </w:p>
    <w:p w:rsidR="0080267F" w:rsidRPr="006C14AA" w:rsidRDefault="0080267F" w:rsidP="0023041C">
      <w:pPr>
        <w:pStyle w:val="SingleTxt"/>
        <w:rPr>
          <w:rFonts w:hint="eastAsia"/>
        </w:rPr>
      </w:pPr>
      <w:r w:rsidRPr="006C14AA">
        <w:rPr>
          <w:rFonts w:hint="eastAsia"/>
        </w:rPr>
        <w:t>228.　虽然没有把性健康和生殖健康教育纳入课程表的法律要求，但根据健康教育教学大纲，小学必须有这样的课程。学生家长特别抵制将其强制纳入课程表。</w:t>
      </w:r>
    </w:p>
    <w:p w:rsidR="0080267F" w:rsidRPr="006C14AA" w:rsidRDefault="0080267F" w:rsidP="0023041C">
      <w:pPr>
        <w:pStyle w:val="SingleTxt"/>
        <w:rPr>
          <w:rFonts w:hint="eastAsia"/>
        </w:rPr>
      </w:pPr>
      <w:r w:rsidRPr="006C14AA">
        <w:rPr>
          <w:rFonts w:hint="eastAsia"/>
        </w:rPr>
        <w:t xml:space="preserve">229.　在2011年5月的普遍定期审议中，所罗门群岛政府承认需要并表示愿意把人权作为一门课程。已开始审查课程表和教材，作为落实这项工作的第一步。2011年开始审查8年级的社会科学教科书。教科书将包括三个人权章节，内容包括：规则、法律和司法制度——法院和法律在保护《宪法》保障所罗门群岛公民享有的人权和基本自由方面发挥的作用；性别不平等——如何在所罗门群岛社会各阶层鼓励性别平等；妇女与领导——妇女角色的变化以及妇女在社会中面临的障碍。预计更新的教科书将在2013年供学校使用。   </w:t>
      </w:r>
    </w:p>
    <w:p w:rsidR="0080267F" w:rsidRPr="006C14AA" w:rsidRDefault="0080267F" w:rsidP="0023041C">
      <w:pPr>
        <w:pStyle w:val="SingleTxt"/>
        <w:rPr>
          <w:rFonts w:hint="eastAsia"/>
        </w:rPr>
      </w:pPr>
      <w:r w:rsidRPr="006C14AA">
        <w:rPr>
          <w:rFonts w:hint="eastAsia"/>
        </w:rPr>
        <w:t>230.　教育和人力资源发展部除审查教科书和其他教材外，还一直在审查课程设置。这一审查从2005年开始，将在2013年完成。审查考虑在社会学教学大纲中纳入性别平等、妇女领导和暴力侵害妇女行为的问题。选修和必修课程的种类也受到审查。审查考虑在中学三年级前将所有科目作为必修课，而不是把家政学和工艺作为选修课。审查还考虑在中学四年级前发展技术和学术两方面的教育。</w:t>
      </w:r>
    </w:p>
    <w:p w:rsidR="0080267F" w:rsidRPr="006C14AA" w:rsidRDefault="0080267F" w:rsidP="0023041C">
      <w:pPr>
        <w:pStyle w:val="SingleTxt"/>
        <w:rPr>
          <w:rFonts w:hint="eastAsia"/>
        </w:rPr>
      </w:pPr>
      <w:r w:rsidRPr="006C14AA">
        <w:rPr>
          <w:rFonts w:hint="eastAsia"/>
        </w:rPr>
        <w:t>231.　目前，年轻人接受职业教育和非正规教育的机会不足，青年妇女的机会更有限。2010年职业学校的总招生人数是2 228人，2011年这一数字增加到2 600人。两年的女生入学人数分别为</w:t>
      </w:r>
      <w:r>
        <w:rPr>
          <w:rFonts w:hint="eastAsia"/>
        </w:rPr>
        <w:t>509</w:t>
      </w:r>
      <w:r w:rsidRPr="006C14AA">
        <w:rPr>
          <w:rFonts w:hint="eastAsia"/>
        </w:rPr>
        <w:t>人和576人。职业学校提供的课程包括机械、农业、生活技能、基本电工、基本木工、水暖、接待服务、生态旅游和商业技能。</w:t>
      </w:r>
    </w:p>
    <w:p w:rsidR="0080267F" w:rsidRPr="006C14AA" w:rsidRDefault="0080267F" w:rsidP="0080267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6C14AA">
        <w:rPr>
          <w:rFonts w:hint="eastAsia"/>
        </w:rPr>
        <w:tab/>
      </w:r>
      <w:r w:rsidRPr="006C14AA">
        <w:rPr>
          <w:rFonts w:hint="eastAsia"/>
        </w:rPr>
        <w:tab/>
        <w:t>教育工作人员人数</w:t>
      </w:r>
    </w:p>
    <w:p w:rsidR="0080267F" w:rsidRPr="0080267F" w:rsidRDefault="0080267F" w:rsidP="0080267F">
      <w:pPr>
        <w:pStyle w:val="SingleTxt"/>
        <w:spacing w:after="0" w:line="120" w:lineRule="exact"/>
        <w:ind w:right="0"/>
        <w:rPr>
          <w:rFonts w:hint="eastAsia"/>
          <w:sz w:val="10"/>
        </w:rPr>
      </w:pPr>
    </w:p>
    <w:p w:rsidR="0080267F" w:rsidRPr="006C14AA" w:rsidRDefault="0080267F" w:rsidP="0023041C">
      <w:pPr>
        <w:pStyle w:val="SingleTxt"/>
        <w:rPr>
          <w:rFonts w:hint="eastAsia"/>
        </w:rPr>
      </w:pPr>
      <w:r w:rsidRPr="006C14AA">
        <w:rPr>
          <w:rFonts w:hint="eastAsia"/>
        </w:rPr>
        <w:t>232.　教育和人力资源发展部的工作人员主要为男性。2009年，该部共有215个已填补职位，其中173个职位(80%)为男性工作人员，42个职位(20%)为女性工作人员。虽然2010年妇女人数确有增加，但该部仍由男子主导。2010年，在共计232个职位中，151个职位(65%)为男性工作人员，81个职位(35%)为女性工作人员。这些数字是该部的常设职位，不包括教师。</w:t>
      </w:r>
    </w:p>
    <w:p w:rsidR="0080267F" w:rsidRPr="006C14AA" w:rsidRDefault="0080267F" w:rsidP="0023041C">
      <w:pPr>
        <w:pStyle w:val="SingleTxt"/>
        <w:rPr>
          <w:rFonts w:hint="eastAsia"/>
        </w:rPr>
      </w:pPr>
      <w:r w:rsidRPr="006C14AA">
        <w:rPr>
          <w:rFonts w:hint="eastAsia"/>
        </w:rPr>
        <w:t>233.　总的说来，男教师的人数超过女教师，但早期幼儿教育除外。2008年，早期幼儿教育女教师人数为893人，男教师人数为167人。2009年，早期幼儿教育女教师人数为936人，男教师人数为162人。小学的男教师人数超过女教师。2008年，小学女教师人数为1 931人，男教师人数为2 429人。2009年，女教师人数为2 170人，男教师人数为2 695人。中学教育中的男女教师人数差距更大。2008年，中学女教师人数为397人，男教师人数为997人。2009年，女教师人数为404人，男教师人数为1 015人。</w:t>
      </w:r>
    </w:p>
    <w:p w:rsidR="0080267F" w:rsidRPr="006C14AA" w:rsidRDefault="0080267F" w:rsidP="0023041C">
      <w:pPr>
        <w:pStyle w:val="SingleTxt"/>
        <w:rPr>
          <w:rFonts w:hint="eastAsia"/>
        </w:rPr>
      </w:pPr>
      <w:r w:rsidRPr="006C14AA">
        <w:rPr>
          <w:rFonts w:hint="eastAsia"/>
        </w:rPr>
        <w:t xml:space="preserve">234.　在学校担任管理职务的男教师人数也多于担任管理职务的女教师人数。学校管理职务包括小学校长和中学副校长和校长。2007年，在小学教育中担任管理职务的女教师为163人，男教师为625人。2008年，担任小学教育管理职务的女教师为168人，男教师为649人。2009年，男女教师之间的差距继续扩大，担任小学教育管理职务的女教师为183人，男教师为702人。在中学教育中，男女教师之间的差距更大。2007年，担任中学教育管理职务的女教师共有26人，男教师共有194人。这些数字在2008年分别增至28人和217人。2009年，这一差距继续扩大，担任中学教育管理职务的女教师为29人，男教师为241人。目前没有增加教育系统中担任管理职务的女教师人数的战略或进程。此外，目前也没有减少男女教师人数差距的政策或战略。   </w:t>
      </w:r>
    </w:p>
    <w:p w:rsidR="0080267F" w:rsidRPr="006C14AA" w:rsidRDefault="0080267F" w:rsidP="0080267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rFonts w:hint="eastAsia"/>
        </w:rPr>
      </w:pPr>
      <w:r w:rsidRPr="006C14AA">
        <w:rPr>
          <w:rFonts w:hint="eastAsia"/>
        </w:rPr>
        <w:tab/>
      </w:r>
      <w:r w:rsidRPr="006C14AA">
        <w:rPr>
          <w:rFonts w:hint="eastAsia"/>
        </w:rPr>
        <w:tab/>
        <w:t>按教育级别和性别分列的2006-2010年入学人数(2006-2008年、2007-2009年和2008-2010年业绩评估框架)</w:t>
      </w:r>
    </w:p>
    <w:tbl>
      <w:tblPr>
        <w:tblW w:w="0" w:type="auto"/>
        <w:tblInd w:w="1260" w:type="dxa"/>
        <w:tblLayout w:type="fixed"/>
        <w:tblCellMar>
          <w:left w:w="0" w:type="dxa"/>
          <w:right w:w="0" w:type="dxa"/>
        </w:tblCellMar>
        <w:tblLook w:val="0000"/>
      </w:tblPr>
      <w:tblGrid>
        <w:gridCol w:w="1708"/>
        <w:gridCol w:w="1151"/>
        <w:gridCol w:w="1183"/>
        <w:gridCol w:w="1087"/>
        <w:gridCol w:w="1088"/>
        <w:gridCol w:w="1103"/>
      </w:tblGrid>
      <w:tr w:rsidR="0080267F" w:rsidRPr="001F22AE" w:rsidTr="0023041C">
        <w:tblPrEx>
          <w:tblCellMar>
            <w:top w:w="0" w:type="dxa"/>
            <w:bottom w:w="0" w:type="dxa"/>
          </w:tblCellMar>
        </w:tblPrEx>
        <w:trPr>
          <w:tblHeader/>
        </w:trPr>
        <w:tc>
          <w:tcPr>
            <w:tcW w:w="1708" w:type="dxa"/>
            <w:tcBorders>
              <w:top w:val="single" w:sz="4" w:space="0" w:color="auto"/>
              <w:bottom w:val="single" w:sz="12" w:space="0" w:color="auto"/>
            </w:tcBorders>
            <w:shd w:val="clear" w:color="auto" w:fill="auto"/>
            <w:vAlign w:val="bottom"/>
          </w:tcPr>
          <w:p w:rsidR="0080267F" w:rsidRPr="001F22AE" w:rsidRDefault="0080267F" w:rsidP="0023041C">
            <w:pPr>
              <w:suppressAutoHyphens/>
              <w:spacing w:before="60" w:after="60" w:line="200" w:lineRule="exact"/>
              <w:ind w:right="57"/>
              <w:rPr>
                <w:rFonts w:ascii="KaiTi_GB2312" w:eastAsia="KaiTi_GB2312" w:hAnsi="STZhongsong"/>
                <w:sz w:val="15"/>
              </w:rPr>
            </w:pPr>
            <w:r w:rsidRPr="001F22AE">
              <w:rPr>
                <w:rFonts w:ascii="KaiTi_GB2312" w:eastAsia="KaiTi_GB2312" w:hAnsi="STZhongsong" w:hint="eastAsia"/>
                <w:sz w:val="15"/>
                <w:lang w:val="zh-CN"/>
              </w:rPr>
              <w:t>级别</w:t>
            </w:r>
          </w:p>
        </w:tc>
        <w:tc>
          <w:tcPr>
            <w:tcW w:w="1151" w:type="dxa"/>
            <w:tcBorders>
              <w:top w:val="single" w:sz="4" w:space="0" w:color="auto"/>
              <w:bottom w:val="single" w:sz="12" w:space="0" w:color="auto"/>
            </w:tcBorders>
            <w:shd w:val="clear" w:color="auto" w:fill="auto"/>
            <w:vAlign w:val="bottom"/>
          </w:tcPr>
          <w:p w:rsidR="0080267F" w:rsidRPr="001F22AE" w:rsidRDefault="0080267F" w:rsidP="0023041C">
            <w:pPr>
              <w:suppressAutoHyphens/>
              <w:spacing w:before="60" w:after="60" w:line="200" w:lineRule="exact"/>
              <w:ind w:right="57"/>
              <w:jc w:val="right"/>
              <w:rPr>
                <w:rFonts w:ascii="KaiTi_GB2312" w:eastAsia="KaiTi_GB2312" w:hAnsi="STZhongsong"/>
                <w:sz w:val="15"/>
              </w:rPr>
            </w:pPr>
            <w:r w:rsidRPr="001F22AE">
              <w:rPr>
                <w:rFonts w:ascii="KaiTi_GB2312" w:eastAsia="KaiTi_GB2312" w:hAnsi="STZhongsong"/>
                <w:noProof/>
                <w:sz w:val="15"/>
              </w:rPr>
              <w:t>2006</w:t>
            </w:r>
            <w:r w:rsidRPr="001F22AE">
              <w:rPr>
                <w:rFonts w:ascii="KaiTi_GB2312" w:eastAsia="KaiTi_GB2312" w:hAnsi="STZhongsong" w:hint="eastAsia"/>
                <w:noProof/>
                <w:sz w:val="15"/>
              </w:rPr>
              <w:t>年</w:t>
            </w:r>
          </w:p>
        </w:tc>
        <w:tc>
          <w:tcPr>
            <w:tcW w:w="1183" w:type="dxa"/>
            <w:tcBorders>
              <w:top w:val="single" w:sz="4" w:space="0" w:color="auto"/>
              <w:bottom w:val="single" w:sz="12" w:space="0" w:color="auto"/>
            </w:tcBorders>
            <w:shd w:val="clear" w:color="auto" w:fill="auto"/>
            <w:vAlign w:val="bottom"/>
          </w:tcPr>
          <w:p w:rsidR="0080267F" w:rsidRPr="001F22AE" w:rsidRDefault="0080267F" w:rsidP="0023041C">
            <w:pPr>
              <w:suppressAutoHyphens/>
              <w:spacing w:before="60" w:after="60" w:line="200" w:lineRule="exact"/>
              <w:ind w:right="57"/>
              <w:jc w:val="right"/>
              <w:rPr>
                <w:rFonts w:ascii="KaiTi_GB2312" w:eastAsia="KaiTi_GB2312" w:hAnsi="STZhongsong"/>
                <w:sz w:val="15"/>
              </w:rPr>
            </w:pPr>
            <w:r w:rsidRPr="001F22AE">
              <w:rPr>
                <w:rFonts w:ascii="KaiTi_GB2312" w:eastAsia="KaiTi_GB2312" w:hAnsi="STZhongsong"/>
                <w:noProof/>
                <w:sz w:val="15"/>
              </w:rPr>
              <w:t>2007</w:t>
            </w:r>
            <w:r w:rsidRPr="001F22AE">
              <w:rPr>
                <w:rFonts w:ascii="KaiTi_GB2312" w:eastAsia="KaiTi_GB2312" w:hAnsi="STZhongsong" w:hint="eastAsia"/>
                <w:noProof/>
                <w:sz w:val="15"/>
              </w:rPr>
              <w:t>年</w:t>
            </w:r>
          </w:p>
        </w:tc>
        <w:tc>
          <w:tcPr>
            <w:tcW w:w="1087" w:type="dxa"/>
            <w:tcBorders>
              <w:top w:val="single" w:sz="4" w:space="0" w:color="auto"/>
              <w:bottom w:val="single" w:sz="12" w:space="0" w:color="auto"/>
            </w:tcBorders>
            <w:shd w:val="clear" w:color="auto" w:fill="auto"/>
            <w:vAlign w:val="bottom"/>
          </w:tcPr>
          <w:p w:rsidR="0080267F" w:rsidRPr="001F22AE" w:rsidRDefault="0080267F" w:rsidP="0023041C">
            <w:pPr>
              <w:suppressAutoHyphens/>
              <w:spacing w:before="60" w:after="60" w:line="200" w:lineRule="exact"/>
              <w:ind w:right="57"/>
              <w:jc w:val="right"/>
              <w:rPr>
                <w:rFonts w:ascii="KaiTi_GB2312" w:eastAsia="KaiTi_GB2312" w:hAnsi="STZhongsong"/>
                <w:sz w:val="15"/>
              </w:rPr>
            </w:pPr>
            <w:r w:rsidRPr="001F22AE">
              <w:rPr>
                <w:rFonts w:ascii="KaiTi_GB2312" w:eastAsia="KaiTi_GB2312" w:hAnsi="STZhongsong"/>
                <w:noProof/>
                <w:sz w:val="15"/>
              </w:rPr>
              <w:t>2008</w:t>
            </w:r>
            <w:r w:rsidRPr="001F22AE">
              <w:rPr>
                <w:rFonts w:ascii="KaiTi_GB2312" w:eastAsia="KaiTi_GB2312" w:hAnsi="STZhongsong" w:hint="eastAsia"/>
                <w:noProof/>
                <w:sz w:val="15"/>
              </w:rPr>
              <w:t>年</w:t>
            </w:r>
          </w:p>
        </w:tc>
        <w:tc>
          <w:tcPr>
            <w:tcW w:w="1088" w:type="dxa"/>
            <w:tcBorders>
              <w:top w:val="single" w:sz="4" w:space="0" w:color="auto"/>
              <w:bottom w:val="single" w:sz="12" w:space="0" w:color="auto"/>
            </w:tcBorders>
            <w:shd w:val="clear" w:color="auto" w:fill="auto"/>
            <w:vAlign w:val="bottom"/>
          </w:tcPr>
          <w:p w:rsidR="0080267F" w:rsidRPr="001F22AE" w:rsidRDefault="0080267F" w:rsidP="0023041C">
            <w:pPr>
              <w:suppressAutoHyphens/>
              <w:spacing w:before="60" w:after="60" w:line="200" w:lineRule="exact"/>
              <w:ind w:right="57"/>
              <w:jc w:val="right"/>
              <w:rPr>
                <w:rFonts w:ascii="KaiTi_GB2312" w:eastAsia="KaiTi_GB2312" w:hAnsi="STZhongsong"/>
                <w:sz w:val="15"/>
              </w:rPr>
            </w:pPr>
            <w:r w:rsidRPr="001F22AE">
              <w:rPr>
                <w:rFonts w:ascii="KaiTi_GB2312" w:eastAsia="KaiTi_GB2312" w:hAnsi="STZhongsong"/>
                <w:noProof/>
                <w:sz w:val="15"/>
              </w:rPr>
              <w:t>2009</w:t>
            </w:r>
            <w:r w:rsidRPr="001F22AE">
              <w:rPr>
                <w:rFonts w:ascii="KaiTi_GB2312" w:eastAsia="KaiTi_GB2312" w:hAnsi="STZhongsong" w:hint="eastAsia"/>
                <w:noProof/>
                <w:sz w:val="15"/>
              </w:rPr>
              <w:t>年</w:t>
            </w:r>
          </w:p>
        </w:tc>
        <w:tc>
          <w:tcPr>
            <w:tcW w:w="1103" w:type="dxa"/>
            <w:tcBorders>
              <w:top w:val="single" w:sz="4" w:space="0" w:color="auto"/>
              <w:bottom w:val="single" w:sz="12" w:space="0" w:color="auto"/>
            </w:tcBorders>
            <w:shd w:val="clear" w:color="auto" w:fill="auto"/>
            <w:vAlign w:val="bottom"/>
          </w:tcPr>
          <w:p w:rsidR="0080267F" w:rsidRPr="001F22AE" w:rsidRDefault="0080267F" w:rsidP="0023041C">
            <w:pPr>
              <w:suppressAutoHyphens/>
              <w:spacing w:before="60" w:after="60" w:line="200" w:lineRule="exact"/>
              <w:ind w:right="57"/>
              <w:jc w:val="right"/>
              <w:rPr>
                <w:rFonts w:ascii="KaiTi_GB2312" w:eastAsia="KaiTi_GB2312" w:hAnsi="STZhongsong"/>
                <w:sz w:val="15"/>
              </w:rPr>
            </w:pPr>
            <w:r w:rsidRPr="001F22AE">
              <w:rPr>
                <w:rFonts w:ascii="KaiTi_GB2312" w:eastAsia="KaiTi_GB2312" w:hAnsi="STZhongsong"/>
                <w:noProof/>
                <w:sz w:val="15"/>
              </w:rPr>
              <w:t>2010</w:t>
            </w:r>
            <w:r w:rsidRPr="001F22AE">
              <w:rPr>
                <w:rFonts w:ascii="KaiTi_GB2312" w:eastAsia="KaiTi_GB2312" w:hAnsi="STZhongsong" w:hint="eastAsia"/>
                <w:noProof/>
                <w:sz w:val="15"/>
              </w:rPr>
              <w:t>年</w:t>
            </w:r>
          </w:p>
        </w:tc>
      </w:tr>
      <w:tr w:rsidR="0080267F" w:rsidRPr="001F22AE" w:rsidTr="0023041C">
        <w:tblPrEx>
          <w:tblCellMar>
            <w:top w:w="0" w:type="dxa"/>
            <w:bottom w:w="0" w:type="dxa"/>
          </w:tblCellMar>
        </w:tblPrEx>
        <w:trPr>
          <w:trHeight w:hRule="exact" w:val="115"/>
          <w:tblHeader/>
        </w:trPr>
        <w:tc>
          <w:tcPr>
            <w:tcW w:w="1708" w:type="dxa"/>
            <w:tcBorders>
              <w:top w:val="single" w:sz="12" w:space="0" w:color="auto"/>
            </w:tcBorders>
            <w:shd w:val="clear" w:color="auto" w:fill="auto"/>
            <w:vAlign w:val="bottom"/>
          </w:tcPr>
          <w:p w:rsidR="0080267F" w:rsidRPr="001F22AE" w:rsidRDefault="0080267F" w:rsidP="0023041C">
            <w:pPr>
              <w:suppressAutoHyphens/>
              <w:autoSpaceDE w:val="0"/>
              <w:autoSpaceDN w:val="0"/>
              <w:adjustRightInd w:val="0"/>
              <w:spacing w:after="60" w:line="280" w:lineRule="exact"/>
              <w:ind w:right="57"/>
              <w:rPr>
                <w:rFonts w:ascii="STZhongsong" w:hAnsi="STZhongsong" w:hint="eastAsia"/>
                <w:b/>
                <w:sz w:val="17"/>
                <w:lang w:val="zh-CN"/>
              </w:rPr>
            </w:pPr>
          </w:p>
        </w:tc>
        <w:tc>
          <w:tcPr>
            <w:tcW w:w="1151" w:type="dxa"/>
            <w:tcBorders>
              <w:top w:val="single" w:sz="12" w:space="0" w:color="auto"/>
            </w:tcBorders>
            <w:shd w:val="clear" w:color="auto" w:fill="auto"/>
            <w:vAlign w:val="bottom"/>
          </w:tcPr>
          <w:p w:rsidR="0080267F" w:rsidRPr="001F22AE" w:rsidRDefault="0080267F" w:rsidP="0023041C">
            <w:pPr>
              <w:suppressAutoHyphens/>
              <w:spacing w:after="60" w:line="280" w:lineRule="exact"/>
              <w:ind w:right="57"/>
              <w:jc w:val="right"/>
              <w:rPr>
                <w:rFonts w:ascii="STZhongsong" w:hAnsi="STZhongsong"/>
                <w:sz w:val="17"/>
              </w:rPr>
            </w:pPr>
          </w:p>
        </w:tc>
        <w:tc>
          <w:tcPr>
            <w:tcW w:w="1183" w:type="dxa"/>
            <w:tcBorders>
              <w:top w:val="single" w:sz="12" w:space="0" w:color="auto"/>
            </w:tcBorders>
            <w:shd w:val="clear" w:color="auto" w:fill="auto"/>
            <w:vAlign w:val="bottom"/>
          </w:tcPr>
          <w:p w:rsidR="0080267F" w:rsidRPr="001F22AE" w:rsidRDefault="0080267F" w:rsidP="0023041C">
            <w:pPr>
              <w:suppressAutoHyphens/>
              <w:spacing w:after="60" w:line="280" w:lineRule="exact"/>
              <w:ind w:right="57"/>
              <w:jc w:val="right"/>
              <w:rPr>
                <w:rFonts w:ascii="STZhongsong" w:hAnsi="STZhongsong"/>
                <w:sz w:val="17"/>
              </w:rPr>
            </w:pPr>
          </w:p>
        </w:tc>
        <w:tc>
          <w:tcPr>
            <w:tcW w:w="1087" w:type="dxa"/>
            <w:tcBorders>
              <w:top w:val="single" w:sz="12" w:space="0" w:color="auto"/>
            </w:tcBorders>
            <w:shd w:val="clear" w:color="auto" w:fill="auto"/>
            <w:vAlign w:val="bottom"/>
          </w:tcPr>
          <w:p w:rsidR="0080267F" w:rsidRPr="001F22AE" w:rsidRDefault="0080267F" w:rsidP="0023041C">
            <w:pPr>
              <w:suppressAutoHyphens/>
              <w:spacing w:after="60" w:line="280" w:lineRule="exact"/>
              <w:ind w:right="57"/>
              <w:jc w:val="right"/>
              <w:rPr>
                <w:rFonts w:ascii="STZhongsong" w:hAnsi="STZhongsong"/>
                <w:sz w:val="17"/>
              </w:rPr>
            </w:pPr>
          </w:p>
        </w:tc>
        <w:tc>
          <w:tcPr>
            <w:tcW w:w="1088" w:type="dxa"/>
            <w:tcBorders>
              <w:top w:val="single" w:sz="12" w:space="0" w:color="auto"/>
            </w:tcBorders>
            <w:shd w:val="clear" w:color="auto" w:fill="auto"/>
            <w:vAlign w:val="bottom"/>
          </w:tcPr>
          <w:p w:rsidR="0080267F" w:rsidRPr="001F22AE" w:rsidRDefault="0080267F" w:rsidP="0023041C">
            <w:pPr>
              <w:suppressAutoHyphens/>
              <w:spacing w:after="60" w:line="280" w:lineRule="exact"/>
              <w:ind w:right="57"/>
              <w:jc w:val="right"/>
              <w:rPr>
                <w:rFonts w:ascii="STZhongsong" w:hAnsi="STZhongsong"/>
                <w:sz w:val="17"/>
              </w:rPr>
            </w:pPr>
          </w:p>
        </w:tc>
        <w:tc>
          <w:tcPr>
            <w:tcW w:w="1103" w:type="dxa"/>
            <w:tcBorders>
              <w:top w:val="single" w:sz="12" w:space="0" w:color="auto"/>
            </w:tcBorders>
            <w:shd w:val="clear" w:color="auto" w:fill="auto"/>
            <w:vAlign w:val="bottom"/>
          </w:tcPr>
          <w:p w:rsidR="0080267F" w:rsidRPr="001F22AE" w:rsidRDefault="0080267F" w:rsidP="0023041C">
            <w:pPr>
              <w:suppressAutoHyphens/>
              <w:spacing w:after="60" w:line="280" w:lineRule="exact"/>
              <w:ind w:right="57"/>
              <w:jc w:val="right"/>
              <w:rPr>
                <w:rFonts w:ascii="STZhongsong" w:hAnsi="STZhongsong"/>
                <w:sz w:val="17"/>
              </w:rPr>
            </w:pPr>
          </w:p>
        </w:tc>
      </w:tr>
      <w:tr w:rsidR="0080267F" w:rsidRPr="001F22AE" w:rsidTr="0023041C">
        <w:tblPrEx>
          <w:tblCellMar>
            <w:top w:w="0" w:type="dxa"/>
            <w:bottom w:w="0" w:type="dxa"/>
          </w:tblCellMar>
        </w:tblPrEx>
        <w:tc>
          <w:tcPr>
            <w:tcW w:w="1708" w:type="dxa"/>
            <w:shd w:val="clear" w:color="auto" w:fill="auto"/>
            <w:vAlign w:val="bottom"/>
          </w:tcPr>
          <w:p w:rsidR="0080267F" w:rsidRPr="004C0035" w:rsidRDefault="0080267F" w:rsidP="0080267F">
            <w:pPr>
              <w:tabs>
                <w:tab w:val="left" w:pos="334"/>
                <w:tab w:val="left" w:pos="669"/>
                <w:tab w:val="left" w:pos="1003"/>
                <w:tab w:val="left" w:pos="1338"/>
              </w:tabs>
              <w:suppressAutoHyphens/>
              <w:spacing w:after="80" w:line="240" w:lineRule="exact"/>
              <w:ind w:right="57"/>
              <w:rPr>
                <w:rFonts w:ascii="SimHei" w:eastAsia="SimHei" w:hAnsi="SimSun" w:hint="eastAsia"/>
                <w:b/>
                <w:sz w:val="17"/>
                <w:szCs w:val="17"/>
              </w:rPr>
            </w:pPr>
            <w:r w:rsidRPr="001A7517">
              <w:rPr>
                <w:rFonts w:hAnsi="SimSun" w:hint="eastAsia"/>
                <w:noProof/>
                <w:sz w:val="17"/>
                <w:szCs w:val="17"/>
              </w:rPr>
              <w:t>早期幼儿教育总人数</w:t>
            </w:r>
          </w:p>
        </w:tc>
        <w:tc>
          <w:tcPr>
            <w:tcW w:w="1151" w:type="dxa"/>
            <w:shd w:val="clear" w:color="auto" w:fill="auto"/>
            <w:vAlign w:val="bottom"/>
          </w:tcPr>
          <w:p w:rsidR="0080267F" w:rsidRPr="001A7517" w:rsidRDefault="0080267F" w:rsidP="0080267F">
            <w:pPr>
              <w:tabs>
                <w:tab w:val="left" w:pos="334"/>
                <w:tab w:val="left" w:pos="669"/>
                <w:tab w:val="left" w:pos="1003"/>
                <w:tab w:val="left" w:pos="1338"/>
              </w:tabs>
              <w:suppressAutoHyphens/>
              <w:spacing w:after="80" w:line="240" w:lineRule="exact"/>
              <w:ind w:right="57"/>
              <w:jc w:val="right"/>
              <w:rPr>
                <w:rFonts w:hAnsi="SimSun" w:hint="eastAsia"/>
                <w:noProof/>
                <w:sz w:val="17"/>
                <w:szCs w:val="17"/>
              </w:rPr>
            </w:pPr>
            <w:r w:rsidRPr="001A7517">
              <w:rPr>
                <w:rFonts w:hAnsi="SimSun" w:hint="eastAsia"/>
                <w:noProof/>
                <w:sz w:val="17"/>
                <w:szCs w:val="17"/>
              </w:rPr>
              <w:t>18 248</w:t>
            </w:r>
          </w:p>
        </w:tc>
        <w:tc>
          <w:tcPr>
            <w:tcW w:w="1183" w:type="dxa"/>
            <w:shd w:val="clear" w:color="auto" w:fill="auto"/>
            <w:vAlign w:val="bottom"/>
          </w:tcPr>
          <w:p w:rsidR="0080267F" w:rsidRPr="001A7517" w:rsidRDefault="0080267F" w:rsidP="0080267F">
            <w:pPr>
              <w:tabs>
                <w:tab w:val="left" w:pos="334"/>
                <w:tab w:val="left" w:pos="669"/>
                <w:tab w:val="left" w:pos="1003"/>
                <w:tab w:val="left" w:pos="1338"/>
              </w:tabs>
              <w:suppressAutoHyphens/>
              <w:spacing w:after="80" w:line="240" w:lineRule="exact"/>
              <w:ind w:right="57"/>
              <w:jc w:val="right"/>
              <w:rPr>
                <w:rFonts w:hAnsi="SimSun" w:hint="eastAsia"/>
                <w:noProof/>
                <w:sz w:val="17"/>
                <w:szCs w:val="17"/>
              </w:rPr>
            </w:pPr>
            <w:r w:rsidRPr="001A7517">
              <w:rPr>
                <w:rFonts w:hAnsi="SimSun" w:hint="eastAsia"/>
                <w:noProof/>
                <w:sz w:val="17"/>
                <w:szCs w:val="17"/>
              </w:rPr>
              <w:t>20 516</w:t>
            </w:r>
          </w:p>
        </w:tc>
        <w:tc>
          <w:tcPr>
            <w:tcW w:w="1087" w:type="dxa"/>
            <w:shd w:val="clear" w:color="auto" w:fill="auto"/>
            <w:vAlign w:val="bottom"/>
          </w:tcPr>
          <w:p w:rsidR="0080267F" w:rsidRPr="001A7517" w:rsidRDefault="0080267F" w:rsidP="0080267F">
            <w:pPr>
              <w:tabs>
                <w:tab w:val="left" w:pos="334"/>
                <w:tab w:val="left" w:pos="669"/>
                <w:tab w:val="left" w:pos="1003"/>
                <w:tab w:val="left" w:pos="1338"/>
              </w:tabs>
              <w:suppressAutoHyphens/>
              <w:spacing w:after="80" w:line="240" w:lineRule="exact"/>
              <w:ind w:right="57"/>
              <w:jc w:val="right"/>
              <w:rPr>
                <w:rFonts w:hAnsi="SimSun" w:hint="eastAsia"/>
                <w:noProof/>
                <w:sz w:val="17"/>
                <w:szCs w:val="17"/>
              </w:rPr>
            </w:pPr>
            <w:r w:rsidRPr="001A7517">
              <w:rPr>
                <w:rFonts w:hAnsi="SimSun" w:hint="eastAsia"/>
                <w:noProof/>
                <w:sz w:val="17"/>
                <w:szCs w:val="17"/>
              </w:rPr>
              <w:t>19 382</w:t>
            </w:r>
          </w:p>
        </w:tc>
        <w:tc>
          <w:tcPr>
            <w:tcW w:w="1088" w:type="dxa"/>
            <w:shd w:val="clear" w:color="auto" w:fill="auto"/>
            <w:vAlign w:val="bottom"/>
          </w:tcPr>
          <w:p w:rsidR="0080267F" w:rsidRPr="001A7517" w:rsidRDefault="0080267F" w:rsidP="0080267F">
            <w:pPr>
              <w:tabs>
                <w:tab w:val="left" w:pos="334"/>
                <w:tab w:val="left" w:pos="669"/>
                <w:tab w:val="left" w:pos="1003"/>
                <w:tab w:val="left" w:pos="1338"/>
              </w:tabs>
              <w:suppressAutoHyphens/>
              <w:spacing w:after="80" w:line="240" w:lineRule="exact"/>
              <w:ind w:right="57"/>
              <w:jc w:val="right"/>
              <w:rPr>
                <w:rFonts w:hAnsi="SimSun" w:hint="eastAsia"/>
                <w:noProof/>
                <w:sz w:val="17"/>
                <w:szCs w:val="17"/>
              </w:rPr>
            </w:pPr>
            <w:r w:rsidRPr="001A7517">
              <w:rPr>
                <w:rFonts w:hAnsi="SimSun" w:hint="eastAsia"/>
                <w:noProof/>
                <w:sz w:val="17"/>
                <w:szCs w:val="17"/>
              </w:rPr>
              <w:t>21 045</w:t>
            </w:r>
          </w:p>
        </w:tc>
        <w:tc>
          <w:tcPr>
            <w:tcW w:w="1103" w:type="dxa"/>
            <w:shd w:val="clear" w:color="auto" w:fill="auto"/>
            <w:vAlign w:val="bottom"/>
          </w:tcPr>
          <w:p w:rsidR="0080267F" w:rsidRPr="001A7517" w:rsidRDefault="0080267F" w:rsidP="0080267F">
            <w:pPr>
              <w:tabs>
                <w:tab w:val="left" w:pos="334"/>
                <w:tab w:val="left" w:pos="669"/>
                <w:tab w:val="left" w:pos="1003"/>
                <w:tab w:val="left" w:pos="1338"/>
              </w:tabs>
              <w:suppressAutoHyphens/>
              <w:spacing w:after="80" w:line="240" w:lineRule="exact"/>
              <w:ind w:right="57"/>
              <w:jc w:val="right"/>
              <w:rPr>
                <w:rFonts w:hAnsi="SimSun" w:hint="eastAsia"/>
                <w:noProof/>
                <w:sz w:val="17"/>
                <w:szCs w:val="17"/>
              </w:rPr>
            </w:pPr>
            <w:r w:rsidRPr="001A7517">
              <w:rPr>
                <w:rFonts w:hAnsi="SimSun" w:hint="eastAsia"/>
                <w:noProof/>
                <w:sz w:val="17"/>
                <w:szCs w:val="17"/>
              </w:rPr>
              <w:t>22 720</w:t>
            </w:r>
          </w:p>
        </w:tc>
      </w:tr>
      <w:tr w:rsidR="0080267F" w:rsidRPr="001F22AE" w:rsidTr="0023041C">
        <w:tblPrEx>
          <w:tblCellMar>
            <w:top w:w="0" w:type="dxa"/>
            <w:bottom w:w="0" w:type="dxa"/>
          </w:tblCellMar>
        </w:tblPrEx>
        <w:tc>
          <w:tcPr>
            <w:tcW w:w="1708" w:type="dxa"/>
            <w:shd w:val="clear" w:color="auto" w:fill="auto"/>
            <w:vAlign w:val="bottom"/>
          </w:tcPr>
          <w:p w:rsidR="0080267F" w:rsidRPr="004C0035" w:rsidRDefault="0080267F" w:rsidP="0080267F">
            <w:pPr>
              <w:tabs>
                <w:tab w:val="left" w:pos="334"/>
                <w:tab w:val="left" w:pos="669"/>
                <w:tab w:val="left" w:pos="1003"/>
                <w:tab w:val="left" w:pos="1338"/>
              </w:tabs>
              <w:suppressAutoHyphens/>
              <w:spacing w:after="80" w:line="240" w:lineRule="exact"/>
              <w:ind w:left="334" w:right="57"/>
              <w:rPr>
                <w:rFonts w:hAnsi="SimSun" w:hint="eastAsia"/>
                <w:noProof/>
                <w:sz w:val="17"/>
                <w:szCs w:val="17"/>
              </w:rPr>
            </w:pPr>
            <w:r w:rsidRPr="004C0035">
              <w:rPr>
                <w:rFonts w:hAnsi="SimSun" w:hint="eastAsia"/>
                <w:noProof/>
                <w:sz w:val="17"/>
                <w:szCs w:val="17"/>
              </w:rPr>
              <w:t>男</w:t>
            </w:r>
          </w:p>
          <w:p w:rsidR="0080267F" w:rsidRPr="004C0035" w:rsidRDefault="0080267F" w:rsidP="0080267F">
            <w:pPr>
              <w:tabs>
                <w:tab w:val="left" w:pos="334"/>
                <w:tab w:val="left" w:pos="669"/>
                <w:tab w:val="left" w:pos="1003"/>
                <w:tab w:val="left" w:pos="1338"/>
              </w:tabs>
              <w:suppressAutoHyphens/>
              <w:spacing w:after="80" w:line="240" w:lineRule="exact"/>
              <w:ind w:left="334" w:right="57"/>
              <w:rPr>
                <w:rFonts w:hAnsi="SimSun"/>
                <w:sz w:val="17"/>
                <w:szCs w:val="17"/>
              </w:rPr>
            </w:pPr>
            <w:r w:rsidRPr="004C0035">
              <w:rPr>
                <w:rFonts w:hAnsi="SimSun" w:hint="eastAsia"/>
                <w:noProof/>
                <w:sz w:val="17"/>
                <w:szCs w:val="17"/>
              </w:rPr>
              <w:t>女</w:t>
            </w:r>
          </w:p>
        </w:tc>
        <w:tc>
          <w:tcPr>
            <w:tcW w:w="1151" w:type="dxa"/>
            <w:shd w:val="clear" w:color="auto" w:fill="auto"/>
            <w:vAlign w:val="bottom"/>
          </w:tcPr>
          <w:p w:rsidR="0080267F" w:rsidRPr="001F22AE" w:rsidRDefault="0080267F" w:rsidP="0080267F">
            <w:pPr>
              <w:tabs>
                <w:tab w:val="left" w:pos="334"/>
                <w:tab w:val="left" w:pos="669"/>
                <w:tab w:val="left" w:pos="1003"/>
                <w:tab w:val="left" w:pos="1338"/>
              </w:tabs>
              <w:suppressAutoHyphens/>
              <w:spacing w:after="80" w:line="240" w:lineRule="exact"/>
              <w:ind w:right="57"/>
              <w:jc w:val="right"/>
              <w:rPr>
                <w:rFonts w:hAnsi="SimSun"/>
                <w:sz w:val="17"/>
                <w:szCs w:val="17"/>
              </w:rPr>
            </w:pPr>
            <w:r w:rsidRPr="001F22AE">
              <w:rPr>
                <w:rFonts w:hAnsi="SimSun"/>
                <w:noProof/>
                <w:sz w:val="17"/>
                <w:szCs w:val="17"/>
              </w:rPr>
              <w:t>9</w:t>
            </w:r>
            <w:r w:rsidRPr="001F22AE">
              <w:rPr>
                <w:rFonts w:hAnsi="SimSun" w:hint="eastAsia"/>
                <w:noProof/>
                <w:sz w:val="17"/>
                <w:szCs w:val="17"/>
              </w:rPr>
              <w:t xml:space="preserve"> </w:t>
            </w:r>
            <w:r w:rsidRPr="001F22AE">
              <w:rPr>
                <w:rFonts w:hAnsi="SimSun"/>
                <w:noProof/>
                <w:sz w:val="17"/>
                <w:szCs w:val="17"/>
              </w:rPr>
              <w:t>244</w:t>
            </w:r>
          </w:p>
          <w:p w:rsidR="0080267F" w:rsidRPr="001F22AE" w:rsidRDefault="0080267F" w:rsidP="0080267F">
            <w:pPr>
              <w:tabs>
                <w:tab w:val="left" w:pos="334"/>
                <w:tab w:val="left" w:pos="669"/>
                <w:tab w:val="left" w:pos="1003"/>
                <w:tab w:val="left" w:pos="1338"/>
              </w:tabs>
              <w:suppressAutoHyphens/>
              <w:spacing w:after="80" w:line="240" w:lineRule="exact"/>
              <w:ind w:right="57"/>
              <w:jc w:val="right"/>
              <w:rPr>
                <w:rFonts w:hAnsi="SimSun"/>
                <w:sz w:val="17"/>
                <w:szCs w:val="17"/>
              </w:rPr>
            </w:pPr>
            <w:r w:rsidRPr="001F22AE">
              <w:rPr>
                <w:rFonts w:hAnsi="SimSun"/>
                <w:noProof/>
                <w:sz w:val="17"/>
                <w:szCs w:val="17"/>
              </w:rPr>
              <w:t>9</w:t>
            </w:r>
            <w:r w:rsidRPr="001F22AE">
              <w:rPr>
                <w:rFonts w:hAnsi="SimSun" w:hint="eastAsia"/>
                <w:noProof/>
                <w:sz w:val="17"/>
                <w:szCs w:val="17"/>
              </w:rPr>
              <w:t xml:space="preserve"> </w:t>
            </w:r>
            <w:r w:rsidRPr="001F22AE">
              <w:rPr>
                <w:rFonts w:hAnsi="SimSun"/>
                <w:noProof/>
                <w:sz w:val="17"/>
                <w:szCs w:val="17"/>
              </w:rPr>
              <w:t>004</w:t>
            </w:r>
          </w:p>
        </w:tc>
        <w:tc>
          <w:tcPr>
            <w:tcW w:w="1183" w:type="dxa"/>
            <w:shd w:val="clear" w:color="auto" w:fill="auto"/>
            <w:vAlign w:val="bottom"/>
          </w:tcPr>
          <w:p w:rsidR="0080267F" w:rsidRPr="001F22AE" w:rsidRDefault="0080267F" w:rsidP="0080267F">
            <w:pPr>
              <w:tabs>
                <w:tab w:val="left" w:pos="334"/>
                <w:tab w:val="left" w:pos="669"/>
                <w:tab w:val="left" w:pos="1003"/>
                <w:tab w:val="left" w:pos="1338"/>
              </w:tabs>
              <w:suppressAutoHyphens/>
              <w:spacing w:after="80" w:line="240" w:lineRule="exact"/>
              <w:ind w:right="57"/>
              <w:jc w:val="right"/>
              <w:rPr>
                <w:rFonts w:hAnsi="SimSun"/>
                <w:sz w:val="17"/>
                <w:szCs w:val="17"/>
              </w:rPr>
            </w:pPr>
            <w:r w:rsidRPr="001F22AE">
              <w:rPr>
                <w:rFonts w:hAnsi="SimSun"/>
                <w:noProof/>
                <w:sz w:val="17"/>
                <w:szCs w:val="17"/>
              </w:rPr>
              <w:t>10</w:t>
            </w:r>
            <w:r w:rsidRPr="001F22AE">
              <w:rPr>
                <w:rFonts w:hAnsi="SimSun" w:hint="eastAsia"/>
                <w:noProof/>
                <w:sz w:val="17"/>
                <w:szCs w:val="17"/>
              </w:rPr>
              <w:t xml:space="preserve"> </w:t>
            </w:r>
            <w:r w:rsidRPr="001F22AE">
              <w:rPr>
                <w:rFonts w:hAnsi="SimSun"/>
                <w:noProof/>
                <w:sz w:val="17"/>
                <w:szCs w:val="17"/>
              </w:rPr>
              <w:t>415</w:t>
            </w:r>
          </w:p>
          <w:p w:rsidR="0080267F" w:rsidRPr="001F22AE" w:rsidRDefault="0080267F" w:rsidP="0080267F">
            <w:pPr>
              <w:tabs>
                <w:tab w:val="left" w:pos="334"/>
                <w:tab w:val="left" w:pos="669"/>
                <w:tab w:val="left" w:pos="1003"/>
                <w:tab w:val="left" w:pos="1338"/>
              </w:tabs>
              <w:suppressAutoHyphens/>
              <w:spacing w:after="80" w:line="240" w:lineRule="exact"/>
              <w:ind w:right="57"/>
              <w:jc w:val="right"/>
              <w:rPr>
                <w:rFonts w:hAnsi="SimSun"/>
                <w:sz w:val="17"/>
                <w:szCs w:val="17"/>
              </w:rPr>
            </w:pPr>
            <w:r w:rsidRPr="001F22AE">
              <w:rPr>
                <w:rFonts w:hAnsi="SimSun"/>
                <w:noProof/>
                <w:sz w:val="17"/>
                <w:szCs w:val="17"/>
              </w:rPr>
              <w:t>10</w:t>
            </w:r>
            <w:r w:rsidRPr="001F22AE">
              <w:rPr>
                <w:rFonts w:hAnsi="SimSun" w:hint="eastAsia"/>
                <w:noProof/>
                <w:sz w:val="17"/>
                <w:szCs w:val="17"/>
              </w:rPr>
              <w:t xml:space="preserve"> </w:t>
            </w:r>
            <w:r w:rsidRPr="001F22AE">
              <w:rPr>
                <w:rFonts w:hAnsi="SimSun"/>
                <w:noProof/>
                <w:sz w:val="17"/>
                <w:szCs w:val="17"/>
              </w:rPr>
              <w:t>101</w:t>
            </w:r>
          </w:p>
        </w:tc>
        <w:tc>
          <w:tcPr>
            <w:tcW w:w="1087" w:type="dxa"/>
            <w:shd w:val="clear" w:color="auto" w:fill="auto"/>
          </w:tcPr>
          <w:p w:rsidR="0080267F"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F22AE">
              <w:rPr>
                <w:rFonts w:hAnsi="SimSun"/>
                <w:noProof/>
                <w:sz w:val="17"/>
                <w:szCs w:val="17"/>
              </w:rPr>
              <w:t>9</w:t>
            </w:r>
            <w:r w:rsidRPr="001F22AE">
              <w:rPr>
                <w:rFonts w:hAnsi="SimSun" w:hint="eastAsia"/>
                <w:noProof/>
                <w:sz w:val="17"/>
                <w:szCs w:val="17"/>
              </w:rPr>
              <w:t xml:space="preserve"> </w:t>
            </w:r>
            <w:r w:rsidRPr="001F22AE">
              <w:rPr>
                <w:rFonts w:hAnsi="SimSun"/>
                <w:noProof/>
                <w:sz w:val="17"/>
                <w:szCs w:val="17"/>
              </w:rPr>
              <w:t xml:space="preserve">913 </w:t>
            </w:r>
          </w:p>
          <w:p w:rsidR="0080267F" w:rsidRPr="001F22AE" w:rsidRDefault="0080267F" w:rsidP="0080267F">
            <w:pPr>
              <w:tabs>
                <w:tab w:val="left" w:pos="334"/>
                <w:tab w:val="left" w:pos="669"/>
                <w:tab w:val="left" w:pos="1003"/>
                <w:tab w:val="left" w:pos="1338"/>
              </w:tabs>
              <w:suppressAutoHyphens/>
              <w:spacing w:after="80" w:line="240" w:lineRule="exact"/>
              <w:ind w:right="57"/>
              <w:jc w:val="right"/>
              <w:rPr>
                <w:rFonts w:hAnsi="SimSun"/>
                <w:sz w:val="17"/>
                <w:szCs w:val="17"/>
              </w:rPr>
            </w:pPr>
            <w:r w:rsidRPr="001F22AE">
              <w:rPr>
                <w:rFonts w:hAnsi="SimSun"/>
                <w:noProof/>
                <w:sz w:val="17"/>
                <w:szCs w:val="17"/>
              </w:rPr>
              <w:t>9</w:t>
            </w:r>
            <w:r w:rsidRPr="001F22AE">
              <w:rPr>
                <w:rFonts w:hAnsi="SimSun" w:hint="eastAsia"/>
                <w:noProof/>
                <w:sz w:val="17"/>
                <w:szCs w:val="17"/>
              </w:rPr>
              <w:t xml:space="preserve"> </w:t>
            </w:r>
            <w:r w:rsidRPr="001F22AE">
              <w:rPr>
                <w:rFonts w:hAnsi="SimSun"/>
                <w:noProof/>
                <w:sz w:val="17"/>
                <w:szCs w:val="17"/>
              </w:rPr>
              <w:t>469</w:t>
            </w:r>
          </w:p>
        </w:tc>
        <w:tc>
          <w:tcPr>
            <w:tcW w:w="1088" w:type="dxa"/>
            <w:shd w:val="clear" w:color="auto" w:fill="auto"/>
            <w:vAlign w:val="bottom"/>
          </w:tcPr>
          <w:p w:rsidR="0080267F" w:rsidRPr="001F22AE" w:rsidRDefault="0080267F" w:rsidP="0080267F">
            <w:pPr>
              <w:tabs>
                <w:tab w:val="left" w:pos="334"/>
                <w:tab w:val="left" w:pos="669"/>
                <w:tab w:val="left" w:pos="1003"/>
                <w:tab w:val="left" w:pos="1338"/>
              </w:tabs>
              <w:suppressAutoHyphens/>
              <w:spacing w:after="80" w:line="240" w:lineRule="exact"/>
              <w:ind w:right="57"/>
              <w:jc w:val="right"/>
              <w:rPr>
                <w:rFonts w:hAnsi="SimSun"/>
                <w:sz w:val="17"/>
                <w:szCs w:val="17"/>
              </w:rPr>
            </w:pPr>
            <w:r w:rsidRPr="001F22AE">
              <w:rPr>
                <w:rFonts w:hAnsi="SimSun"/>
                <w:noProof/>
                <w:sz w:val="17"/>
                <w:szCs w:val="17"/>
              </w:rPr>
              <w:t>10</w:t>
            </w:r>
            <w:r w:rsidRPr="001F22AE">
              <w:rPr>
                <w:rFonts w:hAnsi="SimSun" w:hint="eastAsia"/>
                <w:noProof/>
                <w:sz w:val="17"/>
                <w:szCs w:val="17"/>
              </w:rPr>
              <w:t xml:space="preserve"> </w:t>
            </w:r>
            <w:r w:rsidRPr="001F22AE">
              <w:rPr>
                <w:rFonts w:hAnsi="SimSun"/>
                <w:noProof/>
                <w:sz w:val="17"/>
                <w:szCs w:val="17"/>
              </w:rPr>
              <w:t>858</w:t>
            </w:r>
          </w:p>
          <w:p w:rsidR="0080267F" w:rsidRPr="001F22AE" w:rsidRDefault="0080267F" w:rsidP="0080267F">
            <w:pPr>
              <w:tabs>
                <w:tab w:val="left" w:pos="334"/>
                <w:tab w:val="left" w:pos="669"/>
                <w:tab w:val="left" w:pos="1003"/>
                <w:tab w:val="left" w:pos="1338"/>
              </w:tabs>
              <w:suppressAutoHyphens/>
              <w:spacing w:after="80" w:line="240" w:lineRule="exact"/>
              <w:ind w:right="57"/>
              <w:jc w:val="right"/>
              <w:rPr>
                <w:rFonts w:hAnsi="SimSun"/>
                <w:sz w:val="17"/>
                <w:szCs w:val="17"/>
              </w:rPr>
            </w:pPr>
            <w:r w:rsidRPr="001F22AE">
              <w:rPr>
                <w:rFonts w:hAnsi="SimSun"/>
                <w:noProof/>
                <w:sz w:val="17"/>
                <w:szCs w:val="17"/>
              </w:rPr>
              <w:t>10</w:t>
            </w:r>
            <w:r w:rsidRPr="001F22AE">
              <w:rPr>
                <w:rFonts w:hAnsi="SimSun" w:hint="eastAsia"/>
                <w:noProof/>
                <w:sz w:val="17"/>
                <w:szCs w:val="17"/>
              </w:rPr>
              <w:t xml:space="preserve"> </w:t>
            </w:r>
            <w:r w:rsidRPr="001F22AE">
              <w:rPr>
                <w:rFonts w:hAnsi="SimSun"/>
                <w:noProof/>
                <w:sz w:val="17"/>
                <w:szCs w:val="17"/>
              </w:rPr>
              <w:t>187</w:t>
            </w:r>
          </w:p>
        </w:tc>
        <w:tc>
          <w:tcPr>
            <w:tcW w:w="1103" w:type="dxa"/>
            <w:shd w:val="clear" w:color="auto" w:fill="auto"/>
            <w:vAlign w:val="bottom"/>
          </w:tcPr>
          <w:p w:rsidR="0080267F" w:rsidRPr="001F22AE" w:rsidRDefault="0080267F" w:rsidP="0080267F">
            <w:pPr>
              <w:tabs>
                <w:tab w:val="left" w:pos="334"/>
                <w:tab w:val="left" w:pos="669"/>
                <w:tab w:val="left" w:pos="1003"/>
                <w:tab w:val="left" w:pos="1338"/>
              </w:tabs>
              <w:suppressAutoHyphens/>
              <w:spacing w:after="80" w:line="240" w:lineRule="exact"/>
              <w:ind w:right="57"/>
              <w:jc w:val="right"/>
              <w:rPr>
                <w:rFonts w:hAnsi="SimSun"/>
                <w:sz w:val="17"/>
                <w:szCs w:val="17"/>
              </w:rPr>
            </w:pPr>
            <w:r w:rsidRPr="001F22AE">
              <w:rPr>
                <w:rFonts w:hAnsi="SimSun"/>
                <w:noProof/>
                <w:sz w:val="17"/>
                <w:szCs w:val="17"/>
              </w:rPr>
              <w:t>11</w:t>
            </w:r>
            <w:r w:rsidRPr="001F22AE">
              <w:rPr>
                <w:rFonts w:hAnsi="SimSun" w:hint="eastAsia"/>
                <w:noProof/>
                <w:sz w:val="17"/>
                <w:szCs w:val="17"/>
              </w:rPr>
              <w:t xml:space="preserve"> </w:t>
            </w:r>
            <w:r w:rsidRPr="001F22AE">
              <w:rPr>
                <w:rFonts w:hAnsi="SimSun"/>
                <w:noProof/>
                <w:sz w:val="17"/>
                <w:szCs w:val="17"/>
              </w:rPr>
              <w:t>656</w:t>
            </w:r>
          </w:p>
          <w:p w:rsidR="0080267F" w:rsidRPr="001F22AE" w:rsidRDefault="0080267F" w:rsidP="0080267F">
            <w:pPr>
              <w:tabs>
                <w:tab w:val="left" w:pos="334"/>
                <w:tab w:val="left" w:pos="669"/>
                <w:tab w:val="left" w:pos="1003"/>
                <w:tab w:val="left" w:pos="1338"/>
              </w:tabs>
              <w:suppressAutoHyphens/>
              <w:spacing w:after="80" w:line="240" w:lineRule="exact"/>
              <w:ind w:right="57"/>
              <w:jc w:val="right"/>
              <w:rPr>
                <w:rFonts w:hAnsi="SimSun"/>
                <w:sz w:val="17"/>
                <w:szCs w:val="17"/>
              </w:rPr>
            </w:pPr>
            <w:r w:rsidRPr="001F22AE">
              <w:rPr>
                <w:rFonts w:hAnsi="SimSun"/>
                <w:noProof/>
                <w:sz w:val="17"/>
                <w:szCs w:val="17"/>
              </w:rPr>
              <w:t>11</w:t>
            </w:r>
            <w:r>
              <w:rPr>
                <w:rFonts w:hAnsi="SimSun"/>
                <w:noProof/>
                <w:sz w:val="17"/>
                <w:szCs w:val="17"/>
              </w:rPr>
              <w:t xml:space="preserve"> </w:t>
            </w:r>
            <w:r w:rsidRPr="001F22AE">
              <w:rPr>
                <w:rFonts w:hAnsi="SimSun"/>
                <w:noProof/>
                <w:sz w:val="17"/>
                <w:szCs w:val="17"/>
              </w:rPr>
              <w:t>064</w:t>
            </w:r>
          </w:p>
        </w:tc>
      </w:tr>
      <w:tr w:rsidR="0080267F" w:rsidRPr="001F22AE" w:rsidTr="0023041C">
        <w:tblPrEx>
          <w:tblCellMar>
            <w:top w:w="0" w:type="dxa"/>
            <w:bottom w:w="0" w:type="dxa"/>
          </w:tblCellMar>
        </w:tblPrEx>
        <w:tc>
          <w:tcPr>
            <w:tcW w:w="1708" w:type="dxa"/>
            <w:shd w:val="clear" w:color="auto" w:fill="auto"/>
            <w:vAlign w:val="bottom"/>
          </w:tcPr>
          <w:p w:rsidR="0080267F" w:rsidRPr="001A7517" w:rsidRDefault="0080267F" w:rsidP="0080267F">
            <w:pPr>
              <w:tabs>
                <w:tab w:val="left" w:pos="334"/>
                <w:tab w:val="left" w:pos="669"/>
                <w:tab w:val="left" w:pos="1003"/>
                <w:tab w:val="left" w:pos="1338"/>
              </w:tabs>
              <w:suppressAutoHyphens/>
              <w:spacing w:after="80" w:line="240" w:lineRule="exact"/>
              <w:ind w:right="57"/>
              <w:rPr>
                <w:rFonts w:hAnsi="SimSun" w:hint="eastAsia"/>
                <w:noProof/>
                <w:sz w:val="17"/>
                <w:szCs w:val="17"/>
              </w:rPr>
            </w:pPr>
            <w:r w:rsidRPr="001A7517">
              <w:rPr>
                <w:rFonts w:hAnsi="SimSun" w:hint="eastAsia"/>
                <w:noProof/>
                <w:sz w:val="17"/>
                <w:szCs w:val="17"/>
              </w:rPr>
              <w:t>小学教育总人数</w:t>
            </w:r>
          </w:p>
          <w:p w:rsidR="0080267F" w:rsidRPr="004C0035" w:rsidRDefault="0080267F" w:rsidP="0080267F">
            <w:pPr>
              <w:tabs>
                <w:tab w:val="left" w:pos="669"/>
                <w:tab w:val="left" w:pos="1003"/>
                <w:tab w:val="left" w:pos="1338"/>
              </w:tabs>
              <w:suppressAutoHyphens/>
              <w:spacing w:after="80" w:line="240" w:lineRule="exact"/>
              <w:ind w:left="334" w:right="57"/>
              <w:rPr>
                <w:rFonts w:hAnsi="SimSun" w:hint="eastAsia"/>
                <w:noProof/>
                <w:sz w:val="17"/>
                <w:szCs w:val="17"/>
              </w:rPr>
            </w:pPr>
            <w:r w:rsidRPr="004C0035">
              <w:rPr>
                <w:rFonts w:hAnsi="SimSun" w:hint="eastAsia"/>
                <w:noProof/>
                <w:sz w:val="17"/>
                <w:szCs w:val="17"/>
              </w:rPr>
              <w:t>男</w:t>
            </w:r>
          </w:p>
          <w:p w:rsidR="0080267F" w:rsidRPr="004C0035" w:rsidRDefault="0080267F" w:rsidP="0080267F">
            <w:pPr>
              <w:tabs>
                <w:tab w:val="left" w:pos="669"/>
                <w:tab w:val="left" w:pos="1003"/>
                <w:tab w:val="left" w:pos="1338"/>
              </w:tabs>
              <w:suppressAutoHyphens/>
              <w:spacing w:after="80" w:line="240" w:lineRule="exact"/>
              <w:ind w:left="334" w:right="57"/>
              <w:rPr>
                <w:rFonts w:hAnsi="SimSun"/>
                <w:sz w:val="17"/>
                <w:szCs w:val="17"/>
              </w:rPr>
            </w:pPr>
            <w:r w:rsidRPr="004C0035">
              <w:rPr>
                <w:rFonts w:hAnsi="SimSun" w:hint="eastAsia"/>
                <w:noProof/>
                <w:sz w:val="17"/>
                <w:szCs w:val="17"/>
              </w:rPr>
              <w:t>女</w:t>
            </w:r>
          </w:p>
        </w:tc>
        <w:tc>
          <w:tcPr>
            <w:tcW w:w="1151" w:type="dxa"/>
            <w:shd w:val="clear" w:color="auto" w:fill="auto"/>
          </w:tcPr>
          <w:p w:rsidR="0080267F" w:rsidRPr="001A7517" w:rsidRDefault="0080267F" w:rsidP="0080267F">
            <w:pPr>
              <w:tabs>
                <w:tab w:val="left" w:pos="334"/>
                <w:tab w:val="left" w:pos="669"/>
                <w:tab w:val="left" w:pos="1003"/>
                <w:tab w:val="left" w:pos="1338"/>
              </w:tabs>
              <w:suppressAutoHyphens/>
              <w:spacing w:after="80" w:line="240" w:lineRule="exact"/>
              <w:ind w:right="57"/>
              <w:jc w:val="right"/>
              <w:rPr>
                <w:rFonts w:hAnsi="SimSun" w:hint="eastAsia"/>
                <w:noProof/>
                <w:sz w:val="17"/>
                <w:szCs w:val="17"/>
              </w:rPr>
            </w:pPr>
            <w:r w:rsidRPr="001A7517">
              <w:rPr>
                <w:rFonts w:hAnsi="SimSun" w:hint="eastAsia"/>
                <w:noProof/>
                <w:sz w:val="17"/>
                <w:szCs w:val="17"/>
              </w:rPr>
              <w:t>102 167</w:t>
            </w:r>
          </w:p>
          <w:p w:rsidR="0080267F"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F22AE">
              <w:rPr>
                <w:rFonts w:hAnsi="SimSun"/>
                <w:noProof/>
                <w:sz w:val="17"/>
                <w:szCs w:val="17"/>
              </w:rPr>
              <w:t>53</w:t>
            </w:r>
            <w:r w:rsidRPr="001F22AE">
              <w:rPr>
                <w:rFonts w:hAnsi="SimSun" w:hint="eastAsia"/>
                <w:noProof/>
                <w:sz w:val="17"/>
                <w:szCs w:val="17"/>
              </w:rPr>
              <w:t xml:space="preserve"> </w:t>
            </w:r>
            <w:r w:rsidRPr="001F22AE">
              <w:rPr>
                <w:rFonts w:hAnsi="SimSun"/>
                <w:noProof/>
                <w:sz w:val="17"/>
                <w:szCs w:val="17"/>
              </w:rPr>
              <w:t xml:space="preserve">854 </w:t>
            </w:r>
          </w:p>
          <w:p w:rsidR="0080267F" w:rsidRPr="001F22AE"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F22AE">
              <w:rPr>
                <w:rFonts w:hAnsi="SimSun"/>
                <w:noProof/>
                <w:sz w:val="17"/>
                <w:szCs w:val="17"/>
              </w:rPr>
              <w:t>48</w:t>
            </w:r>
            <w:r w:rsidRPr="001F22AE">
              <w:rPr>
                <w:rFonts w:hAnsi="SimSun" w:hint="eastAsia"/>
                <w:noProof/>
                <w:sz w:val="17"/>
                <w:szCs w:val="17"/>
              </w:rPr>
              <w:t xml:space="preserve"> </w:t>
            </w:r>
            <w:r w:rsidRPr="001F22AE">
              <w:rPr>
                <w:rFonts w:hAnsi="SimSun"/>
                <w:noProof/>
                <w:sz w:val="17"/>
                <w:szCs w:val="17"/>
              </w:rPr>
              <w:t>313</w:t>
            </w:r>
          </w:p>
        </w:tc>
        <w:tc>
          <w:tcPr>
            <w:tcW w:w="1183" w:type="dxa"/>
            <w:shd w:val="clear" w:color="auto" w:fill="auto"/>
            <w:vAlign w:val="bottom"/>
          </w:tcPr>
          <w:p w:rsidR="0080267F" w:rsidRPr="001A7517" w:rsidRDefault="0080267F" w:rsidP="0080267F">
            <w:pPr>
              <w:tabs>
                <w:tab w:val="left" w:pos="334"/>
                <w:tab w:val="left" w:pos="669"/>
                <w:tab w:val="left" w:pos="1003"/>
                <w:tab w:val="left" w:pos="1338"/>
              </w:tabs>
              <w:suppressAutoHyphens/>
              <w:spacing w:after="80" w:line="240" w:lineRule="exact"/>
              <w:ind w:right="57"/>
              <w:jc w:val="right"/>
              <w:rPr>
                <w:rFonts w:hAnsi="SimSun" w:hint="eastAsia"/>
                <w:noProof/>
                <w:sz w:val="17"/>
                <w:szCs w:val="17"/>
              </w:rPr>
            </w:pPr>
            <w:r w:rsidRPr="001A7517">
              <w:rPr>
                <w:rFonts w:hAnsi="SimSun" w:hint="eastAsia"/>
                <w:noProof/>
                <w:sz w:val="17"/>
                <w:szCs w:val="17"/>
              </w:rPr>
              <w:t>106 226</w:t>
            </w:r>
          </w:p>
          <w:p w:rsidR="0080267F" w:rsidRPr="001F22AE"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F22AE">
              <w:rPr>
                <w:rFonts w:hAnsi="SimSun"/>
                <w:noProof/>
                <w:sz w:val="17"/>
                <w:szCs w:val="17"/>
              </w:rPr>
              <w:t>56</w:t>
            </w:r>
            <w:r w:rsidRPr="001F22AE">
              <w:rPr>
                <w:rFonts w:hAnsi="SimSun" w:hint="eastAsia"/>
                <w:noProof/>
                <w:sz w:val="17"/>
                <w:szCs w:val="17"/>
              </w:rPr>
              <w:t xml:space="preserve"> </w:t>
            </w:r>
            <w:r w:rsidRPr="001F22AE">
              <w:rPr>
                <w:rFonts w:hAnsi="SimSun"/>
                <w:noProof/>
                <w:sz w:val="17"/>
                <w:szCs w:val="17"/>
              </w:rPr>
              <w:t>075</w:t>
            </w:r>
          </w:p>
          <w:p w:rsidR="0080267F" w:rsidRPr="001F22AE"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F22AE">
              <w:rPr>
                <w:rFonts w:hAnsi="SimSun"/>
                <w:noProof/>
                <w:sz w:val="17"/>
                <w:szCs w:val="17"/>
              </w:rPr>
              <w:t>50</w:t>
            </w:r>
            <w:r w:rsidRPr="001F22AE">
              <w:rPr>
                <w:rFonts w:hAnsi="SimSun" w:hint="eastAsia"/>
                <w:noProof/>
                <w:sz w:val="17"/>
                <w:szCs w:val="17"/>
              </w:rPr>
              <w:t xml:space="preserve"> </w:t>
            </w:r>
            <w:r w:rsidRPr="001F22AE">
              <w:rPr>
                <w:rFonts w:hAnsi="SimSun"/>
                <w:noProof/>
                <w:sz w:val="17"/>
                <w:szCs w:val="17"/>
              </w:rPr>
              <w:t>151</w:t>
            </w:r>
          </w:p>
        </w:tc>
        <w:tc>
          <w:tcPr>
            <w:tcW w:w="1087" w:type="dxa"/>
            <w:shd w:val="clear" w:color="auto" w:fill="auto"/>
            <w:vAlign w:val="bottom"/>
          </w:tcPr>
          <w:p w:rsidR="0080267F" w:rsidRPr="001A7517"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A7517">
              <w:rPr>
                <w:rFonts w:hAnsi="SimSun"/>
                <w:noProof/>
                <w:sz w:val="17"/>
                <w:szCs w:val="17"/>
              </w:rPr>
              <w:t>110</w:t>
            </w:r>
            <w:r w:rsidRPr="001A7517">
              <w:rPr>
                <w:rFonts w:hAnsi="SimSun" w:hint="eastAsia"/>
                <w:noProof/>
                <w:sz w:val="17"/>
                <w:szCs w:val="17"/>
              </w:rPr>
              <w:t xml:space="preserve"> </w:t>
            </w:r>
            <w:r w:rsidRPr="001A7517">
              <w:rPr>
                <w:rFonts w:hAnsi="SimSun"/>
                <w:noProof/>
                <w:sz w:val="17"/>
                <w:szCs w:val="17"/>
              </w:rPr>
              <w:t>219</w:t>
            </w:r>
          </w:p>
          <w:p w:rsidR="0080267F" w:rsidRPr="001F22AE"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F22AE">
              <w:rPr>
                <w:rFonts w:hAnsi="SimSun"/>
                <w:noProof/>
                <w:sz w:val="17"/>
                <w:szCs w:val="17"/>
              </w:rPr>
              <w:t>57</w:t>
            </w:r>
            <w:r w:rsidRPr="001F22AE">
              <w:rPr>
                <w:rFonts w:hAnsi="SimSun" w:hint="eastAsia"/>
                <w:noProof/>
                <w:sz w:val="17"/>
                <w:szCs w:val="17"/>
              </w:rPr>
              <w:t xml:space="preserve"> </w:t>
            </w:r>
            <w:r w:rsidRPr="001F22AE">
              <w:rPr>
                <w:rFonts w:hAnsi="SimSun"/>
                <w:noProof/>
                <w:sz w:val="17"/>
                <w:szCs w:val="17"/>
              </w:rPr>
              <w:t>837</w:t>
            </w:r>
          </w:p>
          <w:p w:rsidR="0080267F" w:rsidRPr="001F22AE"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F22AE">
              <w:rPr>
                <w:rFonts w:hAnsi="SimSun"/>
                <w:noProof/>
                <w:sz w:val="17"/>
                <w:szCs w:val="17"/>
              </w:rPr>
              <w:t>52</w:t>
            </w:r>
            <w:r w:rsidRPr="001F22AE">
              <w:rPr>
                <w:rFonts w:hAnsi="SimSun" w:hint="eastAsia"/>
                <w:noProof/>
                <w:sz w:val="17"/>
                <w:szCs w:val="17"/>
              </w:rPr>
              <w:t xml:space="preserve"> </w:t>
            </w:r>
            <w:r w:rsidRPr="001F22AE">
              <w:rPr>
                <w:rFonts w:hAnsi="SimSun"/>
                <w:noProof/>
                <w:sz w:val="17"/>
                <w:szCs w:val="17"/>
              </w:rPr>
              <w:t>382</w:t>
            </w:r>
          </w:p>
        </w:tc>
        <w:tc>
          <w:tcPr>
            <w:tcW w:w="1088" w:type="dxa"/>
            <w:shd w:val="clear" w:color="auto" w:fill="auto"/>
            <w:vAlign w:val="bottom"/>
          </w:tcPr>
          <w:p w:rsidR="0080267F" w:rsidRPr="001F22AE"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A7517">
              <w:rPr>
                <w:rFonts w:hAnsi="SimSun"/>
                <w:noProof/>
                <w:sz w:val="17"/>
                <w:szCs w:val="17"/>
              </w:rPr>
              <w:t>115</w:t>
            </w:r>
            <w:r w:rsidRPr="001A7517">
              <w:rPr>
                <w:rFonts w:hAnsi="SimSun" w:hint="eastAsia"/>
                <w:noProof/>
                <w:sz w:val="17"/>
                <w:szCs w:val="17"/>
              </w:rPr>
              <w:t xml:space="preserve"> </w:t>
            </w:r>
            <w:r w:rsidRPr="001A7517">
              <w:rPr>
                <w:rFonts w:hAnsi="SimSun"/>
                <w:noProof/>
                <w:sz w:val="17"/>
                <w:szCs w:val="17"/>
              </w:rPr>
              <w:t>728</w:t>
            </w:r>
          </w:p>
          <w:p w:rsidR="0080267F" w:rsidRPr="001F22AE"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F22AE">
              <w:rPr>
                <w:rFonts w:hAnsi="SimSun"/>
                <w:noProof/>
                <w:sz w:val="17"/>
                <w:szCs w:val="17"/>
              </w:rPr>
              <w:t>60</w:t>
            </w:r>
            <w:r w:rsidRPr="001F22AE">
              <w:rPr>
                <w:rFonts w:hAnsi="SimSun" w:hint="eastAsia"/>
                <w:noProof/>
                <w:sz w:val="17"/>
                <w:szCs w:val="17"/>
              </w:rPr>
              <w:t xml:space="preserve"> </w:t>
            </w:r>
            <w:r w:rsidRPr="001F22AE">
              <w:rPr>
                <w:rFonts w:hAnsi="SimSun"/>
                <w:noProof/>
                <w:sz w:val="17"/>
                <w:szCs w:val="17"/>
              </w:rPr>
              <w:t>709</w:t>
            </w:r>
          </w:p>
          <w:p w:rsidR="0080267F" w:rsidRPr="001F22AE"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F22AE">
              <w:rPr>
                <w:rFonts w:hAnsi="SimSun"/>
                <w:noProof/>
                <w:sz w:val="17"/>
                <w:szCs w:val="17"/>
              </w:rPr>
              <w:t>55</w:t>
            </w:r>
            <w:r w:rsidRPr="001F22AE">
              <w:rPr>
                <w:rFonts w:hAnsi="SimSun" w:hint="eastAsia"/>
                <w:noProof/>
                <w:sz w:val="17"/>
                <w:szCs w:val="17"/>
              </w:rPr>
              <w:t xml:space="preserve"> </w:t>
            </w:r>
            <w:r w:rsidRPr="001F22AE">
              <w:rPr>
                <w:rFonts w:hAnsi="SimSun"/>
                <w:noProof/>
                <w:sz w:val="17"/>
                <w:szCs w:val="17"/>
              </w:rPr>
              <w:t>019</w:t>
            </w:r>
          </w:p>
        </w:tc>
        <w:tc>
          <w:tcPr>
            <w:tcW w:w="1103" w:type="dxa"/>
            <w:shd w:val="clear" w:color="auto" w:fill="auto"/>
            <w:vAlign w:val="bottom"/>
          </w:tcPr>
          <w:p w:rsidR="0080267F" w:rsidRPr="001A7517"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A7517">
              <w:rPr>
                <w:rFonts w:hAnsi="SimSun"/>
                <w:noProof/>
                <w:sz w:val="17"/>
                <w:szCs w:val="17"/>
              </w:rPr>
              <w:t>119</w:t>
            </w:r>
            <w:r w:rsidRPr="001A7517">
              <w:rPr>
                <w:rFonts w:hAnsi="SimSun" w:hint="eastAsia"/>
                <w:noProof/>
                <w:sz w:val="17"/>
                <w:szCs w:val="17"/>
              </w:rPr>
              <w:t xml:space="preserve"> </w:t>
            </w:r>
            <w:r w:rsidRPr="001A7517">
              <w:rPr>
                <w:rFonts w:hAnsi="SimSun"/>
                <w:noProof/>
                <w:sz w:val="17"/>
                <w:szCs w:val="17"/>
              </w:rPr>
              <w:t>139</w:t>
            </w:r>
          </w:p>
          <w:p w:rsidR="0080267F" w:rsidRPr="001F22AE"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F22AE">
              <w:rPr>
                <w:rFonts w:hAnsi="SimSun"/>
                <w:noProof/>
                <w:sz w:val="17"/>
                <w:szCs w:val="17"/>
              </w:rPr>
              <w:t>62</w:t>
            </w:r>
            <w:r w:rsidRPr="001F22AE">
              <w:rPr>
                <w:rFonts w:hAnsi="SimSun" w:hint="eastAsia"/>
                <w:noProof/>
                <w:sz w:val="17"/>
                <w:szCs w:val="17"/>
              </w:rPr>
              <w:t xml:space="preserve"> </w:t>
            </w:r>
            <w:r w:rsidRPr="001F22AE">
              <w:rPr>
                <w:rFonts w:hAnsi="SimSun"/>
                <w:noProof/>
                <w:sz w:val="17"/>
                <w:szCs w:val="17"/>
              </w:rPr>
              <w:t>336</w:t>
            </w:r>
          </w:p>
          <w:p w:rsidR="0080267F" w:rsidRPr="001F22AE"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F22AE">
              <w:rPr>
                <w:rFonts w:hAnsi="SimSun"/>
                <w:noProof/>
                <w:sz w:val="17"/>
                <w:szCs w:val="17"/>
              </w:rPr>
              <w:t>56</w:t>
            </w:r>
            <w:r w:rsidRPr="001F22AE">
              <w:rPr>
                <w:rFonts w:hAnsi="SimSun" w:hint="eastAsia"/>
                <w:noProof/>
                <w:sz w:val="17"/>
                <w:szCs w:val="17"/>
              </w:rPr>
              <w:t xml:space="preserve"> </w:t>
            </w:r>
            <w:r w:rsidRPr="001F22AE">
              <w:rPr>
                <w:rFonts w:hAnsi="SimSun"/>
                <w:noProof/>
                <w:sz w:val="17"/>
                <w:szCs w:val="17"/>
              </w:rPr>
              <w:t>803</w:t>
            </w:r>
          </w:p>
        </w:tc>
      </w:tr>
      <w:tr w:rsidR="0080267F" w:rsidRPr="001F22AE" w:rsidTr="0023041C">
        <w:tblPrEx>
          <w:tblCellMar>
            <w:top w:w="0" w:type="dxa"/>
            <w:bottom w:w="0" w:type="dxa"/>
          </w:tblCellMar>
        </w:tblPrEx>
        <w:tc>
          <w:tcPr>
            <w:tcW w:w="1708" w:type="dxa"/>
            <w:shd w:val="clear" w:color="auto" w:fill="auto"/>
            <w:vAlign w:val="bottom"/>
          </w:tcPr>
          <w:p w:rsidR="0080267F" w:rsidRPr="001A7517" w:rsidRDefault="0080267F" w:rsidP="0080267F">
            <w:pPr>
              <w:tabs>
                <w:tab w:val="left" w:pos="334"/>
                <w:tab w:val="left" w:pos="669"/>
                <w:tab w:val="left" w:pos="1003"/>
                <w:tab w:val="left" w:pos="1338"/>
              </w:tabs>
              <w:suppressAutoHyphens/>
              <w:spacing w:after="80" w:line="240" w:lineRule="exact"/>
              <w:ind w:right="57"/>
              <w:rPr>
                <w:rFonts w:hAnsi="SimSun"/>
                <w:noProof/>
                <w:sz w:val="17"/>
                <w:szCs w:val="17"/>
              </w:rPr>
            </w:pPr>
            <w:r w:rsidRPr="001A7517">
              <w:rPr>
                <w:rFonts w:hAnsi="SimSun" w:hint="eastAsia"/>
                <w:noProof/>
                <w:sz w:val="17"/>
                <w:szCs w:val="17"/>
              </w:rPr>
              <w:t>初中总人数</w:t>
            </w:r>
          </w:p>
          <w:p w:rsidR="0080267F" w:rsidRPr="004C0035" w:rsidRDefault="0080267F" w:rsidP="0080267F">
            <w:pPr>
              <w:tabs>
                <w:tab w:val="left" w:pos="334"/>
                <w:tab w:val="left" w:pos="669"/>
                <w:tab w:val="left" w:pos="1003"/>
                <w:tab w:val="left" w:pos="1338"/>
              </w:tabs>
              <w:suppressAutoHyphens/>
              <w:spacing w:after="80" w:line="240" w:lineRule="exact"/>
              <w:ind w:left="334" w:right="57"/>
              <w:rPr>
                <w:rFonts w:hAnsi="SimSun" w:hint="eastAsia"/>
                <w:noProof/>
                <w:sz w:val="17"/>
                <w:szCs w:val="17"/>
              </w:rPr>
            </w:pPr>
            <w:r w:rsidRPr="004C0035">
              <w:rPr>
                <w:rFonts w:hAnsi="SimSun" w:hint="eastAsia"/>
                <w:noProof/>
                <w:sz w:val="17"/>
                <w:szCs w:val="17"/>
              </w:rPr>
              <w:t>男</w:t>
            </w:r>
          </w:p>
          <w:p w:rsidR="0080267F" w:rsidRPr="004C0035" w:rsidRDefault="0080267F" w:rsidP="0080267F">
            <w:pPr>
              <w:tabs>
                <w:tab w:val="left" w:pos="334"/>
                <w:tab w:val="left" w:pos="669"/>
                <w:tab w:val="left" w:pos="1003"/>
                <w:tab w:val="left" w:pos="1338"/>
              </w:tabs>
              <w:suppressAutoHyphens/>
              <w:spacing w:after="80" w:line="240" w:lineRule="exact"/>
              <w:ind w:left="334" w:right="57"/>
              <w:rPr>
                <w:rFonts w:hAnsi="SimSun"/>
                <w:b/>
                <w:sz w:val="17"/>
                <w:szCs w:val="17"/>
              </w:rPr>
            </w:pPr>
            <w:r w:rsidRPr="004C0035">
              <w:rPr>
                <w:rFonts w:hAnsi="SimSun" w:hint="eastAsia"/>
                <w:b/>
                <w:noProof/>
                <w:sz w:val="17"/>
                <w:szCs w:val="17"/>
              </w:rPr>
              <w:t>女</w:t>
            </w:r>
          </w:p>
        </w:tc>
        <w:tc>
          <w:tcPr>
            <w:tcW w:w="1151" w:type="dxa"/>
            <w:shd w:val="clear" w:color="auto" w:fill="auto"/>
            <w:vAlign w:val="bottom"/>
          </w:tcPr>
          <w:p w:rsidR="0080267F" w:rsidRPr="001A7517"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A7517">
              <w:rPr>
                <w:rFonts w:hAnsi="SimSun"/>
                <w:noProof/>
                <w:sz w:val="17"/>
                <w:szCs w:val="17"/>
              </w:rPr>
              <w:t>18</w:t>
            </w:r>
            <w:r w:rsidRPr="001A7517">
              <w:rPr>
                <w:rFonts w:hAnsi="SimSun" w:hint="eastAsia"/>
                <w:noProof/>
                <w:sz w:val="17"/>
                <w:szCs w:val="17"/>
              </w:rPr>
              <w:t xml:space="preserve"> </w:t>
            </w:r>
            <w:r w:rsidRPr="001A7517">
              <w:rPr>
                <w:rFonts w:hAnsi="SimSun"/>
                <w:noProof/>
                <w:sz w:val="17"/>
                <w:szCs w:val="17"/>
              </w:rPr>
              <w:t>208</w:t>
            </w:r>
          </w:p>
          <w:p w:rsidR="0080267F" w:rsidRPr="001F22AE"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F22AE">
              <w:rPr>
                <w:rFonts w:hAnsi="SimSun"/>
                <w:noProof/>
                <w:sz w:val="17"/>
                <w:szCs w:val="17"/>
              </w:rPr>
              <w:t>10</w:t>
            </w:r>
            <w:r w:rsidRPr="001F22AE">
              <w:rPr>
                <w:rFonts w:hAnsi="SimSun" w:hint="eastAsia"/>
                <w:noProof/>
                <w:sz w:val="17"/>
                <w:szCs w:val="17"/>
              </w:rPr>
              <w:t xml:space="preserve"> </w:t>
            </w:r>
            <w:r w:rsidRPr="001F22AE">
              <w:rPr>
                <w:rFonts w:hAnsi="SimSun"/>
                <w:noProof/>
                <w:sz w:val="17"/>
                <w:szCs w:val="17"/>
              </w:rPr>
              <w:t>055</w:t>
            </w:r>
          </w:p>
          <w:p w:rsidR="0080267F" w:rsidRPr="001F22AE"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F22AE">
              <w:rPr>
                <w:rFonts w:hAnsi="SimSun"/>
                <w:noProof/>
                <w:sz w:val="17"/>
                <w:szCs w:val="17"/>
              </w:rPr>
              <w:t>8</w:t>
            </w:r>
            <w:r w:rsidRPr="001F22AE">
              <w:rPr>
                <w:rFonts w:hAnsi="SimSun" w:hint="eastAsia"/>
                <w:noProof/>
                <w:sz w:val="17"/>
                <w:szCs w:val="17"/>
              </w:rPr>
              <w:t xml:space="preserve"> </w:t>
            </w:r>
            <w:r w:rsidRPr="001F22AE">
              <w:rPr>
                <w:rFonts w:hAnsi="SimSun"/>
                <w:noProof/>
                <w:sz w:val="17"/>
                <w:szCs w:val="17"/>
              </w:rPr>
              <w:t>153</w:t>
            </w:r>
          </w:p>
        </w:tc>
        <w:tc>
          <w:tcPr>
            <w:tcW w:w="1183" w:type="dxa"/>
            <w:shd w:val="clear" w:color="auto" w:fill="auto"/>
            <w:vAlign w:val="bottom"/>
          </w:tcPr>
          <w:p w:rsidR="0080267F" w:rsidRPr="001A7517"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A7517">
              <w:rPr>
                <w:rFonts w:hAnsi="SimSun"/>
                <w:noProof/>
                <w:sz w:val="17"/>
                <w:szCs w:val="17"/>
              </w:rPr>
              <w:t>19</w:t>
            </w:r>
            <w:r w:rsidRPr="001A7517">
              <w:rPr>
                <w:rFonts w:hAnsi="SimSun" w:hint="eastAsia"/>
                <w:noProof/>
                <w:sz w:val="17"/>
                <w:szCs w:val="17"/>
              </w:rPr>
              <w:t xml:space="preserve"> </w:t>
            </w:r>
            <w:r w:rsidRPr="001A7517">
              <w:rPr>
                <w:rFonts w:hAnsi="SimSun"/>
                <w:noProof/>
                <w:sz w:val="17"/>
                <w:szCs w:val="17"/>
              </w:rPr>
              <w:t>432</w:t>
            </w:r>
          </w:p>
          <w:p w:rsidR="0080267F" w:rsidRPr="001F22AE"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F22AE">
              <w:rPr>
                <w:rFonts w:hAnsi="SimSun"/>
                <w:noProof/>
                <w:sz w:val="17"/>
                <w:szCs w:val="17"/>
              </w:rPr>
              <w:t>10</w:t>
            </w:r>
            <w:r w:rsidRPr="001F22AE">
              <w:rPr>
                <w:rFonts w:hAnsi="SimSun" w:hint="eastAsia"/>
                <w:noProof/>
                <w:sz w:val="17"/>
                <w:szCs w:val="17"/>
              </w:rPr>
              <w:t xml:space="preserve"> </w:t>
            </w:r>
            <w:r w:rsidRPr="001F22AE">
              <w:rPr>
                <w:rFonts w:hAnsi="SimSun"/>
                <w:noProof/>
                <w:sz w:val="17"/>
                <w:szCs w:val="17"/>
              </w:rPr>
              <w:t>628</w:t>
            </w:r>
          </w:p>
          <w:p w:rsidR="0080267F" w:rsidRPr="001F22AE"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F22AE">
              <w:rPr>
                <w:rFonts w:hAnsi="SimSun"/>
                <w:noProof/>
                <w:sz w:val="17"/>
                <w:szCs w:val="17"/>
              </w:rPr>
              <w:t>8</w:t>
            </w:r>
            <w:r w:rsidRPr="001F22AE">
              <w:rPr>
                <w:rFonts w:hAnsi="SimSun" w:hint="eastAsia"/>
                <w:noProof/>
                <w:sz w:val="17"/>
                <w:szCs w:val="17"/>
              </w:rPr>
              <w:t xml:space="preserve"> </w:t>
            </w:r>
            <w:r w:rsidRPr="001F22AE">
              <w:rPr>
                <w:rFonts w:hAnsi="SimSun"/>
                <w:noProof/>
                <w:sz w:val="17"/>
                <w:szCs w:val="17"/>
              </w:rPr>
              <w:t>804</w:t>
            </w:r>
          </w:p>
        </w:tc>
        <w:tc>
          <w:tcPr>
            <w:tcW w:w="1087" w:type="dxa"/>
            <w:shd w:val="clear" w:color="auto" w:fill="auto"/>
          </w:tcPr>
          <w:p w:rsidR="0080267F" w:rsidRPr="001A7517"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A7517">
              <w:rPr>
                <w:rFonts w:hAnsi="SimSun"/>
                <w:noProof/>
                <w:sz w:val="17"/>
                <w:szCs w:val="17"/>
              </w:rPr>
              <w:t>20</w:t>
            </w:r>
            <w:r w:rsidRPr="001A7517">
              <w:rPr>
                <w:rFonts w:hAnsi="SimSun" w:hint="eastAsia"/>
                <w:noProof/>
                <w:sz w:val="17"/>
                <w:szCs w:val="17"/>
              </w:rPr>
              <w:t xml:space="preserve"> </w:t>
            </w:r>
            <w:r w:rsidRPr="001A7517">
              <w:rPr>
                <w:rFonts w:hAnsi="SimSun"/>
                <w:noProof/>
                <w:sz w:val="17"/>
                <w:szCs w:val="17"/>
              </w:rPr>
              <w:t>607</w:t>
            </w:r>
          </w:p>
          <w:p w:rsidR="0080267F"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Pr>
                <w:rFonts w:hAnsi="SimSun"/>
                <w:noProof/>
                <w:sz w:val="17"/>
                <w:szCs w:val="17"/>
              </w:rPr>
              <w:t>11157</w:t>
            </w:r>
          </w:p>
          <w:p w:rsidR="0080267F" w:rsidRPr="001F22AE"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F22AE">
              <w:rPr>
                <w:rFonts w:hAnsi="SimSun"/>
                <w:noProof/>
                <w:sz w:val="17"/>
                <w:szCs w:val="17"/>
              </w:rPr>
              <w:t>9</w:t>
            </w:r>
            <w:r w:rsidRPr="001F22AE">
              <w:rPr>
                <w:rFonts w:hAnsi="SimSun" w:hint="eastAsia"/>
                <w:noProof/>
                <w:sz w:val="17"/>
                <w:szCs w:val="17"/>
              </w:rPr>
              <w:t xml:space="preserve"> </w:t>
            </w:r>
            <w:r w:rsidRPr="001F22AE">
              <w:rPr>
                <w:rFonts w:hAnsi="SimSun"/>
                <w:noProof/>
                <w:sz w:val="17"/>
                <w:szCs w:val="17"/>
              </w:rPr>
              <w:t>450</w:t>
            </w:r>
          </w:p>
        </w:tc>
        <w:tc>
          <w:tcPr>
            <w:tcW w:w="1088" w:type="dxa"/>
            <w:shd w:val="clear" w:color="auto" w:fill="auto"/>
            <w:vAlign w:val="bottom"/>
          </w:tcPr>
          <w:p w:rsidR="0080267F" w:rsidRPr="001A7517"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A7517">
              <w:rPr>
                <w:rFonts w:hAnsi="SimSun"/>
                <w:noProof/>
                <w:sz w:val="17"/>
                <w:szCs w:val="17"/>
              </w:rPr>
              <w:t>24</w:t>
            </w:r>
            <w:r w:rsidRPr="001A7517">
              <w:rPr>
                <w:rFonts w:hAnsi="SimSun" w:hint="eastAsia"/>
                <w:noProof/>
                <w:sz w:val="17"/>
                <w:szCs w:val="17"/>
              </w:rPr>
              <w:t xml:space="preserve"> </w:t>
            </w:r>
            <w:r w:rsidRPr="001A7517">
              <w:rPr>
                <w:rFonts w:hAnsi="SimSun"/>
                <w:noProof/>
                <w:sz w:val="17"/>
                <w:szCs w:val="17"/>
              </w:rPr>
              <w:t>847</w:t>
            </w:r>
          </w:p>
          <w:p w:rsidR="0080267F" w:rsidRPr="001F22AE"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F22AE">
              <w:rPr>
                <w:rFonts w:hAnsi="SimSun"/>
                <w:noProof/>
                <w:sz w:val="17"/>
                <w:szCs w:val="17"/>
              </w:rPr>
              <w:t>13</w:t>
            </w:r>
            <w:r w:rsidRPr="001F22AE">
              <w:rPr>
                <w:rFonts w:hAnsi="SimSun" w:hint="eastAsia"/>
                <w:noProof/>
                <w:sz w:val="17"/>
                <w:szCs w:val="17"/>
              </w:rPr>
              <w:t xml:space="preserve"> </w:t>
            </w:r>
            <w:r w:rsidRPr="001F22AE">
              <w:rPr>
                <w:rFonts w:hAnsi="SimSun"/>
                <w:noProof/>
                <w:sz w:val="17"/>
                <w:szCs w:val="17"/>
              </w:rPr>
              <w:t>312</w:t>
            </w:r>
          </w:p>
          <w:p w:rsidR="0080267F" w:rsidRPr="001F22AE"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F22AE">
              <w:rPr>
                <w:rFonts w:hAnsi="SimSun"/>
                <w:noProof/>
                <w:sz w:val="17"/>
                <w:szCs w:val="17"/>
              </w:rPr>
              <w:t>11</w:t>
            </w:r>
            <w:r w:rsidRPr="001F22AE">
              <w:rPr>
                <w:rFonts w:hAnsi="SimSun" w:hint="eastAsia"/>
                <w:noProof/>
                <w:sz w:val="17"/>
                <w:szCs w:val="17"/>
              </w:rPr>
              <w:t xml:space="preserve"> </w:t>
            </w:r>
            <w:r w:rsidRPr="001F22AE">
              <w:rPr>
                <w:rFonts w:hAnsi="SimSun"/>
                <w:noProof/>
                <w:sz w:val="17"/>
                <w:szCs w:val="17"/>
              </w:rPr>
              <w:t>535</w:t>
            </w:r>
          </w:p>
        </w:tc>
        <w:tc>
          <w:tcPr>
            <w:tcW w:w="1103" w:type="dxa"/>
            <w:shd w:val="clear" w:color="auto" w:fill="auto"/>
            <w:vAlign w:val="bottom"/>
          </w:tcPr>
          <w:p w:rsidR="0080267F" w:rsidRPr="001A7517"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A7517">
              <w:rPr>
                <w:rFonts w:hAnsi="SimSun"/>
                <w:noProof/>
                <w:sz w:val="17"/>
                <w:szCs w:val="17"/>
              </w:rPr>
              <w:t>25</w:t>
            </w:r>
            <w:r w:rsidRPr="001A7517">
              <w:rPr>
                <w:rFonts w:hAnsi="SimSun" w:hint="eastAsia"/>
                <w:noProof/>
                <w:sz w:val="17"/>
                <w:szCs w:val="17"/>
              </w:rPr>
              <w:t xml:space="preserve"> </w:t>
            </w:r>
            <w:r w:rsidRPr="001A7517">
              <w:rPr>
                <w:rFonts w:hAnsi="SimSun"/>
                <w:noProof/>
                <w:sz w:val="17"/>
                <w:szCs w:val="17"/>
              </w:rPr>
              <w:t>642</w:t>
            </w:r>
          </w:p>
          <w:p w:rsidR="0080267F" w:rsidRPr="001F22AE"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F22AE">
              <w:rPr>
                <w:rFonts w:hAnsi="SimSun"/>
                <w:noProof/>
                <w:sz w:val="17"/>
                <w:szCs w:val="17"/>
              </w:rPr>
              <w:t>13</w:t>
            </w:r>
            <w:r w:rsidRPr="001F22AE">
              <w:rPr>
                <w:rFonts w:hAnsi="SimSun" w:hint="eastAsia"/>
                <w:noProof/>
                <w:sz w:val="17"/>
                <w:szCs w:val="17"/>
              </w:rPr>
              <w:t xml:space="preserve"> </w:t>
            </w:r>
            <w:r w:rsidRPr="001F22AE">
              <w:rPr>
                <w:rFonts w:hAnsi="SimSun"/>
                <w:noProof/>
                <w:sz w:val="17"/>
                <w:szCs w:val="17"/>
              </w:rPr>
              <w:t>618</w:t>
            </w:r>
          </w:p>
          <w:p w:rsidR="0080267F" w:rsidRPr="001F22AE"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F22AE">
              <w:rPr>
                <w:rFonts w:hAnsi="SimSun"/>
                <w:noProof/>
                <w:sz w:val="17"/>
                <w:szCs w:val="17"/>
              </w:rPr>
              <w:t>12</w:t>
            </w:r>
            <w:r w:rsidRPr="001F22AE">
              <w:rPr>
                <w:rFonts w:hAnsi="SimSun" w:hint="eastAsia"/>
                <w:noProof/>
                <w:sz w:val="17"/>
                <w:szCs w:val="17"/>
              </w:rPr>
              <w:t xml:space="preserve"> </w:t>
            </w:r>
            <w:r w:rsidRPr="001F22AE">
              <w:rPr>
                <w:rFonts w:hAnsi="SimSun"/>
                <w:noProof/>
                <w:sz w:val="17"/>
                <w:szCs w:val="17"/>
              </w:rPr>
              <w:t>024</w:t>
            </w:r>
          </w:p>
        </w:tc>
      </w:tr>
      <w:tr w:rsidR="0080267F" w:rsidRPr="001F22AE" w:rsidTr="0023041C">
        <w:tblPrEx>
          <w:tblCellMar>
            <w:top w:w="0" w:type="dxa"/>
            <w:bottom w:w="0" w:type="dxa"/>
          </w:tblCellMar>
        </w:tblPrEx>
        <w:tc>
          <w:tcPr>
            <w:tcW w:w="1708" w:type="dxa"/>
            <w:tcBorders>
              <w:bottom w:val="single" w:sz="12" w:space="0" w:color="auto"/>
            </w:tcBorders>
            <w:shd w:val="clear" w:color="auto" w:fill="auto"/>
            <w:vAlign w:val="bottom"/>
          </w:tcPr>
          <w:p w:rsidR="0080267F" w:rsidRPr="001A7517" w:rsidRDefault="0080267F" w:rsidP="0080267F">
            <w:pPr>
              <w:tabs>
                <w:tab w:val="left" w:pos="334"/>
                <w:tab w:val="left" w:pos="669"/>
                <w:tab w:val="left" w:pos="1003"/>
                <w:tab w:val="left" w:pos="1338"/>
              </w:tabs>
              <w:suppressAutoHyphens/>
              <w:spacing w:after="80" w:line="240" w:lineRule="exact"/>
              <w:ind w:right="57"/>
              <w:rPr>
                <w:rFonts w:hAnsi="SimSun"/>
                <w:noProof/>
                <w:sz w:val="17"/>
                <w:szCs w:val="17"/>
              </w:rPr>
            </w:pPr>
            <w:r w:rsidRPr="001A7517">
              <w:rPr>
                <w:rFonts w:hAnsi="SimSun" w:hint="eastAsia"/>
                <w:noProof/>
                <w:sz w:val="17"/>
                <w:szCs w:val="17"/>
              </w:rPr>
              <w:t>高中总人数</w:t>
            </w:r>
          </w:p>
          <w:p w:rsidR="0080267F" w:rsidRPr="004C0035" w:rsidRDefault="0080267F" w:rsidP="0080267F">
            <w:pPr>
              <w:tabs>
                <w:tab w:val="left" w:pos="334"/>
                <w:tab w:val="left" w:pos="669"/>
                <w:tab w:val="left" w:pos="1003"/>
                <w:tab w:val="left" w:pos="1338"/>
              </w:tabs>
              <w:suppressAutoHyphens/>
              <w:spacing w:after="80" w:line="240" w:lineRule="exact"/>
              <w:ind w:left="334" w:right="57"/>
              <w:rPr>
                <w:rFonts w:hAnsi="SimSun" w:hint="eastAsia"/>
                <w:noProof/>
                <w:sz w:val="17"/>
                <w:szCs w:val="17"/>
              </w:rPr>
            </w:pPr>
            <w:r w:rsidRPr="004C0035">
              <w:rPr>
                <w:rFonts w:hAnsi="SimSun" w:hint="eastAsia"/>
                <w:noProof/>
                <w:sz w:val="17"/>
                <w:szCs w:val="17"/>
              </w:rPr>
              <w:t>男</w:t>
            </w:r>
          </w:p>
          <w:p w:rsidR="0080267F" w:rsidRPr="004C0035" w:rsidRDefault="0080267F" w:rsidP="0080267F">
            <w:pPr>
              <w:tabs>
                <w:tab w:val="left" w:pos="334"/>
                <w:tab w:val="left" w:pos="669"/>
                <w:tab w:val="left" w:pos="1003"/>
                <w:tab w:val="left" w:pos="1338"/>
              </w:tabs>
              <w:suppressAutoHyphens/>
              <w:spacing w:after="80" w:line="240" w:lineRule="exact"/>
              <w:ind w:left="334" w:right="57"/>
              <w:rPr>
                <w:rFonts w:hAnsi="SimSun"/>
                <w:sz w:val="17"/>
                <w:szCs w:val="17"/>
              </w:rPr>
            </w:pPr>
            <w:r w:rsidRPr="004C0035">
              <w:rPr>
                <w:rFonts w:hAnsi="SimSun" w:hint="eastAsia"/>
                <w:noProof/>
                <w:sz w:val="17"/>
                <w:szCs w:val="17"/>
              </w:rPr>
              <w:t>女</w:t>
            </w:r>
          </w:p>
        </w:tc>
        <w:tc>
          <w:tcPr>
            <w:tcW w:w="1151" w:type="dxa"/>
            <w:tcBorders>
              <w:bottom w:val="single" w:sz="12" w:space="0" w:color="auto"/>
            </w:tcBorders>
            <w:shd w:val="clear" w:color="auto" w:fill="auto"/>
            <w:vAlign w:val="bottom"/>
          </w:tcPr>
          <w:p w:rsidR="0080267F" w:rsidRPr="001A7517"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A7517">
              <w:rPr>
                <w:rFonts w:hAnsi="SimSun"/>
                <w:noProof/>
                <w:sz w:val="17"/>
                <w:szCs w:val="17"/>
              </w:rPr>
              <w:t>10</w:t>
            </w:r>
            <w:r w:rsidRPr="001A7517">
              <w:rPr>
                <w:rFonts w:hAnsi="SimSun" w:hint="eastAsia"/>
                <w:noProof/>
                <w:sz w:val="17"/>
                <w:szCs w:val="17"/>
              </w:rPr>
              <w:t xml:space="preserve"> </w:t>
            </w:r>
            <w:r w:rsidRPr="001A7517">
              <w:rPr>
                <w:rFonts w:hAnsi="SimSun"/>
                <w:noProof/>
                <w:sz w:val="17"/>
                <w:szCs w:val="17"/>
              </w:rPr>
              <w:t>433</w:t>
            </w:r>
          </w:p>
          <w:p w:rsidR="0080267F" w:rsidRPr="001F22AE"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F22AE">
              <w:rPr>
                <w:rFonts w:hAnsi="SimSun"/>
                <w:noProof/>
                <w:sz w:val="17"/>
                <w:szCs w:val="17"/>
              </w:rPr>
              <w:t>6</w:t>
            </w:r>
            <w:r w:rsidRPr="001F22AE">
              <w:rPr>
                <w:rFonts w:hAnsi="SimSun" w:hint="eastAsia"/>
                <w:noProof/>
                <w:sz w:val="17"/>
                <w:szCs w:val="17"/>
              </w:rPr>
              <w:t xml:space="preserve"> </w:t>
            </w:r>
            <w:r w:rsidRPr="001F22AE">
              <w:rPr>
                <w:rFonts w:hAnsi="SimSun"/>
                <w:noProof/>
                <w:sz w:val="17"/>
                <w:szCs w:val="17"/>
              </w:rPr>
              <w:t>575</w:t>
            </w:r>
          </w:p>
          <w:p w:rsidR="0080267F" w:rsidRPr="001F22AE"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F22AE">
              <w:rPr>
                <w:rFonts w:hAnsi="SimSun"/>
                <w:noProof/>
                <w:sz w:val="17"/>
                <w:szCs w:val="17"/>
              </w:rPr>
              <w:t>3</w:t>
            </w:r>
            <w:r w:rsidRPr="001F22AE">
              <w:rPr>
                <w:rFonts w:hAnsi="SimSun" w:hint="eastAsia"/>
                <w:noProof/>
                <w:sz w:val="17"/>
                <w:szCs w:val="17"/>
              </w:rPr>
              <w:t xml:space="preserve"> </w:t>
            </w:r>
            <w:r w:rsidRPr="001F22AE">
              <w:rPr>
                <w:rFonts w:hAnsi="SimSun"/>
                <w:noProof/>
                <w:sz w:val="17"/>
                <w:szCs w:val="17"/>
              </w:rPr>
              <w:t>858</w:t>
            </w:r>
          </w:p>
        </w:tc>
        <w:tc>
          <w:tcPr>
            <w:tcW w:w="1183" w:type="dxa"/>
            <w:tcBorders>
              <w:bottom w:val="single" w:sz="12" w:space="0" w:color="auto"/>
            </w:tcBorders>
            <w:shd w:val="clear" w:color="auto" w:fill="auto"/>
            <w:vAlign w:val="bottom"/>
          </w:tcPr>
          <w:p w:rsidR="0080267F" w:rsidRPr="001A7517"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A7517">
              <w:rPr>
                <w:rFonts w:hAnsi="SimSun"/>
                <w:noProof/>
                <w:sz w:val="17"/>
                <w:szCs w:val="17"/>
              </w:rPr>
              <w:t>11</w:t>
            </w:r>
            <w:r w:rsidRPr="001A7517">
              <w:rPr>
                <w:rFonts w:hAnsi="SimSun" w:hint="eastAsia"/>
                <w:noProof/>
                <w:sz w:val="17"/>
                <w:szCs w:val="17"/>
              </w:rPr>
              <w:t xml:space="preserve"> </w:t>
            </w:r>
            <w:r w:rsidRPr="001A7517">
              <w:rPr>
                <w:rFonts w:hAnsi="SimSun"/>
                <w:noProof/>
                <w:sz w:val="17"/>
                <w:szCs w:val="17"/>
              </w:rPr>
              <w:t>387</w:t>
            </w:r>
          </w:p>
          <w:p w:rsidR="0080267F" w:rsidRPr="001F22AE"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F22AE">
              <w:rPr>
                <w:rFonts w:hAnsi="SimSun"/>
                <w:noProof/>
                <w:sz w:val="17"/>
                <w:szCs w:val="17"/>
              </w:rPr>
              <w:t>7</w:t>
            </w:r>
            <w:r w:rsidRPr="001F22AE">
              <w:rPr>
                <w:rFonts w:hAnsi="SimSun" w:hint="eastAsia"/>
                <w:noProof/>
                <w:sz w:val="17"/>
                <w:szCs w:val="17"/>
              </w:rPr>
              <w:t xml:space="preserve"> </w:t>
            </w:r>
            <w:r w:rsidRPr="001F22AE">
              <w:rPr>
                <w:rFonts w:hAnsi="SimSun"/>
                <w:noProof/>
                <w:sz w:val="17"/>
                <w:szCs w:val="17"/>
              </w:rPr>
              <w:t>360</w:t>
            </w:r>
          </w:p>
          <w:p w:rsidR="0080267F" w:rsidRPr="001F22AE"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F22AE">
              <w:rPr>
                <w:rFonts w:hAnsi="SimSun"/>
                <w:noProof/>
                <w:sz w:val="17"/>
                <w:szCs w:val="17"/>
              </w:rPr>
              <w:t>4</w:t>
            </w:r>
            <w:r w:rsidRPr="001F22AE">
              <w:rPr>
                <w:rFonts w:hAnsi="SimSun" w:hint="eastAsia"/>
                <w:noProof/>
                <w:sz w:val="17"/>
                <w:szCs w:val="17"/>
              </w:rPr>
              <w:t xml:space="preserve"> </w:t>
            </w:r>
            <w:r w:rsidRPr="001F22AE">
              <w:rPr>
                <w:rFonts w:hAnsi="SimSun"/>
                <w:noProof/>
                <w:sz w:val="17"/>
                <w:szCs w:val="17"/>
              </w:rPr>
              <w:t>027</w:t>
            </w:r>
          </w:p>
        </w:tc>
        <w:tc>
          <w:tcPr>
            <w:tcW w:w="1087" w:type="dxa"/>
            <w:tcBorders>
              <w:bottom w:val="single" w:sz="12" w:space="0" w:color="auto"/>
            </w:tcBorders>
            <w:shd w:val="clear" w:color="auto" w:fill="auto"/>
          </w:tcPr>
          <w:p w:rsidR="0080267F" w:rsidRPr="001A7517"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A7517">
              <w:rPr>
                <w:rFonts w:hAnsi="SimSun"/>
                <w:noProof/>
                <w:sz w:val="17"/>
                <w:szCs w:val="17"/>
              </w:rPr>
              <w:t>11</w:t>
            </w:r>
            <w:r w:rsidRPr="001A7517">
              <w:rPr>
                <w:rFonts w:hAnsi="SimSun" w:hint="eastAsia"/>
                <w:noProof/>
                <w:sz w:val="17"/>
                <w:szCs w:val="17"/>
              </w:rPr>
              <w:t xml:space="preserve"> </w:t>
            </w:r>
            <w:r w:rsidRPr="001A7517">
              <w:rPr>
                <w:rFonts w:hAnsi="SimSun"/>
                <w:noProof/>
                <w:sz w:val="17"/>
                <w:szCs w:val="17"/>
              </w:rPr>
              <w:t>957</w:t>
            </w:r>
          </w:p>
          <w:p w:rsidR="0080267F"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F22AE">
              <w:rPr>
                <w:rFonts w:hAnsi="SimSun"/>
                <w:noProof/>
                <w:sz w:val="17"/>
                <w:szCs w:val="17"/>
              </w:rPr>
              <w:t>7</w:t>
            </w:r>
            <w:r w:rsidRPr="001F22AE">
              <w:rPr>
                <w:rFonts w:hAnsi="SimSun" w:hint="eastAsia"/>
                <w:noProof/>
                <w:sz w:val="17"/>
                <w:szCs w:val="17"/>
              </w:rPr>
              <w:t xml:space="preserve"> </w:t>
            </w:r>
            <w:r w:rsidRPr="001F22AE">
              <w:rPr>
                <w:rFonts w:hAnsi="SimSun"/>
                <w:noProof/>
                <w:sz w:val="17"/>
                <w:szCs w:val="17"/>
              </w:rPr>
              <w:t xml:space="preserve">471 </w:t>
            </w:r>
          </w:p>
          <w:p w:rsidR="0080267F" w:rsidRPr="001F22AE"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F22AE">
              <w:rPr>
                <w:rFonts w:hAnsi="SimSun"/>
                <w:noProof/>
                <w:sz w:val="17"/>
                <w:szCs w:val="17"/>
              </w:rPr>
              <w:t>4</w:t>
            </w:r>
            <w:r w:rsidRPr="001F22AE">
              <w:rPr>
                <w:rFonts w:hAnsi="SimSun" w:hint="eastAsia"/>
                <w:noProof/>
                <w:sz w:val="17"/>
                <w:szCs w:val="17"/>
              </w:rPr>
              <w:t xml:space="preserve"> </w:t>
            </w:r>
            <w:r w:rsidRPr="001F22AE">
              <w:rPr>
                <w:rFonts w:hAnsi="SimSun"/>
                <w:noProof/>
                <w:sz w:val="17"/>
                <w:szCs w:val="17"/>
              </w:rPr>
              <w:t>486</w:t>
            </w:r>
          </w:p>
        </w:tc>
        <w:tc>
          <w:tcPr>
            <w:tcW w:w="1088" w:type="dxa"/>
            <w:tcBorders>
              <w:bottom w:val="single" w:sz="12" w:space="0" w:color="auto"/>
            </w:tcBorders>
            <w:shd w:val="clear" w:color="auto" w:fill="auto"/>
            <w:vAlign w:val="bottom"/>
          </w:tcPr>
          <w:p w:rsidR="0080267F" w:rsidRPr="001A7517"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A7517">
              <w:rPr>
                <w:rFonts w:hAnsi="SimSun"/>
                <w:noProof/>
                <w:sz w:val="17"/>
                <w:szCs w:val="17"/>
              </w:rPr>
              <w:t>13 598</w:t>
            </w:r>
          </w:p>
          <w:p w:rsidR="0080267F" w:rsidRPr="001F22AE" w:rsidRDefault="0080267F" w:rsidP="0080267F">
            <w:pPr>
              <w:tabs>
                <w:tab w:val="left" w:pos="334"/>
                <w:tab w:val="left" w:pos="669"/>
                <w:tab w:val="left" w:pos="1003"/>
                <w:tab w:val="left" w:pos="1338"/>
              </w:tabs>
              <w:suppressAutoHyphens/>
              <w:spacing w:after="80" w:line="240" w:lineRule="exact"/>
              <w:ind w:right="57"/>
              <w:jc w:val="right"/>
              <w:rPr>
                <w:rFonts w:hAnsi="SimSun" w:hint="eastAsia"/>
                <w:noProof/>
                <w:sz w:val="17"/>
                <w:szCs w:val="17"/>
              </w:rPr>
            </w:pPr>
            <w:r w:rsidRPr="001F22AE">
              <w:rPr>
                <w:rFonts w:hAnsi="SimSun"/>
                <w:noProof/>
                <w:sz w:val="17"/>
                <w:szCs w:val="17"/>
              </w:rPr>
              <w:t>8</w:t>
            </w:r>
            <w:r w:rsidRPr="001F22AE">
              <w:rPr>
                <w:rFonts w:hAnsi="SimSun" w:hint="eastAsia"/>
                <w:noProof/>
                <w:sz w:val="17"/>
                <w:szCs w:val="17"/>
              </w:rPr>
              <w:t xml:space="preserve"> </w:t>
            </w:r>
            <w:r w:rsidRPr="001F22AE">
              <w:rPr>
                <w:rFonts w:hAnsi="SimSun"/>
                <w:noProof/>
                <w:sz w:val="17"/>
                <w:szCs w:val="17"/>
              </w:rPr>
              <w:t>219</w:t>
            </w:r>
          </w:p>
          <w:p w:rsidR="0080267F" w:rsidRPr="001F22AE"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F22AE">
              <w:rPr>
                <w:rFonts w:hAnsi="SimSun"/>
                <w:noProof/>
                <w:sz w:val="17"/>
                <w:szCs w:val="17"/>
              </w:rPr>
              <w:t>5</w:t>
            </w:r>
            <w:r w:rsidRPr="001F22AE">
              <w:rPr>
                <w:rFonts w:hAnsi="SimSun" w:hint="eastAsia"/>
                <w:noProof/>
                <w:sz w:val="17"/>
                <w:szCs w:val="17"/>
              </w:rPr>
              <w:t xml:space="preserve"> </w:t>
            </w:r>
            <w:r w:rsidRPr="001F22AE">
              <w:rPr>
                <w:rFonts w:hAnsi="SimSun"/>
                <w:noProof/>
                <w:sz w:val="17"/>
                <w:szCs w:val="17"/>
              </w:rPr>
              <w:t>379</w:t>
            </w:r>
          </w:p>
        </w:tc>
        <w:tc>
          <w:tcPr>
            <w:tcW w:w="1103" w:type="dxa"/>
            <w:tcBorders>
              <w:bottom w:val="single" w:sz="12" w:space="0" w:color="auto"/>
            </w:tcBorders>
            <w:shd w:val="clear" w:color="auto" w:fill="auto"/>
            <w:vAlign w:val="bottom"/>
          </w:tcPr>
          <w:p w:rsidR="0080267F" w:rsidRPr="001A7517"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A7517">
              <w:rPr>
                <w:rFonts w:hAnsi="SimSun"/>
                <w:noProof/>
                <w:sz w:val="17"/>
                <w:szCs w:val="17"/>
              </w:rPr>
              <w:t>14</w:t>
            </w:r>
            <w:r w:rsidRPr="001A7517">
              <w:rPr>
                <w:rFonts w:hAnsi="SimSun" w:hint="eastAsia"/>
                <w:noProof/>
                <w:sz w:val="17"/>
                <w:szCs w:val="17"/>
              </w:rPr>
              <w:t xml:space="preserve"> </w:t>
            </w:r>
            <w:r w:rsidRPr="001A7517">
              <w:rPr>
                <w:rFonts w:hAnsi="SimSun"/>
                <w:noProof/>
                <w:sz w:val="17"/>
                <w:szCs w:val="17"/>
              </w:rPr>
              <w:t>436</w:t>
            </w:r>
          </w:p>
          <w:p w:rsidR="0080267F" w:rsidRPr="001F22AE"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F22AE">
              <w:rPr>
                <w:rFonts w:hAnsi="SimSun"/>
                <w:noProof/>
                <w:sz w:val="17"/>
                <w:szCs w:val="17"/>
              </w:rPr>
              <w:t>8</w:t>
            </w:r>
            <w:r w:rsidRPr="001F22AE">
              <w:rPr>
                <w:rFonts w:hAnsi="SimSun" w:hint="eastAsia"/>
                <w:noProof/>
                <w:sz w:val="17"/>
                <w:szCs w:val="17"/>
              </w:rPr>
              <w:t xml:space="preserve"> </w:t>
            </w:r>
            <w:r w:rsidRPr="001F22AE">
              <w:rPr>
                <w:rFonts w:hAnsi="SimSun"/>
                <w:noProof/>
                <w:sz w:val="17"/>
                <w:szCs w:val="17"/>
              </w:rPr>
              <w:t>711</w:t>
            </w:r>
          </w:p>
          <w:p w:rsidR="0080267F" w:rsidRPr="001F22AE" w:rsidRDefault="0080267F" w:rsidP="0080267F">
            <w:pPr>
              <w:tabs>
                <w:tab w:val="left" w:pos="334"/>
                <w:tab w:val="left" w:pos="669"/>
                <w:tab w:val="left" w:pos="1003"/>
                <w:tab w:val="left" w:pos="1338"/>
              </w:tabs>
              <w:suppressAutoHyphens/>
              <w:spacing w:after="80" w:line="240" w:lineRule="exact"/>
              <w:ind w:right="57"/>
              <w:jc w:val="right"/>
              <w:rPr>
                <w:rFonts w:hAnsi="SimSun"/>
                <w:noProof/>
                <w:sz w:val="17"/>
                <w:szCs w:val="17"/>
              </w:rPr>
            </w:pPr>
            <w:r w:rsidRPr="001F22AE">
              <w:rPr>
                <w:rFonts w:hAnsi="SimSun"/>
                <w:noProof/>
                <w:sz w:val="17"/>
                <w:szCs w:val="17"/>
              </w:rPr>
              <w:t>5</w:t>
            </w:r>
            <w:r w:rsidRPr="001F22AE">
              <w:rPr>
                <w:rFonts w:hAnsi="SimSun" w:hint="eastAsia"/>
                <w:noProof/>
                <w:sz w:val="17"/>
                <w:szCs w:val="17"/>
              </w:rPr>
              <w:t xml:space="preserve"> </w:t>
            </w:r>
            <w:r w:rsidRPr="001F22AE">
              <w:rPr>
                <w:rFonts w:hAnsi="SimSun"/>
                <w:noProof/>
                <w:sz w:val="17"/>
                <w:szCs w:val="17"/>
              </w:rPr>
              <w:t>725</w:t>
            </w:r>
          </w:p>
        </w:tc>
      </w:tr>
    </w:tbl>
    <w:p w:rsidR="0080267F" w:rsidRPr="0080267F" w:rsidRDefault="0080267F" w:rsidP="0080267F">
      <w:pPr>
        <w:pStyle w:val="SingleTxt"/>
        <w:spacing w:after="0" w:line="120" w:lineRule="exact"/>
        <w:rPr>
          <w:sz w:val="10"/>
        </w:rPr>
      </w:pPr>
    </w:p>
    <w:p w:rsidR="0080267F" w:rsidRPr="0080267F" w:rsidRDefault="0080267F" w:rsidP="0080267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4" w:right="1259" w:hanging="1264"/>
        <w:rPr>
          <w:rFonts w:hint="eastAsia"/>
          <w:sz w:val="10"/>
        </w:rPr>
      </w:pPr>
    </w:p>
    <w:p w:rsidR="0080267F" w:rsidRPr="0080267F" w:rsidRDefault="0080267F" w:rsidP="0080267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4" w:right="1259" w:hanging="1264"/>
        <w:rPr>
          <w:rFonts w:hint="eastAsia"/>
          <w:sz w:val="10"/>
        </w:rPr>
      </w:pPr>
    </w:p>
    <w:p w:rsidR="0080267F" w:rsidRDefault="0080267F" w:rsidP="002304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pPr>
      <w:r w:rsidRPr="006C14AA">
        <w:rPr>
          <w:rFonts w:hint="eastAsia"/>
        </w:rPr>
        <w:tab/>
      </w:r>
      <w:r w:rsidRPr="006C14AA">
        <w:rPr>
          <w:rFonts w:hint="eastAsia"/>
        </w:rPr>
        <w:tab/>
        <w:t>按教育级别和性别分列的</w:t>
      </w:r>
      <w:r>
        <w:rPr>
          <w:rFonts w:hint="eastAsia"/>
        </w:rPr>
        <w:t>2006-2010</w:t>
      </w:r>
      <w:r w:rsidRPr="006C14AA">
        <w:rPr>
          <w:rFonts w:hint="eastAsia"/>
        </w:rPr>
        <w:t>年总入学比率(2006-2008年、2007-2009年和2008-2010年业绩评估框架)</w:t>
      </w:r>
    </w:p>
    <w:tbl>
      <w:tblPr>
        <w:tblW w:w="9847" w:type="dxa"/>
        <w:tblLayout w:type="fixed"/>
        <w:tblCellMar>
          <w:left w:w="0" w:type="dxa"/>
          <w:right w:w="0" w:type="dxa"/>
        </w:tblCellMar>
        <w:tblLook w:val="0000"/>
      </w:tblPr>
      <w:tblGrid>
        <w:gridCol w:w="966"/>
        <w:gridCol w:w="592"/>
        <w:gridCol w:w="592"/>
        <w:gridCol w:w="592"/>
        <w:gridCol w:w="128"/>
        <w:gridCol w:w="464"/>
        <w:gridCol w:w="592"/>
        <w:gridCol w:w="592"/>
        <w:gridCol w:w="116"/>
        <w:gridCol w:w="476"/>
        <w:gridCol w:w="592"/>
        <w:gridCol w:w="592"/>
        <w:gridCol w:w="131"/>
        <w:gridCol w:w="461"/>
        <w:gridCol w:w="592"/>
        <w:gridCol w:w="592"/>
        <w:gridCol w:w="147"/>
        <w:gridCol w:w="445"/>
        <w:gridCol w:w="592"/>
        <w:gridCol w:w="593"/>
      </w:tblGrid>
      <w:tr w:rsidR="0080267F" w:rsidRPr="005440F1" w:rsidTr="0023041C">
        <w:tblPrEx>
          <w:tblCellMar>
            <w:top w:w="0" w:type="dxa"/>
            <w:bottom w:w="0" w:type="dxa"/>
          </w:tblCellMar>
        </w:tblPrEx>
        <w:trPr>
          <w:tblHeader/>
        </w:trPr>
        <w:tc>
          <w:tcPr>
            <w:tcW w:w="966" w:type="dxa"/>
            <w:tcBorders>
              <w:top w:val="single" w:sz="4" w:space="0" w:color="auto"/>
            </w:tcBorders>
            <w:shd w:val="clear" w:color="auto" w:fill="auto"/>
            <w:vAlign w:val="bottom"/>
          </w:tcPr>
          <w:p w:rsidR="0080267F" w:rsidRPr="005440F1" w:rsidRDefault="0080267F" w:rsidP="0023041C">
            <w:pPr>
              <w:suppressAutoHyphens/>
              <w:spacing w:before="60" w:after="60" w:line="200" w:lineRule="exact"/>
              <w:ind w:right="57"/>
              <w:rPr>
                <w:rFonts w:ascii="KaiTi_GB2312" w:eastAsia="KaiTi_GB2312" w:hAnsi="STZhongsong"/>
                <w:sz w:val="15"/>
              </w:rPr>
            </w:pPr>
          </w:p>
        </w:tc>
        <w:tc>
          <w:tcPr>
            <w:tcW w:w="1776" w:type="dxa"/>
            <w:gridSpan w:val="3"/>
            <w:tcBorders>
              <w:top w:val="single" w:sz="4" w:space="0" w:color="auto"/>
              <w:bottom w:val="single" w:sz="4" w:space="0" w:color="auto"/>
            </w:tcBorders>
            <w:shd w:val="clear" w:color="auto" w:fill="auto"/>
            <w:vAlign w:val="bottom"/>
          </w:tcPr>
          <w:p w:rsidR="0080267F" w:rsidRPr="005440F1" w:rsidRDefault="0080267F" w:rsidP="0023041C">
            <w:pPr>
              <w:suppressAutoHyphens/>
              <w:spacing w:before="60" w:after="60" w:line="200" w:lineRule="exact"/>
              <w:ind w:right="57"/>
              <w:jc w:val="center"/>
              <w:rPr>
                <w:rFonts w:ascii="KaiTi_GB2312" w:eastAsia="KaiTi_GB2312" w:hAnsi="STZhongsong" w:hint="eastAsia"/>
                <w:sz w:val="15"/>
              </w:rPr>
            </w:pPr>
            <w:r w:rsidRPr="005440F1">
              <w:rPr>
                <w:rFonts w:ascii="KaiTi_GB2312" w:eastAsia="KaiTi_GB2312" w:hAnsi="STZhongsong"/>
                <w:noProof/>
                <w:sz w:val="15"/>
              </w:rPr>
              <w:t>2006</w:t>
            </w:r>
            <w:r w:rsidRPr="005440F1">
              <w:rPr>
                <w:rFonts w:ascii="KaiTi_GB2312" w:eastAsia="KaiTi_GB2312" w:hAnsi="STZhongsong" w:hint="eastAsia"/>
                <w:noProof/>
                <w:sz w:val="15"/>
              </w:rPr>
              <w:t>年</w:t>
            </w:r>
          </w:p>
        </w:tc>
        <w:tc>
          <w:tcPr>
            <w:tcW w:w="128" w:type="dxa"/>
            <w:tcBorders>
              <w:top w:val="single" w:sz="4" w:space="0" w:color="auto"/>
            </w:tcBorders>
            <w:shd w:val="clear" w:color="auto" w:fill="auto"/>
            <w:vAlign w:val="bottom"/>
          </w:tcPr>
          <w:p w:rsidR="0080267F" w:rsidRPr="005440F1" w:rsidRDefault="0080267F" w:rsidP="0023041C">
            <w:pPr>
              <w:suppressAutoHyphens/>
              <w:spacing w:before="60" w:after="60" w:line="200" w:lineRule="exact"/>
              <w:ind w:right="57"/>
              <w:jc w:val="right"/>
              <w:rPr>
                <w:rFonts w:ascii="KaiTi_GB2312" w:eastAsia="KaiTi_GB2312" w:hAnsi="STZhongsong" w:hint="eastAsia"/>
                <w:sz w:val="15"/>
              </w:rPr>
            </w:pPr>
          </w:p>
        </w:tc>
        <w:tc>
          <w:tcPr>
            <w:tcW w:w="1648" w:type="dxa"/>
            <w:gridSpan w:val="3"/>
            <w:tcBorders>
              <w:top w:val="single" w:sz="4" w:space="0" w:color="auto"/>
              <w:bottom w:val="single" w:sz="4" w:space="0" w:color="auto"/>
            </w:tcBorders>
            <w:shd w:val="clear" w:color="auto" w:fill="auto"/>
            <w:vAlign w:val="bottom"/>
          </w:tcPr>
          <w:p w:rsidR="0080267F" w:rsidRPr="005440F1" w:rsidRDefault="0080267F" w:rsidP="0023041C">
            <w:pPr>
              <w:suppressAutoHyphens/>
              <w:spacing w:before="60" w:after="60" w:line="200" w:lineRule="exact"/>
              <w:ind w:right="57"/>
              <w:jc w:val="center"/>
              <w:rPr>
                <w:rFonts w:ascii="KaiTi_GB2312" w:eastAsia="KaiTi_GB2312" w:hAnsi="STZhongsong" w:hint="eastAsia"/>
                <w:sz w:val="15"/>
              </w:rPr>
            </w:pPr>
            <w:r w:rsidRPr="005440F1">
              <w:rPr>
                <w:rFonts w:ascii="KaiTi_GB2312" w:eastAsia="KaiTi_GB2312" w:hAnsi="STZhongsong"/>
                <w:noProof/>
                <w:sz w:val="15"/>
              </w:rPr>
              <w:t>2007</w:t>
            </w:r>
            <w:r w:rsidRPr="005440F1">
              <w:rPr>
                <w:rFonts w:ascii="KaiTi_GB2312" w:eastAsia="KaiTi_GB2312" w:hAnsi="STZhongsong" w:hint="eastAsia"/>
                <w:noProof/>
                <w:sz w:val="15"/>
              </w:rPr>
              <w:t>年</w:t>
            </w:r>
          </w:p>
        </w:tc>
        <w:tc>
          <w:tcPr>
            <w:tcW w:w="116" w:type="dxa"/>
            <w:tcBorders>
              <w:top w:val="single" w:sz="4" w:space="0" w:color="auto"/>
            </w:tcBorders>
            <w:shd w:val="clear" w:color="auto" w:fill="auto"/>
            <w:vAlign w:val="bottom"/>
          </w:tcPr>
          <w:p w:rsidR="0080267F" w:rsidRPr="005440F1" w:rsidRDefault="0080267F" w:rsidP="0023041C">
            <w:pPr>
              <w:suppressAutoHyphens/>
              <w:spacing w:before="60" w:after="60" w:line="200" w:lineRule="exact"/>
              <w:ind w:right="57"/>
              <w:jc w:val="right"/>
              <w:rPr>
                <w:rFonts w:ascii="KaiTi_GB2312" w:eastAsia="KaiTi_GB2312" w:hAnsi="STZhongsong" w:hint="eastAsia"/>
                <w:sz w:val="15"/>
              </w:rPr>
            </w:pPr>
          </w:p>
        </w:tc>
        <w:tc>
          <w:tcPr>
            <w:tcW w:w="1660" w:type="dxa"/>
            <w:gridSpan w:val="3"/>
            <w:tcBorders>
              <w:top w:val="single" w:sz="4" w:space="0" w:color="auto"/>
              <w:bottom w:val="single" w:sz="4" w:space="0" w:color="auto"/>
            </w:tcBorders>
            <w:shd w:val="clear" w:color="auto" w:fill="auto"/>
            <w:vAlign w:val="bottom"/>
          </w:tcPr>
          <w:p w:rsidR="0080267F" w:rsidRPr="005440F1" w:rsidRDefault="0080267F" w:rsidP="0023041C">
            <w:pPr>
              <w:suppressAutoHyphens/>
              <w:spacing w:before="60" w:after="60" w:line="200" w:lineRule="exact"/>
              <w:ind w:right="57"/>
              <w:jc w:val="center"/>
              <w:rPr>
                <w:rFonts w:ascii="KaiTi_GB2312" w:eastAsia="KaiTi_GB2312" w:hAnsi="STZhongsong" w:hint="eastAsia"/>
                <w:sz w:val="15"/>
              </w:rPr>
            </w:pPr>
            <w:r w:rsidRPr="005440F1">
              <w:rPr>
                <w:rFonts w:ascii="KaiTi_GB2312" w:eastAsia="KaiTi_GB2312" w:hAnsi="STZhongsong"/>
                <w:noProof/>
                <w:sz w:val="15"/>
              </w:rPr>
              <w:t>2008</w:t>
            </w:r>
            <w:r w:rsidRPr="005440F1">
              <w:rPr>
                <w:rFonts w:ascii="KaiTi_GB2312" w:eastAsia="KaiTi_GB2312" w:hAnsi="STZhongsong" w:hint="eastAsia"/>
                <w:noProof/>
                <w:sz w:val="15"/>
              </w:rPr>
              <w:t>年</w:t>
            </w:r>
          </w:p>
        </w:tc>
        <w:tc>
          <w:tcPr>
            <w:tcW w:w="131" w:type="dxa"/>
            <w:tcBorders>
              <w:top w:val="single" w:sz="4" w:space="0" w:color="auto"/>
            </w:tcBorders>
            <w:shd w:val="clear" w:color="auto" w:fill="auto"/>
            <w:vAlign w:val="bottom"/>
          </w:tcPr>
          <w:p w:rsidR="0080267F" w:rsidRPr="005440F1" w:rsidRDefault="0080267F" w:rsidP="0023041C">
            <w:pPr>
              <w:suppressAutoHyphens/>
              <w:spacing w:before="60" w:after="60" w:line="200" w:lineRule="exact"/>
              <w:ind w:right="57"/>
              <w:jc w:val="right"/>
              <w:rPr>
                <w:rFonts w:ascii="KaiTi_GB2312" w:eastAsia="KaiTi_GB2312" w:hAnsi="STZhongsong" w:hint="eastAsia"/>
                <w:sz w:val="15"/>
              </w:rPr>
            </w:pPr>
          </w:p>
        </w:tc>
        <w:tc>
          <w:tcPr>
            <w:tcW w:w="1645" w:type="dxa"/>
            <w:gridSpan w:val="3"/>
            <w:tcBorders>
              <w:top w:val="single" w:sz="4" w:space="0" w:color="auto"/>
              <w:bottom w:val="single" w:sz="4" w:space="0" w:color="auto"/>
            </w:tcBorders>
            <w:shd w:val="clear" w:color="auto" w:fill="auto"/>
            <w:vAlign w:val="bottom"/>
          </w:tcPr>
          <w:p w:rsidR="0080267F" w:rsidRPr="00192B78" w:rsidRDefault="0080267F" w:rsidP="0023041C">
            <w:pPr>
              <w:suppressAutoHyphens/>
              <w:spacing w:before="60" w:after="60" w:line="200" w:lineRule="exact"/>
              <w:ind w:right="57"/>
              <w:jc w:val="center"/>
              <w:rPr>
                <w:rFonts w:ascii="Times New Roman" w:eastAsia="KaiTi_GB2312"/>
                <w:sz w:val="15"/>
              </w:rPr>
            </w:pPr>
            <w:r w:rsidRPr="005440F1">
              <w:rPr>
                <w:rFonts w:ascii="KaiTi_GB2312" w:eastAsia="KaiTi_GB2312" w:hAnsi="STZhongsong"/>
                <w:noProof/>
                <w:sz w:val="15"/>
              </w:rPr>
              <w:t>2009</w:t>
            </w:r>
            <w:r w:rsidRPr="005440F1">
              <w:rPr>
                <w:rFonts w:ascii="KaiTi_GB2312" w:eastAsia="KaiTi_GB2312" w:hAnsi="STZhongsong" w:hint="eastAsia"/>
                <w:noProof/>
                <w:sz w:val="15"/>
              </w:rPr>
              <w:t>年</w:t>
            </w:r>
          </w:p>
        </w:tc>
        <w:tc>
          <w:tcPr>
            <w:tcW w:w="147" w:type="dxa"/>
            <w:tcBorders>
              <w:top w:val="single" w:sz="4" w:space="0" w:color="auto"/>
            </w:tcBorders>
            <w:shd w:val="clear" w:color="auto" w:fill="auto"/>
            <w:vAlign w:val="bottom"/>
          </w:tcPr>
          <w:p w:rsidR="0080267F" w:rsidRPr="005440F1" w:rsidRDefault="0080267F" w:rsidP="0023041C">
            <w:pPr>
              <w:suppressAutoHyphens/>
              <w:spacing w:before="60" w:after="60" w:line="200" w:lineRule="exact"/>
              <w:ind w:right="57"/>
              <w:jc w:val="right"/>
              <w:rPr>
                <w:rFonts w:ascii="Times New Roman" w:eastAsia="KaiTi_GB2312"/>
                <w:sz w:val="15"/>
              </w:rPr>
            </w:pPr>
          </w:p>
        </w:tc>
        <w:tc>
          <w:tcPr>
            <w:tcW w:w="1630" w:type="dxa"/>
            <w:gridSpan w:val="3"/>
            <w:tcBorders>
              <w:top w:val="single" w:sz="4" w:space="0" w:color="auto"/>
              <w:bottom w:val="single" w:sz="4" w:space="0" w:color="auto"/>
            </w:tcBorders>
            <w:shd w:val="clear" w:color="auto" w:fill="auto"/>
            <w:vAlign w:val="bottom"/>
          </w:tcPr>
          <w:p w:rsidR="0080267F" w:rsidRPr="005440F1" w:rsidRDefault="0080267F" w:rsidP="0023041C">
            <w:pPr>
              <w:suppressAutoHyphens/>
              <w:spacing w:before="60" w:after="60" w:line="200" w:lineRule="exact"/>
              <w:ind w:right="57"/>
              <w:jc w:val="center"/>
              <w:rPr>
                <w:rFonts w:ascii="Times New Roman" w:eastAsia="KaiTi_GB2312"/>
                <w:sz w:val="15"/>
              </w:rPr>
            </w:pPr>
            <w:r w:rsidRPr="005440F1">
              <w:rPr>
                <w:rFonts w:ascii="KaiTi_GB2312" w:eastAsia="KaiTi_GB2312" w:hAnsi="STZhongsong"/>
                <w:noProof/>
                <w:sz w:val="15"/>
              </w:rPr>
              <w:t>2010</w:t>
            </w:r>
            <w:r w:rsidRPr="005440F1">
              <w:rPr>
                <w:rFonts w:ascii="KaiTi_GB2312" w:eastAsia="KaiTi_GB2312" w:hAnsi="STZhongsong" w:hint="eastAsia"/>
                <w:noProof/>
                <w:sz w:val="15"/>
              </w:rPr>
              <w:t>年</w:t>
            </w:r>
          </w:p>
        </w:tc>
      </w:tr>
      <w:tr w:rsidR="0080267F" w:rsidRPr="005440F1" w:rsidTr="0023041C">
        <w:tblPrEx>
          <w:tblCellMar>
            <w:top w:w="0" w:type="dxa"/>
            <w:bottom w:w="0" w:type="dxa"/>
          </w:tblCellMar>
        </w:tblPrEx>
        <w:trPr>
          <w:tblHeader/>
        </w:trPr>
        <w:tc>
          <w:tcPr>
            <w:tcW w:w="966" w:type="dxa"/>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00" w:lineRule="exact"/>
              <w:ind w:right="57"/>
              <w:rPr>
                <w:rFonts w:ascii="KaiTi_GB2312" w:eastAsia="KaiTi_GB2312" w:hAnsi="STZhongsong"/>
                <w:sz w:val="15"/>
              </w:rPr>
            </w:pPr>
            <w:r w:rsidRPr="005440F1">
              <w:rPr>
                <w:rFonts w:ascii="KaiTi_GB2312" w:eastAsia="KaiTi_GB2312" w:hAnsi="STZhongsong" w:hint="eastAsia"/>
                <w:sz w:val="15"/>
                <w:lang w:val="zh-CN"/>
              </w:rPr>
              <w:t>级别</w:t>
            </w:r>
          </w:p>
        </w:tc>
        <w:tc>
          <w:tcPr>
            <w:tcW w:w="592" w:type="dxa"/>
            <w:tcBorders>
              <w:top w:val="single" w:sz="4" w:space="0" w:color="auto"/>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00" w:lineRule="exact"/>
              <w:ind w:right="57"/>
              <w:jc w:val="right"/>
              <w:rPr>
                <w:rFonts w:ascii="KaiTi_GB2312" w:eastAsia="KaiTi_GB2312"/>
                <w:sz w:val="15"/>
                <w:szCs w:val="24"/>
              </w:rPr>
            </w:pPr>
            <w:r w:rsidRPr="005440F1">
              <w:rPr>
                <w:rFonts w:ascii="KaiTi_GB2312" w:eastAsia="KaiTi_GB2312" w:hAnsi="STZhongsong"/>
                <w:noProof/>
                <w:sz w:val="15"/>
              </w:rPr>
              <w:t>女</w:t>
            </w:r>
          </w:p>
        </w:tc>
        <w:tc>
          <w:tcPr>
            <w:tcW w:w="592" w:type="dxa"/>
            <w:tcBorders>
              <w:top w:val="single" w:sz="4" w:space="0" w:color="auto"/>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00" w:lineRule="exact"/>
              <w:ind w:right="57"/>
              <w:jc w:val="right"/>
              <w:rPr>
                <w:rFonts w:ascii="KaiTi_GB2312" w:eastAsia="KaiTi_GB2312"/>
                <w:sz w:val="15"/>
                <w:szCs w:val="24"/>
              </w:rPr>
            </w:pPr>
            <w:r w:rsidRPr="005440F1">
              <w:rPr>
                <w:rFonts w:ascii="KaiTi_GB2312" w:eastAsia="KaiTi_GB2312" w:hAnsi="STZhongsong"/>
                <w:noProof/>
                <w:sz w:val="15"/>
              </w:rPr>
              <w:t>男</w:t>
            </w:r>
          </w:p>
        </w:tc>
        <w:tc>
          <w:tcPr>
            <w:tcW w:w="592" w:type="dxa"/>
            <w:tcBorders>
              <w:top w:val="single" w:sz="4" w:space="0" w:color="auto"/>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00" w:lineRule="exact"/>
              <w:ind w:right="57"/>
              <w:jc w:val="right"/>
              <w:rPr>
                <w:rFonts w:ascii="KaiTi_GB2312" w:eastAsia="KaiTi_GB2312"/>
                <w:sz w:val="15"/>
                <w:szCs w:val="24"/>
              </w:rPr>
            </w:pPr>
            <w:r w:rsidRPr="005440F1">
              <w:rPr>
                <w:rFonts w:ascii="KaiTi_GB2312" w:eastAsia="KaiTi_GB2312" w:hAnsi="STZhongsong" w:hint="eastAsia"/>
                <w:noProof/>
                <w:sz w:val="15"/>
              </w:rPr>
              <w:t>共计</w:t>
            </w:r>
          </w:p>
        </w:tc>
        <w:tc>
          <w:tcPr>
            <w:tcW w:w="592" w:type="dxa"/>
            <w:gridSpan w:val="2"/>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00" w:lineRule="exact"/>
              <w:ind w:right="57"/>
              <w:jc w:val="right"/>
              <w:rPr>
                <w:rFonts w:ascii="KaiTi_GB2312" w:eastAsia="KaiTi_GB2312"/>
                <w:sz w:val="15"/>
                <w:szCs w:val="24"/>
              </w:rPr>
            </w:pPr>
            <w:r w:rsidRPr="005440F1">
              <w:rPr>
                <w:rFonts w:ascii="KaiTi_GB2312" w:eastAsia="KaiTi_GB2312" w:hAnsi="STZhongsong"/>
                <w:noProof/>
                <w:sz w:val="15"/>
              </w:rPr>
              <w:t>女</w:t>
            </w:r>
          </w:p>
        </w:tc>
        <w:tc>
          <w:tcPr>
            <w:tcW w:w="592" w:type="dxa"/>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00" w:lineRule="exact"/>
              <w:ind w:right="57"/>
              <w:jc w:val="right"/>
              <w:rPr>
                <w:rFonts w:ascii="KaiTi_GB2312" w:eastAsia="KaiTi_GB2312"/>
                <w:sz w:val="15"/>
                <w:szCs w:val="24"/>
              </w:rPr>
            </w:pPr>
            <w:r w:rsidRPr="005440F1">
              <w:rPr>
                <w:rFonts w:ascii="KaiTi_GB2312" w:eastAsia="KaiTi_GB2312" w:hAnsi="STZhongsong"/>
                <w:noProof/>
                <w:sz w:val="15"/>
              </w:rPr>
              <w:t>男</w:t>
            </w:r>
          </w:p>
        </w:tc>
        <w:tc>
          <w:tcPr>
            <w:tcW w:w="592" w:type="dxa"/>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00" w:lineRule="exact"/>
              <w:ind w:right="57"/>
              <w:jc w:val="right"/>
              <w:rPr>
                <w:rFonts w:ascii="KaiTi_GB2312" w:eastAsia="KaiTi_GB2312"/>
                <w:sz w:val="15"/>
                <w:szCs w:val="24"/>
              </w:rPr>
            </w:pPr>
            <w:r w:rsidRPr="005440F1">
              <w:rPr>
                <w:rFonts w:ascii="KaiTi_GB2312" w:eastAsia="KaiTi_GB2312" w:hAnsi="STZhongsong" w:hint="eastAsia"/>
                <w:noProof/>
                <w:sz w:val="15"/>
              </w:rPr>
              <w:t>共计</w:t>
            </w:r>
          </w:p>
        </w:tc>
        <w:tc>
          <w:tcPr>
            <w:tcW w:w="592" w:type="dxa"/>
            <w:gridSpan w:val="2"/>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00" w:lineRule="exact"/>
              <w:ind w:right="57"/>
              <w:jc w:val="right"/>
              <w:rPr>
                <w:rFonts w:ascii="KaiTi_GB2312" w:eastAsia="KaiTi_GB2312"/>
                <w:sz w:val="15"/>
                <w:szCs w:val="24"/>
              </w:rPr>
            </w:pPr>
            <w:r w:rsidRPr="005440F1">
              <w:rPr>
                <w:rFonts w:ascii="KaiTi_GB2312" w:eastAsia="KaiTi_GB2312" w:hAnsi="STZhongsong"/>
                <w:noProof/>
                <w:sz w:val="15"/>
              </w:rPr>
              <w:t>女</w:t>
            </w:r>
          </w:p>
        </w:tc>
        <w:tc>
          <w:tcPr>
            <w:tcW w:w="592" w:type="dxa"/>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00" w:lineRule="exact"/>
              <w:ind w:right="57"/>
              <w:jc w:val="right"/>
              <w:rPr>
                <w:rFonts w:ascii="KaiTi_GB2312" w:eastAsia="KaiTi_GB2312"/>
                <w:sz w:val="15"/>
                <w:szCs w:val="24"/>
              </w:rPr>
            </w:pPr>
            <w:r w:rsidRPr="005440F1">
              <w:rPr>
                <w:rFonts w:ascii="KaiTi_GB2312" w:eastAsia="KaiTi_GB2312" w:hAnsi="STZhongsong"/>
                <w:noProof/>
                <w:sz w:val="15"/>
              </w:rPr>
              <w:t>男</w:t>
            </w:r>
          </w:p>
        </w:tc>
        <w:tc>
          <w:tcPr>
            <w:tcW w:w="592" w:type="dxa"/>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00" w:lineRule="exact"/>
              <w:ind w:right="57"/>
              <w:jc w:val="right"/>
              <w:rPr>
                <w:rFonts w:ascii="KaiTi_GB2312" w:eastAsia="KaiTi_GB2312"/>
                <w:sz w:val="15"/>
                <w:szCs w:val="24"/>
              </w:rPr>
            </w:pPr>
            <w:r w:rsidRPr="005440F1">
              <w:rPr>
                <w:rFonts w:ascii="KaiTi_GB2312" w:eastAsia="KaiTi_GB2312" w:hAnsi="STZhongsong" w:hint="eastAsia"/>
                <w:noProof/>
                <w:sz w:val="15"/>
              </w:rPr>
              <w:t>共计</w:t>
            </w:r>
          </w:p>
        </w:tc>
        <w:tc>
          <w:tcPr>
            <w:tcW w:w="592" w:type="dxa"/>
            <w:gridSpan w:val="2"/>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00" w:lineRule="exact"/>
              <w:ind w:right="57"/>
              <w:jc w:val="right"/>
              <w:rPr>
                <w:rFonts w:ascii="KaiTi_GB2312" w:eastAsia="KaiTi_GB2312"/>
                <w:sz w:val="15"/>
                <w:szCs w:val="24"/>
              </w:rPr>
            </w:pPr>
            <w:r w:rsidRPr="005440F1">
              <w:rPr>
                <w:rFonts w:ascii="KaiTi_GB2312" w:eastAsia="KaiTi_GB2312" w:hAnsi="STZhongsong"/>
                <w:noProof/>
                <w:sz w:val="15"/>
              </w:rPr>
              <w:t>女</w:t>
            </w:r>
          </w:p>
        </w:tc>
        <w:tc>
          <w:tcPr>
            <w:tcW w:w="592" w:type="dxa"/>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00" w:lineRule="exact"/>
              <w:ind w:right="57"/>
              <w:jc w:val="right"/>
              <w:rPr>
                <w:rFonts w:ascii="KaiTi_GB2312" w:eastAsia="KaiTi_GB2312"/>
                <w:sz w:val="15"/>
                <w:szCs w:val="24"/>
              </w:rPr>
            </w:pPr>
            <w:r w:rsidRPr="005440F1">
              <w:rPr>
                <w:rFonts w:ascii="KaiTi_GB2312" w:eastAsia="KaiTi_GB2312" w:hAnsi="STZhongsong"/>
                <w:noProof/>
                <w:sz w:val="15"/>
              </w:rPr>
              <w:t>男</w:t>
            </w:r>
          </w:p>
        </w:tc>
        <w:tc>
          <w:tcPr>
            <w:tcW w:w="592" w:type="dxa"/>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00" w:lineRule="exact"/>
              <w:ind w:right="57"/>
              <w:jc w:val="right"/>
              <w:rPr>
                <w:rFonts w:ascii="KaiTi_GB2312" w:eastAsia="KaiTi_GB2312"/>
                <w:sz w:val="15"/>
                <w:szCs w:val="24"/>
              </w:rPr>
            </w:pPr>
            <w:r w:rsidRPr="005440F1">
              <w:rPr>
                <w:rFonts w:ascii="KaiTi_GB2312" w:eastAsia="KaiTi_GB2312" w:hAnsi="STZhongsong" w:hint="eastAsia"/>
                <w:noProof/>
                <w:sz w:val="15"/>
              </w:rPr>
              <w:t>共计</w:t>
            </w:r>
          </w:p>
        </w:tc>
        <w:tc>
          <w:tcPr>
            <w:tcW w:w="592" w:type="dxa"/>
            <w:gridSpan w:val="2"/>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00" w:lineRule="exact"/>
              <w:ind w:right="57"/>
              <w:jc w:val="right"/>
              <w:rPr>
                <w:rFonts w:ascii="KaiTi_GB2312" w:eastAsia="KaiTi_GB2312"/>
                <w:sz w:val="15"/>
                <w:szCs w:val="24"/>
              </w:rPr>
            </w:pPr>
            <w:r w:rsidRPr="005440F1">
              <w:rPr>
                <w:rFonts w:ascii="KaiTi_GB2312" w:eastAsia="KaiTi_GB2312" w:hAnsi="STZhongsong"/>
                <w:noProof/>
                <w:sz w:val="15"/>
              </w:rPr>
              <w:t>女</w:t>
            </w:r>
          </w:p>
        </w:tc>
        <w:tc>
          <w:tcPr>
            <w:tcW w:w="592" w:type="dxa"/>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00" w:lineRule="exact"/>
              <w:ind w:right="57"/>
              <w:jc w:val="right"/>
              <w:rPr>
                <w:rFonts w:ascii="KaiTi_GB2312" w:eastAsia="KaiTi_GB2312"/>
                <w:sz w:val="15"/>
                <w:szCs w:val="24"/>
              </w:rPr>
            </w:pPr>
            <w:r w:rsidRPr="005440F1">
              <w:rPr>
                <w:rFonts w:ascii="KaiTi_GB2312" w:eastAsia="KaiTi_GB2312" w:hAnsi="STZhongsong"/>
                <w:noProof/>
                <w:sz w:val="15"/>
              </w:rPr>
              <w:t>男</w:t>
            </w:r>
          </w:p>
        </w:tc>
        <w:tc>
          <w:tcPr>
            <w:tcW w:w="593" w:type="dxa"/>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00" w:lineRule="exact"/>
              <w:ind w:right="57"/>
              <w:jc w:val="right"/>
              <w:rPr>
                <w:rFonts w:ascii="KaiTi_GB2312" w:eastAsia="KaiTi_GB2312"/>
                <w:sz w:val="15"/>
                <w:szCs w:val="24"/>
              </w:rPr>
            </w:pPr>
            <w:r w:rsidRPr="005440F1">
              <w:rPr>
                <w:rFonts w:ascii="KaiTi_GB2312" w:eastAsia="KaiTi_GB2312" w:hAnsi="STZhongsong" w:hint="eastAsia"/>
                <w:noProof/>
                <w:sz w:val="15"/>
              </w:rPr>
              <w:t>共计</w:t>
            </w:r>
          </w:p>
        </w:tc>
      </w:tr>
      <w:tr w:rsidR="0080267F" w:rsidRPr="005440F1" w:rsidTr="0023041C">
        <w:tblPrEx>
          <w:tblCellMar>
            <w:top w:w="0" w:type="dxa"/>
            <w:bottom w:w="0" w:type="dxa"/>
          </w:tblCellMar>
        </w:tblPrEx>
        <w:trPr>
          <w:trHeight w:hRule="exact" w:val="115"/>
          <w:tblHeader/>
        </w:trPr>
        <w:tc>
          <w:tcPr>
            <w:tcW w:w="966" w:type="dxa"/>
            <w:tcBorders>
              <w:top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rPr>
                <w:rFonts w:ascii="STZhongsong" w:hAnsi="STZhongsong" w:hint="eastAsia"/>
                <w:noProof/>
                <w:sz w:val="17"/>
              </w:rPr>
            </w:pPr>
          </w:p>
        </w:tc>
        <w:tc>
          <w:tcPr>
            <w:tcW w:w="592" w:type="dxa"/>
            <w:tcBorders>
              <w:top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92" w:type="dxa"/>
            <w:tcBorders>
              <w:top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92" w:type="dxa"/>
            <w:tcBorders>
              <w:top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92" w:type="dxa"/>
            <w:gridSpan w:val="2"/>
            <w:tcBorders>
              <w:top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92" w:type="dxa"/>
            <w:tcBorders>
              <w:top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92" w:type="dxa"/>
            <w:tcBorders>
              <w:top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92" w:type="dxa"/>
            <w:gridSpan w:val="2"/>
            <w:tcBorders>
              <w:top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92" w:type="dxa"/>
            <w:tcBorders>
              <w:top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92" w:type="dxa"/>
            <w:tcBorders>
              <w:top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92" w:type="dxa"/>
            <w:gridSpan w:val="2"/>
            <w:tcBorders>
              <w:top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92" w:type="dxa"/>
            <w:tcBorders>
              <w:top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92" w:type="dxa"/>
            <w:tcBorders>
              <w:top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92" w:type="dxa"/>
            <w:gridSpan w:val="2"/>
            <w:tcBorders>
              <w:top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92" w:type="dxa"/>
            <w:tcBorders>
              <w:top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93" w:type="dxa"/>
            <w:tcBorders>
              <w:top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r>
      <w:tr w:rsidR="0080267F" w:rsidRPr="005440F1" w:rsidTr="0023041C">
        <w:tblPrEx>
          <w:tblCellMar>
            <w:top w:w="0" w:type="dxa"/>
            <w:bottom w:w="0" w:type="dxa"/>
          </w:tblCellMar>
        </w:tblPrEx>
        <w:tc>
          <w:tcPr>
            <w:tcW w:w="966"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rPr>
                <w:rFonts w:ascii="STZhongsong" w:hAnsi="STZhongsong"/>
                <w:noProof/>
                <w:spacing w:val="-10"/>
                <w:sz w:val="17"/>
              </w:rPr>
            </w:pPr>
            <w:r w:rsidRPr="005440F1">
              <w:rPr>
                <w:rFonts w:ascii="STZhongsong" w:hAnsi="STZhongsong" w:hint="eastAsia"/>
                <w:noProof/>
                <w:spacing w:val="-10"/>
                <w:sz w:val="17"/>
              </w:rPr>
              <w:t>早期幼儿教育</w:t>
            </w:r>
          </w:p>
        </w:tc>
        <w:tc>
          <w:tcPr>
            <w:tcW w:w="592"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138%</w:t>
            </w:r>
          </w:p>
        </w:tc>
        <w:tc>
          <w:tcPr>
            <w:tcW w:w="592"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132%</w:t>
            </w:r>
          </w:p>
        </w:tc>
        <w:tc>
          <w:tcPr>
            <w:tcW w:w="592"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135%</w:t>
            </w:r>
          </w:p>
        </w:tc>
        <w:tc>
          <w:tcPr>
            <w:tcW w:w="592" w:type="dxa"/>
            <w:gridSpan w:val="2"/>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155%</w:t>
            </w:r>
          </w:p>
        </w:tc>
        <w:tc>
          <w:tcPr>
            <w:tcW w:w="592"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149%</w:t>
            </w:r>
          </w:p>
        </w:tc>
        <w:tc>
          <w:tcPr>
            <w:tcW w:w="592"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152%</w:t>
            </w:r>
          </w:p>
        </w:tc>
        <w:tc>
          <w:tcPr>
            <w:tcW w:w="592" w:type="dxa"/>
            <w:gridSpan w:val="2"/>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146%</w:t>
            </w:r>
          </w:p>
        </w:tc>
        <w:tc>
          <w:tcPr>
            <w:tcW w:w="592"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142%</w:t>
            </w:r>
          </w:p>
        </w:tc>
        <w:tc>
          <w:tcPr>
            <w:tcW w:w="592"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144%</w:t>
            </w:r>
          </w:p>
        </w:tc>
        <w:tc>
          <w:tcPr>
            <w:tcW w:w="592" w:type="dxa"/>
            <w:gridSpan w:val="2"/>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154%</w:t>
            </w:r>
          </w:p>
        </w:tc>
        <w:tc>
          <w:tcPr>
            <w:tcW w:w="592"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150%</w:t>
            </w:r>
          </w:p>
        </w:tc>
        <w:tc>
          <w:tcPr>
            <w:tcW w:w="592"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152%</w:t>
            </w:r>
          </w:p>
        </w:tc>
        <w:tc>
          <w:tcPr>
            <w:tcW w:w="592" w:type="dxa"/>
            <w:gridSpan w:val="2"/>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149%</w:t>
            </w:r>
          </w:p>
        </w:tc>
        <w:tc>
          <w:tcPr>
            <w:tcW w:w="592"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147%</w:t>
            </w:r>
          </w:p>
        </w:tc>
        <w:tc>
          <w:tcPr>
            <w:tcW w:w="593"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148%</w:t>
            </w:r>
          </w:p>
        </w:tc>
      </w:tr>
      <w:tr w:rsidR="0080267F" w:rsidRPr="005440F1" w:rsidTr="0023041C">
        <w:tblPrEx>
          <w:tblCellMar>
            <w:top w:w="0" w:type="dxa"/>
            <w:bottom w:w="0" w:type="dxa"/>
          </w:tblCellMar>
        </w:tblPrEx>
        <w:tc>
          <w:tcPr>
            <w:tcW w:w="966"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rPr>
                <w:rFonts w:ascii="STZhongsong" w:hAnsi="STZhongsong"/>
                <w:sz w:val="17"/>
              </w:rPr>
            </w:pPr>
            <w:r w:rsidRPr="005440F1">
              <w:rPr>
                <w:rFonts w:ascii="STZhongsong" w:hAnsi="STZhongsong" w:hint="eastAsia"/>
                <w:noProof/>
                <w:sz w:val="17"/>
              </w:rPr>
              <w:t>小学</w:t>
            </w:r>
          </w:p>
        </w:tc>
        <w:tc>
          <w:tcPr>
            <w:tcW w:w="592"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117%</w:t>
            </w:r>
          </w:p>
        </w:tc>
        <w:tc>
          <w:tcPr>
            <w:tcW w:w="592"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120%</w:t>
            </w:r>
          </w:p>
        </w:tc>
        <w:tc>
          <w:tcPr>
            <w:tcW w:w="592"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119%</w:t>
            </w:r>
          </w:p>
        </w:tc>
        <w:tc>
          <w:tcPr>
            <w:tcW w:w="592" w:type="dxa"/>
            <w:gridSpan w:val="2"/>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118%</w:t>
            </w:r>
          </w:p>
        </w:tc>
        <w:tc>
          <w:tcPr>
            <w:tcW w:w="592"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121%</w:t>
            </w:r>
          </w:p>
        </w:tc>
        <w:tc>
          <w:tcPr>
            <w:tcW w:w="592"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120%</w:t>
            </w:r>
          </w:p>
        </w:tc>
        <w:tc>
          <w:tcPr>
            <w:tcW w:w="592" w:type="dxa"/>
            <w:gridSpan w:val="2"/>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122%</w:t>
            </w:r>
          </w:p>
        </w:tc>
        <w:tc>
          <w:tcPr>
            <w:tcW w:w="592"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124%</w:t>
            </w:r>
          </w:p>
        </w:tc>
        <w:tc>
          <w:tcPr>
            <w:tcW w:w="592"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123%</w:t>
            </w:r>
          </w:p>
        </w:tc>
        <w:tc>
          <w:tcPr>
            <w:tcW w:w="592" w:type="dxa"/>
            <w:gridSpan w:val="2"/>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126%</w:t>
            </w:r>
          </w:p>
        </w:tc>
        <w:tc>
          <w:tcPr>
            <w:tcW w:w="592"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127%</w:t>
            </w:r>
          </w:p>
        </w:tc>
        <w:tc>
          <w:tcPr>
            <w:tcW w:w="592"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126%</w:t>
            </w:r>
          </w:p>
        </w:tc>
        <w:tc>
          <w:tcPr>
            <w:tcW w:w="592" w:type="dxa"/>
            <w:gridSpan w:val="2"/>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127%</w:t>
            </w:r>
          </w:p>
        </w:tc>
        <w:tc>
          <w:tcPr>
            <w:tcW w:w="592"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126%</w:t>
            </w:r>
          </w:p>
        </w:tc>
        <w:tc>
          <w:tcPr>
            <w:tcW w:w="593"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126%</w:t>
            </w:r>
          </w:p>
        </w:tc>
      </w:tr>
      <w:tr w:rsidR="0080267F" w:rsidRPr="005440F1" w:rsidTr="0023041C">
        <w:tblPrEx>
          <w:tblCellMar>
            <w:top w:w="0" w:type="dxa"/>
            <w:bottom w:w="0" w:type="dxa"/>
          </w:tblCellMar>
        </w:tblPrEx>
        <w:tc>
          <w:tcPr>
            <w:tcW w:w="966"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rPr>
                <w:rFonts w:ascii="STZhongsong" w:hAnsi="STZhongsong"/>
                <w:sz w:val="17"/>
              </w:rPr>
            </w:pPr>
            <w:r w:rsidRPr="005440F1">
              <w:rPr>
                <w:rFonts w:ascii="STZhongsong" w:hAnsi="STZhongsong" w:hint="eastAsia"/>
                <w:noProof/>
                <w:sz w:val="17"/>
              </w:rPr>
              <w:t>初中</w:t>
            </w:r>
          </w:p>
        </w:tc>
        <w:tc>
          <w:tcPr>
            <w:tcW w:w="592"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53%</w:t>
            </w:r>
          </w:p>
        </w:tc>
        <w:tc>
          <w:tcPr>
            <w:tcW w:w="592"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60%</w:t>
            </w:r>
          </w:p>
        </w:tc>
        <w:tc>
          <w:tcPr>
            <w:tcW w:w="592"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57%</w:t>
            </w:r>
          </w:p>
        </w:tc>
        <w:tc>
          <w:tcPr>
            <w:tcW w:w="592" w:type="dxa"/>
            <w:gridSpan w:val="2"/>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57%</w:t>
            </w:r>
          </w:p>
        </w:tc>
        <w:tc>
          <w:tcPr>
            <w:tcW w:w="592"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63%</w:t>
            </w:r>
          </w:p>
        </w:tc>
        <w:tc>
          <w:tcPr>
            <w:tcW w:w="592"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60%</w:t>
            </w:r>
          </w:p>
        </w:tc>
        <w:tc>
          <w:tcPr>
            <w:tcW w:w="592" w:type="dxa"/>
            <w:gridSpan w:val="2"/>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58%</w:t>
            </w:r>
          </w:p>
        </w:tc>
        <w:tc>
          <w:tcPr>
            <w:tcW w:w="592"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63%</w:t>
            </w:r>
          </w:p>
        </w:tc>
        <w:tc>
          <w:tcPr>
            <w:tcW w:w="592"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61%</w:t>
            </w:r>
          </w:p>
        </w:tc>
        <w:tc>
          <w:tcPr>
            <w:tcW w:w="592" w:type="dxa"/>
            <w:gridSpan w:val="2"/>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69%</w:t>
            </w:r>
          </w:p>
        </w:tc>
        <w:tc>
          <w:tcPr>
            <w:tcW w:w="592"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73%</w:t>
            </w:r>
          </w:p>
        </w:tc>
        <w:tc>
          <w:tcPr>
            <w:tcW w:w="592"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71%</w:t>
            </w:r>
          </w:p>
        </w:tc>
        <w:tc>
          <w:tcPr>
            <w:tcW w:w="592" w:type="dxa"/>
            <w:gridSpan w:val="2"/>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71%</w:t>
            </w:r>
          </w:p>
        </w:tc>
        <w:tc>
          <w:tcPr>
            <w:tcW w:w="592"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76%</w:t>
            </w:r>
          </w:p>
        </w:tc>
        <w:tc>
          <w:tcPr>
            <w:tcW w:w="593"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74%</w:t>
            </w:r>
          </w:p>
        </w:tc>
      </w:tr>
      <w:tr w:rsidR="0080267F" w:rsidRPr="005440F1" w:rsidTr="0023041C">
        <w:tblPrEx>
          <w:tblCellMar>
            <w:top w:w="0" w:type="dxa"/>
            <w:bottom w:w="0" w:type="dxa"/>
          </w:tblCellMar>
        </w:tblPrEx>
        <w:tc>
          <w:tcPr>
            <w:tcW w:w="966" w:type="dxa"/>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rPr>
                <w:rFonts w:ascii="STZhongsong" w:hAnsi="STZhongsong"/>
                <w:sz w:val="17"/>
              </w:rPr>
            </w:pPr>
            <w:r w:rsidRPr="005440F1">
              <w:rPr>
                <w:rFonts w:ascii="STZhongsong" w:hAnsi="STZhongsong" w:hint="eastAsia"/>
                <w:noProof/>
                <w:sz w:val="17"/>
              </w:rPr>
              <w:t>高中</w:t>
            </w:r>
          </w:p>
        </w:tc>
        <w:tc>
          <w:tcPr>
            <w:tcW w:w="592" w:type="dxa"/>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20%</w:t>
            </w:r>
          </w:p>
        </w:tc>
        <w:tc>
          <w:tcPr>
            <w:tcW w:w="592" w:type="dxa"/>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31%</w:t>
            </w:r>
          </w:p>
        </w:tc>
        <w:tc>
          <w:tcPr>
            <w:tcW w:w="592" w:type="dxa"/>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25%</w:t>
            </w:r>
          </w:p>
        </w:tc>
        <w:tc>
          <w:tcPr>
            <w:tcW w:w="592" w:type="dxa"/>
            <w:gridSpan w:val="2"/>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20%</w:t>
            </w:r>
          </w:p>
        </w:tc>
        <w:tc>
          <w:tcPr>
            <w:tcW w:w="592" w:type="dxa"/>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34%</w:t>
            </w:r>
          </w:p>
        </w:tc>
        <w:tc>
          <w:tcPr>
            <w:tcW w:w="592" w:type="dxa"/>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27%</w:t>
            </w:r>
          </w:p>
        </w:tc>
        <w:tc>
          <w:tcPr>
            <w:tcW w:w="592" w:type="dxa"/>
            <w:gridSpan w:val="2"/>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22%</w:t>
            </w:r>
          </w:p>
        </w:tc>
        <w:tc>
          <w:tcPr>
            <w:tcW w:w="592" w:type="dxa"/>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34%</w:t>
            </w:r>
          </w:p>
        </w:tc>
        <w:tc>
          <w:tcPr>
            <w:tcW w:w="592" w:type="dxa"/>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28%</w:t>
            </w:r>
          </w:p>
        </w:tc>
        <w:tc>
          <w:tcPr>
            <w:tcW w:w="592" w:type="dxa"/>
            <w:gridSpan w:val="2"/>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27%</w:t>
            </w:r>
          </w:p>
        </w:tc>
        <w:tc>
          <w:tcPr>
            <w:tcW w:w="592" w:type="dxa"/>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37%</w:t>
            </w:r>
          </w:p>
        </w:tc>
        <w:tc>
          <w:tcPr>
            <w:tcW w:w="592" w:type="dxa"/>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32%</w:t>
            </w:r>
          </w:p>
        </w:tc>
        <w:tc>
          <w:tcPr>
            <w:tcW w:w="592" w:type="dxa"/>
            <w:gridSpan w:val="2"/>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27%</w:t>
            </w:r>
          </w:p>
        </w:tc>
        <w:tc>
          <w:tcPr>
            <w:tcW w:w="592" w:type="dxa"/>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33%</w:t>
            </w:r>
          </w:p>
        </w:tc>
        <w:tc>
          <w:tcPr>
            <w:tcW w:w="593" w:type="dxa"/>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r w:rsidRPr="005440F1">
              <w:rPr>
                <w:sz w:val="17"/>
                <w:szCs w:val="24"/>
              </w:rPr>
              <w:t>30%</w:t>
            </w:r>
          </w:p>
        </w:tc>
      </w:tr>
    </w:tbl>
    <w:p w:rsidR="0080267F" w:rsidRPr="00192B78" w:rsidRDefault="0080267F" w:rsidP="0023041C">
      <w:pPr>
        <w:pStyle w:val="SingleTxt"/>
        <w:spacing w:after="0" w:line="120" w:lineRule="exact"/>
        <w:rPr>
          <w:sz w:val="10"/>
        </w:rPr>
      </w:pPr>
    </w:p>
    <w:p w:rsidR="0080267F" w:rsidRDefault="0080267F" w:rsidP="0023041C">
      <w:pPr>
        <w:pStyle w:val="SingleTxt"/>
        <w:rPr>
          <w:rFonts w:ascii="SimHei" w:eastAsia="SimHei"/>
        </w:rPr>
      </w:pPr>
      <w:r>
        <w:rPr>
          <w:rFonts w:ascii="SimHei" w:eastAsia="SimHei"/>
        </w:rPr>
        <w:br w:type="page"/>
      </w:r>
      <w:r w:rsidRPr="006C14AA">
        <w:rPr>
          <w:rFonts w:ascii="SimHei" w:eastAsia="SimHei" w:hint="eastAsia"/>
        </w:rPr>
        <w:t>按教育级别和性别分列的2006-2010年净入学比率(2006-2008年、2007-2009年和2008-2010年业绩评估框架)</w:t>
      </w:r>
    </w:p>
    <w:tbl>
      <w:tblPr>
        <w:tblW w:w="9847" w:type="dxa"/>
        <w:tblLayout w:type="fixed"/>
        <w:tblCellMar>
          <w:left w:w="0" w:type="dxa"/>
          <w:right w:w="0" w:type="dxa"/>
        </w:tblCellMar>
        <w:tblLook w:val="0000"/>
      </w:tblPr>
      <w:tblGrid>
        <w:gridCol w:w="966"/>
        <w:gridCol w:w="592"/>
        <w:gridCol w:w="592"/>
        <w:gridCol w:w="592"/>
        <w:gridCol w:w="128"/>
        <w:gridCol w:w="464"/>
        <w:gridCol w:w="592"/>
        <w:gridCol w:w="592"/>
        <w:gridCol w:w="116"/>
        <w:gridCol w:w="476"/>
        <w:gridCol w:w="592"/>
        <w:gridCol w:w="592"/>
        <w:gridCol w:w="131"/>
        <w:gridCol w:w="461"/>
        <w:gridCol w:w="592"/>
        <w:gridCol w:w="592"/>
        <w:gridCol w:w="147"/>
        <w:gridCol w:w="445"/>
        <w:gridCol w:w="592"/>
        <w:gridCol w:w="593"/>
      </w:tblGrid>
      <w:tr w:rsidR="0080267F" w:rsidRPr="005440F1" w:rsidTr="0023041C">
        <w:tblPrEx>
          <w:tblCellMar>
            <w:top w:w="0" w:type="dxa"/>
            <w:bottom w:w="0" w:type="dxa"/>
          </w:tblCellMar>
        </w:tblPrEx>
        <w:trPr>
          <w:tblHeader/>
        </w:trPr>
        <w:tc>
          <w:tcPr>
            <w:tcW w:w="966" w:type="dxa"/>
            <w:tcBorders>
              <w:top w:val="single" w:sz="4" w:space="0" w:color="auto"/>
            </w:tcBorders>
            <w:shd w:val="clear" w:color="auto" w:fill="auto"/>
            <w:vAlign w:val="bottom"/>
          </w:tcPr>
          <w:p w:rsidR="0080267F" w:rsidRPr="005440F1" w:rsidRDefault="0080267F" w:rsidP="0023041C">
            <w:pPr>
              <w:suppressAutoHyphens/>
              <w:spacing w:before="60" w:after="60" w:line="200" w:lineRule="exact"/>
              <w:ind w:right="57"/>
              <w:rPr>
                <w:rFonts w:ascii="KaiTi_GB2312" w:eastAsia="KaiTi_GB2312" w:hAnsi="STZhongsong"/>
                <w:sz w:val="15"/>
              </w:rPr>
            </w:pPr>
          </w:p>
        </w:tc>
        <w:tc>
          <w:tcPr>
            <w:tcW w:w="1776" w:type="dxa"/>
            <w:gridSpan w:val="3"/>
            <w:tcBorders>
              <w:top w:val="single" w:sz="4" w:space="0" w:color="auto"/>
              <w:bottom w:val="single" w:sz="4" w:space="0" w:color="auto"/>
            </w:tcBorders>
            <w:shd w:val="clear" w:color="auto" w:fill="auto"/>
            <w:vAlign w:val="bottom"/>
          </w:tcPr>
          <w:p w:rsidR="0080267F" w:rsidRPr="005440F1" w:rsidRDefault="0080267F" w:rsidP="0023041C">
            <w:pPr>
              <w:suppressAutoHyphens/>
              <w:spacing w:before="60" w:after="60" w:line="200" w:lineRule="exact"/>
              <w:ind w:right="57"/>
              <w:jc w:val="center"/>
              <w:rPr>
                <w:rFonts w:ascii="KaiTi_GB2312" w:eastAsia="KaiTi_GB2312" w:hAnsi="STZhongsong" w:hint="eastAsia"/>
                <w:sz w:val="15"/>
              </w:rPr>
            </w:pPr>
            <w:r w:rsidRPr="005440F1">
              <w:rPr>
                <w:rFonts w:ascii="KaiTi_GB2312" w:eastAsia="KaiTi_GB2312" w:hAnsi="STZhongsong"/>
                <w:noProof/>
                <w:sz w:val="15"/>
              </w:rPr>
              <w:t>2006</w:t>
            </w:r>
            <w:r w:rsidRPr="005440F1">
              <w:rPr>
                <w:rFonts w:ascii="KaiTi_GB2312" w:eastAsia="KaiTi_GB2312" w:hAnsi="STZhongsong" w:hint="eastAsia"/>
                <w:noProof/>
                <w:sz w:val="15"/>
              </w:rPr>
              <w:t>年</w:t>
            </w:r>
          </w:p>
        </w:tc>
        <w:tc>
          <w:tcPr>
            <w:tcW w:w="128" w:type="dxa"/>
            <w:tcBorders>
              <w:top w:val="single" w:sz="4" w:space="0" w:color="auto"/>
            </w:tcBorders>
            <w:shd w:val="clear" w:color="auto" w:fill="auto"/>
            <w:vAlign w:val="bottom"/>
          </w:tcPr>
          <w:p w:rsidR="0080267F" w:rsidRPr="005440F1" w:rsidRDefault="0080267F" w:rsidP="0023041C">
            <w:pPr>
              <w:suppressAutoHyphens/>
              <w:spacing w:before="60" w:after="60" w:line="200" w:lineRule="exact"/>
              <w:ind w:right="57"/>
              <w:jc w:val="right"/>
              <w:rPr>
                <w:rFonts w:ascii="KaiTi_GB2312" w:eastAsia="KaiTi_GB2312" w:hAnsi="STZhongsong" w:hint="eastAsia"/>
                <w:sz w:val="15"/>
              </w:rPr>
            </w:pPr>
          </w:p>
        </w:tc>
        <w:tc>
          <w:tcPr>
            <w:tcW w:w="1648" w:type="dxa"/>
            <w:gridSpan w:val="3"/>
            <w:tcBorders>
              <w:top w:val="single" w:sz="4" w:space="0" w:color="auto"/>
              <w:bottom w:val="single" w:sz="4" w:space="0" w:color="auto"/>
            </w:tcBorders>
            <w:shd w:val="clear" w:color="auto" w:fill="auto"/>
            <w:vAlign w:val="bottom"/>
          </w:tcPr>
          <w:p w:rsidR="0080267F" w:rsidRPr="005440F1" w:rsidRDefault="0080267F" w:rsidP="0023041C">
            <w:pPr>
              <w:suppressAutoHyphens/>
              <w:spacing w:before="60" w:after="60" w:line="200" w:lineRule="exact"/>
              <w:ind w:right="57"/>
              <w:jc w:val="center"/>
              <w:rPr>
                <w:rFonts w:ascii="KaiTi_GB2312" w:eastAsia="KaiTi_GB2312" w:hAnsi="STZhongsong" w:hint="eastAsia"/>
                <w:sz w:val="15"/>
              </w:rPr>
            </w:pPr>
            <w:r w:rsidRPr="005440F1">
              <w:rPr>
                <w:rFonts w:ascii="KaiTi_GB2312" w:eastAsia="KaiTi_GB2312" w:hAnsi="STZhongsong"/>
                <w:noProof/>
                <w:sz w:val="15"/>
              </w:rPr>
              <w:t>2007</w:t>
            </w:r>
            <w:r w:rsidRPr="005440F1">
              <w:rPr>
                <w:rFonts w:ascii="KaiTi_GB2312" w:eastAsia="KaiTi_GB2312" w:hAnsi="STZhongsong" w:hint="eastAsia"/>
                <w:noProof/>
                <w:sz w:val="15"/>
              </w:rPr>
              <w:t>年</w:t>
            </w:r>
          </w:p>
        </w:tc>
        <w:tc>
          <w:tcPr>
            <w:tcW w:w="116" w:type="dxa"/>
            <w:tcBorders>
              <w:top w:val="single" w:sz="4" w:space="0" w:color="auto"/>
            </w:tcBorders>
            <w:shd w:val="clear" w:color="auto" w:fill="auto"/>
            <w:vAlign w:val="bottom"/>
          </w:tcPr>
          <w:p w:rsidR="0080267F" w:rsidRPr="005440F1" w:rsidRDefault="0080267F" w:rsidP="0023041C">
            <w:pPr>
              <w:suppressAutoHyphens/>
              <w:spacing w:before="60" w:after="60" w:line="200" w:lineRule="exact"/>
              <w:ind w:right="57"/>
              <w:jc w:val="right"/>
              <w:rPr>
                <w:rFonts w:ascii="KaiTi_GB2312" w:eastAsia="KaiTi_GB2312" w:hAnsi="STZhongsong" w:hint="eastAsia"/>
                <w:sz w:val="15"/>
              </w:rPr>
            </w:pPr>
          </w:p>
        </w:tc>
        <w:tc>
          <w:tcPr>
            <w:tcW w:w="1660" w:type="dxa"/>
            <w:gridSpan w:val="3"/>
            <w:tcBorders>
              <w:top w:val="single" w:sz="4" w:space="0" w:color="auto"/>
              <w:bottom w:val="single" w:sz="4" w:space="0" w:color="auto"/>
            </w:tcBorders>
            <w:shd w:val="clear" w:color="auto" w:fill="auto"/>
            <w:vAlign w:val="bottom"/>
          </w:tcPr>
          <w:p w:rsidR="0080267F" w:rsidRPr="005440F1" w:rsidRDefault="0080267F" w:rsidP="0023041C">
            <w:pPr>
              <w:suppressAutoHyphens/>
              <w:spacing w:before="60" w:after="60" w:line="200" w:lineRule="exact"/>
              <w:ind w:right="57"/>
              <w:jc w:val="center"/>
              <w:rPr>
                <w:rFonts w:ascii="KaiTi_GB2312" w:eastAsia="KaiTi_GB2312" w:hAnsi="STZhongsong" w:hint="eastAsia"/>
                <w:sz w:val="15"/>
              </w:rPr>
            </w:pPr>
            <w:r w:rsidRPr="005440F1">
              <w:rPr>
                <w:rFonts w:ascii="KaiTi_GB2312" w:eastAsia="KaiTi_GB2312" w:hAnsi="STZhongsong"/>
                <w:noProof/>
                <w:sz w:val="15"/>
              </w:rPr>
              <w:t>2008</w:t>
            </w:r>
            <w:r w:rsidRPr="005440F1">
              <w:rPr>
                <w:rFonts w:ascii="KaiTi_GB2312" w:eastAsia="KaiTi_GB2312" w:hAnsi="STZhongsong" w:hint="eastAsia"/>
                <w:noProof/>
                <w:sz w:val="15"/>
              </w:rPr>
              <w:t>年</w:t>
            </w:r>
          </w:p>
        </w:tc>
        <w:tc>
          <w:tcPr>
            <w:tcW w:w="131" w:type="dxa"/>
            <w:tcBorders>
              <w:top w:val="single" w:sz="4" w:space="0" w:color="auto"/>
            </w:tcBorders>
            <w:shd w:val="clear" w:color="auto" w:fill="auto"/>
            <w:vAlign w:val="bottom"/>
          </w:tcPr>
          <w:p w:rsidR="0080267F" w:rsidRPr="005440F1" w:rsidRDefault="0080267F" w:rsidP="0023041C">
            <w:pPr>
              <w:suppressAutoHyphens/>
              <w:spacing w:before="60" w:after="60" w:line="200" w:lineRule="exact"/>
              <w:ind w:right="57"/>
              <w:jc w:val="right"/>
              <w:rPr>
                <w:rFonts w:ascii="KaiTi_GB2312" w:eastAsia="KaiTi_GB2312" w:hAnsi="STZhongsong" w:hint="eastAsia"/>
                <w:sz w:val="15"/>
              </w:rPr>
            </w:pPr>
          </w:p>
        </w:tc>
        <w:tc>
          <w:tcPr>
            <w:tcW w:w="1645" w:type="dxa"/>
            <w:gridSpan w:val="3"/>
            <w:tcBorders>
              <w:top w:val="single" w:sz="4" w:space="0" w:color="auto"/>
              <w:bottom w:val="single" w:sz="4" w:space="0" w:color="auto"/>
            </w:tcBorders>
            <w:shd w:val="clear" w:color="auto" w:fill="auto"/>
            <w:vAlign w:val="bottom"/>
          </w:tcPr>
          <w:p w:rsidR="0080267F" w:rsidRPr="00192B78" w:rsidRDefault="0080267F" w:rsidP="0023041C">
            <w:pPr>
              <w:suppressAutoHyphens/>
              <w:spacing w:before="60" w:after="60" w:line="200" w:lineRule="exact"/>
              <w:ind w:right="57"/>
              <w:jc w:val="center"/>
              <w:rPr>
                <w:rFonts w:ascii="Times New Roman" w:eastAsia="KaiTi_GB2312"/>
                <w:sz w:val="15"/>
              </w:rPr>
            </w:pPr>
            <w:r w:rsidRPr="005440F1">
              <w:rPr>
                <w:rFonts w:ascii="KaiTi_GB2312" w:eastAsia="KaiTi_GB2312" w:hAnsi="STZhongsong"/>
                <w:noProof/>
                <w:sz w:val="15"/>
              </w:rPr>
              <w:t>2009</w:t>
            </w:r>
            <w:r w:rsidRPr="005440F1">
              <w:rPr>
                <w:rFonts w:ascii="KaiTi_GB2312" w:eastAsia="KaiTi_GB2312" w:hAnsi="STZhongsong" w:hint="eastAsia"/>
                <w:noProof/>
                <w:sz w:val="15"/>
              </w:rPr>
              <w:t>年</w:t>
            </w:r>
          </w:p>
        </w:tc>
        <w:tc>
          <w:tcPr>
            <w:tcW w:w="147" w:type="dxa"/>
            <w:tcBorders>
              <w:top w:val="single" w:sz="4" w:space="0" w:color="auto"/>
            </w:tcBorders>
            <w:shd w:val="clear" w:color="auto" w:fill="auto"/>
            <w:vAlign w:val="bottom"/>
          </w:tcPr>
          <w:p w:rsidR="0080267F" w:rsidRPr="005440F1" w:rsidRDefault="0080267F" w:rsidP="0023041C">
            <w:pPr>
              <w:suppressAutoHyphens/>
              <w:spacing w:before="60" w:after="60" w:line="200" w:lineRule="exact"/>
              <w:ind w:right="57"/>
              <w:jc w:val="right"/>
              <w:rPr>
                <w:rFonts w:ascii="Times New Roman" w:eastAsia="KaiTi_GB2312"/>
                <w:sz w:val="15"/>
              </w:rPr>
            </w:pPr>
          </w:p>
        </w:tc>
        <w:tc>
          <w:tcPr>
            <w:tcW w:w="1630" w:type="dxa"/>
            <w:gridSpan w:val="3"/>
            <w:tcBorders>
              <w:top w:val="single" w:sz="4" w:space="0" w:color="auto"/>
              <w:bottom w:val="single" w:sz="4" w:space="0" w:color="auto"/>
            </w:tcBorders>
            <w:shd w:val="clear" w:color="auto" w:fill="auto"/>
            <w:vAlign w:val="bottom"/>
          </w:tcPr>
          <w:p w:rsidR="0080267F" w:rsidRPr="005440F1" w:rsidRDefault="0080267F" w:rsidP="0023041C">
            <w:pPr>
              <w:suppressAutoHyphens/>
              <w:spacing w:before="60" w:after="60" w:line="200" w:lineRule="exact"/>
              <w:ind w:right="57"/>
              <w:jc w:val="center"/>
              <w:rPr>
                <w:rFonts w:ascii="Times New Roman" w:eastAsia="KaiTi_GB2312"/>
                <w:sz w:val="15"/>
              </w:rPr>
            </w:pPr>
            <w:r w:rsidRPr="005440F1">
              <w:rPr>
                <w:rFonts w:ascii="KaiTi_GB2312" w:eastAsia="KaiTi_GB2312" w:hAnsi="STZhongsong"/>
                <w:noProof/>
                <w:sz w:val="15"/>
              </w:rPr>
              <w:t>2010</w:t>
            </w:r>
            <w:r w:rsidRPr="005440F1">
              <w:rPr>
                <w:rFonts w:ascii="KaiTi_GB2312" w:eastAsia="KaiTi_GB2312" w:hAnsi="STZhongsong" w:hint="eastAsia"/>
                <w:noProof/>
                <w:sz w:val="15"/>
              </w:rPr>
              <w:t>年</w:t>
            </w:r>
          </w:p>
        </w:tc>
      </w:tr>
      <w:tr w:rsidR="0080267F" w:rsidRPr="005440F1" w:rsidTr="0023041C">
        <w:tblPrEx>
          <w:tblCellMar>
            <w:top w:w="0" w:type="dxa"/>
            <w:bottom w:w="0" w:type="dxa"/>
          </w:tblCellMar>
        </w:tblPrEx>
        <w:trPr>
          <w:tblHeader/>
        </w:trPr>
        <w:tc>
          <w:tcPr>
            <w:tcW w:w="966" w:type="dxa"/>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00" w:lineRule="exact"/>
              <w:ind w:right="57"/>
              <w:rPr>
                <w:rFonts w:ascii="KaiTi_GB2312" w:eastAsia="KaiTi_GB2312" w:hAnsi="STZhongsong"/>
                <w:sz w:val="15"/>
              </w:rPr>
            </w:pPr>
            <w:r w:rsidRPr="005440F1">
              <w:rPr>
                <w:rFonts w:ascii="KaiTi_GB2312" w:eastAsia="KaiTi_GB2312" w:hAnsi="STZhongsong" w:hint="eastAsia"/>
                <w:sz w:val="15"/>
                <w:lang w:val="zh-CN"/>
              </w:rPr>
              <w:t>级别</w:t>
            </w:r>
          </w:p>
        </w:tc>
        <w:tc>
          <w:tcPr>
            <w:tcW w:w="592" w:type="dxa"/>
            <w:tcBorders>
              <w:top w:val="single" w:sz="4" w:space="0" w:color="auto"/>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00" w:lineRule="exact"/>
              <w:ind w:right="57"/>
              <w:jc w:val="right"/>
              <w:rPr>
                <w:rFonts w:ascii="KaiTi_GB2312" w:eastAsia="KaiTi_GB2312"/>
                <w:sz w:val="15"/>
                <w:szCs w:val="24"/>
              </w:rPr>
            </w:pPr>
            <w:r w:rsidRPr="005440F1">
              <w:rPr>
                <w:rFonts w:ascii="KaiTi_GB2312" w:eastAsia="KaiTi_GB2312" w:hAnsi="STZhongsong"/>
                <w:noProof/>
                <w:sz w:val="15"/>
              </w:rPr>
              <w:t>女</w:t>
            </w:r>
          </w:p>
        </w:tc>
        <w:tc>
          <w:tcPr>
            <w:tcW w:w="592" w:type="dxa"/>
            <w:tcBorders>
              <w:top w:val="single" w:sz="4" w:space="0" w:color="auto"/>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00" w:lineRule="exact"/>
              <w:ind w:right="57"/>
              <w:jc w:val="right"/>
              <w:rPr>
                <w:rFonts w:ascii="KaiTi_GB2312" w:eastAsia="KaiTi_GB2312"/>
                <w:sz w:val="15"/>
                <w:szCs w:val="24"/>
              </w:rPr>
            </w:pPr>
            <w:r w:rsidRPr="005440F1">
              <w:rPr>
                <w:rFonts w:ascii="KaiTi_GB2312" w:eastAsia="KaiTi_GB2312" w:hAnsi="STZhongsong"/>
                <w:noProof/>
                <w:sz w:val="15"/>
              </w:rPr>
              <w:t>男</w:t>
            </w:r>
          </w:p>
        </w:tc>
        <w:tc>
          <w:tcPr>
            <w:tcW w:w="592" w:type="dxa"/>
            <w:tcBorders>
              <w:top w:val="single" w:sz="4" w:space="0" w:color="auto"/>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00" w:lineRule="exact"/>
              <w:ind w:right="57"/>
              <w:jc w:val="right"/>
              <w:rPr>
                <w:rFonts w:ascii="KaiTi_GB2312" w:eastAsia="KaiTi_GB2312"/>
                <w:sz w:val="15"/>
                <w:szCs w:val="24"/>
              </w:rPr>
            </w:pPr>
            <w:r w:rsidRPr="005440F1">
              <w:rPr>
                <w:rFonts w:ascii="KaiTi_GB2312" w:eastAsia="KaiTi_GB2312" w:hAnsi="STZhongsong" w:hint="eastAsia"/>
                <w:noProof/>
                <w:sz w:val="15"/>
              </w:rPr>
              <w:t>共计</w:t>
            </w:r>
          </w:p>
        </w:tc>
        <w:tc>
          <w:tcPr>
            <w:tcW w:w="592" w:type="dxa"/>
            <w:gridSpan w:val="2"/>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00" w:lineRule="exact"/>
              <w:ind w:right="57"/>
              <w:jc w:val="right"/>
              <w:rPr>
                <w:rFonts w:ascii="KaiTi_GB2312" w:eastAsia="KaiTi_GB2312"/>
                <w:sz w:val="15"/>
                <w:szCs w:val="24"/>
              </w:rPr>
            </w:pPr>
            <w:r w:rsidRPr="005440F1">
              <w:rPr>
                <w:rFonts w:ascii="KaiTi_GB2312" w:eastAsia="KaiTi_GB2312" w:hAnsi="STZhongsong"/>
                <w:noProof/>
                <w:sz w:val="15"/>
              </w:rPr>
              <w:t>女</w:t>
            </w:r>
          </w:p>
        </w:tc>
        <w:tc>
          <w:tcPr>
            <w:tcW w:w="592" w:type="dxa"/>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00" w:lineRule="exact"/>
              <w:ind w:right="57"/>
              <w:jc w:val="right"/>
              <w:rPr>
                <w:rFonts w:ascii="KaiTi_GB2312" w:eastAsia="KaiTi_GB2312"/>
                <w:sz w:val="15"/>
                <w:szCs w:val="24"/>
              </w:rPr>
            </w:pPr>
            <w:r w:rsidRPr="005440F1">
              <w:rPr>
                <w:rFonts w:ascii="KaiTi_GB2312" w:eastAsia="KaiTi_GB2312" w:hAnsi="STZhongsong"/>
                <w:noProof/>
                <w:sz w:val="15"/>
              </w:rPr>
              <w:t>男</w:t>
            </w:r>
          </w:p>
        </w:tc>
        <w:tc>
          <w:tcPr>
            <w:tcW w:w="592" w:type="dxa"/>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00" w:lineRule="exact"/>
              <w:ind w:right="57"/>
              <w:jc w:val="right"/>
              <w:rPr>
                <w:rFonts w:ascii="KaiTi_GB2312" w:eastAsia="KaiTi_GB2312"/>
                <w:sz w:val="15"/>
                <w:szCs w:val="24"/>
              </w:rPr>
            </w:pPr>
            <w:r w:rsidRPr="005440F1">
              <w:rPr>
                <w:rFonts w:ascii="KaiTi_GB2312" w:eastAsia="KaiTi_GB2312" w:hAnsi="STZhongsong" w:hint="eastAsia"/>
                <w:noProof/>
                <w:sz w:val="15"/>
              </w:rPr>
              <w:t>共计</w:t>
            </w:r>
          </w:p>
        </w:tc>
        <w:tc>
          <w:tcPr>
            <w:tcW w:w="592" w:type="dxa"/>
            <w:gridSpan w:val="2"/>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00" w:lineRule="exact"/>
              <w:ind w:right="57"/>
              <w:jc w:val="right"/>
              <w:rPr>
                <w:rFonts w:ascii="KaiTi_GB2312" w:eastAsia="KaiTi_GB2312"/>
                <w:sz w:val="15"/>
                <w:szCs w:val="24"/>
              </w:rPr>
            </w:pPr>
            <w:r w:rsidRPr="005440F1">
              <w:rPr>
                <w:rFonts w:ascii="KaiTi_GB2312" w:eastAsia="KaiTi_GB2312" w:hAnsi="STZhongsong"/>
                <w:noProof/>
                <w:sz w:val="15"/>
              </w:rPr>
              <w:t>女</w:t>
            </w:r>
          </w:p>
        </w:tc>
        <w:tc>
          <w:tcPr>
            <w:tcW w:w="592" w:type="dxa"/>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00" w:lineRule="exact"/>
              <w:ind w:right="57"/>
              <w:jc w:val="right"/>
              <w:rPr>
                <w:rFonts w:ascii="KaiTi_GB2312" w:eastAsia="KaiTi_GB2312"/>
                <w:sz w:val="15"/>
                <w:szCs w:val="24"/>
              </w:rPr>
            </w:pPr>
            <w:r w:rsidRPr="005440F1">
              <w:rPr>
                <w:rFonts w:ascii="KaiTi_GB2312" w:eastAsia="KaiTi_GB2312" w:hAnsi="STZhongsong"/>
                <w:noProof/>
                <w:sz w:val="15"/>
              </w:rPr>
              <w:t>男</w:t>
            </w:r>
          </w:p>
        </w:tc>
        <w:tc>
          <w:tcPr>
            <w:tcW w:w="592" w:type="dxa"/>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00" w:lineRule="exact"/>
              <w:ind w:right="57"/>
              <w:jc w:val="right"/>
              <w:rPr>
                <w:rFonts w:ascii="KaiTi_GB2312" w:eastAsia="KaiTi_GB2312"/>
                <w:sz w:val="15"/>
                <w:szCs w:val="24"/>
              </w:rPr>
            </w:pPr>
            <w:r w:rsidRPr="005440F1">
              <w:rPr>
                <w:rFonts w:ascii="KaiTi_GB2312" w:eastAsia="KaiTi_GB2312" w:hAnsi="STZhongsong" w:hint="eastAsia"/>
                <w:noProof/>
                <w:sz w:val="15"/>
              </w:rPr>
              <w:t>共计</w:t>
            </w:r>
          </w:p>
        </w:tc>
        <w:tc>
          <w:tcPr>
            <w:tcW w:w="592" w:type="dxa"/>
            <w:gridSpan w:val="2"/>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00" w:lineRule="exact"/>
              <w:ind w:right="57"/>
              <w:jc w:val="right"/>
              <w:rPr>
                <w:rFonts w:ascii="KaiTi_GB2312" w:eastAsia="KaiTi_GB2312"/>
                <w:sz w:val="15"/>
                <w:szCs w:val="24"/>
              </w:rPr>
            </w:pPr>
            <w:r w:rsidRPr="005440F1">
              <w:rPr>
                <w:rFonts w:ascii="KaiTi_GB2312" w:eastAsia="KaiTi_GB2312" w:hAnsi="STZhongsong"/>
                <w:noProof/>
                <w:sz w:val="15"/>
              </w:rPr>
              <w:t>女</w:t>
            </w:r>
          </w:p>
        </w:tc>
        <w:tc>
          <w:tcPr>
            <w:tcW w:w="592" w:type="dxa"/>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00" w:lineRule="exact"/>
              <w:ind w:right="57"/>
              <w:jc w:val="right"/>
              <w:rPr>
                <w:rFonts w:ascii="KaiTi_GB2312" w:eastAsia="KaiTi_GB2312"/>
                <w:sz w:val="15"/>
                <w:szCs w:val="24"/>
              </w:rPr>
            </w:pPr>
            <w:r w:rsidRPr="005440F1">
              <w:rPr>
                <w:rFonts w:ascii="KaiTi_GB2312" w:eastAsia="KaiTi_GB2312" w:hAnsi="STZhongsong"/>
                <w:noProof/>
                <w:sz w:val="15"/>
              </w:rPr>
              <w:t>男</w:t>
            </w:r>
          </w:p>
        </w:tc>
        <w:tc>
          <w:tcPr>
            <w:tcW w:w="592" w:type="dxa"/>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00" w:lineRule="exact"/>
              <w:ind w:right="57"/>
              <w:jc w:val="right"/>
              <w:rPr>
                <w:rFonts w:ascii="KaiTi_GB2312" w:eastAsia="KaiTi_GB2312"/>
                <w:sz w:val="15"/>
                <w:szCs w:val="24"/>
              </w:rPr>
            </w:pPr>
            <w:r w:rsidRPr="005440F1">
              <w:rPr>
                <w:rFonts w:ascii="KaiTi_GB2312" w:eastAsia="KaiTi_GB2312" w:hAnsi="STZhongsong" w:hint="eastAsia"/>
                <w:noProof/>
                <w:sz w:val="15"/>
              </w:rPr>
              <w:t>共计</w:t>
            </w:r>
          </w:p>
        </w:tc>
        <w:tc>
          <w:tcPr>
            <w:tcW w:w="592" w:type="dxa"/>
            <w:gridSpan w:val="2"/>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00" w:lineRule="exact"/>
              <w:ind w:right="57"/>
              <w:jc w:val="right"/>
              <w:rPr>
                <w:rFonts w:ascii="KaiTi_GB2312" w:eastAsia="KaiTi_GB2312"/>
                <w:sz w:val="15"/>
                <w:szCs w:val="24"/>
              </w:rPr>
            </w:pPr>
            <w:r w:rsidRPr="005440F1">
              <w:rPr>
                <w:rFonts w:ascii="KaiTi_GB2312" w:eastAsia="KaiTi_GB2312" w:hAnsi="STZhongsong"/>
                <w:noProof/>
                <w:sz w:val="15"/>
              </w:rPr>
              <w:t>女</w:t>
            </w:r>
          </w:p>
        </w:tc>
        <w:tc>
          <w:tcPr>
            <w:tcW w:w="592" w:type="dxa"/>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00" w:lineRule="exact"/>
              <w:ind w:right="57"/>
              <w:jc w:val="right"/>
              <w:rPr>
                <w:rFonts w:ascii="KaiTi_GB2312" w:eastAsia="KaiTi_GB2312"/>
                <w:sz w:val="15"/>
                <w:szCs w:val="24"/>
              </w:rPr>
            </w:pPr>
            <w:r w:rsidRPr="005440F1">
              <w:rPr>
                <w:rFonts w:ascii="KaiTi_GB2312" w:eastAsia="KaiTi_GB2312" w:hAnsi="STZhongsong"/>
                <w:noProof/>
                <w:sz w:val="15"/>
              </w:rPr>
              <w:t>男</w:t>
            </w:r>
          </w:p>
        </w:tc>
        <w:tc>
          <w:tcPr>
            <w:tcW w:w="593" w:type="dxa"/>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00" w:lineRule="exact"/>
              <w:ind w:right="57"/>
              <w:jc w:val="right"/>
              <w:rPr>
                <w:rFonts w:ascii="KaiTi_GB2312" w:eastAsia="KaiTi_GB2312"/>
                <w:sz w:val="15"/>
                <w:szCs w:val="24"/>
              </w:rPr>
            </w:pPr>
            <w:r w:rsidRPr="005440F1">
              <w:rPr>
                <w:rFonts w:ascii="KaiTi_GB2312" w:eastAsia="KaiTi_GB2312" w:hAnsi="STZhongsong" w:hint="eastAsia"/>
                <w:noProof/>
                <w:sz w:val="15"/>
              </w:rPr>
              <w:t>共计</w:t>
            </w:r>
          </w:p>
        </w:tc>
      </w:tr>
      <w:tr w:rsidR="0080267F" w:rsidRPr="005440F1" w:rsidTr="0023041C">
        <w:tblPrEx>
          <w:tblCellMar>
            <w:top w:w="0" w:type="dxa"/>
            <w:bottom w:w="0" w:type="dxa"/>
          </w:tblCellMar>
        </w:tblPrEx>
        <w:trPr>
          <w:trHeight w:hRule="exact" w:val="115"/>
          <w:tblHeader/>
        </w:trPr>
        <w:tc>
          <w:tcPr>
            <w:tcW w:w="966" w:type="dxa"/>
            <w:tcBorders>
              <w:top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rPr>
                <w:rFonts w:ascii="STZhongsong" w:hAnsi="STZhongsong" w:hint="eastAsia"/>
                <w:noProof/>
                <w:sz w:val="17"/>
              </w:rPr>
            </w:pPr>
          </w:p>
        </w:tc>
        <w:tc>
          <w:tcPr>
            <w:tcW w:w="592" w:type="dxa"/>
            <w:tcBorders>
              <w:top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92" w:type="dxa"/>
            <w:tcBorders>
              <w:top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92" w:type="dxa"/>
            <w:tcBorders>
              <w:top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92" w:type="dxa"/>
            <w:gridSpan w:val="2"/>
            <w:tcBorders>
              <w:top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92" w:type="dxa"/>
            <w:tcBorders>
              <w:top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92" w:type="dxa"/>
            <w:tcBorders>
              <w:top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92" w:type="dxa"/>
            <w:gridSpan w:val="2"/>
            <w:tcBorders>
              <w:top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92" w:type="dxa"/>
            <w:tcBorders>
              <w:top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92" w:type="dxa"/>
            <w:tcBorders>
              <w:top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92" w:type="dxa"/>
            <w:gridSpan w:val="2"/>
            <w:tcBorders>
              <w:top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92" w:type="dxa"/>
            <w:tcBorders>
              <w:top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92" w:type="dxa"/>
            <w:tcBorders>
              <w:top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92" w:type="dxa"/>
            <w:gridSpan w:val="2"/>
            <w:tcBorders>
              <w:top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92" w:type="dxa"/>
            <w:tcBorders>
              <w:top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93" w:type="dxa"/>
            <w:tcBorders>
              <w:top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r>
      <w:tr w:rsidR="0080267F" w:rsidRPr="005440F1" w:rsidTr="0023041C">
        <w:tblPrEx>
          <w:tblCellMar>
            <w:top w:w="0" w:type="dxa"/>
            <w:bottom w:w="0" w:type="dxa"/>
          </w:tblCellMar>
        </w:tblPrEx>
        <w:tc>
          <w:tcPr>
            <w:tcW w:w="966"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rPr>
                <w:rFonts w:ascii="STZhongsong" w:hAnsi="STZhongsong"/>
                <w:noProof/>
                <w:spacing w:val="-10"/>
                <w:sz w:val="17"/>
              </w:rPr>
            </w:pPr>
            <w:r w:rsidRPr="0029048A">
              <w:rPr>
                <w:rFonts w:ascii="STZhongsong" w:hAnsi="STZhongsong" w:hint="eastAsia"/>
                <w:noProof/>
                <w:spacing w:val="-10"/>
                <w:sz w:val="17"/>
              </w:rPr>
              <w:t>早期幼儿教育</w:t>
            </w:r>
          </w:p>
        </w:tc>
        <w:tc>
          <w:tcPr>
            <w:tcW w:w="592" w:type="dxa"/>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36%</w:t>
            </w:r>
          </w:p>
        </w:tc>
        <w:tc>
          <w:tcPr>
            <w:tcW w:w="592" w:type="dxa"/>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35%</w:t>
            </w:r>
          </w:p>
        </w:tc>
        <w:tc>
          <w:tcPr>
            <w:tcW w:w="592" w:type="dxa"/>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35%</w:t>
            </w:r>
          </w:p>
        </w:tc>
        <w:tc>
          <w:tcPr>
            <w:tcW w:w="592" w:type="dxa"/>
            <w:gridSpan w:val="2"/>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41%</w:t>
            </w:r>
          </w:p>
        </w:tc>
        <w:tc>
          <w:tcPr>
            <w:tcW w:w="592" w:type="dxa"/>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40%</w:t>
            </w:r>
          </w:p>
        </w:tc>
        <w:tc>
          <w:tcPr>
            <w:tcW w:w="592" w:type="dxa"/>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40%</w:t>
            </w:r>
          </w:p>
        </w:tc>
        <w:tc>
          <w:tcPr>
            <w:tcW w:w="592" w:type="dxa"/>
            <w:gridSpan w:val="2"/>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38%</w:t>
            </w:r>
          </w:p>
        </w:tc>
        <w:tc>
          <w:tcPr>
            <w:tcW w:w="592" w:type="dxa"/>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39%</w:t>
            </w:r>
          </w:p>
        </w:tc>
        <w:tc>
          <w:tcPr>
            <w:tcW w:w="592" w:type="dxa"/>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39%</w:t>
            </w:r>
          </w:p>
        </w:tc>
        <w:tc>
          <w:tcPr>
            <w:tcW w:w="592" w:type="dxa"/>
            <w:gridSpan w:val="2"/>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41%</w:t>
            </w:r>
          </w:p>
        </w:tc>
        <w:tc>
          <w:tcPr>
            <w:tcW w:w="592" w:type="dxa"/>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40%</w:t>
            </w:r>
          </w:p>
        </w:tc>
        <w:tc>
          <w:tcPr>
            <w:tcW w:w="592" w:type="dxa"/>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41%</w:t>
            </w:r>
          </w:p>
        </w:tc>
        <w:tc>
          <w:tcPr>
            <w:tcW w:w="592" w:type="dxa"/>
            <w:gridSpan w:val="2"/>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41%</w:t>
            </w:r>
          </w:p>
        </w:tc>
        <w:tc>
          <w:tcPr>
            <w:tcW w:w="592" w:type="dxa"/>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39%</w:t>
            </w:r>
          </w:p>
        </w:tc>
        <w:tc>
          <w:tcPr>
            <w:tcW w:w="593" w:type="dxa"/>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40%</w:t>
            </w:r>
          </w:p>
        </w:tc>
      </w:tr>
      <w:tr w:rsidR="0080267F" w:rsidRPr="005440F1" w:rsidTr="0023041C">
        <w:tblPrEx>
          <w:tblCellMar>
            <w:top w:w="0" w:type="dxa"/>
            <w:bottom w:w="0" w:type="dxa"/>
          </w:tblCellMar>
        </w:tblPrEx>
        <w:tc>
          <w:tcPr>
            <w:tcW w:w="966"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rPr>
                <w:rFonts w:ascii="STZhongsong" w:hAnsi="STZhongsong"/>
                <w:sz w:val="17"/>
              </w:rPr>
            </w:pPr>
            <w:r w:rsidRPr="005440F1">
              <w:rPr>
                <w:rFonts w:ascii="STZhongsong" w:hAnsi="STZhongsong" w:hint="eastAsia"/>
                <w:noProof/>
                <w:sz w:val="17"/>
              </w:rPr>
              <w:t>小学</w:t>
            </w:r>
          </w:p>
        </w:tc>
        <w:tc>
          <w:tcPr>
            <w:tcW w:w="592" w:type="dxa"/>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92%</w:t>
            </w:r>
          </w:p>
        </w:tc>
        <w:tc>
          <w:tcPr>
            <w:tcW w:w="592" w:type="dxa"/>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93%</w:t>
            </w:r>
          </w:p>
        </w:tc>
        <w:tc>
          <w:tcPr>
            <w:tcW w:w="592" w:type="dxa"/>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92%</w:t>
            </w:r>
          </w:p>
        </w:tc>
        <w:tc>
          <w:tcPr>
            <w:tcW w:w="592" w:type="dxa"/>
            <w:gridSpan w:val="2"/>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92%</w:t>
            </w:r>
          </w:p>
        </w:tc>
        <w:tc>
          <w:tcPr>
            <w:tcW w:w="592" w:type="dxa"/>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95%</w:t>
            </w:r>
          </w:p>
        </w:tc>
        <w:tc>
          <w:tcPr>
            <w:tcW w:w="592" w:type="dxa"/>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93%</w:t>
            </w:r>
          </w:p>
        </w:tc>
        <w:tc>
          <w:tcPr>
            <w:tcW w:w="592" w:type="dxa"/>
            <w:gridSpan w:val="2"/>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95%</w:t>
            </w:r>
          </w:p>
        </w:tc>
        <w:tc>
          <w:tcPr>
            <w:tcW w:w="592" w:type="dxa"/>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96%</w:t>
            </w:r>
          </w:p>
        </w:tc>
        <w:tc>
          <w:tcPr>
            <w:tcW w:w="592" w:type="dxa"/>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96%</w:t>
            </w:r>
          </w:p>
        </w:tc>
        <w:tc>
          <w:tcPr>
            <w:tcW w:w="592" w:type="dxa"/>
            <w:gridSpan w:val="2"/>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99%</w:t>
            </w:r>
          </w:p>
        </w:tc>
        <w:tc>
          <w:tcPr>
            <w:tcW w:w="592" w:type="dxa"/>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98%</w:t>
            </w:r>
          </w:p>
        </w:tc>
        <w:tc>
          <w:tcPr>
            <w:tcW w:w="592" w:type="dxa"/>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99%</w:t>
            </w:r>
          </w:p>
        </w:tc>
        <w:tc>
          <w:tcPr>
            <w:tcW w:w="592" w:type="dxa"/>
            <w:gridSpan w:val="2"/>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99%</w:t>
            </w:r>
          </w:p>
        </w:tc>
        <w:tc>
          <w:tcPr>
            <w:tcW w:w="592" w:type="dxa"/>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98%</w:t>
            </w:r>
          </w:p>
        </w:tc>
        <w:tc>
          <w:tcPr>
            <w:tcW w:w="593" w:type="dxa"/>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99%</w:t>
            </w:r>
          </w:p>
        </w:tc>
      </w:tr>
      <w:tr w:rsidR="0080267F" w:rsidRPr="005440F1" w:rsidTr="0023041C">
        <w:tblPrEx>
          <w:tblCellMar>
            <w:top w:w="0" w:type="dxa"/>
            <w:bottom w:w="0" w:type="dxa"/>
          </w:tblCellMar>
        </w:tblPrEx>
        <w:tc>
          <w:tcPr>
            <w:tcW w:w="966" w:type="dxa"/>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rPr>
                <w:rFonts w:ascii="STZhongsong" w:hAnsi="STZhongsong"/>
                <w:sz w:val="17"/>
              </w:rPr>
            </w:pPr>
            <w:r w:rsidRPr="005440F1">
              <w:rPr>
                <w:rFonts w:ascii="STZhongsong" w:hAnsi="STZhongsong" w:hint="eastAsia"/>
                <w:noProof/>
                <w:sz w:val="17"/>
              </w:rPr>
              <w:t>初中</w:t>
            </w:r>
          </w:p>
        </w:tc>
        <w:tc>
          <w:tcPr>
            <w:tcW w:w="592" w:type="dxa"/>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30%</w:t>
            </w:r>
          </w:p>
        </w:tc>
        <w:tc>
          <w:tcPr>
            <w:tcW w:w="592" w:type="dxa"/>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30%</w:t>
            </w:r>
          </w:p>
        </w:tc>
        <w:tc>
          <w:tcPr>
            <w:tcW w:w="592" w:type="dxa"/>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30%</w:t>
            </w:r>
          </w:p>
        </w:tc>
        <w:tc>
          <w:tcPr>
            <w:tcW w:w="592" w:type="dxa"/>
            <w:gridSpan w:val="2"/>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31%</w:t>
            </w:r>
          </w:p>
        </w:tc>
        <w:tc>
          <w:tcPr>
            <w:tcW w:w="592" w:type="dxa"/>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31%</w:t>
            </w:r>
          </w:p>
        </w:tc>
        <w:tc>
          <w:tcPr>
            <w:tcW w:w="592" w:type="dxa"/>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31%</w:t>
            </w:r>
          </w:p>
        </w:tc>
        <w:tc>
          <w:tcPr>
            <w:tcW w:w="592" w:type="dxa"/>
            <w:gridSpan w:val="2"/>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33%</w:t>
            </w:r>
          </w:p>
        </w:tc>
        <w:tc>
          <w:tcPr>
            <w:tcW w:w="592" w:type="dxa"/>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32%</w:t>
            </w:r>
          </w:p>
        </w:tc>
        <w:tc>
          <w:tcPr>
            <w:tcW w:w="592" w:type="dxa"/>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32%</w:t>
            </w:r>
          </w:p>
        </w:tc>
        <w:tc>
          <w:tcPr>
            <w:tcW w:w="592" w:type="dxa"/>
            <w:gridSpan w:val="2"/>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39%</w:t>
            </w:r>
          </w:p>
        </w:tc>
        <w:tc>
          <w:tcPr>
            <w:tcW w:w="592" w:type="dxa"/>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37%</w:t>
            </w:r>
          </w:p>
        </w:tc>
        <w:tc>
          <w:tcPr>
            <w:tcW w:w="592" w:type="dxa"/>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38%</w:t>
            </w:r>
          </w:p>
        </w:tc>
        <w:tc>
          <w:tcPr>
            <w:tcW w:w="592" w:type="dxa"/>
            <w:gridSpan w:val="2"/>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39%</w:t>
            </w:r>
          </w:p>
        </w:tc>
        <w:tc>
          <w:tcPr>
            <w:tcW w:w="592" w:type="dxa"/>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38%</w:t>
            </w:r>
          </w:p>
        </w:tc>
        <w:tc>
          <w:tcPr>
            <w:tcW w:w="593" w:type="dxa"/>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39%</w:t>
            </w:r>
          </w:p>
        </w:tc>
      </w:tr>
      <w:tr w:rsidR="0080267F" w:rsidRPr="005440F1" w:rsidTr="0023041C">
        <w:tblPrEx>
          <w:tblCellMar>
            <w:top w:w="0" w:type="dxa"/>
            <w:bottom w:w="0" w:type="dxa"/>
          </w:tblCellMar>
        </w:tblPrEx>
        <w:tc>
          <w:tcPr>
            <w:tcW w:w="966" w:type="dxa"/>
            <w:tcBorders>
              <w:bottom w:val="single" w:sz="12" w:space="0" w:color="auto"/>
            </w:tcBorders>
            <w:shd w:val="clear" w:color="auto" w:fill="auto"/>
            <w:vAlign w:val="bottom"/>
          </w:tcPr>
          <w:p w:rsidR="0080267F" w:rsidRPr="005440F1" w:rsidRDefault="0080267F" w:rsidP="0023041C">
            <w:pPr>
              <w:tabs>
                <w:tab w:val="left" w:pos="334"/>
                <w:tab w:val="left" w:pos="669"/>
                <w:tab w:val="left" w:pos="1003"/>
                <w:tab w:val="left" w:pos="1338"/>
              </w:tabs>
              <w:suppressAutoHyphens/>
              <w:spacing w:after="60" w:line="280" w:lineRule="exact"/>
              <w:ind w:right="57"/>
              <w:rPr>
                <w:rFonts w:ascii="STZhongsong" w:hAnsi="STZhongsong"/>
                <w:sz w:val="17"/>
              </w:rPr>
            </w:pPr>
            <w:r w:rsidRPr="005440F1">
              <w:rPr>
                <w:rFonts w:ascii="STZhongsong" w:hAnsi="STZhongsong" w:hint="eastAsia"/>
                <w:noProof/>
                <w:sz w:val="17"/>
              </w:rPr>
              <w:t>高中</w:t>
            </w:r>
          </w:p>
        </w:tc>
        <w:tc>
          <w:tcPr>
            <w:tcW w:w="592" w:type="dxa"/>
            <w:tcBorders>
              <w:bottom w:val="single" w:sz="12" w:space="0" w:color="auto"/>
            </w:tcBorders>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17%</w:t>
            </w:r>
          </w:p>
        </w:tc>
        <w:tc>
          <w:tcPr>
            <w:tcW w:w="592" w:type="dxa"/>
            <w:tcBorders>
              <w:bottom w:val="single" w:sz="12" w:space="0" w:color="auto"/>
            </w:tcBorders>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23%</w:t>
            </w:r>
          </w:p>
        </w:tc>
        <w:tc>
          <w:tcPr>
            <w:tcW w:w="592" w:type="dxa"/>
            <w:tcBorders>
              <w:bottom w:val="single" w:sz="12" w:space="0" w:color="auto"/>
            </w:tcBorders>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21%</w:t>
            </w:r>
          </w:p>
        </w:tc>
        <w:tc>
          <w:tcPr>
            <w:tcW w:w="592" w:type="dxa"/>
            <w:gridSpan w:val="2"/>
            <w:tcBorders>
              <w:bottom w:val="single" w:sz="12" w:space="0" w:color="auto"/>
            </w:tcBorders>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17%</w:t>
            </w:r>
          </w:p>
        </w:tc>
        <w:tc>
          <w:tcPr>
            <w:tcW w:w="592" w:type="dxa"/>
            <w:tcBorders>
              <w:bottom w:val="single" w:sz="12" w:space="0" w:color="auto"/>
            </w:tcBorders>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23%</w:t>
            </w:r>
          </w:p>
        </w:tc>
        <w:tc>
          <w:tcPr>
            <w:tcW w:w="592" w:type="dxa"/>
            <w:tcBorders>
              <w:bottom w:val="single" w:sz="12" w:space="0" w:color="auto"/>
            </w:tcBorders>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20%</w:t>
            </w:r>
          </w:p>
        </w:tc>
        <w:tc>
          <w:tcPr>
            <w:tcW w:w="592" w:type="dxa"/>
            <w:gridSpan w:val="2"/>
            <w:tcBorders>
              <w:bottom w:val="single" w:sz="12" w:space="0" w:color="auto"/>
            </w:tcBorders>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18%</w:t>
            </w:r>
          </w:p>
        </w:tc>
        <w:tc>
          <w:tcPr>
            <w:tcW w:w="592" w:type="dxa"/>
            <w:tcBorders>
              <w:bottom w:val="single" w:sz="12" w:space="0" w:color="auto"/>
            </w:tcBorders>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22%</w:t>
            </w:r>
          </w:p>
        </w:tc>
        <w:tc>
          <w:tcPr>
            <w:tcW w:w="592" w:type="dxa"/>
            <w:tcBorders>
              <w:bottom w:val="single" w:sz="12" w:space="0" w:color="auto"/>
            </w:tcBorders>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20%</w:t>
            </w:r>
          </w:p>
        </w:tc>
        <w:tc>
          <w:tcPr>
            <w:tcW w:w="592" w:type="dxa"/>
            <w:gridSpan w:val="2"/>
            <w:tcBorders>
              <w:bottom w:val="single" w:sz="12" w:space="0" w:color="auto"/>
            </w:tcBorders>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21%</w:t>
            </w:r>
          </w:p>
        </w:tc>
        <w:tc>
          <w:tcPr>
            <w:tcW w:w="592" w:type="dxa"/>
            <w:tcBorders>
              <w:bottom w:val="single" w:sz="12" w:space="0" w:color="auto"/>
            </w:tcBorders>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24%</w:t>
            </w:r>
          </w:p>
        </w:tc>
        <w:tc>
          <w:tcPr>
            <w:tcW w:w="592" w:type="dxa"/>
            <w:tcBorders>
              <w:bottom w:val="single" w:sz="12" w:space="0" w:color="auto"/>
            </w:tcBorders>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23%</w:t>
            </w:r>
          </w:p>
        </w:tc>
        <w:tc>
          <w:tcPr>
            <w:tcW w:w="592" w:type="dxa"/>
            <w:gridSpan w:val="2"/>
            <w:tcBorders>
              <w:bottom w:val="single" w:sz="12" w:space="0" w:color="auto"/>
            </w:tcBorders>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23%</w:t>
            </w:r>
          </w:p>
        </w:tc>
        <w:tc>
          <w:tcPr>
            <w:tcW w:w="592" w:type="dxa"/>
            <w:tcBorders>
              <w:bottom w:val="single" w:sz="12" w:space="0" w:color="auto"/>
            </w:tcBorders>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26%</w:t>
            </w:r>
          </w:p>
        </w:tc>
        <w:tc>
          <w:tcPr>
            <w:tcW w:w="593" w:type="dxa"/>
            <w:tcBorders>
              <w:bottom w:val="single" w:sz="12" w:space="0" w:color="auto"/>
            </w:tcBorders>
            <w:shd w:val="clear" w:color="auto" w:fill="auto"/>
          </w:tcPr>
          <w:p w:rsidR="0080267F" w:rsidRPr="000E31D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E31DA">
              <w:rPr>
                <w:rFonts w:hAnsi="SimSun"/>
                <w:sz w:val="17"/>
                <w:szCs w:val="17"/>
              </w:rPr>
              <w:t>25%</w:t>
            </w:r>
          </w:p>
        </w:tc>
      </w:tr>
    </w:tbl>
    <w:p w:rsidR="0080267F" w:rsidRPr="004C0035" w:rsidRDefault="0080267F" w:rsidP="002304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pacing w:val="0"/>
          <w:sz w:val="10"/>
        </w:rPr>
      </w:pPr>
    </w:p>
    <w:p w:rsidR="00B77051" w:rsidRPr="00B77051" w:rsidRDefault="00B77051" w:rsidP="00B7705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4" w:right="1259" w:hanging="1264"/>
        <w:rPr>
          <w:rFonts w:ascii="Times New Roman"/>
          <w:sz w:val="10"/>
        </w:rPr>
      </w:pPr>
    </w:p>
    <w:p w:rsidR="0080267F" w:rsidRPr="00B77051" w:rsidRDefault="0080267F" w:rsidP="00B7705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pPr>
      <w:r>
        <w:rPr>
          <w:rFonts w:ascii="Times New Roman"/>
        </w:rPr>
        <w:tab/>
      </w:r>
      <w:r>
        <w:rPr>
          <w:rFonts w:ascii="Times New Roman"/>
        </w:rPr>
        <w:tab/>
      </w:r>
      <w:r w:rsidRPr="006C14AA">
        <w:rPr>
          <w:rFonts w:hint="eastAsia"/>
        </w:rPr>
        <w:t>按性别和年级分列的2006-2010年未定期入学儿童的人数和百分比(2006-2008年、2007-2009年和2008-2010年业绩评估框架)</w:t>
      </w:r>
    </w:p>
    <w:tbl>
      <w:tblPr>
        <w:tblW w:w="9861" w:type="dxa"/>
        <w:tblLayout w:type="fixed"/>
        <w:tblCellMar>
          <w:left w:w="0" w:type="dxa"/>
          <w:right w:w="0" w:type="dxa"/>
        </w:tblCellMar>
        <w:tblLook w:val="0000"/>
      </w:tblPr>
      <w:tblGrid>
        <w:gridCol w:w="614"/>
        <w:gridCol w:w="587"/>
        <w:gridCol w:w="605"/>
        <w:gridCol w:w="767"/>
        <w:gridCol w:w="140"/>
        <w:gridCol w:w="451"/>
        <w:gridCol w:w="518"/>
        <w:gridCol w:w="697"/>
        <w:gridCol w:w="15"/>
        <w:gridCol w:w="139"/>
        <w:gridCol w:w="451"/>
        <w:gridCol w:w="546"/>
        <w:gridCol w:w="685"/>
        <w:gridCol w:w="140"/>
        <w:gridCol w:w="490"/>
        <w:gridCol w:w="504"/>
        <w:gridCol w:w="686"/>
        <w:gridCol w:w="154"/>
        <w:gridCol w:w="476"/>
        <w:gridCol w:w="532"/>
        <w:gridCol w:w="664"/>
      </w:tblGrid>
      <w:tr w:rsidR="0080267F" w:rsidRPr="0029048A" w:rsidTr="0023041C">
        <w:tblPrEx>
          <w:tblCellMar>
            <w:top w:w="0" w:type="dxa"/>
            <w:bottom w:w="0" w:type="dxa"/>
          </w:tblCellMar>
        </w:tblPrEx>
        <w:trPr>
          <w:tblHeader/>
        </w:trPr>
        <w:tc>
          <w:tcPr>
            <w:tcW w:w="614" w:type="dxa"/>
            <w:tcBorders>
              <w:top w:val="single" w:sz="4" w:space="0" w:color="auto"/>
            </w:tcBorders>
            <w:shd w:val="clear" w:color="auto" w:fill="auto"/>
            <w:vAlign w:val="bottom"/>
          </w:tcPr>
          <w:p w:rsidR="0080267F" w:rsidRPr="0029048A" w:rsidRDefault="0080267F" w:rsidP="0023041C">
            <w:pPr>
              <w:suppressAutoHyphens/>
              <w:spacing w:before="60" w:after="60" w:line="200" w:lineRule="exact"/>
              <w:ind w:right="57"/>
              <w:rPr>
                <w:rFonts w:ascii="KaiTi_GB2312" w:eastAsia="KaiTi_GB2312" w:hAnsi="SimSun"/>
                <w:sz w:val="15"/>
              </w:rPr>
            </w:pPr>
          </w:p>
        </w:tc>
        <w:tc>
          <w:tcPr>
            <w:tcW w:w="1959" w:type="dxa"/>
            <w:gridSpan w:val="3"/>
            <w:tcBorders>
              <w:top w:val="single" w:sz="4" w:space="0" w:color="auto"/>
              <w:bottom w:val="single" w:sz="4" w:space="0" w:color="auto"/>
            </w:tcBorders>
            <w:shd w:val="clear" w:color="auto" w:fill="auto"/>
            <w:vAlign w:val="bottom"/>
          </w:tcPr>
          <w:p w:rsidR="0080267F" w:rsidRPr="0029048A" w:rsidRDefault="0080267F" w:rsidP="0023041C">
            <w:pPr>
              <w:suppressAutoHyphens/>
              <w:spacing w:before="60" w:after="60" w:line="200" w:lineRule="exact"/>
              <w:ind w:right="57"/>
              <w:jc w:val="center"/>
              <w:rPr>
                <w:rFonts w:ascii="KaiTi_GB2312" w:eastAsia="KaiTi_GB2312" w:hAnsi="SimSun"/>
                <w:sz w:val="15"/>
              </w:rPr>
            </w:pPr>
            <w:r w:rsidRPr="0029048A">
              <w:rPr>
                <w:rFonts w:ascii="KaiTi_GB2312" w:eastAsia="KaiTi_GB2312" w:hAnsi="SimSun"/>
                <w:noProof/>
                <w:sz w:val="15"/>
              </w:rPr>
              <w:t>2006</w:t>
            </w:r>
            <w:r w:rsidRPr="0029048A">
              <w:rPr>
                <w:rFonts w:ascii="KaiTi_GB2312" w:eastAsia="KaiTi_GB2312" w:hAnsi="SimSun" w:hint="eastAsia"/>
                <w:noProof/>
                <w:sz w:val="15"/>
              </w:rPr>
              <w:t>年</w:t>
            </w:r>
          </w:p>
        </w:tc>
        <w:tc>
          <w:tcPr>
            <w:tcW w:w="140" w:type="dxa"/>
            <w:tcBorders>
              <w:top w:val="single" w:sz="4" w:space="0" w:color="auto"/>
            </w:tcBorders>
            <w:shd w:val="clear" w:color="auto" w:fill="auto"/>
            <w:vAlign w:val="bottom"/>
          </w:tcPr>
          <w:p w:rsidR="0080267F" w:rsidRPr="0029048A" w:rsidRDefault="0080267F" w:rsidP="0023041C">
            <w:pPr>
              <w:suppressAutoHyphens/>
              <w:spacing w:before="60" w:after="60" w:line="200" w:lineRule="exact"/>
              <w:ind w:right="57"/>
              <w:jc w:val="right"/>
              <w:rPr>
                <w:rFonts w:ascii="Times New Roman" w:eastAsia="KaiTi_GB2312"/>
                <w:sz w:val="15"/>
              </w:rPr>
            </w:pPr>
          </w:p>
        </w:tc>
        <w:tc>
          <w:tcPr>
            <w:tcW w:w="1666" w:type="dxa"/>
            <w:gridSpan w:val="3"/>
            <w:tcBorders>
              <w:top w:val="single" w:sz="4" w:space="0" w:color="auto"/>
              <w:bottom w:val="single" w:sz="4" w:space="0" w:color="auto"/>
            </w:tcBorders>
            <w:shd w:val="clear" w:color="auto" w:fill="auto"/>
            <w:vAlign w:val="bottom"/>
          </w:tcPr>
          <w:p w:rsidR="0080267F" w:rsidRPr="0029048A" w:rsidRDefault="0080267F" w:rsidP="0023041C">
            <w:pPr>
              <w:suppressAutoHyphens/>
              <w:spacing w:before="60" w:after="60" w:line="200" w:lineRule="exact"/>
              <w:ind w:right="57"/>
              <w:jc w:val="center"/>
              <w:rPr>
                <w:rFonts w:ascii="KaiTi_GB2312" w:eastAsia="KaiTi_GB2312" w:hAnsi="SimSun"/>
                <w:sz w:val="15"/>
              </w:rPr>
            </w:pPr>
            <w:r w:rsidRPr="0029048A">
              <w:rPr>
                <w:rFonts w:ascii="KaiTi_GB2312" w:eastAsia="KaiTi_GB2312" w:hAnsi="SimSun"/>
                <w:noProof/>
                <w:sz w:val="15"/>
              </w:rPr>
              <w:t>2007</w:t>
            </w:r>
            <w:r w:rsidRPr="0029048A">
              <w:rPr>
                <w:rFonts w:ascii="KaiTi_GB2312" w:eastAsia="KaiTi_GB2312" w:hAnsi="SimSun" w:hint="eastAsia"/>
                <w:noProof/>
                <w:sz w:val="15"/>
              </w:rPr>
              <w:t>年</w:t>
            </w:r>
          </w:p>
        </w:tc>
        <w:tc>
          <w:tcPr>
            <w:tcW w:w="154" w:type="dxa"/>
            <w:gridSpan w:val="2"/>
            <w:tcBorders>
              <w:top w:val="single" w:sz="4" w:space="0" w:color="auto"/>
            </w:tcBorders>
            <w:shd w:val="clear" w:color="auto" w:fill="auto"/>
            <w:vAlign w:val="bottom"/>
          </w:tcPr>
          <w:p w:rsidR="0080267F" w:rsidRPr="0029048A" w:rsidRDefault="0080267F" w:rsidP="0023041C">
            <w:pPr>
              <w:suppressAutoHyphens/>
              <w:spacing w:before="60" w:after="60" w:line="200" w:lineRule="exact"/>
              <w:ind w:right="57"/>
              <w:jc w:val="center"/>
              <w:rPr>
                <w:rFonts w:ascii="Times New Roman" w:eastAsia="KaiTi_GB2312"/>
                <w:sz w:val="15"/>
              </w:rPr>
            </w:pPr>
          </w:p>
        </w:tc>
        <w:tc>
          <w:tcPr>
            <w:tcW w:w="1682" w:type="dxa"/>
            <w:gridSpan w:val="3"/>
            <w:tcBorders>
              <w:top w:val="single" w:sz="4" w:space="0" w:color="auto"/>
              <w:bottom w:val="single" w:sz="4" w:space="0" w:color="auto"/>
            </w:tcBorders>
            <w:shd w:val="clear" w:color="auto" w:fill="auto"/>
            <w:vAlign w:val="bottom"/>
          </w:tcPr>
          <w:p w:rsidR="0080267F" w:rsidRPr="0029048A" w:rsidRDefault="0080267F" w:rsidP="0023041C">
            <w:pPr>
              <w:suppressAutoHyphens/>
              <w:spacing w:before="60" w:after="60" w:line="200" w:lineRule="exact"/>
              <w:ind w:right="57"/>
              <w:jc w:val="center"/>
              <w:rPr>
                <w:rFonts w:ascii="KaiTi_GB2312" w:eastAsia="KaiTi_GB2312" w:hAnsi="SimSun"/>
                <w:sz w:val="15"/>
              </w:rPr>
            </w:pPr>
            <w:r w:rsidRPr="0029048A">
              <w:rPr>
                <w:rFonts w:ascii="KaiTi_GB2312" w:eastAsia="KaiTi_GB2312" w:hAnsi="SimSun"/>
                <w:noProof/>
                <w:sz w:val="15"/>
              </w:rPr>
              <w:t>2008</w:t>
            </w:r>
            <w:r w:rsidRPr="0029048A">
              <w:rPr>
                <w:rFonts w:ascii="KaiTi_GB2312" w:eastAsia="KaiTi_GB2312" w:hAnsi="SimSun" w:hint="eastAsia"/>
                <w:noProof/>
                <w:sz w:val="15"/>
              </w:rPr>
              <w:t>年</w:t>
            </w:r>
          </w:p>
        </w:tc>
        <w:tc>
          <w:tcPr>
            <w:tcW w:w="140" w:type="dxa"/>
            <w:tcBorders>
              <w:top w:val="single" w:sz="4" w:space="0" w:color="auto"/>
            </w:tcBorders>
            <w:shd w:val="clear" w:color="auto" w:fill="auto"/>
            <w:vAlign w:val="bottom"/>
          </w:tcPr>
          <w:p w:rsidR="0080267F" w:rsidRPr="0029048A" w:rsidRDefault="0080267F" w:rsidP="0023041C">
            <w:pPr>
              <w:suppressAutoHyphens/>
              <w:spacing w:before="60" w:after="60" w:line="200" w:lineRule="exact"/>
              <w:ind w:right="57"/>
              <w:jc w:val="center"/>
              <w:rPr>
                <w:rFonts w:ascii="KaiTi_GB2312" w:eastAsia="KaiTi_GB2312" w:hAnsi="SimSun"/>
                <w:sz w:val="15"/>
              </w:rPr>
            </w:pPr>
          </w:p>
        </w:tc>
        <w:tc>
          <w:tcPr>
            <w:tcW w:w="1680" w:type="dxa"/>
            <w:gridSpan w:val="3"/>
            <w:tcBorders>
              <w:top w:val="single" w:sz="4" w:space="0" w:color="auto"/>
              <w:bottom w:val="single" w:sz="4" w:space="0" w:color="auto"/>
            </w:tcBorders>
            <w:shd w:val="clear" w:color="auto" w:fill="auto"/>
            <w:vAlign w:val="bottom"/>
          </w:tcPr>
          <w:p w:rsidR="0080267F" w:rsidRPr="0029048A" w:rsidRDefault="0080267F" w:rsidP="0023041C">
            <w:pPr>
              <w:suppressAutoHyphens/>
              <w:spacing w:before="60" w:after="60" w:line="200" w:lineRule="exact"/>
              <w:ind w:right="57"/>
              <w:jc w:val="center"/>
              <w:rPr>
                <w:rFonts w:ascii="KaiTi_GB2312" w:eastAsia="KaiTi_GB2312" w:hAnsi="SimSun"/>
                <w:sz w:val="15"/>
              </w:rPr>
            </w:pPr>
            <w:r w:rsidRPr="0029048A">
              <w:rPr>
                <w:rFonts w:ascii="KaiTi_GB2312" w:eastAsia="KaiTi_GB2312" w:hAnsi="SimSun"/>
                <w:noProof/>
                <w:sz w:val="15"/>
              </w:rPr>
              <w:t>2009</w:t>
            </w:r>
            <w:r w:rsidRPr="0029048A">
              <w:rPr>
                <w:rFonts w:ascii="KaiTi_GB2312" w:eastAsia="KaiTi_GB2312" w:hAnsi="SimSun" w:hint="eastAsia"/>
                <w:noProof/>
                <w:sz w:val="15"/>
              </w:rPr>
              <w:t>年</w:t>
            </w:r>
          </w:p>
        </w:tc>
        <w:tc>
          <w:tcPr>
            <w:tcW w:w="154" w:type="dxa"/>
            <w:tcBorders>
              <w:top w:val="single" w:sz="4" w:space="0" w:color="auto"/>
            </w:tcBorders>
            <w:shd w:val="clear" w:color="auto" w:fill="auto"/>
            <w:vAlign w:val="bottom"/>
          </w:tcPr>
          <w:p w:rsidR="0080267F" w:rsidRPr="0029048A" w:rsidRDefault="0080267F" w:rsidP="0023041C">
            <w:pPr>
              <w:suppressAutoHyphens/>
              <w:spacing w:before="60" w:after="60" w:line="200" w:lineRule="exact"/>
              <w:ind w:right="57"/>
              <w:jc w:val="right"/>
              <w:rPr>
                <w:rFonts w:ascii="KaiTi_GB2312" w:eastAsia="KaiTi_GB2312" w:hAnsi="SimSun"/>
                <w:sz w:val="15"/>
              </w:rPr>
            </w:pPr>
          </w:p>
        </w:tc>
        <w:tc>
          <w:tcPr>
            <w:tcW w:w="1672" w:type="dxa"/>
            <w:gridSpan w:val="3"/>
            <w:tcBorders>
              <w:top w:val="single" w:sz="4" w:space="0" w:color="auto"/>
              <w:bottom w:val="single" w:sz="4" w:space="0" w:color="auto"/>
            </w:tcBorders>
            <w:shd w:val="clear" w:color="auto" w:fill="auto"/>
          </w:tcPr>
          <w:p w:rsidR="0080267F" w:rsidRPr="0029048A" w:rsidRDefault="0080267F" w:rsidP="0023041C">
            <w:pPr>
              <w:suppressAutoHyphens/>
              <w:spacing w:before="60" w:after="60" w:line="200" w:lineRule="exact"/>
              <w:ind w:right="57"/>
              <w:jc w:val="center"/>
              <w:rPr>
                <w:rFonts w:ascii="KaiTi_GB2312" w:eastAsia="KaiTi_GB2312" w:hAnsi="SimSun"/>
                <w:sz w:val="15"/>
              </w:rPr>
            </w:pPr>
            <w:r w:rsidRPr="0029048A">
              <w:rPr>
                <w:rFonts w:ascii="KaiTi_GB2312" w:eastAsia="KaiTi_GB2312" w:hAnsi="SimSun"/>
                <w:noProof/>
                <w:sz w:val="15"/>
              </w:rPr>
              <w:t>2010</w:t>
            </w:r>
            <w:r w:rsidRPr="0029048A">
              <w:rPr>
                <w:rFonts w:ascii="KaiTi_GB2312" w:eastAsia="KaiTi_GB2312" w:hAnsi="SimSun" w:hint="eastAsia"/>
                <w:noProof/>
                <w:sz w:val="15"/>
              </w:rPr>
              <w:t>年</w:t>
            </w:r>
          </w:p>
        </w:tc>
      </w:tr>
      <w:tr w:rsidR="0080267F" w:rsidRPr="0029048A" w:rsidTr="0023041C">
        <w:tblPrEx>
          <w:tblCellMar>
            <w:top w:w="0" w:type="dxa"/>
            <w:bottom w:w="0" w:type="dxa"/>
          </w:tblCellMar>
        </w:tblPrEx>
        <w:trPr>
          <w:tblHeader/>
        </w:trPr>
        <w:tc>
          <w:tcPr>
            <w:tcW w:w="614" w:type="dxa"/>
            <w:tcBorders>
              <w:bottom w:val="single" w:sz="12" w:space="0" w:color="auto"/>
            </w:tcBorders>
            <w:shd w:val="clear" w:color="auto" w:fill="auto"/>
            <w:vAlign w:val="bottom"/>
          </w:tcPr>
          <w:p w:rsidR="0080267F" w:rsidRPr="0029048A" w:rsidRDefault="0080267F" w:rsidP="0023041C">
            <w:pPr>
              <w:suppressAutoHyphens/>
              <w:spacing w:after="60" w:line="200" w:lineRule="exact"/>
              <w:ind w:right="57"/>
              <w:rPr>
                <w:rFonts w:ascii="KaiTi_GB2312" w:eastAsia="KaiTi_GB2312" w:hAnsi="SimSun"/>
                <w:sz w:val="15"/>
              </w:rPr>
            </w:pPr>
            <w:r w:rsidRPr="005440F1">
              <w:rPr>
                <w:rFonts w:ascii="KaiTi_GB2312" w:eastAsia="KaiTi_GB2312" w:hAnsi="STZhongsong" w:hint="eastAsia"/>
                <w:sz w:val="15"/>
                <w:lang w:val="zh-CN"/>
              </w:rPr>
              <w:t>级别</w:t>
            </w:r>
          </w:p>
        </w:tc>
        <w:tc>
          <w:tcPr>
            <w:tcW w:w="587" w:type="dxa"/>
            <w:tcBorders>
              <w:top w:val="single" w:sz="4" w:space="0" w:color="auto"/>
              <w:bottom w:val="single" w:sz="12" w:space="0" w:color="auto"/>
            </w:tcBorders>
            <w:shd w:val="clear" w:color="auto" w:fill="auto"/>
            <w:vAlign w:val="bottom"/>
          </w:tcPr>
          <w:p w:rsidR="0080267F" w:rsidRPr="0029048A" w:rsidRDefault="0080267F" w:rsidP="0023041C">
            <w:pPr>
              <w:suppressAutoHyphens/>
              <w:spacing w:after="60" w:line="200" w:lineRule="exact"/>
              <w:ind w:right="57"/>
              <w:jc w:val="right"/>
              <w:rPr>
                <w:rFonts w:ascii="KaiTi_GB2312" w:eastAsia="KaiTi_GB2312" w:hAnsi="SimSun"/>
                <w:sz w:val="15"/>
              </w:rPr>
            </w:pPr>
            <w:r w:rsidRPr="0029048A">
              <w:rPr>
                <w:rFonts w:ascii="KaiTi_GB2312" w:eastAsia="KaiTi_GB2312" w:hAnsi="SimSun"/>
                <w:noProof/>
                <w:sz w:val="15"/>
              </w:rPr>
              <w:t>女</w:t>
            </w:r>
          </w:p>
        </w:tc>
        <w:tc>
          <w:tcPr>
            <w:tcW w:w="605" w:type="dxa"/>
            <w:tcBorders>
              <w:top w:val="single" w:sz="4" w:space="0" w:color="auto"/>
              <w:bottom w:val="single" w:sz="12" w:space="0" w:color="auto"/>
            </w:tcBorders>
            <w:shd w:val="clear" w:color="auto" w:fill="auto"/>
            <w:vAlign w:val="bottom"/>
          </w:tcPr>
          <w:p w:rsidR="0080267F" w:rsidRPr="0029048A" w:rsidRDefault="0080267F" w:rsidP="0023041C">
            <w:pPr>
              <w:suppressAutoHyphens/>
              <w:spacing w:after="60" w:line="200" w:lineRule="exact"/>
              <w:ind w:right="57"/>
              <w:jc w:val="right"/>
              <w:rPr>
                <w:rFonts w:ascii="KaiTi_GB2312" w:eastAsia="KaiTi_GB2312" w:hAnsi="SimSun"/>
                <w:sz w:val="15"/>
              </w:rPr>
            </w:pPr>
            <w:r w:rsidRPr="0029048A">
              <w:rPr>
                <w:rFonts w:ascii="KaiTi_GB2312" w:eastAsia="KaiTi_GB2312" w:hAnsi="SimSun" w:hint="eastAsia"/>
                <w:noProof/>
                <w:sz w:val="15"/>
              </w:rPr>
              <w:t>男</w:t>
            </w:r>
          </w:p>
        </w:tc>
        <w:tc>
          <w:tcPr>
            <w:tcW w:w="767" w:type="dxa"/>
            <w:tcBorders>
              <w:top w:val="single" w:sz="4" w:space="0" w:color="auto"/>
              <w:bottom w:val="single" w:sz="12" w:space="0" w:color="auto"/>
            </w:tcBorders>
            <w:shd w:val="clear" w:color="auto" w:fill="auto"/>
            <w:vAlign w:val="bottom"/>
          </w:tcPr>
          <w:p w:rsidR="0080267F" w:rsidRPr="0029048A" w:rsidRDefault="0080267F" w:rsidP="0023041C">
            <w:pPr>
              <w:suppressAutoHyphens/>
              <w:spacing w:after="60" w:line="200" w:lineRule="exact"/>
              <w:ind w:right="57"/>
              <w:jc w:val="right"/>
              <w:rPr>
                <w:rFonts w:ascii="KaiTi_GB2312" w:eastAsia="KaiTi_GB2312" w:hAnsi="SimSun"/>
                <w:sz w:val="15"/>
              </w:rPr>
            </w:pPr>
            <w:r w:rsidRPr="0029048A">
              <w:rPr>
                <w:rFonts w:ascii="KaiTi_GB2312" w:eastAsia="KaiTi_GB2312" w:hAnsi="SimSun"/>
                <w:noProof/>
                <w:sz w:val="15"/>
              </w:rPr>
              <w:t>总人数</w:t>
            </w:r>
            <w:r>
              <w:rPr>
                <w:rFonts w:ascii="Times New Roman" w:eastAsia="KaiTi_GB2312"/>
                <w:noProof/>
                <w:sz w:val="15"/>
              </w:rPr>
              <w:br/>
            </w:r>
            <w:r w:rsidRPr="0029048A">
              <w:rPr>
                <w:rFonts w:ascii="KaiTi_GB2312" w:eastAsia="KaiTi_GB2312" w:hAnsi="SimSun" w:hint="eastAsia"/>
                <w:noProof/>
                <w:sz w:val="15"/>
              </w:rPr>
              <w:t>和百分比</w:t>
            </w:r>
          </w:p>
        </w:tc>
        <w:tc>
          <w:tcPr>
            <w:tcW w:w="591" w:type="dxa"/>
            <w:gridSpan w:val="2"/>
            <w:tcBorders>
              <w:bottom w:val="single" w:sz="12" w:space="0" w:color="auto"/>
            </w:tcBorders>
            <w:shd w:val="clear" w:color="auto" w:fill="auto"/>
            <w:vAlign w:val="bottom"/>
          </w:tcPr>
          <w:p w:rsidR="0080267F" w:rsidRPr="0029048A" w:rsidRDefault="0080267F" w:rsidP="0023041C">
            <w:pPr>
              <w:suppressAutoHyphens/>
              <w:spacing w:after="60" w:line="200" w:lineRule="exact"/>
              <w:ind w:right="57"/>
              <w:jc w:val="right"/>
              <w:rPr>
                <w:rFonts w:ascii="KaiTi_GB2312" w:eastAsia="KaiTi_GB2312" w:hAnsi="SimSun"/>
                <w:sz w:val="15"/>
              </w:rPr>
            </w:pPr>
            <w:r w:rsidRPr="0029048A">
              <w:rPr>
                <w:rFonts w:ascii="KaiTi_GB2312" w:eastAsia="KaiTi_GB2312" w:hAnsi="SimSun"/>
                <w:noProof/>
                <w:sz w:val="15"/>
              </w:rPr>
              <w:t>女</w:t>
            </w:r>
          </w:p>
        </w:tc>
        <w:tc>
          <w:tcPr>
            <w:tcW w:w="518" w:type="dxa"/>
            <w:tcBorders>
              <w:bottom w:val="single" w:sz="12" w:space="0" w:color="auto"/>
            </w:tcBorders>
            <w:shd w:val="clear" w:color="auto" w:fill="auto"/>
            <w:vAlign w:val="bottom"/>
          </w:tcPr>
          <w:p w:rsidR="0080267F" w:rsidRPr="0029048A" w:rsidRDefault="0080267F" w:rsidP="0023041C">
            <w:pPr>
              <w:suppressAutoHyphens/>
              <w:spacing w:after="60" w:line="200" w:lineRule="exact"/>
              <w:ind w:right="57"/>
              <w:jc w:val="right"/>
              <w:rPr>
                <w:rFonts w:ascii="KaiTi_GB2312" w:eastAsia="KaiTi_GB2312" w:hAnsi="SimSun"/>
                <w:sz w:val="15"/>
              </w:rPr>
            </w:pPr>
            <w:r w:rsidRPr="0029048A">
              <w:rPr>
                <w:rFonts w:ascii="KaiTi_GB2312" w:eastAsia="KaiTi_GB2312" w:hAnsi="SimSun" w:hint="eastAsia"/>
                <w:noProof/>
                <w:sz w:val="15"/>
              </w:rPr>
              <w:t>男</w:t>
            </w:r>
          </w:p>
        </w:tc>
        <w:tc>
          <w:tcPr>
            <w:tcW w:w="712" w:type="dxa"/>
            <w:gridSpan w:val="2"/>
            <w:tcBorders>
              <w:bottom w:val="single" w:sz="12" w:space="0" w:color="auto"/>
            </w:tcBorders>
            <w:shd w:val="clear" w:color="auto" w:fill="auto"/>
            <w:vAlign w:val="bottom"/>
          </w:tcPr>
          <w:p w:rsidR="0080267F" w:rsidRPr="0029048A" w:rsidRDefault="0080267F" w:rsidP="0023041C">
            <w:pPr>
              <w:suppressAutoHyphens/>
              <w:spacing w:after="60" w:line="200" w:lineRule="exact"/>
              <w:ind w:right="57"/>
              <w:jc w:val="right"/>
              <w:rPr>
                <w:rFonts w:ascii="KaiTi_GB2312" w:eastAsia="KaiTi_GB2312" w:hAnsi="SimSun"/>
                <w:sz w:val="15"/>
              </w:rPr>
            </w:pPr>
            <w:r w:rsidRPr="0029048A">
              <w:rPr>
                <w:rFonts w:ascii="KaiTi_GB2312" w:eastAsia="KaiTi_GB2312" w:hAnsi="SimSun"/>
                <w:noProof/>
                <w:sz w:val="15"/>
              </w:rPr>
              <w:t>总人数</w:t>
            </w:r>
            <w:r>
              <w:rPr>
                <w:rFonts w:ascii="Times New Roman" w:eastAsia="KaiTi_GB2312"/>
                <w:noProof/>
                <w:sz w:val="15"/>
              </w:rPr>
              <w:br/>
            </w:r>
            <w:r w:rsidRPr="0029048A">
              <w:rPr>
                <w:rFonts w:ascii="KaiTi_GB2312" w:eastAsia="KaiTi_GB2312" w:hAnsi="SimSun" w:hint="eastAsia"/>
                <w:noProof/>
                <w:sz w:val="15"/>
              </w:rPr>
              <w:t>和百分比</w:t>
            </w:r>
          </w:p>
        </w:tc>
        <w:tc>
          <w:tcPr>
            <w:tcW w:w="590" w:type="dxa"/>
            <w:gridSpan w:val="2"/>
            <w:tcBorders>
              <w:bottom w:val="single" w:sz="12" w:space="0" w:color="auto"/>
            </w:tcBorders>
            <w:shd w:val="clear" w:color="auto" w:fill="auto"/>
            <w:vAlign w:val="bottom"/>
          </w:tcPr>
          <w:p w:rsidR="0080267F" w:rsidRPr="0029048A" w:rsidRDefault="0080267F" w:rsidP="0023041C">
            <w:pPr>
              <w:suppressAutoHyphens/>
              <w:spacing w:after="60" w:line="200" w:lineRule="exact"/>
              <w:ind w:right="57"/>
              <w:jc w:val="right"/>
              <w:rPr>
                <w:rFonts w:ascii="KaiTi_GB2312" w:eastAsia="KaiTi_GB2312" w:hAnsi="SimSun"/>
                <w:sz w:val="15"/>
              </w:rPr>
            </w:pPr>
            <w:r w:rsidRPr="0029048A">
              <w:rPr>
                <w:rFonts w:ascii="KaiTi_GB2312" w:eastAsia="KaiTi_GB2312" w:hAnsi="SimSun"/>
                <w:noProof/>
                <w:sz w:val="15"/>
              </w:rPr>
              <w:t>女</w:t>
            </w:r>
          </w:p>
        </w:tc>
        <w:tc>
          <w:tcPr>
            <w:tcW w:w="546" w:type="dxa"/>
            <w:tcBorders>
              <w:bottom w:val="single" w:sz="12" w:space="0" w:color="auto"/>
            </w:tcBorders>
            <w:shd w:val="clear" w:color="auto" w:fill="auto"/>
            <w:vAlign w:val="bottom"/>
          </w:tcPr>
          <w:p w:rsidR="0080267F" w:rsidRPr="0029048A" w:rsidRDefault="0080267F" w:rsidP="0023041C">
            <w:pPr>
              <w:suppressAutoHyphens/>
              <w:spacing w:after="60" w:line="200" w:lineRule="exact"/>
              <w:ind w:right="57"/>
              <w:jc w:val="right"/>
              <w:rPr>
                <w:rFonts w:ascii="KaiTi_GB2312" w:eastAsia="KaiTi_GB2312" w:hAnsi="SimSun"/>
                <w:sz w:val="15"/>
              </w:rPr>
            </w:pPr>
            <w:r w:rsidRPr="0029048A">
              <w:rPr>
                <w:rFonts w:ascii="KaiTi_GB2312" w:eastAsia="KaiTi_GB2312" w:hAnsi="SimSun" w:hint="eastAsia"/>
                <w:noProof/>
                <w:sz w:val="15"/>
              </w:rPr>
              <w:t>男</w:t>
            </w:r>
          </w:p>
        </w:tc>
        <w:tc>
          <w:tcPr>
            <w:tcW w:w="685" w:type="dxa"/>
            <w:tcBorders>
              <w:bottom w:val="single" w:sz="12" w:space="0" w:color="auto"/>
            </w:tcBorders>
            <w:shd w:val="clear" w:color="auto" w:fill="auto"/>
            <w:vAlign w:val="bottom"/>
          </w:tcPr>
          <w:p w:rsidR="0080267F" w:rsidRPr="0029048A" w:rsidRDefault="0080267F" w:rsidP="0023041C">
            <w:pPr>
              <w:suppressAutoHyphens/>
              <w:spacing w:after="60" w:line="200" w:lineRule="exact"/>
              <w:ind w:right="57"/>
              <w:jc w:val="right"/>
              <w:rPr>
                <w:rFonts w:ascii="KaiTi_GB2312" w:eastAsia="KaiTi_GB2312" w:hAnsi="SimSun"/>
                <w:sz w:val="15"/>
              </w:rPr>
            </w:pPr>
            <w:r w:rsidRPr="0029048A">
              <w:rPr>
                <w:rFonts w:ascii="KaiTi_GB2312" w:eastAsia="KaiTi_GB2312" w:hAnsi="SimSun"/>
                <w:noProof/>
                <w:sz w:val="15"/>
              </w:rPr>
              <w:t>总人数</w:t>
            </w:r>
            <w:r>
              <w:rPr>
                <w:rFonts w:ascii="Times New Roman" w:eastAsia="KaiTi_GB2312"/>
                <w:noProof/>
                <w:sz w:val="15"/>
              </w:rPr>
              <w:br/>
            </w:r>
            <w:r w:rsidRPr="0029048A">
              <w:rPr>
                <w:rFonts w:ascii="KaiTi_GB2312" w:eastAsia="KaiTi_GB2312" w:hAnsi="SimSun" w:hint="eastAsia"/>
                <w:noProof/>
                <w:sz w:val="15"/>
              </w:rPr>
              <w:t>和百分比</w:t>
            </w:r>
          </w:p>
        </w:tc>
        <w:tc>
          <w:tcPr>
            <w:tcW w:w="630" w:type="dxa"/>
            <w:gridSpan w:val="2"/>
            <w:tcBorders>
              <w:bottom w:val="single" w:sz="12" w:space="0" w:color="auto"/>
            </w:tcBorders>
            <w:shd w:val="clear" w:color="auto" w:fill="auto"/>
            <w:vAlign w:val="bottom"/>
          </w:tcPr>
          <w:p w:rsidR="0080267F" w:rsidRPr="0029048A" w:rsidRDefault="0080267F" w:rsidP="0023041C">
            <w:pPr>
              <w:suppressAutoHyphens/>
              <w:spacing w:after="60" w:line="200" w:lineRule="exact"/>
              <w:ind w:right="57"/>
              <w:jc w:val="right"/>
              <w:rPr>
                <w:rFonts w:ascii="KaiTi_GB2312" w:eastAsia="KaiTi_GB2312" w:hAnsi="SimSun"/>
                <w:sz w:val="15"/>
              </w:rPr>
            </w:pPr>
            <w:r w:rsidRPr="0029048A">
              <w:rPr>
                <w:rFonts w:ascii="KaiTi_GB2312" w:eastAsia="KaiTi_GB2312" w:hAnsi="SimSun"/>
                <w:noProof/>
                <w:sz w:val="15"/>
              </w:rPr>
              <w:t>女</w:t>
            </w:r>
          </w:p>
        </w:tc>
        <w:tc>
          <w:tcPr>
            <w:tcW w:w="504" w:type="dxa"/>
            <w:tcBorders>
              <w:bottom w:val="single" w:sz="12" w:space="0" w:color="auto"/>
            </w:tcBorders>
            <w:shd w:val="clear" w:color="auto" w:fill="auto"/>
            <w:vAlign w:val="bottom"/>
          </w:tcPr>
          <w:p w:rsidR="0080267F" w:rsidRPr="0029048A" w:rsidRDefault="0080267F" w:rsidP="0023041C">
            <w:pPr>
              <w:suppressAutoHyphens/>
              <w:spacing w:after="60" w:line="200" w:lineRule="exact"/>
              <w:ind w:right="57"/>
              <w:jc w:val="right"/>
              <w:rPr>
                <w:rFonts w:ascii="KaiTi_GB2312" w:eastAsia="KaiTi_GB2312" w:hAnsi="SimSun"/>
                <w:sz w:val="15"/>
              </w:rPr>
            </w:pPr>
            <w:r w:rsidRPr="0029048A">
              <w:rPr>
                <w:rFonts w:ascii="KaiTi_GB2312" w:eastAsia="KaiTi_GB2312" w:hAnsi="SimSun" w:hint="eastAsia"/>
                <w:noProof/>
                <w:sz w:val="15"/>
              </w:rPr>
              <w:t>男</w:t>
            </w:r>
          </w:p>
        </w:tc>
        <w:tc>
          <w:tcPr>
            <w:tcW w:w="686" w:type="dxa"/>
            <w:tcBorders>
              <w:bottom w:val="single" w:sz="12" w:space="0" w:color="auto"/>
            </w:tcBorders>
            <w:shd w:val="clear" w:color="auto" w:fill="auto"/>
            <w:vAlign w:val="bottom"/>
          </w:tcPr>
          <w:p w:rsidR="0080267F" w:rsidRPr="0029048A" w:rsidRDefault="0080267F" w:rsidP="0023041C">
            <w:pPr>
              <w:suppressAutoHyphens/>
              <w:spacing w:after="60" w:line="200" w:lineRule="exact"/>
              <w:ind w:right="57"/>
              <w:jc w:val="right"/>
              <w:rPr>
                <w:rFonts w:ascii="KaiTi_GB2312" w:eastAsia="KaiTi_GB2312" w:hAnsi="SimSun"/>
                <w:sz w:val="15"/>
              </w:rPr>
            </w:pPr>
            <w:r w:rsidRPr="0029048A">
              <w:rPr>
                <w:rFonts w:ascii="KaiTi_GB2312" w:eastAsia="KaiTi_GB2312" w:hAnsi="SimSun"/>
                <w:noProof/>
                <w:sz w:val="15"/>
              </w:rPr>
              <w:t>总人数</w:t>
            </w:r>
            <w:r>
              <w:rPr>
                <w:rFonts w:ascii="Times New Roman" w:eastAsia="KaiTi_GB2312"/>
                <w:noProof/>
                <w:sz w:val="15"/>
              </w:rPr>
              <w:br/>
            </w:r>
            <w:r w:rsidRPr="0029048A">
              <w:rPr>
                <w:rFonts w:ascii="KaiTi_GB2312" w:eastAsia="KaiTi_GB2312" w:hAnsi="SimSun" w:hint="eastAsia"/>
                <w:noProof/>
                <w:sz w:val="15"/>
              </w:rPr>
              <w:t>和百分比</w:t>
            </w:r>
          </w:p>
        </w:tc>
        <w:tc>
          <w:tcPr>
            <w:tcW w:w="630" w:type="dxa"/>
            <w:gridSpan w:val="2"/>
            <w:tcBorders>
              <w:bottom w:val="single" w:sz="12" w:space="0" w:color="auto"/>
            </w:tcBorders>
            <w:shd w:val="clear" w:color="auto" w:fill="auto"/>
            <w:vAlign w:val="bottom"/>
          </w:tcPr>
          <w:p w:rsidR="0080267F" w:rsidRPr="0029048A" w:rsidRDefault="0080267F" w:rsidP="0023041C">
            <w:pPr>
              <w:suppressAutoHyphens/>
              <w:spacing w:after="60" w:line="200" w:lineRule="exact"/>
              <w:ind w:right="57"/>
              <w:jc w:val="right"/>
              <w:rPr>
                <w:rFonts w:ascii="KaiTi_GB2312" w:eastAsia="KaiTi_GB2312" w:hAnsi="SimSun"/>
                <w:sz w:val="15"/>
              </w:rPr>
            </w:pPr>
            <w:r w:rsidRPr="0029048A">
              <w:rPr>
                <w:rFonts w:ascii="KaiTi_GB2312" w:eastAsia="KaiTi_GB2312" w:hAnsi="SimSun"/>
                <w:noProof/>
                <w:sz w:val="15"/>
              </w:rPr>
              <w:t>女</w:t>
            </w:r>
          </w:p>
        </w:tc>
        <w:tc>
          <w:tcPr>
            <w:tcW w:w="532" w:type="dxa"/>
            <w:tcBorders>
              <w:bottom w:val="single" w:sz="12" w:space="0" w:color="auto"/>
            </w:tcBorders>
            <w:shd w:val="clear" w:color="auto" w:fill="auto"/>
            <w:vAlign w:val="bottom"/>
          </w:tcPr>
          <w:p w:rsidR="0080267F" w:rsidRPr="0029048A" w:rsidRDefault="0080267F" w:rsidP="0023041C">
            <w:pPr>
              <w:suppressAutoHyphens/>
              <w:spacing w:after="60" w:line="200" w:lineRule="exact"/>
              <w:ind w:right="57"/>
              <w:jc w:val="right"/>
              <w:rPr>
                <w:rFonts w:ascii="KaiTi_GB2312" w:eastAsia="KaiTi_GB2312" w:hAnsi="SimSun"/>
                <w:sz w:val="15"/>
              </w:rPr>
            </w:pPr>
            <w:r w:rsidRPr="0029048A">
              <w:rPr>
                <w:rFonts w:ascii="KaiTi_GB2312" w:eastAsia="KaiTi_GB2312" w:hAnsi="SimSun" w:hint="eastAsia"/>
                <w:noProof/>
                <w:sz w:val="15"/>
              </w:rPr>
              <w:t>男</w:t>
            </w:r>
          </w:p>
        </w:tc>
        <w:tc>
          <w:tcPr>
            <w:tcW w:w="664" w:type="dxa"/>
            <w:tcBorders>
              <w:bottom w:val="single" w:sz="12" w:space="0" w:color="auto"/>
            </w:tcBorders>
            <w:shd w:val="clear" w:color="auto" w:fill="auto"/>
            <w:vAlign w:val="bottom"/>
          </w:tcPr>
          <w:p w:rsidR="0080267F" w:rsidRPr="0029048A" w:rsidRDefault="0080267F" w:rsidP="0023041C">
            <w:pPr>
              <w:suppressAutoHyphens/>
              <w:spacing w:after="60" w:line="200" w:lineRule="exact"/>
              <w:ind w:right="57"/>
              <w:jc w:val="right"/>
              <w:rPr>
                <w:rFonts w:ascii="KaiTi_GB2312" w:eastAsia="KaiTi_GB2312" w:hAnsi="SimSun"/>
                <w:sz w:val="15"/>
              </w:rPr>
            </w:pPr>
            <w:r w:rsidRPr="0029048A">
              <w:rPr>
                <w:rFonts w:ascii="KaiTi_GB2312" w:eastAsia="KaiTi_GB2312" w:hAnsi="SimSun"/>
                <w:noProof/>
                <w:sz w:val="15"/>
              </w:rPr>
              <w:t>总人数</w:t>
            </w:r>
            <w:r>
              <w:rPr>
                <w:rFonts w:ascii="Times New Roman" w:eastAsia="KaiTi_GB2312"/>
                <w:noProof/>
                <w:sz w:val="15"/>
              </w:rPr>
              <w:br/>
            </w:r>
            <w:r w:rsidRPr="0029048A">
              <w:rPr>
                <w:rFonts w:ascii="KaiTi_GB2312" w:eastAsia="KaiTi_GB2312" w:hAnsi="SimSun" w:hint="eastAsia"/>
                <w:noProof/>
                <w:sz w:val="15"/>
              </w:rPr>
              <w:t>和百分比</w:t>
            </w:r>
          </w:p>
        </w:tc>
      </w:tr>
      <w:tr w:rsidR="0080267F" w:rsidRPr="0029048A" w:rsidTr="0023041C">
        <w:tblPrEx>
          <w:tblCellMar>
            <w:top w:w="0" w:type="dxa"/>
            <w:bottom w:w="0" w:type="dxa"/>
          </w:tblCellMar>
        </w:tblPrEx>
        <w:trPr>
          <w:trHeight w:hRule="exact" w:val="115"/>
          <w:tblHeader/>
        </w:trPr>
        <w:tc>
          <w:tcPr>
            <w:tcW w:w="614" w:type="dxa"/>
            <w:tcBorders>
              <w:top w:val="single" w:sz="12" w:space="0" w:color="auto"/>
            </w:tcBorders>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rPr>
                <w:rFonts w:hAnsi="SimSun" w:hint="eastAsia"/>
                <w:b/>
                <w:noProof/>
                <w:sz w:val="17"/>
              </w:rPr>
            </w:pPr>
          </w:p>
        </w:tc>
        <w:tc>
          <w:tcPr>
            <w:tcW w:w="587" w:type="dxa"/>
            <w:tcBorders>
              <w:top w:val="single" w:sz="12" w:space="0" w:color="auto"/>
            </w:tcBorders>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p>
        </w:tc>
        <w:tc>
          <w:tcPr>
            <w:tcW w:w="605" w:type="dxa"/>
            <w:tcBorders>
              <w:top w:val="single" w:sz="12" w:space="0" w:color="auto"/>
            </w:tcBorders>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p>
        </w:tc>
        <w:tc>
          <w:tcPr>
            <w:tcW w:w="767" w:type="dxa"/>
            <w:tcBorders>
              <w:top w:val="single" w:sz="12" w:space="0" w:color="auto"/>
            </w:tcBorders>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p>
        </w:tc>
        <w:tc>
          <w:tcPr>
            <w:tcW w:w="591" w:type="dxa"/>
            <w:gridSpan w:val="2"/>
            <w:tcBorders>
              <w:top w:val="single" w:sz="12" w:space="0" w:color="auto"/>
            </w:tcBorders>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p>
        </w:tc>
        <w:tc>
          <w:tcPr>
            <w:tcW w:w="518" w:type="dxa"/>
            <w:tcBorders>
              <w:top w:val="single" w:sz="12" w:space="0" w:color="auto"/>
            </w:tcBorders>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p>
        </w:tc>
        <w:tc>
          <w:tcPr>
            <w:tcW w:w="712" w:type="dxa"/>
            <w:gridSpan w:val="2"/>
            <w:tcBorders>
              <w:top w:val="single" w:sz="12" w:space="0" w:color="auto"/>
            </w:tcBorders>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p>
        </w:tc>
        <w:tc>
          <w:tcPr>
            <w:tcW w:w="590" w:type="dxa"/>
            <w:gridSpan w:val="2"/>
            <w:tcBorders>
              <w:top w:val="single" w:sz="12" w:space="0" w:color="auto"/>
            </w:tcBorders>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p>
        </w:tc>
        <w:tc>
          <w:tcPr>
            <w:tcW w:w="546" w:type="dxa"/>
            <w:tcBorders>
              <w:top w:val="single" w:sz="12" w:space="0" w:color="auto"/>
            </w:tcBorders>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p>
        </w:tc>
        <w:tc>
          <w:tcPr>
            <w:tcW w:w="685" w:type="dxa"/>
            <w:tcBorders>
              <w:top w:val="single" w:sz="12" w:space="0" w:color="auto"/>
            </w:tcBorders>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p>
        </w:tc>
        <w:tc>
          <w:tcPr>
            <w:tcW w:w="630" w:type="dxa"/>
            <w:gridSpan w:val="2"/>
            <w:tcBorders>
              <w:top w:val="single" w:sz="12" w:space="0" w:color="auto"/>
            </w:tcBorders>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p>
        </w:tc>
        <w:tc>
          <w:tcPr>
            <w:tcW w:w="504" w:type="dxa"/>
            <w:tcBorders>
              <w:top w:val="single" w:sz="12" w:space="0" w:color="auto"/>
            </w:tcBorders>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p>
        </w:tc>
        <w:tc>
          <w:tcPr>
            <w:tcW w:w="686" w:type="dxa"/>
            <w:tcBorders>
              <w:top w:val="single" w:sz="12" w:space="0" w:color="auto"/>
            </w:tcBorders>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p>
        </w:tc>
        <w:tc>
          <w:tcPr>
            <w:tcW w:w="630" w:type="dxa"/>
            <w:gridSpan w:val="2"/>
            <w:tcBorders>
              <w:top w:val="single" w:sz="12" w:space="0" w:color="auto"/>
            </w:tcBorders>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p>
        </w:tc>
        <w:tc>
          <w:tcPr>
            <w:tcW w:w="532" w:type="dxa"/>
            <w:tcBorders>
              <w:top w:val="single" w:sz="12" w:space="0" w:color="auto"/>
            </w:tcBorders>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p>
        </w:tc>
        <w:tc>
          <w:tcPr>
            <w:tcW w:w="664" w:type="dxa"/>
            <w:tcBorders>
              <w:top w:val="single" w:sz="12" w:space="0" w:color="auto"/>
            </w:tcBorders>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p>
        </w:tc>
      </w:tr>
      <w:tr w:rsidR="0080267F" w:rsidRPr="0029048A" w:rsidTr="0023041C">
        <w:tblPrEx>
          <w:tblCellMar>
            <w:top w:w="0" w:type="dxa"/>
            <w:bottom w:w="0" w:type="dxa"/>
          </w:tblCellMar>
        </w:tblPrEx>
        <w:tc>
          <w:tcPr>
            <w:tcW w:w="614"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rPr>
                <w:rFonts w:hAnsi="SimSun"/>
                <w:sz w:val="17"/>
                <w:szCs w:val="17"/>
              </w:rPr>
            </w:pPr>
            <w:r w:rsidRPr="0029048A">
              <w:rPr>
                <w:rFonts w:hAnsi="SimSun" w:hint="eastAsia"/>
                <w:noProof/>
                <w:sz w:val="17"/>
                <w:szCs w:val="17"/>
              </w:rPr>
              <w:t>小学</w:t>
            </w:r>
          </w:p>
        </w:tc>
        <w:tc>
          <w:tcPr>
            <w:tcW w:w="587"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2</w:t>
            </w:r>
            <w:r>
              <w:rPr>
                <w:rFonts w:hAnsi="SimSun"/>
                <w:sz w:val="17"/>
                <w:szCs w:val="17"/>
              </w:rPr>
              <w:t xml:space="preserve"> </w:t>
            </w:r>
            <w:r w:rsidRPr="0029048A">
              <w:rPr>
                <w:rFonts w:hAnsi="SimSun"/>
                <w:sz w:val="17"/>
                <w:szCs w:val="17"/>
              </w:rPr>
              <w:t>342</w:t>
            </w:r>
          </w:p>
        </w:tc>
        <w:tc>
          <w:tcPr>
            <w:tcW w:w="605"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3</w:t>
            </w:r>
            <w:r>
              <w:rPr>
                <w:rFonts w:hAnsi="SimSun"/>
                <w:sz w:val="17"/>
                <w:szCs w:val="17"/>
              </w:rPr>
              <w:t xml:space="preserve"> </w:t>
            </w:r>
            <w:r w:rsidRPr="0029048A">
              <w:rPr>
                <w:rFonts w:hAnsi="SimSun"/>
                <w:sz w:val="17"/>
                <w:szCs w:val="17"/>
              </w:rPr>
              <w:t>310</w:t>
            </w:r>
          </w:p>
        </w:tc>
        <w:tc>
          <w:tcPr>
            <w:tcW w:w="767"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5</w:t>
            </w:r>
            <w:r>
              <w:rPr>
                <w:rFonts w:hAnsi="SimSun"/>
                <w:sz w:val="17"/>
                <w:szCs w:val="17"/>
              </w:rPr>
              <w:t xml:space="preserve"> </w:t>
            </w:r>
            <w:r w:rsidRPr="0029048A">
              <w:rPr>
                <w:rFonts w:hAnsi="SimSun"/>
                <w:sz w:val="17"/>
                <w:szCs w:val="17"/>
              </w:rPr>
              <w:t xml:space="preserve">652 </w:t>
            </w:r>
          </w:p>
        </w:tc>
        <w:tc>
          <w:tcPr>
            <w:tcW w:w="591" w:type="dxa"/>
            <w:gridSpan w:val="2"/>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2</w:t>
            </w:r>
            <w:r>
              <w:rPr>
                <w:rFonts w:hAnsi="SimSun"/>
                <w:sz w:val="17"/>
                <w:szCs w:val="17"/>
              </w:rPr>
              <w:t xml:space="preserve"> </w:t>
            </w:r>
            <w:r w:rsidRPr="0029048A">
              <w:rPr>
                <w:rFonts w:hAnsi="SimSun"/>
                <w:sz w:val="17"/>
                <w:szCs w:val="17"/>
              </w:rPr>
              <w:t>327</w:t>
            </w:r>
          </w:p>
        </w:tc>
        <w:tc>
          <w:tcPr>
            <w:tcW w:w="518"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3</w:t>
            </w:r>
            <w:r>
              <w:rPr>
                <w:rFonts w:hAnsi="SimSun"/>
                <w:sz w:val="17"/>
                <w:szCs w:val="17"/>
              </w:rPr>
              <w:t xml:space="preserve"> </w:t>
            </w:r>
            <w:r w:rsidRPr="0029048A">
              <w:rPr>
                <w:rFonts w:hAnsi="SimSun"/>
                <w:sz w:val="17"/>
                <w:szCs w:val="17"/>
              </w:rPr>
              <w:t>055</w:t>
            </w:r>
          </w:p>
        </w:tc>
        <w:tc>
          <w:tcPr>
            <w:tcW w:w="712" w:type="dxa"/>
            <w:gridSpan w:val="2"/>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29048A">
              <w:rPr>
                <w:rFonts w:hAnsi="SimSun"/>
                <w:sz w:val="17"/>
                <w:szCs w:val="17"/>
              </w:rPr>
              <w:t>5</w:t>
            </w:r>
            <w:r>
              <w:rPr>
                <w:rFonts w:hAnsi="SimSun"/>
                <w:sz w:val="17"/>
                <w:szCs w:val="17"/>
              </w:rPr>
              <w:t xml:space="preserve"> </w:t>
            </w:r>
            <w:r w:rsidRPr="0029048A">
              <w:rPr>
                <w:rFonts w:hAnsi="SimSun"/>
                <w:sz w:val="17"/>
                <w:szCs w:val="17"/>
              </w:rPr>
              <w:t>382</w:t>
            </w:r>
          </w:p>
        </w:tc>
        <w:tc>
          <w:tcPr>
            <w:tcW w:w="590" w:type="dxa"/>
            <w:gridSpan w:val="2"/>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2</w:t>
            </w:r>
            <w:r>
              <w:rPr>
                <w:rFonts w:hAnsi="SimSun"/>
                <w:sz w:val="17"/>
                <w:szCs w:val="17"/>
              </w:rPr>
              <w:t xml:space="preserve"> </w:t>
            </w:r>
            <w:r w:rsidRPr="0029048A">
              <w:rPr>
                <w:rFonts w:hAnsi="SimSun"/>
                <w:sz w:val="17"/>
                <w:szCs w:val="17"/>
              </w:rPr>
              <w:t>353</w:t>
            </w:r>
          </w:p>
        </w:tc>
        <w:tc>
          <w:tcPr>
            <w:tcW w:w="546"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3</w:t>
            </w:r>
            <w:r>
              <w:rPr>
                <w:rFonts w:hAnsi="SimSun"/>
                <w:sz w:val="17"/>
                <w:szCs w:val="17"/>
              </w:rPr>
              <w:t xml:space="preserve"> </w:t>
            </w:r>
            <w:r w:rsidRPr="0029048A">
              <w:rPr>
                <w:rFonts w:hAnsi="SimSun"/>
                <w:sz w:val="17"/>
                <w:szCs w:val="17"/>
              </w:rPr>
              <w:t>148</w:t>
            </w:r>
          </w:p>
        </w:tc>
        <w:tc>
          <w:tcPr>
            <w:tcW w:w="685"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29048A">
              <w:rPr>
                <w:rFonts w:hAnsi="SimSun"/>
                <w:sz w:val="17"/>
                <w:szCs w:val="17"/>
              </w:rPr>
              <w:t>5</w:t>
            </w:r>
            <w:r>
              <w:rPr>
                <w:rFonts w:hAnsi="SimSun"/>
                <w:sz w:val="17"/>
                <w:szCs w:val="17"/>
              </w:rPr>
              <w:t xml:space="preserve"> </w:t>
            </w:r>
            <w:r w:rsidRPr="0029048A">
              <w:rPr>
                <w:rFonts w:hAnsi="SimSun"/>
                <w:sz w:val="17"/>
                <w:szCs w:val="17"/>
              </w:rPr>
              <w:t>501</w:t>
            </w:r>
          </w:p>
        </w:tc>
        <w:tc>
          <w:tcPr>
            <w:tcW w:w="630" w:type="dxa"/>
            <w:gridSpan w:val="2"/>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1</w:t>
            </w:r>
            <w:r>
              <w:rPr>
                <w:rFonts w:hAnsi="SimSun"/>
                <w:sz w:val="17"/>
                <w:szCs w:val="17"/>
              </w:rPr>
              <w:t xml:space="preserve"> </w:t>
            </w:r>
            <w:r w:rsidRPr="0029048A">
              <w:rPr>
                <w:rFonts w:hAnsi="SimSun"/>
                <w:sz w:val="17"/>
                <w:szCs w:val="17"/>
              </w:rPr>
              <w:t>724</w:t>
            </w:r>
          </w:p>
        </w:tc>
        <w:tc>
          <w:tcPr>
            <w:tcW w:w="504"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2</w:t>
            </w:r>
            <w:r>
              <w:rPr>
                <w:rFonts w:hAnsi="SimSun"/>
                <w:sz w:val="17"/>
                <w:szCs w:val="17"/>
              </w:rPr>
              <w:t xml:space="preserve"> </w:t>
            </w:r>
            <w:r w:rsidRPr="0029048A">
              <w:rPr>
                <w:rFonts w:hAnsi="SimSun"/>
                <w:sz w:val="17"/>
                <w:szCs w:val="17"/>
              </w:rPr>
              <w:t>320</w:t>
            </w:r>
          </w:p>
        </w:tc>
        <w:tc>
          <w:tcPr>
            <w:tcW w:w="686"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29048A">
              <w:rPr>
                <w:rFonts w:hAnsi="SimSun"/>
                <w:sz w:val="17"/>
                <w:szCs w:val="17"/>
              </w:rPr>
              <w:t>4</w:t>
            </w:r>
            <w:r>
              <w:rPr>
                <w:rFonts w:hAnsi="SimSun"/>
                <w:sz w:val="17"/>
                <w:szCs w:val="17"/>
              </w:rPr>
              <w:t xml:space="preserve"> </w:t>
            </w:r>
            <w:r w:rsidRPr="0029048A">
              <w:rPr>
                <w:rFonts w:hAnsi="SimSun"/>
                <w:sz w:val="17"/>
                <w:szCs w:val="17"/>
              </w:rPr>
              <w:t>044</w:t>
            </w:r>
          </w:p>
        </w:tc>
        <w:tc>
          <w:tcPr>
            <w:tcW w:w="630" w:type="dxa"/>
            <w:gridSpan w:val="2"/>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2</w:t>
            </w:r>
            <w:r>
              <w:rPr>
                <w:rFonts w:hAnsi="SimSun"/>
                <w:sz w:val="17"/>
                <w:szCs w:val="17"/>
              </w:rPr>
              <w:t xml:space="preserve"> </w:t>
            </w:r>
            <w:r w:rsidRPr="0029048A">
              <w:rPr>
                <w:rFonts w:hAnsi="SimSun"/>
                <w:sz w:val="17"/>
                <w:szCs w:val="17"/>
              </w:rPr>
              <w:t>024</w:t>
            </w:r>
          </w:p>
        </w:tc>
        <w:tc>
          <w:tcPr>
            <w:tcW w:w="532"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2</w:t>
            </w:r>
            <w:r>
              <w:rPr>
                <w:rFonts w:hAnsi="SimSun"/>
                <w:sz w:val="17"/>
                <w:szCs w:val="17"/>
              </w:rPr>
              <w:t xml:space="preserve"> </w:t>
            </w:r>
            <w:r w:rsidRPr="0029048A">
              <w:rPr>
                <w:rFonts w:hAnsi="SimSun"/>
                <w:sz w:val="17"/>
                <w:szCs w:val="17"/>
              </w:rPr>
              <w:t>810</w:t>
            </w:r>
          </w:p>
        </w:tc>
        <w:tc>
          <w:tcPr>
            <w:tcW w:w="664"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29048A">
              <w:rPr>
                <w:rFonts w:hAnsi="SimSun"/>
                <w:sz w:val="17"/>
                <w:szCs w:val="17"/>
              </w:rPr>
              <w:t>4</w:t>
            </w:r>
            <w:r>
              <w:rPr>
                <w:rFonts w:hAnsi="SimSun"/>
                <w:sz w:val="17"/>
                <w:szCs w:val="17"/>
              </w:rPr>
              <w:t xml:space="preserve"> </w:t>
            </w:r>
            <w:r w:rsidRPr="0029048A">
              <w:rPr>
                <w:rFonts w:hAnsi="SimSun"/>
                <w:sz w:val="17"/>
                <w:szCs w:val="17"/>
              </w:rPr>
              <w:t>834</w:t>
            </w:r>
          </w:p>
        </w:tc>
      </w:tr>
      <w:tr w:rsidR="0080267F" w:rsidRPr="0029048A" w:rsidTr="0023041C">
        <w:tblPrEx>
          <w:tblCellMar>
            <w:top w:w="0" w:type="dxa"/>
            <w:bottom w:w="0" w:type="dxa"/>
          </w:tblCellMar>
        </w:tblPrEx>
        <w:tc>
          <w:tcPr>
            <w:tcW w:w="614"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rPr>
                <w:rFonts w:hAnsi="SimSun" w:hint="eastAsia"/>
                <w:b/>
                <w:noProof/>
                <w:sz w:val="17"/>
                <w:szCs w:val="17"/>
              </w:rPr>
            </w:pPr>
          </w:p>
        </w:tc>
        <w:tc>
          <w:tcPr>
            <w:tcW w:w="587"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605"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767"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6%</w:t>
            </w:r>
          </w:p>
        </w:tc>
        <w:tc>
          <w:tcPr>
            <w:tcW w:w="591" w:type="dxa"/>
            <w:gridSpan w:val="2"/>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518"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712" w:type="dxa"/>
            <w:gridSpan w:val="2"/>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5</w:t>
            </w:r>
            <w:r>
              <w:rPr>
                <w:rFonts w:hAnsi="SimSun"/>
                <w:sz w:val="17"/>
                <w:szCs w:val="17"/>
              </w:rPr>
              <w:t>%</w:t>
            </w:r>
          </w:p>
        </w:tc>
        <w:tc>
          <w:tcPr>
            <w:tcW w:w="590" w:type="dxa"/>
            <w:gridSpan w:val="2"/>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546"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685"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5%</w:t>
            </w:r>
          </w:p>
        </w:tc>
        <w:tc>
          <w:tcPr>
            <w:tcW w:w="630" w:type="dxa"/>
            <w:gridSpan w:val="2"/>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504"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686"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3%</w:t>
            </w:r>
          </w:p>
        </w:tc>
        <w:tc>
          <w:tcPr>
            <w:tcW w:w="630" w:type="dxa"/>
            <w:gridSpan w:val="2"/>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532"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664"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4%</w:t>
            </w:r>
          </w:p>
        </w:tc>
      </w:tr>
      <w:tr w:rsidR="0080267F" w:rsidRPr="0029048A" w:rsidTr="0023041C">
        <w:tblPrEx>
          <w:tblCellMar>
            <w:top w:w="0" w:type="dxa"/>
            <w:bottom w:w="0" w:type="dxa"/>
          </w:tblCellMar>
        </w:tblPrEx>
        <w:tc>
          <w:tcPr>
            <w:tcW w:w="614"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rPr>
                <w:rFonts w:hAnsi="SimSun"/>
                <w:sz w:val="17"/>
                <w:szCs w:val="17"/>
              </w:rPr>
            </w:pPr>
            <w:r w:rsidRPr="0029048A">
              <w:rPr>
                <w:rFonts w:hAnsi="SimSun" w:hint="eastAsia"/>
                <w:noProof/>
                <w:sz w:val="17"/>
                <w:szCs w:val="17"/>
              </w:rPr>
              <w:t>初中</w:t>
            </w:r>
          </w:p>
        </w:tc>
        <w:tc>
          <w:tcPr>
            <w:tcW w:w="587"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605"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767"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591" w:type="dxa"/>
            <w:gridSpan w:val="2"/>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156</w:t>
            </w:r>
          </w:p>
        </w:tc>
        <w:tc>
          <w:tcPr>
            <w:tcW w:w="518"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272</w:t>
            </w:r>
          </w:p>
        </w:tc>
        <w:tc>
          <w:tcPr>
            <w:tcW w:w="712" w:type="dxa"/>
            <w:gridSpan w:val="2"/>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428</w:t>
            </w:r>
          </w:p>
        </w:tc>
        <w:tc>
          <w:tcPr>
            <w:tcW w:w="590" w:type="dxa"/>
            <w:gridSpan w:val="2"/>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138</w:t>
            </w:r>
          </w:p>
        </w:tc>
        <w:tc>
          <w:tcPr>
            <w:tcW w:w="546"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270</w:t>
            </w:r>
          </w:p>
        </w:tc>
        <w:tc>
          <w:tcPr>
            <w:tcW w:w="685"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 xml:space="preserve">408 </w:t>
            </w:r>
          </w:p>
        </w:tc>
        <w:tc>
          <w:tcPr>
            <w:tcW w:w="630" w:type="dxa"/>
            <w:gridSpan w:val="2"/>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182</w:t>
            </w:r>
          </w:p>
        </w:tc>
        <w:tc>
          <w:tcPr>
            <w:tcW w:w="504"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301</w:t>
            </w:r>
          </w:p>
        </w:tc>
        <w:tc>
          <w:tcPr>
            <w:tcW w:w="686"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29048A">
              <w:rPr>
                <w:rFonts w:hAnsi="SimSun"/>
                <w:sz w:val="17"/>
                <w:szCs w:val="17"/>
              </w:rPr>
              <w:t>483</w:t>
            </w:r>
          </w:p>
        </w:tc>
        <w:tc>
          <w:tcPr>
            <w:tcW w:w="630" w:type="dxa"/>
            <w:gridSpan w:val="2"/>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183</w:t>
            </w:r>
          </w:p>
        </w:tc>
        <w:tc>
          <w:tcPr>
            <w:tcW w:w="532"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310</w:t>
            </w:r>
          </w:p>
        </w:tc>
        <w:tc>
          <w:tcPr>
            <w:tcW w:w="664"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29048A">
              <w:rPr>
                <w:rFonts w:hAnsi="SimSun"/>
                <w:sz w:val="17"/>
                <w:szCs w:val="17"/>
              </w:rPr>
              <w:t>493</w:t>
            </w:r>
          </w:p>
        </w:tc>
      </w:tr>
      <w:tr w:rsidR="0080267F" w:rsidRPr="0029048A" w:rsidTr="0023041C">
        <w:tblPrEx>
          <w:tblCellMar>
            <w:top w:w="0" w:type="dxa"/>
            <w:bottom w:w="0" w:type="dxa"/>
          </w:tblCellMar>
        </w:tblPrEx>
        <w:tc>
          <w:tcPr>
            <w:tcW w:w="614"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rPr>
                <w:rFonts w:hAnsi="SimSun" w:hint="eastAsia"/>
                <w:b/>
                <w:noProof/>
                <w:sz w:val="17"/>
                <w:szCs w:val="17"/>
              </w:rPr>
            </w:pPr>
          </w:p>
        </w:tc>
        <w:tc>
          <w:tcPr>
            <w:tcW w:w="587"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605"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767"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591" w:type="dxa"/>
            <w:gridSpan w:val="2"/>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518"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712" w:type="dxa"/>
            <w:gridSpan w:val="2"/>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2%</w:t>
            </w:r>
          </w:p>
        </w:tc>
        <w:tc>
          <w:tcPr>
            <w:tcW w:w="590" w:type="dxa"/>
            <w:gridSpan w:val="2"/>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546"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685"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2%</w:t>
            </w:r>
          </w:p>
        </w:tc>
        <w:tc>
          <w:tcPr>
            <w:tcW w:w="630" w:type="dxa"/>
            <w:gridSpan w:val="2"/>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504"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686"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2%</w:t>
            </w:r>
          </w:p>
        </w:tc>
        <w:tc>
          <w:tcPr>
            <w:tcW w:w="630" w:type="dxa"/>
            <w:gridSpan w:val="2"/>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532"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664"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2%</w:t>
            </w:r>
          </w:p>
        </w:tc>
      </w:tr>
      <w:tr w:rsidR="0080267F" w:rsidRPr="0029048A" w:rsidTr="0023041C">
        <w:tblPrEx>
          <w:tblCellMar>
            <w:top w:w="0" w:type="dxa"/>
            <w:bottom w:w="0" w:type="dxa"/>
          </w:tblCellMar>
        </w:tblPrEx>
        <w:tc>
          <w:tcPr>
            <w:tcW w:w="614"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rPr>
                <w:rFonts w:hAnsi="SimSun"/>
                <w:sz w:val="17"/>
                <w:szCs w:val="17"/>
              </w:rPr>
            </w:pPr>
            <w:r w:rsidRPr="0029048A">
              <w:rPr>
                <w:rFonts w:hAnsi="SimSun" w:hint="eastAsia"/>
                <w:noProof/>
                <w:sz w:val="17"/>
                <w:szCs w:val="17"/>
              </w:rPr>
              <w:t>高中</w:t>
            </w:r>
          </w:p>
        </w:tc>
        <w:tc>
          <w:tcPr>
            <w:tcW w:w="587"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74</w:t>
            </w:r>
          </w:p>
        </w:tc>
        <w:tc>
          <w:tcPr>
            <w:tcW w:w="605"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200</w:t>
            </w:r>
          </w:p>
        </w:tc>
        <w:tc>
          <w:tcPr>
            <w:tcW w:w="767"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 xml:space="preserve">274 </w:t>
            </w:r>
          </w:p>
        </w:tc>
        <w:tc>
          <w:tcPr>
            <w:tcW w:w="591" w:type="dxa"/>
            <w:gridSpan w:val="2"/>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45</w:t>
            </w:r>
          </w:p>
        </w:tc>
        <w:tc>
          <w:tcPr>
            <w:tcW w:w="518"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144</w:t>
            </w:r>
          </w:p>
        </w:tc>
        <w:tc>
          <w:tcPr>
            <w:tcW w:w="712" w:type="dxa"/>
            <w:gridSpan w:val="2"/>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189</w:t>
            </w:r>
          </w:p>
        </w:tc>
        <w:tc>
          <w:tcPr>
            <w:tcW w:w="590" w:type="dxa"/>
            <w:gridSpan w:val="2"/>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34</w:t>
            </w:r>
          </w:p>
        </w:tc>
        <w:tc>
          <w:tcPr>
            <w:tcW w:w="546"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61</w:t>
            </w:r>
          </w:p>
        </w:tc>
        <w:tc>
          <w:tcPr>
            <w:tcW w:w="685"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29048A">
              <w:rPr>
                <w:rFonts w:hAnsi="SimSun"/>
                <w:sz w:val="17"/>
                <w:szCs w:val="17"/>
              </w:rPr>
              <w:t>95</w:t>
            </w:r>
          </w:p>
        </w:tc>
        <w:tc>
          <w:tcPr>
            <w:tcW w:w="630" w:type="dxa"/>
            <w:gridSpan w:val="2"/>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100</w:t>
            </w:r>
          </w:p>
        </w:tc>
        <w:tc>
          <w:tcPr>
            <w:tcW w:w="504"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90</w:t>
            </w:r>
          </w:p>
        </w:tc>
        <w:tc>
          <w:tcPr>
            <w:tcW w:w="686"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29048A">
              <w:rPr>
                <w:rFonts w:hAnsi="SimSun"/>
                <w:sz w:val="17"/>
                <w:szCs w:val="17"/>
              </w:rPr>
              <w:t>190</w:t>
            </w:r>
          </w:p>
        </w:tc>
        <w:tc>
          <w:tcPr>
            <w:tcW w:w="630" w:type="dxa"/>
            <w:gridSpan w:val="2"/>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95</w:t>
            </w:r>
          </w:p>
        </w:tc>
        <w:tc>
          <w:tcPr>
            <w:tcW w:w="532"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146</w:t>
            </w:r>
          </w:p>
        </w:tc>
        <w:tc>
          <w:tcPr>
            <w:tcW w:w="664" w:type="dxa"/>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29048A">
              <w:rPr>
                <w:rFonts w:hAnsi="SimSun"/>
                <w:sz w:val="17"/>
                <w:szCs w:val="17"/>
              </w:rPr>
              <w:t>241</w:t>
            </w:r>
          </w:p>
        </w:tc>
      </w:tr>
      <w:tr w:rsidR="0080267F" w:rsidRPr="0029048A" w:rsidTr="0023041C">
        <w:tblPrEx>
          <w:tblCellMar>
            <w:top w:w="0" w:type="dxa"/>
            <w:bottom w:w="0" w:type="dxa"/>
          </w:tblCellMar>
        </w:tblPrEx>
        <w:tc>
          <w:tcPr>
            <w:tcW w:w="614" w:type="dxa"/>
            <w:tcBorders>
              <w:bottom w:val="single" w:sz="12" w:space="0" w:color="auto"/>
            </w:tcBorders>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rPr>
                <w:rFonts w:hAnsi="SimSun" w:hint="eastAsia"/>
                <w:b/>
                <w:noProof/>
                <w:sz w:val="17"/>
                <w:szCs w:val="17"/>
              </w:rPr>
            </w:pPr>
          </w:p>
        </w:tc>
        <w:tc>
          <w:tcPr>
            <w:tcW w:w="587" w:type="dxa"/>
            <w:tcBorders>
              <w:bottom w:val="single" w:sz="12" w:space="0" w:color="auto"/>
            </w:tcBorders>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605" w:type="dxa"/>
            <w:tcBorders>
              <w:bottom w:val="single" w:sz="12" w:space="0" w:color="auto"/>
            </w:tcBorders>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767" w:type="dxa"/>
            <w:tcBorders>
              <w:bottom w:val="single" w:sz="12" w:space="0" w:color="auto"/>
            </w:tcBorders>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3%</w:t>
            </w:r>
          </w:p>
        </w:tc>
        <w:tc>
          <w:tcPr>
            <w:tcW w:w="591" w:type="dxa"/>
            <w:gridSpan w:val="2"/>
            <w:tcBorders>
              <w:bottom w:val="single" w:sz="12" w:space="0" w:color="auto"/>
            </w:tcBorders>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518" w:type="dxa"/>
            <w:tcBorders>
              <w:bottom w:val="single" w:sz="12" w:space="0" w:color="auto"/>
            </w:tcBorders>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712" w:type="dxa"/>
            <w:gridSpan w:val="2"/>
            <w:tcBorders>
              <w:bottom w:val="single" w:sz="12" w:space="0" w:color="auto"/>
            </w:tcBorders>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2%</w:t>
            </w:r>
          </w:p>
        </w:tc>
        <w:tc>
          <w:tcPr>
            <w:tcW w:w="590" w:type="dxa"/>
            <w:gridSpan w:val="2"/>
            <w:tcBorders>
              <w:bottom w:val="single" w:sz="12" w:space="0" w:color="auto"/>
            </w:tcBorders>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546" w:type="dxa"/>
            <w:tcBorders>
              <w:bottom w:val="single" w:sz="12" w:space="0" w:color="auto"/>
            </w:tcBorders>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685" w:type="dxa"/>
            <w:tcBorders>
              <w:bottom w:val="single" w:sz="12" w:space="0" w:color="auto"/>
            </w:tcBorders>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1%</w:t>
            </w:r>
          </w:p>
        </w:tc>
        <w:tc>
          <w:tcPr>
            <w:tcW w:w="630" w:type="dxa"/>
            <w:gridSpan w:val="2"/>
            <w:tcBorders>
              <w:bottom w:val="single" w:sz="12" w:space="0" w:color="auto"/>
            </w:tcBorders>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504" w:type="dxa"/>
            <w:tcBorders>
              <w:bottom w:val="single" w:sz="12" w:space="0" w:color="auto"/>
            </w:tcBorders>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686" w:type="dxa"/>
            <w:tcBorders>
              <w:bottom w:val="single" w:sz="12" w:space="0" w:color="auto"/>
            </w:tcBorders>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1%</w:t>
            </w:r>
          </w:p>
        </w:tc>
        <w:tc>
          <w:tcPr>
            <w:tcW w:w="630" w:type="dxa"/>
            <w:gridSpan w:val="2"/>
            <w:tcBorders>
              <w:bottom w:val="single" w:sz="12" w:space="0" w:color="auto"/>
            </w:tcBorders>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532" w:type="dxa"/>
            <w:tcBorders>
              <w:bottom w:val="single" w:sz="12" w:space="0" w:color="auto"/>
            </w:tcBorders>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664" w:type="dxa"/>
            <w:tcBorders>
              <w:bottom w:val="single" w:sz="12" w:space="0" w:color="auto"/>
            </w:tcBorders>
            <w:shd w:val="clear" w:color="auto" w:fill="auto"/>
            <w:vAlign w:val="bottom"/>
          </w:tcPr>
          <w:p w:rsidR="0080267F" w:rsidRPr="0029048A"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29048A">
              <w:rPr>
                <w:rFonts w:hAnsi="SimSun"/>
                <w:sz w:val="17"/>
                <w:szCs w:val="17"/>
              </w:rPr>
              <w:t>2%</w:t>
            </w:r>
          </w:p>
        </w:tc>
      </w:tr>
    </w:tbl>
    <w:p w:rsidR="0023041C" w:rsidRPr="0023041C" w:rsidRDefault="0023041C" w:rsidP="002304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4" w:right="1259" w:hanging="1264"/>
        <w:rPr>
          <w:sz w:val="10"/>
        </w:rPr>
      </w:pPr>
    </w:p>
    <w:p w:rsidR="0080267F" w:rsidRPr="006C14AA" w:rsidRDefault="0080267F" w:rsidP="002304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sidRPr="006C14AA">
        <w:rPr>
          <w:rFonts w:hint="eastAsia"/>
        </w:rPr>
        <w:tab/>
      </w:r>
      <w:r w:rsidRPr="006C14AA">
        <w:rPr>
          <w:rFonts w:hint="eastAsia"/>
        </w:rPr>
        <w:tab/>
        <w:t>小学六年级升入中学一年级的升学率＝次年进入中学一年级的小学六年级在校生的比例(2005年教育统计文摘)</w:t>
      </w:r>
    </w:p>
    <w:tbl>
      <w:tblPr>
        <w:tblW w:w="0" w:type="auto"/>
        <w:tblInd w:w="1260" w:type="dxa"/>
        <w:tblLayout w:type="fixed"/>
        <w:tblCellMar>
          <w:left w:w="0" w:type="dxa"/>
          <w:right w:w="0" w:type="dxa"/>
        </w:tblCellMar>
        <w:tblLook w:val="0000"/>
      </w:tblPr>
      <w:tblGrid>
        <w:gridCol w:w="2440"/>
        <w:gridCol w:w="2440"/>
        <w:gridCol w:w="2440"/>
      </w:tblGrid>
      <w:tr w:rsidR="0080267F" w:rsidRPr="006C14AA" w:rsidTr="0023041C">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80267F" w:rsidRPr="006C14AA" w:rsidRDefault="0080267F" w:rsidP="0023041C">
            <w:pPr>
              <w:suppressAutoHyphens/>
              <w:autoSpaceDE w:val="0"/>
              <w:autoSpaceDN w:val="0"/>
              <w:adjustRightInd w:val="0"/>
              <w:spacing w:before="60" w:after="60" w:line="200" w:lineRule="exact"/>
              <w:ind w:right="57"/>
              <w:rPr>
                <w:rFonts w:ascii="KaiTi_GB2312" w:eastAsia="KaiTi_GB2312" w:hAnsi="STZhongsong"/>
                <w:sz w:val="15"/>
              </w:rPr>
            </w:pPr>
          </w:p>
        </w:tc>
        <w:tc>
          <w:tcPr>
            <w:tcW w:w="2440" w:type="dxa"/>
            <w:tcBorders>
              <w:top w:val="single" w:sz="4" w:space="0" w:color="auto"/>
              <w:bottom w:val="single" w:sz="12" w:space="0" w:color="auto"/>
            </w:tcBorders>
            <w:shd w:val="clear" w:color="auto" w:fill="auto"/>
            <w:vAlign w:val="bottom"/>
          </w:tcPr>
          <w:p w:rsidR="0080267F" w:rsidRPr="006C14AA" w:rsidRDefault="0080267F" w:rsidP="0023041C">
            <w:pPr>
              <w:suppressAutoHyphens/>
              <w:spacing w:before="60" w:after="60" w:line="200" w:lineRule="exact"/>
              <w:ind w:right="57"/>
              <w:jc w:val="right"/>
              <w:rPr>
                <w:rFonts w:ascii="KaiTi_GB2312" w:eastAsia="KaiTi_GB2312" w:hAnsi="STZhongsong" w:hint="eastAsia"/>
                <w:sz w:val="15"/>
              </w:rPr>
            </w:pPr>
            <w:r w:rsidRPr="006C14AA">
              <w:rPr>
                <w:rFonts w:ascii="KaiTi_GB2312" w:eastAsia="KaiTi_GB2312" w:hAnsi="STZhongsong"/>
                <w:sz w:val="15"/>
              </w:rPr>
              <w:t>2003&gt;2004</w:t>
            </w:r>
            <w:r w:rsidRPr="006C14AA">
              <w:rPr>
                <w:rFonts w:ascii="KaiTi_GB2312" w:eastAsia="KaiTi_GB2312" w:hAnsi="STZhongsong" w:hint="eastAsia"/>
                <w:sz w:val="15"/>
              </w:rPr>
              <w:t>年</w:t>
            </w:r>
          </w:p>
        </w:tc>
        <w:tc>
          <w:tcPr>
            <w:tcW w:w="2440" w:type="dxa"/>
            <w:tcBorders>
              <w:top w:val="single" w:sz="4" w:space="0" w:color="auto"/>
              <w:bottom w:val="single" w:sz="12" w:space="0" w:color="auto"/>
            </w:tcBorders>
            <w:shd w:val="clear" w:color="auto" w:fill="auto"/>
            <w:vAlign w:val="bottom"/>
          </w:tcPr>
          <w:p w:rsidR="0080267F" w:rsidRPr="006C14AA" w:rsidRDefault="0080267F" w:rsidP="0023041C">
            <w:pPr>
              <w:suppressAutoHyphens/>
              <w:spacing w:before="60" w:after="60" w:line="200" w:lineRule="exact"/>
              <w:ind w:right="57"/>
              <w:jc w:val="right"/>
              <w:rPr>
                <w:rFonts w:ascii="KaiTi_GB2312" w:eastAsia="KaiTi_GB2312" w:hAnsi="STZhongsong" w:hint="eastAsia"/>
                <w:sz w:val="15"/>
              </w:rPr>
            </w:pPr>
            <w:r w:rsidRPr="006C14AA">
              <w:rPr>
                <w:rFonts w:ascii="KaiTi_GB2312" w:eastAsia="KaiTi_GB2312" w:hAnsi="STZhongsong"/>
                <w:sz w:val="15"/>
              </w:rPr>
              <w:t>2004&gt;2005</w:t>
            </w:r>
            <w:r w:rsidRPr="006C14AA">
              <w:rPr>
                <w:rFonts w:ascii="KaiTi_GB2312" w:eastAsia="KaiTi_GB2312" w:hAnsi="STZhongsong" w:hint="eastAsia"/>
                <w:sz w:val="15"/>
              </w:rPr>
              <w:t>年</w:t>
            </w:r>
          </w:p>
        </w:tc>
      </w:tr>
      <w:tr w:rsidR="0080267F" w:rsidRPr="006C14AA" w:rsidTr="0023041C">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80267F" w:rsidRPr="006C14AA" w:rsidRDefault="0080267F" w:rsidP="0023041C">
            <w:pPr>
              <w:suppressAutoHyphens/>
              <w:autoSpaceDE w:val="0"/>
              <w:autoSpaceDN w:val="0"/>
              <w:adjustRightInd w:val="0"/>
              <w:spacing w:after="60" w:line="280" w:lineRule="exact"/>
              <w:ind w:right="57"/>
              <w:rPr>
                <w:rFonts w:ascii="STZhongsong" w:hAnsi="STZhongsong" w:hint="eastAsia"/>
                <w:b/>
                <w:noProof/>
                <w:sz w:val="17"/>
              </w:rPr>
            </w:pPr>
          </w:p>
        </w:tc>
        <w:tc>
          <w:tcPr>
            <w:tcW w:w="2440" w:type="dxa"/>
            <w:tcBorders>
              <w:top w:val="single" w:sz="12" w:space="0" w:color="auto"/>
            </w:tcBorders>
            <w:shd w:val="clear" w:color="auto" w:fill="auto"/>
            <w:vAlign w:val="bottom"/>
          </w:tcPr>
          <w:p w:rsidR="0080267F" w:rsidRPr="006C14AA" w:rsidRDefault="0080267F" w:rsidP="0023041C">
            <w:pPr>
              <w:suppressAutoHyphens/>
              <w:spacing w:after="60" w:line="280" w:lineRule="exact"/>
              <w:ind w:right="57"/>
              <w:jc w:val="right"/>
              <w:rPr>
                <w:sz w:val="17"/>
                <w:szCs w:val="24"/>
              </w:rPr>
            </w:pPr>
          </w:p>
        </w:tc>
        <w:tc>
          <w:tcPr>
            <w:tcW w:w="2440" w:type="dxa"/>
            <w:tcBorders>
              <w:top w:val="single" w:sz="12" w:space="0" w:color="auto"/>
            </w:tcBorders>
            <w:shd w:val="clear" w:color="auto" w:fill="auto"/>
            <w:vAlign w:val="bottom"/>
          </w:tcPr>
          <w:p w:rsidR="0080267F" w:rsidRPr="006C14AA" w:rsidRDefault="0080267F" w:rsidP="0023041C">
            <w:pPr>
              <w:suppressAutoHyphens/>
              <w:spacing w:after="60" w:line="280" w:lineRule="exact"/>
              <w:ind w:right="57"/>
              <w:jc w:val="right"/>
              <w:rPr>
                <w:sz w:val="17"/>
                <w:szCs w:val="24"/>
              </w:rPr>
            </w:pPr>
          </w:p>
        </w:tc>
      </w:tr>
      <w:tr w:rsidR="0080267F" w:rsidRPr="006C14AA" w:rsidTr="0023041C">
        <w:tblPrEx>
          <w:tblCellMar>
            <w:top w:w="0" w:type="dxa"/>
            <w:bottom w:w="0" w:type="dxa"/>
          </w:tblCellMar>
        </w:tblPrEx>
        <w:tc>
          <w:tcPr>
            <w:tcW w:w="2440" w:type="dxa"/>
            <w:shd w:val="clear" w:color="auto" w:fill="auto"/>
            <w:vAlign w:val="bottom"/>
          </w:tcPr>
          <w:p w:rsidR="0080267F" w:rsidRPr="007141B3" w:rsidRDefault="0080267F" w:rsidP="0023041C">
            <w:pPr>
              <w:tabs>
                <w:tab w:val="left" w:pos="334"/>
                <w:tab w:val="left" w:pos="669"/>
                <w:tab w:val="left" w:pos="1003"/>
                <w:tab w:val="left" w:pos="1338"/>
              </w:tabs>
              <w:suppressAutoHyphens/>
              <w:spacing w:after="60" w:line="280" w:lineRule="exact"/>
              <w:ind w:right="57"/>
              <w:rPr>
                <w:rFonts w:ascii="STZhongsong" w:hAnsi="STZhongsong"/>
                <w:noProof/>
                <w:sz w:val="17"/>
              </w:rPr>
            </w:pPr>
            <w:r w:rsidRPr="007141B3">
              <w:rPr>
                <w:rFonts w:ascii="STZhongsong" w:hAnsi="STZhongsong" w:hint="eastAsia"/>
                <w:noProof/>
                <w:sz w:val="17"/>
              </w:rPr>
              <w:t>男</w:t>
            </w:r>
          </w:p>
        </w:tc>
        <w:tc>
          <w:tcPr>
            <w:tcW w:w="2440"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0.85</w:t>
            </w:r>
          </w:p>
        </w:tc>
        <w:tc>
          <w:tcPr>
            <w:tcW w:w="2440"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0.86</w:t>
            </w:r>
          </w:p>
        </w:tc>
      </w:tr>
      <w:tr w:rsidR="0080267F" w:rsidRPr="006C14AA" w:rsidTr="0023041C">
        <w:tblPrEx>
          <w:tblCellMar>
            <w:top w:w="0" w:type="dxa"/>
            <w:bottom w:w="0" w:type="dxa"/>
          </w:tblCellMar>
        </w:tblPrEx>
        <w:tc>
          <w:tcPr>
            <w:tcW w:w="2440" w:type="dxa"/>
            <w:shd w:val="clear" w:color="auto" w:fill="auto"/>
            <w:vAlign w:val="bottom"/>
          </w:tcPr>
          <w:p w:rsidR="0080267F" w:rsidRPr="006C14AA" w:rsidRDefault="0080267F" w:rsidP="0023041C">
            <w:pPr>
              <w:tabs>
                <w:tab w:val="left" w:pos="334"/>
                <w:tab w:val="left" w:pos="669"/>
                <w:tab w:val="left" w:pos="1003"/>
                <w:tab w:val="left" w:pos="1338"/>
              </w:tabs>
              <w:suppressAutoHyphens/>
              <w:spacing w:after="60" w:line="280" w:lineRule="exact"/>
              <w:ind w:right="57"/>
              <w:rPr>
                <w:rFonts w:ascii="STZhongsong" w:hAnsi="STZhongsong"/>
                <w:sz w:val="17"/>
              </w:rPr>
            </w:pPr>
            <w:r w:rsidRPr="006C14AA">
              <w:rPr>
                <w:rFonts w:ascii="STZhongsong" w:hAnsi="STZhongsong" w:hint="eastAsia"/>
                <w:noProof/>
                <w:sz w:val="17"/>
              </w:rPr>
              <w:t>女</w:t>
            </w:r>
          </w:p>
        </w:tc>
        <w:tc>
          <w:tcPr>
            <w:tcW w:w="2440"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0.85</w:t>
            </w:r>
          </w:p>
        </w:tc>
        <w:tc>
          <w:tcPr>
            <w:tcW w:w="2440"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0.88</w:t>
            </w:r>
          </w:p>
        </w:tc>
      </w:tr>
      <w:tr w:rsidR="0023041C" w:rsidRPr="0023041C" w:rsidTr="0023041C">
        <w:tblPrEx>
          <w:tblCellMar>
            <w:top w:w="0" w:type="dxa"/>
            <w:bottom w:w="0" w:type="dxa"/>
          </w:tblCellMar>
        </w:tblPrEx>
        <w:tc>
          <w:tcPr>
            <w:tcW w:w="2440" w:type="dxa"/>
            <w:shd w:val="clear" w:color="auto" w:fill="auto"/>
            <w:vAlign w:val="bottom"/>
          </w:tcPr>
          <w:p w:rsidR="0023041C" w:rsidRPr="0023041C" w:rsidRDefault="0023041C" w:rsidP="0023041C">
            <w:pPr>
              <w:tabs>
                <w:tab w:val="left" w:pos="334"/>
                <w:tab w:val="left" w:pos="669"/>
                <w:tab w:val="left" w:pos="1003"/>
                <w:tab w:val="left" w:pos="1338"/>
              </w:tabs>
              <w:suppressAutoHyphens/>
              <w:spacing w:after="80" w:line="280" w:lineRule="exact"/>
              <w:ind w:right="57"/>
              <w:rPr>
                <w:rFonts w:hAnsi="SimSun"/>
                <w:sz w:val="17"/>
              </w:rPr>
            </w:pPr>
            <w:r w:rsidRPr="0023041C">
              <w:rPr>
                <w:rFonts w:hAnsi="SimSun" w:hint="eastAsia"/>
                <w:noProof/>
                <w:sz w:val="17"/>
              </w:rPr>
              <w:t>共计</w:t>
            </w:r>
          </w:p>
        </w:tc>
        <w:tc>
          <w:tcPr>
            <w:tcW w:w="2440" w:type="dxa"/>
            <w:shd w:val="clear" w:color="auto" w:fill="auto"/>
            <w:vAlign w:val="bottom"/>
          </w:tcPr>
          <w:p w:rsidR="0023041C" w:rsidRPr="0023041C" w:rsidRDefault="0023041C" w:rsidP="0023041C">
            <w:pPr>
              <w:tabs>
                <w:tab w:val="left" w:pos="334"/>
                <w:tab w:val="left" w:pos="669"/>
                <w:tab w:val="left" w:pos="1003"/>
                <w:tab w:val="left" w:pos="1338"/>
              </w:tabs>
              <w:suppressAutoHyphens/>
              <w:spacing w:after="80" w:line="280" w:lineRule="exact"/>
              <w:ind w:right="57"/>
              <w:jc w:val="right"/>
              <w:rPr>
                <w:rFonts w:hAnsi="SimSun"/>
                <w:sz w:val="17"/>
                <w:szCs w:val="17"/>
              </w:rPr>
            </w:pPr>
            <w:r w:rsidRPr="0023041C">
              <w:rPr>
                <w:rFonts w:hAnsi="SimSun"/>
                <w:sz w:val="17"/>
                <w:szCs w:val="17"/>
              </w:rPr>
              <w:t>0.85</w:t>
            </w:r>
          </w:p>
        </w:tc>
        <w:tc>
          <w:tcPr>
            <w:tcW w:w="2440" w:type="dxa"/>
            <w:shd w:val="clear" w:color="auto" w:fill="auto"/>
            <w:vAlign w:val="bottom"/>
          </w:tcPr>
          <w:p w:rsidR="0023041C" w:rsidRPr="0023041C" w:rsidRDefault="0023041C" w:rsidP="0023041C">
            <w:pPr>
              <w:tabs>
                <w:tab w:val="left" w:pos="334"/>
                <w:tab w:val="left" w:pos="669"/>
                <w:tab w:val="left" w:pos="1003"/>
                <w:tab w:val="left" w:pos="1338"/>
              </w:tabs>
              <w:suppressAutoHyphens/>
              <w:spacing w:after="80" w:line="280" w:lineRule="exact"/>
              <w:ind w:right="57"/>
              <w:jc w:val="right"/>
              <w:rPr>
                <w:rFonts w:hAnsi="SimSun"/>
                <w:sz w:val="17"/>
                <w:szCs w:val="17"/>
              </w:rPr>
            </w:pPr>
            <w:r w:rsidRPr="0023041C">
              <w:rPr>
                <w:rFonts w:hAnsi="SimSun"/>
                <w:sz w:val="17"/>
                <w:szCs w:val="17"/>
              </w:rPr>
              <w:t>0.87</w:t>
            </w:r>
          </w:p>
        </w:tc>
      </w:tr>
      <w:tr w:rsidR="0023041C" w:rsidRPr="006C14AA" w:rsidTr="0023041C">
        <w:tblPrEx>
          <w:tblCellMar>
            <w:top w:w="0" w:type="dxa"/>
            <w:bottom w:w="0" w:type="dxa"/>
          </w:tblCellMar>
        </w:tblPrEx>
        <w:tc>
          <w:tcPr>
            <w:tcW w:w="2440" w:type="dxa"/>
            <w:tcBorders>
              <w:bottom w:val="single" w:sz="12" w:space="0" w:color="auto"/>
            </w:tcBorders>
            <w:shd w:val="clear" w:color="auto" w:fill="auto"/>
            <w:vAlign w:val="bottom"/>
          </w:tcPr>
          <w:p w:rsidR="0023041C" w:rsidRPr="006C14AA" w:rsidRDefault="0023041C" w:rsidP="0023041C">
            <w:pPr>
              <w:tabs>
                <w:tab w:val="left" w:pos="334"/>
                <w:tab w:val="left" w:pos="669"/>
                <w:tab w:val="left" w:pos="1003"/>
                <w:tab w:val="left" w:pos="1338"/>
              </w:tabs>
              <w:suppressAutoHyphens/>
              <w:spacing w:after="60" w:line="280" w:lineRule="exact"/>
              <w:ind w:right="57"/>
              <w:rPr>
                <w:rFonts w:ascii="STZhongsong" w:hAnsi="STZhongsong"/>
                <w:sz w:val="17"/>
              </w:rPr>
            </w:pPr>
            <w:r w:rsidRPr="006C14AA">
              <w:rPr>
                <w:rFonts w:ascii="STZhongsong" w:hAnsi="STZhongsong" w:hint="eastAsia"/>
                <w:noProof/>
                <w:sz w:val="17"/>
              </w:rPr>
              <w:t>性别平等指数</w:t>
            </w:r>
          </w:p>
        </w:tc>
        <w:tc>
          <w:tcPr>
            <w:tcW w:w="2440" w:type="dxa"/>
            <w:tcBorders>
              <w:bottom w:val="single" w:sz="12" w:space="0" w:color="auto"/>
            </w:tcBorders>
            <w:shd w:val="clear" w:color="auto" w:fill="auto"/>
            <w:vAlign w:val="bottom"/>
          </w:tcPr>
          <w:p w:rsidR="0023041C" w:rsidRPr="001206AF" w:rsidRDefault="0023041C"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1.01</w:t>
            </w:r>
          </w:p>
        </w:tc>
        <w:tc>
          <w:tcPr>
            <w:tcW w:w="2440" w:type="dxa"/>
            <w:tcBorders>
              <w:bottom w:val="single" w:sz="12" w:space="0" w:color="auto"/>
            </w:tcBorders>
            <w:shd w:val="clear" w:color="auto" w:fill="auto"/>
            <w:vAlign w:val="bottom"/>
          </w:tcPr>
          <w:p w:rsidR="0023041C" w:rsidRPr="001206AF" w:rsidRDefault="0023041C"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1.02</w:t>
            </w:r>
          </w:p>
        </w:tc>
      </w:tr>
    </w:tbl>
    <w:p w:rsidR="0080267F" w:rsidRPr="006C14AA" w:rsidRDefault="0080267F" w:rsidP="002304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80267F" w:rsidRDefault="0080267F" w:rsidP="002304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pPr>
      <w:r w:rsidRPr="006C14AA">
        <w:rPr>
          <w:rFonts w:hint="eastAsia"/>
        </w:rPr>
        <w:tab/>
      </w:r>
      <w:r w:rsidRPr="006C14AA">
        <w:rPr>
          <w:rFonts w:hint="eastAsia"/>
        </w:rPr>
        <w:tab/>
        <w:t>2007</w:t>
      </w:r>
      <w:r>
        <w:t>-</w:t>
      </w:r>
      <w:r w:rsidRPr="006C14AA">
        <w:rPr>
          <w:rFonts w:hint="eastAsia"/>
        </w:rPr>
        <w:t>2009年小学六年级升入中学一年级的升学率(所罗门群岛中学入学考试)(2007-2009年业绩评估框架)</w:t>
      </w:r>
    </w:p>
    <w:tbl>
      <w:tblPr>
        <w:tblW w:w="0" w:type="auto"/>
        <w:tblInd w:w="1260" w:type="dxa"/>
        <w:tblLayout w:type="fixed"/>
        <w:tblCellMar>
          <w:left w:w="0" w:type="dxa"/>
          <w:right w:w="0" w:type="dxa"/>
        </w:tblCellMar>
        <w:tblLook w:val="0000"/>
      </w:tblPr>
      <w:tblGrid>
        <w:gridCol w:w="294"/>
        <w:gridCol w:w="868"/>
        <w:gridCol w:w="840"/>
        <w:gridCol w:w="546"/>
        <w:gridCol w:w="84"/>
        <w:gridCol w:w="882"/>
        <w:gridCol w:w="840"/>
        <w:gridCol w:w="587"/>
        <w:gridCol w:w="98"/>
        <w:gridCol w:w="882"/>
        <w:gridCol w:w="840"/>
        <w:gridCol w:w="557"/>
      </w:tblGrid>
      <w:tr w:rsidR="0080267F" w:rsidRPr="005E4368" w:rsidTr="0023041C">
        <w:tblPrEx>
          <w:tblCellMar>
            <w:top w:w="0" w:type="dxa"/>
            <w:bottom w:w="0" w:type="dxa"/>
          </w:tblCellMar>
        </w:tblPrEx>
        <w:trPr>
          <w:tblHeader/>
        </w:trPr>
        <w:tc>
          <w:tcPr>
            <w:tcW w:w="294" w:type="dxa"/>
            <w:tcBorders>
              <w:top w:val="single" w:sz="4" w:space="0" w:color="auto"/>
            </w:tcBorders>
            <w:shd w:val="clear" w:color="auto" w:fill="auto"/>
            <w:vAlign w:val="bottom"/>
          </w:tcPr>
          <w:p w:rsidR="0080267F" w:rsidRPr="005E4368" w:rsidRDefault="0080267F" w:rsidP="0023041C">
            <w:pPr>
              <w:suppressAutoHyphens/>
              <w:spacing w:before="60" w:after="60" w:line="200" w:lineRule="exact"/>
              <w:ind w:right="57"/>
              <w:rPr>
                <w:rFonts w:ascii="KaiTi_GB2312" w:eastAsia="KaiTi_GB2312" w:hAnsi="STZhongsong"/>
                <w:sz w:val="15"/>
              </w:rPr>
            </w:pPr>
          </w:p>
        </w:tc>
        <w:tc>
          <w:tcPr>
            <w:tcW w:w="2254" w:type="dxa"/>
            <w:gridSpan w:val="3"/>
            <w:tcBorders>
              <w:top w:val="single" w:sz="4" w:space="0" w:color="auto"/>
              <w:bottom w:val="single" w:sz="4" w:space="0" w:color="auto"/>
            </w:tcBorders>
            <w:shd w:val="clear" w:color="auto" w:fill="auto"/>
            <w:vAlign w:val="bottom"/>
          </w:tcPr>
          <w:p w:rsidR="0080267F" w:rsidRPr="005E4368" w:rsidRDefault="0080267F" w:rsidP="0023041C">
            <w:pPr>
              <w:suppressAutoHyphens/>
              <w:spacing w:before="60" w:after="60" w:line="200" w:lineRule="exact"/>
              <w:ind w:right="57"/>
              <w:jc w:val="center"/>
              <w:rPr>
                <w:rFonts w:ascii="KaiTi_GB2312" w:eastAsia="KaiTi_GB2312" w:hAnsi="STZhongsong" w:hint="eastAsia"/>
                <w:sz w:val="15"/>
              </w:rPr>
            </w:pPr>
            <w:r w:rsidRPr="005E4368">
              <w:rPr>
                <w:rFonts w:ascii="KaiTi_GB2312" w:eastAsia="KaiTi_GB2312" w:hAnsi="STZhongsong"/>
                <w:noProof/>
                <w:sz w:val="15"/>
              </w:rPr>
              <w:t>2007</w:t>
            </w:r>
            <w:r w:rsidRPr="005E4368">
              <w:rPr>
                <w:rFonts w:ascii="KaiTi_GB2312" w:eastAsia="KaiTi_GB2312" w:hAnsi="STZhongsong" w:hint="eastAsia"/>
                <w:noProof/>
                <w:sz w:val="15"/>
              </w:rPr>
              <w:t>年</w:t>
            </w:r>
          </w:p>
        </w:tc>
        <w:tc>
          <w:tcPr>
            <w:tcW w:w="84" w:type="dxa"/>
            <w:tcBorders>
              <w:top w:val="single" w:sz="4" w:space="0" w:color="auto"/>
            </w:tcBorders>
            <w:shd w:val="clear" w:color="auto" w:fill="auto"/>
            <w:vAlign w:val="bottom"/>
          </w:tcPr>
          <w:p w:rsidR="0080267F" w:rsidRPr="005E4368" w:rsidRDefault="0080267F" w:rsidP="0023041C">
            <w:pPr>
              <w:suppressAutoHyphens/>
              <w:spacing w:before="60" w:after="60" w:line="200" w:lineRule="exact"/>
              <w:ind w:right="57"/>
              <w:jc w:val="center"/>
              <w:rPr>
                <w:rFonts w:ascii="KaiTi_GB2312" w:eastAsia="KaiTi_GB2312" w:hAnsi="STZhongsong" w:hint="eastAsia"/>
                <w:sz w:val="15"/>
              </w:rPr>
            </w:pPr>
          </w:p>
        </w:tc>
        <w:tc>
          <w:tcPr>
            <w:tcW w:w="2309" w:type="dxa"/>
            <w:gridSpan w:val="3"/>
            <w:tcBorders>
              <w:top w:val="single" w:sz="4" w:space="0" w:color="auto"/>
              <w:bottom w:val="single" w:sz="4" w:space="0" w:color="auto"/>
            </w:tcBorders>
            <w:shd w:val="clear" w:color="auto" w:fill="auto"/>
            <w:vAlign w:val="bottom"/>
          </w:tcPr>
          <w:p w:rsidR="0080267F" w:rsidRPr="005E4368" w:rsidRDefault="0080267F" w:rsidP="0023041C">
            <w:pPr>
              <w:suppressAutoHyphens/>
              <w:spacing w:before="60" w:after="60" w:line="200" w:lineRule="exact"/>
              <w:ind w:right="57"/>
              <w:jc w:val="center"/>
              <w:rPr>
                <w:rFonts w:ascii="KaiTi_GB2312" w:eastAsia="KaiTi_GB2312" w:hAnsi="STZhongsong" w:hint="eastAsia"/>
                <w:sz w:val="15"/>
              </w:rPr>
            </w:pPr>
            <w:r w:rsidRPr="005E4368">
              <w:rPr>
                <w:rFonts w:ascii="KaiTi_GB2312" w:eastAsia="KaiTi_GB2312" w:hAnsi="STZhongsong"/>
                <w:noProof/>
                <w:sz w:val="15"/>
              </w:rPr>
              <w:t>2008</w:t>
            </w:r>
            <w:r w:rsidRPr="005E4368">
              <w:rPr>
                <w:rFonts w:ascii="KaiTi_GB2312" w:eastAsia="KaiTi_GB2312" w:hAnsi="STZhongsong" w:hint="eastAsia"/>
                <w:noProof/>
                <w:sz w:val="15"/>
              </w:rPr>
              <w:t>年</w:t>
            </w:r>
          </w:p>
        </w:tc>
        <w:tc>
          <w:tcPr>
            <w:tcW w:w="98" w:type="dxa"/>
            <w:tcBorders>
              <w:top w:val="single" w:sz="4" w:space="0" w:color="auto"/>
            </w:tcBorders>
            <w:shd w:val="clear" w:color="auto" w:fill="auto"/>
            <w:vAlign w:val="bottom"/>
          </w:tcPr>
          <w:p w:rsidR="0080267F" w:rsidRPr="005E4368" w:rsidRDefault="0080267F" w:rsidP="0023041C">
            <w:pPr>
              <w:suppressAutoHyphens/>
              <w:spacing w:before="60" w:after="60" w:line="200" w:lineRule="exact"/>
              <w:ind w:right="57"/>
              <w:jc w:val="center"/>
              <w:rPr>
                <w:rFonts w:ascii="KaiTi_GB2312" w:eastAsia="KaiTi_GB2312" w:hAnsi="STZhongsong" w:hint="eastAsia"/>
                <w:sz w:val="15"/>
              </w:rPr>
            </w:pPr>
          </w:p>
        </w:tc>
        <w:tc>
          <w:tcPr>
            <w:tcW w:w="2279" w:type="dxa"/>
            <w:gridSpan w:val="3"/>
            <w:tcBorders>
              <w:top w:val="single" w:sz="4" w:space="0" w:color="auto"/>
              <w:bottom w:val="single" w:sz="4" w:space="0" w:color="auto"/>
            </w:tcBorders>
            <w:shd w:val="clear" w:color="auto" w:fill="auto"/>
            <w:vAlign w:val="bottom"/>
          </w:tcPr>
          <w:p w:rsidR="0080267F" w:rsidRPr="005E4368" w:rsidRDefault="0080267F" w:rsidP="0023041C">
            <w:pPr>
              <w:suppressAutoHyphens/>
              <w:spacing w:before="60" w:after="60" w:line="200" w:lineRule="exact"/>
              <w:ind w:right="57"/>
              <w:jc w:val="center"/>
              <w:rPr>
                <w:rFonts w:ascii="KaiTi_GB2312" w:eastAsia="KaiTi_GB2312" w:hAnsi="STZhongsong" w:hint="eastAsia"/>
                <w:sz w:val="15"/>
              </w:rPr>
            </w:pPr>
            <w:r w:rsidRPr="005E4368">
              <w:rPr>
                <w:rFonts w:ascii="KaiTi_GB2312" w:eastAsia="KaiTi_GB2312" w:hAnsi="STZhongsong"/>
                <w:noProof/>
                <w:sz w:val="15"/>
              </w:rPr>
              <w:t>2009</w:t>
            </w:r>
            <w:r w:rsidRPr="005E4368">
              <w:rPr>
                <w:rFonts w:ascii="KaiTi_GB2312" w:eastAsia="KaiTi_GB2312" w:hAnsi="STZhongsong" w:hint="eastAsia"/>
                <w:noProof/>
                <w:sz w:val="15"/>
              </w:rPr>
              <w:t>年</w:t>
            </w:r>
          </w:p>
        </w:tc>
      </w:tr>
      <w:tr w:rsidR="0080267F" w:rsidRPr="005E4368" w:rsidTr="0023041C">
        <w:tblPrEx>
          <w:tblCellMar>
            <w:top w:w="0" w:type="dxa"/>
            <w:bottom w:w="0" w:type="dxa"/>
          </w:tblCellMar>
        </w:tblPrEx>
        <w:trPr>
          <w:tblHeader/>
        </w:trPr>
        <w:tc>
          <w:tcPr>
            <w:tcW w:w="294" w:type="dxa"/>
            <w:tcBorders>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rPr>
                <w:rFonts w:ascii="KaiTi_GB2312" w:eastAsia="KaiTi_GB2312"/>
                <w:sz w:val="15"/>
              </w:rPr>
            </w:pPr>
          </w:p>
        </w:tc>
        <w:tc>
          <w:tcPr>
            <w:tcW w:w="868" w:type="dxa"/>
            <w:tcBorders>
              <w:top w:val="single" w:sz="4" w:space="0" w:color="auto"/>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jc w:val="right"/>
              <w:rPr>
                <w:rFonts w:ascii="KaiTi_GB2312" w:eastAsia="KaiTi_GB2312"/>
                <w:spacing w:val="-8"/>
                <w:sz w:val="15"/>
              </w:rPr>
            </w:pPr>
            <w:r w:rsidRPr="005E4368">
              <w:rPr>
                <w:rFonts w:ascii="KaiTi_GB2312" w:eastAsia="KaiTi_GB2312" w:hAnsi="STZhongsong" w:hint="eastAsia"/>
                <w:noProof/>
                <w:spacing w:val="-8"/>
                <w:sz w:val="15"/>
              </w:rPr>
              <w:t>在校生总人数</w:t>
            </w:r>
          </w:p>
        </w:tc>
        <w:tc>
          <w:tcPr>
            <w:tcW w:w="840" w:type="dxa"/>
            <w:tcBorders>
              <w:top w:val="single" w:sz="4" w:space="0" w:color="auto"/>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jc w:val="right"/>
              <w:rPr>
                <w:rFonts w:ascii="KaiTi_GB2312" w:eastAsia="KaiTi_GB2312"/>
                <w:sz w:val="15"/>
              </w:rPr>
            </w:pPr>
            <w:r w:rsidRPr="005E4368">
              <w:rPr>
                <w:rFonts w:ascii="KaiTi_GB2312" w:eastAsia="KaiTi_GB2312" w:hAnsi="STZhongsong" w:hint="eastAsia"/>
                <w:noProof/>
                <w:sz w:val="15"/>
              </w:rPr>
              <w:t>升学总人数</w:t>
            </w:r>
          </w:p>
        </w:tc>
        <w:tc>
          <w:tcPr>
            <w:tcW w:w="546" w:type="dxa"/>
            <w:tcBorders>
              <w:top w:val="single" w:sz="4" w:space="0" w:color="auto"/>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jc w:val="right"/>
              <w:rPr>
                <w:rFonts w:ascii="KaiTi_GB2312" w:eastAsia="KaiTi_GB2312"/>
                <w:sz w:val="15"/>
              </w:rPr>
            </w:pPr>
            <w:r w:rsidRPr="005E4368">
              <w:rPr>
                <w:rFonts w:ascii="KaiTi_GB2312" w:eastAsia="KaiTi_GB2312" w:hAnsi="STZhongsong" w:hint="eastAsia"/>
                <w:noProof/>
                <w:sz w:val="15"/>
              </w:rPr>
              <w:t>升学率</w:t>
            </w:r>
          </w:p>
        </w:tc>
        <w:tc>
          <w:tcPr>
            <w:tcW w:w="966" w:type="dxa"/>
            <w:gridSpan w:val="2"/>
            <w:tcBorders>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jc w:val="right"/>
              <w:rPr>
                <w:rFonts w:ascii="KaiTi_GB2312" w:eastAsia="KaiTi_GB2312"/>
                <w:sz w:val="15"/>
              </w:rPr>
            </w:pPr>
            <w:r w:rsidRPr="005E4368">
              <w:rPr>
                <w:rFonts w:ascii="KaiTi_GB2312" w:eastAsia="KaiTi_GB2312" w:hAnsi="STZhongsong" w:hint="eastAsia"/>
                <w:noProof/>
                <w:spacing w:val="-4"/>
                <w:sz w:val="15"/>
              </w:rPr>
              <w:t>在校生总人数</w:t>
            </w:r>
          </w:p>
        </w:tc>
        <w:tc>
          <w:tcPr>
            <w:tcW w:w="840" w:type="dxa"/>
            <w:tcBorders>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jc w:val="right"/>
              <w:rPr>
                <w:rFonts w:ascii="KaiTi_GB2312" w:eastAsia="KaiTi_GB2312"/>
                <w:sz w:val="15"/>
              </w:rPr>
            </w:pPr>
            <w:r w:rsidRPr="005E4368">
              <w:rPr>
                <w:rFonts w:ascii="KaiTi_GB2312" w:eastAsia="KaiTi_GB2312" w:hAnsi="STZhongsong" w:hint="eastAsia"/>
                <w:noProof/>
                <w:sz w:val="15"/>
              </w:rPr>
              <w:t>升学总人数</w:t>
            </w:r>
          </w:p>
        </w:tc>
        <w:tc>
          <w:tcPr>
            <w:tcW w:w="587" w:type="dxa"/>
            <w:tcBorders>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jc w:val="right"/>
              <w:rPr>
                <w:rFonts w:ascii="KaiTi_GB2312" w:eastAsia="KaiTi_GB2312"/>
                <w:sz w:val="15"/>
              </w:rPr>
            </w:pPr>
            <w:r w:rsidRPr="005E4368">
              <w:rPr>
                <w:rFonts w:ascii="KaiTi_GB2312" w:eastAsia="KaiTi_GB2312" w:hAnsi="STZhongsong" w:hint="eastAsia"/>
                <w:noProof/>
                <w:sz w:val="15"/>
              </w:rPr>
              <w:t>升学率</w:t>
            </w:r>
          </w:p>
        </w:tc>
        <w:tc>
          <w:tcPr>
            <w:tcW w:w="980" w:type="dxa"/>
            <w:gridSpan w:val="2"/>
            <w:tcBorders>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jc w:val="right"/>
              <w:rPr>
                <w:rFonts w:ascii="KaiTi_GB2312" w:eastAsia="KaiTi_GB2312"/>
                <w:spacing w:val="-4"/>
                <w:sz w:val="15"/>
              </w:rPr>
            </w:pPr>
            <w:r w:rsidRPr="005E4368">
              <w:rPr>
                <w:rFonts w:ascii="KaiTi_GB2312" w:eastAsia="KaiTi_GB2312" w:hAnsi="STZhongsong" w:hint="eastAsia"/>
                <w:noProof/>
                <w:spacing w:val="-4"/>
                <w:sz w:val="15"/>
              </w:rPr>
              <w:t>在校生总人数</w:t>
            </w:r>
          </w:p>
        </w:tc>
        <w:tc>
          <w:tcPr>
            <w:tcW w:w="840" w:type="dxa"/>
            <w:tcBorders>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jc w:val="right"/>
              <w:rPr>
                <w:rFonts w:ascii="KaiTi_GB2312" w:eastAsia="KaiTi_GB2312"/>
                <w:sz w:val="15"/>
              </w:rPr>
            </w:pPr>
            <w:r w:rsidRPr="005E4368">
              <w:rPr>
                <w:rFonts w:ascii="KaiTi_GB2312" w:eastAsia="KaiTi_GB2312" w:hAnsi="STZhongsong" w:hint="eastAsia"/>
                <w:noProof/>
                <w:sz w:val="15"/>
              </w:rPr>
              <w:t>升学总人数</w:t>
            </w:r>
          </w:p>
        </w:tc>
        <w:tc>
          <w:tcPr>
            <w:tcW w:w="557" w:type="dxa"/>
            <w:tcBorders>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jc w:val="right"/>
              <w:rPr>
                <w:rFonts w:ascii="KaiTi_GB2312" w:eastAsia="KaiTi_GB2312"/>
                <w:sz w:val="15"/>
              </w:rPr>
            </w:pPr>
            <w:r w:rsidRPr="005E4368">
              <w:rPr>
                <w:rFonts w:ascii="KaiTi_GB2312" w:eastAsia="KaiTi_GB2312" w:hAnsi="STZhongsong" w:hint="eastAsia"/>
                <w:noProof/>
                <w:sz w:val="15"/>
              </w:rPr>
              <w:t>升学率</w:t>
            </w:r>
          </w:p>
        </w:tc>
      </w:tr>
      <w:tr w:rsidR="0080267F" w:rsidRPr="005E4368" w:rsidTr="0023041C">
        <w:tblPrEx>
          <w:tblCellMar>
            <w:top w:w="0" w:type="dxa"/>
            <w:bottom w:w="0" w:type="dxa"/>
          </w:tblCellMar>
        </w:tblPrEx>
        <w:trPr>
          <w:trHeight w:hRule="exact" w:val="115"/>
          <w:tblHeader/>
        </w:trPr>
        <w:tc>
          <w:tcPr>
            <w:tcW w:w="294" w:type="dxa"/>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rPr>
                <w:rFonts w:ascii="STZhongsong" w:hAnsi="STZhongsong" w:hint="eastAsia"/>
                <w:b/>
                <w:noProof/>
                <w:sz w:val="17"/>
              </w:rPr>
            </w:pPr>
          </w:p>
        </w:tc>
        <w:tc>
          <w:tcPr>
            <w:tcW w:w="868" w:type="dxa"/>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840" w:type="dxa"/>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46" w:type="dxa"/>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966" w:type="dxa"/>
            <w:gridSpan w:val="2"/>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840" w:type="dxa"/>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87" w:type="dxa"/>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980" w:type="dxa"/>
            <w:gridSpan w:val="2"/>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840" w:type="dxa"/>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57" w:type="dxa"/>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r>
      <w:tr w:rsidR="0080267F" w:rsidRPr="005E4368" w:rsidTr="0023041C">
        <w:tblPrEx>
          <w:tblCellMar>
            <w:top w:w="0" w:type="dxa"/>
            <w:bottom w:w="0" w:type="dxa"/>
          </w:tblCellMar>
        </w:tblPrEx>
        <w:tc>
          <w:tcPr>
            <w:tcW w:w="294" w:type="dxa"/>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rPr>
                <w:rFonts w:ascii="STZhongsong" w:hAnsi="STZhongsong"/>
                <w:sz w:val="17"/>
              </w:rPr>
            </w:pPr>
            <w:r w:rsidRPr="005E4368">
              <w:rPr>
                <w:rFonts w:ascii="STZhongsong" w:hAnsi="STZhongsong" w:hint="eastAsia"/>
                <w:noProof/>
                <w:sz w:val="17"/>
              </w:rPr>
              <w:t>男</w:t>
            </w:r>
          </w:p>
        </w:tc>
        <w:tc>
          <w:tcPr>
            <w:tcW w:w="868"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4 425</w:t>
            </w:r>
          </w:p>
        </w:tc>
        <w:tc>
          <w:tcPr>
            <w:tcW w:w="840"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4 128</w:t>
            </w:r>
          </w:p>
        </w:tc>
        <w:tc>
          <w:tcPr>
            <w:tcW w:w="546"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93.3%</w:t>
            </w:r>
          </w:p>
        </w:tc>
        <w:tc>
          <w:tcPr>
            <w:tcW w:w="966" w:type="dxa"/>
            <w:gridSpan w:val="2"/>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4 764</w:t>
            </w:r>
          </w:p>
        </w:tc>
        <w:tc>
          <w:tcPr>
            <w:tcW w:w="840"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4 261</w:t>
            </w:r>
          </w:p>
        </w:tc>
        <w:tc>
          <w:tcPr>
            <w:tcW w:w="587"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89.4%</w:t>
            </w:r>
          </w:p>
        </w:tc>
        <w:tc>
          <w:tcPr>
            <w:tcW w:w="980" w:type="dxa"/>
            <w:gridSpan w:val="2"/>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5 142</w:t>
            </w:r>
          </w:p>
        </w:tc>
        <w:tc>
          <w:tcPr>
            <w:tcW w:w="840"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4 531</w:t>
            </w:r>
          </w:p>
        </w:tc>
        <w:tc>
          <w:tcPr>
            <w:tcW w:w="557"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88.1%</w:t>
            </w:r>
          </w:p>
        </w:tc>
      </w:tr>
      <w:tr w:rsidR="0080267F" w:rsidRPr="005E4368" w:rsidTr="0023041C">
        <w:tblPrEx>
          <w:tblCellMar>
            <w:top w:w="0" w:type="dxa"/>
            <w:bottom w:w="0" w:type="dxa"/>
          </w:tblCellMar>
        </w:tblPrEx>
        <w:tc>
          <w:tcPr>
            <w:tcW w:w="294" w:type="dxa"/>
            <w:tcBorders>
              <w:bottom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rPr>
                <w:rFonts w:ascii="STZhongsong" w:hAnsi="STZhongsong"/>
                <w:sz w:val="17"/>
              </w:rPr>
            </w:pPr>
            <w:r w:rsidRPr="005E4368">
              <w:rPr>
                <w:rFonts w:ascii="STZhongsong" w:hAnsi="STZhongsong" w:hint="eastAsia"/>
                <w:noProof/>
                <w:sz w:val="17"/>
              </w:rPr>
              <w:t>女</w:t>
            </w:r>
          </w:p>
        </w:tc>
        <w:tc>
          <w:tcPr>
            <w:tcW w:w="868"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3 910</w:t>
            </w:r>
          </w:p>
        </w:tc>
        <w:tc>
          <w:tcPr>
            <w:tcW w:w="840"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3 586</w:t>
            </w:r>
          </w:p>
        </w:tc>
        <w:tc>
          <w:tcPr>
            <w:tcW w:w="546"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91.7%</w:t>
            </w:r>
          </w:p>
        </w:tc>
        <w:tc>
          <w:tcPr>
            <w:tcW w:w="966" w:type="dxa"/>
            <w:gridSpan w:val="2"/>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4 400</w:t>
            </w:r>
          </w:p>
        </w:tc>
        <w:tc>
          <w:tcPr>
            <w:tcW w:w="840"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3 965</w:t>
            </w:r>
          </w:p>
        </w:tc>
        <w:tc>
          <w:tcPr>
            <w:tcW w:w="587"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90.1%</w:t>
            </w:r>
          </w:p>
        </w:tc>
        <w:tc>
          <w:tcPr>
            <w:tcW w:w="980" w:type="dxa"/>
            <w:gridSpan w:val="2"/>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4 731</w:t>
            </w:r>
          </w:p>
        </w:tc>
        <w:tc>
          <w:tcPr>
            <w:tcW w:w="840"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4 164</w:t>
            </w:r>
          </w:p>
        </w:tc>
        <w:tc>
          <w:tcPr>
            <w:tcW w:w="557"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88%</w:t>
            </w:r>
          </w:p>
        </w:tc>
      </w:tr>
    </w:tbl>
    <w:p w:rsidR="0080267F" w:rsidRPr="001206AF" w:rsidRDefault="0080267F" w:rsidP="002304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4" w:right="1259" w:hanging="1264"/>
        <w:rPr>
          <w:rFonts w:ascii="SimSun" w:eastAsia="SimSun"/>
          <w:spacing w:val="0"/>
          <w:sz w:val="10"/>
        </w:rPr>
      </w:pPr>
    </w:p>
    <w:p w:rsidR="0080267F" w:rsidRDefault="0080267F" w:rsidP="002304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pPr>
      <w:r w:rsidRPr="006C14AA">
        <w:tab/>
      </w:r>
      <w:r w:rsidRPr="006C14AA">
        <w:rPr>
          <w:rFonts w:hint="eastAsia"/>
        </w:rPr>
        <w:tab/>
        <w:t>2007-2009年中学三年级升入中学四年级的升学率(所罗门群岛中学三年级升四年级考试)(2007-2009年业绩评估框架)</w:t>
      </w:r>
    </w:p>
    <w:tbl>
      <w:tblPr>
        <w:tblW w:w="0" w:type="auto"/>
        <w:tblInd w:w="1260" w:type="dxa"/>
        <w:tblLayout w:type="fixed"/>
        <w:tblCellMar>
          <w:left w:w="0" w:type="dxa"/>
          <w:right w:w="0" w:type="dxa"/>
        </w:tblCellMar>
        <w:tblLook w:val="0000"/>
      </w:tblPr>
      <w:tblGrid>
        <w:gridCol w:w="294"/>
        <w:gridCol w:w="868"/>
        <w:gridCol w:w="840"/>
        <w:gridCol w:w="546"/>
        <w:gridCol w:w="84"/>
        <w:gridCol w:w="882"/>
        <w:gridCol w:w="840"/>
        <w:gridCol w:w="587"/>
        <w:gridCol w:w="98"/>
        <w:gridCol w:w="882"/>
        <w:gridCol w:w="840"/>
        <w:gridCol w:w="557"/>
      </w:tblGrid>
      <w:tr w:rsidR="0080267F" w:rsidRPr="005E4368" w:rsidTr="0023041C">
        <w:tblPrEx>
          <w:tblCellMar>
            <w:top w:w="0" w:type="dxa"/>
            <w:bottom w:w="0" w:type="dxa"/>
          </w:tblCellMar>
        </w:tblPrEx>
        <w:trPr>
          <w:tblHeader/>
        </w:trPr>
        <w:tc>
          <w:tcPr>
            <w:tcW w:w="294" w:type="dxa"/>
            <w:tcBorders>
              <w:top w:val="single" w:sz="4" w:space="0" w:color="auto"/>
            </w:tcBorders>
            <w:shd w:val="clear" w:color="auto" w:fill="auto"/>
            <w:vAlign w:val="bottom"/>
          </w:tcPr>
          <w:p w:rsidR="0080267F" w:rsidRPr="005E4368" w:rsidRDefault="0080267F" w:rsidP="0023041C">
            <w:pPr>
              <w:suppressAutoHyphens/>
              <w:spacing w:before="60" w:after="60" w:line="200" w:lineRule="exact"/>
              <w:ind w:right="57"/>
              <w:rPr>
                <w:rFonts w:ascii="KaiTi_GB2312" w:eastAsia="KaiTi_GB2312" w:hAnsi="STZhongsong"/>
                <w:sz w:val="15"/>
              </w:rPr>
            </w:pPr>
          </w:p>
        </w:tc>
        <w:tc>
          <w:tcPr>
            <w:tcW w:w="2254" w:type="dxa"/>
            <w:gridSpan w:val="3"/>
            <w:tcBorders>
              <w:top w:val="single" w:sz="4" w:space="0" w:color="auto"/>
              <w:bottom w:val="single" w:sz="4" w:space="0" w:color="auto"/>
            </w:tcBorders>
            <w:shd w:val="clear" w:color="auto" w:fill="auto"/>
            <w:vAlign w:val="bottom"/>
          </w:tcPr>
          <w:p w:rsidR="0080267F" w:rsidRPr="005E4368" w:rsidRDefault="0080267F" w:rsidP="0023041C">
            <w:pPr>
              <w:suppressAutoHyphens/>
              <w:spacing w:before="60" w:after="60" w:line="200" w:lineRule="exact"/>
              <w:ind w:right="57"/>
              <w:jc w:val="center"/>
              <w:rPr>
                <w:rFonts w:ascii="KaiTi_GB2312" w:eastAsia="KaiTi_GB2312" w:hAnsi="STZhongsong" w:hint="eastAsia"/>
                <w:sz w:val="15"/>
              </w:rPr>
            </w:pPr>
            <w:r w:rsidRPr="005E4368">
              <w:rPr>
                <w:rFonts w:ascii="KaiTi_GB2312" w:eastAsia="KaiTi_GB2312" w:hAnsi="STZhongsong"/>
                <w:noProof/>
                <w:sz w:val="15"/>
              </w:rPr>
              <w:t>2007</w:t>
            </w:r>
            <w:r w:rsidRPr="005E4368">
              <w:rPr>
                <w:rFonts w:ascii="KaiTi_GB2312" w:eastAsia="KaiTi_GB2312" w:hAnsi="STZhongsong" w:hint="eastAsia"/>
                <w:noProof/>
                <w:sz w:val="15"/>
              </w:rPr>
              <w:t>年</w:t>
            </w:r>
          </w:p>
        </w:tc>
        <w:tc>
          <w:tcPr>
            <w:tcW w:w="84" w:type="dxa"/>
            <w:tcBorders>
              <w:top w:val="single" w:sz="4" w:space="0" w:color="auto"/>
            </w:tcBorders>
            <w:shd w:val="clear" w:color="auto" w:fill="auto"/>
            <w:vAlign w:val="bottom"/>
          </w:tcPr>
          <w:p w:rsidR="0080267F" w:rsidRPr="005E4368" w:rsidRDefault="0080267F" w:rsidP="0023041C">
            <w:pPr>
              <w:suppressAutoHyphens/>
              <w:spacing w:before="60" w:after="60" w:line="200" w:lineRule="exact"/>
              <w:ind w:right="57"/>
              <w:jc w:val="center"/>
              <w:rPr>
                <w:rFonts w:ascii="KaiTi_GB2312" w:eastAsia="KaiTi_GB2312" w:hAnsi="STZhongsong" w:hint="eastAsia"/>
                <w:sz w:val="15"/>
              </w:rPr>
            </w:pPr>
          </w:p>
        </w:tc>
        <w:tc>
          <w:tcPr>
            <w:tcW w:w="2309" w:type="dxa"/>
            <w:gridSpan w:val="3"/>
            <w:tcBorders>
              <w:top w:val="single" w:sz="4" w:space="0" w:color="auto"/>
              <w:bottom w:val="single" w:sz="4" w:space="0" w:color="auto"/>
            </w:tcBorders>
            <w:shd w:val="clear" w:color="auto" w:fill="auto"/>
            <w:vAlign w:val="bottom"/>
          </w:tcPr>
          <w:p w:rsidR="0080267F" w:rsidRPr="005E4368" w:rsidRDefault="0080267F" w:rsidP="0023041C">
            <w:pPr>
              <w:suppressAutoHyphens/>
              <w:spacing w:before="60" w:after="60" w:line="200" w:lineRule="exact"/>
              <w:ind w:right="57"/>
              <w:jc w:val="center"/>
              <w:rPr>
                <w:rFonts w:ascii="KaiTi_GB2312" w:eastAsia="KaiTi_GB2312" w:hAnsi="STZhongsong" w:hint="eastAsia"/>
                <w:sz w:val="15"/>
              </w:rPr>
            </w:pPr>
            <w:r w:rsidRPr="005E4368">
              <w:rPr>
                <w:rFonts w:ascii="KaiTi_GB2312" w:eastAsia="KaiTi_GB2312" w:hAnsi="STZhongsong"/>
                <w:noProof/>
                <w:sz w:val="15"/>
              </w:rPr>
              <w:t>2008</w:t>
            </w:r>
            <w:r w:rsidRPr="005E4368">
              <w:rPr>
                <w:rFonts w:ascii="KaiTi_GB2312" w:eastAsia="KaiTi_GB2312" w:hAnsi="STZhongsong" w:hint="eastAsia"/>
                <w:noProof/>
                <w:sz w:val="15"/>
              </w:rPr>
              <w:t>年</w:t>
            </w:r>
          </w:p>
        </w:tc>
        <w:tc>
          <w:tcPr>
            <w:tcW w:w="98" w:type="dxa"/>
            <w:tcBorders>
              <w:top w:val="single" w:sz="4" w:space="0" w:color="auto"/>
            </w:tcBorders>
            <w:shd w:val="clear" w:color="auto" w:fill="auto"/>
            <w:vAlign w:val="bottom"/>
          </w:tcPr>
          <w:p w:rsidR="0080267F" w:rsidRPr="005E4368" w:rsidRDefault="0080267F" w:rsidP="0023041C">
            <w:pPr>
              <w:suppressAutoHyphens/>
              <w:spacing w:before="60" w:after="60" w:line="200" w:lineRule="exact"/>
              <w:ind w:right="57"/>
              <w:jc w:val="center"/>
              <w:rPr>
                <w:rFonts w:ascii="KaiTi_GB2312" w:eastAsia="KaiTi_GB2312" w:hAnsi="STZhongsong" w:hint="eastAsia"/>
                <w:sz w:val="15"/>
              </w:rPr>
            </w:pPr>
          </w:p>
        </w:tc>
        <w:tc>
          <w:tcPr>
            <w:tcW w:w="2279" w:type="dxa"/>
            <w:gridSpan w:val="3"/>
            <w:tcBorders>
              <w:top w:val="single" w:sz="4" w:space="0" w:color="auto"/>
              <w:bottom w:val="single" w:sz="4" w:space="0" w:color="auto"/>
            </w:tcBorders>
            <w:shd w:val="clear" w:color="auto" w:fill="auto"/>
            <w:vAlign w:val="bottom"/>
          </w:tcPr>
          <w:p w:rsidR="0080267F" w:rsidRPr="005E4368" w:rsidRDefault="0080267F" w:rsidP="0023041C">
            <w:pPr>
              <w:suppressAutoHyphens/>
              <w:spacing w:before="60" w:after="60" w:line="200" w:lineRule="exact"/>
              <w:ind w:right="57"/>
              <w:jc w:val="center"/>
              <w:rPr>
                <w:rFonts w:ascii="KaiTi_GB2312" w:eastAsia="KaiTi_GB2312" w:hAnsi="STZhongsong" w:hint="eastAsia"/>
                <w:sz w:val="15"/>
              </w:rPr>
            </w:pPr>
            <w:r w:rsidRPr="005E4368">
              <w:rPr>
                <w:rFonts w:ascii="KaiTi_GB2312" w:eastAsia="KaiTi_GB2312" w:hAnsi="STZhongsong"/>
                <w:noProof/>
                <w:sz w:val="15"/>
              </w:rPr>
              <w:t>2009</w:t>
            </w:r>
            <w:r w:rsidRPr="005E4368">
              <w:rPr>
                <w:rFonts w:ascii="KaiTi_GB2312" w:eastAsia="KaiTi_GB2312" w:hAnsi="STZhongsong" w:hint="eastAsia"/>
                <w:noProof/>
                <w:sz w:val="15"/>
              </w:rPr>
              <w:t>年</w:t>
            </w:r>
          </w:p>
        </w:tc>
      </w:tr>
      <w:tr w:rsidR="0080267F" w:rsidRPr="005E4368" w:rsidTr="0023041C">
        <w:tblPrEx>
          <w:tblCellMar>
            <w:top w:w="0" w:type="dxa"/>
            <w:bottom w:w="0" w:type="dxa"/>
          </w:tblCellMar>
        </w:tblPrEx>
        <w:trPr>
          <w:tblHeader/>
        </w:trPr>
        <w:tc>
          <w:tcPr>
            <w:tcW w:w="294" w:type="dxa"/>
            <w:tcBorders>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rPr>
                <w:rFonts w:ascii="KaiTi_GB2312" w:eastAsia="KaiTi_GB2312"/>
                <w:sz w:val="15"/>
              </w:rPr>
            </w:pPr>
          </w:p>
        </w:tc>
        <w:tc>
          <w:tcPr>
            <w:tcW w:w="868" w:type="dxa"/>
            <w:tcBorders>
              <w:top w:val="single" w:sz="4" w:space="0" w:color="auto"/>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jc w:val="right"/>
              <w:rPr>
                <w:rFonts w:ascii="KaiTi_GB2312" w:eastAsia="KaiTi_GB2312"/>
                <w:spacing w:val="-8"/>
                <w:sz w:val="15"/>
              </w:rPr>
            </w:pPr>
            <w:r w:rsidRPr="005E4368">
              <w:rPr>
                <w:rFonts w:ascii="KaiTi_GB2312" w:eastAsia="KaiTi_GB2312" w:hAnsi="STZhongsong" w:hint="eastAsia"/>
                <w:noProof/>
                <w:spacing w:val="-8"/>
                <w:sz w:val="15"/>
              </w:rPr>
              <w:t>在校生总人数</w:t>
            </w:r>
          </w:p>
        </w:tc>
        <w:tc>
          <w:tcPr>
            <w:tcW w:w="840" w:type="dxa"/>
            <w:tcBorders>
              <w:top w:val="single" w:sz="4" w:space="0" w:color="auto"/>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jc w:val="right"/>
              <w:rPr>
                <w:rFonts w:ascii="KaiTi_GB2312" w:eastAsia="KaiTi_GB2312"/>
                <w:sz w:val="15"/>
              </w:rPr>
            </w:pPr>
            <w:r w:rsidRPr="005E4368">
              <w:rPr>
                <w:rFonts w:ascii="KaiTi_GB2312" w:eastAsia="KaiTi_GB2312" w:hAnsi="STZhongsong" w:hint="eastAsia"/>
                <w:noProof/>
                <w:sz w:val="15"/>
              </w:rPr>
              <w:t>升学总人数</w:t>
            </w:r>
          </w:p>
        </w:tc>
        <w:tc>
          <w:tcPr>
            <w:tcW w:w="546" w:type="dxa"/>
            <w:tcBorders>
              <w:top w:val="single" w:sz="4" w:space="0" w:color="auto"/>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jc w:val="right"/>
              <w:rPr>
                <w:rFonts w:ascii="KaiTi_GB2312" w:eastAsia="KaiTi_GB2312"/>
                <w:sz w:val="15"/>
              </w:rPr>
            </w:pPr>
            <w:r w:rsidRPr="005E4368">
              <w:rPr>
                <w:rFonts w:ascii="KaiTi_GB2312" w:eastAsia="KaiTi_GB2312" w:hAnsi="STZhongsong" w:hint="eastAsia"/>
                <w:noProof/>
                <w:sz w:val="15"/>
              </w:rPr>
              <w:t>升学率</w:t>
            </w:r>
          </w:p>
        </w:tc>
        <w:tc>
          <w:tcPr>
            <w:tcW w:w="966" w:type="dxa"/>
            <w:gridSpan w:val="2"/>
            <w:tcBorders>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jc w:val="right"/>
              <w:rPr>
                <w:rFonts w:ascii="KaiTi_GB2312" w:eastAsia="KaiTi_GB2312"/>
                <w:sz w:val="15"/>
              </w:rPr>
            </w:pPr>
            <w:r w:rsidRPr="005E4368">
              <w:rPr>
                <w:rFonts w:ascii="KaiTi_GB2312" w:eastAsia="KaiTi_GB2312" w:hAnsi="STZhongsong" w:hint="eastAsia"/>
                <w:noProof/>
                <w:spacing w:val="-4"/>
                <w:sz w:val="15"/>
              </w:rPr>
              <w:t>在校生总人数</w:t>
            </w:r>
          </w:p>
        </w:tc>
        <w:tc>
          <w:tcPr>
            <w:tcW w:w="840" w:type="dxa"/>
            <w:tcBorders>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jc w:val="right"/>
              <w:rPr>
                <w:rFonts w:ascii="KaiTi_GB2312" w:eastAsia="KaiTi_GB2312"/>
                <w:sz w:val="15"/>
              </w:rPr>
            </w:pPr>
            <w:r w:rsidRPr="005E4368">
              <w:rPr>
                <w:rFonts w:ascii="KaiTi_GB2312" w:eastAsia="KaiTi_GB2312" w:hAnsi="STZhongsong" w:hint="eastAsia"/>
                <w:noProof/>
                <w:sz w:val="15"/>
              </w:rPr>
              <w:t>升学总人数</w:t>
            </w:r>
          </w:p>
        </w:tc>
        <w:tc>
          <w:tcPr>
            <w:tcW w:w="587" w:type="dxa"/>
            <w:tcBorders>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jc w:val="right"/>
              <w:rPr>
                <w:rFonts w:ascii="KaiTi_GB2312" w:eastAsia="KaiTi_GB2312"/>
                <w:sz w:val="15"/>
              </w:rPr>
            </w:pPr>
            <w:r w:rsidRPr="005E4368">
              <w:rPr>
                <w:rFonts w:ascii="KaiTi_GB2312" w:eastAsia="KaiTi_GB2312" w:hAnsi="STZhongsong" w:hint="eastAsia"/>
                <w:noProof/>
                <w:sz w:val="15"/>
              </w:rPr>
              <w:t>升学率</w:t>
            </w:r>
          </w:p>
        </w:tc>
        <w:tc>
          <w:tcPr>
            <w:tcW w:w="980" w:type="dxa"/>
            <w:gridSpan w:val="2"/>
            <w:tcBorders>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jc w:val="right"/>
              <w:rPr>
                <w:rFonts w:ascii="KaiTi_GB2312" w:eastAsia="KaiTi_GB2312"/>
                <w:spacing w:val="-4"/>
                <w:sz w:val="15"/>
              </w:rPr>
            </w:pPr>
            <w:r w:rsidRPr="005E4368">
              <w:rPr>
                <w:rFonts w:ascii="KaiTi_GB2312" w:eastAsia="KaiTi_GB2312" w:hAnsi="STZhongsong" w:hint="eastAsia"/>
                <w:noProof/>
                <w:spacing w:val="-4"/>
                <w:sz w:val="15"/>
              </w:rPr>
              <w:t>在校生总人数</w:t>
            </w:r>
          </w:p>
        </w:tc>
        <w:tc>
          <w:tcPr>
            <w:tcW w:w="840" w:type="dxa"/>
            <w:tcBorders>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jc w:val="right"/>
              <w:rPr>
                <w:rFonts w:ascii="KaiTi_GB2312" w:eastAsia="KaiTi_GB2312"/>
                <w:sz w:val="15"/>
              </w:rPr>
            </w:pPr>
            <w:r w:rsidRPr="005E4368">
              <w:rPr>
                <w:rFonts w:ascii="KaiTi_GB2312" w:eastAsia="KaiTi_GB2312" w:hAnsi="STZhongsong" w:hint="eastAsia"/>
                <w:noProof/>
                <w:sz w:val="15"/>
              </w:rPr>
              <w:t>升学总人数</w:t>
            </w:r>
          </w:p>
        </w:tc>
        <w:tc>
          <w:tcPr>
            <w:tcW w:w="557" w:type="dxa"/>
            <w:tcBorders>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jc w:val="right"/>
              <w:rPr>
                <w:rFonts w:ascii="KaiTi_GB2312" w:eastAsia="KaiTi_GB2312"/>
                <w:sz w:val="15"/>
              </w:rPr>
            </w:pPr>
            <w:r w:rsidRPr="005E4368">
              <w:rPr>
                <w:rFonts w:ascii="KaiTi_GB2312" w:eastAsia="KaiTi_GB2312" w:hAnsi="STZhongsong" w:hint="eastAsia"/>
                <w:noProof/>
                <w:sz w:val="15"/>
              </w:rPr>
              <w:t>升学率</w:t>
            </w:r>
          </w:p>
        </w:tc>
      </w:tr>
      <w:tr w:rsidR="0080267F" w:rsidRPr="005E4368" w:rsidTr="0023041C">
        <w:tblPrEx>
          <w:tblCellMar>
            <w:top w:w="0" w:type="dxa"/>
            <w:bottom w:w="0" w:type="dxa"/>
          </w:tblCellMar>
        </w:tblPrEx>
        <w:trPr>
          <w:trHeight w:hRule="exact" w:val="115"/>
          <w:tblHeader/>
        </w:trPr>
        <w:tc>
          <w:tcPr>
            <w:tcW w:w="294" w:type="dxa"/>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rPr>
                <w:rFonts w:ascii="STZhongsong" w:hAnsi="STZhongsong" w:hint="eastAsia"/>
                <w:b/>
                <w:noProof/>
                <w:sz w:val="17"/>
              </w:rPr>
            </w:pPr>
          </w:p>
        </w:tc>
        <w:tc>
          <w:tcPr>
            <w:tcW w:w="868" w:type="dxa"/>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840" w:type="dxa"/>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46" w:type="dxa"/>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966" w:type="dxa"/>
            <w:gridSpan w:val="2"/>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840" w:type="dxa"/>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87" w:type="dxa"/>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980" w:type="dxa"/>
            <w:gridSpan w:val="2"/>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840" w:type="dxa"/>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57" w:type="dxa"/>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r>
      <w:tr w:rsidR="0080267F" w:rsidRPr="005E4368" w:rsidTr="0023041C">
        <w:tblPrEx>
          <w:tblCellMar>
            <w:top w:w="0" w:type="dxa"/>
            <w:bottom w:w="0" w:type="dxa"/>
          </w:tblCellMar>
        </w:tblPrEx>
        <w:tc>
          <w:tcPr>
            <w:tcW w:w="294" w:type="dxa"/>
            <w:shd w:val="clear" w:color="auto" w:fill="auto"/>
            <w:vAlign w:val="bottom"/>
          </w:tcPr>
          <w:p w:rsidR="0080267F" w:rsidRPr="007141B3" w:rsidRDefault="0080267F" w:rsidP="0023041C">
            <w:pPr>
              <w:tabs>
                <w:tab w:val="left" w:pos="334"/>
                <w:tab w:val="left" w:pos="669"/>
                <w:tab w:val="left" w:pos="1003"/>
                <w:tab w:val="left" w:pos="1338"/>
              </w:tabs>
              <w:suppressAutoHyphens/>
              <w:spacing w:after="60" w:line="280" w:lineRule="exact"/>
              <w:ind w:right="57"/>
              <w:rPr>
                <w:rFonts w:ascii="STZhongsong" w:hAnsi="STZhongsong"/>
                <w:sz w:val="17"/>
              </w:rPr>
            </w:pPr>
            <w:r w:rsidRPr="007141B3">
              <w:rPr>
                <w:rFonts w:ascii="STZhongsong" w:hAnsi="STZhongsong" w:hint="eastAsia"/>
                <w:noProof/>
                <w:sz w:val="17"/>
              </w:rPr>
              <w:t>男</w:t>
            </w:r>
          </w:p>
        </w:tc>
        <w:tc>
          <w:tcPr>
            <w:tcW w:w="868"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2 522</w:t>
            </w:r>
          </w:p>
        </w:tc>
        <w:tc>
          <w:tcPr>
            <w:tcW w:w="840"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1 966</w:t>
            </w:r>
          </w:p>
        </w:tc>
        <w:tc>
          <w:tcPr>
            <w:tcW w:w="546"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78%</w:t>
            </w:r>
          </w:p>
        </w:tc>
        <w:tc>
          <w:tcPr>
            <w:tcW w:w="966" w:type="dxa"/>
            <w:gridSpan w:val="2"/>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2 925</w:t>
            </w:r>
          </w:p>
        </w:tc>
        <w:tc>
          <w:tcPr>
            <w:tcW w:w="840"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2 023</w:t>
            </w:r>
          </w:p>
        </w:tc>
        <w:tc>
          <w:tcPr>
            <w:tcW w:w="587"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69.2%</w:t>
            </w:r>
          </w:p>
        </w:tc>
        <w:tc>
          <w:tcPr>
            <w:tcW w:w="980" w:type="dxa"/>
            <w:gridSpan w:val="2"/>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3 278</w:t>
            </w:r>
          </w:p>
        </w:tc>
        <w:tc>
          <w:tcPr>
            <w:tcW w:w="840"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2 421</w:t>
            </w:r>
          </w:p>
        </w:tc>
        <w:tc>
          <w:tcPr>
            <w:tcW w:w="557"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73.9%</w:t>
            </w:r>
          </w:p>
        </w:tc>
      </w:tr>
      <w:tr w:rsidR="0080267F" w:rsidRPr="005E4368" w:rsidTr="0023041C">
        <w:tblPrEx>
          <w:tblCellMar>
            <w:top w:w="0" w:type="dxa"/>
            <w:bottom w:w="0" w:type="dxa"/>
          </w:tblCellMar>
        </w:tblPrEx>
        <w:tc>
          <w:tcPr>
            <w:tcW w:w="294" w:type="dxa"/>
            <w:tcBorders>
              <w:bottom w:val="single" w:sz="12" w:space="0" w:color="auto"/>
            </w:tcBorders>
            <w:shd w:val="clear" w:color="auto" w:fill="auto"/>
            <w:vAlign w:val="bottom"/>
          </w:tcPr>
          <w:p w:rsidR="0080267F" w:rsidRPr="007141B3" w:rsidRDefault="0080267F" w:rsidP="0023041C">
            <w:pPr>
              <w:tabs>
                <w:tab w:val="left" w:pos="334"/>
                <w:tab w:val="left" w:pos="669"/>
                <w:tab w:val="left" w:pos="1003"/>
                <w:tab w:val="left" w:pos="1338"/>
              </w:tabs>
              <w:suppressAutoHyphens/>
              <w:spacing w:after="60" w:line="280" w:lineRule="exact"/>
              <w:ind w:right="57"/>
              <w:rPr>
                <w:rFonts w:ascii="STZhongsong" w:hAnsi="STZhongsong"/>
                <w:sz w:val="17"/>
              </w:rPr>
            </w:pPr>
            <w:r w:rsidRPr="007141B3">
              <w:rPr>
                <w:rFonts w:ascii="STZhongsong" w:hAnsi="STZhongsong" w:hint="eastAsia"/>
                <w:noProof/>
                <w:sz w:val="17"/>
              </w:rPr>
              <w:t>女</w:t>
            </w:r>
          </w:p>
        </w:tc>
        <w:tc>
          <w:tcPr>
            <w:tcW w:w="868"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2 025</w:t>
            </w:r>
          </w:p>
        </w:tc>
        <w:tc>
          <w:tcPr>
            <w:tcW w:w="840"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1 617</w:t>
            </w:r>
          </w:p>
        </w:tc>
        <w:tc>
          <w:tcPr>
            <w:tcW w:w="546"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79.9%</w:t>
            </w:r>
          </w:p>
        </w:tc>
        <w:tc>
          <w:tcPr>
            <w:tcW w:w="966" w:type="dxa"/>
            <w:gridSpan w:val="2"/>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2 417</w:t>
            </w:r>
          </w:p>
        </w:tc>
        <w:tc>
          <w:tcPr>
            <w:tcW w:w="840"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1 650</w:t>
            </w:r>
          </w:p>
        </w:tc>
        <w:tc>
          <w:tcPr>
            <w:tcW w:w="587"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68.3%</w:t>
            </w:r>
          </w:p>
        </w:tc>
        <w:tc>
          <w:tcPr>
            <w:tcW w:w="980" w:type="dxa"/>
            <w:gridSpan w:val="2"/>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2 725</w:t>
            </w:r>
          </w:p>
        </w:tc>
        <w:tc>
          <w:tcPr>
            <w:tcW w:w="840"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1 876</w:t>
            </w:r>
          </w:p>
        </w:tc>
        <w:tc>
          <w:tcPr>
            <w:tcW w:w="557"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68.8%</w:t>
            </w:r>
          </w:p>
        </w:tc>
      </w:tr>
    </w:tbl>
    <w:p w:rsidR="0080267F" w:rsidRPr="001206AF" w:rsidRDefault="0080267F" w:rsidP="002304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4" w:right="1259" w:hanging="1264"/>
        <w:rPr>
          <w:rFonts w:ascii="SimSun" w:eastAsia="SimSun"/>
          <w:spacing w:val="0"/>
          <w:sz w:val="10"/>
        </w:rPr>
      </w:pPr>
    </w:p>
    <w:p w:rsidR="0080267F" w:rsidRDefault="0080267F" w:rsidP="002304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pPr>
      <w:r w:rsidRPr="006C14AA">
        <w:tab/>
      </w:r>
      <w:r w:rsidRPr="006C14AA">
        <w:rPr>
          <w:rFonts w:hint="eastAsia"/>
        </w:rPr>
        <w:tab/>
        <w:t>2007-2009年中学五年级升入中学六年级的升学率</w:t>
      </w:r>
      <w:r>
        <w:t>(</w:t>
      </w:r>
      <w:r w:rsidRPr="006C14AA">
        <w:rPr>
          <w:rFonts w:hint="eastAsia"/>
        </w:rPr>
        <w:t>所罗门群岛中学证书)</w:t>
      </w:r>
      <w:r w:rsidR="0023041C">
        <w:t xml:space="preserve"> </w:t>
      </w:r>
      <w:r w:rsidRPr="006C14AA">
        <w:rPr>
          <w:rFonts w:hint="eastAsia"/>
        </w:rPr>
        <w:t>(2007-2009年业绩评估框架)</w:t>
      </w:r>
    </w:p>
    <w:tbl>
      <w:tblPr>
        <w:tblW w:w="0" w:type="auto"/>
        <w:tblInd w:w="1260" w:type="dxa"/>
        <w:tblLayout w:type="fixed"/>
        <w:tblCellMar>
          <w:left w:w="0" w:type="dxa"/>
          <w:right w:w="0" w:type="dxa"/>
        </w:tblCellMar>
        <w:tblLook w:val="0000"/>
      </w:tblPr>
      <w:tblGrid>
        <w:gridCol w:w="294"/>
        <w:gridCol w:w="868"/>
        <w:gridCol w:w="840"/>
        <w:gridCol w:w="546"/>
        <w:gridCol w:w="84"/>
        <w:gridCol w:w="882"/>
        <w:gridCol w:w="840"/>
        <w:gridCol w:w="587"/>
        <w:gridCol w:w="98"/>
        <w:gridCol w:w="882"/>
        <w:gridCol w:w="840"/>
        <w:gridCol w:w="557"/>
      </w:tblGrid>
      <w:tr w:rsidR="0080267F" w:rsidRPr="005E4368" w:rsidTr="0023041C">
        <w:tblPrEx>
          <w:tblCellMar>
            <w:top w:w="0" w:type="dxa"/>
            <w:bottom w:w="0" w:type="dxa"/>
          </w:tblCellMar>
        </w:tblPrEx>
        <w:trPr>
          <w:tblHeader/>
        </w:trPr>
        <w:tc>
          <w:tcPr>
            <w:tcW w:w="294" w:type="dxa"/>
            <w:tcBorders>
              <w:top w:val="single" w:sz="4" w:space="0" w:color="auto"/>
            </w:tcBorders>
            <w:shd w:val="clear" w:color="auto" w:fill="auto"/>
            <w:vAlign w:val="bottom"/>
          </w:tcPr>
          <w:p w:rsidR="0080267F" w:rsidRPr="005E4368" w:rsidRDefault="0080267F" w:rsidP="0023041C">
            <w:pPr>
              <w:suppressAutoHyphens/>
              <w:spacing w:before="60" w:after="60" w:line="200" w:lineRule="exact"/>
              <w:ind w:right="57"/>
              <w:rPr>
                <w:rFonts w:ascii="KaiTi_GB2312" w:eastAsia="KaiTi_GB2312" w:hAnsi="STZhongsong"/>
                <w:sz w:val="15"/>
              </w:rPr>
            </w:pPr>
          </w:p>
        </w:tc>
        <w:tc>
          <w:tcPr>
            <w:tcW w:w="2254" w:type="dxa"/>
            <w:gridSpan w:val="3"/>
            <w:tcBorders>
              <w:top w:val="single" w:sz="4" w:space="0" w:color="auto"/>
              <w:bottom w:val="single" w:sz="4" w:space="0" w:color="auto"/>
            </w:tcBorders>
            <w:shd w:val="clear" w:color="auto" w:fill="auto"/>
            <w:vAlign w:val="bottom"/>
          </w:tcPr>
          <w:p w:rsidR="0080267F" w:rsidRPr="005E4368" w:rsidRDefault="0080267F" w:rsidP="0023041C">
            <w:pPr>
              <w:suppressAutoHyphens/>
              <w:spacing w:before="60" w:after="60" w:line="200" w:lineRule="exact"/>
              <w:ind w:right="57"/>
              <w:jc w:val="center"/>
              <w:rPr>
                <w:rFonts w:ascii="KaiTi_GB2312" w:eastAsia="KaiTi_GB2312" w:hAnsi="STZhongsong" w:hint="eastAsia"/>
                <w:sz w:val="15"/>
              </w:rPr>
            </w:pPr>
            <w:r w:rsidRPr="005E4368">
              <w:rPr>
                <w:rFonts w:ascii="KaiTi_GB2312" w:eastAsia="KaiTi_GB2312" w:hAnsi="STZhongsong"/>
                <w:noProof/>
                <w:sz w:val="15"/>
              </w:rPr>
              <w:t>2007</w:t>
            </w:r>
            <w:r w:rsidRPr="005E4368">
              <w:rPr>
                <w:rFonts w:ascii="KaiTi_GB2312" w:eastAsia="KaiTi_GB2312" w:hAnsi="STZhongsong" w:hint="eastAsia"/>
                <w:noProof/>
                <w:sz w:val="15"/>
              </w:rPr>
              <w:t>年</w:t>
            </w:r>
          </w:p>
        </w:tc>
        <w:tc>
          <w:tcPr>
            <w:tcW w:w="84" w:type="dxa"/>
            <w:tcBorders>
              <w:top w:val="single" w:sz="4" w:space="0" w:color="auto"/>
            </w:tcBorders>
            <w:shd w:val="clear" w:color="auto" w:fill="auto"/>
            <w:vAlign w:val="bottom"/>
          </w:tcPr>
          <w:p w:rsidR="0080267F" w:rsidRPr="005E4368" w:rsidRDefault="0080267F" w:rsidP="0023041C">
            <w:pPr>
              <w:suppressAutoHyphens/>
              <w:spacing w:before="60" w:after="60" w:line="200" w:lineRule="exact"/>
              <w:ind w:right="57"/>
              <w:jc w:val="center"/>
              <w:rPr>
                <w:rFonts w:ascii="KaiTi_GB2312" w:eastAsia="KaiTi_GB2312" w:hAnsi="STZhongsong" w:hint="eastAsia"/>
                <w:sz w:val="15"/>
              </w:rPr>
            </w:pPr>
          </w:p>
        </w:tc>
        <w:tc>
          <w:tcPr>
            <w:tcW w:w="2309" w:type="dxa"/>
            <w:gridSpan w:val="3"/>
            <w:tcBorders>
              <w:top w:val="single" w:sz="4" w:space="0" w:color="auto"/>
              <w:bottom w:val="single" w:sz="4" w:space="0" w:color="auto"/>
            </w:tcBorders>
            <w:shd w:val="clear" w:color="auto" w:fill="auto"/>
            <w:vAlign w:val="bottom"/>
          </w:tcPr>
          <w:p w:rsidR="0080267F" w:rsidRPr="005E4368" w:rsidRDefault="0080267F" w:rsidP="0023041C">
            <w:pPr>
              <w:suppressAutoHyphens/>
              <w:spacing w:before="60" w:after="60" w:line="200" w:lineRule="exact"/>
              <w:ind w:right="57"/>
              <w:jc w:val="center"/>
              <w:rPr>
                <w:rFonts w:ascii="KaiTi_GB2312" w:eastAsia="KaiTi_GB2312" w:hAnsi="STZhongsong" w:hint="eastAsia"/>
                <w:sz w:val="15"/>
              </w:rPr>
            </w:pPr>
            <w:r w:rsidRPr="005E4368">
              <w:rPr>
                <w:rFonts w:ascii="KaiTi_GB2312" w:eastAsia="KaiTi_GB2312" w:hAnsi="STZhongsong"/>
                <w:noProof/>
                <w:sz w:val="15"/>
              </w:rPr>
              <w:t>2008</w:t>
            </w:r>
            <w:r w:rsidRPr="005E4368">
              <w:rPr>
                <w:rFonts w:ascii="KaiTi_GB2312" w:eastAsia="KaiTi_GB2312" w:hAnsi="STZhongsong" w:hint="eastAsia"/>
                <w:noProof/>
                <w:sz w:val="15"/>
              </w:rPr>
              <w:t>年</w:t>
            </w:r>
          </w:p>
        </w:tc>
        <w:tc>
          <w:tcPr>
            <w:tcW w:w="98" w:type="dxa"/>
            <w:tcBorders>
              <w:top w:val="single" w:sz="4" w:space="0" w:color="auto"/>
            </w:tcBorders>
            <w:shd w:val="clear" w:color="auto" w:fill="auto"/>
            <w:vAlign w:val="bottom"/>
          </w:tcPr>
          <w:p w:rsidR="0080267F" w:rsidRPr="005E4368" w:rsidRDefault="0080267F" w:rsidP="0023041C">
            <w:pPr>
              <w:suppressAutoHyphens/>
              <w:spacing w:before="60" w:after="60" w:line="200" w:lineRule="exact"/>
              <w:ind w:right="57"/>
              <w:jc w:val="center"/>
              <w:rPr>
                <w:rFonts w:ascii="KaiTi_GB2312" w:eastAsia="KaiTi_GB2312" w:hAnsi="STZhongsong" w:hint="eastAsia"/>
                <w:sz w:val="15"/>
              </w:rPr>
            </w:pPr>
          </w:p>
        </w:tc>
        <w:tc>
          <w:tcPr>
            <w:tcW w:w="2279" w:type="dxa"/>
            <w:gridSpan w:val="3"/>
            <w:tcBorders>
              <w:top w:val="single" w:sz="4" w:space="0" w:color="auto"/>
              <w:bottom w:val="single" w:sz="4" w:space="0" w:color="auto"/>
            </w:tcBorders>
            <w:shd w:val="clear" w:color="auto" w:fill="auto"/>
            <w:vAlign w:val="bottom"/>
          </w:tcPr>
          <w:p w:rsidR="0080267F" w:rsidRPr="005E4368" w:rsidRDefault="0080267F" w:rsidP="0023041C">
            <w:pPr>
              <w:suppressAutoHyphens/>
              <w:spacing w:before="60" w:after="60" w:line="200" w:lineRule="exact"/>
              <w:ind w:right="57"/>
              <w:jc w:val="center"/>
              <w:rPr>
                <w:rFonts w:ascii="KaiTi_GB2312" w:eastAsia="KaiTi_GB2312" w:hAnsi="STZhongsong" w:hint="eastAsia"/>
                <w:sz w:val="15"/>
              </w:rPr>
            </w:pPr>
            <w:r w:rsidRPr="005E4368">
              <w:rPr>
                <w:rFonts w:ascii="KaiTi_GB2312" w:eastAsia="KaiTi_GB2312" w:hAnsi="STZhongsong"/>
                <w:noProof/>
                <w:sz w:val="15"/>
              </w:rPr>
              <w:t>2009</w:t>
            </w:r>
            <w:r w:rsidRPr="005E4368">
              <w:rPr>
                <w:rFonts w:ascii="KaiTi_GB2312" w:eastAsia="KaiTi_GB2312" w:hAnsi="STZhongsong" w:hint="eastAsia"/>
                <w:noProof/>
                <w:sz w:val="15"/>
              </w:rPr>
              <w:t>年</w:t>
            </w:r>
          </w:p>
        </w:tc>
      </w:tr>
      <w:tr w:rsidR="0080267F" w:rsidRPr="005E4368" w:rsidTr="0023041C">
        <w:tblPrEx>
          <w:tblCellMar>
            <w:top w:w="0" w:type="dxa"/>
            <w:bottom w:w="0" w:type="dxa"/>
          </w:tblCellMar>
        </w:tblPrEx>
        <w:trPr>
          <w:tblHeader/>
        </w:trPr>
        <w:tc>
          <w:tcPr>
            <w:tcW w:w="294" w:type="dxa"/>
            <w:tcBorders>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rPr>
                <w:rFonts w:ascii="KaiTi_GB2312" w:eastAsia="KaiTi_GB2312"/>
                <w:sz w:val="15"/>
              </w:rPr>
            </w:pPr>
          </w:p>
        </w:tc>
        <w:tc>
          <w:tcPr>
            <w:tcW w:w="868" w:type="dxa"/>
            <w:tcBorders>
              <w:top w:val="single" w:sz="4" w:space="0" w:color="auto"/>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jc w:val="right"/>
              <w:rPr>
                <w:rFonts w:ascii="KaiTi_GB2312" w:eastAsia="KaiTi_GB2312"/>
                <w:spacing w:val="-8"/>
                <w:sz w:val="15"/>
              </w:rPr>
            </w:pPr>
            <w:r w:rsidRPr="005E4368">
              <w:rPr>
                <w:rFonts w:ascii="KaiTi_GB2312" w:eastAsia="KaiTi_GB2312" w:hAnsi="STZhongsong" w:hint="eastAsia"/>
                <w:noProof/>
                <w:spacing w:val="-8"/>
                <w:sz w:val="15"/>
              </w:rPr>
              <w:t>在校生总人数</w:t>
            </w:r>
          </w:p>
        </w:tc>
        <w:tc>
          <w:tcPr>
            <w:tcW w:w="840" w:type="dxa"/>
            <w:tcBorders>
              <w:top w:val="single" w:sz="4" w:space="0" w:color="auto"/>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jc w:val="right"/>
              <w:rPr>
                <w:rFonts w:ascii="KaiTi_GB2312" w:eastAsia="KaiTi_GB2312"/>
                <w:sz w:val="15"/>
              </w:rPr>
            </w:pPr>
            <w:r w:rsidRPr="005E4368">
              <w:rPr>
                <w:rFonts w:ascii="KaiTi_GB2312" w:eastAsia="KaiTi_GB2312" w:hAnsi="STZhongsong" w:hint="eastAsia"/>
                <w:noProof/>
                <w:sz w:val="15"/>
              </w:rPr>
              <w:t>升学总人数</w:t>
            </w:r>
          </w:p>
        </w:tc>
        <w:tc>
          <w:tcPr>
            <w:tcW w:w="546" w:type="dxa"/>
            <w:tcBorders>
              <w:top w:val="single" w:sz="4" w:space="0" w:color="auto"/>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jc w:val="right"/>
              <w:rPr>
                <w:rFonts w:ascii="KaiTi_GB2312" w:eastAsia="KaiTi_GB2312"/>
                <w:sz w:val="15"/>
              </w:rPr>
            </w:pPr>
            <w:r w:rsidRPr="005E4368">
              <w:rPr>
                <w:rFonts w:ascii="KaiTi_GB2312" w:eastAsia="KaiTi_GB2312" w:hAnsi="STZhongsong" w:hint="eastAsia"/>
                <w:noProof/>
                <w:sz w:val="15"/>
              </w:rPr>
              <w:t>升学率</w:t>
            </w:r>
          </w:p>
        </w:tc>
        <w:tc>
          <w:tcPr>
            <w:tcW w:w="966" w:type="dxa"/>
            <w:gridSpan w:val="2"/>
            <w:tcBorders>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jc w:val="right"/>
              <w:rPr>
                <w:rFonts w:ascii="KaiTi_GB2312" w:eastAsia="KaiTi_GB2312"/>
                <w:sz w:val="15"/>
              </w:rPr>
            </w:pPr>
            <w:r w:rsidRPr="005E4368">
              <w:rPr>
                <w:rFonts w:ascii="KaiTi_GB2312" w:eastAsia="KaiTi_GB2312" w:hAnsi="STZhongsong" w:hint="eastAsia"/>
                <w:noProof/>
                <w:spacing w:val="-4"/>
                <w:sz w:val="15"/>
              </w:rPr>
              <w:t>在校生总人数</w:t>
            </w:r>
          </w:p>
        </w:tc>
        <w:tc>
          <w:tcPr>
            <w:tcW w:w="840" w:type="dxa"/>
            <w:tcBorders>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jc w:val="right"/>
              <w:rPr>
                <w:rFonts w:ascii="KaiTi_GB2312" w:eastAsia="KaiTi_GB2312"/>
                <w:sz w:val="15"/>
              </w:rPr>
            </w:pPr>
            <w:r w:rsidRPr="005E4368">
              <w:rPr>
                <w:rFonts w:ascii="KaiTi_GB2312" w:eastAsia="KaiTi_GB2312" w:hAnsi="STZhongsong" w:hint="eastAsia"/>
                <w:noProof/>
                <w:sz w:val="15"/>
              </w:rPr>
              <w:t>升学总人数</w:t>
            </w:r>
          </w:p>
        </w:tc>
        <w:tc>
          <w:tcPr>
            <w:tcW w:w="587" w:type="dxa"/>
            <w:tcBorders>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jc w:val="right"/>
              <w:rPr>
                <w:rFonts w:ascii="KaiTi_GB2312" w:eastAsia="KaiTi_GB2312"/>
                <w:sz w:val="15"/>
              </w:rPr>
            </w:pPr>
            <w:r w:rsidRPr="005E4368">
              <w:rPr>
                <w:rFonts w:ascii="KaiTi_GB2312" w:eastAsia="KaiTi_GB2312" w:hAnsi="STZhongsong" w:hint="eastAsia"/>
                <w:noProof/>
                <w:sz w:val="15"/>
              </w:rPr>
              <w:t>升学率</w:t>
            </w:r>
          </w:p>
        </w:tc>
        <w:tc>
          <w:tcPr>
            <w:tcW w:w="980" w:type="dxa"/>
            <w:gridSpan w:val="2"/>
            <w:tcBorders>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jc w:val="right"/>
              <w:rPr>
                <w:rFonts w:ascii="KaiTi_GB2312" w:eastAsia="KaiTi_GB2312"/>
                <w:spacing w:val="-4"/>
                <w:sz w:val="15"/>
              </w:rPr>
            </w:pPr>
            <w:r w:rsidRPr="005E4368">
              <w:rPr>
                <w:rFonts w:ascii="KaiTi_GB2312" w:eastAsia="KaiTi_GB2312" w:hAnsi="STZhongsong" w:hint="eastAsia"/>
                <w:noProof/>
                <w:spacing w:val="-4"/>
                <w:sz w:val="15"/>
              </w:rPr>
              <w:t>在校生总人数</w:t>
            </w:r>
          </w:p>
        </w:tc>
        <w:tc>
          <w:tcPr>
            <w:tcW w:w="840" w:type="dxa"/>
            <w:tcBorders>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jc w:val="right"/>
              <w:rPr>
                <w:rFonts w:ascii="KaiTi_GB2312" w:eastAsia="KaiTi_GB2312"/>
                <w:sz w:val="15"/>
              </w:rPr>
            </w:pPr>
            <w:r w:rsidRPr="005E4368">
              <w:rPr>
                <w:rFonts w:ascii="KaiTi_GB2312" w:eastAsia="KaiTi_GB2312" w:hAnsi="STZhongsong" w:hint="eastAsia"/>
                <w:noProof/>
                <w:sz w:val="15"/>
              </w:rPr>
              <w:t>升学总人数</w:t>
            </w:r>
          </w:p>
        </w:tc>
        <w:tc>
          <w:tcPr>
            <w:tcW w:w="557" w:type="dxa"/>
            <w:tcBorders>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jc w:val="right"/>
              <w:rPr>
                <w:rFonts w:ascii="KaiTi_GB2312" w:eastAsia="KaiTi_GB2312"/>
                <w:sz w:val="15"/>
              </w:rPr>
            </w:pPr>
            <w:r w:rsidRPr="005E4368">
              <w:rPr>
                <w:rFonts w:ascii="KaiTi_GB2312" w:eastAsia="KaiTi_GB2312" w:hAnsi="STZhongsong" w:hint="eastAsia"/>
                <w:noProof/>
                <w:sz w:val="15"/>
              </w:rPr>
              <w:t>升学率</w:t>
            </w:r>
          </w:p>
        </w:tc>
      </w:tr>
      <w:tr w:rsidR="0080267F" w:rsidRPr="005E4368" w:rsidTr="0023041C">
        <w:tblPrEx>
          <w:tblCellMar>
            <w:top w:w="0" w:type="dxa"/>
            <w:bottom w:w="0" w:type="dxa"/>
          </w:tblCellMar>
        </w:tblPrEx>
        <w:trPr>
          <w:trHeight w:hRule="exact" w:val="115"/>
          <w:tblHeader/>
        </w:trPr>
        <w:tc>
          <w:tcPr>
            <w:tcW w:w="294" w:type="dxa"/>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rPr>
                <w:rFonts w:ascii="STZhongsong" w:hAnsi="STZhongsong" w:hint="eastAsia"/>
                <w:b/>
                <w:noProof/>
                <w:sz w:val="17"/>
              </w:rPr>
            </w:pPr>
          </w:p>
        </w:tc>
        <w:tc>
          <w:tcPr>
            <w:tcW w:w="868" w:type="dxa"/>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840" w:type="dxa"/>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46" w:type="dxa"/>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966" w:type="dxa"/>
            <w:gridSpan w:val="2"/>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840" w:type="dxa"/>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87" w:type="dxa"/>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980" w:type="dxa"/>
            <w:gridSpan w:val="2"/>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840" w:type="dxa"/>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57" w:type="dxa"/>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r>
      <w:tr w:rsidR="0080267F" w:rsidRPr="005E4368" w:rsidTr="0023041C">
        <w:tblPrEx>
          <w:tblCellMar>
            <w:top w:w="0" w:type="dxa"/>
            <w:bottom w:w="0" w:type="dxa"/>
          </w:tblCellMar>
        </w:tblPrEx>
        <w:tc>
          <w:tcPr>
            <w:tcW w:w="294" w:type="dxa"/>
            <w:shd w:val="clear" w:color="auto" w:fill="auto"/>
            <w:vAlign w:val="bottom"/>
          </w:tcPr>
          <w:p w:rsidR="0080267F" w:rsidRPr="007141B3" w:rsidRDefault="0080267F" w:rsidP="0023041C">
            <w:pPr>
              <w:tabs>
                <w:tab w:val="left" w:pos="334"/>
                <w:tab w:val="left" w:pos="669"/>
                <w:tab w:val="left" w:pos="1003"/>
                <w:tab w:val="left" w:pos="1338"/>
              </w:tabs>
              <w:suppressAutoHyphens/>
              <w:spacing w:after="60" w:line="280" w:lineRule="exact"/>
              <w:ind w:right="57"/>
              <w:rPr>
                <w:rFonts w:ascii="STZhongsong" w:hAnsi="STZhongsong"/>
                <w:sz w:val="17"/>
              </w:rPr>
            </w:pPr>
            <w:r w:rsidRPr="007141B3">
              <w:rPr>
                <w:rFonts w:ascii="STZhongsong" w:hAnsi="STZhongsong" w:hint="eastAsia"/>
                <w:noProof/>
                <w:sz w:val="17"/>
              </w:rPr>
              <w:t>男</w:t>
            </w:r>
          </w:p>
        </w:tc>
        <w:tc>
          <w:tcPr>
            <w:tcW w:w="868"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1</w:t>
            </w:r>
            <w:r>
              <w:rPr>
                <w:rFonts w:hAnsi="SimSun"/>
                <w:sz w:val="17"/>
                <w:szCs w:val="17"/>
              </w:rPr>
              <w:t xml:space="preserve"> </w:t>
            </w:r>
            <w:r w:rsidRPr="001206AF">
              <w:rPr>
                <w:rFonts w:hAnsi="SimSun"/>
                <w:sz w:val="17"/>
                <w:szCs w:val="17"/>
              </w:rPr>
              <w:t>746</w:t>
            </w:r>
          </w:p>
        </w:tc>
        <w:tc>
          <w:tcPr>
            <w:tcW w:w="840"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551</w:t>
            </w:r>
          </w:p>
        </w:tc>
        <w:tc>
          <w:tcPr>
            <w:tcW w:w="546"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31.6%</w:t>
            </w:r>
          </w:p>
        </w:tc>
        <w:tc>
          <w:tcPr>
            <w:tcW w:w="966" w:type="dxa"/>
            <w:gridSpan w:val="2"/>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1</w:t>
            </w:r>
            <w:r>
              <w:rPr>
                <w:rFonts w:hAnsi="SimSun"/>
                <w:sz w:val="17"/>
                <w:szCs w:val="17"/>
              </w:rPr>
              <w:t xml:space="preserve"> </w:t>
            </w:r>
            <w:r w:rsidRPr="001206AF">
              <w:rPr>
                <w:rFonts w:hAnsi="SimSun"/>
                <w:sz w:val="17"/>
                <w:szCs w:val="17"/>
              </w:rPr>
              <w:t>853</w:t>
            </w:r>
          </w:p>
        </w:tc>
        <w:tc>
          <w:tcPr>
            <w:tcW w:w="840"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636</w:t>
            </w:r>
          </w:p>
        </w:tc>
        <w:tc>
          <w:tcPr>
            <w:tcW w:w="587"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34.3%</w:t>
            </w:r>
          </w:p>
        </w:tc>
        <w:tc>
          <w:tcPr>
            <w:tcW w:w="980" w:type="dxa"/>
            <w:gridSpan w:val="2"/>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1</w:t>
            </w:r>
            <w:r>
              <w:rPr>
                <w:rFonts w:hAnsi="SimSun"/>
                <w:sz w:val="17"/>
                <w:szCs w:val="17"/>
              </w:rPr>
              <w:t xml:space="preserve"> </w:t>
            </w:r>
            <w:r w:rsidRPr="001206AF">
              <w:rPr>
                <w:rFonts w:hAnsi="SimSun"/>
                <w:sz w:val="17"/>
                <w:szCs w:val="17"/>
              </w:rPr>
              <w:t>811</w:t>
            </w:r>
          </w:p>
        </w:tc>
        <w:tc>
          <w:tcPr>
            <w:tcW w:w="840"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910</w:t>
            </w:r>
          </w:p>
        </w:tc>
        <w:tc>
          <w:tcPr>
            <w:tcW w:w="557"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50.2%</w:t>
            </w:r>
          </w:p>
        </w:tc>
      </w:tr>
      <w:tr w:rsidR="0080267F" w:rsidRPr="005E4368" w:rsidTr="0023041C">
        <w:tblPrEx>
          <w:tblCellMar>
            <w:top w:w="0" w:type="dxa"/>
            <w:bottom w:w="0" w:type="dxa"/>
          </w:tblCellMar>
        </w:tblPrEx>
        <w:tc>
          <w:tcPr>
            <w:tcW w:w="294" w:type="dxa"/>
            <w:tcBorders>
              <w:bottom w:val="single" w:sz="12" w:space="0" w:color="auto"/>
            </w:tcBorders>
            <w:shd w:val="clear" w:color="auto" w:fill="auto"/>
            <w:vAlign w:val="bottom"/>
          </w:tcPr>
          <w:p w:rsidR="0080267F" w:rsidRPr="007141B3" w:rsidRDefault="0080267F" w:rsidP="0023041C">
            <w:pPr>
              <w:tabs>
                <w:tab w:val="left" w:pos="334"/>
                <w:tab w:val="left" w:pos="669"/>
                <w:tab w:val="left" w:pos="1003"/>
                <w:tab w:val="left" w:pos="1338"/>
              </w:tabs>
              <w:suppressAutoHyphens/>
              <w:spacing w:after="60" w:line="280" w:lineRule="exact"/>
              <w:ind w:right="57"/>
              <w:rPr>
                <w:rFonts w:ascii="STZhongsong" w:hAnsi="STZhongsong"/>
                <w:sz w:val="17"/>
              </w:rPr>
            </w:pPr>
            <w:r w:rsidRPr="007141B3">
              <w:rPr>
                <w:rFonts w:ascii="STZhongsong" w:hAnsi="STZhongsong" w:hint="eastAsia"/>
                <w:noProof/>
                <w:sz w:val="17"/>
              </w:rPr>
              <w:t>女</w:t>
            </w:r>
          </w:p>
        </w:tc>
        <w:tc>
          <w:tcPr>
            <w:tcW w:w="868"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Pr>
                <w:rFonts w:hAnsi="SimSun"/>
                <w:sz w:val="17"/>
                <w:szCs w:val="17"/>
              </w:rPr>
              <w:t xml:space="preserve">1 </w:t>
            </w:r>
            <w:r w:rsidRPr="001206AF">
              <w:rPr>
                <w:rFonts w:hAnsi="SimSun"/>
                <w:sz w:val="17"/>
                <w:szCs w:val="17"/>
              </w:rPr>
              <w:t>317</w:t>
            </w:r>
          </w:p>
        </w:tc>
        <w:tc>
          <w:tcPr>
            <w:tcW w:w="840"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475</w:t>
            </w:r>
          </w:p>
        </w:tc>
        <w:tc>
          <w:tcPr>
            <w:tcW w:w="546"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36.1%</w:t>
            </w:r>
          </w:p>
        </w:tc>
        <w:tc>
          <w:tcPr>
            <w:tcW w:w="966" w:type="dxa"/>
            <w:gridSpan w:val="2"/>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1</w:t>
            </w:r>
            <w:r>
              <w:rPr>
                <w:rFonts w:hAnsi="SimSun"/>
                <w:sz w:val="17"/>
                <w:szCs w:val="17"/>
              </w:rPr>
              <w:t xml:space="preserve"> </w:t>
            </w:r>
            <w:r w:rsidRPr="001206AF">
              <w:rPr>
                <w:rFonts w:hAnsi="SimSun"/>
                <w:sz w:val="17"/>
                <w:szCs w:val="17"/>
              </w:rPr>
              <w:t>377</w:t>
            </w:r>
          </w:p>
        </w:tc>
        <w:tc>
          <w:tcPr>
            <w:tcW w:w="840"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472</w:t>
            </w:r>
          </w:p>
        </w:tc>
        <w:tc>
          <w:tcPr>
            <w:tcW w:w="587"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34.3%</w:t>
            </w:r>
          </w:p>
        </w:tc>
        <w:tc>
          <w:tcPr>
            <w:tcW w:w="980" w:type="dxa"/>
            <w:gridSpan w:val="2"/>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1</w:t>
            </w:r>
            <w:r>
              <w:rPr>
                <w:rFonts w:hAnsi="SimSun"/>
                <w:sz w:val="17"/>
                <w:szCs w:val="17"/>
              </w:rPr>
              <w:t xml:space="preserve"> </w:t>
            </w:r>
            <w:r w:rsidRPr="001206AF">
              <w:rPr>
                <w:rFonts w:hAnsi="SimSun"/>
                <w:sz w:val="17"/>
                <w:szCs w:val="17"/>
              </w:rPr>
              <w:t>470</w:t>
            </w:r>
          </w:p>
        </w:tc>
        <w:tc>
          <w:tcPr>
            <w:tcW w:w="840"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594</w:t>
            </w:r>
          </w:p>
        </w:tc>
        <w:tc>
          <w:tcPr>
            <w:tcW w:w="557"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40.4%</w:t>
            </w:r>
          </w:p>
        </w:tc>
      </w:tr>
    </w:tbl>
    <w:p w:rsidR="0080267F" w:rsidRPr="001206AF" w:rsidRDefault="0080267F" w:rsidP="002304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sz w:val="10"/>
        </w:rPr>
      </w:pPr>
    </w:p>
    <w:p w:rsidR="0080267F" w:rsidRDefault="0080267F" w:rsidP="002304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pPr>
      <w:r w:rsidRPr="006C14AA">
        <w:tab/>
      </w:r>
      <w:r w:rsidRPr="006C14AA">
        <w:rPr>
          <w:rFonts w:hint="eastAsia"/>
        </w:rPr>
        <w:tab/>
      </w:r>
      <w:r w:rsidRPr="006C14AA">
        <w:rPr>
          <w:rFonts w:hint="eastAsia"/>
          <w:spacing w:val="6"/>
        </w:rPr>
        <w:t>2007-2009年中学六年级升入中学七年级的升学率(太平洋中学证书)(200</w:t>
      </w:r>
      <w:r w:rsidRPr="006C14AA">
        <w:rPr>
          <w:rFonts w:hint="eastAsia"/>
        </w:rPr>
        <w:t>7-</w:t>
      </w:r>
      <w:r w:rsidRPr="006C14AA">
        <w:br/>
      </w:r>
      <w:r w:rsidRPr="006C14AA">
        <w:rPr>
          <w:rFonts w:hint="eastAsia"/>
        </w:rPr>
        <w:t>2009年业绩评估框架)</w:t>
      </w:r>
    </w:p>
    <w:tbl>
      <w:tblPr>
        <w:tblW w:w="0" w:type="auto"/>
        <w:tblInd w:w="1260" w:type="dxa"/>
        <w:tblLayout w:type="fixed"/>
        <w:tblCellMar>
          <w:left w:w="0" w:type="dxa"/>
          <w:right w:w="0" w:type="dxa"/>
        </w:tblCellMar>
        <w:tblLook w:val="0000"/>
      </w:tblPr>
      <w:tblGrid>
        <w:gridCol w:w="294"/>
        <w:gridCol w:w="868"/>
        <w:gridCol w:w="840"/>
        <w:gridCol w:w="546"/>
        <w:gridCol w:w="84"/>
        <w:gridCol w:w="882"/>
        <w:gridCol w:w="840"/>
        <w:gridCol w:w="587"/>
        <w:gridCol w:w="98"/>
        <w:gridCol w:w="882"/>
        <w:gridCol w:w="840"/>
        <w:gridCol w:w="557"/>
      </w:tblGrid>
      <w:tr w:rsidR="0080267F" w:rsidRPr="005E4368" w:rsidTr="0023041C">
        <w:tblPrEx>
          <w:tblCellMar>
            <w:top w:w="0" w:type="dxa"/>
            <w:bottom w:w="0" w:type="dxa"/>
          </w:tblCellMar>
        </w:tblPrEx>
        <w:trPr>
          <w:tblHeader/>
        </w:trPr>
        <w:tc>
          <w:tcPr>
            <w:tcW w:w="294" w:type="dxa"/>
            <w:tcBorders>
              <w:top w:val="single" w:sz="4" w:space="0" w:color="auto"/>
            </w:tcBorders>
            <w:shd w:val="clear" w:color="auto" w:fill="auto"/>
            <w:vAlign w:val="bottom"/>
          </w:tcPr>
          <w:p w:rsidR="0080267F" w:rsidRPr="005E4368" w:rsidRDefault="0080267F" w:rsidP="0023041C">
            <w:pPr>
              <w:suppressAutoHyphens/>
              <w:spacing w:before="60" w:after="60" w:line="200" w:lineRule="exact"/>
              <w:ind w:right="57"/>
              <w:rPr>
                <w:rFonts w:ascii="KaiTi_GB2312" w:eastAsia="KaiTi_GB2312" w:hAnsi="STZhongsong"/>
                <w:sz w:val="15"/>
              </w:rPr>
            </w:pPr>
          </w:p>
        </w:tc>
        <w:tc>
          <w:tcPr>
            <w:tcW w:w="2254" w:type="dxa"/>
            <w:gridSpan w:val="3"/>
            <w:tcBorders>
              <w:top w:val="single" w:sz="4" w:space="0" w:color="auto"/>
              <w:bottom w:val="single" w:sz="4" w:space="0" w:color="auto"/>
            </w:tcBorders>
            <w:shd w:val="clear" w:color="auto" w:fill="auto"/>
            <w:vAlign w:val="bottom"/>
          </w:tcPr>
          <w:p w:rsidR="0080267F" w:rsidRPr="005E4368" w:rsidRDefault="0080267F" w:rsidP="0023041C">
            <w:pPr>
              <w:suppressAutoHyphens/>
              <w:spacing w:before="60" w:after="60" w:line="200" w:lineRule="exact"/>
              <w:ind w:right="57"/>
              <w:jc w:val="center"/>
              <w:rPr>
                <w:rFonts w:ascii="KaiTi_GB2312" w:eastAsia="KaiTi_GB2312" w:hAnsi="STZhongsong" w:hint="eastAsia"/>
                <w:sz w:val="15"/>
              </w:rPr>
            </w:pPr>
            <w:r w:rsidRPr="005E4368">
              <w:rPr>
                <w:rFonts w:ascii="KaiTi_GB2312" w:eastAsia="KaiTi_GB2312" w:hAnsi="STZhongsong"/>
                <w:noProof/>
                <w:sz w:val="15"/>
              </w:rPr>
              <w:t>2007</w:t>
            </w:r>
            <w:r w:rsidRPr="005E4368">
              <w:rPr>
                <w:rFonts w:ascii="KaiTi_GB2312" w:eastAsia="KaiTi_GB2312" w:hAnsi="STZhongsong" w:hint="eastAsia"/>
                <w:noProof/>
                <w:sz w:val="15"/>
              </w:rPr>
              <w:t>年</w:t>
            </w:r>
          </w:p>
        </w:tc>
        <w:tc>
          <w:tcPr>
            <w:tcW w:w="84" w:type="dxa"/>
            <w:tcBorders>
              <w:top w:val="single" w:sz="4" w:space="0" w:color="auto"/>
            </w:tcBorders>
            <w:shd w:val="clear" w:color="auto" w:fill="auto"/>
            <w:vAlign w:val="bottom"/>
          </w:tcPr>
          <w:p w:rsidR="0080267F" w:rsidRPr="005E4368" w:rsidRDefault="0080267F" w:rsidP="0023041C">
            <w:pPr>
              <w:suppressAutoHyphens/>
              <w:spacing w:before="60" w:after="60" w:line="200" w:lineRule="exact"/>
              <w:ind w:right="57"/>
              <w:jc w:val="center"/>
              <w:rPr>
                <w:rFonts w:ascii="KaiTi_GB2312" w:eastAsia="KaiTi_GB2312" w:hAnsi="STZhongsong" w:hint="eastAsia"/>
                <w:sz w:val="15"/>
              </w:rPr>
            </w:pPr>
          </w:p>
        </w:tc>
        <w:tc>
          <w:tcPr>
            <w:tcW w:w="2309" w:type="dxa"/>
            <w:gridSpan w:val="3"/>
            <w:tcBorders>
              <w:top w:val="single" w:sz="4" w:space="0" w:color="auto"/>
              <w:bottom w:val="single" w:sz="4" w:space="0" w:color="auto"/>
            </w:tcBorders>
            <w:shd w:val="clear" w:color="auto" w:fill="auto"/>
            <w:vAlign w:val="bottom"/>
          </w:tcPr>
          <w:p w:rsidR="0080267F" w:rsidRPr="005E4368" w:rsidRDefault="0080267F" w:rsidP="0023041C">
            <w:pPr>
              <w:suppressAutoHyphens/>
              <w:spacing w:before="60" w:after="60" w:line="200" w:lineRule="exact"/>
              <w:ind w:right="57"/>
              <w:jc w:val="center"/>
              <w:rPr>
                <w:rFonts w:ascii="KaiTi_GB2312" w:eastAsia="KaiTi_GB2312" w:hAnsi="STZhongsong" w:hint="eastAsia"/>
                <w:sz w:val="15"/>
              </w:rPr>
            </w:pPr>
            <w:r w:rsidRPr="005E4368">
              <w:rPr>
                <w:rFonts w:ascii="KaiTi_GB2312" w:eastAsia="KaiTi_GB2312" w:hAnsi="STZhongsong"/>
                <w:noProof/>
                <w:sz w:val="15"/>
              </w:rPr>
              <w:t>2008</w:t>
            </w:r>
            <w:r w:rsidRPr="005E4368">
              <w:rPr>
                <w:rFonts w:ascii="KaiTi_GB2312" w:eastAsia="KaiTi_GB2312" w:hAnsi="STZhongsong" w:hint="eastAsia"/>
                <w:noProof/>
                <w:sz w:val="15"/>
              </w:rPr>
              <w:t>年</w:t>
            </w:r>
          </w:p>
        </w:tc>
        <w:tc>
          <w:tcPr>
            <w:tcW w:w="98" w:type="dxa"/>
            <w:tcBorders>
              <w:top w:val="single" w:sz="4" w:space="0" w:color="auto"/>
            </w:tcBorders>
            <w:shd w:val="clear" w:color="auto" w:fill="auto"/>
            <w:vAlign w:val="bottom"/>
          </w:tcPr>
          <w:p w:rsidR="0080267F" w:rsidRPr="005E4368" w:rsidRDefault="0080267F" w:rsidP="0023041C">
            <w:pPr>
              <w:suppressAutoHyphens/>
              <w:spacing w:before="60" w:after="60" w:line="200" w:lineRule="exact"/>
              <w:ind w:right="57"/>
              <w:jc w:val="center"/>
              <w:rPr>
                <w:rFonts w:ascii="KaiTi_GB2312" w:eastAsia="KaiTi_GB2312" w:hAnsi="STZhongsong" w:hint="eastAsia"/>
                <w:sz w:val="15"/>
              </w:rPr>
            </w:pPr>
          </w:p>
        </w:tc>
        <w:tc>
          <w:tcPr>
            <w:tcW w:w="2279" w:type="dxa"/>
            <w:gridSpan w:val="3"/>
            <w:tcBorders>
              <w:top w:val="single" w:sz="4" w:space="0" w:color="auto"/>
              <w:bottom w:val="single" w:sz="4" w:space="0" w:color="auto"/>
            </w:tcBorders>
            <w:shd w:val="clear" w:color="auto" w:fill="auto"/>
            <w:vAlign w:val="bottom"/>
          </w:tcPr>
          <w:p w:rsidR="0080267F" w:rsidRPr="005E4368" w:rsidRDefault="0080267F" w:rsidP="0023041C">
            <w:pPr>
              <w:suppressAutoHyphens/>
              <w:spacing w:before="60" w:after="60" w:line="200" w:lineRule="exact"/>
              <w:ind w:right="57"/>
              <w:jc w:val="center"/>
              <w:rPr>
                <w:rFonts w:ascii="KaiTi_GB2312" w:eastAsia="KaiTi_GB2312" w:hAnsi="STZhongsong" w:hint="eastAsia"/>
                <w:sz w:val="15"/>
              </w:rPr>
            </w:pPr>
            <w:r w:rsidRPr="005E4368">
              <w:rPr>
                <w:rFonts w:ascii="KaiTi_GB2312" w:eastAsia="KaiTi_GB2312" w:hAnsi="STZhongsong"/>
                <w:noProof/>
                <w:sz w:val="15"/>
              </w:rPr>
              <w:t>2009</w:t>
            </w:r>
            <w:r w:rsidRPr="005E4368">
              <w:rPr>
                <w:rFonts w:ascii="KaiTi_GB2312" w:eastAsia="KaiTi_GB2312" w:hAnsi="STZhongsong" w:hint="eastAsia"/>
                <w:noProof/>
                <w:sz w:val="15"/>
              </w:rPr>
              <w:t>年</w:t>
            </w:r>
          </w:p>
        </w:tc>
      </w:tr>
      <w:tr w:rsidR="0080267F" w:rsidRPr="005E4368" w:rsidTr="0023041C">
        <w:tblPrEx>
          <w:tblCellMar>
            <w:top w:w="0" w:type="dxa"/>
            <w:bottom w:w="0" w:type="dxa"/>
          </w:tblCellMar>
        </w:tblPrEx>
        <w:trPr>
          <w:tblHeader/>
        </w:trPr>
        <w:tc>
          <w:tcPr>
            <w:tcW w:w="294" w:type="dxa"/>
            <w:tcBorders>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rPr>
                <w:rFonts w:ascii="KaiTi_GB2312" w:eastAsia="KaiTi_GB2312"/>
                <w:sz w:val="15"/>
              </w:rPr>
            </w:pPr>
          </w:p>
        </w:tc>
        <w:tc>
          <w:tcPr>
            <w:tcW w:w="868" w:type="dxa"/>
            <w:tcBorders>
              <w:top w:val="single" w:sz="4" w:space="0" w:color="auto"/>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jc w:val="right"/>
              <w:rPr>
                <w:rFonts w:ascii="KaiTi_GB2312" w:eastAsia="KaiTi_GB2312"/>
                <w:spacing w:val="-8"/>
                <w:sz w:val="15"/>
              </w:rPr>
            </w:pPr>
            <w:r w:rsidRPr="005E4368">
              <w:rPr>
                <w:rFonts w:ascii="KaiTi_GB2312" w:eastAsia="KaiTi_GB2312" w:hAnsi="STZhongsong" w:hint="eastAsia"/>
                <w:noProof/>
                <w:spacing w:val="-8"/>
                <w:sz w:val="15"/>
              </w:rPr>
              <w:t>在校生总人数</w:t>
            </w:r>
          </w:p>
        </w:tc>
        <w:tc>
          <w:tcPr>
            <w:tcW w:w="840" w:type="dxa"/>
            <w:tcBorders>
              <w:top w:val="single" w:sz="4" w:space="0" w:color="auto"/>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jc w:val="right"/>
              <w:rPr>
                <w:rFonts w:ascii="KaiTi_GB2312" w:eastAsia="KaiTi_GB2312"/>
                <w:sz w:val="15"/>
              </w:rPr>
            </w:pPr>
            <w:r w:rsidRPr="005E4368">
              <w:rPr>
                <w:rFonts w:ascii="KaiTi_GB2312" w:eastAsia="KaiTi_GB2312" w:hAnsi="STZhongsong" w:hint="eastAsia"/>
                <w:noProof/>
                <w:sz w:val="15"/>
              </w:rPr>
              <w:t>升学总人数</w:t>
            </w:r>
          </w:p>
        </w:tc>
        <w:tc>
          <w:tcPr>
            <w:tcW w:w="546" w:type="dxa"/>
            <w:tcBorders>
              <w:top w:val="single" w:sz="4" w:space="0" w:color="auto"/>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jc w:val="right"/>
              <w:rPr>
                <w:rFonts w:ascii="KaiTi_GB2312" w:eastAsia="KaiTi_GB2312"/>
                <w:sz w:val="15"/>
              </w:rPr>
            </w:pPr>
            <w:r w:rsidRPr="005E4368">
              <w:rPr>
                <w:rFonts w:ascii="KaiTi_GB2312" w:eastAsia="KaiTi_GB2312" w:hAnsi="STZhongsong" w:hint="eastAsia"/>
                <w:noProof/>
                <w:sz w:val="15"/>
              </w:rPr>
              <w:t>升学率</w:t>
            </w:r>
          </w:p>
        </w:tc>
        <w:tc>
          <w:tcPr>
            <w:tcW w:w="966" w:type="dxa"/>
            <w:gridSpan w:val="2"/>
            <w:tcBorders>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jc w:val="right"/>
              <w:rPr>
                <w:rFonts w:ascii="KaiTi_GB2312" w:eastAsia="KaiTi_GB2312"/>
                <w:sz w:val="15"/>
              </w:rPr>
            </w:pPr>
            <w:r w:rsidRPr="005E4368">
              <w:rPr>
                <w:rFonts w:ascii="KaiTi_GB2312" w:eastAsia="KaiTi_GB2312" w:hAnsi="STZhongsong" w:hint="eastAsia"/>
                <w:noProof/>
                <w:spacing w:val="-4"/>
                <w:sz w:val="15"/>
              </w:rPr>
              <w:t>在校生总人数</w:t>
            </w:r>
          </w:p>
        </w:tc>
        <w:tc>
          <w:tcPr>
            <w:tcW w:w="840" w:type="dxa"/>
            <w:tcBorders>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jc w:val="right"/>
              <w:rPr>
                <w:rFonts w:ascii="KaiTi_GB2312" w:eastAsia="KaiTi_GB2312"/>
                <w:sz w:val="15"/>
              </w:rPr>
            </w:pPr>
            <w:r w:rsidRPr="005E4368">
              <w:rPr>
                <w:rFonts w:ascii="KaiTi_GB2312" w:eastAsia="KaiTi_GB2312" w:hAnsi="STZhongsong" w:hint="eastAsia"/>
                <w:noProof/>
                <w:sz w:val="15"/>
              </w:rPr>
              <w:t>升学总人数</w:t>
            </w:r>
          </w:p>
        </w:tc>
        <w:tc>
          <w:tcPr>
            <w:tcW w:w="587" w:type="dxa"/>
            <w:tcBorders>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jc w:val="right"/>
              <w:rPr>
                <w:rFonts w:ascii="KaiTi_GB2312" w:eastAsia="KaiTi_GB2312"/>
                <w:sz w:val="15"/>
              </w:rPr>
            </w:pPr>
            <w:r w:rsidRPr="005E4368">
              <w:rPr>
                <w:rFonts w:ascii="KaiTi_GB2312" w:eastAsia="KaiTi_GB2312" w:hAnsi="STZhongsong" w:hint="eastAsia"/>
                <w:noProof/>
                <w:sz w:val="15"/>
              </w:rPr>
              <w:t>升学率</w:t>
            </w:r>
          </w:p>
        </w:tc>
        <w:tc>
          <w:tcPr>
            <w:tcW w:w="980" w:type="dxa"/>
            <w:gridSpan w:val="2"/>
            <w:tcBorders>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jc w:val="right"/>
              <w:rPr>
                <w:rFonts w:ascii="KaiTi_GB2312" w:eastAsia="KaiTi_GB2312"/>
                <w:spacing w:val="-4"/>
                <w:sz w:val="15"/>
              </w:rPr>
            </w:pPr>
            <w:r w:rsidRPr="005E4368">
              <w:rPr>
                <w:rFonts w:ascii="KaiTi_GB2312" w:eastAsia="KaiTi_GB2312" w:hAnsi="STZhongsong" w:hint="eastAsia"/>
                <w:noProof/>
                <w:spacing w:val="-4"/>
                <w:sz w:val="15"/>
              </w:rPr>
              <w:t>在校生总人数</w:t>
            </w:r>
          </w:p>
        </w:tc>
        <w:tc>
          <w:tcPr>
            <w:tcW w:w="840" w:type="dxa"/>
            <w:tcBorders>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jc w:val="right"/>
              <w:rPr>
                <w:rFonts w:ascii="KaiTi_GB2312" w:eastAsia="KaiTi_GB2312"/>
                <w:sz w:val="15"/>
              </w:rPr>
            </w:pPr>
            <w:r w:rsidRPr="005E4368">
              <w:rPr>
                <w:rFonts w:ascii="KaiTi_GB2312" w:eastAsia="KaiTi_GB2312" w:hAnsi="STZhongsong" w:hint="eastAsia"/>
                <w:noProof/>
                <w:sz w:val="15"/>
              </w:rPr>
              <w:t>升学总人数</w:t>
            </w:r>
          </w:p>
        </w:tc>
        <w:tc>
          <w:tcPr>
            <w:tcW w:w="557" w:type="dxa"/>
            <w:tcBorders>
              <w:bottom w:val="single" w:sz="12" w:space="0" w:color="auto"/>
            </w:tcBorders>
            <w:shd w:val="clear" w:color="auto" w:fill="auto"/>
            <w:vAlign w:val="bottom"/>
          </w:tcPr>
          <w:p w:rsidR="0080267F" w:rsidRPr="005E4368" w:rsidRDefault="0080267F" w:rsidP="0023041C">
            <w:pPr>
              <w:tabs>
                <w:tab w:val="left" w:pos="360"/>
                <w:tab w:val="left" w:pos="720"/>
                <w:tab w:val="left" w:pos="1080"/>
                <w:tab w:val="left" w:pos="1440"/>
              </w:tabs>
              <w:suppressAutoHyphens/>
              <w:spacing w:after="60" w:line="200" w:lineRule="exact"/>
              <w:ind w:right="57"/>
              <w:jc w:val="right"/>
              <w:rPr>
                <w:rFonts w:ascii="KaiTi_GB2312" w:eastAsia="KaiTi_GB2312"/>
                <w:sz w:val="15"/>
              </w:rPr>
            </w:pPr>
            <w:r w:rsidRPr="005E4368">
              <w:rPr>
                <w:rFonts w:ascii="KaiTi_GB2312" w:eastAsia="KaiTi_GB2312" w:hAnsi="STZhongsong" w:hint="eastAsia"/>
                <w:noProof/>
                <w:sz w:val="15"/>
              </w:rPr>
              <w:t>升学率</w:t>
            </w:r>
          </w:p>
        </w:tc>
      </w:tr>
      <w:tr w:rsidR="0080267F" w:rsidRPr="005E4368" w:rsidTr="0023041C">
        <w:tblPrEx>
          <w:tblCellMar>
            <w:top w:w="0" w:type="dxa"/>
            <w:bottom w:w="0" w:type="dxa"/>
          </w:tblCellMar>
        </w:tblPrEx>
        <w:trPr>
          <w:trHeight w:hRule="exact" w:val="115"/>
          <w:tblHeader/>
        </w:trPr>
        <w:tc>
          <w:tcPr>
            <w:tcW w:w="294" w:type="dxa"/>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rPr>
                <w:rFonts w:ascii="STZhongsong" w:hAnsi="STZhongsong" w:hint="eastAsia"/>
                <w:b/>
                <w:noProof/>
                <w:sz w:val="17"/>
              </w:rPr>
            </w:pPr>
          </w:p>
        </w:tc>
        <w:tc>
          <w:tcPr>
            <w:tcW w:w="868" w:type="dxa"/>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840" w:type="dxa"/>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46" w:type="dxa"/>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966" w:type="dxa"/>
            <w:gridSpan w:val="2"/>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840" w:type="dxa"/>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87" w:type="dxa"/>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980" w:type="dxa"/>
            <w:gridSpan w:val="2"/>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840" w:type="dxa"/>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c>
          <w:tcPr>
            <w:tcW w:w="557" w:type="dxa"/>
            <w:tcBorders>
              <w:top w:val="single" w:sz="12" w:space="0" w:color="auto"/>
            </w:tcBorders>
            <w:shd w:val="clear" w:color="auto" w:fill="auto"/>
            <w:vAlign w:val="bottom"/>
          </w:tcPr>
          <w:p w:rsidR="0080267F" w:rsidRPr="005E4368" w:rsidRDefault="0080267F" w:rsidP="0023041C">
            <w:pPr>
              <w:tabs>
                <w:tab w:val="left" w:pos="334"/>
                <w:tab w:val="left" w:pos="669"/>
                <w:tab w:val="left" w:pos="1003"/>
                <w:tab w:val="left" w:pos="1338"/>
              </w:tabs>
              <w:suppressAutoHyphens/>
              <w:spacing w:after="60" w:line="280" w:lineRule="exact"/>
              <w:ind w:right="57"/>
              <w:jc w:val="right"/>
              <w:rPr>
                <w:sz w:val="17"/>
                <w:szCs w:val="24"/>
              </w:rPr>
            </w:pPr>
          </w:p>
        </w:tc>
      </w:tr>
      <w:tr w:rsidR="0080267F" w:rsidRPr="005E4368" w:rsidTr="0023041C">
        <w:tblPrEx>
          <w:tblCellMar>
            <w:top w:w="0" w:type="dxa"/>
            <w:bottom w:w="0" w:type="dxa"/>
          </w:tblCellMar>
        </w:tblPrEx>
        <w:tc>
          <w:tcPr>
            <w:tcW w:w="294" w:type="dxa"/>
            <w:shd w:val="clear" w:color="auto" w:fill="auto"/>
            <w:vAlign w:val="bottom"/>
          </w:tcPr>
          <w:p w:rsidR="0080267F" w:rsidRPr="007141B3" w:rsidRDefault="0080267F" w:rsidP="0023041C">
            <w:pPr>
              <w:tabs>
                <w:tab w:val="left" w:pos="334"/>
                <w:tab w:val="left" w:pos="669"/>
                <w:tab w:val="left" w:pos="1003"/>
                <w:tab w:val="left" w:pos="1338"/>
              </w:tabs>
              <w:suppressAutoHyphens/>
              <w:spacing w:after="60" w:line="280" w:lineRule="exact"/>
              <w:ind w:right="57"/>
              <w:rPr>
                <w:rFonts w:ascii="STZhongsong" w:hAnsi="STZhongsong"/>
                <w:sz w:val="17"/>
              </w:rPr>
            </w:pPr>
            <w:r w:rsidRPr="007141B3">
              <w:rPr>
                <w:rFonts w:ascii="STZhongsong" w:hAnsi="STZhongsong" w:hint="eastAsia"/>
                <w:noProof/>
                <w:sz w:val="17"/>
              </w:rPr>
              <w:t>男</w:t>
            </w:r>
          </w:p>
        </w:tc>
        <w:tc>
          <w:tcPr>
            <w:tcW w:w="868"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1</w:t>
            </w:r>
            <w:r>
              <w:rPr>
                <w:rFonts w:hAnsi="SimSun"/>
                <w:sz w:val="17"/>
                <w:szCs w:val="17"/>
              </w:rPr>
              <w:t xml:space="preserve"> </w:t>
            </w:r>
            <w:r w:rsidRPr="001206AF">
              <w:rPr>
                <w:rFonts w:hAnsi="SimSun"/>
                <w:sz w:val="17"/>
                <w:szCs w:val="17"/>
              </w:rPr>
              <w:t>067</w:t>
            </w:r>
          </w:p>
        </w:tc>
        <w:tc>
          <w:tcPr>
            <w:tcW w:w="840"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166</w:t>
            </w:r>
          </w:p>
        </w:tc>
        <w:tc>
          <w:tcPr>
            <w:tcW w:w="546"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15.6%</w:t>
            </w:r>
          </w:p>
        </w:tc>
        <w:tc>
          <w:tcPr>
            <w:tcW w:w="966" w:type="dxa"/>
            <w:gridSpan w:val="2"/>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1</w:t>
            </w:r>
            <w:r>
              <w:rPr>
                <w:rFonts w:hAnsi="SimSun"/>
                <w:sz w:val="17"/>
                <w:szCs w:val="17"/>
              </w:rPr>
              <w:t xml:space="preserve"> </w:t>
            </w:r>
            <w:r w:rsidRPr="001206AF">
              <w:rPr>
                <w:rFonts w:hAnsi="SimSun"/>
                <w:sz w:val="17"/>
                <w:szCs w:val="17"/>
              </w:rPr>
              <w:t>123</w:t>
            </w:r>
          </w:p>
        </w:tc>
        <w:tc>
          <w:tcPr>
            <w:tcW w:w="840"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164</w:t>
            </w:r>
          </w:p>
        </w:tc>
        <w:tc>
          <w:tcPr>
            <w:tcW w:w="587"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14.6%</w:t>
            </w:r>
          </w:p>
        </w:tc>
        <w:tc>
          <w:tcPr>
            <w:tcW w:w="980" w:type="dxa"/>
            <w:gridSpan w:val="2"/>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988</w:t>
            </w:r>
          </w:p>
        </w:tc>
        <w:tc>
          <w:tcPr>
            <w:tcW w:w="840"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207</w:t>
            </w:r>
          </w:p>
        </w:tc>
        <w:tc>
          <w:tcPr>
            <w:tcW w:w="557"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21%</w:t>
            </w:r>
          </w:p>
        </w:tc>
      </w:tr>
      <w:tr w:rsidR="0080267F" w:rsidRPr="005E4368" w:rsidTr="0023041C">
        <w:tblPrEx>
          <w:tblCellMar>
            <w:top w:w="0" w:type="dxa"/>
            <w:bottom w:w="0" w:type="dxa"/>
          </w:tblCellMar>
        </w:tblPrEx>
        <w:tc>
          <w:tcPr>
            <w:tcW w:w="294" w:type="dxa"/>
            <w:tcBorders>
              <w:bottom w:val="single" w:sz="12" w:space="0" w:color="auto"/>
            </w:tcBorders>
            <w:shd w:val="clear" w:color="auto" w:fill="auto"/>
            <w:vAlign w:val="bottom"/>
          </w:tcPr>
          <w:p w:rsidR="0080267F" w:rsidRPr="007141B3" w:rsidRDefault="0080267F" w:rsidP="0023041C">
            <w:pPr>
              <w:tabs>
                <w:tab w:val="left" w:pos="334"/>
                <w:tab w:val="left" w:pos="669"/>
                <w:tab w:val="left" w:pos="1003"/>
                <w:tab w:val="left" w:pos="1338"/>
              </w:tabs>
              <w:suppressAutoHyphens/>
              <w:spacing w:after="60" w:line="280" w:lineRule="exact"/>
              <w:ind w:right="57"/>
              <w:rPr>
                <w:rFonts w:ascii="STZhongsong" w:hAnsi="STZhongsong"/>
                <w:sz w:val="17"/>
              </w:rPr>
            </w:pPr>
            <w:r w:rsidRPr="007141B3">
              <w:rPr>
                <w:rFonts w:ascii="STZhongsong" w:hAnsi="STZhongsong" w:hint="eastAsia"/>
                <w:noProof/>
                <w:sz w:val="17"/>
              </w:rPr>
              <w:t>女</w:t>
            </w:r>
          </w:p>
        </w:tc>
        <w:tc>
          <w:tcPr>
            <w:tcW w:w="868"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549</w:t>
            </w:r>
          </w:p>
        </w:tc>
        <w:tc>
          <w:tcPr>
            <w:tcW w:w="840"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115</w:t>
            </w:r>
          </w:p>
        </w:tc>
        <w:tc>
          <w:tcPr>
            <w:tcW w:w="546"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20.9%</w:t>
            </w:r>
          </w:p>
        </w:tc>
        <w:tc>
          <w:tcPr>
            <w:tcW w:w="966" w:type="dxa"/>
            <w:gridSpan w:val="2"/>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745</w:t>
            </w:r>
          </w:p>
        </w:tc>
        <w:tc>
          <w:tcPr>
            <w:tcW w:w="840"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109</w:t>
            </w:r>
          </w:p>
        </w:tc>
        <w:tc>
          <w:tcPr>
            <w:tcW w:w="587"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14.6%</w:t>
            </w:r>
          </w:p>
        </w:tc>
        <w:tc>
          <w:tcPr>
            <w:tcW w:w="980" w:type="dxa"/>
            <w:gridSpan w:val="2"/>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599</w:t>
            </w:r>
          </w:p>
        </w:tc>
        <w:tc>
          <w:tcPr>
            <w:tcW w:w="840"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128</w:t>
            </w:r>
          </w:p>
        </w:tc>
        <w:tc>
          <w:tcPr>
            <w:tcW w:w="557"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1206AF">
              <w:rPr>
                <w:rFonts w:hAnsi="SimSun"/>
                <w:sz w:val="17"/>
                <w:szCs w:val="17"/>
              </w:rPr>
              <w:t>21.4%</w:t>
            </w:r>
          </w:p>
        </w:tc>
      </w:tr>
    </w:tbl>
    <w:p w:rsidR="0023041C" w:rsidRPr="0023041C" w:rsidRDefault="0023041C" w:rsidP="002304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4" w:right="1259" w:hanging="1264"/>
        <w:rPr>
          <w:sz w:val="10"/>
        </w:rPr>
      </w:pPr>
    </w:p>
    <w:p w:rsidR="0080267F" w:rsidRDefault="0080267F" w:rsidP="002304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pPr>
      <w:r w:rsidRPr="006C14AA">
        <w:tab/>
      </w:r>
      <w:r w:rsidRPr="006C14AA">
        <w:rPr>
          <w:rFonts w:hint="eastAsia"/>
        </w:rPr>
        <w:tab/>
        <w:t>按性别和年级分列的2006-2009年教育辍学率(2006-2008年和2007-2009年业绩评估框架)</w:t>
      </w:r>
    </w:p>
    <w:tbl>
      <w:tblPr>
        <w:tblW w:w="0" w:type="auto"/>
        <w:tblInd w:w="1260" w:type="dxa"/>
        <w:tblLayout w:type="fixed"/>
        <w:tblCellMar>
          <w:left w:w="0" w:type="dxa"/>
          <w:right w:w="0" w:type="dxa"/>
        </w:tblCellMar>
        <w:tblLook w:val="0000"/>
      </w:tblPr>
      <w:tblGrid>
        <w:gridCol w:w="563"/>
        <w:gridCol w:w="563"/>
        <w:gridCol w:w="563"/>
        <w:gridCol w:w="563"/>
        <w:gridCol w:w="100"/>
        <w:gridCol w:w="463"/>
        <w:gridCol w:w="563"/>
        <w:gridCol w:w="563"/>
        <w:gridCol w:w="91"/>
        <w:gridCol w:w="483"/>
        <w:gridCol w:w="552"/>
        <w:gridCol w:w="563"/>
        <w:gridCol w:w="109"/>
        <w:gridCol w:w="454"/>
        <w:gridCol w:w="563"/>
        <w:gridCol w:w="563"/>
      </w:tblGrid>
      <w:tr w:rsidR="0080267F" w:rsidRPr="001206AF" w:rsidTr="0023041C">
        <w:tblPrEx>
          <w:tblCellMar>
            <w:top w:w="0" w:type="dxa"/>
            <w:bottom w:w="0" w:type="dxa"/>
          </w:tblCellMar>
        </w:tblPrEx>
        <w:trPr>
          <w:tblHeader/>
        </w:trPr>
        <w:tc>
          <w:tcPr>
            <w:tcW w:w="563" w:type="dxa"/>
            <w:tcBorders>
              <w:top w:val="single" w:sz="4" w:space="0" w:color="auto"/>
            </w:tcBorders>
            <w:shd w:val="clear" w:color="auto" w:fill="auto"/>
            <w:vAlign w:val="bottom"/>
          </w:tcPr>
          <w:p w:rsidR="0080267F" w:rsidRPr="001206AF" w:rsidRDefault="0080267F" w:rsidP="0023041C">
            <w:pPr>
              <w:suppressAutoHyphens/>
              <w:spacing w:before="60" w:after="60" w:line="200" w:lineRule="exact"/>
              <w:ind w:right="57"/>
              <w:rPr>
                <w:rFonts w:ascii="KaiTi_GB2312" w:eastAsia="KaiTi_GB2312" w:hAnsi="SimSun" w:hint="eastAsia"/>
                <w:sz w:val="15"/>
              </w:rPr>
            </w:pPr>
          </w:p>
        </w:tc>
        <w:tc>
          <w:tcPr>
            <w:tcW w:w="1689" w:type="dxa"/>
            <w:gridSpan w:val="3"/>
            <w:tcBorders>
              <w:top w:val="single" w:sz="4" w:space="0" w:color="auto"/>
              <w:bottom w:val="single" w:sz="4" w:space="0" w:color="auto"/>
            </w:tcBorders>
            <w:shd w:val="clear" w:color="auto" w:fill="auto"/>
            <w:vAlign w:val="bottom"/>
          </w:tcPr>
          <w:p w:rsidR="0080267F" w:rsidRPr="001206AF" w:rsidRDefault="0080267F" w:rsidP="0023041C">
            <w:pPr>
              <w:suppressAutoHyphens/>
              <w:spacing w:before="60" w:after="60" w:line="200" w:lineRule="exact"/>
              <w:ind w:right="57"/>
              <w:jc w:val="center"/>
              <w:rPr>
                <w:rFonts w:ascii="KaiTi_GB2312" w:eastAsia="KaiTi_GB2312" w:hAnsi="SimSun"/>
                <w:sz w:val="15"/>
              </w:rPr>
            </w:pPr>
            <w:r w:rsidRPr="001206AF">
              <w:rPr>
                <w:rFonts w:ascii="KaiTi_GB2312" w:eastAsia="KaiTi_GB2312" w:hAnsi="SimSun"/>
                <w:noProof/>
                <w:sz w:val="15"/>
              </w:rPr>
              <w:t>2006</w:t>
            </w:r>
            <w:r w:rsidRPr="001206AF">
              <w:rPr>
                <w:rFonts w:ascii="KaiTi_GB2312" w:eastAsia="KaiTi_GB2312" w:hAnsi="SimSun" w:hint="eastAsia"/>
                <w:noProof/>
                <w:sz w:val="15"/>
              </w:rPr>
              <w:t>年</w:t>
            </w:r>
          </w:p>
        </w:tc>
        <w:tc>
          <w:tcPr>
            <w:tcW w:w="100" w:type="dxa"/>
            <w:tcBorders>
              <w:top w:val="single" w:sz="4" w:space="0" w:color="auto"/>
            </w:tcBorders>
            <w:shd w:val="clear" w:color="auto" w:fill="auto"/>
            <w:vAlign w:val="bottom"/>
          </w:tcPr>
          <w:p w:rsidR="0080267F" w:rsidRPr="001206AF" w:rsidRDefault="0080267F" w:rsidP="0023041C">
            <w:pPr>
              <w:suppressAutoHyphens/>
              <w:spacing w:before="60" w:after="60" w:line="200" w:lineRule="exact"/>
              <w:ind w:right="57"/>
              <w:jc w:val="right"/>
              <w:rPr>
                <w:rFonts w:ascii="KaiTi_GB2312" w:eastAsia="KaiTi_GB2312" w:hAnsi="SimSun" w:hint="eastAsia"/>
                <w:sz w:val="15"/>
              </w:rPr>
            </w:pPr>
          </w:p>
        </w:tc>
        <w:tc>
          <w:tcPr>
            <w:tcW w:w="1589" w:type="dxa"/>
            <w:gridSpan w:val="3"/>
            <w:tcBorders>
              <w:top w:val="single" w:sz="4" w:space="0" w:color="auto"/>
              <w:bottom w:val="single" w:sz="4" w:space="0" w:color="auto"/>
            </w:tcBorders>
            <w:shd w:val="clear" w:color="auto" w:fill="auto"/>
            <w:vAlign w:val="bottom"/>
          </w:tcPr>
          <w:p w:rsidR="0080267F" w:rsidRPr="001206AF" w:rsidRDefault="0080267F" w:rsidP="0023041C">
            <w:pPr>
              <w:suppressAutoHyphens/>
              <w:spacing w:before="60" w:after="60" w:line="200" w:lineRule="exact"/>
              <w:ind w:right="57"/>
              <w:jc w:val="center"/>
              <w:rPr>
                <w:rFonts w:ascii="KaiTi_GB2312" w:eastAsia="KaiTi_GB2312" w:hAnsi="SimSun"/>
                <w:sz w:val="15"/>
              </w:rPr>
            </w:pPr>
            <w:r w:rsidRPr="001206AF">
              <w:rPr>
                <w:rFonts w:ascii="KaiTi_GB2312" w:eastAsia="KaiTi_GB2312" w:hAnsi="SimSun"/>
                <w:noProof/>
                <w:sz w:val="15"/>
              </w:rPr>
              <w:t>2007</w:t>
            </w:r>
            <w:r w:rsidRPr="001206AF">
              <w:rPr>
                <w:rFonts w:ascii="KaiTi_GB2312" w:eastAsia="KaiTi_GB2312" w:hAnsi="SimSun" w:hint="eastAsia"/>
                <w:noProof/>
                <w:sz w:val="15"/>
              </w:rPr>
              <w:t>年</w:t>
            </w:r>
          </w:p>
        </w:tc>
        <w:tc>
          <w:tcPr>
            <w:tcW w:w="91" w:type="dxa"/>
            <w:tcBorders>
              <w:top w:val="single" w:sz="4" w:space="0" w:color="auto"/>
            </w:tcBorders>
            <w:shd w:val="clear" w:color="auto" w:fill="auto"/>
            <w:vAlign w:val="bottom"/>
          </w:tcPr>
          <w:p w:rsidR="0080267F" w:rsidRPr="001206AF" w:rsidRDefault="0080267F" w:rsidP="0023041C">
            <w:pPr>
              <w:suppressAutoHyphens/>
              <w:spacing w:before="60" w:after="60" w:line="200" w:lineRule="exact"/>
              <w:ind w:right="57"/>
              <w:jc w:val="right"/>
              <w:rPr>
                <w:rFonts w:ascii="KaiTi_GB2312" w:eastAsia="KaiTi_GB2312" w:hAnsi="SimSun" w:hint="eastAsia"/>
                <w:sz w:val="15"/>
              </w:rPr>
            </w:pPr>
          </w:p>
        </w:tc>
        <w:tc>
          <w:tcPr>
            <w:tcW w:w="1598" w:type="dxa"/>
            <w:gridSpan w:val="3"/>
            <w:tcBorders>
              <w:top w:val="single" w:sz="4" w:space="0" w:color="auto"/>
              <w:bottom w:val="single" w:sz="4" w:space="0" w:color="auto"/>
            </w:tcBorders>
            <w:shd w:val="clear" w:color="auto" w:fill="auto"/>
            <w:vAlign w:val="bottom"/>
          </w:tcPr>
          <w:p w:rsidR="0080267F" w:rsidRPr="00890A20" w:rsidRDefault="0080267F" w:rsidP="0023041C">
            <w:pPr>
              <w:suppressAutoHyphens/>
              <w:spacing w:before="60" w:after="60" w:line="200" w:lineRule="exact"/>
              <w:ind w:right="57"/>
              <w:jc w:val="center"/>
              <w:rPr>
                <w:rFonts w:ascii="Times New Roman" w:eastAsia="KaiTi_GB2312"/>
                <w:sz w:val="15"/>
              </w:rPr>
            </w:pPr>
            <w:r w:rsidRPr="001206AF">
              <w:rPr>
                <w:rFonts w:ascii="KaiTi_GB2312" w:eastAsia="KaiTi_GB2312" w:hAnsi="SimSun"/>
                <w:noProof/>
                <w:sz w:val="15"/>
              </w:rPr>
              <w:t>2008</w:t>
            </w:r>
            <w:r w:rsidRPr="001206AF">
              <w:rPr>
                <w:rFonts w:ascii="KaiTi_GB2312" w:eastAsia="KaiTi_GB2312" w:hAnsi="SimSun" w:hint="eastAsia"/>
                <w:noProof/>
                <w:sz w:val="15"/>
              </w:rPr>
              <w:t>年</w:t>
            </w:r>
          </w:p>
        </w:tc>
        <w:tc>
          <w:tcPr>
            <w:tcW w:w="109" w:type="dxa"/>
            <w:tcBorders>
              <w:top w:val="single" w:sz="4" w:space="0" w:color="auto"/>
            </w:tcBorders>
            <w:shd w:val="clear" w:color="auto" w:fill="auto"/>
            <w:vAlign w:val="bottom"/>
          </w:tcPr>
          <w:p w:rsidR="0080267F" w:rsidRPr="001206AF" w:rsidRDefault="0080267F" w:rsidP="0023041C">
            <w:pPr>
              <w:suppressAutoHyphens/>
              <w:spacing w:before="60" w:after="60" w:line="200" w:lineRule="exact"/>
              <w:ind w:right="57"/>
              <w:jc w:val="right"/>
              <w:rPr>
                <w:rFonts w:ascii="KaiTi_GB2312" w:eastAsia="KaiTi_GB2312" w:hAnsi="SimSun" w:hint="eastAsia"/>
                <w:sz w:val="15"/>
              </w:rPr>
            </w:pPr>
          </w:p>
        </w:tc>
        <w:tc>
          <w:tcPr>
            <w:tcW w:w="1580" w:type="dxa"/>
            <w:gridSpan w:val="3"/>
            <w:tcBorders>
              <w:top w:val="single" w:sz="4" w:space="0" w:color="auto"/>
              <w:bottom w:val="single" w:sz="4" w:space="0" w:color="auto"/>
            </w:tcBorders>
            <w:shd w:val="clear" w:color="auto" w:fill="auto"/>
            <w:vAlign w:val="bottom"/>
          </w:tcPr>
          <w:p w:rsidR="0080267F" w:rsidRPr="001206AF" w:rsidRDefault="0080267F" w:rsidP="0023041C">
            <w:pPr>
              <w:suppressAutoHyphens/>
              <w:spacing w:before="60" w:after="60" w:line="200" w:lineRule="exact"/>
              <w:ind w:right="57"/>
              <w:jc w:val="center"/>
              <w:rPr>
                <w:rFonts w:ascii="KaiTi_GB2312" w:eastAsia="KaiTi_GB2312" w:hAnsi="SimSun"/>
                <w:sz w:val="15"/>
              </w:rPr>
            </w:pPr>
            <w:r w:rsidRPr="001206AF">
              <w:rPr>
                <w:rFonts w:ascii="KaiTi_GB2312" w:eastAsia="KaiTi_GB2312" w:hAnsi="SimSun"/>
                <w:noProof/>
                <w:sz w:val="15"/>
              </w:rPr>
              <w:t>2009</w:t>
            </w:r>
            <w:r w:rsidRPr="001206AF">
              <w:rPr>
                <w:rFonts w:ascii="KaiTi_GB2312" w:eastAsia="KaiTi_GB2312" w:hAnsi="SimSun" w:hint="eastAsia"/>
                <w:noProof/>
                <w:sz w:val="15"/>
              </w:rPr>
              <w:t>年</w:t>
            </w:r>
          </w:p>
        </w:tc>
      </w:tr>
      <w:tr w:rsidR="0080267F" w:rsidRPr="001206AF" w:rsidTr="0023041C">
        <w:tblPrEx>
          <w:tblCellMar>
            <w:top w:w="0" w:type="dxa"/>
            <w:bottom w:w="0" w:type="dxa"/>
          </w:tblCellMar>
        </w:tblPrEx>
        <w:trPr>
          <w:tblHeader/>
        </w:trPr>
        <w:tc>
          <w:tcPr>
            <w:tcW w:w="563" w:type="dxa"/>
            <w:tcBorders>
              <w:bottom w:val="single" w:sz="12" w:space="0" w:color="auto"/>
            </w:tcBorders>
            <w:shd w:val="clear" w:color="auto" w:fill="auto"/>
            <w:vAlign w:val="bottom"/>
          </w:tcPr>
          <w:p w:rsidR="0080267F" w:rsidRPr="001206AF" w:rsidRDefault="0080267F" w:rsidP="0023041C">
            <w:pPr>
              <w:suppressAutoHyphens/>
              <w:spacing w:before="60" w:after="60" w:line="200" w:lineRule="exact"/>
              <w:ind w:right="57"/>
              <w:rPr>
                <w:rFonts w:ascii="KaiTi_GB2312" w:eastAsia="KaiTi_GB2312" w:hAnsi="SimSun" w:hint="eastAsia"/>
                <w:noProof/>
                <w:sz w:val="15"/>
              </w:rPr>
            </w:pPr>
            <w:r w:rsidRPr="001206AF">
              <w:rPr>
                <w:rFonts w:ascii="KaiTi_GB2312" w:eastAsia="KaiTi_GB2312" w:hAnsi="SimSun" w:hint="eastAsia"/>
                <w:noProof/>
                <w:sz w:val="15"/>
              </w:rPr>
              <w:t>级别</w:t>
            </w:r>
          </w:p>
        </w:tc>
        <w:tc>
          <w:tcPr>
            <w:tcW w:w="563" w:type="dxa"/>
            <w:tcBorders>
              <w:top w:val="single" w:sz="4" w:space="0" w:color="auto"/>
              <w:bottom w:val="single" w:sz="12" w:space="0" w:color="auto"/>
            </w:tcBorders>
            <w:shd w:val="clear" w:color="auto" w:fill="auto"/>
            <w:vAlign w:val="bottom"/>
          </w:tcPr>
          <w:p w:rsidR="0080267F" w:rsidRPr="001206AF" w:rsidRDefault="0080267F" w:rsidP="0023041C">
            <w:pPr>
              <w:suppressAutoHyphens/>
              <w:spacing w:before="60" w:after="60" w:line="200" w:lineRule="exact"/>
              <w:ind w:right="57"/>
              <w:jc w:val="right"/>
              <w:rPr>
                <w:rFonts w:ascii="KaiTi_GB2312" w:eastAsia="KaiTi_GB2312" w:hAnsi="SimSun"/>
                <w:noProof/>
                <w:sz w:val="15"/>
              </w:rPr>
            </w:pPr>
            <w:r w:rsidRPr="001206AF">
              <w:rPr>
                <w:rFonts w:ascii="KaiTi_GB2312" w:eastAsia="KaiTi_GB2312" w:hAnsi="SimSun"/>
                <w:noProof/>
                <w:sz w:val="15"/>
              </w:rPr>
              <w:t>女</w:t>
            </w:r>
          </w:p>
        </w:tc>
        <w:tc>
          <w:tcPr>
            <w:tcW w:w="563" w:type="dxa"/>
            <w:tcBorders>
              <w:top w:val="single" w:sz="4" w:space="0" w:color="auto"/>
              <w:bottom w:val="single" w:sz="12" w:space="0" w:color="auto"/>
            </w:tcBorders>
            <w:shd w:val="clear" w:color="auto" w:fill="auto"/>
            <w:vAlign w:val="bottom"/>
          </w:tcPr>
          <w:p w:rsidR="0080267F" w:rsidRPr="001206AF" w:rsidRDefault="0080267F" w:rsidP="0023041C">
            <w:pPr>
              <w:suppressAutoHyphens/>
              <w:spacing w:before="60" w:after="60" w:line="200" w:lineRule="exact"/>
              <w:ind w:right="57"/>
              <w:jc w:val="right"/>
              <w:rPr>
                <w:rFonts w:ascii="KaiTi_GB2312" w:eastAsia="KaiTi_GB2312" w:hAnsi="SimSun"/>
                <w:noProof/>
                <w:sz w:val="15"/>
              </w:rPr>
            </w:pPr>
            <w:r w:rsidRPr="001206AF">
              <w:rPr>
                <w:rFonts w:ascii="KaiTi_GB2312" w:eastAsia="KaiTi_GB2312" w:hAnsi="SimSun"/>
                <w:noProof/>
                <w:sz w:val="15"/>
              </w:rPr>
              <w:t>男</w:t>
            </w:r>
          </w:p>
        </w:tc>
        <w:tc>
          <w:tcPr>
            <w:tcW w:w="563" w:type="dxa"/>
            <w:tcBorders>
              <w:top w:val="single" w:sz="4" w:space="0" w:color="auto"/>
              <w:bottom w:val="single" w:sz="12" w:space="0" w:color="auto"/>
            </w:tcBorders>
            <w:shd w:val="clear" w:color="auto" w:fill="auto"/>
            <w:vAlign w:val="bottom"/>
          </w:tcPr>
          <w:p w:rsidR="0080267F" w:rsidRPr="001206AF" w:rsidRDefault="0080267F" w:rsidP="0023041C">
            <w:pPr>
              <w:suppressAutoHyphens/>
              <w:spacing w:before="60" w:after="60" w:line="200" w:lineRule="exact"/>
              <w:ind w:right="57"/>
              <w:jc w:val="right"/>
              <w:rPr>
                <w:rFonts w:ascii="KaiTi_GB2312" w:eastAsia="KaiTi_GB2312" w:hAnsi="SimSun" w:hint="eastAsia"/>
                <w:noProof/>
                <w:sz w:val="15"/>
              </w:rPr>
            </w:pPr>
            <w:r w:rsidRPr="001206AF">
              <w:rPr>
                <w:rFonts w:ascii="KaiTi_GB2312" w:eastAsia="KaiTi_GB2312" w:hAnsi="SimSun" w:hint="eastAsia"/>
                <w:noProof/>
                <w:sz w:val="15"/>
              </w:rPr>
              <w:t>共计</w:t>
            </w:r>
          </w:p>
        </w:tc>
        <w:tc>
          <w:tcPr>
            <w:tcW w:w="563" w:type="dxa"/>
            <w:gridSpan w:val="2"/>
            <w:tcBorders>
              <w:bottom w:val="single" w:sz="12" w:space="0" w:color="auto"/>
            </w:tcBorders>
            <w:shd w:val="clear" w:color="auto" w:fill="auto"/>
            <w:vAlign w:val="bottom"/>
          </w:tcPr>
          <w:p w:rsidR="0080267F" w:rsidRPr="001206AF" w:rsidRDefault="0080267F" w:rsidP="0023041C">
            <w:pPr>
              <w:suppressAutoHyphens/>
              <w:spacing w:before="60" w:after="60" w:line="200" w:lineRule="exact"/>
              <w:ind w:right="57"/>
              <w:jc w:val="right"/>
              <w:rPr>
                <w:rFonts w:ascii="KaiTi_GB2312" w:eastAsia="KaiTi_GB2312" w:hAnsi="SimSun"/>
                <w:noProof/>
                <w:sz w:val="15"/>
              </w:rPr>
            </w:pPr>
            <w:r w:rsidRPr="001206AF">
              <w:rPr>
                <w:rFonts w:ascii="KaiTi_GB2312" w:eastAsia="KaiTi_GB2312" w:hAnsi="SimSun"/>
                <w:noProof/>
                <w:sz w:val="15"/>
              </w:rPr>
              <w:t>女</w:t>
            </w:r>
          </w:p>
        </w:tc>
        <w:tc>
          <w:tcPr>
            <w:tcW w:w="563" w:type="dxa"/>
            <w:tcBorders>
              <w:top w:val="single" w:sz="4" w:space="0" w:color="auto"/>
              <w:bottom w:val="single" w:sz="12" w:space="0" w:color="auto"/>
            </w:tcBorders>
            <w:shd w:val="clear" w:color="auto" w:fill="auto"/>
            <w:vAlign w:val="bottom"/>
          </w:tcPr>
          <w:p w:rsidR="0080267F" w:rsidRPr="001206AF" w:rsidRDefault="0080267F" w:rsidP="0023041C">
            <w:pPr>
              <w:suppressAutoHyphens/>
              <w:spacing w:before="60" w:after="60" w:line="200" w:lineRule="exact"/>
              <w:ind w:right="57"/>
              <w:jc w:val="right"/>
              <w:rPr>
                <w:rFonts w:ascii="KaiTi_GB2312" w:eastAsia="KaiTi_GB2312" w:hAnsi="SimSun"/>
                <w:noProof/>
                <w:sz w:val="15"/>
              </w:rPr>
            </w:pPr>
            <w:r w:rsidRPr="001206AF">
              <w:rPr>
                <w:rFonts w:ascii="KaiTi_GB2312" w:eastAsia="KaiTi_GB2312" w:hAnsi="SimSun"/>
                <w:noProof/>
                <w:sz w:val="15"/>
              </w:rPr>
              <w:t>男</w:t>
            </w:r>
          </w:p>
        </w:tc>
        <w:tc>
          <w:tcPr>
            <w:tcW w:w="563" w:type="dxa"/>
            <w:tcBorders>
              <w:top w:val="single" w:sz="4" w:space="0" w:color="auto"/>
              <w:bottom w:val="single" w:sz="12" w:space="0" w:color="auto"/>
            </w:tcBorders>
            <w:shd w:val="clear" w:color="auto" w:fill="auto"/>
            <w:vAlign w:val="bottom"/>
          </w:tcPr>
          <w:p w:rsidR="0080267F" w:rsidRPr="001206AF" w:rsidRDefault="0080267F" w:rsidP="0023041C">
            <w:pPr>
              <w:suppressAutoHyphens/>
              <w:spacing w:before="60" w:after="60" w:line="200" w:lineRule="exact"/>
              <w:ind w:right="57"/>
              <w:jc w:val="right"/>
              <w:rPr>
                <w:rFonts w:ascii="KaiTi_GB2312" w:eastAsia="KaiTi_GB2312" w:hAnsi="SimSun" w:hint="eastAsia"/>
                <w:noProof/>
                <w:sz w:val="15"/>
              </w:rPr>
            </w:pPr>
            <w:r w:rsidRPr="001206AF">
              <w:rPr>
                <w:rFonts w:ascii="KaiTi_GB2312" w:eastAsia="KaiTi_GB2312" w:hAnsi="SimSun" w:hint="eastAsia"/>
                <w:noProof/>
                <w:sz w:val="15"/>
              </w:rPr>
              <w:t>共计</w:t>
            </w:r>
          </w:p>
        </w:tc>
        <w:tc>
          <w:tcPr>
            <w:tcW w:w="574" w:type="dxa"/>
            <w:gridSpan w:val="2"/>
            <w:tcBorders>
              <w:bottom w:val="single" w:sz="12" w:space="0" w:color="auto"/>
            </w:tcBorders>
            <w:shd w:val="clear" w:color="auto" w:fill="auto"/>
            <w:vAlign w:val="bottom"/>
          </w:tcPr>
          <w:p w:rsidR="0080267F" w:rsidRPr="001206AF" w:rsidRDefault="0080267F" w:rsidP="0023041C">
            <w:pPr>
              <w:suppressAutoHyphens/>
              <w:spacing w:before="60" w:after="60" w:line="200" w:lineRule="exact"/>
              <w:ind w:right="57"/>
              <w:jc w:val="right"/>
              <w:rPr>
                <w:rFonts w:ascii="KaiTi_GB2312" w:eastAsia="KaiTi_GB2312" w:hAnsi="SimSun"/>
                <w:noProof/>
                <w:sz w:val="15"/>
              </w:rPr>
            </w:pPr>
            <w:r w:rsidRPr="001206AF">
              <w:rPr>
                <w:rFonts w:ascii="KaiTi_GB2312" w:eastAsia="KaiTi_GB2312" w:hAnsi="SimSun"/>
                <w:noProof/>
                <w:sz w:val="15"/>
              </w:rPr>
              <w:t>女</w:t>
            </w:r>
          </w:p>
        </w:tc>
        <w:tc>
          <w:tcPr>
            <w:tcW w:w="552" w:type="dxa"/>
            <w:tcBorders>
              <w:top w:val="single" w:sz="4" w:space="0" w:color="auto"/>
              <w:bottom w:val="single" w:sz="12" w:space="0" w:color="auto"/>
            </w:tcBorders>
            <w:shd w:val="clear" w:color="auto" w:fill="auto"/>
            <w:vAlign w:val="bottom"/>
          </w:tcPr>
          <w:p w:rsidR="0080267F" w:rsidRPr="001206AF" w:rsidRDefault="0080267F" w:rsidP="0023041C">
            <w:pPr>
              <w:suppressAutoHyphens/>
              <w:spacing w:before="60" w:after="60" w:line="200" w:lineRule="exact"/>
              <w:ind w:right="57"/>
              <w:jc w:val="right"/>
              <w:rPr>
                <w:rFonts w:ascii="KaiTi_GB2312" w:eastAsia="KaiTi_GB2312" w:hAnsi="SimSun"/>
                <w:noProof/>
                <w:sz w:val="15"/>
              </w:rPr>
            </w:pPr>
            <w:r w:rsidRPr="001206AF">
              <w:rPr>
                <w:rFonts w:ascii="KaiTi_GB2312" w:eastAsia="KaiTi_GB2312" w:hAnsi="SimSun"/>
                <w:noProof/>
                <w:sz w:val="15"/>
              </w:rPr>
              <w:t>男</w:t>
            </w:r>
          </w:p>
        </w:tc>
        <w:tc>
          <w:tcPr>
            <w:tcW w:w="563" w:type="dxa"/>
            <w:tcBorders>
              <w:top w:val="single" w:sz="4" w:space="0" w:color="auto"/>
              <w:bottom w:val="single" w:sz="12" w:space="0" w:color="auto"/>
            </w:tcBorders>
            <w:shd w:val="clear" w:color="auto" w:fill="auto"/>
            <w:vAlign w:val="bottom"/>
          </w:tcPr>
          <w:p w:rsidR="0080267F" w:rsidRPr="001206AF" w:rsidRDefault="0080267F" w:rsidP="0023041C">
            <w:pPr>
              <w:suppressAutoHyphens/>
              <w:spacing w:before="60" w:after="60" w:line="200" w:lineRule="exact"/>
              <w:ind w:right="57"/>
              <w:jc w:val="right"/>
              <w:rPr>
                <w:rFonts w:ascii="KaiTi_GB2312" w:eastAsia="KaiTi_GB2312" w:hAnsi="SimSun" w:hint="eastAsia"/>
                <w:noProof/>
                <w:sz w:val="15"/>
              </w:rPr>
            </w:pPr>
            <w:r w:rsidRPr="001206AF">
              <w:rPr>
                <w:rFonts w:ascii="KaiTi_GB2312" w:eastAsia="KaiTi_GB2312" w:hAnsi="SimSun" w:hint="eastAsia"/>
                <w:noProof/>
                <w:sz w:val="15"/>
              </w:rPr>
              <w:t>共计</w:t>
            </w:r>
          </w:p>
        </w:tc>
        <w:tc>
          <w:tcPr>
            <w:tcW w:w="563" w:type="dxa"/>
            <w:gridSpan w:val="2"/>
            <w:tcBorders>
              <w:bottom w:val="single" w:sz="12" w:space="0" w:color="auto"/>
            </w:tcBorders>
            <w:shd w:val="clear" w:color="auto" w:fill="auto"/>
            <w:vAlign w:val="bottom"/>
          </w:tcPr>
          <w:p w:rsidR="0080267F" w:rsidRPr="001206AF" w:rsidRDefault="0080267F" w:rsidP="0023041C">
            <w:pPr>
              <w:suppressAutoHyphens/>
              <w:spacing w:before="60" w:after="60" w:line="200" w:lineRule="exact"/>
              <w:ind w:right="57"/>
              <w:jc w:val="right"/>
              <w:rPr>
                <w:rFonts w:ascii="KaiTi_GB2312" w:eastAsia="KaiTi_GB2312" w:hAnsi="SimSun"/>
                <w:noProof/>
                <w:sz w:val="15"/>
              </w:rPr>
            </w:pPr>
            <w:r w:rsidRPr="001206AF">
              <w:rPr>
                <w:rFonts w:ascii="KaiTi_GB2312" w:eastAsia="KaiTi_GB2312" w:hAnsi="SimSun"/>
                <w:noProof/>
                <w:sz w:val="15"/>
              </w:rPr>
              <w:t>女</w:t>
            </w:r>
          </w:p>
        </w:tc>
        <w:tc>
          <w:tcPr>
            <w:tcW w:w="563" w:type="dxa"/>
            <w:tcBorders>
              <w:top w:val="single" w:sz="4" w:space="0" w:color="auto"/>
              <w:bottom w:val="single" w:sz="12" w:space="0" w:color="auto"/>
            </w:tcBorders>
            <w:shd w:val="clear" w:color="auto" w:fill="auto"/>
            <w:vAlign w:val="bottom"/>
          </w:tcPr>
          <w:p w:rsidR="0080267F" w:rsidRPr="001206AF" w:rsidRDefault="0080267F" w:rsidP="0023041C">
            <w:pPr>
              <w:suppressAutoHyphens/>
              <w:spacing w:before="60" w:after="60" w:line="200" w:lineRule="exact"/>
              <w:ind w:right="57"/>
              <w:jc w:val="right"/>
              <w:rPr>
                <w:rFonts w:ascii="KaiTi_GB2312" w:eastAsia="KaiTi_GB2312" w:hAnsi="SimSun"/>
                <w:noProof/>
                <w:sz w:val="15"/>
              </w:rPr>
            </w:pPr>
            <w:r w:rsidRPr="001206AF">
              <w:rPr>
                <w:rFonts w:ascii="KaiTi_GB2312" w:eastAsia="KaiTi_GB2312" w:hAnsi="SimSun"/>
                <w:noProof/>
                <w:sz w:val="15"/>
              </w:rPr>
              <w:t>男</w:t>
            </w:r>
          </w:p>
        </w:tc>
        <w:tc>
          <w:tcPr>
            <w:tcW w:w="563" w:type="dxa"/>
            <w:tcBorders>
              <w:top w:val="single" w:sz="4" w:space="0" w:color="auto"/>
              <w:bottom w:val="single" w:sz="12" w:space="0" w:color="auto"/>
            </w:tcBorders>
            <w:shd w:val="clear" w:color="auto" w:fill="auto"/>
            <w:vAlign w:val="bottom"/>
          </w:tcPr>
          <w:p w:rsidR="0080267F" w:rsidRPr="001206AF" w:rsidRDefault="0080267F" w:rsidP="0023041C">
            <w:pPr>
              <w:suppressAutoHyphens/>
              <w:spacing w:before="60" w:after="60" w:line="200" w:lineRule="exact"/>
              <w:ind w:right="57"/>
              <w:jc w:val="right"/>
              <w:rPr>
                <w:rFonts w:ascii="KaiTi_GB2312" w:eastAsia="KaiTi_GB2312" w:hAnsi="SimSun" w:hint="eastAsia"/>
                <w:noProof/>
                <w:sz w:val="15"/>
              </w:rPr>
            </w:pPr>
            <w:r w:rsidRPr="001206AF">
              <w:rPr>
                <w:rFonts w:ascii="KaiTi_GB2312" w:eastAsia="KaiTi_GB2312" w:hAnsi="SimSun" w:hint="eastAsia"/>
                <w:noProof/>
                <w:sz w:val="15"/>
              </w:rPr>
              <w:t>共计</w:t>
            </w:r>
          </w:p>
        </w:tc>
      </w:tr>
      <w:tr w:rsidR="0080267F" w:rsidRPr="001206AF" w:rsidTr="0023041C">
        <w:tblPrEx>
          <w:tblCellMar>
            <w:top w:w="0" w:type="dxa"/>
            <w:bottom w:w="0" w:type="dxa"/>
          </w:tblCellMar>
        </w:tblPrEx>
        <w:trPr>
          <w:trHeight w:hRule="exact" w:val="115"/>
          <w:tblHeader/>
        </w:trPr>
        <w:tc>
          <w:tcPr>
            <w:tcW w:w="563" w:type="dxa"/>
            <w:tcBorders>
              <w:top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rPr>
                <w:rFonts w:hAnsi="SimSun" w:hint="eastAsia"/>
                <w:noProof/>
                <w:sz w:val="17"/>
              </w:rPr>
            </w:pPr>
          </w:p>
        </w:tc>
        <w:tc>
          <w:tcPr>
            <w:tcW w:w="563" w:type="dxa"/>
            <w:tcBorders>
              <w:top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p>
        </w:tc>
        <w:tc>
          <w:tcPr>
            <w:tcW w:w="563" w:type="dxa"/>
            <w:tcBorders>
              <w:top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p>
        </w:tc>
        <w:tc>
          <w:tcPr>
            <w:tcW w:w="563" w:type="dxa"/>
            <w:tcBorders>
              <w:top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p>
        </w:tc>
        <w:tc>
          <w:tcPr>
            <w:tcW w:w="563" w:type="dxa"/>
            <w:gridSpan w:val="2"/>
            <w:tcBorders>
              <w:top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p>
        </w:tc>
        <w:tc>
          <w:tcPr>
            <w:tcW w:w="563" w:type="dxa"/>
            <w:tcBorders>
              <w:top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p>
        </w:tc>
        <w:tc>
          <w:tcPr>
            <w:tcW w:w="563" w:type="dxa"/>
            <w:tcBorders>
              <w:top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p>
        </w:tc>
        <w:tc>
          <w:tcPr>
            <w:tcW w:w="574" w:type="dxa"/>
            <w:gridSpan w:val="2"/>
            <w:tcBorders>
              <w:top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p>
        </w:tc>
        <w:tc>
          <w:tcPr>
            <w:tcW w:w="552" w:type="dxa"/>
            <w:tcBorders>
              <w:top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p>
        </w:tc>
        <w:tc>
          <w:tcPr>
            <w:tcW w:w="563" w:type="dxa"/>
            <w:tcBorders>
              <w:top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p>
        </w:tc>
        <w:tc>
          <w:tcPr>
            <w:tcW w:w="563" w:type="dxa"/>
            <w:gridSpan w:val="2"/>
            <w:tcBorders>
              <w:top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p>
        </w:tc>
        <w:tc>
          <w:tcPr>
            <w:tcW w:w="563" w:type="dxa"/>
            <w:tcBorders>
              <w:top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p>
        </w:tc>
        <w:tc>
          <w:tcPr>
            <w:tcW w:w="563" w:type="dxa"/>
            <w:tcBorders>
              <w:top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p>
        </w:tc>
      </w:tr>
      <w:tr w:rsidR="0080267F" w:rsidRPr="001206AF" w:rsidTr="0023041C">
        <w:tblPrEx>
          <w:tblCellMar>
            <w:top w:w="0" w:type="dxa"/>
            <w:bottom w:w="0" w:type="dxa"/>
          </w:tblCellMar>
        </w:tblPrEx>
        <w:tc>
          <w:tcPr>
            <w:tcW w:w="563"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rPr>
                <w:rFonts w:hAnsi="SimSun"/>
                <w:sz w:val="17"/>
              </w:rPr>
            </w:pPr>
            <w:r w:rsidRPr="001206AF">
              <w:rPr>
                <w:rFonts w:hAnsi="SimSun" w:hint="eastAsia"/>
                <w:noProof/>
                <w:sz w:val="17"/>
              </w:rPr>
              <w:t>小学</w:t>
            </w:r>
          </w:p>
        </w:tc>
        <w:tc>
          <w:tcPr>
            <w:tcW w:w="563"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r w:rsidRPr="001206AF">
              <w:rPr>
                <w:rFonts w:hAnsi="SimSun"/>
                <w:sz w:val="17"/>
                <w:szCs w:val="24"/>
              </w:rPr>
              <w:t>9%</w:t>
            </w:r>
          </w:p>
        </w:tc>
        <w:tc>
          <w:tcPr>
            <w:tcW w:w="563"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r w:rsidRPr="001206AF">
              <w:rPr>
                <w:rFonts w:hAnsi="SimSun"/>
                <w:sz w:val="17"/>
                <w:szCs w:val="24"/>
              </w:rPr>
              <w:t>8%</w:t>
            </w:r>
          </w:p>
        </w:tc>
        <w:tc>
          <w:tcPr>
            <w:tcW w:w="563"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r w:rsidRPr="001206AF">
              <w:rPr>
                <w:rFonts w:hAnsi="SimSun"/>
                <w:sz w:val="17"/>
                <w:szCs w:val="24"/>
              </w:rPr>
              <w:t>9%</w:t>
            </w:r>
          </w:p>
        </w:tc>
        <w:tc>
          <w:tcPr>
            <w:tcW w:w="563" w:type="dxa"/>
            <w:gridSpan w:val="2"/>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r w:rsidRPr="001206AF">
              <w:rPr>
                <w:rFonts w:hAnsi="SimSun"/>
                <w:sz w:val="17"/>
                <w:szCs w:val="24"/>
              </w:rPr>
              <w:t>7%</w:t>
            </w:r>
          </w:p>
        </w:tc>
        <w:tc>
          <w:tcPr>
            <w:tcW w:w="563"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r w:rsidRPr="001206AF">
              <w:rPr>
                <w:rFonts w:hAnsi="SimSun"/>
                <w:sz w:val="17"/>
                <w:szCs w:val="24"/>
              </w:rPr>
              <w:t>8%</w:t>
            </w:r>
          </w:p>
        </w:tc>
        <w:tc>
          <w:tcPr>
            <w:tcW w:w="563"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r w:rsidRPr="001206AF">
              <w:rPr>
                <w:rFonts w:hAnsi="SimSun"/>
                <w:sz w:val="17"/>
                <w:szCs w:val="24"/>
              </w:rPr>
              <w:t>8%</w:t>
            </w:r>
          </w:p>
        </w:tc>
        <w:tc>
          <w:tcPr>
            <w:tcW w:w="574" w:type="dxa"/>
            <w:gridSpan w:val="2"/>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r w:rsidRPr="001206AF">
              <w:rPr>
                <w:rFonts w:hAnsi="SimSun"/>
                <w:sz w:val="17"/>
                <w:szCs w:val="24"/>
              </w:rPr>
              <w:t>7%</w:t>
            </w:r>
          </w:p>
        </w:tc>
        <w:tc>
          <w:tcPr>
            <w:tcW w:w="552"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r w:rsidRPr="001206AF">
              <w:rPr>
                <w:rFonts w:hAnsi="SimSun"/>
                <w:sz w:val="17"/>
                <w:szCs w:val="24"/>
              </w:rPr>
              <w:t>6%</w:t>
            </w:r>
          </w:p>
        </w:tc>
        <w:tc>
          <w:tcPr>
            <w:tcW w:w="563"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r w:rsidRPr="001206AF">
              <w:rPr>
                <w:rFonts w:hAnsi="SimSun"/>
                <w:sz w:val="17"/>
                <w:szCs w:val="24"/>
              </w:rPr>
              <w:t>6%</w:t>
            </w:r>
          </w:p>
        </w:tc>
        <w:tc>
          <w:tcPr>
            <w:tcW w:w="563" w:type="dxa"/>
            <w:gridSpan w:val="2"/>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r w:rsidRPr="001206AF">
              <w:rPr>
                <w:rFonts w:hAnsi="SimSun"/>
                <w:sz w:val="17"/>
                <w:szCs w:val="24"/>
              </w:rPr>
              <w:t>11%</w:t>
            </w:r>
          </w:p>
        </w:tc>
        <w:tc>
          <w:tcPr>
            <w:tcW w:w="563"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r w:rsidRPr="001206AF">
              <w:rPr>
                <w:rFonts w:hAnsi="SimSun"/>
                <w:sz w:val="17"/>
                <w:szCs w:val="24"/>
              </w:rPr>
              <w:t>11%</w:t>
            </w:r>
          </w:p>
        </w:tc>
        <w:tc>
          <w:tcPr>
            <w:tcW w:w="563"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r w:rsidRPr="001206AF">
              <w:rPr>
                <w:rFonts w:hAnsi="SimSun"/>
                <w:sz w:val="17"/>
                <w:szCs w:val="24"/>
              </w:rPr>
              <w:t>11%</w:t>
            </w:r>
          </w:p>
        </w:tc>
      </w:tr>
      <w:tr w:rsidR="0080267F" w:rsidRPr="001206AF" w:rsidTr="0023041C">
        <w:tblPrEx>
          <w:tblCellMar>
            <w:top w:w="0" w:type="dxa"/>
            <w:bottom w:w="0" w:type="dxa"/>
          </w:tblCellMar>
        </w:tblPrEx>
        <w:tc>
          <w:tcPr>
            <w:tcW w:w="563"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rPr>
                <w:rFonts w:hAnsi="SimSun"/>
                <w:sz w:val="17"/>
              </w:rPr>
            </w:pPr>
            <w:r w:rsidRPr="001206AF">
              <w:rPr>
                <w:rFonts w:hAnsi="SimSun" w:hint="eastAsia"/>
                <w:noProof/>
                <w:sz w:val="17"/>
              </w:rPr>
              <w:t>初中</w:t>
            </w:r>
          </w:p>
        </w:tc>
        <w:tc>
          <w:tcPr>
            <w:tcW w:w="563"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r w:rsidRPr="001206AF">
              <w:rPr>
                <w:rFonts w:hAnsi="SimSun"/>
                <w:sz w:val="17"/>
                <w:szCs w:val="24"/>
              </w:rPr>
              <w:t>19%</w:t>
            </w:r>
          </w:p>
        </w:tc>
        <w:tc>
          <w:tcPr>
            <w:tcW w:w="563"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r w:rsidRPr="001206AF">
              <w:rPr>
                <w:rFonts w:hAnsi="SimSun"/>
                <w:sz w:val="17"/>
                <w:szCs w:val="24"/>
              </w:rPr>
              <w:t>16%</w:t>
            </w:r>
          </w:p>
        </w:tc>
        <w:tc>
          <w:tcPr>
            <w:tcW w:w="563"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r w:rsidRPr="001206AF">
              <w:rPr>
                <w:rFonts w:hAnsi="SimSun"/>
                <w:sz w:val="17"/>
                <w:szCs w:val="24"/>
              </w:rPr>
              <w:t>18%</w:t>
            </w:r>
          </w:p>
        </w:tc>
        <w:tc>
          <w:tcPr>
            <w:tcW w:w="563" w:type="dxa"/>
            <w:gridSpan w:val="2"/>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r w:rsidRPr="001206AF">
              <w:rPr>
                <w:rFonts w:hAnsi="SimSun"/>
                <w:sz w:val="17"/>
                <w:szCs w:val="24"/>
              </w:rPr>
              <w:t>7%</w:t>
            </w:r>
          </w:p>
        </w:tc>
        <w:tc>
          <w:tcPr>
            <w:tcW w:w="563"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r w:rsidRPr="001206AF">
              <w:rPr>
                <w:rFonts w:hAnsi="SimSun"/>
                <w:sz w:val="17"/>
                <w:szCs w:val="24"/>
              </w:rPr>
              <w:t>-7%</w:t>
            </w:r>
          </w:p>
        </w:tc>
        <w:tc>
          <w:tcPr>
            <w:tcW w:w="563"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r w:rsidRPr="001206AF">
              <w:rPr>
                <w:rFonts w:hAnsi="SimSun"/>
                <w:sz w:val="17"/>
                <w:szCs w:val="24"/>
              </w:rPr>
              <w:t>-1%</w:t>
            </w:r>
          </w:p>
        </w:tc>
        <w:tc>
          <w:tcPr>
            <w:tcW w:w="574" w:type="dxa"/>
            <w:gridSpan w:val="2"/>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r w:rsidRPr="001206AF">
              <w:rPr>
                <w:rFonts w:hAnsi="SimSun"/>
                <w:sz w:val="17"/>
                <w:szCs w:val="24"/>
              </w:rPr>
              <w:t>-4%</w:t>
            </w:r>
          </w:p>
        </w:tc>
        <w:tc>
          <w:tcPr>
            <w:tcW w:w="552"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r w:rsidRPr="001206AF">
              <w:rPr>
                <w:rFonts w:hAnsi="SimSun"/>
                <w:sz w:val="17"/>
                <w:szCs w:val="24"/>
              </w:rPr>
              <w:t>-18%</w:t>
            </w:r>
          </w:p>
        </w:tc>
        <w:tc>
          <w:tcPr>
            <w:tcW w:w="563"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r w:rsidRPr="001206AF">
              <w:rPr>
                <w:rFonts w:hAnsi="SimSun"/>
                <w:sz w:val="17"/>
                <w:szCs w:val="24"/>
              </w:rPr>
              <w:t>-11%</w:t>
            </w:r>
          </w:p>
        </w:tc>
        <w:tc>
          <w:tcPr>
            <w:tcW w:w="563" w:type="dxa"/>
            <w:gridSpan w:val="2"/>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r w:rsidRPr="001206AF">
              <w:rPr>
                <w:rFonts w:hAnsi="SimSun"/>
                <w:sz w:val="17"/>
                <w:szCs w:val="24"/>
              </w:rPr>
              <w:t>10%</w:t>
            </w:r>
          </w:p>
        </w:tc>
        <w:tc>
          <w:tcPr>
            <w:tcW w:w="563"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r w:rsidRPr="001206AF">
              <w:rPr>
                <w:rFonts w:hAnsi="SimSun"/>
                <w:sz w:val="17"/>
                <w:szCs w:val="24"/>
              </w:rPr>
              <w:t>-1%</w:t>
            </w:r>
          </w:p>
        </w:tc>
        <w:tc>
          <w:tcPr>
            <w:tcW w:w="563" w:type="dxa"/>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r w:rsidRPr="001206AF">
              <w:rPr>
                <w:rFonts w:hAnsi="SimSun"/>
                <w:sz w:val="17"/>
                <w:szCs w:val="24"/>
              </w:rPr>
              <w:t>4%</w:t>
            </w:r>
          </w:p>
        </w:tc>
      </w:tr>
      <w:tr w:rsidR="0080267F" w:rsidRPr="001206AF" w:rsidTr="0023041C">
        <w:tblPrEx>
          <w:tblCellMar>
            <w:top w:w="0" w:type="dxa"/>
            <w:bottom w:w="0" w:type="dxa"/>
          </w:tblCellMar>
        </w:tblPrEx>
        <w:tc>
          <w:tcPr>
            <w:tcW w:w="563"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rPr>
                <w:rFonts w:hAnsi="SimSun"/>
                <w:sz w:val="17"/>
              </w:rPr>
            </w:pPr>
            <w:r w:rsidRPr="001206AF">
              <w:rPr>
                <w:rFonts w:hAnsi="SimSun" w:hint="eastAsia"/>
                <w:noProof/>
                <w:sz w:val="17"/>
              </w:rPr>
              <w:t>高中</w:t>
            </w:r>
          </w:p>
        </w:tc>
        <w:tc>
          <w:tcPr>
            <w:tcW w:w="563"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r w:rsidRPr="001206AF">
              <w:rPr>
                <w:rFonts w:hAnsi="SimSun"/>
                <w:sz w:val="17"/>
                <w:szCs w:val="24"/>
              </w:rPr>
              <w:t>54%</w:t>
            </w:r>
          </w:p>
        </w:tc>
        <w:tc>
          <w:tcPr>
            <w:tcW w:w="563"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r w:rsidRPr="001206AF">
              <w:rPr>
                <w:rFonts w:hAnsi="SimSun"/>
                <w:sz w:val="17"/>
                <w:szCs w:val="24"/>
              </w:rPr>
              <w:t>56%</w:t>
            </w:r>
          </w:p>
        </w:tc>
        <w:tc>
          <w:tcPr>
            <w:tcW w:w="563"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r w:rsidRPr="001206AF">
              <w:rPr>
                <w:rFonts w:hAnsi="SimSun"/>
                <w:sz w:val="17"/>
                <w:szCs w:val="24"/>
              </w:rPr>
              <w:t>55%</w:t>
            </w:r>
          </w:p>
        </w:tc>
        <w:tc>
          <w:tcPr>
            <w:tcW w:w="563" w:type="dxa"/>
            <w:gridSpan w:val="2"/>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r w:rsidRPr="001206AF">
              <w:rPr>
                <w:rFonts w:hAnsi="SimSun"/>
                <w:sz w:val="17"/>
                <w:szCs w:val="24"/>
              </w:rPr>
              <w:t>46%</w:t>
            </w:r>
          </w:p>
        </w:tc>
        <w:tc>
          <w:tcPr>
            <w:tcW w:w="563"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r w:rsidRPr="001206AF">
              <w:rPr>
                <w:rFonts w:hAnsi="SimSun"/>
                <w:sz w:val="17"/>
                <w:szCs w:val="24"/>
              </w:rPr>
              <w:t>56%</w:t>
            </w:r>
          </w:p>
        </w:tc>
        <w:tc>
          <w:tcPr>
            <w:tcW w:w="563"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r w:rsidRPr="001206AF">
              <w:rPr>
                <w:rFonts w:hAnsi="SimSun"/>
                <w:sz w:val="17"/>
                <w:szCs w:val="24"/>
              </w:rPr>
              <w:t>52%</w:t>
            </w:r>
          </w:p>
        </w:tc>
        <w:tc>
          <w:tcPr>
            <w:tcW w:w="574" w:type="dxa"/>
            <w:gridSpan w:val="2"/>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r w:rsidRPr="001206AF">
              <w:rPr>
                <w:rFonts w:hAnsi="SimSun"/>
                <w:sz w:val="17"/>
                <w:szCs w:val="24"/>
              </w:rPr>
              <w:t>42%</w:t>
            </w:r>
          </w:p>
        </w:tc>
        <w:tc>
          <w:tcPr>
            <w:tcW w:w="552"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r w:rsidRPr="001206AF">
              <w:rPr>
                <w:rFonts w:hAnsi="SimSun"/>
                <w:sz w:val="17"/>
                <w:szCs w:val="24"/>
              </w:rPr>
              <w:t>52%</w:t>
            </w:r>
          </w:p>
        </w:tc>
        <w:tc>
          <w:tcPr>
            <w:tcW w:w="563"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r w:rsidRPr="001206AF">
              <w:rPr>
                <w:rFonts w:hAnsi="SimSun"/>
                <w:sz w:val="17"/>
                <w:szCs w:val="24"/>
              </w:rPr>
              <w:t>49%</w:t>
            </w:r>
          </w:p>
        </w:tc>
        <w:tc>
          <w:tcPr>
            <w:tcW w:w="563" w:type="dxa"/>
            <w:gridSpan w:val="2"/>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r w:rsidRPr="001206AF">
              <w:rPr>
                <w:rFonts w:hAnsi="SimSun"/>
                <w:sz w:val="17"/>
                <w:szCs w:val="24"/>
              </w:rPr>
              <w:t>48%</w:t>
            </w:r>
          </w:p>
        </w:tc>
        <w:tc>
          <w:tcPr>
            <w:tcW w:w="563"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r w:rsidRPr="001206AF">
              <w:rPr>
                <w:rFonts w:hAnsi="SimSun"/>
                <w:sz w:val="17"/>
                <w:szCs w:val="24"/>
              </w:rPr>
              <w:t>52%</w:t>
            </w:r>
          </w:p>
        </w:tc>
        <w:tc>
          <w:tcPr>
            <w:tcW w:w="563" w:type="dxa"/>
            <w:tcBorders>
              <w:bottom w:val="single" w:sz="12" w:space="0" w:color="auto"/>
            </w:tcBorders>
            <w:shd w:val="clear" w:color="auto" w:fill="auto"/>
            <w:vAlign w:val="bottom"/>
          </w:tcPr>
          <w:p w:rsidR="0080267F" w:rsidRPr="001206AF"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24"/>
              </w:rPr>
            </w:pPr>
            <w:r w:rsidRPr="001206AF">
              <w:rPr>
                <w:rFonts w:hAnsi="SimSun"/>
                <w:sz w:val="17"/>
                <w:szCs w:val="24"/>
              </w:rPr>
              <w:t>51%</w:t>
            </w:r>
          </w:p>
        </w:tc>
      </w:tr>
    </w:tbl>
    <w:p w:rsidR="0080267F" w:rsidRPr="00890A20" w:rsidRDefault="0080267F" w:rsidP="002304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4" w:right="1259" w:hanging="1264"/>
        <w:rPr>
          <w:rFonts w:ascii="SimSun" w:eastAsia="SimSun"/>
          <w:spacing w:val="0"/>
          <w:sz w:val="10"/>
        </w:rPr>
      </w:pPr>
    </w:p>
    <w:p w:rsidR="0080267F" w:rsidRPr="00890A20" w:rsidRDefault="0080267F" w:rsidP="002304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ascii="Times New Roman"/>
        </w:rPr>
      </w:pPr>
      <w:r w:rsidRPr="006C14AA">
        <w:tab/>
      </w:r>
      <w:r w:rsidRPr="006C14AA">
        <w:rPr>
          <w:rFonts w:hint="eastAsia"/>
        </w:rPr>
        <w:tab/>
        <w:t>按教育级别和性别分列的2003-2005年入学人数</w:t>
      </w:r>
    </w:p>
    <w:tbl>
      <w:tblPr>
        <w:tblW w:w="0" w:type="auto"/>
        <w:tblInd w:w="1260" w:type="dxa"/>
        <w:tblLayout w:type="fixed"/>
        <w:tblCellMar>
          <w:left w:w="0" w:type="dxa"/>
          <w:right w:w="0" w:type="dxa"/>
        </w:tblCellMar>
        <w:tblLook w:val="0000"/>
      </w:tblPr>
      <w:tblGrid>
        <w:gridCol w:w="1464"/>
        <w:gridCol w:w="1464"/>
        <w:gridCol w:w="1464"/>
        <w:gridCol w:w="1464"/>
        <w:gridCol w:w="1464"/>
      </w:tblGrid>
      <w:tr w:rsidR="0080267F" w:rsidRPr="00890A20" w:rsidTr="0023041C">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80267F" w:rsidRPr="00890A20" w:rsidRDefault="0080267F" w:rsidP="0023041C">
            <w:pPr>
              <w:suppressAutoHyphens/>
              <w:spacing w:before="60" w:after="60" w:line="200" w:lineRule="exact"/>
              <w:ind w:right="57"/>
              <w:rPr>
                <w:rFonts w:ascii="KaiTi_GB2312" w:eastAsia="KaiTi_GB2312" w:hAnsi="SimSun" w:hint="eastAsia"/>
                <w:sz w:val="15"/>
                <w:szCs w:val="17"/>
              </w:rPr>
            </w:pPr>
            <w:r w:rsidRPr="00890A20">
              <w:rPr>
                <w:rFonts w:ascii="KaiTi_GB2312" w:eastAsia="KaiTi_GB2312" w:hAnsi="SimSun" w:hint="eastAsia"/>
                <w:noProof/>
                <w:sz w:val="15"/>
                <w:szCs w:val="17"/>
              </w:rPr>
              <w:t>级别</w:t>
            </w:r>
          </w:p>
        </w:tc>
        <w:tc>
          <w:tcPr>
            <w:tcW w:w="1464" w:type="dxa"/>
            <w:tcBorders>
              <w:top w:val="single" w:sz="4" w:space="0" w:color="auto"/>
              <w:bottom w:val="single" w:sz="12" w:space="0" w:color="auto"/>
            </w:tcBorders>
            <w:shd w:val="clear" w:color="auto" w:fill="auto"/>
            <w:vAlign w:val="bottom"/>
          </w:tcPr>
          <w:p w:rsidR="0080267F" w:rsidRPr="00890A20" w:rsidRDefault="0080267F" w:rsidP="0023041C">
            <w:pPr>
              <w:suppressAutoHyphens/>
              <w:spacing w:before="60" w:after="60" w:line="200" w:lineRule="exact"/>
              <w:ind w:right="57"/>
              <w:jc w:val="right"/>
              <w:rPr>
                <w:rFonts w:ascii="KaiTi_GB2312" w:eastAsia="KaiTi_GB2312" w:hAnsi="SimSun"/>
                <w:sz w:val="15"/>
                <w:szCs w:val="17"/>
              </w:rPr>
            </w:pPr>
            <w:r w:rsidRPr="00890A20">
              <w:rPr>
                <w:rFonts w:ascii="KaiTi_GB2312" w:eastAsia="KaiTi_GB2312" w:hAnsi="SimSun"/>
                <w:noProof/>
                <w:sz w:val="15"/>
                <w:szCs w:val="17"/>
              </w:rPr>
              <w:t>2003</w:t>
            </w:r>
            <w:r w:rsidRPr="00890A20">
              <w:rPr>
                <w:rFonts w:ascii="KaiTi_GB2312" w:eastAsia="KaiTi_GB2312" w:hAnsi="SimSun" w:hint="eastAsia"/>
                <w:noProof/>
                <w:sz w:val="15"/>
                <w:szCs w:val="17"/>
              </w:rPr>
              <w:t>年</w:t>
            </w:r>
            <w:r w:rsidRPr="00890A20">
              <w:rPr>
                <w:rFonts w:ascii="KaiTi_GB2312" w:eastAsia="KaiTi_GB2312" w:hAnsi="SimSun"/>
                <w:noProof/>
                <w:sz w:val="15"/>
                <w:szCs w:val="17"/>
              </w:rPr>
              <w:t>总人数</w:t>
            </w:r>
          </w:p>
        </w:tc>
        <w:tc>
          <w:tcPr>
            <w:tcW w:w="1464" w:type="dxa"/>
            <w:tcBorders>
              <w:top w:val="single" w:sz="4" w:space="0" w:color="auto"/>
              <w:bottom w:val="single" w:sz="12" w:space="0" w:color="auto"/>
            </w:tcBorders>
            <w:shd w:val="clear" w:color="auto" w:fill="auto"/>
            <w:vAlign w:val="bottom"/>
          </w:tcPr>
          <w:p w:rsidR="0080267F" w:rsidRPr="00890A20" w:rsidRDefault="0080267F" w:rsidP="0023041C">
            <w:pPr>
              <w:suppressAutoHyphens/>
              <w:spacing w:before="60" w:after="60" w:line="200" w:lineRule="exact"/>
              <w:ind w:right="57"/>
              <w:jc w:val="right"/>
              <w:rPr>
                <w:rFonts w:ascii="KaiTi_GB2312" w:eastAsia="KaiTi_GB2312" w:hAnsi="SimSun"/>
                <w:sz w:val="15"/>
                <w:szCs w:val="17"/>
              </w:rPr>
            </w:pPr>
            <w:r w:rsidRPr="00890A20">
              <w:rPr>
                <w:rFonts w:ascii="KaiTi_GB2312" w:eastAsia="KaiTi_GB2312" w:hAnsi="SimSun"/>
                <w:noProof/>
                <w:sz w:val="15"/>
                <w:szCs w:val="17"/>
              </w:rPr>
              <w:t>2004</w:t>
            </w:r>
            <w:r w:rsidRPr="00890A20">
              <w:rPr>
                <w:rFonts w:ascii="KaiTi_GB2312" w:eastAsia="KaiTi_GB2312" w:hAnsi="SimSun" w:hint="eastAsia"/>
                <w:noProof/>
                <w:sz w:val="15"/>
                <w:szCs w:val="17"/>
              </w:rPr>
              <w:t>年</w:t>
            </w:r>
            <w:r w:rsidRPr="00890A20">
              <w:rPr>
                <w:rFonts w:ascii="KaiTi_GB2312" w:eastAsia="KaiTi_GB2312" w:hAnsi="SimSun"/>
                <w:noProof/>
                <w:sz w:val="15"/>
                <w:szCs w:val="17"/>
              </w:rPr>
              <w:t>总人数</w:t>
            </w:r>
          </w:p>
        </w:tc>
        <w:tc>
          <w:tcPr>
            <w:tcW w:w="1464" w:type="dxa"/>
            <w:tcBorders>
              <w:top w:val="single" w:sz="4" w:space="0" w:color="auto"/>
              <w:bottom w:val="single" w:sz="12" w:space="0" w:color="auto"/>
            </w:tcBorders>
            <w:shd w:val="clear" w:color="auto" w:fill="auto"/>
            <w:vAlign w:val="bottom"/>
          </w:tcPr>
          <w:p w:rsidR="0080267F" w:rsidRPr="00890A20" w:rsidRDefault="0080267F" w:rsidP="0023041C">
            <w:pPr>
              <w:suppressAutoHyphens/>
              <w:spacing w:before="60" w:after="60" w:line="200" w:lineRule="exact"/>
              <w:ind w:right="57"/>
              <w:jc w:val="right"/>
              <w:rPr>
                <w:rFonts w:ascii="KaiTi_GB2312" w:eastAsia="KaiTi_GB2312" w:hAnsi="SimSun"/>
                <w:sz w:val="15"/>
                <w:szCs w:val="17"/>
              </w:rPr>
            </w:pPr>
            <w:r w:rsidRPr="00890A20">
              <w:rPr>
                <w:rFonts w:ascii="KaiTi_GB2312" w:eastAsia="KaiTi_GB2312" w:hAnsi="SimSun"/>
                <w:noProof/>
                <w:sz w:val="15"/>
                <w:szCs w:val="17"/>
              </w:rPr>
              <w:t>2005</w:t>
            </w:r>
            <w:r w:rsidRPr="00890A20">
              <w:rPr>
                <w:rFonts w:ascii="KaiTi_GB2312" w:eastAsia="KaiTi_GB2312" w:hAnsi="SimSun" w:hint="eastAsia"/>
                <w:noProof/>
                <w:sz w:val="15"/>
                <w:szCs w:val="17"/>
              </w:rPr>
              <w:t>年</w:t>
            </w:r>
            <w:r w:rsidRPr="00890A20">
              <w:rPr>
                <w:rFonts w:ascii="KaiTi_GB2312" w:eastAsia="KaiTi_GB2312" w:hAnsi="SimSun"/>
                <w:noProof/>
                <w:sz w:val="15"/>
                <w:szCs w:val="17"/>
              </w:rPr>
              <w:t>总人数</w:t>
            </w:r>
          </w:p>
        </w:tc>
        <w:tc>
          <w:tcPr>
            <w:tcW w:w="1464" w:type="dxa"/>
            <w:tcBorders>
              <w:top w:val="single" w:sz="4" w:space="0" w:color="auto"/>
              <w:bottom w:val="single" w:sz="12" w:space="0" w:color="auto"/>
            </w:tcBorders>
            <w:shd w:val="clear" w:color="auto" w:fill="auto"/>
            <w:vAlign w:val="bottom"/>
          </w:tcPr>
          <w:p w:rsidR="0080267F" w:rsidRPr="00890A20" w:rsidRDefault="0080267F" w:rsidP="0023041C">
            <w:pPr>
              <w:suppressAutoHyphens/>
              <w:spacing w:before="60" w:after="60" w:line="200" w:lineRule="exact"/>
              <w:ind w:right="57"/>
              <w:jc w:val="right"/>
              <w:rPr>
                <w:rFonts w:ascii="KaiTi_GB2312" w:eastAsia="KaiTi_GB2312" w:hAnsi="SimSun" w:hint="eastAsia"/>
                <w:sz w:val="15"/>
                <w:szCs w:val="17"/>
              </w:rPr>
            </w:pPr>
            <w:r w:rsidRPr="00890A20">
              <w:rPr>
                <w:rFonts w:ascii="KaiTi_GB2312" w:eastAsia="KaiTi_GB2312" w:hAnsi="SimSun" w:hint="eastAsia"/>
                <w:noProof/>
                <w:sz w:val="15"/>
                <w:szCs w:val="17"/>
              </w:rPr>
              <w:t>百分比变动</w:t>
            </w:r>
          </w:p>
        </w:tc>
      </w:tr>
      <w:tr w:rsidR="0080267F" w:rsidRPr="00890A20" w:rsidTr="0023041C">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80267F" w:rsidRPr="00890A20" w:rsidRDefault="0080267F" w:rsidP="0023041C">
            <w:pPr>
              <w:tabs>
                <w:tab w:val="left" w:pos="334"/>
                <w:tab w:val="left" w:pos="669"/>
                <w:tab w:val="left" w:pos="1003"/>
                <w:tab w:val="left" w:pos="1338"/>
              </w:tabs>
              <w:suppressAutoHyphens/>
              <w:spacing w:after="60" w:line="280" w:lineRule="exact"/>
              <w:ind w:right="57"/>
              <w:rPr>
                <w:rFonts w:hAnsi="SimSun" w:hint="eastAsia"/>
                <w:noProof/>
                <w:sz w:val="17"/>
                <w:szCs w:val="17"/>
              </w:rPr>
            </w:pPr>
          </w:p>
        </w:tc>
        <w:tc>
          <w:tcPr>
            <w:tcW w:w="1464" w:type="dxa"/>
            <w:tcBorders>
              <w:top w:val="single" w:sz="12" w:space="0" w:color="auto"/>
            </w:tcBorders>
            <w:shd w:val="clear" w:color="auto" w:fill="auto"/>
            <w:vAlign w:val="bottom"/>
          </w:tcPr>
          <w:p w:rsidR="0080267F" w:rsidRPr="00890A20"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1464" w:type="dxa"/>
            <w:tcBorders>
              <w:top w:val="single" w:sz="12" w:space="0" w:color="auto"/>
            </w:tcBorders>
            <w:shd w:val="clear" w:color="auto" w:fill="auto"/>
            <w:vAlign w:val="bottom"/>
          </w:tcPr>
          <w:p w:rsidR="0080267F" w:rsidRPr="00890A20"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1464" w:type="dxa"/>
            <w:tcBorders>
              <w:top w:val="single" w:sz="12" w:space="0" w:color="auto"/>
            </w:tcBorders>
            <w:shd w:val="clear" w:color="auto" w:fill="auto"/>
            <w:vAlign w:val="bottom"/>
          </w:tcPr>
          <w:p w:rsidR="0080267F" w:rsidRPr="00890A20"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1464" w:type="dxa"/>
            <w:tcBorders>
              <w:top w:val="single" w:sz="12" w:space="0" w:color="auto"/>
            </w:tcBorders>
            <w:shd w:val="clear" w:color="auto" w:fill="auto"/>
            <w:vAlign w:val="bottom"/>
          </w:tcPr>
          <w:p w:rsidR="0080267F" w:rsidRPr="00890A20"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r>
      <w:tr w:rsidR="0080267F" w:rsidRPr="00890A20" w:rsidTr="0023041C">
        <w:tblPrEx>
          <w:tblCellMar>
            <w:top w:w="0" w:type="dxa"/>
            <w:bottom w:w="0" w:type="dxa"/>
          </w:tblCellMar>
        </w:tblPrEx>
        <w:tc>
          <w:tcPr>
            <w:tcW w:w="1464" w:type="dxa"/>
            <w:shd w:val="clear" w:color="auto" w:fill="auto"/>
            <w:vAlign w:val="bottom"/>
          </w:tcPr>
          <w:p w:rsidR="0080267F" w:rsidRPr="00890A20" w:rsidRDefault="0080267F" w:rsidP="0023041C">
            <w:pPr>
              <w:tabs>
                <w:tab w:val="left" w:pos="334"/>
                <w:tab w:val="left" w:pos="669"/>
                <w:tab w:val="left" w:pos="1003"/>
                <w:tab w:val="left" w:pos="1338"/>
              </w:tabs>
              <w:suppressAutoHyphens/>
              <w:spacing w:after="60" w:line="280" w:lineRule="exact"/>
              <w:ind w:right="57"/>
              <w:rPr>
                <w:rFonts w:hAnsi="SimSun" w:hint="eastAsia"/>
                <w:sz w:val="17"/>
                <w:szCs w:val="17"/>
              </w:rPr>
            </w:pPr>
            <w:r w:rsidRPr="00890A20">
              <w:rPr>
                <w:rFonts w:hAnsi="SimSun" w:hint="eastAsia"/>
                <w:noProof/>
                <w:sz w:val="17"/>
                <w:szCs w:val="17"/>
              </w:rPr>
              <w:t>早期幼儿教育</w:t>
            </w:r>
          </w:p>
        </w:tc>
        <w:tc>
          <w:tcPr>
            <w:tcW w:w="1464" w:type="dxa"/>
            <w:shd w:val="clear" w:color="auto" w:fill="auto"/>
            <w:vAlign w:val="bottom"/>
          </w:tcPr>
          <w:p w:rsidR="0080267F" w:rsidRPr="00890A20" w:rsidRDefault="0080267F" w:rsidP="0023041C">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890A20">
              <w:rPr>
                <w:rFonts w:hAnsi="SimSun"/>
                <w:sz w:val="17"/>
                <w:szCs w:val="17"/>
              </w:rPr>
              <w:t>8</w:t>
            </w:r>
            <w:r w:rsidRPr="00890A20">
              <w:rPr>
                <w:rFonts w:hAnsi="SimSun" w:hint="eastAsia"/>
                <w:sz w:val="17"/>
                <w:szCs w:val="17"/>
              </w:rPr>
              <w:t xml:space="preserve"> </w:t>
            </w:r>
            <w:r w:rsidRPr="00890A20">
              <w:rPr>
                <w:rFonts w:hAnsi="SimSun"/>
                <w:sz w:val="17"/>
                <w:szCs w:val="17"/>
              </w:rPr>
              <w:t>822</w:t>
            </w:r>
          </w:p>
        </w:tc>
        <w:tc>
          <w:tcPr>
            <w:tcW w:w="1464" w:type="dxa"/>
            <w:shd w:val="clear" w:color="auto" w:fill="auto"/>
            <w:vAlign w:val="bottom"/>
          </w:tcPr>
          <w:p w:rsidR="0080267F" w:rsidRPr="00890A20" w:rsidRDefault="0080267F" w:rsidP="0023041C">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890A20">
              <w:rPr>
                <w:rFonts w:hAnsi="SimSun"/>
                <w:sz w:val="17"/>
                <w:szCs w:val="17"/>
              </w:rPr>
              <w:t>10</w:t>
            </w:r>
            <w:r w:rsidRPr="00890A20">
              <w:rPr>
                <w:rFonts w:hAnsi="SimSun" w:hint="eastAsia"/>
                <w:sz w:val="17"/>
                <w:szCs w:val="17"/>
              </w:rPr>
              <w:t xml:space="preserve"> </w:t>
            </w:r>
            <w:r w:rsidRPr="00890A20">
              <w:rPr>
                <w:rFonts w:hAnsi="SimSun"/>
                <w:sz w:val="17"/>
                <w:szCs w:val="17"/>
              </w:rPr>
              <w:t>544</w:t>
            </w:r>
          </w:p>
        </w:tc>
        <w:tc>
          <w:tcPr>
            <w:tcW w:w="1464" w:type="dxa"/>
            <w:shd w:val="clear" w:color="auto" w:fill="auto"/>
            <w:vAlign w:val="bottom"/>
          </w:tcPr>
          <w:p w:rsidR="0080267F" w:rsidRPr="00890A20" w:rsidRDefault="0080267F" w:rsidP="0023041C">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890A20">
              <w:rPr>
                <w:rFonts w:hAnsi="SimSun"/>
                <w:sz w:val="17"/>
                <w:szCs w:val="17"/>
              </w:rPr>
              <w:t>11</w:t>
            </w:r>
            <w:r w:rsidRPr="00890A20">
              <w:rPr>
                <w:rFonts w:hAnsi="SimSun" w:hint="eastAsia"/>
                <w:sz w:val="17"/>
                <w:szCs w:val="17"/>
              </w:rPr>
              <w:t xml:space="preserve"> </w:t>
            </w:r>
            <w:r w:rsidRPr="00890A20">
              <w:rPr>
                <w:rFonts w:hAnsi="SimSun"/>
                <w:sz w:val="17"/>
                <w:szCs w:val="17"/>
              </w:rPr>
              <w:t>251</w:t>
            </w:r>
          </w:p>
        </w:tc>
        <w:tc>
          <w:tcPr>
            <w:tcW w:w="1464" w:type="dxa"/>
            <w:shd w:val="clear" w:color="auto" w:fill="auto"/>
            <w:vAlign w:val="bottom"/>
          </w:tcPr>
          <w:p w:rsidR="0080267F" w:rsidRPr="00890A20"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r>
      <w:tr w:rsidR="0080267F" w:rsidRPr="00890A20" w:rsidTr="0023041C">
        <w:tblPrEx>
          <w:tblCellMar>
            <w:top w:w="0" w:type="dxa"/>
            <w:bottom w:w="0" w:type="dxa"/>
          </w:tblCellMar>
        </w:tblPrEx>
        <w:tc>
          <w:tcPr>
            <w:tcW w:w="1464" w:type="dxa"/>
            <w:shd w:val="clear" w:color="auto" w:fill="auto"/>
            <w:vAlign w:val="bottom"/>
          </w:tcPr>
          <w:p w:rsidR="0080267F" w:rsidRPr="00890A20" w:rsidRDefault="0080267F" w:rsidP="0023041C">
            <w:pPr>
              <w:tabs>
                <w:tab w:val="left" w:pos="334"/>
                <w:tab w:val="left" w:pos="669"/>
                <w:tab w:val="left" w:pos="1003"/>
                <w:tab w:val="left" w:pos="1338"/>
              </w:tabs>
              <w:suppressAutoHyphens/>
              <w:spacing w:after="60" w:line="280" w:lineRule="exact"/>
              <w:ind w:right="57"/>
              <w:rPr>
                <w:rFonts w:hAnsi="SimSun" w:hint="eastAsia"/>
                <w:sz w:val="17"/>
                <w:szCs w:val="17"/>
              </w:rPr>
            </w:pPr>
            <w:r w:rsidRPr="00890A20">
              <w:rPr>
                <w:rFonts w:hAnsi="SimSun"/>
                <w:noProof/>
                <w:sz w:val="17"/>
                <w:szCs w:val="17"/>
              </w:rPr>
              <w:t>男</w:t>
            </w:r>
          </w:p>
        </w:tc>
        <w:tc>
          <w:tcPr>
            <w:tcW w:w="1464" w:type="dxa"/>
            <w:shd w:val="clear" w:color="auto" w:fill="auto"/>
            <w:vAlign w:val="bottom"/>
          </w:tcPr>
          <w:p w:rsidR="0080267F" w:rsidRPr="00890A20" w:rsidRDefault="0080267F" w:rsidP="0023041C">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890A20">
              <w:rPr>
                <w:rFonts w:hAnsi="SimSun"/>
                <w:noProof/>
                <w:sz w:val="17"/>
                <w:szCs w:val="17"/>
              </w:rPr>
              <w:t>4</w:t>
            </w:r>
            <w:r w:rsidRPr="00890A20">
              <w:rPr>
                <w:rFonts w:hAnsi="SimSun" w:hint="eastAsia"/>
                <w:noProof/>
                <w:sz w:val="17"/>
                <w:szCs w:val="17"/>
              </w:rPr>
              <w:t xml:space="preserve"> </w:t>
            </w:r>
            <w:r w:rsidRPr="00890A20">
              <w:rPr>
                <w:rFonts w:hAnsi="SimSun"/>
                <w:noProof/>
                <w:sz w:val="17"/>
                <w:szCs w:val="17"/>
              </w:rPr>
              <w:t>482</w:t>
            </w:r>
            <w:r w:rsidRPr="00890A20">
              <w:rPr>
                <w:rFonts w:hAnsi="SimSun" w:hint="eastAsia"/>
                <w:sz w:val="17"/>
                <w:szCs w:val="17"/>
              </w:rPr>
              <w:t xml:space="preserve"> </w:t>
            </w:r>
          </w:p>
        </w:tc>
        <w:tc>
          <w:tcPr>
            <w:tcW w:w="1464" w:type="dxa"/>
            <w:shd w:val="clear" w:color="auto" w:fill="auto"/>
            <w:vAlign w:val="bottom"/>
          </w:tcPr>
          <w:p w:rsidR="0080267F" w:rsidRPr="00890A20" w:rsidRDefault="0080267F" w:rsidP="0023041C">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890A20">
              <w:rPr>
                <w:rFonts w:hAnsi="SimSun"/>
                <w:noProof/>
                <w:sz w:val="17"/>
                <w:szCs w:val="17"/>
              </w:rPr>
              <w:t>5</w:t>
            </w:r>
            <w:r w:rsidRPr="00890A20">
              <w:rPr>
                <w:rFonts w:hAnsi="SimSun" w:hint="eastAsia"/>
                <w:noProof/>
                <w:sz w:val="17"/>
                <w:szCs w:val="17"/>
              </w:rPr>
              <w:t xml:space="preserve"> </w:t>
            </w:r>
            <w:r w:rsidRPr="00890A20">
              <w:rPr>
                <w:rFonts w:hAnsi="SimSun"/>
                <w:noProof/>
                <w:sz w:val="17"/>
                <w:szCs w:val="17"/>
              </w:rPr>
              <w:t>364</w:t>
            </w:r>
          </w:p>
        </w:tc>
        <w:tc>
          <w:tcPr>
            <w:tcW w:w="1464" w:type="dxa"/>
            <w:shd w:val="clear" w:color="auto" w:fill="auto"/>
            <w:vAlign w:val="bottom"/>
          </w:tcPr>
          <w:p w:rsidR="0080267F" w:rsidRPr="00890A20" w:rsidRDefault="0080267F" w:rsidP="0023041C">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890A20">
              <w:rPr>
                <w:rFonts w:hAnsi="SimSun"/>
                <w:noProof/>
                <w:sz w:val="17"/>
                <w:szCs w:val="17"/>
              </w:rPr>
              <w:t>5</w:t>
            </w:r>
            <w:r w:rsidRPr="00890A20">
              <w:rPr>
                <w:rFonts w:hAnsi="SimSun" w:hint="eastAsia"/>
                <w:noProof/>
                <w:sz w:val="17"/>
                <w:szCs w:val="17"/>
              </w:rPr>
              <w:t xml:space="preserve"> </w:t>
            </w:r>
            <w:r w:rsidRPr="00890A20">
              <w:rPr>
                <w:rFonts w:hAnsi="SimSun"/>
                <w:noProof/>
                <w:sz w:val="17"/>
                <w:szCs w:val="17"/>
              </w:rPr>
              <w:t>728</w:t>
            </w:r>
          </w:p>
        </w:tc>
        <w:tc>
          <w:tcPr>
            <w:tcW w:w="1464" w:type="dxa"/>
            <w:shd w:val="clear" w:color="auto" w:fill="auto"/>
            <w:vAlign w:val="bottom"/>
          </w:tcPr>
          <w:p w:rsidR="0080267F" w:rsidRPr="00890A20" w:rsidRDefault="0080267F" w:rsidP="0023041C">
            <w:pPr>
              <w:tabs>
                <w:tab w:val="left" w:pos="334"/>
                <w:tab w:val="left" w:pos="669"/>
                <w:tab w:val="left" w:pos="1003"/>
                <w:tab w:val="left" w:pos="1338"/>
              </w:tabs>
              <w:suppressAutoHyphens/>
              <w:spacing w:after="60" w:line="280" w:lineRule="exact"/>
              <w:ind w:right="57"/>
              <w:jc w:val="right"/>
              <w:rPr>
                <w:rFonts w:hAnsi="SimSun" w:hint="eastAsia"/>
                <w:sz w:val="17"/>
                <w:szCs w:val="17"/>
              </w:rPr>
            </w:pPr>
          </w:p>
        </w:tc>
      </w:tr>
      <w:tr w:rsidR="0080267F" w:rsidRPr="00890A20" w:rsidTr="0023041C">
        <w:tblPrEx>
          <w:tblCellMar>
            <w:top w:w="0" w:type="dxa"/>
            <w:bottom w:w="0" w:type="dxa"/>
          </w:tblCellMar>
        </w:tblPrEx>
        <w:tc>
          <w:tcPr>
            <w:tcW w:w="1464" w:type="dxa"/>
            <w:tcBorders>
              <w:bottom w:val="single" w:sz="12" w:space="0" w:color="auto"/>
            </w:tcBorders>
            <w:shd w:val="clear" w:color="auto" w:fill="auto"/>
            <w:vAlign w:val="bottom"/>
          </w:tcPr>
          <w:p w:rsidR="0080267F" w:rsidRPr="00890A20" w:rsidRDefault="0080267F" w:rsidP="0023041C">
            <w:pPr>
              <w:tabs>
                <w:tab w:val="left" w:pos="334"/>
                <w:tab w:val="left" w:pos="669"/>
                <w:tab w:val="left" w:pos="1003"/>
                <w:tab w:val="left" w:pos="1338"/>
              </w:tabs>
              <w:suppressAutoHyphens/>
              <w:spacing w:after="60" w:line="280" w:lineRule="exact"/>
              <w:ind w:right="57"/>
              <w:rPr>
                <w:rFonts w:hAnsi="SimSun" w:hint="eastAsia"/>
                <w:sz w:val="17"/>
                <w:szCs w:val="17"/>
              </w:rPr>
            </w:pPr>
            <w:r w:rsidRPr="00890A20">
              <w:rPr>
                <w:rFonts w:hAnsi="SimSun"/>
                <w:noProof/>
                <w:sz w:val="17"/>
                <w:szCs w:val="17"/>
              </w:rPr>
              <w:t>女</w:t>
            </w:r>
          </w:p>
        </w:tc>
        <w:tc>
          <w:tcPr>
            <w:tcW w:w="1464" w:type="dxa"/>
            <w:tcBorders>
              <w:bottom w:val="single" w:sz="12" w:space="0" w:color="auto"/>
            </w:tcBorders>
            <w:shd w:val="clear" w:color="auto" w:fill="auto"/>
            <w:vAlign w:val="bottom"/>
          </w:tcPr>
          <w:p w:rsidR="0080267F" w:rsidRPr="00890A20" w:rsidRDefault="0080267F" w:rsidP="0023041C">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890A20">
              <w:rPr>
                <w:rFonts w:hAnsi="SimSun"/>
                <w:noProof/>
                <w:sz w:val="17"/>
                <w:szCs w:val="17"/>
              </w:rPr>
              <w:t>4</w:t>
            </w:r>
            <w:r w:rsidRPr="00890A20">
              <w:rPr>
                <w:rFonts w:hAnsi="SimSun" w:hint="eastAsia"/>
                <w:noProof/>
                <w:sz w:val="17"/>
                <w:szCs w:val="17"/>
              </w:rPr>
              <w:t xml:space="preserve"> </w:t>
            </w:r>
            <w:r w:rsidRPr="00890A20">
              <w:rPr>
                <w:rFonts w:hAnsi="SimSun"/>
                <w:noProof/>
                <w:sz w:val="17"/>
                <w:szCs w:val="17"/>
              </w:rPr>
              <w:t>340</w:t>
            </w:r>
            <w:r w:rsidRPr="00890A20">
              <w:rPr>
                <w:rFonts w:hAnsi="SimSun" w:hint="eastAsia"/>
                <w:sz w:val="17"/>
                <w:szCs w:val="17"/>
              </w:rPr>
              <w:t xml:space="preserve"> </w:t>
            </w:r>
          </w:p>
        </w:tc>
        <w:tc>
          <w:tcPr>
            <w:tcW w:w="1464" w:type="dxa"/>
            <w:tcBorders>
              <w:bottom w:val="single" w:sz="12" w:space="0" w:color="auto"/>
            </w:tcBorders>
            <w:shd w:val="clear" w:color="auto" w:fill="auto"/>
            <w:vAlign w:val="bottom"/>
          </w:tcPr>
          <w:p w:rsidR="0080267F" w:rsidRPr="00890A20" w:rsidRDefault="0080267F" w:rsidP="0023041C">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890A20">
              <w:rPr>
                <w:rFonts w:hAnsi="SimSun"/>
                <w:noProof/>
                <w:sz w:val="17"/>
                <w:szCs w:val="17"/>
              </w:rPr>
              <w:t>5</w:t>
            </w:r>
            <w:r w:rsidRPr="00890A20">
              <w:rPr>
                <w:rFonts w:hAnsi="SimSun" w:hint="eastAsia"/>
                <w:noProof/>
                <w:sz w:val="17"/>
                <w:szCs w:val="17"/>
              </w:rPr>
              <w:t xml:space="preserve"> </w:t>
            </w:r>
            <w:r w:rsidRPr="00890A20">
              <w:rPr>
                <w:rFonts w:hAnsi="SimSun"/>
                <w:noProof/>
                <w:sz w:val="17"/>
                <w:szCs w:val="17"/>
              </w:rPr>
              <w:t>180</w:t>
            </w:r>
          </w:p>
        </w:tc>
        <w:tc>
          <w:tcPr>
            <w:tcW w:w="1464" w:type="dxa"/>
            <w:tcBorders>
              <w:bottom w:val="single" w:sz="12" w:space="0" w:color="auto"/>
            </w:tcBorders>
            <w:shd w:val="clear" w:color="auto" w:fill="auto"/>
            <w:vAlign w:val="bottom"/>
          </w:tcPr>
          <w:p w:rsidR="0080267F" w:rsidRPr="00890A20" w:rsidRDefault="0080267F" w:rsidP="0023041C">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890A20">
              <w:rPr>
                <w:rFonts w:hAnsi="SimSun"/>
                <w:noProof/>
                <w:sz w:val="17"/>
                <w:szCs w:val="17"/>
              </w:rPr>
              <w:t>5</w:t>
            </w:r>
            <w:r w:rsidRPr="00890A20">
              <w:rPr>
                <w:rFonts w:hAnsi="SimSun" w:hint="eastAsia"/>
                <w:noProof/>
                <w:sz w:val="17"/>
                <w:szCs w:val="17"/>
              </w:rPr>
              <w:t xml:space="preserve"> </w:t>
            </w:r>
            <w:r w:rsidRPr="00890A20">
              <w:rPr>
                <w:rFonts w:hAnsi="SimSun"/>
                <w:noProof/>
                <w:sz w:val="17"/>
                <w:szCs w:val="17"/>
              </w:rPr>
              <w:t>523</w:t>
            </w:r>
          </w:p>
        </w:tc>
        <w:tc>
          <w:tcPr>
            <w:tcW w:w="1464" w:type="dxa"/>
            <w:tcBorders>
              <w:bottom w:val="single" w:sz="12" w:space="0" w:color="auto"/>
            </w:tcBorders>
            <w:shd w:val="clear" w:color="auto" w:fill="auto"/>
            <w:vAlign w:val="bottom"/>
          </w:tcPr>
          <w:p w:rsidR="0080267F" w:rsidRPr="00890A20" w:rsidRDefault="0080267F" w:rsidP="0023041C">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890A20">
              <w:rPr>
                <w:rFonts w:hAnsi="SimSun"/>
                <w:sz w:val="17"/>
                <w:szCs w:val="17"/>
              </w:rPr>
              <w:t>6.7%</w:t>
            </w:r>
          </w:p>
        </w:tc>
      </w:tr>
    </w:tbl>
    <w:p w:rsidR="0080267F" w:rsidRPr="00890A20" w:rsidRDefault="0080267F" w:rsidP="002304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4" w:right="1259" w:hanging="1264"/>
        <w:rPr>
          <w:rFonts w:ascii="SimSun" w:eastAsia="SimSun"/>
          <w:spacing w:val="0"/>
          <w:sz w:val="10"/>
        </w:rPr>
      </w:pPr>
    </w:p>
    <w:p w:rsidR="0080267F" w:rsidRPr="000D1D9C" w:rsidRDefault="0023041C" w:rsidP="002304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ascii="Times New Roman"/>
        </w:rPr>
      </w:pPr>
      <w:r>
        <w:br w:type="page"/>
      </w:r>
      <w:r w:rsidR="0080267F" w:rsidRPr="006C14AA">
        <w:tab/>
      </w:r>
      <w:r w:rsidR="0080267F" w:rsidRPr="006C14AA">
        <w:rPr>
          <w:rFonts w:hint="eastAsia"/>
        </w:rPr>
        <w:tab/>
        <w:t>按教育级别和性别分列的2003、2004和2005年入学人数</w:t>
      </w:r>
    </w:p>
    <w:tbl>
      <w:tblPr>
        <w:tblW w:w="0" w:type="auto"/>
        <w:tblInd w:w="1260" w:type="dxa"/>
        <w:tblLayout w:type="fixed"/>
        <w:tblCellMar>
          <w:left w:w="0" w:type="dxa"/>
          <w:right w:w="0" w:type="dxa"/>
        </w:tblCellMar>
        <w:tblLook w:val="0000"/>
      </w:tblPr>
      <w:tblGrid>
        <w:gridCol w:w="1464"/>
        <w:gridCol w:w="1464"/>
        <w:gridCol w:w="1464"/>
        <w:gridCol w:w="1464"/>
        <w:gridCol w:w="1464"/>
      </w:tblGrid>
      <w:tr w:rsidR="0080267F" w:rsidRPr="000D1D9C" w:rsidTr="0023041C">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80267F" w:rsidRPr="000D1D9C" w:rsidRDefault="0080267F" w:rsidP="0023041C">
            <w:pPr>
              <w:suppressAutoHyphens/>
              <w:spacing w:before="60" w:after="60" w:line="200" w:lineRule="exact"/>
              <w:ind w:right="57"/>
              <w:rPr>
                <w:rFonts w:ascii="KaiTi_GB2312" w:eastAsia="KaiTi_GB2312" w:hAnsi="SimSun"/>
                <w:sz w:val="15"/>
                <w:szCs w:val="17"/>
              </w:rPr>
            </w:pPr>
            <w:r w:rsidRPr="000D1D9C">
              <w:rPr>
                <w:rFonts w:ascii="KaiTi_GB2312" w:eastAsia="KaiTi_GB2312" w:hAnsi="SimSun" w:hint="eastAsia"/>
                <w:noProof/>
                <w:sz w:val="15"/>
                <w:szCs w:val="17"/>
              </w:rPr>
              <w:t>学校级别</w:t>
            </w:r>
          </w:p>
        </w:tc>
        <w:tc>
          <w:tcPr>
            <w:tcW w:w="1464" w:type="dxa"/>
            <w:tcBorders>
              <w:top w:val="single" w:sz="4" w:space="0" w:color="auto"/>
              <w:bottom w:val="single" w:sz="12" w:space="0" w:color="auto"/>
            </w:tcBorders>
            <w:shd w:val="clear" w:color="auto" w:fill="auto"/>
            <w:vAlign w:val="bottom"/>
          </w:tcPr>
          <w:p w:rsidR="0080267F" w:rsidRPr="000D1D9C" w:rsidRDefault="0080267F" w:rsidP="0023041C">
            <w:pPr>
              <w:suppressAutoHyphens/>
              <w:spacing w:before="60" w:after="60" w:line="200" w:lineRule="exact"/>
              <w:ind w:right="57"/>
              <w:jc w:val="right"/>
              <w:rPr>
                <w:rFonts w:ascii="KaiTi_GB2312" w:eastAsia="KaiTi_GB2312" w:hAnsi="SimSun" w:hint="eastAsia"/>
                <w:sz w:val="15"/>
                <w:szCs w:val="17"/>
              </w:rPr>
            </w:pPr>
            <w:r w:rsidRPr="000D1D9C">
              <w:rPr>
                <w:rFonts w:ascii="KaiTi_GB2312" w:eastAsia="KaiTi_GB2312" w:hAnsi="SimSun"/>
                <w:sz w:val="15"/>
                <w:szCs w:val="17"/>
              </w:rPr>
              <w:t>2003</w:t>
            </w:r>
            <w:r w:rsidRPr="000D1D9C">
              <w:rPr>
                <w:rFonts w:ascii="KaiTi_GB2312" w:eastAsia="KaiTi_GB2312" w:hAnsi="SimSun" w:hint="eastAsia"/>
                <w:sz w:val="15"/>
                <w:szCs w:val="17"/>
              </w:rPr>
              <w:t>年</w:t>
            </w:r>
          </w:p>
        </w:tc>
        <w:tc>
          <w:tcPr>
            <w:tcW w:w="1464" w:type="dxa"/>
            <w:tcBorders>
              <w:top w:val="single" w:sz="4" w:space="0" w:color="auto"/>
              <w:bottom w:val="single" w:sz="12" w:space="0" w:color="auto"/>
            </w:tcBorders>
            <w:shd w:val="clear" w:color="auto" w:fill="auto"/>
            <w:vAlign w:val="bottom"/>
          </w:tcPr>
          <w:p w:rsidR="0080267F" w:rsidRPr="000D1D9C" w:rsidRDefault="0080267F" w:rsidP="0023041C">
            <w:pPr>
              <w:suppressAutoHyphens/>
              <w:spacing w:before="60" w:after="60" w:line="200" w:lineRule="exact"/>
              <w:ind w:right="57"/>
              <w:jc w:val="right"/>
              <w:rPr>
                <w:rFonts w:ascii="KaiTi_GB2312" w:eastAsia="KaiTi_GB2312" w:hAnsi="SimSun" w:hint="eastAsia"/>
                <w:sz w:val="15"/>
                <w:szCs w:val="17"/>
              </w:rPr>
            </w:pPr>
            <w:r w:rsidRPr="000D1D9C">
              <w:rPr>
                <w:rFonts w:ascii="KaiTi_GB2312" w:eastAsia="KaiTi_GB2312" w:hAnsi="SimSun"/>
                <w:sz w:val="15"/>
                <w:szCs w:val="17"/>
              </w:rPr>
              <w:t>2004</w:t>
            </w:r>
            <w:r w:rsidRPr="000D1D9C">
              <w:rPr>
                <w:rFonts w:ascii="KaiTi_GB2312" w:eastAsia="KaiTi_GB2312" w:hAnsi="SimSun" w:hint="eastAsia"/>
                <w:sz w:val="15"/>
                <w:szCs w:val="17"/>
              </w:rPr>
              <w:t>年</w:t>
            </w:r>
          </w:p>
        </w:tc>
        <w:tc>
          <w:tcPr>
            <w:tcW w:w="1464" w:type="dxa"/>
            <w:tcBorders>
              <w:top w:val="single" w:sz="4" w:space="0" w:color="auto"/>
              <w:bottom w:val="single" w:sz="12" w:space="0" w:color="auto"/>
            </w:tcBorders>
            <w:shd w:val="clear" w:color="auto" w:fill="auto"/>
            <w:vAlign w:val="bottom"/>
          </w:tcPr>
          <w:p w:rsidR="0080267F" w:rsidRPr="000D1D9C" w:rsidRDefault="0080267F" w:rsidP="0023041C">
            <w:pPr>
              <w:suppressAutoHyphens/>
              <w:spacing w:before="60" w:after="60" w:line="200" w:lineRule="exact"/>
              <w:ind w:right="57"/>
              <w:jc w:val="right"/>
              <w:rPr>
                <w:rFonts w:ascii="KaiTi_GB2312" w:eastAsia="KaiTi_GB2312" w:hAnsi="SimSun" w:hint="eastAsia"/>
                <w:sz w:val="15"/>
                <w:szCs w:val="17"/>
              </w:rPr>
            </w:pPr>
            <w:r w:rsidRPr="000D1D9C">
              <w:rPr>
                <w:rFonts w:ascii="KaiTi_GB2312" w:eastAsia="KaiTi_GB2312" w:hAnsi="SimSun"/>
                <w:sz w:val="15"/>
                <w:szCs w:val="17"/>
              </w:rPr>
              <w:t>2005</w:t>
            </w:r>
            <w:r w:rsidRPr="000D1D9C">
              <w:rPr>
                <w:rFonts w:ascii="KaiTi_GB2312" w:eastAsia="KaiTi_GB2312" w:hAnsi="SimSun" w:hint="eastAsia"/>
                <w:sz w:val="15"/>
                <w:szCs w:val="17"/>
              </w:rPr>
              <w:t>年</w:t>
            </w:r>
          </w:p>
        </w:tc>
        <w:tc>
          <w:tcPr>
            <w:tcW w:w="1464" w:type="dxa"/>
            <w:tcBorders>
              <w:top w:val="single" w:sz="4" w:space="0" w:color="auto"/>
              <w:bottom w:val="single" w:sz="12" w:space="0" w:color="auto"/>
            </w:tcBorders>
            <w:shd w:val="clear" w:color="auto" w:fill="auto"/>
            <w:vAlign w:val="bottom"/>
          </w:tcPr>
          <w:p w:rsidR="0080267F" w:rsidRPr="000D1D9C" w:rsidRDefault="0080267F" w:rsidP="0023041C">
            <w:pPr>
              <w:suppressAutoHyphens/>
              <w:spacing w:before="60" w:after="60" w:line="200" w:lineRule="exact"/>
              <w:ind w:right="57"/>
              <w:jc w:val="right"/>
              <w:rPr>
                <w:rFonts w:ascii="KaiTi_GB2312" w:eastAsia="KaiTi_GB2312" w:hAnsi="SimSun"/>
                <w:sz w:val="15"/>
                <w:szCs w:val="17"/>
              </w:rPr>
            </w:pPr>
            <w:r w:rsidRPr="000D1D9C">
              <w:rPr>
                <w:rFonts w:ascii="KaiTi_GB2312" w:eastAsia="KaiTi_GB2312" w:hAnsi="SimSun" w:hint="eastAsia"/>
                <w:noProof/>
                <w:sz w:val="15"/>
                <w:szCs w:val="17"/>
              </w:rPr>
              <w:t>百分比变动</w:t>
            </w:r>
          </w:p>
        </w:tc>
      </w:tr>
      <w:tr w:rsidR="0080267F" w:rsidRPr="000D1D9C" w:rsidTr="0023041C">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rPr>
                <w:rFonts w:hAnsi="SimSun" w:hint="eastAsia"/>
                <w:noProof/>
                <w:sz w:val="17"/>
                <w:szCs w:val="17"/>
              </w:rPr>
            </w:pPr>
          </w:p>
        </w:tc>
        <w:tc>
          <w:tcPr>
            <w:tcW w:w="1464" w:type="dxa"/>
            <w:tcBorders>
              <w:top w:val="single" w:sz="12" w:space="0" w:color="auto"/>
            </w:tcBorders>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1464" w:type="dxa"/>
            <w:tcBorders>
              <w:top w:val="single" w:sz="12" w:space="0" w:color="auto"/>
            </w:tcBorders>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1464" w:type="dxa"/>
            <w:tcBorders>
              <w:top w:val="single" w:sz="12" w:space="0" w:color="auto"/>
            </w:tcBorders>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1464" w:type="dxa"/>
            <w:tcBorders>
              <w:top w:val="single" w:sz="12" w:space="0" w:color="auto"/>
            </w:tcBorders>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jc w:val="right"/>
              <w:rPr>
                <w:rFonts w:hAnsi="SimSun" w:hint="eastAsia"/>
                <w:sz w:val="17"/>
                <w:szCs w:val="17"/>
              </w:rPr>
            </w:pPr>
          </w:p>
        </w:tc>
      </w:tr>
      <w:tr w:rsidR="0080267F" w:rsidRPr="000D1D9C" w:rsidTr="0023041C">
        <w:tblPrEx>
          <w:tblCellMar>
            <w:top w:w="0" w:type="dxa"/>
            <w:bottom w:w="0" w:type="dxa"/>
          </w:tblCellMar>
        </w:tblPrEx>
        <w:tc>
          <w:tcPr>
            <w:tcW w:w="1464" w:type="dxa"/>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rPr>
                <w:rFonts w:ascii="SimHei" w:eastAsia="SimHei" w:hAnsi="SimSun" w:hint="eastAsia"/>
                <w:sz w:val="17"/>
                <w:szCs w:val="17"/>
              </w:rPr>
            </w:pPr>
            <w:r w:rsidRPr="001A7517">
              <w:rPr>
                <w:rFonts w:hAnsi="SimSun" w:hint="eastAsia"/>
                <w:noProof/>
                <w:sz w:val="17"/>
                <w:szCs w:val="17"/>
              </w:rPr>
              <w:t>小学总人数</w:t>
            </w:r>
          </w:p>
        </w:tc>
        <w:tc>
          <w:tcPr>
            <w:tcW w:w="1464" w:type="dxa"/>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jc w:val="right"/>
              <w:rPr>
                <w:rFonts w:ascii="SimHei" w:eastAsia="SimHei" w:hAnsi="SimSun" w:hint="eastAsia"/>
                <w:sz w:val="17"/>
                <w:szCs w:val="17"/>
              </w:rPr>
            </w:pPr>
            <w:r w:rsidRPr="000D1D9C">
              <w:rPr>
                <w:rFonts w:ascii="SimHei" w:eastAsia="SimHei" w:hAnsi="SimSun" w:hint="eastAsia"/>
                <w:sz w:val="17"/>
                <w:szCs w:val="17"/>
              </w:rPr>
              <w:t>85 958</w:t>
            </w:r>
          </w:p>
        </w:tc>
        <w:tc>
          <w:tcPr>
            <w:tcW w:w="1464" w:type="dxa"/>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jc w:val="right"/>
              <w:rPr>
                <w:rFonts w:ascii="SimHei" w:eastAsia="SimHei" w:hAnsi="SimSun" w:hint="eastAsia"/>
                <w:sz w:val="17"/>
                <w:szCs w:val="17"/>
              </w:rPr>
            </w:pPr>
            <w:r w:rsidRPr="000D1D9C">
              <w:rPr>
                <w:rFonts w:ascii="SimHei" w:eastAsia="SimHei" w:hAnsi="SimSun" w:hint="eastAsia"/>
                <w:sz w:val="17"/>
                <w:szCs w:val="17"/>
              </w:rPr>
              <w:t>90 612</w:t>
            </w:r>
          </w:p>
        </w:tc>
        <w:tc>
          <w:tcPr>
            <w:tcW w:w="1464" w:type="dxa"/>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jc w:val="right"/>
              <w:rPr>
                <w:rFonts w:ascii="SimHei" w:eastAsia="SimHei" w:hAnsi="SimSun" w:hint="eastAsia"/>
                <w:sz w:val="17"/>
                <w:szCs w:val="17"/>
              </w:rPr>
            </w:pPr>
            <w:r w:rsidRPr="000D1D9C">
              <w:rPr>
                <w:rFonts w:ascii="SimHei" w:eastAsia="SimHei" w:hAnsi="SimSun" w:hint="eastAsia"/>
                <w:sz w:val="17"/>
                <w:szCs w:val="17"/>
              </w:rPr>
              <w:t>100 356</w:t>
            </w:r>
          </w:p>
        </w:tc>
        <w:tc>
          <w:tcPr>
            <w:tcW w:w="1464" w:type="dxa"/>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jc w:val="right"/>
              <w:rPr>
                <w:rFonts w:ascii="SimHei" w:eastAsia="SimHei" w:hAnsi="SimSun" w:hint="eastAsia"/>
                <w:sz w:val="17"/>
                <w:szCs w:val="17"/>
              </w:rPr>
            </w:pPr>
          </w:p>
        </w:tc>
      </w:tr>
      <w:tr w:rsidR="0080267F" w:rsidRPr="000D1D9C" w:rsidTr="0023041C">
        <w:tblPrEx>
          <w:tblCellMar>
            <w:top w:w="0" w:type="dxa"/>
            <w:bottom w:w="0" w:type="dxa"/>
          </w:tblCellMar>
        </w:tblPrEx>
        <w:tc>
          <w:tcPr>
            <w:tcW w:w="1464" w:type="dxa"/>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left="334" w:right="57"/>
              <w:rPr>
                <w:rFonts w:hAnsi="SimSun" w:hint="eastAsia"/>
                <w:sz w:val="17"/>
                <w:szCs w:val="17"/>
              </w:rPr>
            </w:pPr>
            <w:r w:rsidRPr="000D1D9C">
              <w:rPr>
                <w:rFonts w:hAnsi="SimSun" w:hint="eastAsia"/>
                <w:noProof/>
                <w:sz w:val="17"/>
                <w:szCs w:val="17"/>
              </w:rPr>
              <w:t>女</w:t>
            </w:r>
          </w:p>
        </w:tc>
        <w:tc>
          <w:tcPr>
            <w:tcW w:w="1464" w:type="dxa"/>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left="334" w:right="57"/>
              <w:jc w:val="right"/>
              <w:rPr>
                <w:rFonts w:hAnsi="SimSun" w:hint="eastAsia"/>
                <w:sz w:val="17"/>
                <w:szCs w:val="17"/>
              </w:rPr>
            </w:pPr>
            <w:r w:rsidRPr="000D1D9C">
              <w:rPr>
                <w:rFonts w:hAnsi="SimSun"/>
                <w:sz w:val="17"/>
                <w:szCs w:val="17"/>
              </w:rPr>
              <w:t>40</w:t>
            </w:r>
            <w:r w:rsidRPr="000D1D9C">
              <w:rPr>
                <w:rFonts w:hAnsi="SimSun" w:hint="eastAsia"/>
                <w:sz w:val="17"/>
                <w:szCs w:val="17"/>
              </w:rPr>
              <w:t xml:space="preserve"> </w:t>
            </w:r>
            <w:r w:rsidRPr="000D1D9C">
              <w:rPr>
                <w:rFonts w:hAnsi="SimSun"/>
                <w:sz w:val="17"/>
                <w:szCs w:val="17"/>
              </w:rPr>
              <w:t>127</w:t>
            </w:r>
          </w:p>
        </w:tc>
        <w:tc>
          <w:tcPr>
            <w:tcW w:w="1464" w:type="dxa"/>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left="334" w:right="57"/>
              <w:jc w:val="right"/>
              <w:rPr>
                <w:rFonts w:hAnsi="SimSun" w:hint="eastAsia"/>
                <w:sz w:val="17"/>
                <w:szCs w:val="17"/>
              </w:rPr>
            </w:pPr>
            <w:r w:rsidRPr="000D1D9C">
              <w:rPr>
                <w:rFonts w:hAnsi="SimSun"/>
                <w:sz w:val="17"/>
                <w:szCs w:val="17"/>
              </w:rPr>
              <w:t>42</w:t>
            </w:r>
            <w:r w:rsidRPr="000D1D9C">
              <w:rPr>
                <w:rFonts w:hAnsi="SimSun" w:hint="eastAsia"/>
                <w:sz w:val="17"/>
                <w:szCs w:val="17"/>
              </w:rPr>
              <w:t xml:space="preserve"> </w:t>
            </w:r>
            <w:r w:rsidRPr="000D1D9C">
              <w:rPr>
                <w:rFonts w:hAnsi="SimSun"/>
                <w:sz w:val="17"/>
                <w:szCs w:val="17"/>
              </w:rPr>
              <w:t>587</w:t>
            </w:r>
          </w:p>
        </w:tc>
        <w:tc>
          <w:tcPr>
            <w:tcW w:w="1464" w:type="dxa"/>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left="334" w:right="57"/>
              <w:jc w:val="right"/>
              <w:rPr>
                <w:rFonts w:hAnsi="SimSun" w:hint="eastAsia"/>
                <w:sz w:val="17"/>
                <w:szCs w:val="17"/>
              </w:rPr>
            </w:pPr>
            <w:r w:rsidRPr="000D1D9C">
              <w:rPr>
                <w:rFonts w:hAnsi="SimSun"/>
                <w:sz w:val="17"/>
                <w:szCs w:val="17"/>
              </w:rPr>
              <w:t>47</w:t>
            </w:r>
            <w:r w:rsidRPr="000D1D9C">
              <w:rPr>
                <w:rFonts w:hAnsi="SimSun" w:hint="eastAsia"/>
                <w:sz w:val="17"/>
                <w:szCs w:val="17"/>
              </w:rPr>
              <w:t xml:space="preserve"> </w:t>
            </w:r>
            <w:r w:rsidRPr="000D1D9C">
              <w:rPr>
                <w:rFonts w:hAnsi="SimSun"/>
                <w:sz w:val="17"/>
                <w:szCs w:val="17"/>
              </w:rPr>
              <w:t>210</w:t>
            </w:r>
          </w:p>
        </w:tc>
        <w:tc>
          <w:tcPr>
            <w:tcW w:w="1464" w:type="dxa"/>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left="334" w:right="57"/>
              <w:jc w:val="right"/>
              <w:rPr>
                <w:rFonts w:hAnsi="SimSun"/>
                <w:sz w:val="17"/>
                <w:szCs w:val="17"/>
              </w:rPr>
            </w:pPr>
          </w:p>
        </w:tc>
      </w:tr>
      <w:tr w:rsidR="0080267F" w:rsidRPr="000D1D9C" w:rsidTr="0023041C">
        <w:tblPrEx>
          <w:tblCellMar>
            <w:top w:w="0" w:type="dxa"/>
            <w:bottom w:w="0" w:type="dxa"/>
          </w:tblCellMar>
        </w:tblPrEx>
        <w:tc>
          <w:tcPr>
            <w:tcW w:w="1464" w:type="dxa"/>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left="334" w:right="57"/>
              <w:rPr>
                <w:rFonts w:hAnsi="SimSun" w:hint="eastAsia"/>
                <w:sz w:val="17"/>
                <w:szCs w:val="17"/>
              </w:rPr>
            </w:pPr>
            <w:r w:rsidRPr="000D1D9C">
              <w:rPr>
                <w:rFonts w:hAnsi="SimSun" w:hint="eastAsia"/>
                <w:noProof/>
                <w:sz w:val="17"/>
                <w:szCs w:val="17"/>
              </w:rPr>
              <w:t>男</w:t>
            </w:r>
          </w:p>
        </w:tc>
        <w:tc>
          <w:tcPr>
            <w:tcW w:w="1464" w:type="dxa"/>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0D1D9C">
              <w:rPr>
                <w:rFonts w:hAnsi="SimSun"/>
                <w:sz w:val="17"/>
                <w:szCs w:val="17"/>
              </w:rPr>
              <w:t>45</w:t>
            </w:r>
            <w:r w:rsidRPr="000D1D9C">
              <w:rPr>
                <w:rFonts w:hAnsi="SimSun" w:hint="eastAsia"/>
                <w:sz w:val="17"/>
                <w:szCs w:val="17"/>
              </w:rPr>
              <w:t xml:space="preserve"> </w:t>
            </w:r>
            <w:r w:rsidRPr="000D1D9C">
              <w:rPr>
                <w:rFonts w:hAnsi="SimSun"/>
                <w:sz w:val="17"/>
                <w:szCs w:val="17"/>
              </w:rPr>
              <w:t>831</w:t>
            </w:r>
          </w:p>
        </w:tc>
        <w:tc>
          <w:tcPr>
            <w:tcW w:w="1464" w:type="dxa"/>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0D1D9C">
              <w:rPr>
                <w:rFonts w:hAnsi="SimSun"/>
                <w:sz w:val="17"/>
                <w:szCs w:val="17"/>
              </w:rPr>
              <w:t>48</w:t>
            </w:r>
            <w:r w:rsidRPr="000D1D9C">
              <w:rPr>
                <w:rFonts w:hAnsi="SimSun" w:hint="eastAsia"/>
                <w:sz w:val="17"/>
                <w:szCs w:val="17"/>
              </w:rPr>
              <w:t xml:space="preserve"> </w:t>
            </w:r>
            <w:r w:rsidRPr="000D1D9C">
              <w:rPr>
                <w:rFonts w:hAnsi="SimSun"/>
                <w:sz w:val="17"/>
                <w:szCs w:val="17"/>
              </w:rPr>
              <w:t>025</w:t>
            </w:r>
          </w:p>
        </w:tc>
        <w:tc>
          <w:tcPr>
            <w:tcW w:w="1464" w:type="dxa"/>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0D1D9C">
              <w:rPr>
                <w:rFonts w:hAnsi="SimSun"/>
                <w:sz w:val="17"/>
                <w:szCs w:val="17"/>
              </w:rPr>
              <w:t>53</w:t>
            </w:r>
            <w:r w:rsidRPr="000D1D9C">
              <w:rPr>
                <w:rFonts w:hAnsi="SimSun" w:hint="eastAsia"/>
                <w:sz w:val="17"/>
                <w:szCs w:val="17"/>
              </w:rPr>
              <w:t xml:space="preserve"> </w:t>
            </w:r>
            <w:r w:rsidRPr="000D1D9C">
              <w:rPr>
                <w:rFonts w:hAnsi="SimSun"/>
                <w:sz w:val="17"/>
                <w:szCs w:val="17"/>
              </w:rPr>
              <w:t>146</w:t>
            </w:r>
          </w:p>
        </w:tc>
        <w:tc>
          <w:tcPr>
            <w:tcW w:w="1464" w:type="dxa"/>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0D1D9C">
              <w:rPr>
                <w:rFonts w:hAnsi="SimSun"/>
                <w:sz w:val="17"/>
                <w:szCs w:val="17"/>
              </w:rPr>
              <w:t>10.8%</w:t>
            </w:r>
          </w:p>
        </w:tc>
      </w:tr>
      <w:tr w:rsidR="0080267F" w:rsidRPr="000D1D9C" w:rsidTr="0023041C">
        <w:tblPrEx>
          <w:tblCellMar>
            <w:top w:w="0" w:type="dxa"/>
            <w:bottom w:w="0" w:type="dxa"/>
          </w:tblCellMar>
        </w:tblPrEx>
        <w:tc>
          <w:tcPr>
            <w:tcW w:w="1464" w:type="dxa"/>
            <w:shd w:val="clear" w:color="auto" w:fill="auto"/>
            <w:vAlign w:val="bottom"/>
          </w:tcPr>
          <w:p w:rsidR="0080267F" w:rsidRPr="001A7517" w:rsidRDefault="0080267F" w:rsidP="0023041C">
            <w:pPr>
              <w:tabs>
                <w:tab w:val="left" w:pos="334"/>
                <w:tab w:val="left" w:pos="669"/>
                <w:tab w:val="left" w:pos="1003"/>
                <w:tab w:val="left" w:pos="1338"/>
              </w:tabs>
              <w:suppressAutoHyphens/>
              <w:spacing w:after="60" w:line="280" w:lineRule="exact"/>
              <w:ind w:right="57"/>
              <w:rPr>
                <w:rFonts w:hAnsi="SimSun" w:hint="eastAsia"/>
                <w:noProof/>
                <w:sz w:val="17"/>
                <w:szCs w:val="17"/>
              </w:rPr>
            </w:pPr>
            <w:r w:rsidRPr="001A7517">
              <w:rPr>
                <w:rFonts w:hAnsi="SimSun" w:hint="eastAsia"/>
                <w:noProof/>
                <w:sz w:val="17"/>
                <w:szCs w:val="17"/>
              </w:rPr>
              <w:t>中学总人数</w:t>
            </w:r>
          </w:p>
        </w:tc>
        <w:tc>
          <w:tcPr>
            <w:tcW w:w="1464" w:type="dxa"/>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jc w:val="right"/>
              <w:rPr>
                <w:rFonts w:ascii="SimHei" w:eastAsia="SimHei" w:hAnsi="SimSun" w:hint="eastAsia"/>
                <w:sz w:val="17"/>
                <w:szCs w:val="17"/>
              </w:rPr>
            </w:pPr>
            <w:r w:rsidRPr="000D1D9C">
              <w:rPr>
                <w:rFonts w:ascii="SimHei" w:eastAsia="SimHei" w:hAnsi="SimSun" w:hint="eastAsia"/>
                <w:sz w:val="17"/>
                <w:szCs w:val="17"/>
              </w:rPr>
              <w:t>23 514</w:t>
            </w:r>
          </w:p>
        </w:tc>
        <w:tc>
          <w:tcPr>
            <w:tcW w:w="1464" w:type="dxa"/>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jc w:val="right"/>
              <w:rPr>
                <w:rFonts w:ascii="SimHei" w:eastAsia="SimHei" w:hAnsi="SimSun" w:hint="eastAsia"/>
                <w:sz w:val="17"/>
                <w:szCs w:val="17"/>
              </w:rPr>
            </w:pPr>
            <w:r w:rsidRPr="000D1D9C">
              <w:rPr>
                <w:rFonts w:ascii="SimHei" w:eastAsia="SimHei" w:hAnsi="SimSun" w:hint="eastAsia"/>
                <w:sz w:val="17"/>
                <w:szCs w:val="17"/>
              </w:rPr>
              <w:t>23 690</w:t>
            </w:r>
          </w:p>
        </w:tc>
        <w:tc>
          <w:tcPr>
            <w:tcW w:w="1464" w:type="dxa"/>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jc w:val="right"/>
              <w:rPr>
                <w:rFonts w:ascii="SimHei" w:eastAsia="SimHei" w:hAnsi="SimSun" w:hint="eastAsia"/>
                <w:sz w:val="17"/>
                <w:szCs w:val="17"/>
              </w:rPr>
            </w:pPr>
            <w:r w:rsidRPr="000D1D9C">
              <w:rPr>
                <w:rFonts w:ascii="SimHei" w:eastAsia="SimHei" w:hAnsi="SimSun" w:hint="eastAsia"/>
                <w:sz w:val="17"/>
                <w:szCs w:val="17"/>
              </w:rPr>
              <w:t>25 017</w:t>
            </w:r>
          </w:p>
        </w:tc>
        <w:tc>
          <w:tcPr>
            <w:tcW w:w="1464" w:type="dxa"/>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jc w:val="right"/>
              <w:rPr>
                <w:rFonts w:ascii="SimHei" w:eastAsia="SimHei" w:hAnsi="SimSun" w:hint="eastAsia"/>
                <w:sz w:val="17"/>
                <w:szCs w:val="17"/>
              </w:rPr>
            </w:pPr>
          </w:p>
        </w:tc>
      </w:tr>
      <w:tr w:rsidR="0080267F" w:rsidRPr="000D1D9C" w:rsidTr="0023041C">
        <w:tblPrEx>
          <w:tblCellMar>
            <w:top w:w="0" w:type="dxa"/>
            <w:bottom w:w="0" w:type="dxa"/>
          </w:tblCellMar>
        </w:tblPrEx>
        <w:tc>
          <w:tcPr>
            <w:tcW w:w="1464" w:type="dxa"/>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left="334" w:right="57"/>
              <w:rPr>
                <w:rFonts w:hAnsi="SimSun" w:hint="eastAsia"/>
                <w:noProof/>
                <w:sz w:val="17"/>
                <w:szCs w:val="17"/>
              </w:rPr>
            </w:pPr>
            <w:r w:rsidRPr="000D1D9C">
              <w:rPr>
                <w:rFonts w:hAnsi="SimSun" w:hint="eastAsia"/>
                <w:noProof/>
                <w:sz w:val="17"/>
                <w:szCs w:val="17"/>
              </w:rPr>
              <w:t>女</w:t>
            </w:r>
          </w:p>
        </w:tc>
        <w:tc>
          <w:tcPr>
            <w:tcW w:w="1464" w:type="dxa"/>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left="334" w:right="57"/>
              <w:jc w:val="right"/>
              <w:rPr>
                <w:rFonts w:hAnsi="SimSun" w:hint="eastAsia"/>
                <w:sz w:val="17"/>
                <w:szCs w:val="17"/>
              </w:rPr>
            </w:pPr>
            <w:r w:rsidRPr="000D1D9C">
              <w:rPr>
                <w:rFonts w:hAnsi="SimSun"/>
                <w:sz w:val="17"/>
                <w:szCs w:val="17"/>
              </w:rPr>
              <w:t>10</w:t>
            </w:r>
            <w:r w:rsidRPr="000D1D9C">
              <w:rPr>
                <w:rFonts w:hAnsi="SimSun" w:hint="eastAsia"/>
                <w:sz w:val="17"/>
                <w:szCs w:val="17"/>
              </w:rPr>
              <w:t xml:space="preserve"> </w:t>
            </w:r>
            <w:r w:rsidRPr="000D1D9C">
              <w:rPr>
                <w:rFonts w:hAnsi="SimSun"/>
                <w:sz w:val="17"/>
                <w:szCs w:val="17"/>
              </w:rPr>
              <w:t>151</w:t>
            </w:r>
          </w:p>
        </w:tc>
        <w:tc>
          <w:tcPr>
            <w:tcW w:w="1464" w:type="dxa"/>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left="334" w:right="57"/>
              <w:jc w:val="right"/>
              <w:rPr>
                <w:rFonts w:hAnsi="SimSun" w:hint="eastAsia"/>
                <w:sz w:val="17"/>
                <w:szCs w:val="17"/>
              </w:rPr>
            </w:pPr>
            <w:r w:rsidRPr="000D1D9C">
              <w:rPr>
                <w:rFonts w:hAnsi="SimSun"/>
                <w:sz w:val="17"/>
                <w:szCs w:val="17"/>
              </w:rPr>
              <w:t>10</w:t>
            </w:r>
            <w:r w:rsidRPr="000D1D9C">
              <w:rPr>
                <w:rFonts w:hAnsi="SimSun" w:hint="eastAsia"/>
                <w:sz w:val="17"/>
                <w:szCs w:val="17"/>
              </w:rPr>
              <w:t xml:space="preserve"> </w:t>
            </w:r>
            <w:r w:rsidRPr="000D1D9C">
              <w:rPr>
                <w:rFonts w:hAnsi="SimSun"/>
                <w:sz w:val="17"/>
                <w:szCs w:val="17"/>
              </w:rPr>
              <w:t>235</w:t>
            </w:r>
          </w:p>
        </w:tc>
        <w:tc>
          <w:tcPr>
            <w:tcW w:w="1464" w:type="dxa"/>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left="334" w:right="57"/>
              <w:jc w:val="right"/>
              <w:rPr>
                <w:rFonts w:hAnsi="SimSun" w:hint="eastAsia"/>
                <w:sz w:val="17"/>
                <w:szCs w:val="17"/>
              </w:rPr>
            </w:pPr>
            <w:r w:rsidRPr="000D1D9C">
              <w:rPr>
                <w:rFonts w:hAnsi="SimSun"/>
                <w:sz w:val="17"/>
                <w:szCs w:val="17"/>
              </w:rPr>
              <w:t>10</w:t>
            </w:r>
            <w:r w:rsidRPr="000D1D9C">
              <w:rPr>
                <w:rFonts w:hAnsi="SimSun" w:hint="eastAsia"/>
                <w:sz w:val="17"/>
                <w:szCs w:val="17"/>
              </w:rPr>
              <w:t xml:space="preserve"> </w:t>
            </w:r>
            <w:r w:rsidRPr="000D1D9C">
              <w:rPr>
                <w:rFonts w:hAnsi="SimSun"/>
                <w:sz w:val="17"/>
                <w:szCs w:val="17"/>
              </w:rPr>
              <w:t>788</w:t>
            </w:r>
          </w:p>
        </w:tc>
        <w:tc>
          <w:tcPr>
            <w:tcW w:w="1464" w:type="dxa"/>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left="334" w:right="57"/>
              <w:jc w:val="right"/>
              <w:rPr>
                <w:rFonts w:hAnsi="SimSun" w:hint="eastAsia"/>
                <w:sz w:val="17"/>
                <w:szCs w:val="17"/>
              </w:rPr>
            </w:pPr>
          </w:p>
        </w:tc>
      </w:tr>
      <w:tr w:rsidR="0080267F" w:rsidRPr="000D1D9C" w:rsidTr="0023041C">
        <w:tblPrEx>
          <w:tblCellMar>
            <w:top w:w="0" w:type="dxa"/>
            <w:bottom w:w="0" w:type="dxa"/>
          </w:tblCellMar>
        </w:tblPrEx>
        <w:tc>
          <w:tcPr>
            <w:tcW w:w="1464" w:type="dxa"/>
            <w:tcBorders>
              <w:bottom w:val="single" w:sz="12" w:space="0" w:color="auto"/>
            </w:tcBorders>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left="334" w:right="57"/>
              <w:rPr>
                <w:rFonts w:hAnsi="SimSun" w:hint="eastAsia"/>
                <w:noProof/>
                <w:sz w:val="17"/>
                <w:szCs w:val="17"/>
              </w:rPr>
            </w:pPr>
            <w:r w:rsidRPr="000D1D9C">
              <w:rPr>
                <w:rFonts w:hAnsi="SimSun" w:hint="eastAsia"/>
                <w:noProof/>
                <w:sz w:val="17"/>
                <w:szCs w:val="17"/>
              </w:rPr>
              <w:t>男</w:t>
            </w:r>
          </w:p>
        </w:tc>
        <w:tc>
          <w:tcPr>
            <w:tcW w:w="1464" w:type="dxa"/>
            <w:tcBorders>
              <w:bottom w:val="single" w:sz="12" w:space="0" w:color="auto"/>
            </w:tcBorders>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0D1D9C">
              <w:rPr>
                <w:rFonts w:hAnsi="SimSun"/>
                <w:sz w:val="17"/>
                <w:szCs w:val="17"/>
              </w:rPr>
              <w:t>13</w:t>
            </w:r>
            <w:r w:rsidRPr="000D1D9C">
              <w:rPr>
                <w:rFonts w:hAnsi="SimSun" w:hint="eastAsia"/>
                <w:sz w:val="17"/>
                <w:szCs w:val="17"/>
              </w:rPr>
              <w:t xml:space="preserve"> </w:t>
            </w:r>
            <w:r w:rsidRPr="000D1D9C">
              <w:rPr>
                <w:rFonts w:hAnsi="SimSun"/>
                <w:sz w:val="17"/>
                <w:szCs w:val="17"/>
              </w:rPr>
              <w:t>363</w:t>
            </w:r>
          </w:p>
        </w:tc>
        <w:tc>
          <w:tcPr>
            <w:tcW w:w="1464" w:type="dxa"/>
            <w:tcBorders>
              <w:bottom w:val="single" w:sz="12" w:space="0" w:color="auto"/>
            </w:tcBorders>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0D1D9C">
              <w:rPr>
                <w:rFonts w:hAnsi="SimSun"/>
                <w:sz w:val="17"/>
                <w:szCs w:val="17"/>
              </w:rPr>
              <w:t>13</w:t>
            </w:r>
            <w:r w:rsidRPr="000D1D9C">
              <w:rPr>
                <w:rFonts w:hAnsi="SimSun" w:hint="eastAsia"/>
                <w:sz w:val="17"/>
                <w:szCs w:val="17"/>
              </w:rPr>
              <w:t xml:space="preserve"> </w:t>
            </w:r>
            <w:r w:rsidRPr="000D1D9C">
              <w:rPr>
                <w:rFonts w:hAnsi="SimSun"/>
                <w:sz w:val="17"/>
                <w:szCs w:val="17"/>
              </w:rPr>
              <w:t>455</w:t>
            </w:r>
          </w:p>
        </w:tc>
        <w:tc>
          <w:tcPr>
            <w:tcW w:w="1464" w:type="dxa"/>
            <w:tcBorders>
              <w:bottom w:val="single" w:sz="12" w:space="0" w:color="auto"/>
            </w:tcBorders>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0D1D9C">
              <w:rPr>
                <w:rFonts w:hAnsi="SimSun"/>
                <w:sz w:val="17"/>
                <w:szCs w:val="17"/>
              </w:rPr>
              <w:t>14</w:t>
            </w:r>
            <w:r w:rsidRPr="000D1D9C">
              <w:rPr>
                <w:rFonts w:hAnsi="SimSun" w:hint="eastAsia"/>
                <w:sz w:val="17"/>
                <w:szCs w:val="17"/>
              </w:rPr>
              <w:t xml:space="preserve"> </w:t>
            </w:r>
            <w:r w:rsidRPr="000D1D9C">
              <w:rPr>
                <w:rFonts w:hAnsi="SimSun"/>
                <w:sz w:val="17"/>
                <w:szCs w:val="17"/>
              </w:rPr>
              <w:t>229</w:t>
            </w:r>
          </w:p>
        </w:tc>
        <w:tc>
          <w:tcPr>
            <w:tcW w:w="1464" w:type="dxa"/>
            <w:tcBorders>
              <w:bottom w:val="single" w:sz="12" w:space="0" w:color="auto"/>
            </w:tcBorders>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jc w:val="right"/>
              <w:rPr>
                <w:rFonts w:hAnsi="SimSun" w:hint="eastAsia"/>
                <w:sz w:val="17"/>
                <w:szCs w:val="17"/>
              </w:rPr>
            </w:pPr>
            <w:r w:rsidRPr="000D1D9C">
              <w:rPr>
                <w:rFonts w:hAnsi="SimSun" w:hint="eastAsia"/>
                <w:sz w:val="17"/>
                <w:szCs w:val="17"/>
              </w:rPr>
              <w:t>5</w:t>
            </w:r>
            <w:r w:rsidRPr="000D1D9C">
              <w:rPr>
                <w:rFonts w:hAnsi="SimSun"/>
                <w:sz w:val="17"/>
                <w:szCs w:val="17"/>
              </w:rPr>
              <w:t>.</w:t>
            </w:r>
            <w:r w:rsidRPr="000D1D9C">
              <w:rPr>
                <w:rFonts w:hAnsi="SimSun" w:hint="eastAsia"/>
                <w:sz w:val="17"/>
                <w:szCs w:val="17"/>
              </w:rPr>
              <w:t>6</w:t>
            </w:r>
            <w:r w:rsidRPr="000D1D9C">
              <w:rPr>
                <w:rFonts w:hAnsi="SimSun"/>
                <w:sz w:val="17"/>
                <w:szCs w:val="17"/>
              </w:rPr>
              <w:t>%</w:t>
            </w:r>
          </w:p>
        </w:tc>
      </w:tr>
    </w:tbl>
    <w:p w:rsidR="0080267F" w:rsidRPr="000D1D9C" w:rsidRDefault="0080267F" w:rsidP="002304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4" w:right="1259" w:hanging="1264"/>
        <w:rPr>
          <w:rFonts w:ascii="SimSun" w:eastAsia="SimSun"/>
          <w:spacing w:val="0"/>
          <w:sz w:val="10"/>
        </w:rPr>
      </w:pPr>
    </w:p>
    <w:p w:rsidR="0080267F" w:rsidRDefault="0080267F" w:rsidP="002304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pPr>
      <w:r w:rsidRPr="006C14AA">
        <w:tab/>
      </w:r>
      <w:r w:rsidRPr="006C14AA">
        <w:rPr>
          <w:rFonts w:hint="eastAsia"/>
        </w:rPr>
        <w:tab/>
        <w:t>按性别分列的2005年宿舍设施(2005年教育统计文摘)</w:t>
      </w:r>
    </w:p>
    <w:tbl>
      <w:tblPr>
        <w:tblW w:w="0" w:type="auto"/>
        <w:tblInd w:w="1260" w:type="dxa"/>
        <w:tblLayout w:type="fixed"/>
        <w:tblCellMar>
          <w:left w:w="0" w:type="dxa"/>
          <w:right w:w="0" w:type="dxa"/>
        </w:tblCellMar>
        <w:tblLook w:val="0000"/>
      </w:tblPr>
      <w:tblGrid>
        <w:gridCol w:w="840"/>
        <w:gridCol w:w="1134"/>
        <w:gridCol w:w="1344"/>
        <w:gridCol w:w="1022"/>
        <w:gridCol w:w="1525"/>
        <w:gridCol w:w="1455"/>
      </w:tblGrid>
      <w:tr w:rsidR="0080267F" w:rsidRPr="000D1D9C" w:rsidTr="0023041C">
        <w:tblPrEx>
          <w:tblCellMar>
            <w:top w:w="0" w:type="dxa"/>
            <w:bottom w:w="0" w:type="dxa"/>
          </w:tblCellMar>
        </w:tblPrEx>
        <w:trPr>
          <w:tblHeader/>
        </w:trPr>
        <w:tc>
          <w:tcPr>
            <w:tcW w:w="840" w:type="dxa"/>
            <w:tcBorders>
              <w:top w:val="single" w:sz="4" w:space="0" w:color="auto"/>
              <w:bottom w:val="single" w:sz="12" w:space="0" w:color="auto"/>
            </w:tcBorders>
            <w:shd w:val="clear" w:color="auto" w:fill="auto"/>
            <w:vAlign w:val="bottom"/>
          </w:tcPr>
          <w:p w:rsidR="0080267F" w:rsidRPr="000D1D9C" w:rsidRDefault="0080267F" w:rsidP="0023041C">
            <w:pPr>
              <w:suppressAutoHyphens/>
              <w:spacing w:before="60" w:after="60" w:line="200" w:lineRule="exact"/>
              <w:ind w:right="57"/>
              <w:rPr>
                <w:rFonts w:ascii="KaiTi_GB2312" w:eastAsia="KaiTi_GB2312" w:hAnsi="SimSun"/>
                <w:sz w:val="15"/>
                <w:szCs w:val="17"/>
              </w:rPr>
            </w:pPr>
          </w:p>
        </w:tc>
        <w:tc>
          <w:tcPr>
            <w:tcW w:w="1134" w:type="dxa"/>
            <w:tcBorders>
              <w:top w:val="single" w:sz="4" w:space="0" w:color="auto"/>
              <w:bottom w:val="single" w:sz="12" w:space="0" w:color="auto"/>
            </w:tcBorders>
            <w:shd w:val="clear" w:color="auto" w:fill="auto"/>
            <w:vAlign w:val="bottom"/>
          </w:tcPr>
          <w:p w:rsidR="0080267F" w:rsidRPr="000D1D9C" w:rsidRDefault="0080267F" w:rsidP="0023041C">
            <w:pPr>
              <w:suppressAutoHyphens/>
              <w:spacing w:before="60" w:after="60" w:line="200" w:lineRule="exact"/>
              <w:ind w:right="57"/>
              <w:jc w:val="right"/>
              <w:rPr>
                <w:rFonts w:ascii="KaiTi_GB2312" w:eastAsia="KaiTi_GB2312" w:hAnsi="SimSun"/>
                <w:sz w:val="15"/>
                <w:szCs w:val="17"/>
              </w:rPr>
            </w:pPr>
            <w:r w:rsidRPr="000D1D9C">
              <w:rPr>
                <w:rFonts w:ascii="KaiTi_GB2312" w:eastAsia="KaiTi_GB2312" w:hAnsi="SimSun" w:hint="eastAsia"/>
                <w:sz w:val="15"/>
                <w:szCs w:val="17"/>
                <w:lang w:val="zh-CN"/>
              </w:rPr>
              <w:t>寄宿人数</w:t>
            </w:r>
          </w:p>
        </w:tc>
        <w:tc>
          <w:tcPr>
            <w:tcW w:w="1344" w:type="dxa"/>
            <w:tcBorders>
              <w:top w:val="single" w:sz="4" w:space="0" w:color="auto"/>
              <w:bottom w:val="single" w:sz="12" w:space="0" w:color="auto"/>
            </w:tcBorders>
            <w:shd w:val="clear" w:color="auto" w:fill="auto"/>
            <w:vAlign w:val="bottom"/>
          </w:tcPr>
          <w:p w:rsidR="0080267F" w:rsidRPr="000D1D9C" w:rsidRDefault="0080267F" w:rsidP="0023041C">
            <w:pPr>
              <w:suppressAutoHyphens/>
              <w:spacing w:before="60" w:after="60" w:line="200" w:lineRule="exact"/>
              <w:ind w:right="57"/>
              <w:jc w:val="right"/>
              <w:rPr>
                <w:rFonts w:ascii="KaiTi_GB2312" w:eastAsia="KaiTi_GB2312" w:hAnsi="SimSun"/>
                <w:sz w:val="15"/>
                <w:szCs w:val="17"/>
              </w:rPr>
            </w:pPr>
            <w:r w:rsidRPr="000D1D9C">
              <w:rPr>
                <w:rFonts w:ascii="KaiTi_GB2312" w:eastAsia="KaiTi_GB2312" w:hAnsi="SimSun" w:hint="eastAsia"/>
                <w:sz w:val="15"/>
                <w:szCs w:val="17"/>
                <w:lang w:val="zh-CN"/>
              </w:rPr>
              <w:t>寄宿人数百分比</w:t>
            </w:r>
          </w:p>
        </w:tc>
        <w:tc>
          <w:tcPr>
            <w:tcW w:w="1022" w:type="dxa"/>
            <w:tcBorders>
              <w:top w:val="single" w:sz="4" w:space="0" w:color="auto"/>
              <w:bottom w:val="single" w:sz="12" w:space="0" w:color="auto"/>
            </w:tcBorders>
            <w:shd w:val="clear" w:color="auto" w:fill="auto"/>
            <w:vAlign w:val="bottom"/>
          </w:tcPr>
          <w:p w:rsidR="0080267F" w:rsidRPr="000D1D9C" w:rsidRDefault="0080267F" w:rsidP="0023041C">
            <w:pPr>
              <w:suppressAutoHyphens/>
              <w:spacing w:before="60" w:after="60" w:line="200" w:lineRule="exact"/>
              <w:ind w:right="57"/>
              <w:jc w:val="right"/>
              <w:rPr>
                <w:rFonts w:ascii="KaiTi_GB2312" w:eastAsia="KaiTi_GB2312" w:hAnsi="SimSun"/>
                <w:sz w:val="15"/>
                <w:szCs w:val="17"/>
              </w:rPr>
            </w:pPr>
            <w:r w:rsidRPr="000D1D9C">
              <w:rPr>
                <w:rFonts w:ascii="KaiTi_GB2312" w:eastAsia="KaiTi_GB2312" w:hAnsi="SimSun" w:hint="eastAsia"/>
                <w:sz w:val="15"/>
                <w:szCs w:val="17"/>
                <w:lang w:val="zh-CN"/>
              </w:rPr>
              <w:t>宿舍容量</w:t>
            </w:r>
          </w:p>
        </w:tc>
        <w:tc>
          <w:tcPr>
            <w:tcW w:w="1525" w:type="dxa"/>
            <w:tcBorders>
              <w:top w:val="single" w:sz="4" w:space="0" w:color="auto"/>
              <w:bottom w:val="single" w:sz="12" w:space="0" w:color="auto"/>
            </w:tcBorders>
            <w:shd w:val="clear" w:color="auto" w:fill="auto"/>
            <w:vAlign w:val="bottom"/>
          </w:tcPr>
          <w:p w:rsidR="0080267F" w:rsidRPr="000D1D9C" w:rsidRDefault="0080267F" w:rsidP="0023041C">
            <w:pPr>
              <w:suppressAutoHyphens/>
              <w:spacing w:before="60" w:after="60" w:line="200" w:lineRule="exact"/>
              <w:ind w:right="57"/>
              <w:jc w:val="right"/>
              <w:rPr>
                <w:rFonts w:ascii="KaiTi_GB2312" w:eastAsia="KaiTi_GB2312" w:hAnsi="SimSun"/>
                <w:sz w:val="15"/>
                <w:szCs w:val="17"/>
              </w:rPr>
            </w:pPr>
            <w:r w:rsidRPr="000D1D9C">
              <w:rPr>
                <w:rFonts w:ascii="KaiTi_GB2312" w:eastAsia="KaiTi_GB2312" w:hAnsi="SimSun" w:hint="eastAsia"/>
                <w:sz w:val="15"/>
                <w:szCs w:val="17"/>
                <w:lang w:val="zh-CN"/>
              </w:rPr>
              <w:t>寄宿人数</w:t>
            </w:r>
            <w:r w:rsidRPr="000D1D9C">
              <w:rPr>
                <w:rFonts w:ascii="KaiTi_GB2312" w:eastAsia="KaiTi_GB2312" w:hAnsi="SimSun"/>
                <w:sz w:val="15"/>
                <w:szCs w:val="17"/>
                <w:lang w:val="zh-CN"/>
              </w:rPr>
              <w:t>/</w:t>
            </w:r>
            <w:r w:rsidRPr="000D1D9C">
              <w:rPr>
                <w:rFonts w:ascii="KaiTi_GB2312" w:eastAsia="KaiTi_GB2312" w:hAnsi="SimSun" w:hint="eastAsia"/>
                <w:sz w:val="15"/>
                <w:szCs w:val="17"/>
                <w:lang w:val="zh-CN"/>
              </w:rPr>
              <w:t>卫生设施</w:t>
            </w:r>
          </w:p>
        </w:tc>
        <w:tc>
          <w:tcPr>
            <w:tcW w:w="1455" w:type="dxa"/>
            <w:tcBorders>
              <w:top w:val="single" w:sz="4" w:space="0" w:color="auto"/>
              <w:bottom w:val="single" w:sz="12" w:space="0" w:color="auto"/>
            </w:tcBorders>
            <w:shd w:val="clear" w:color="auto" w:fill="auto"/>
            <w:vAlign w:val="bottom"/>
          </w:tcPr>
          <w:p w:rsidR="0080267F" w:rsidRPr="000D1D9C" w:rsidRDefault="0080267F" w:rsidP="0023041C">
            <w:pPr>
              <w:suppressAutoHyphens/>
              <w:spacing w:before="60" w:after="60" w:line="200" w:lineRule="exact"/>
              <w:ind w:right="57"/>
              <w:jc w:val="right"/>
              <w:rPr>
                <w:rFonts w:ascii="KaiTi_GB2312" w:eastAsia="KaiTi_GB2312" w:hAnsi="SimSun"/>
                <w:sz w:val="15"/>
                <w:szCs w:val="17"/>
              </w:rPr>
            </w:pPr>
            <w:r w:rsidRPr="000D1D9C">
              <w:rPr>
                <w:rFonts w:ascii="KaiTi_GB2312" w:eastAsia="KaiTi_GB2312" w:hAnsi="SimSun" w:hint="eastAsia"/>
                <w:sz w:val="15"/>
                <w:szCs w:val="17"/>
                <w:lang w:val="zh-CN"/>
              </w:rPr>
              <w:t>寄宿人数</w:t>
            </w:r>
            <w:r w:rsidRPr="000D1D9C">
              <w:rPr>
                <w:rFonts w:ascii="KaiTi_GB2312" w:eastAsia="KaiTi_GB2312" w:hAnsi="SimSun"/>
                <w:sz w:val="15"/>
                <w:szCs w:val="17"/>
                <w:lang w:val="zh-CN"/>
              </w:rPr>
              <w:t>/</w:t>
            </w:r>
            <w:r w:rsidRPr="000D1D9C">
              <w:rPr>
                <w:rFonts w:ascii="KaiTi_GB2312" w:eastAsia="KaiTi_GB2312" w:hAnsi="SimSun" w:hint="eastAsia"/>
                <w:sz w:val="15"/>
                <w:szCs w:val="17"/>
                <w:lang w:val="zh-CN"/>
              </w:rPr>
              <w:t>淋浴设施</w:t>
            </w:r>
          </w:p>
        </w:tc>
      </w:tr>
      <w:tr w:rsidR="0080267F" w:rsidRPr="000D1D9C" w:rsidTr="0023041C">
        <w:tblPrEx>
          <w:tblCellMar>
            <w:top w:w="0" w:type="dxa"/>
            <w:bottom w:w="0" w:type="dxa"/>
          </w:tblCellMar>
        </w:tblPrEx>
        <w:trPr>
          <w:trHeight w:hRule="exact" w:val="115"/>
          <w:tblHeader/>
        </w:trPr>
        <w:tc>
          <w:tcPr>
            <w:tcW w:w="840" w:type="dxa"/>
            <w:tcBorders>
              <w:top w:val="single" w:sz="12" w:space="0" w:color="auto"/>
            </w:tcBorders>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rPr>
                <w:rFonts w:hAnsi="SimSun" w:hint="eastAsia"/>
                <w:noProof/>
                <w:sz w:val="17"/>
                <w:szCs w:val="17"/>
              </w:rPr>
            </w:pPr>
          </w:p>
        </w:tc>
        <w:tc>
          <w:tcPr>
            <w:tcW w:w="1134" w:type="dxa"/>
            <w:tcBorders>
              <w:top w:val="single" w:sz="12" w:space="0" w:color="auto"/>
            </w:tcBorders>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1344" w:type="dxa"/>
            <w:tcBorders>
              <w:top w:val="single" w:sz="12" w:space="0" w:color="auto"/>
            </w:tcBorders>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1022" w:type="dxa"/>
            <w:tcBorders>
              <w:top w:val="single" w:sz="12" w:space="0" w:color="auto"/>
            </w:tcBorders>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1525" w:type="dxa"/>
            <w:tcBorders>
              <w:top w:val="single" w:sz="12" w:space="0" w:color="auto"/>
            </w:tcBorders>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c>
          <w:tcPr>
            <w:tcW w:w="1455" w:type="dxa"/>
            <w:tcBorders>
              <w:top w:val="single" w:sz="12" w:space="0" w:color="auto"/>
            </w:tcBorders>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p>
        </w:tc>
      </w:tr>
      <w:tr w:rsidR="0080267F" w:rsidRPr="000D1D9C" w:rsidTr="0023041C">
        <w:tblPrEx>
          <w:tblCellMar>
            <w:top w:w="0" w:type="dxa"/>
            <w:bottom w:w="0" w:type="dxa"/>
          </w:tblCellMar>
        </w:tblPrEx>
        <w:tc>
          <w:tcPr>
            <w:tcW w:w="840" w:type="dxa"/>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rPr>
                <w:rFonts w:hAnsi="SimSun"/>
                <w:sz w:val="17"/>
                <w:szCs w:val="17"/>
              </w:rPr>
            </w:pPr>
            <w:r w:rsidRPr="000D1D9C">
              <w:rPr>
                <w:rFonts w:hAnsi="SimSun" w:hint="eastAsia"/>
                <w:noProof/>
                <w:sz w:val="17"/>
                <w:szCs w:val="17"/>
              </w:rPr>
              <w:t>男</w:t>
            </w:r>
          </w:p>
        </w:tc>
        <w:tc>
          <w:tcPr>
            <w:tcW w:w="1134" w:type="dxa"/>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D1D9C">
              <w:rPr>
                <w:rFonts w:hAnsi="SimSun"/>
                <w:sz w:val="17"/>
                <w:szCs w:val="17"/>
              </w:rPr>
              <w:t>6</w:t>
            </w:r>
            <w:r>
              <w:rPr>
                <w:rFonts w:hAnsi="SimSun"/>
                <w:sz w:val="17"/>
                <w:szCs w:val="17"/>
              </w:rPr>
              <w:t xml:space="preserve"> </w:t>
            </w:r>
            <w:r w:rsidRPr="000D1D9C">
              <w:rPr>
                <w:rFonts w:hAnsi="SimSun"/>
                <w:sz w:val="17"/>
                <w:szCs w:val="17"/>
              </w:rPr>
              <w:t>327</w:t>
            </w:r>
          </w:p>
        </w:tc>
        <w:tc>
          <w:tcPr>
            <w:tcW w:w="1344" w:type="dxa"/>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D1D9C">
              <w:rPr>
                <w:rFonts w:hAnsi="SimSun"/>
                <w:sz w:val="17"/>
                <w:szCs w:val="17"/>
              </w:rPr>
              <w:t>9.48%</w:t>
            </w:r>
          </w:p>
        </w:tc>
        <w:tc>
          <w:tcPr>
            <w:tcW w:w="1022" w:type="dxa"/>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D1D9C">
              <w:rPr>
                <w:rFonts w:hAnsi="SimSun"/>
                <w:sz w:val="17"/>
                <w:szCs w:val="17"/>
              </w:rPr>
              <w:t>5</w:t>
            </w:r>
            <w:r>
              <w:rPr>
                <w:rFonts w:hAnsi="SimSun"/>
                <w:sz w:val="17"/>
                <w:szCs w:val="17"/>
              </w:rPr>
              <w:t xml:space="preserve"> </w:t>
            </w:r>
            <w:r w:rsidRPr="000D1D9C">
              <w:rPr>
                <w:rFonts w:hAnsi="SimSun"/>
                <w:sz w:val="17"/>
                <w:szCs w:val="17"/>
              </w:rPr>
              <w:t>814</w:t>
            </w:r>
          </w:p>
        </w:tc>
        <w:tc>
          <w:tcPr>
            <w:tcW w:w="1525" w:type="dxa"/>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D1D9C">
              <w:rPr>
                <w:rFonts w:hAnsi="SimSun"/>
                <w:sz w:val="17"/>
                <w:szCs w:val="17"/>
              </w:rPr>
              <w:t>19.65</w:t>
            </w:r>
          </w:p>
        </w:tc>
        <w:tc>
          <w:tcPr>
            <w:tcW w:w="1455" w:type="dxa"/>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D1D9C">
              <w:rPr>
                <w:rFonts w:hAnsi="SimSun"/>
                <w:sz w:val="17"/>
                <w:szCs w:val="17"/>
              </w:rPr>
              <w:t>23.18</w:t>
            </w:r>
          </w:p>
        </w:tc>
      </w:tr>
      <w:tr w:rsidR="0080267F" w:rsidRPr="000D1D9C" w:rsidTr="0023041C">
        <w:tblPrEx>
          <w:tblCellMar>
            <w:top w:w="0" w:type="dxa"/>
            <w:bottom w:w="0" w:type="dxa"/>
          </w:tblCellMar>
        </w:tblPrEx>
        <w:tc>
          <w:tcPr>
            <w:tcW w:w="840" w:type="dxa"/>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rPr>
                <w:rFonts w:hAnsi="SimSun"/>
                <w:sz w:val="17"/>
                <w:szCs w:val="17"/>
              </w:rPr>
            </w:pPr>
            <w:r w:rsidRPr="000D1D9C">
              <w:rPr>
                <w:rFonts w:hAnsi="SimSun" w:hint="eastAsia"/>
                <w:noProof/>
                <w:sz w:val="17"/>
                <w:szCs w:val="17"/>
              </w:rPr>
              <w:t>女</w:t>
            </w:r>
          </w:p>
        </w:tc>
        <w:tc>
          <w:tcPr>
            <w:tcW w:w="1134" w:type="dxa"/>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D1D9C">
              <w:rPr>
                <w:rFonts w:hAnsi="SimSun"/>
                <w:sz w:val="17"/>
                <w:szCs w:val="17"/>
              </w:rPr>
              <w:t>4387</w:t>
            </w:r>
          </w:p>
        </w:tc>
        <w:tc>
          <w:tcPr>
            <w:tcW w:w="1344" w:type="dxa"/>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D1D9C">
              <w:rPr>
                <w:rFonts w:hAnsi="SimSun"/>
                <w:sz w:val="17"/>
                <w:szCs w:val="17"/>
              </w:rPr>
              <w:t>7.56%</w:t>
            </w:r>
          </w:p>
        </w:tc>
        <w:tc>
          <w:tcPr>
            <w:tcW w:w="1022" w:type="dxa"/>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D1D9C">
              <w:rPr>
                <w:rFonts w:hAnsi="SimSun"/>
                <w:sz w:val="17"/>
                <w:szCs w:val="17"/>
              </w:rPr>
              <w:t>4</w:t>
            </w:r>
            <w:r>
              <w:rPr>
                <w:rFonts w:hAnsi="SimSun"/>
                <w:sz w:val="17"/>
                <w:szCs w:val="17"/>
              </w:rPr>
              <w:t xml:space="preserve"> </w:t>
            </w:r>
            <w:r w:rsidRPr="000D1D9C">
              <w:rPr>
                <w:rFonts w:hAnsi="SimSun"/>
                <w:sz w:val="17"/>
                <w:szCs w:val="17"/>
              </w:rPr>
              <w:t>629</w:t>
            </w:r>
          </w:p>
        </w:tc>
        <w:tc>
          <w:tcPr>
            <w:tcW w:w="1525" w:type="dxa"/>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D1D9C">
              <w:rPr>
                <w:rFonts w:hAnsi="SimSun"/>
                <w:sz w:val="17"/>
                <w:szCs w:val="17"/>
              </w:rPr>
              <w:t>22.38</w:t>
            </w:r>
          </w:p>
        </w:tc>
        <w:tc>
          <w:tcPr>
            <w:tcW w:w="1455" w:type="dxa"/>
            <w:shd w:val="clear" w:color="auto" w:fill="auto"/>
            <w:vAlign w:val="bottom"/>
          </w:tcPr>
          <w:p w:rsidR="0080267F" w:rsidRPr="000D1D9C" w:rsidRDefault="0080267F" w:rsidP="0023041C">
            <w:pPr>
              <w:tabs>
                <w:tab w:val="left" w:pos="334"/>
                <w:tab w:val="left" w:pos="669"/>
                <w:tab w:val="left" w:pos="1003"/>
                <w:tab w:val="left" w:pos="1338"/>
              </w:tabs>
              <w:suppressAutoHyphens/>
              <w:spacing w:after="60" w:line="280" w:lineRule="exact"/>
              <w:ind w:right="57"/>
              <w:jc w:val="right"/>
              <w:rPr>
                <w:rFonts w:hAnsi="SimSun"/>
                <w:sz w:val="17"/>
                <w:szCs w:val="17"/>
              </w:rPr>
            </w:pPr>
            <w:r w:rsidRPr="000D1D9C">
              <w:rPr>
                <w:rFonts w:hAnsi="SimSun"/>
                <w:sz w:val="17"/>
                <w:szCs w:val="17"/>
              </w:rPr>
              <w:t>29.84</w:t>
            </w:r>
          </w:p>
        </w:tc>
      </w:tr>
      <w:tr w:rsidR="0080267F" w:rsidRPr="0023041C" w:rsidTr="0023041C">
        <w:tblPrEx>
          <w:tblCellMar>
            <w:top w:w="0" w:type="dxa"/>
            <w:bottom w:w="0" w:type="dxa"/>
          </w:tblCellMar>
        </w:tblPrEx>
        <w:tc>
          <w:tcPr>
            <w:tcW w:w="840" w:type="dxa"/>
            <w:tcBorders>
              <w:bottom w:val="single" w:sz="12" w:space="0" w:color="auto"/>
            </w:tcBorders>
            <w:shd w:val="clear" w:color="auto" w:fill="auto"/>
            <w:vAlign w:val="bottom"/>
          </w:tcPr>
          <w:p w:rsidR="0080267F" w:rsidRPr="0023041C" w:rsidRDefault="0080267F" w:rsidP="0023041C">
            <w:pPr>
              <w:tabs>
                <w:tab w:val="left" w:pos="334"/>
                <w:tab w:val="left" w:pos="669"/>
                <w:tab w:val="left" w:pos="1003"/>
                <w:tab w:val="left" w:pos="1338"/>
              </w:tabs>
              <w:suppressAutoHyphens/>
              <w:spacing w:after="80" w:line="280" w:lineRule="exact"/>
              <w:ind w:right="57"/>
              <w:rPr>
                <w:rFonts w:hAnsi="SimSun"/>
                <w:sz w:val="17"/>
                <w:szCs w:val="17"/>
              </w:rPr>
            </w:pPr>
            <w:r w:rsidRPr="0023041C">
              <w:rPr>
                <w:rFonts w:hAnsi="SimSun" w:hint="eastAsia"/>
                <w:noProof/>
                <w:sz w:val="17"/>
                <w:szCs w:val="17"/>
              </w:rPr>
              <w:t>共计</w:t>
            </w:r>
          </w:p>
        </w:tc>
        <w:tc>
          <w:tcPr>
            <w:tcW w:w="1134" w:type="dxa"/>
            <w:tcBorders>
              <w:bottom w:val="single" w:sz="12" w:space="0" w:color="auto"/>
            </w:tcBorders>
            <w:shd w:val="clear" w:color="auto" w:fill="auto"/>
            <w:vAlign w:val="bottom"/>
          </w:tcPr>
          <w:p w:rsidR="0080267F" w:rsidRPr="0023041C" w:rsidRDefault="0080267F" w:rsidP="0023041C">
            <w:pPr>
              <w:tabs>
                <w:tab w:val="left" w:pos="334"/>
                <w:tab w:val="left" w:pos="669"/>
                <w:tab w:val="left" w:pos="1003"/>
                <w:tab w:val="left" w:pos="1338"/>
              </w:tabs>
              <w:suppressAutoHyphens/>
              <w:spacing w:after="80" w:line="280" w:lineRule="exact"/>
              <w:ind w:right="57"/>
              <w:jc w:val="right"/>
              <w:rPr>
                <w:rFonts w:hAnsi="SimSun"/>
                <w:sz w:val="17"/>
                <w:szCs w:val="17"/>
              </w:rPr>
            </w:pPr>
            <w:r w:rsidRPr="0023041C">
              <w:rPr>
                <w:rFonts w:hAnsi="SimSun"/>
                <w:sz w:val="17"/>
                <w:szCs w:val="17"/>
              </w:rPr>
              <w:t>10 174</w:t>
            </w:r>
          </w:p>
        </w:tc>
        <w:tc>
          <w:tcPr>
            <w:tcW w:w="1344" w:type="dxa"/>
            <w:tcBorders>
              <w:bottom w:val="single" w:sz="12" w:space="0" w:color="auto"/>
            </w:tcBorders>
            <w:shd w:val="clear" w:color="auto" w:fill="auto"/>
            <w:vAlign w:val="bottom"/>
          </w:tcPr>
          <w:p w:rsidR="0080267F" w:rsidRPr="0023041C" w:rsidRDefault="0080267F" w:rsidP="0023041C">
            <w:pPr>
              <w:tabs>
                <w:tab w:val="left" w:pos="334"/>
                <w:tab w:val="left" w:pos="669"/>
                <w:tab w:val="left" w:pos="1003"/>
                <w:tab w:val="left" w:pos="1338"/>
              </w:tabs>
              <w:suppressAutoHyphens/>
              <w:spacing w:after="80" w:line="280" w:lineRule="exact"/>
              <w:ind w:right="57"/>
              <w:jc w:val="right"/>
              <w:rPr>
                <w:rFonts w:hAnsi="SimSun"/>
                <w:sz w:val="17"/>
                <w:szCs w:val="17"/>
              </w:rPr>
            </w:pPr>
            <w:r w:rsidRPr="0023041C">
              <w:rPr>
                <w:rFonts w:hAnsi="SimSun"/>
                <w:sz w:val="17"/>
                <w:szCs w:val="17"/>
              </w:rPr>
              <w:t>8.59%</w:t>
            </w:r>
          </w:p>
        </w:tc>
        <w:tc>
          <w:tcPr>
            <w:tcW w:w="1022" w:type="dxa"/>
            <w:tcBorders>
              <w:bottom w:val="single" w:sz="12" w:space="0" w:color="auto"/>
            </w:tcBorders>
            <w:shd w:val="clear" w:color="auto" w:fill="auto"/>
            <w:vAlign w:val="bottom"/>
          </w:tcPr>
          <w:p w:rsidR="0080267F" w:rsidRPr="0023041C" w:rsidRDefault="0080267F" w:rsidP="0023041C">
            <w:pPr>
              <w:tabs>
                <w:tab w:val="left" w:pos="334"/>
                <w:tab w:val="left" w:pos="669"/>
                <w:tab w:val="left" w:pos="1003"/>
                <w:tab w:val="left" w:pos="1338"/>
              </w:tabs>
              <w:suppressAutoHyphens/>
              <w:spacing w:after="80" w:line="280" w:lineRule="exact"/>
              <w:ind w:right="57"/>
              <w:jc w:val="right"/>
              <w:rPr>
                <w:rFonts w:hAnsi="SimSun"/>
                <w:sz w:val="17"/>
                <w:szCs w:val="17"/>
              </w:rPr>
            </w:pPr>
            <w:r w:rsidRPr="0023041C">
              <w:rPr>
                <w:rFonts w:hAnsi="SimSun"/>
                <w:sz w:val="17"/>
                <w:szCs w:val="17"/>
              </w:rPr>
              <w:t>10 443</w:t>
            </w:r>
          </w:p>
        </w:tc>
        <w:tc>
          <w:tcPr>
            <w:tcW w:w="1525" w:type="dxa"/>
            <w:tcBorders>
              <w:bottom w:val="single" w:sz="12" w:space="0" w:color="auto"/>
            </w:tcBorders>
            <w:shd w:val="clear" w:color="auto" w:fill="auto"/>
            <w:vAlign w:val="bottom"/>
          </w:tcPr>
          <w:p w:rsidR="0080267F" w:rsidRPr="0023041C" w:rsidRDefault="0080267F" w:rsidP="0023041C">
            <w:pPr>
              <w:tabs>
                <w:tab w:val="left" w:pos="334"/>
                <w:tab w:val="left" w:pos="669"/>
                <w:tab w:val="left" w:pos="1003"/>
                <w:tab w:val="left" w:pos="1338"/>
              </w:tabs>
              <w:suppressAutoHyphens/>
              <w:spacing w:after="80" w:line="280" w:lineRule="exact"/>
              <w:ind w:right="57"/>
              <w:jc w:val="right"/>
              <w:rPr>
                <w:rFonts w:hAnsi="SimSun"/>
                <w:sz w:val="17"/>
                <w:szCs w:val="17"/>
              </w:rPr>
            </w:pPr>
            <w:r w:rsidRPr="0023041C">
              <w:rPr>
                <w:rFonts w:hAnsi="SimSun"/>
                <w:sz w:val="17"/>
                <w:szCs w:val="17"/>
              </w:rPr>
              <w:t>20.68</w:t>
            </w:r>
          </w:p>
        </w:tc>
        <w:tc>
          <w:tcPr>
            <w:tcW w:w="1455" w:type="dxa"/>
            <w:tcBorders>
              <w:bottom w:val="single" w:sz="12" w:space="0" w:color="auto"/>
            </w:tcBorders>
            <w:shd w:val="clear" w:color="auto" w:fill="auto"/>
            <w:vAlign w:val="bottom"/>
          </w:tcPr>
          <w:p w:rsidR="0080267F" w:rsidRPr="0023041C" w:rsidRDefault="0080267F" w:rsidP="0023041C">
            <w:pPr>
              <w:tabs>
                <w:tab w:val="left" w:pos="334"/>
                <w:tab w:val="left" w:pos="669"/>
                <w:tab w:val="left" w:pos="1003"/>
                <w:tab w:val="left" w:pos="1338"/>
              </w:tabs>
              <w:suppressAutoHyphens/>
              <w:spacing w:after="80" w:line="280" w:lineRule="exact"/>
              <w:ind w:right="57"/>
              <w:jc w:val="right"/>
              <w:rPr>
                <w:rFonts w:hAnsi="SimSun"/>
                <w:sz w:val="17"/>
                <w:szCs w:val="17"/>
              </w:rPr>
            </w:pPr>
            <w:r w:rsidRPr="0023041C">
              <w:rPr>
                <w:rFonts w:hAnsi="SimSun"/>
                <w:sz w:val="17"/>
                <w:szCs w:val="17"/>
              </w:rPr>
              <w:t>25.51</w:t>
            </w:r>
          </w:p>
        </w:tc>
      </w:tr>
    </w:tbl>
    <w:p w:rsidR="0080267F" w:rsidRPr="00133757" w:rsidRDefault="0080267F" w:rsidP="002304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SimSun" w:eastAsia="SimSun"/>
          <w:spacing w:val="0"/>
          <w:sz w:val="10"/>
        </w:rPr>
      </w:pPr>
    </w:p>
    <w:p w:rsidR="0023041C" w:rsidRPr="0023041C" w:rsidRDefault="0023041C" w:rsidP="002304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4" w:right="1259" w:hanging="1264"/>
        <w:rPr>
          <w:rFonts w:hint="eastAsia"/>
          <w:sz w:val="10"/>
          <w:szCs w:val="24"/>
        </w:rPr>
      </w:pPr>
    </w:p>
    <w:p w:rsidR="0080267F" w:rsidRPr="0023041C" w:rsidRDefault="0080267F" w:rsidP="002304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sz w:val="24"/>
          <w:szCs w:val="24"/>
        </w:rPr>
      </w:pPr>
      <w:r w:rsidRPr="0023041C">
        <w:rPr>
          <w:rFonts w:hint="eastAsia"/>
          <w:sz w:val="24"/>
          <w:szCs w:val="24"/>
        </w:rPr>
        <w:tab/>
      </w:r>
      <w:r w:rsidRPr="0023041C">
        <w:rPr>
          <w:rFonts w:hint="eastAsia"/>
          <w:sz w:val="24"/>
          <w:szCs w:val="24"/>
        </w:rPr>
        <w:tab/>
        <w:t>第11条：就业</w:t>
      </w:r>
    </w:p>
    <w:p w:rsidR="0080267F" w:rsidRPr="006C14AA" w:rsidRDefault="0080267F" w:rsidP="002304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6C14AA">
        <w:rPr>
          <w:rFonts w:hint="eastAsia"/>
        </w:rPr>
        <w:tab/>
      </w:r>
      <w:r w:rsidRPr="006C14AA">
        <w:rPr>
          <w:rFonts w:hint="eastAsia"/>
        </w:rPr>
        <w:tab/>
        <w:t>法律背景</w:t>
      </w:r>
    </w:p>
    <w:p w:rsidR="0080267F" w:rsidRPr="006C14AA" w:rsidRDefault="0080267F" w:rsidP="0023041C">
      <w:pPr>
        <w:pStyle w:val="SingleTxt"/>
        <w:spacing w:after="0" w:line="120" w:lineRule="exact"/>
        <w:rPr>
          <w:rFonts w:hint="eastAsia"/>
          <w:sz w:val="10"/>
        </w:rPr>
      </w:pPr>
    </w:p>
    <w:p w:rsidR="0080267F" w:rsidRPr="006C14AA" w:rsidRDefault="0080267F" w:rsidP="0023041C">
      <w:pPr>
        <w:pStyle w:val="SingleTxt"/>
        <w:rPr>
          <w:rFonts w:hint="eastAsia"/>
        </w:rPr>
      </w:pPr>
      <w:r w:rsidRPr="006C14AA">
        <w:rPr>
          <w:rFonts w:hint="eastAsia"/>
        </w:rPr>
        <w:t xml:space="preserve">235.　所罗门群岛涉及就业的各种法律没有就基于性别、婚姻状况、怀孕、性取向和艾滋病毒状况进行歧视的问题，规定带有奖惩措施的反歧视条款。法律没有规定促进妇女就业的特别措施。就业保护立法非常有限。   </w:t>
      </w:r>
    </w:p>
    <w:p w:rsidR="0080267F" w:rsidRPr="006C14AA" w:rsidRDefault="0080267F" w:rsidP="0023041C">
      <w:pPr>
        <w:pStyle w:val="SingleTxt"/>
        <w:rPr>
          <w:rFonts w:hint="eastAsia"/>
        </w:rPr>
      </w:pPr>
      <w:r w:rsidRPr="006C14AA">
        <w:rPr>
          <w:rFonts w:hint="eastAsia"/>
        </w:rPr>
        <w:t>236.　就业法律规定的男女雇员平等取决于工作的类型。《劳动法》</w:t>
      </w:r>
      <w:r>
        <w:rPr>
          <w:rFonts w:hint="eastAsia"/>
        </w:rPr>
        <w:t>(</w:t>
      </w:r>
      <w:r w:rsidRPr="006C14AA">
        <w:rPr>
          <w:rFonts w:hint="eastAsia"/>
        </w:rPr>
        <w:t xml:space="preserve">第73章)提供假期、最低工资和工作条件方面的保护。但一些条款不适用于所有的就业类型。《劳动法》工人的定义不包括家庭佣工或海员。因此，向工人提供的保护措施不适用于家政服务人员。例如，工作天数和时数的规定仅限于符合工人定义的雇员。  </w:t>
      </w:r>
    </w:p>
    <w:p w:rsidR="0080267F" w:rsidRPr="006C14AA" w:rsidRDefault="0080267F" w:rsidP="0023041C">
      <w:pPr>
        <w:pStyle w:val="SingleTxt"/>
        <w:rPr>
          <w:rFonts w:hint="eastAsia"/>
        </w:rPr>
      </w:pPr>
      <w:r w:rsidRPr="006C14AA">
        <w:rPr>
          <w:rFonts w:hint="eastAsia"/>
        </w:rPr>
        <w:t xml:space="preserve">237.　1952年《工人赔偿法》(第78章)第2条规定外包工不是该法所称的工人。外包工指利用别人提供的物品或材料，在自己家中或在其他场所进行制作、清理、清洗、改装、装饰、最终完成、修复或改变以用于出售的人。因此，该法所定义的外包工妇女受雇期间在死亡或受伤方面不受保护。  </w:t>
      </w:r>
    </w:p>
    <w:p w:rsidR="0080267F" w:rsidRPr="006C14AA" w:rsidRDefault="0080267F" w:rsidP="0023041C">
      <w:pPr>
        <w:pStyle w:val="SingleTxt"/>
        <w:rPr>
          <w:rFonts w:hint="eastAsia"/>
        </w:rPr>
      </w:pPr>
      <w:r w:rsidRPr="006C14AA">
        <w:rPr>
          <w:rFonts w:hint="eastAsia"/>
        </w:rPr>
        <w:t xml:space="preserve">238.　1976年《所罗门群岛国家储备基金法》(第109章)附表1不包括《工人赔偿法》界定的外包工。因此，外包工不享受所罗门群岛国家储备基金提供的保护措施与福利。   </w:t>
      </w:r>
    </w:p>
    <w:p w:rsidR="0080267F" w:rsidRPr="006C14AA" w:rsidRDefault="0080267F" w:rsidP="0023041C">
      <w:pPr>
        <w:pStyle w:val="SingleTxt"/>
        <w:rPr>
          <w:rFonts w:hint="eastAsia"/>
        </w:rPr>
      </w:pPr>
      <w:r w:rsidRPr="006C14AA">
        <w:rPr>
          <w:rFonts w:hint="eastAsia"/>
        </w:rPr>
        <w:t xml:space="preserve">239.　《劳动法》第30条规定，部长可发布命令，规定任何职业或任何职业职类或级别的工人最低工资。没有基于性别的差异，但有基于职业的差异。   </w:t>
      </w:r>
    </w:p>
    <w:p w:rsidR="0080267F" w:rsidRPr="006C14AA" w:rsidRDefault="0080267F" w:rsidP="0023041C">
      <w:pPr>
        <w:pStyle w:val="SingleTxt"/>
        <w:rPr>
          <w:rFonts w:hint="eastAsia"/>
        </w:rPr>
      </w:pPr>
      <w:r w:rsidRPr="006C14AA">
        <w:rPr>
          <w:rFonts w:hint="eastAsia"/>
        </w:rPr>
        <w:t>240.　就业法律框架没有规定薪酬公平的法律条款。</w:t>
      </w:r>
      <w:r w:rsidRPr="006C14AA">
        <w:rPr>
          <w:rStyle w:val="FootnoteReference"/>
        </w:rPr>
        <w:footnoteReference w:id="45"/>
      </w:r>
      <w:r w:rsidRPr="006C14AA">
        <w:rPr>
          <w:rFonts w:hint="eastAsia"/>
        </w:rPr>
        <w:t xml:space="preserve"> 没有相同退休年龄的法律保障。   </w:t>
      </w:r>
    </w:p>
    <w:p w:rsidR="0080267F" w:rsidRPr="006C14AA" w:rsidRDefault="0080267F" w:rsidP="0023041C">
      <w:pPr>
        <w:pStyle w:val="SingleTxt"/>
        <w:rPr>
          <w:rFonts w:hint="eastAsia"/>
        </w:rPr>
      </w:pPr>
      <w:r w:rsidRPr="006C14AA">
        <w:rPr>
          <w:rFonts w:hint="eastAsia"/>
        </w:rPr>
        <w:t xml:space="preserve">241.　就业法律框架没有提供免受雇主和同事性骚扰的保护。因此，必须根据犯罪者的行为类型，依靠《刑法》载列的罪行来处理性骚扰情况。《刑法》第141条⑶所列罪行可能有所帮助，该条规定：   </w:t>
      </w:r>
    </w:p>
    <w:p w:rsidR="0080267F" w:rsidRPr="004C0035" w:rsidRDefault="0023041C" w:rsidP="0023041C">
      <w:pPr>
        <w:pStyle w:val="SingleTxt"/>
        <w:ind w:left="1695"/>
        <w:rPr>
          <w:rFonts w:ascii="KaiTi_GB2312" w:eastAsia="KaiTi_GB2312" w:hint="eastAsia"/>
        </w:rPr>
      </w:pPr>
      <w:r>
        <w:rPr>
          <w:rFonts w:ascii="Times New Roman" w:eastAsia="KaiTi_GB2312"/>
        </w:rPr>
        <w:tab/>
      </w:r>
      <w:r w:rsidR="0080267F" w:rsidRPr="004C0035">
        <w:rPr>
          <w:rFonts w:ascii="KaiTi_GB2312" w:eastAsia="KaiTi_GB2312" w:hint="eastAsia"/>
        </w:rPr>
        <w:t>“任何人意图侮辱妇女或女孩，使用语言，发出声音，作出举动或出示物品，其目的是使妇女或女孩听到这样的语言或声音，或看到这样的举动或物品，或任何人通过可能侮辱妇女或女孩的行为，侵扰妇女或女孩的隐私，则犯有行为失检，并应处以一年监禁。”</w:t>
      </w:r>
    </w:p>
    <w:p w:rsidR="0080267F" w:rsidRPr="006C14AA" w:rsidRDefault="0080267F" w:rsidP="0023041C">
      <w:pPr>
        <w:pStyle w:val="SingleTxt"/>
        <w:rPr>
          <w:rFonts w:hint="eastAsia"/>
        </w:rPr>
      </w:pPr>
      <w:r w:rsidRPr="006C14AA">
        <w:rPr>
          <w:rFonts w:hint="eastAsia"/>
        </w:rPr>
        <w:t xml:space="preserve">242.　《劳动法》载有限制妇女选择就业的规定。第39条规定，妇女不得从事任何夜间工作，但以下情形除外：  </w:t>
      </w:r>
    </w:p>
    <w:p w:rsidR="0080267F" w:rsidRPr="006C14AA" w:rsidRDefault="0080267F" w:rsidP="0023041C">
      <w:pPr>
        <w:pStyle w:val="SingleTxt"/>
        <w:rPr>
          <w:rFonts w:hint="eastAsia"/>
        </w:rPr>
      </w:pPr>
      <w:r w:rsidRPr="006C14AA">
        <w:tab/>
      </w:r>
      <w:r w:rsidRPr="006C14AA">
        <w:rPr>
          <w:rFonts w:hint="eastAsia"/>
        </w:rPr>
        <w:t>a.</w:t>
      </w:r>
      <w:r w:rsidRPr="006C14AA">
        <w:tab/>
      </w:r>
      <w:r w:rsidRPr="006C14AA">
        <w:rPr>
          <w:rFonts w:hint="eastAsia"/>
        </w:rPr>
        <w:t>工作涉及易于变质的原料或加工过程中的材料；</w:t>
      </w:r>
    </w:p>
    <w:p w:rsidR="0080267F" w:rsidRPr="006C14AA" w:rsidRDefault="0080267F" w:rsidP="0023041C">
      <w:pPr>
        <w:pStyle w:val="SingleTxt"/>
        <w:rPr>
          <w:rFonts w:hint="eastAsia"/>
        </w:rPr>
      </w:pPr>
      <w:r w:rsidRPr="006C14AA">
        <w:tab/>
      </w:r>
      <w:r w:rsidRPr="006C14AA">
        <w:rPr>
          <w:rFonts w:hint="eastAsia"/>
        </w:rPr>
        <w:t>b.</w:t>
      </w:r>
      <w:r w:rsidRPr="006C14AA">
        <w:tab/>
      </w:r>
      <w:r w:rsidRPr="006C14AA">
        <w:rPr>
          <w:rFonts w:hint="eastAsia"/>
        </w:rPr>
        <w:t>不可预见的紧急状况；</w:t>
      </w:r>
    </w:p>
    <w:p w:rsidR="0080267F" w:rsidRPr="006C14AA" w:rsidRDefault="0080267F" w:rsidP="0023041C">
      <w:pPr>
        <w:pStyle w:val="SingleTxt"/>
        <w:rPr>
          <w:rFonts w:hint="eastAsia"/>
        </w:rPr>
      </w:pPr>
      <w:r w:rsidRPr="006C14AA">
        <w:tab/>
      </w:r>
      <w:r w:rsidRPr="006C14AA">
        <w:rPr>
          <w:rFonts w:hint="eastAsia"/>
        </w:rPr>
        <w:t>c.</w:t>
      </w:r>
      <w:r w:rsidRPr="006C14AA">
        <w:tab/>
      </w:r>
      <w:r w:rsidRPr="006C14AA">
        <w:rPr>
          <w:rFonts w:hint="eastAsia"/>
        </w:rPr>
        <w:t>通常不从事体力劳动的负责的管理职位；</w:t>
      </w:r>
    </w:p>
    <w:p w:rsidR="0080267F" w:rsidRPr="006C14AA" w:rsidRDefault="0080267F" w:rsidP="0023041C">
      <w:pPr>
        <w:pStyle w:val="SingleTxt"/>
        <w:rPr>
          <w:rFonts w:hint="eastAsia"/>
        </w:rPr>
      </w:pPr>
      <w:r w:rsidRPr="006C14AA">
        <w:tab/>
      </w:r>
      <w:r w:rsidRPr="006C14AA">
        <w:rPr>
          <w:rFonts w:hint="eastAsia"/>
        </w:rPr>
        <w:t>d.</w:t>
      </w:r>
      <w:r w:rsidRPr="006C14AA">
        <w:tab/>
      </w:r>
      <w:r w:rsidRPr="006C14AA">
        <w:rPr>
          <w:rFonts w:hint="eastAsia"/>
        </w:rPr>
        <w:t>护理或照顾病人或其他保健或福利工作；</w:t>
      </w:r>
    </w:p>
    <w:p w:rsidR="0080267F" w:rsidRPr="006C14AA" w:rsidRDefault="0080267F" w:rsidP="0023041C">
      <w:pPr>
        <w:pStyle w:val="SingleTxt"/>
        <w:rPr>
          <w:rFonts w:hint="eastAsia"/>
        </w:rPr>
      </w:pPr>
      <w:r w:rsidRPr="006C14AA">
        <w:tab/>
      </w:r>
      <w:r w:rsidRPr="006C14AA">
        <w:rPr>
          <w:rFonts w:hint="eastAsia"/>
        </w:rPr>
        <w:t>e.</w:t>
      </w:r>
      <w:r w:rsidRPr="006C14AA">
        <w:tab/>
      </w:r>
      <w:r w:rsidRPr="006C14AA">
        <w:rPr>
          <w:rFonts w:hint="eastAsia"/>
        </w:rPr>
        <w:t>在电影院或其他向公众开放的剧院工作；</w:t>
      </w:r>
    </w:p>
    <w:p w:rsidR="0080267F" w:rsidRPr="006C14AA" w:rsidRDefault="0080267F" w:rsidP="0023041C">
      <w:pPr>
        <w:pStyle w:val="SingleTxt"/>
        <w:rPr>
          <w:rFonts w:hint="eastAsia"/>
        </w:rPr>
      </w:pPr>
      <w:r w:rsidRPr="006C14AA">
        <w:tab/>
      </w:r>
      <w:r w:rsidRPr="006C14AA">
        <w:rPr>
          <w:rFonts w:hint="eastAsia"/>
        </w:rPr>
        <w:t>f.</w:t>
      </w:r>
      <w:r w:rsidRPr="006C14AA">
        <w:tab/>
      </w:r>
      <w:r w:rsidRPr="006C14AA">
        <w:rPr>
          <w:rFonts w:hint="eastAsia"/>
        </w:rPr>
        <w:t>与旅馆或招待所或酒吧、餐馆或俱乐部有关的工作；</w:t>
      </w:r>
    </w:p>
    <w:p w:rsidR="0080267F" w:rsidRPr="006C14AA" w:rsidRDefault="0080267F" w:rsidP="0023041C">
      <w:pPr>
        <w:pStyle w:val="SingleTxt"/>
        <w:rPr>
          <w:rFonts w:hint="eastAsia"/>
        </w:rPr>
      </w:pPr>
      <w:r w:rsidRPr="006C14AA">
        <w:tab/>
      </w:r>
      <w:r w:rsidRPr="006C14AA">
        <w:rPr>
          <w:rFonts w:hint="eastAsia"/>
        </w:rPr>
        <w:t>g.</w:t>
      </w:r>
      <w:r w:rsidRPr="006C14AA">
        <w:tab/>
      </w:r>
      <w:r w:rsidRPr="006C14AA">
        <w:rPr>
          <w:rFonts w:hint="eastAsia"/>
        </w:rPr>
        <w:t>注册药剂师的工作；</w:t>
      </w:r>
    </w:p>
    <w:p w:rsidR="0080267F" w:rsidRPr="006C14AA" w:rsidRDefault="0080267F" w:rsidP="0023041C">
      <w:pPr>
        <w:pStyle w:val="SingleTxt"/>
        <w:rPr>
          <w:rFonts w:hint="eastAsia"/>
        </w:rPr>
      </w:pPr>
      <w:r w:rsidRPr="006C14AA">
        <w:tab/>
      </w:r>
      <w:r w:rsidRPr="006C14AA">
        <w:rPr>
          <w:rFonts w:hint="eastAsia"/>
        </w:rPr>
        <w:t>h.</w:t>
      </w:r>
      <w:r w:rsidRPr="006C14AA">
        <w:tab/>
      </w:r>
      <w:r w:rsidRPr="006C14AA">
        <w:rPr>
          <w:rFonts w:hint="eastAsia"/>
        </w:rPr>
        <w:t>适用于所罗门群岛的国际公约不禁止并由部长具体下令宣布妇女可从</w:t>
      </w:r>
      <w:r w:rsidR="0023041C">
        <w:br/>
      </w:r>
      <w:r w:rsidR="0023041C">
        <w:tab/>
      </w:r>
      <w:r w:rsidR="0023041C">
        <w:tab/>
      </w:r>
      <w:r w:rsidRPr="006C14AA">
        <w:rPr>
          <w:rFonts w:hint="eastAsia"/>
        </w:rPr>
        <w:t>事的工作。</w:t>
      </w:r>
    </w:p>
    <w:p w:rsidR="0080267F" w:rsidRPr="006C14AA" w:rsidRDefault="0080267F" w:rsidP="0023041C">
      <w:pPr>
        <w:pStyle w:val="SingleTxt"/>
        <w:rPr>
          <w:rFonts w:hint="eastAsia"/>
        </w:rPr>
      </w:pPr>
      <w:r w:rsidRPr="006C14AA">
        <w:rPr>
          <w:rFonts w:hint="eastAsia"/>
        </w:rPr>
        <w:t>243.　《劳动法》第40条(1)规定，任何矿山不得雇用妇女从事井下工作，但管理工作以及保健和福利服务工作除外。第41条规定，如果发生严重紧急情况，根据公众利益需求，部长可间或暂停禁止妇女从事夜间工作的规定。对男子没有这样的就业限制。</w:t>
      </w:r>
    </w:p>
    <w:p w:rsidR="0080267F" w:rsidRPr="006C14AA" w:rsidRDefault="0080267F" w:rsidP="0023041C">
      <w:pPr>
        <w:pStyle w:val="SingleTxt"/>
        <w:rPr>
          <w:rFonts w:hint="eastAsia"/>
        </w:rPr>
      </w:pPr>
      <w:r w:rsidRPr="006C14AA">
        <w:rPr>
          <w:rFonts w:hint="eastAsia"/>
        </w:rPr>
        <w:t>244.　《工作安全法》(第 74章)规定雇主有提供安全工作环境的总体义务，但没有为怀孕妇女规定具体的保护。</w:t>
      </w:r>
    </w:p>
    <w:p w:rsidR="0080267F" w:rsidRPr="006C14AA" w:rsidRDefault="0080267F" w:rsidP="0023041C">
      <w:pPr>
        <w:pStyle w:val="SingleTxt"/>
        <w:rPr>
          <w:rFonts w:hint="eastAsia"/>
        </w:rPr>
      </w:pPr>
      <w:r w:rsidRPr="006C14AA">
        <w:rPr>
          <w:rFonts w:hint="eastAsia"/>
        </w:rPr>
        <w:t xml:space="preserve">245.　《劳动法》第42条对产假作出规定。临时工作人员或作为家庭佣工雇用的妇女不享受产假(因为他们不符合工人的定义)。规定的产假最长可达十二周，条件是出示医生证明，产假期间可享受不少于25%的工资。产假包括分娩后为期六周的强制性休假，在此期间返回工作是犯法行为。可在产前或产后休剩余的六周产假，这六周产假不是强制性的，如果执业医师证明有必要，则可享受。第43条(2)规定，如果女工在产假期间领取工资，而且在没有合理理由的情况下未返回工作，则雇主可认为其已放弃就业。如属上述情况，女工必须退还相当于假期通知期限的假期工资。   </w:t>
      </w:r>
    </w:p>
    <w:p w:rsidR="0080267F" w:rsidRPr="006C14AA" w:rsidRDefault="0080267F" w:rsidP="0023041C">
      <w:pPr>
        <w:pStyle w:val="SingleTxt"/>
        <w:rPr>
          <w:rFonts w:hint="eastAsia"/>
        </w:rPr>
      </w:pPr>
      <w:r w:rsidRPr="006C14AA">
        <w:rPr>
          <w:rFonts w:hint="eastAsia"/>
        </w:rPr>
        <w:t xml:space="preserve">246.　法律没有提供使孕妇免遭解雇的保护措施。然而，《劳动法》第43条规定，不得解雇按照该法规定休产假以及执业医师证明有必要休额外产假的妇女。但如上文所述，如果妇女在核准假期后未返回工作，则可以被解雇。   </w:t>
      </w:r>
    </w:p>
    <w:p w:rsidR="0080267F" w:rsidRPr="006C14AA" w:rsidRDefault="0080267F" w:rsidP="0023041C">
      <w:pPr>
        <w:pStyle w:val="SingleTxt"/>
        <w:rPr>
          <w:rFonts w:hint="eastAsia"/>
        </w:rPr>
      </w:pPr>
      <w:r w:rsidRPr="006C14AA">
        <w:rPr>
          <w:rFonts w:hint="eastAsia"/>
        </w:rPr>
        <w:t>247.　《劳动法》没有规定雇主或国家提供托儿服务的保障措施。</w:t>
      </w:r>
    </w:p>
    <w:p w:rsidR="0080267F" w:rsidRPr="006C14AA" w:rsidRDefault="0080267F" w:rsidP="0023041C">
      <w:pPr>
        <w:pStyle w:val="SingleTxt"/>
        <w:rPr>
          <w:rFonts w:hint="eastAsia"/>
        </w:rPr>
      </w:pPr>
      <w:r w:rsidRPr="006C14AA">
        <w:rPr>
          <w:rFonts w:hint="eastAsia"/>
        </w:rPr>
        <w:t>248.　《劳动法》第42条(5)规定，母亲在工时内的哺乳时间为一天两次，最长不超过一小时。哺乳时间视为工作时间，并应相应计算报酬。</w:t>
      </w:r>
    </w:p>
    <w:p w:rsidR="0080267F" w:rsidRPr="006C14AA" w:rsidRDefault="0080267F" w:rsidP="002304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6C14AA">
        <w:rPr>
          <w:rFonts w:hint="eastAsia"/>
        </w:rPr>
        <w:tab/>
      </w:r>
      <w:r w:rsidRPr="006C14AA">
        <w:rPr>
          <w:rFonts w:hint="eastAsia"/>
        </w:rPr>
        <w:tab/>
        <w:t>法律的适用</w:t>
      </w:r>
    </w:p>
    <w:p w:rsidR="0080267F" w:rsidRPr="006C14AA" w:rsidRDefault="0080267F" w:rsidP="0023041C">
      <w:pPr>
        <w:pStyle w:val="SingleTxt"/>
        <w:spacing w:after="0" w:line="120" w:lineRule="exact"/>
        <w:rPr>
          <w:rFonts w:hint="eastAsia"/>
          <w:sz w:val="10"/>
        </w:rPr>
      </w:pPr>
    </w:p>
    <w:p w:rsidR="0080267F" w:rsidRPr="006C14AA" w:rsidRDefault="0080267F" w:rsidP="0023041C">
      <w:pPr>
        <w:pStyle w:val="SingleTxt"/>
        <w:rPr>
          <w:rFonts w:hint="eastAsia"/>
        </w:rPr>
      </w:pPr>
      <w:r w:rsidRPr="006C14AA">
        <w:rPr>
          <w:rFonts w:hint="eastAsia"/>
        </w:rPr>
        <w:t xml:space="preserve">249.　承认《劳动法》在为妇女提供保护方面具有歧视性。工人的定义不包括家政服务人员使大量妇女受到歧视。该法可能过多地排斥妇女，因为妇女常常充当家政服务人员。   </w:t>
      </w:r>
    </w:p>
    <w:p w:rsidR="0080267F" w:rsidRPr="006C14AA" w:rsidRDefault="0080267F" w:rsidP="0023041C">
      <w:pPr>
        <w:pStyle w:val="SingleTxt"/>
        <w:rPr>
          <w:rFonts w:hint="eastAsia"/>
        </w:rPr>
      </w:pPr>
      <w:r w:rsidRPr="006C14AA">
        <w:rPr>
          <w:rFonts w:hint="eastAsia"/>
        </w:rPr>
        <w:t>250.　工人的定义不包括外包工，也可能过度削弱妇女受到的保护，因为这类工作常由妇女承担。依靠《刑法》来处理性骚扰问题的情况非常有限。第141条</w:t>
      </w:r>
      <w:r>
        <w:t>(3)</w:t>
      </w:r>
      <w:r w:rsidRPr="006C14AA">
        <w:rPr>
          <w:rFonts w:hint="eastAsia"/>
        </w:rPr>
        <w:t xml:space="preserve">规定的猥亵罪定义有太多限制性，无法涵盖妇女在工作场所可能遇到的各种不当行为。   </w:t>
      </w:r>
    </w:p>
    <w:p w:rsidR="0080267F" w:rsidRPr="006C14AA" w:rsidRDefault="0080267F" w:rsidP="0023041C">
      <w:pPr>
        <w:pStyle w:val="SingleTxt"/>
        <w:rPr>
          <w:rFonts w:hint="eastAsia"/>
        </w:rPr>
      </w:pPr>
      <w:r w:rsidRPr="006C14AA">
        <w:rPr>
          <w:rFonts w:hint="eastAsia"/>
        </w:rPr>
        <w:t xml:space="preserve">251.　所罗门群岛政府认识到公职的重要性，2009年为所罗门群岛公务员制定了《行为守则》。《行为守则》规定，所有公务员应积极促进建立没有骚扰的工作场所。《守则》规定，所有公务员必须确保工作场所没有骚扰、包括性骚扰，方式是确保每个公务员自己不作出攻击、恐吓、侮辱、威胁或不适当的行为。《守则》还规定，公务员有义务确保行动和语言不对他人无礼或具有歧视性。违反《行为守则》可能导致警告、不当行为指控、批评或解雇。   </w:t>
      </w:r>
    </w:p>
    <w:p w:rsidR="0080267F" w:rsidRPr="006C14AA" w:rsidRDefault="0080267F" w:rsidP="002304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6C14AA">
        <w:rPr>
          <w:rFonts w:hint="eastAsia"/>
        </w:rPr>
        <w:tab/>
      </w:r>
      <w:r w:rsidRPr="006C14AA">
        <w:rPr>
          <w:rFonts w:hint="eastAsia"/>
        </w:rPr>
        <w:tab/>
        <w:t>产假</w:t>
      </w:r>
    </w:p>
    <w:p w:rsidR="0080267F" w:rsidRPr="006C14AA" w:rsidRDefault="0080267F" w:rsidP="0023041C">
      <w:pPr>
        <w:pStyle w:val="SingleTxt"/>
        <w:spacing w:after="0" w:line="120" w:lineRule="exact"/>
        <w:rPr>
          <w:rFonts w:hint="eastAsia"/>
          <w:sz w:val="10"/>
        </w:rPr>
      </w:pPr>
    </w:p>
    <w:p w:rsidR="0080267F" w:rsidRPr="006C14AA" w:rsidRDefault="0080267F" w:rsidP="0023041C">
      <w:pPr>
        <w:pStyle w:val="SingleTxt"/>
        <w:rPr>
          <w:rFonts w:hint="eastAsia"/>
        </w:rPr>
      </w:pPr>
      <w:r w:rsidRPr="006C14AA">
        <w:rPr>
          <w:rFonts w:hint="eastAsia"/>
        </w:rPr>
        <w:t xml:space="preserve">252.　产假虽是法律规定，但具有若干歧视性特点。首先，产假不适用于所有工人，因为《劳动法》的工人定义不包括家庭佣工。因此，大量女性雇员不享受产假福利。其次，保障的产假工资仅为25%。尽管禁止在产后六周内工作的规定是为了保护妇女，但这项规定可能给必须提前返回工作的妇女造成经济困难。此外，这项规定使妇女无法选择产后何时返回工作。如果妇女在不提前通知的情况下不返回工作，则必须返还假期工资，这一规定具有歧视性。该规定没有考虑到缺乏托儿条件、健康问题或期望花更长时间在家照料新生儿等情况。该规定具有歧视性，因为法律没有延长无酬假期的规定。   </w:t>
      </w:r>
    </w:p>
    <w:p w:rsidR="0080267F" w:rsidRPr="006C14AA" w:rsidRDefault="0080267F" w:rsidP="0023041C">
      <w:pPr>
        <w:pStyle w:val="SingleTxt"/>
        <w:rPr>
          <w:rFonts w:hint="eastAsia"/>
        </w:rPr>
      </w:pPr>
      <w:r w:rsidRPr="006C14AA">
        <w:rPr>
          <w:rFonts w:hint="eastAsia"/>
        </w:rPr>
        <w:t>253.　担任公职的妇女可享受的产假待遇远远超过《劳动法》的规定。规定公职人员服务条件的《公务员总则》规定，休产假的女性工作人员从分娩前六周一直到分娩后六周领取全薪。但这不适用于试用的工作人员。女公务员有权在分娩后六周全薪假结束后申请最多不超过90天的无薪假。如果女公务员在90天无薪假结束后无法返回自己的工作，《总则》规定“应要求其辞职”。</w:t>
      </w:r>
      <w:r w:rsidRPr="006C14AA">
        <w:rPr>
          <w:rStyle w:val="FootnoteReference"/>
        </w:rPr>
        <w:footnoteReference w:id="46"/>
      </w:r>
      <w:r w:rsidRPr="006C14AA">
        <w:rPr>
          <w:rFonts w:hint="eastAsia"/>
        </w:rPr>
        <w:t xml:space="preserve"> 这条规定也适用于试用的妇女。   </w:t>
      </w:r>
    </w:p>
    <w:p w:rsidR="0080267F" w:rsidRPr="006C14AA" w:rsidRDefault="0080267F" w:rsidP="002304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6C14AA">
        <w:rPr>
          <w:rFonts w:hint="eastAsia"/>
        </w:rPr>
        <w:tab/>
      </w:r>
      <w:r w:rsidRPr="006C14AA">
        <w:rPr>
          <w:rFonts w:hint="eastAsia"/>
        </w:rPr>
        <w:tab/>
        <w:t>参与指标</w:t>
      </w:r>
    </w:p>
    <w:p w:rsidR="0080267F" w:rsidRPr="006C14AA" w:rsidRDefault="0080267F" w:rsidP="0023041C">
      <w:pPr>
        <w:pStyle w:val="SingleTxt"/>
        <w:spacing w:after="0" w:line="120" w:lineRule="exact"/>
        <w:rPr>
          <w:rFonts w:hint="eastAsia"/>
          <w:sz w:val="10"/>
        </w:rPr>
      </w:pPr>
    </w:p>
    <w:p w:rsidR="0080267F" w:rsidRPr="006C14AA" w:rsidRDefault="0080267F" w:rsidP="0023041C">
      <w:pPr>
        <w:pStyle w:val="SingleTxt"/>
        <w:rPr>
          <w:rFonts w:hint="eastAsia"/>
        </w:rPr>
      </w:pPr>
      <w:r w:rsidRPr="006C14AA">
        <w:rPr>
          <w:rFonts w:hint="eastAsia"/>
        </w:rPr>
        <w:t>254.　妇女参与劳动队伍的人数有所增加，但在参与率、职业水平和工资方面仍有显著的性别差距。妇女的有偿就业扩大缓慢，妇女继续承担最大部分的无酬工作。妇女更多地参与了正规经济部门的就业，但主要限于第三产业和服务部门的低收入和地位低下的工作，女性平均工资接近男性平均工资的一半。</w:t>
      </w:r>
      <w:r w:rsidRPr="006C14AA">
        <w:rPr>
          <w:rStyle w:val="FootnoteReference"/>
        </w:rPr>
        <w:footnoteReference w:id="47"/>
      </w:r>
      <w:r w:rsidRPr="006C14AA">
        <w:rPr>
          <w:rFonts w:hint="eastAsia"/>
        </w:rPr>
        <w:t xml:space="preserve"> 2005年，年平均已实现收入估计数为男子2 672美元，妇女1 345美元。    </w:t>
      </w:r>
    </w:p>
    <w:p w:rsidR="0080267F" w:rsidRPr="006C14AA" w:rsidRDefault="0080267F" w:rsidP="0023041C">
      <w:pPr>
        <w:pStyle w:val="SingleTxt"/>
        <w:rPr>
          <w:rFonts w:hint="eastAsia"/>
        </w:rPr>
      </w:pPr>
      <w:r w:rsidRPr="006C14AA">
        <w:rPr>
          <w:rFonts w:hint="eastAsia"/>
        </w:rPr>
        <w:t xml:space="preserve">255.　1999年人口普查显示，60.4%的妇女加入劳动队伍，男子为72.2%。女性薪资收入者人数约为17 711人，不到男性薪资收入者人数(39 761人)的一半。约76.2%的妇女是维持生计型劳动者，男子的这一比例为58.1%。   </w:t>
      </w:r>
    </w:p>
    <w:p w:rsidR="0080267F" w:rsidRPr="006C14AA" w:rsidRDefault="0080267F" w:rsidP="0023041C">
      <w:pPr>
        <w:pStyle w:val="SingleTxt"/>
        <w:rPr>
          <w:rFonts w:hint="eastAsia"/>
        </w:rPr>
      </w:pPr>
      <w:r w:rsidRPr="006C14AA">
        <w:rPr>
          <w:rFonts w:hint="eastAsia"/>
        </w:rPr>
        <w:t xml:space="preserve">256.　2009年人口普查显示，就业人口总数为81 194人，其中妇女为26 658人(33%)，男子为54 536人(67%)。人口普查报告，维持生计型劳动者总人数为87 913人，其中妇女为52 665人(60%)，男子为35 248人(40%)。报告的无薪劳动者总人数为41 191人，其中妇女为23 330人(57%)，男子为17 861人(43%)。人口普查报告，仅有4 331人认为自己是失业者，其中妇女为1 841人，男子为2 490人。   </w:t>
      </w:r>
    </w:p>
    <w:p w:rsidR="0080267F" w:rsidRPr="006C14AA" w:rsidRDefault="0080267F" w:rsidP="0023041C">
      <w:pPr>
        <w:pStyle w:val="SingleTxt"/>
        <w:rPr>
          <w:rFonts w:hint="eastAsia"/>
        </w:rPr>
      </w:pPr>
      <w:r w:rsidRPr="006C14AA">
        <w:rPr>
          <w:rFonts w:hint="eastAsia"/>
        </w:rPr>
        <w:t xml:space="preserve">257.　所罗门群岛2007年人口和健康调查表明，调查前一年就业的已婚妇女人数(42.1%)比已婚男子人数(87.1%)少得多。调查表明，就业妇女中有一半以上(56.1%)拿不到现金或实物工资，这使妇女的经济脆弱性恶化。   </w:t>
      </w:r>
    </w:p>
    <w:p w:rsidR="0080267F" w:rsidRPr="006C14AA" w:rsidRDefault="0080267F" w:rsidP="0023041C">
      <w:pPr>
        <w:pStyle w:val="SingleTxt"/>
        <w:rPr>
          <w:rFonts w:hint="eastAsia"/>
        </w:rPr>
      </w:pPr>
      <w:r w:rsidRPr="006C14AA">
        <w:rPr>
          <w:rFonts w:hint="eastAsia"/>
        </w:rPr>
        <w:t>258.　2011年人</w:t>
      </w:r>
      <w:r>
        <w:rPr>
          <w:rFonts w:hint="eastAsia"/>
        </w:rPr>
        <w:t>口</w:t>
      </w:r>
      <w:r w:rsidRPr="006C14AA">
        <w:rPr>
          <w:rFonts w:hint="eastAsia"/>
        </w:rPr>
        <w:t xml:space="preserve">调查表明，最常见的经济来源是货物销售(78%)，主要是非正式地销售食品和槟榔果。农村地区依赖销售谋生的人口比例更高。与男子相比，妇女答复者(男女分别为80%和75%)或其家庭(分别为22%和16%)更有可能依赖非正式销售，但男子从事有偿工作的可能性几乎是妇女的两倍，并更有可能有自己的生意。   </w:t>
      </w:r>
    </w:p>
    <w:p w:rsidR="0080267F" w:rsidRPr="006C14AA" w:rsidRDefault="0023041C" w:rsidP="002304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sidR="0080267F" w:rsidRPr="006C14AA">
        <w:rPr>
          <w:rFonts w:hint="eastAsia"/>
        </w:rPr>
        <w:tab/>
      </w:r>
      <w:r w:rsidR="0080267F" w:rsidRPr="006C14AA">
        <w:rPr>
          <w:rFonts w:hint="eastAsia"/>
        </w:rPr>
        <w:tab/>
        <w:t>担任公职的妇女</w:t>
      </w:r>
    </w:p>
    <w:p w:rsidR="0080267F" w:rsidRPr="006C14AA" w:rsidRDefault="0080267F" w:rsidP="0023041C">
      <w:pPr>
        <w:pStyle w:val="SingleTxt"/>
        <w:spacing w:after="0" w:line="120" w:lineRule="exact"/>
        <w:rPr>
          <w:rFonts w:hint="eastAsia"/>
          <w:sz w:val="10"/>
        </w:rPr>
      </w:pPr>
    </w:p>
    <w:p w:rsidR="0080267F" w:rsidRPr="006C14AA" w:rsidRDefault="0080267F" w:rsidP="0023041C">
      <w:pPr>
        <w:pStyle w:val="SingleTxt"/>
        <w:rPr>
          <w:rFonts w:hint="eastAsia"/>
        </w:rPr>
      </w:pPr>
      <w:r w:rsidRPr="006C14AA">
        <w:rPr>
          <w:rFonts w:hint="eastAsia"/>
        </w:rPr>
        <w:t xml:space="preserve">259.　男子仍在包括公务员在内的正规劳动队伍中占主导地位。2011年，公务员中男性为62%(9 068人)，女性为38%(5 542人)。妇女继续主要占据公务员队伍中地位较低的行政职位，很少有妇女担任高级管理职务。法律部门没有妇女担任高级职务。不论现在还是过去，所罗门群岛妇女从未担任首席大法官、高等法院法官、首席治安法官、公设律师、检察长和副检察长的职位，司法和法律事务部也很少有妇女担任高级管理职务。公务员有13个职位级别以及5个高级管理级别。2011年，大多数女性公务员的职位级别为一至五级(一级是最低的级别)。   </w:t>
      </w:r>
    </w:p>
    <w:p w:rsidR="0080267F" w:rsidRPr="006C14AA" w:rsidRDefault="0080267F" w:rsidP="0023041C">
      <w:pPr>
        <w:pStyle w:val="SingleTxt"/>
        <w:rPr>
          <w:rFonts w:hint="eastAsia"/>
        </w:rPr>
      </w:pPr>
      <w:r w:rsidRPr="006C14AA">
        <w:rPr>
          <w:rFonts w:hint="eastAsia"/>
        </w:rPr>
        <w:t xml:space="preserve">260.　男性在公务员中占主导地位，这一点也体现在教育和人力资源发展部。该部的工作人员主要为男性。2009年该部共有215个已填补职位。其中173个职位(80%)为男性，42个职位(20%)为女性。虽然2010年妇女人数确有增加，但该部仍由男子主导。2010年，在共计232个职位中，151个职位(65%)为男性，81个职位(35%)为女性。这些数字是该部的常设职位，不包括教师。   </w:t>
      </w:r>
    </w:p>
    <w:p w:rsidR="0080267F" w:rsidRPr="006C14AA" w:rsidRDefault="0080267F" w:rsidP="0023041C">
      <w:pPr>
        <w:pStyle w:val="SingleTxt"/>
        <w:rPr>
          <w:rFonts w:hint="eastAsia"/>
        </w:rPr>
      </w:pPr>
      <w:r w:rsidRPr="006C14AA">
        <w:rPr>
          <w:rFonts w:hint="eastAsia"/>
        </w:rPr>
        <w:t>261.　《公务员总则》在配偶委派方面歧视妇女。B章第</w:t>
      </w:r>
      <w:r>
        <w:rPr>
          <w:rFonts w:hint="eastAsia"/>
        </w:rPr>
        <w:t>4(401)</w:t>
      </w:r>
      <w:r w:rsidRPr="006C14AA">
        <w:rPr>
          <w:rFonts w:hint="eastAsia"/>
        </w:rPr>
        <w:t>条规定：</w:t>
      </w:r>
    </w:p>
    <w:p w:rsidR="0080267F" w:rsidRPr="00202236" w:rsidRDefault="0023041C" w:rsidP="0023041C">
      <w:pPr>
        <w:pStyle w:val="SingleTxt"/>
        <w:ind w:left="1695"/>
        <w:rPr>
          <w:rFonts w:ascii="KaiTi_GB2312" w:eastAsia="KaiTi_GB2312" w:hint="eastAsia"/>
        </w:rPr>
      </w:pPr>
      <w:r>
        <w:rPr>
          <w:rFonts w:ascii="Times New Roman" w:eastAsia="KaiTi_GB2312"/>
        </w:rPr>
        <w:tab/>
      </w:r>
      <w:r w:rsidR="0080267F" w:rsidRPr="00202236">
        <w:rPr>
          <w:rFonts w:ascii="KaiTi_GB2312" w:eastAsia="KaiTi_GB2312" w:hint="eastAsia"/>
        </w:rPr>
        <w:t>“已婚女性工作人员须遵守其他工作人员任职时必须遵守的所有条件，包括可能被委派到所罗门群岛任何地方工作。一般而言，主管人员应努力使已婚女性工作人员同丈夫在同一地点就业，但如果不可能，女性工作人员必须接受单独委派或辞职。”</w:t>
      </w:r>
    </w:p>
    <w:p w:rsidR="0080267F" w:rsidRPr="006C14AA" w:rsidRDefault="0080267F" w:rsidP="0023041C">
      <w:pPr>
        <w:pStyle w:val="SingleTxt"/>
        <w:rPr>
          <w:rFonts w:hint="eastAsia"/>
        </w:rPr>
      </w:pPr>
      <w:r w:rsidRPr="006C14AA">
        <w:rPr>
          <w:rFonts w:hint="eastAsia"/>
        </w:rPr>
        <w:t xml:space="preserve">262.　这一规定的基本内容是，已婚妇女要么必须接受单独委派，要么辞职。妇女无法通过留职停薪在丈夫的任用期内同丈夫在一起，并努力在此期间在同一地点获得任用机会。这限制了妇女的选择，通常导致妇女因缺乏其他选择而被迫辞职。  </w:t>
      </w:r>
    </w:p>
    <w:p w:rsidR="0080267F" w:rsidRPr="006C14AA" w:rsidRDefault="0080267F" w:rsidP="0023041C">
      <w:pPr>
        <w:pStyle w:val="SingleTxt"/>
        <w:rPr>
          <w:rFonts w:hint="eastAsia"/>
        </w:rPr>
      </w:pPr>
      <w:r w:rsidRPr="006C14AA">
        <w:rPr>
          <w:rFonts w:hint="eastAsia"/>
        </w:rPr>
        <w:t>263.　所罗门群岛认识到需要解决公务员队伍中的性别不平衡问题，因此在2010年启动的“2010-2015年所罗门群岛公务员人力资源管理战略”中纳入了基于性别的目标。战略目标14规定“协助所罗门群岛政府执行公务制度各领域的性别平等战略，为妇女提供与男子同样的就业和职业发展机会”。为实现这一目标需要采取的行动包括设立性别问题工作队，以研究关于妇女担任领导的战略，执行关于妇女担任领导的辅导方案，并拟订旨在消除工作场所一切形式骚扰的强有力政策。迄今为止还没有该目标执行情况的监测和评价报告，因为重点一直是拟订执行的程序和机制。</w:t>
      </w:r>
    </w:p>
    <w:p w:rsidR="0080267F" w:rsidRPr="006C14AA" w:rsidRDefault="0080267F" w:rsidP="0023041C">
      <w:pPr>
        <w:pStyle w:val="SingleTxt"/>
        <w:rPr>
          <w:rFonts w:hint="eastAsia"/>
        </w:rPr>
      </w:pPr>
      <w:r w:rsidRPr="006C14AA">
        <w:rPr>
          <w:rFonts w:hint="eastAsia"/>
        </w:rPr>
        <w:t xml:space="preserve">264.　已采取重大步骤，制定并执行公务制度方面的政策，以增加妇女在公务员部门的就业机会，特别是担任高级管理职位。不过，仍需对《公务员总则》的所有歧视性条款进行一次全面审查和修改。   </w:t>
      </w:r>
    </w:p>
    <w:p w:rsidR="0080267F" w:rsidRPr="006C14AA" w:rsidRDefault="0023041C" w:rsidP="002304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sidR="0080267F" w:rsidRPr="006C14AA">
        <w:tab/>
      </w:r>
      <w:r w:rsidR="0080267F" w:rsidRPr="006C14AA">
        <w:rPr>
          <w:rFonts w:hint="eastAsia"/>
        </w:rPr>
        <w:tab/>
        <w:t>商界妇女</w:t>
      </w:r>
    </w:p>
    <w:p w:rsidR="0080267F" w:rsidRPr="006C14AA" w:rsidRDefault="0080267F" w:rsidP="0023041C">
      <w:pPr>
        <w:pStyle w:val="SingleTxt"/>
        <w:spacing w:after="0" w:line="120" w:lineRule="exact"/>
        <w:rPr>
          <w:rFonts w:hint="eastAsia"/>
          <w:sz w:val="10"/>
        </w:rPr>
      </w:pPr>
    </w:p>
    <w:p w:rsidR="0080267F" w:rsidRPr="006C14AA" w:rsidRDefault="0080267F" w:rsidP="0023041C">
      <w:pPr>
        <w:pStyle w:val="SingleTxt"/>
        <w:rPr>
          <w:rFonts w:hint="eastAsia"/>
        </w:rPr>
      </w:pPr>
      <w:r w:rsidRPr="006C14AA">
        <w:rPr>
          <w:rFonts w:hint="eastAsia"/>
        </w:rPr>
        <w:t>265.　男性在经商方面占主导地位。所罗门群岛的男性主导文化不鼓励妇女正式经商。这表现为注册企业名称的妇女人数少。</w:t>
      </w:r>
      <w:r w:rsidRPr="006C14AA">
        <w:rPr>
          <w:rStyle w:val="FootnoteReference"/>
        </w:rPr>
        <w:footnoteReference w:id="48"/>
      </w:r>
      <w:r w:rsidRPr="006C14AA">
        <w:rPr>
          <w:rFonts w:hint="eastAsia"/>
        </w:rPr>
        <w:t xml:space="preserve"> 2008年，在注册的772家企业中，妇女注册的企业仅有3、4家。在公司注册方面也是如此，在这一年注册的157家公司中，绝大部分是男性股东和董事。然而，许多妇女非正式地经营企业，包括在市场销售商品、经营货摊以及从事小规模农业。   </w:t>
      </w:r>
    </w:p>
    <w:p w:rsidR="0080267F" w:rsidRPr="006C14AA" w:rsidRDefault="0080267F" w:rsidP="0023041C">
      <w:pPr>
        <w:pStyle w:val="SingleTxt"/>
        <w:rPr>
          <w:rFonts w:hint="eastAsia"/>
        </w:rPr>
      </w:pPr>
      <w:r w:rsidRPr="006C14AA">
        <w:rPr>
          <w:rFonts w:hint="eastAsia"/>
        </w:rPr>
        <w:t>266.　有各种法律允许男女注册企业实体，包括《企业名称法》、《合作社法》和最近的2009年《公司法》。</w:t>
      </w:r>
    </w:p>
    <w:p w:rsidR="0080267F" w:rsidRPr="006C14AA" w:rsidRDefault="0080267F" w:rsidP="002304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6C14AA">
        <w:rPr>
          <w:rFonts w:hint="eastAsia"/>
        </w:rPr>
        <w:tab/>
      </w:r>
      <w:r w:rsidRPr="006C14AA">
        <w:rPr>
          <w:rFonts w:hint="eastAsia"/>
        </w:rPr>
        <w:tab/>
        <w:t>参与正规就业的限制</w:t>
      </w:r>
    </w:p>
    <w:p w:rsidR="0080267F" w:rsidRPr="006C14AA" w:rsidRDefault="0080267F" w:rsidP="0023041C">
      <w:pPr>
        <w:pStyle w:val="SingleTxt"/>
        <w:spacing w:after="0" w:line="120" w:lineRule="exact"/>
        <w:rPr>
          <w:rFonts w:hint="eastAsia"/>
          <w:sz w:val="10"/>
        </w:rPr>
      </w:pPr>
    </w:p>
    <w:p w:rsidR="0080267F" w:rsidRPr="006C14AA" w:rsidRDefault="0080267F" w:rsidP="0023041C">
      <w:pPr>
        <w:pStyle w:val="SingleTxt"/>
        <w:rPr>
          <w:rFonts w:hint="eastAsia"/>
        </w:rPr>
      </w:pPr>
      <w:r w:rsidRPr="006C14AA">
        <w:rPr>
          <w:rFonts w:hint="eastAsia"/>
        </w:rPr>
        <w:t>267.　由于各种因素，妇女从事正规就业受到限制。不平等地分担家庭责任意味着妇女要花大部分时间在家里，她们从事经济活动受到限制。</w:t>
      </w:r>
      <w:r w:rsidRPr="006C14AA">
        <w:rPr>
          <w:rStyle w:val="FootnoteReference"/>
        </w:rPr>
        <w:footnoteReference w:id="49"/>
      </w:r>
      <w:r w:rsidRPr="006C14AA">
        <w:rPr>
          <w:rFonts w:hint="eastAsia"/>
        </w:rPr>
        <w:t xml:space="preserve"> 无偿劳动也是造成男女经济不平等的一个重要因素。因此，妇女要依靠家庭成员或家庭佣工照料孩子才能从事正规就业。</w:t>
      </w:r>
      <w:r w:rsidRPr="006C14AA">
        <w:rPr>
          <w:rStyle w:val="FootnoteReference"/>
        </w:rPr>
        <w:footnoteReference w:id="50"/>
      </w:r>
      <w:r w:rsidRPr="006C14AA">
        <w:rPr>
          <w:rFonts w:hint="eastAsia"/>
        </w:rPr>
        <w:t xml:space="preserve">   </w:t>
      </w:r>
    </w:p>
    <w:p w:rsidR="0080267F" w:rsidRPr="006C14AA" w:rsidRDefault="0080267F" w:rsidP="002304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6C14AA">
        <w:rPr>
          <w:rFonts w:hint="eastAsia"/>
        </w:rPr>
        <w:tab/>
      </w:r>
      <w:r w:rsidRPr="006C14AA">
        <w:rPr>
          <w:rFonts w:hint="eastAsia"/>
        </w:rPr>
        <w:tab/>
        <w:t>解决失业的举措</w:t>
      </w:r>
    </w:p>
    <w:p w:rsidR="0080267F" w:rsidRPr="00202236" w:rsidRDefault="0080267F" w:rsidP="0023041C">
      <w:pPr>
        <w:pStyle w:val="SingleTxt"/>
        <w:spacing w:after="0" w:line="120" w:lineRule="exact"/>
        <w:rPr>
          <w:rFonts w:hint="eastAsia"/>
          <w:sz w:val="10"/>
        </w:rPr>
      </w:pPr>
    </w:p>
    <w:p w:rsidR="0080267F" w:rsidRPr="006C14AA" w:rsidRDefault="0080267F" w:rsidP="0023041C">
      <w:pPr>
        <w:pStyle w:val="SingleTxt"/>
        <w:rPr>
          <w:rFonts w:hint="eastAsia"/>
        </w:rPr>
      </w:pPr>
      <w:r w:rsidRPr="006C14AA">
        <w:rPr>
          <w:rFonts w:hint="eastAsia"/>
        </w:rPr>
        <w:t>268.　所罗门群岛政府认识到首都霍尼亚拉失业问题日益严重，因此请发展伙伴提供援助以资助项目，从而增加技能、知识和经验并为城市穷人提供短期就业机会。其结果是拟定了快速就业项目，项目2010年开始，将在2015年完成。项目由若干发展伙伴供资，通过霍尼亚拉市议会和基础设施发展部执行。项目的生活技能发展部分为计划内的目标青年群体举行信息通报会，并将重点关注工作场所行为、基本理财、保健和家庭暴力等各种专题。预计约7 500人将从项目中受益，其中至少有50%是年轻人，项目将支持两性的平等参与。解决失业问题的其他举措包括“霍尼亚拉妇女倡议”、“Bina工业港”项目、“Auluta流域棕榈油”项目、“怀罗凯棕榈油”项目、“苏阿瓦湾鱼品加工”项目和“Tenaru鱼加工”项目。</w:t>
      </w:r>
    </w:p>
    <w:p w:rsidR="00162D29" w:rsidRPr="00162D29" w:rsidRDefault="00162D29" w:rsidP="00162D29">
      <w:pPr>
        <w:pStyle w:val="SingleTxt"/>
        <w:rPr>
          <w:rFonts w:ascii="SimHei" w:eastAsia="SimHei" w:hint="eastAsia"/>
          <w:sz w:val="24"/>
          <w:szCs w:val="24"/>
        </w:rPr>
      </w:pPr>
      <w:r w:rsidRPr="00162D29">
        <w:rPr>
          <w:rFonts w:ascii="SimHei" w:eastAsia="SimHei" w:hint="eastAsia"/>
          <w:sz w:val="24"/>
          <w:szCs w:val="24"/>
        </w:rPr>
        <w:t>第12条：保健和计划生育</w:t>
      </w:r>
    </w:p>
    <w:p w:rsidR="00162D29" w:rsidRPr="0007670A" w:rsidRDefault="00162D29" w:rsidP="00162D29">
      <w:pPr>
        <w:pStyle w:val="SingleTxt"/>
        <w:rPr>
          <w:rFonts w:ascii="SimHei" w:eastAsia="SimHei" w:hint="eastAsia"/>
        </w:rPr>
      </w:pPr>
      <w:r w:rsidRPr="0007670A">
        <w:rPr>
          <w:rFonts w:ascii="SimHei" w:eastAsia="SimHei" w:hint="eastAsia"/>
        </w:rPr>
        <w:t>法律背景</w:t>
      </w:r>
    </w:p>
    <w:p w:rsidR="00162D29" w:rsidRDefault="00162D29" w:rsidP="00162D29">
      <w:pPr>
        <w:pStyle w:val="SingleTxt"/>
        <w:rPr>
          <w:rFonts w:hint="eastAsia"/>
        </w:rPr>
      </w:pPr>
      <w:r>
        <w:rPr>
          <w:rFonts w:hint="eastAsia"/>
        </w:rPr>
        <w:t>269.　《宪法》规定保护生命权，但没有具体规定享有能达到的最高标准身心健康的权利。</w:t>
      </w:r>
    </w:p>
    <w:p w:rsidR="00162D29" w:rsidRDefault="00162D29" w:rsidP="00162D29">
      <w:pPr>
        <w:pStyle w:val="SingleTxt"/>
        <w:rPr>
          <w:rFonts w:hint="eastAsia"/>
        </w:rPr>
      </w:pPr>
      <w:r>
        <w:rPr>
          <w:rFonts w:hint="eastAsia"/>
        </w:rPr>
        <w:t>270.　《刑法》第158条将堕胎定为刑事犯罪，其中规定，任何妇女以自行流产</w:t>
      </w:r>
      <w:r w:rsidRPr="0007670A">
        <w:rPr>
          <w:rFonts w:hint="eastAsia"/>
          <w:spacing w:val="-2"/>
        </w:rPr>
        <w:t>为目的，非法自己服用毒药或采取强力，或允许此类事情发生，均为犯下堕胎罪，可处以终身监禁。第157条规定，任何人企图实现堕胎，也构成犯罪，最高刑罚为终身监禁。供应药品或工具以使个人实现堕胎也是犯罪行为，最高可判处五年监禁。</w:t>
      </w:r>
    </w:p>
    <w:p w:rsidR="00162D29" w:rsidRDefault="00162D29" w:rsidP="00162D29">
      <w:pPr>
        <w:pStyle w:val="SingleTxt"/>
        <w:rPr>
          <w:rFonts w:hint="eastAsia"/>
        </w:rPr>
      </w:pPr>
      <w:r>
        <w:rPr>
          <w:rFonts w:hint="eastAsia"/>
        </w:rPr>
        <w:t>271.　《</w:t>
      </w:r>
      <w:r w:rsidRPr="0007670A">
        <w:rPr>
          <w:rFonts w:hint="eastAsia"/>
          <w:spacing w:val="-2"/>
        </w:rPr>
        <w:t>刑法》第221条规定，杀害能够活产的未出生婴儿为犯罪行为。其定义是，妇女怀孕达到28周或更长时间构成婴儿能够活产的初步证据。这一罪行的最高刑罚是终身监禁。如果真诚为了维护母亲的生命而杀死婴儿，此行为不构成犯罪。</w:t>
      </w:r>
    </w:p>
    <w:p w:rsidR="00162D29" w:rsidRDefault="00162D29" w:rsidP="00162D29">
      <w:pPr>
        <w:pStyle w:val="SingleTxt"/>
        <w:rPr>
          <w:rFonts w:hint="eastAsia"/>
        </w:rPr>
      </w:pPr>
      <w:r>
        <w:rPr>
          <w:rFonts w:hint="eastAsia"/>
        </w:rPr>
        <w:t>272.　《保健服务法》对提供保健和医疗服务作出规范。《宪法》保护生命权。1974年《精神治疗法》对精神卫生系统作出规范。</w:t>
      </w:r>
    </w:p>
    <w:p w:rsidR="00162D29" w:rsidRPr="0007670A" w:rsidRDefault="00162D29" w:rsidP="00162D29">
      <w:pPr>
        <w:pStyle w:val="SingleTxt"/>
        <w:rPr>
          <w:rFonts w:ascii="SimHei" w:eastAsia="SimHei" w:hint="eastAsia"/>
        </w:rPr>
      </w:pPr>
      <w:r w:rsidRPr="0007670A">
        <w:rPr>
          <w:rFonts w:ascii="SimHei" w:eastAsia="SimHei" w:hint="eastAsia"/>
        </w:rPr>
        <w:t>法律的适用</w:t>
      </w:r>
    </w:p>
    <w:p w:rsidR="00162D29" w:rsidRDefault="00162D29" w:rsidP="00162D29">
      <w:pPr>
        <w:pStyle w:val="SingleTxt"/>
        <w:rPr>
          <w:rFonts w:hint="eastAsia"/>
        </w:rPr>
      </w:pPr>
      <w:r>
        <w:rPr>
          <w:rFonts w:hint="eastAsia"/>
        </w:rPr>
        <w:t>273.　保健服务严格遵守《刑法》及其对堕胎的适用。只有在保障或挽救母亲生命所必需并由两位独立医学专家提出建议的情况下，方可堕胎。</w:t>
      </w:r>
    </w:p>
    <w:p w:rsidR="00162D29" w:rsidRPr="0007670A" w:rsidRDefault="00162D29" w:rsidP="00162D29">
      <w:pPr>
        <w:pStyle w:val="SingleTxt"/>
        <w:rPr>
          <w:rFonts w:ascii="SimHei" w:eastAsia="SimHei" w:hint="eastAsia"/>
        </w:rPr>
      </w:pPr>
      <w:r w:rsidRPr="0007670A">
        <w:rPr>
          <w:rFonts w:ascii="SimHei" w:eastAsia="SimHei" w:hint="eastAsia"/>
        </w:rPr>
        <w:t>保健服务</w:t>
      </w:r>
    </w:p>
    <w:p w:rsidR="00162D29" w:rsidRDefault="00162D29" w:rsidP="00162D29">
      <w:pPr>
        <w:pStyle w:val="SingleTxt"/>
        <w:rPr>
          <w:rFonts w:hint="eastAsia"/>
        </w:rPr>
      </w:pPr>
      <w:r>
        <w:rPr>
          <w:rFonts w:hint="eastAsia"/>
        </w:rPr>
        <w:t>274.　所罗门群岛政府为本国公民提供免费保健和医疗服务。除了政府所提供的服务外，还有由私人诊所组成的私营保健部门，人们可以付费获得全科医生诊治。</w:t>
      </w:r>
    </w:p>
    <w:p w:rsidR="00162D29" w:rsidRDefault="00162D29" w:rsidP="00162D29">
      <w:pPr>
        <w:pStyle w:val="SingleTxt"/>
        <w:rPr>
          <w:rFonts w:hint="eastAsia"/>
        </w:rPr>
      </w:pPr>
      <w:r>
        <w:rPr>
          <w:rFonts w:hint="eastAsia"/>
        </w:rPr>
        <w:t>275.　提供初级保健的诊所网络包括四种类型，从初级诊所到最先进的诊所不等：护士援助站、农村保健中心、城市地区保健中心、省级和国家医院门诊部。初级保健诊所是全国各地保健服务的主要提供者，但在国家首都还有少量的私人医生。这些诊所提供门诊急症护理服务、产妇保健(产前检查、分娩和产后护理)、儿童保健服务(包括接种疫苗和发育监测)、外围卫星诊所、保健教育和住院服务。</w:t>
      </w:r>
    </w:p>
    <w:p w:rsidR="00162D29" w:rsidRDefault="00162D29" w:rsidP="00162D29">
      <w:pPr>
        <w:pStyle w:val="SingleTxt"/>
        <w:rPr>
          <w:rFonts w:hint="eastAsia"/>
        </w:rPr>
      </w:pPr>
      <w:r>
        <w:rPr>
          <w:rFonts w:hint="eastAsia"/>
        </w:rPr>
        <w:t>276.　卫生和医疗部在发展伙伴协助下，通过2008-2015年卫生部门支助方案交付各种方案和活动。卫生部门的资金总额有50%以上来自发展伙伴，90%以上用于卫生的实际发展支出是发展伙伴提供的。</w:t>
      </w:r>
      <w:r>
        <w:rPr>
          <w:rStyle w:val="FootnoteReference"/>
        </w:rPr>
        <w:footnoteReference w:id="51"/>
      </w:r>
    </w:p>
    <w:p w:rsidR="00162D29" w:rsidRDefault="00162D29" w:rsidP="00162D29">
      <w:pPr>
        <w:pStyle w:val="SingleTxt"/>
        <w:rPr>
          <w:rFonts w:hint="eastAsia"/>
        </w:rPr>
      </w:pPr>
      <w:r>
        <w:rPr>
          <w:rFonts w:hint="eastAsia"/>
        </w:rPr>
        <w:t>277.　所罗门群岛政府受益于主要发展伙伴提供的专科医疗探访。2005年，所罗门群岛政府与古巴签署了一份谅解备忘录，因此，目前约有98名所罗门群岛学生在古巴学习医学，还有7名古巴医生在所罗门群岛服务。</w:t>
      </w:r>
    </w:p>
    <w:p w:rsidR="00162D29" w:rsidRPr="0007670A" w:rsidRDefault="00162D29" w:rsidP="00162D29">
      <w:pPr>
        <w:pStyle w:val="SingleTxt"/>
        <w:rPr>
          <w:rFonts w:ascii="SimHei" w:eastAsia="SimHei" w:hint="eastAsia"/>
        </w:rPr>
      </w:pPr>
      <w:r w:rsidRPr="0007670A">
        <w:rPr>
          <w:rFonts w:ascii="SimHei" w:eastAsia="SimHei" w:hint="eastAsia"/>
        </w:rPr>
        <w:t>疟疾</w:t>
      </w:r>
    </w:p>
    <w:p w:rsidR="00162D29" w:rsidRDefault="00162D29" w:rsidP="00162D29">
      <w:pPr>
        <w:pStyle w:val="SingleTxt"/>
        <w:rPr>
          <w:rFonts w:hint="eastAsia"/>
        </w:rPr>
      </w:pPr>
      <w:r>
        <w:rPr>
          <w:rFonts w:hint="eastAsia"/>
        </w:rPr>
        <w:t>278.　健康状况的特点是，传染病的数量处于中等到高等之间，非传染性疾病的负担日益沉重。疟疾是主要的公共保健问题，特别是在孕妇、五岁以下儿童等弱势人群中。因此，《2011-2020年索罗门群岛国家发展战略》目标3规定，“确保所有所罗门群岛人都能获得高质量的保健，并防治疟疾、艾滋病毒、非传染性疾病和其他疾病”。</w:t>
      </w:r>
    </w:p>
    <w:p w:rsidR="00162D29" w:rsidRDefault="00162D29" w:rsidP="00162D29">
      <w:pPr>
        <w:pStyle w:val="SingleTxt"/>
        <w:rPr>
          <w:rFonts w:hint="eastAsia"/>
        </w:rPr>
      </w:pPr>
      <w:r>
        <w:rPr>
          <w:rFonts w:hint="eastAsia"/>
        </w:rPr>
        <w:t>279.　所罗门群岛政府和发展伙伴制定了一项《2008-2014年六年疟疾行动计划》，以加强防治疟疾。该行动计划的目标是，在全国有效加强对疟疾控制的力度，到2014年，在泰莫图省和伊莎贝尔省根除疟疾。使用驱虫蚊帐是初级保健干预措施的一个关键部分，其目的是减少疟疾传播。根据2007年所罗门群岛人口和健康调查，城乡地区四分之三的家庭至少拥有一顶蚊帐。但驱虫蚊帐的供应远低于此，在城市(50.3%)和农村(48.3%)地区，每两个家庭中有一个家庭受到影响。根据报告，农村家庭孕妇的蚊帐使用率(58.3%)较高，而城市家庭孕妇的使用率为44.8%。瓜达尔卡纳尔省的使用率最高，在进行人口和健康调查之前，15-49岁的孕妇中有75%的人晚上睡觉时使用蚊帐。2009年人口普查显示，共有91 250个私人住户，其中22 684个住户没有任何驱虫蚊帐。</w:t>
      </w:r>
    </w:p>
    <w:p w:rsidR="00162D29" w:rsidRDefault="00162D29" w:rsidP="00162D29">
      <w:pPr>
        <w:pStyle w:val="SingleTxt"/>
        <w:rPr>
          <w:rFonts w:hint="eastAsia"/>
        </w:rPr>
      </w:pPr>
      <w:r>
        <w:rPr>
          <w:rFonts w:hint="eastAsia"/>
        </w:rPr>
        <w:t>280.　2010年，免费分发了316 108顶蚊帐，所覆盖的家庭人口约达到482 522人。据称，共有33 762个家庭喷洒驱虫剂，其中约有168 711人受到保护。2010年，作为国家病媒传染疾病控制方案的一部分，对214所小学进行了探访。</w:t>
      </w:r>
    </w:p>
    <w:p w:rsidR="00162D29" w:rsidRDefault="00162D29" w:rsidP="00162D29">
      <w:pPr>
        <w:pStyle w:val="SingleTxt"/>
        <w:rPr>
          <w:rFonts w:hint="eastAsia"/>
        </w:rPr>
      </w:pPr>
      <w:r>
        <w:rPr>
          <w:rFonts w:hint="eastAsia"/>
        </w:rPr>
        <w:t>281.　疟疾已降至过去12年来最低水平，但自2008年以来，临床诊断率已经呈稳定水平。据报告，全国各地的疟疾发病率已大幅下降，其中流行率很高的省份降幅最大，包括马莱塔省(52%)和中部群岛省(84%)。年发病率从2007年的每千人130.91例下降到2008年的每千人82.32例。2008年至2009年，确诊疟疾病例的数量下降11%。没有按性别分列的疟疾发病率数据。</w:t>
      </w:r>
    </w:p>
    <w:p w:rsidR="00162D29" w:rsidRPr="00C272A7" w:rsidRDefault="00162D29" w:rsidP="00162D29">
      <w:pPr>
        <w:pStyle w:val="SingleTxt"/>
        <w:rPr>
          <w:rFonts w:ascii="SimHei" w:eastAsia="SimHei" w:hint="eastAsia"/>
        </w:rPr>
      </w:pPr>
      <w:r w:rsidRPr="00C272A7">
        <w:rPr>
          <w:rFonts w:ascii="SimHei" w:eastAsia="SimHei" w:hint="eastAsia"/>
        </w:rPr>
        <w:t>残疾妇女</w:t>
      </w:r>
    </w:p>
    <w:p w:rsidR="00162D29" w:rsidRDefault="00162D29" w:rsidP="00162D29">
      <w:pPr>
        <w:pStyle w:val="SingleTxt"/>
        <w:rPr>
          <w:rFonts w:hint="eastAsia"/>
        </w:rPr>
      </w:pPr>
      <w:r>
        <w:rPr>
          <w:rFonts w:hint="eastAsia"/>
        </w:rPr>
        <w:t>282.　2004年，卫生和医疗部制定了《2005-2010年所罗门群岛国家残疾政策》。这项政策的目标之一是促进残疾妇女平等参与，将她们的问题纳入国家、区域和国际的主流。已聘请一名咨询人来审查这项政策。2005年，所罗门群岛政府与欧洲联盟委员会一道进行了所罗门群岛有史以来第一次全国残疾调查。这一调查旨在考察所罗门群岛残疾人的人数和需求。研究表明，2005年，向各省残疾人提供的外联康复服务很少。这一情况已开始改善，以社区为基础的康复工作者在所有9个省开展工作。然而，各省只有一个物理治疗点，设在马莱塔省。</w:t>
      </w:r>
    </w:p>
    <w:p w:rsidR="00162D29" w:rsidRDefault="00162D29" w:rsidP="00162D29">
      <w:pPr>
        <w:pStyle w:val="SingleTxt"/>
        <w:rPr>
          <w:rFonts w:hint="eastAsia"/>
        </w:rPr>
      </w:pPr>
      <w:r>
        <w:rPr>
          <w:rFonts w:hint="eastAsia"/>
        </w:rPr>
        <w:t>283.　残疾问题调查显示，在调查时有14 403名残疾人(占1999年人口普查3.52%的人口)，其中约96%的人生活在农村地区，大多数人得不到任何康复服务和适当服务。调查证实，许多社区存在消极态度，对残疾和残疾人的需求缺乏认识。调查发现，在残疾人口中，女性有6 505人，即占45%。这是依据1999年人口普查的420 000人口数字。调查还发现，男性(61%)入学的比例高于女性(39%)，女性的数字到了中学一级有所恶化。据70%的残疾男性称，他们上过中学。相比之下，仅有30%的残疾妇女表示上过中学。调查发现，女性中四种最常见的残疾是视力受损(12.76%)、身体残疾(8.92%)、听力损伤(7.69%)和瘫痪(2.76%)。</w:t>
      </w:r>
    </w:p>
    <w:p w:rsidR="00162D29" w:rsidRDefault="00162D29" w:rsidP="00162D29">
      <w:pPr>
        <w:pStyle w:val="SingleTxt"/>
        <w:rPr>
          <w:rFonts w:hint="eastAsia"/>
        </w:rPr>
      </w:pPr>
      <w:r>
        <w:rPr>
          <w:rFonts w:hint="eastAsia"/>
        </w:rPr>
        <w:t>284.　根据2009年的人口普查，共有907人称自己是盲人。其中496人是妇女，411人是男子。共有1 398人称自己是聋人，其中669人是妇女，729人是男子。根据人口普查，共有2 975人称自己是跛脚，其中1 484人是妇女，1 491人是男子。现有数据没有按年龄分列。</w:t>
      </w:r>
    </w:p>
    <w:p w:rsidR="00162D29" w:rsidRDefault="00162D29" w:rsidP="00162D29">
      <w:pPr>
        <w:pStyle w:val="SingleTxt"/>
        <w:rPr>
          <w:rFonts w:hint="eastAsia"/>
        </w:rPr>
      </w:pPr>
      <w:r>
        <w:rPr>
          <w:rFonts w:hint="eastAsia"/>
        </w:rPr>
        <w:t>285.　1990年，名为所罗门群岛残疾人的非政府组织成立。该组织向残疾人提供援助，其中包括提供粮食、交通运输、衣服以及获得住房、环境卫生和水箱方面的协助。该组织还开展提高认识活动，宣传残疾问题。</w:t>
      </w:r>
    </w:p>
    <w:p w:rsidR="00162D29" w:rsidRDefault="00162D29" w:rsidP="00162D29">
      <w:pPr>
        <w:pStyle w:val="SingleTxt"/>
        <w:rPr>
          <w:rFonts w:hint="eastAsia"/>
        </w:rPr>
      </w:pPr>
      <w:r>
        <w:rPr>
          <w:rFonts w:hint="eastAsia"/>
        </w:rPr>
        <w:t>286.　在卫生和医疗部的康复科下，已建立完善的基于社区的康复体系。所罗门群岛所有9个省都有基于社区的康复工作者，负责提供连续的在家治疗，并提高对残疾问题的认识。其中包括为客户进行复健练习、教授家庭成员如何继续进行这种练习、提高社区对残疾问题的认识、早期发现和干预残疾问题以及提供如轮椅、拐杖等设备和其他辅助器械。</w:t>
      </w:r>
    </w:p>
    <w:p w:rsidR="00162D29" w:rsidRDefault="00162D29" w:rsidP="00162D29">
      <w:pPr>
        <w:pStyle w:val="SingleTxt"/>
        <w:rPr>
          <w:rFonts w:hint="eastAsia"/>
        </w:rPr>
      </w:pPr>
      <w:r>
        <w:rPr>
          <w:rFonts w:hint="eastAsia"/>
        </w:rPr>
        <w:t>287.　基于社区的康复还为视障成人和儿童服务，其中包括教授盲文课程、提供向导和行动培训。由于全球经济危机，过去两年削减了基于社区的康复的预算，并自2008年以来冻结了人员征聘。这些因素都导致了活动减少和方案执行工作受到限制。</w:t>
      </w:r>
    </w:p>
    <w:p w:rsidR="00162D29" w:rsidRPr="00C272A7" w:rsidRDefault="00162D29" w:rsidP="00162D29">
      <w:pPr>
        <w:pStyle w:val="SingleTxt"/>
        <w:rPr>
          <w:rFonts w:ascii="SimHei" w:eastAsia="SimHei" w:hint="eastAsia"/>
        </w:rPr>
      </w:pPr>
      <w:r w:rsidRPr="00C272A7">
        <w:rPr>
          <w:rFonts w:ascii="SimHei" w:eastAsia="SimHei" w:hint="eastAsia"/>
        </w:rPr>
        <w:t>保健决定</w:t>
      </w:r>
    </w:p>
    <w:p w:rsidR="00162D29" w:rsidRDefault="00162D29" w:rsidP="00162D29">
      <w:pPr>
        <w:pStyle w:val="SingleTxt"/>
        <w:rPr>
          <w:rFonts w:hint="eastAsia"/>
        </w:rPr>
      </w:pPr>
      <w:r>
        <w:rPr>
          <w:rFonts w:hint="eastAsia"/>
        </w:rPr>
        <w:t>288.　在与妇女保健有关的决策方面，没有平等参与。2007年人口和健康调查表明，有28.1%的已婚妇女独立作出保健决定。共有16.6%的答卷人称，她们是由丈夫/伙伴为其作出保健决定。这强化了丈夫作为家庭中领导者和决策者的陈规定型观念。</w:t>
      </w:r>
    </w:p>
    <w:p w:rsidR="00162D29" w:rsidRPr="00C272A7" w:rsidRDefault="00162D29" w:rsidP="00162D29">
      <w:pPr>
        <w:pStyle w:val="SingleTxt"/>
        <w:rPr>
          <w:rFonts w:ascii="SimHei" w:eastAsia="SimHei" w:hint="eastAsia"/>
        </w:rPr>
      </w:pPr>
      <w:r w:rsidRPr="00C272A7">
        <w:rPr>
          <w:rFonts w:ascii="SimHei" w:eastAsia="SimHei" w:hint="eastAsia"/>
        </w:rPr>
        <w:t>性传播感染和艾滋病毒和艾滋病</w:t>
      </w:r>
    </w:p>
    <w:p w:rsidR="00162D29" w:rsidRDefault="00162D29" w:rsidP="00162D29">
      <w:pPr>
        <w:pStyle w:val="SingleTxt"/>
        <w:rPr>
          <w:rFonts w:hint="eastAsia"/>
        </w:rPr>
      </w:pPr>
      <w:r>
        <w:rPr>
          <w:rFonts w:hint="eastAsia"/>
        </w:rPr>
        <w:t>289.　2008年，卫生和医疗部在一个发展伙伴的协助下，在所罗门群岛进行了第二代产前妇女和青年监测。第二代监测包括加强现有的艾滋病毒监测系统，以改善信息的质量和广度。在霍尼亚拉和其他两个省级中心(吉佐和蒙达)，对在产前诊所的孕妇进行了性传播感染流行率调查。此外，还对来自这些地区和另一个省级中心(奥基)的15至24岁青年进行了行为监测调查和性传播感染流行率调查。这些调查表明，对艾滋病毒和艾滋病预防战略及其感染原因的认识水平很低。对艾滋病毒和艾滋病的感染存在很大的误解。调查还表明，正在接受艾滋病毒和艾滋病检测的青年和孕妇很少，进行性传播感染检测的人数也很低。</w:t>
      </w:r>
    </w:p>
    <w:p w:rsidR="00162D29" w:rsidRDefault="00162D29" w:rsidP="00162D29">
      <w:pPr>
        <w:pStyle w:val="SingleTxt"/>
        <w:rPr>
          <w:rFonts w:hint="eastAsia"/>
        </w:rPr>
      </w:pPr>
      <w:r>
        <w:rPr>
          <w:rFonts w:hint="eastAsia"/>
        </w:rPr>
        <w:t>290.　所罗门群岛人口和健康调查显示，所罗门群岛成年居民普遍但并非人人了解艾滋病毒和艾滋病(年龄在15至49岁之间94%的妇女和98%的男子)。尽管有较高的总体了解，但调查显示，仅有29%的妇女和38.6%的男子拥有全面了解。调查还表明，一半以上年龄在15至24岁之间的答卷者在年满18岁前有性行为(51.1%的妇女和54.8%的男子)。在过去12个月里，几乎每五位青年男子中有四人(78.9%)和近五位青年女子中有两人从事了高风险性行为。</w:t>
      </w:r>
    </w:p>
    <w:p w:rsidR="00162D29" w:rsidRDefault="00162D29" w:rsidP="00162D29">
      <w:pPr>
        <w:pStyle w:val="SingleTxt"/>
        <w:rPr>
          <w:rFonts w:hint="eastAsia"/>
        </w:rPr>
      </w:pPr>
      <w:r>
        <w:rPr>
          <w:rFonts w:hint="eastAsia"/>
        </w:rPr>
        <w:t>291.　人口和健康调查表明，所罗门群岛69%的妇女和53%和男子知道艾滋病毒可以通过母乳喂养传染或在怀孕期间传染，但只有8%的妇女和9.2%的男子知道，艾滋病毒抗体呈阳性的母亲在怀孕期间服用抗逆转录病毒药物可能是有益的。研究显示，对艾滋病毒和艾滋病有较高的耻辱感，很少人表示接受艾滋病毒感染者，甚至受感染者的家庭成员也是如此。同样比例的男子和妇女(83%的女性和86%的男性)认为，妇女如果知道丈夫患有性传播疾病，则有理由拒绝与丈夫性交或要求他使用保险套。</w:t>
      </w:r>
    </w:p>
    <w:p w:rsidR="00162D29" w:rsidRDefault="00162D29" w:rsidP="00162D29">
      <w:pPr>
        <w:pStyle w:val="SingleTxt"/>
        <w:rPr>
          <w:rFonts w:hint="eastAsia"/>
        </w:rPr>
      </w:pPr>
      <w:r>
        <w:rPr>
          <w:rFonts w:hint="eastAsia"/>
        </w:rPr>
        <w:t>292.　截至2009年，仅有12个保健设施提供艾滋病毒检测，进行的检测次数相对较低。根据2007年人口和健康调查，只有小部分人口表示了解在哪里可以进行艾滋病毒检测(26%的妇女和38.9%的男子)。已经发现少量的感染艾滋病毒确诊病例。然而，由于参加检测的人数较少、早期性乱交和性传播疾病数量很高，这意味着艾滋病毒感染病例数目很可能没有报告。关于性传播疾病，数量较少的妇女(2.6%)和男子(3.5%)表示，他们在调查之前的一年中遭到性传播感染或有性传播感染的症状。在那些表示遭到性传播感染或有性传播感染症状的人中，40%的女性和35%的男性向保健专业人员寻求治疗，而33%的妇女和26%的男性没有寻求任何咨询或治疗。</w:t>
      </w:r>
    </w:p>
    <w:p w:rsidR="00162D29" w:rsidRDefault="00162D29" w:rsidP="00162D29">
      <w:pPr>
        <w:pStyle w:val="SingleTxt"/>
        <w:rPr>
          <w:rFonts w:hint="eastAsia"/>
        </w:rPr>
      </w:pPr>
      <w:r>
        <w:rPr>
          <w:rFonts w:hint="eastAsia"/>
        </w:rPr>
        <w:t>293.　《2005-2010年国家艾滋病毒政策和多部门战略计划》规定，“所罗门群岛人的健康和福利将不受艾滋病毒负担的影响”。尽管所罗门群岛显然不存在艾滋病毒严重泛滥的现象，在2010年12月之前仅有15名艾滋病毒阳性患者(其中10名为妇女)，但艾滋病毒的实际发病率很有可能没有得到充分报告和/或跟踪。据报告，已经有两例儿童感染艾滋病毒的病例。其中一人在三个月大时死于与艾滋病相关的病症。</w:t>
      </w:r>
      <w:r>
        <w:rPr>
          <w:rStyle w:val="FootnoteReference"/>
        </w:rPr>
        <w:footnoteReference w:id="52"/>
      </w:r>
      <w:r>
        <w:rPr>
          <w:rFonts w:hint="eastAsia"/>
        </w:rPr>
        <w:t xml:space="preserve"> 青年人尤其面临风险。</w:t>
      </w:r>
    </w:p>
    <w:p w:rsidR="00162D29" w:rsidRDefault="00162D29" w:rsidP="00162D29">
      <w:pPr>
        <w:pStyle w:val="SingleTxt"/>
        <w:rPr>
          <w:rFonts w:hint="eastAsia"/>
        </w:rPr>
      </w:pPr>
      <w:r>
        <w:rPr>
          <w:rFonts w:hint="eastAsia"/>
        </w:rPr>
        <w:t>294.　发展伙伴和所罗门群岛政府从2008年到2009年联合开展了知识、态度和做法调查，以更好地了解所罗门群岛的高风险、特别是脆弱青少年、青年和一般民众在感染艾滋病毒和艾滋病方面面临的风险和脆弱性。调查表明，答卷者对艾滋病毒和艾滋病的全面了解相对较低。</w:t>
      </w:r>
    </w:p>
    <w:p w:rsidR="00162D29" w:rsidRDefault="00162D29" w:rsidP="00162D29">
      <w:pPr>
        <w:pStyle w:val="SingleTxt"/>
        <w:rPr>
          <w:rFonts w:hint="eastAsia"/>
        </w:rPr>
      </w:pPr>
      <w:r>
        <w:rPr>
          <w:rFonts w:hint="eastAsia"/>
        </w:rPr>
        <w:t>295.　一些省级保健设施没有实验设施或实验室实验员，例如乔伊索、拉纳尔和贝罗纳或中央群岛等省。因此，不能在省一级进行艾滋病毒及其他性传播感染的相关检测。</w:t>
      </w:r>
    </w:p>
    <w:p w:rsidR="00162D29" w:rsidRDefault="00162D29" w:rsidP="00162D29">
      <w:pPr>
        <w:pStyle w:val="SingleTxt"/>
        <w:rPr>
          <w:rFonts w:hint="eastAsia"/>
        </w:rPr>
      </w:pPr>
      <w:r>
        <w:rPr>
          <w:rFonts w:hint="eastAsia"/>
        </w:rPr>
        <w:t>296.　在集成、资源分享和相关艾滋病毒方案活动的实施方面，加强了与艾滋病毒利益相关者的合作。利益相关者之间每个季度就涉及艾滋病毒问题与方案活动举行会议。这些利益相关者包括卫生和医疗部、非政府组织、宗教组织和基于社区的组织。</w:t>
      </w:r>
    </w:p>
    <w:p w:rsidR="00162D29" w:rsidRDefault="00162D29" w:rsidP="00162D29">
      <w:pPr>
        <w:pStyle w:val="SingleTxt"/>
        <w:rPr>
          <w:rFonts w:hint="eastAsia"/>
        </w:rPr>
      </w:pPr>
      <w:r>
        <w:rPr>
          <w:rFonts w:hint="eastAsia"/>
        </w:rPr>
        <w:t>297.　卫生和医疗部认识到艾滋病毒检测人数较低的问题，因此在其2011至2015年全国卫生战略计划中纳入了全国重大艾滋病毒/艾滋病保健优先事项。该计划为更好地开展艾滋病毒/艾滋病防范工作制订了一项战略，其目标包括在2015年底之前，至少有50%高风险人口接受艾滋病毒检测，95%的孕妇及其伙伴在所有卫生诊所和医院内获得高质量的预防母婴传播服务。该项战略计划还提供更加广泛的计划生育及其他生育保健服务，特别为青少年提供的生育保健服务。</w:t>
      </w:r>
    </w:p>
    <w:p w:rsidR="00162D29" w:rsidRDefault="00162D29" w:rsidP="00162D29">
      <w:pPr>
        <w:pStyle w:val="SingleTxt"/>
        <w:rPr>
          <w:rFonts w:hint="eastAsia"/>
        </w:rPr>
      </w:pPr>
      <w:r>
        <w:rPr>
          <w:rFonts w:hint="eastAsia"/>
        </w:rPr>
        <w:t>298.　基督复临会发展和救济局、救助儿童会、美拉尼西亚和所罗门群岛发展信托基金等非政府组织和民间社会组织执行了艾滋病毒和艾滋病方案。</w:t>
      </w:r>
    </w:p>
    <w:p w:rsidR="00162D29" w:rsidRDefault="00162D29" w:rsidP="00162D29">
      <w:pPr>
        <w:pStyle w:val="SingleTxt"/>
        <w:rPr>
          <w:rFonts w:hint="eastAsia"/>
        </w:rPr>
      </w:pPr>
      <w:r>
        <w:rPr>
          <w:rFonts w:hint="eastAsia"/>
        </w:rPr>
        <w:t>299.　已报告的艾滋病毒感染者与实际感染人数之间很可能存在巨大差距。出现这种信息差距的主要原因是覆盖范围有限、与获得保密自愿咨询和检验服务有关的问题、检测和实验室能力薄弱、报告制度薄弱以及居民和健康工作者中间存在污名化问题。妇女的处境最危险，特别是年龄在15至24岁之间的孕妇。由于早婚、性暴力、婚姻关系中的不平等谈判能力以及男子的不忠，两性不平等是妇女易受艾滋病毒和性传播感染的主要原因。</w:t>
      </w:r>
      <w:r>
        <w:rPr>
          <w:rStyle w:val="FootnoteReference"/>
        </w:rPr>
        <w:footnoteReference w:id="53"/>
      </w:r>
    </w:p>
    <w:p w:rsidR="00162D29" w:rsidRDefault="00162D29" w:rsidP="00162D29">
      <w:pPr>
        <w:pStyle w:val="SingleTxt"/>
        <w:rPr>
          <w:rFonts w:hint="eastAsia"/>
        </w:rPr>
      </w:pPr>
      <w:r>
        <w:rPr>
          <w:rFonts w:hint="eastAsia"/>
        </w:rPr>
        <w:t>300.　关</w:t>
      </w:r>
      <w:r w:rsidRPr="0007670A">
        <w:rPr>
          <w:rFonts w:hint="eastAsia"/>
          <w:spacing w:val="-2"/>
        </w:rPr>
        <w:t>于被诊断患有艾滋病毒和艾滋病或性传播感染的人群，还没有分列数据。</w:t>
      </w:r>
    </w:p>
    <w:p w:rsidR="00162D29" w:rsidRPr="00C272A7" w:rsidRDefault="00162D29" w:rsidP="00162D29">
      <w:pPr>
        <w:pStyle w:val="SingleTxt"/>
        <w:rPr>
          <w:rFonts w:ascii="SimHei" w:eastAsia="SimHei" w:hint="eastAsia"/>
        </w:rPr>
      </w:pPr>
      <w:r w:rsidRPr="00C272A7">
        <w:rPr>
          <w:rFonts w:ascii="SimHei" w:eastAsia="SimHei" w:hint="eastAsia"/>
        </w:rPr>
        <w:t>计划生育</w:t>
      </w:r>
    </w:p>
    <w:p w:rsidR="00162D29" w:rsidRDefault="00162D29" w:rsidP="00162D29">
      <w:pPr>
        <w:pStyle w:val="SingleTxt"/>
        <w:rPr>
          <w:rFonts w:hint="eastAsia"/>
        </w:rPr>
      </w:pPr>
      <w:r>
        <w:rPr>
          <w:rFonts w:hint="eastAsia"/>
        </w:rPr>
        <w:t>301.　人口和健康调查表明，在妇女和男子中间几乎已经普及计划生育和现代避孕方式的知识。尽管如此，截至开展人口和健康调查时，仅有27.3%的已婚妇女采用某种形式的现代避孕方式。</w:t>
      </w:r>
      <w:r>
        <w:rPr>
          <w:rStyle w:val="FootnoteReference"/>
        </w:rPr>
        <w:footnoteReference w:id="54"/>
      </w:r>
      <w:r>
        <w:t xml:space="preserve"> </w:t>
      </w:r>
      <w:r>
        <w:rPr>
          <w:rFonts w:hint="eastAsia"/>
        </w:rPr>
        <w:t>女性答卷者表示，不使用某些避孕方式的主要原因是：害怕副作用(37%)；本身难以受孕或患有不育症(15%)；或者反对使用避孕器具(15%)。2007年，在采用避孕器具的妇女中，采用现代避孕方式的性活跃未婚妇女的比例(16.2%)低于目前已婚妇女(27.3%)。在表示使用避孕器具的已婚妇女中，绝大部分(14%)说她们使用避孕套。避孕者中绝大多数人免费获得避孕器具(90%)。五分之四以上的妇女在政府开设的诊所内免费获得避孕器具。</w:t>
      </w:r>
    </w:p>
    <w:p w:rsidR="00162D29" w:rsidRDefault="00162D29" w:rsidP="00162D29">
      <w:pPr>
        <w:pStyle w:val="SingleTxt"/>
        <w:rPr>
          <w:rFonts w:hint="eastAsia"/>
        </w:rPr>
      </w:pPr>
      <w:r>
        <w:rPr>
          <w:rFonts w:hint="eastAsia"/>
        </w:rPr>
        <w:t>302.　所罗门群岛计划生育协会是一个自愿、非营利的性健康、生殖健康和计划生育组织。该协会得到了若干国际机构的支助，其中包括国际计划生育联合会。协会开办5个诊所，2个在霍尼亚拉，1个在马莱塔省，1个在西部省，1个在乔伊索省。该协会一直获得经营一个青少年生育保健诊所的资金。它还进行宣传，由经培训的工作人员在同行教育者组织的会议上进行社区教育，并为教师受训者提供生育健康教育。该协会的社区教育者还在6个省开展工作。协会利用广播节目着重介绍生殖健康问题。2004年，该协会和卫生和医疗部合作开办一个用户友好型青少年生殖健康诊所。诊所设在霍尼亚拉该协会的房地，人口基金通过太平洋共同体秘书处提供支助，借调1名卫生和医疗部工作人员，到这家诊所与该协会工作人员一起工作。目前还没有按性别分列的诊所运作数据。</w:t>
      </w:r>
    </w:p>
    <w:p w:rsidR="00162D29" w:rsidRPr="002C0D65" w:rsidRDefault="00162D29" w:rsidP="00162D29">
      <w:pPr>
        <w:pStyle w:val="SingleTxt"/>
        <w:rPr>
          <w:rFonts w:ascii="SimHei" w:eastAsia="SimHei" w:hint="eastAsia"/>
        </w:rPr>
      </w:pPr>
      <w:r w:rsidRPr="002C0D65">
        <w:rPr>
          <w:rFonts w:ascii="SimHei" w:eastAsia="SimHei" w:hint="eastAsia"/>
        </w:rPr>
        <w:t>生殖健康</w:t>
      </w:r>
    </w:p>
    <w:p w:rsidR="00162D29" w:rsidRDefault="00162D29" w:rsidP="00162D29">
      <w:pPr>
        <w:pStyle w:val="SingleTxt"/>
        <w:rPr>
          <w:rFonts w:hint="eastAsia"/>
        </w:rPr>
      </w:pPr>
      <w:r>
        <w:rPr>
          <w:rFonts w:hint="eastAsia"/>
        </w:rPr>
        <w:t>303.　根据2007年人口和健康调查，过去20年的生育率缓慢而稳步下降，目前，妇女的平均生育率为4.6个孩子。城市中心妇女的生育率(3.4)低于农村地区(4.8)，在15至19岁年龄组中这一差别尤其明显，人口和健康调查显示，农村和城市地区的生育率分别为75/1</w:t>
      </w:r>
      <w:r>
        <w:t xml:space="preserve"> </w:t>
      </w:r>
      <w:r>
        <w:rPr>
          <w:rFonts w:hint="eastAsia"/>
        </w:rPr>
        <w:t>000和</w:t>
      </w:r>
      <w:hyperlink r:id="rId15" w:history="1">
        <w:r w:rsidRPr="005810F3">
          <w:rPr>
            <w:rStyle w:val="Hyperlink"/>
            <w:rFonts w:hint="eastAsia"/>
          </w:rPr>
          <w:t>41/1</w:t>
        </w:r>
      </w:hyperlink>
      <w:r>
        <w:t xml:space="preserve"> </w:t>
      </w:r>
      <w:r>
        <w:rPr>
          <w:rFonts w:hint="eastAsia"/>
        </w:rPr>
        <w:t>000。在妇女中，青少年生育和分娩较早，但在过去20年里，青少年怀孕一直呈下降趋势。初次生育的中位年龄已从20.8岁提高到21.6岁。妇女早婚(15-19岁)的人数高于男子(几乎每10名妇女中就有一人结婚)，尽管15至19岁青年妇女的生育率下降，但证据表明存在早育现象，9%的15岁妇女已经有了一个孩子。</w:t>
      </w:r>
    </w:p>
    <w:p w:rsidR="00162D29" w:rsidRDefault="00162D29" w:rsidP="00162D29">
      <w:pPr>
        <w:pStyle w:val="SingleTxt"/>
        <w:rPr>
          <w:rFonts w:hint="eastAsia"/>
        </w:rPr>
      </w:pPr>
      <w:r>
        <w:rPr>
          <w:rFonts w:hint="eastAsia"/>
        </w:rPr>
        <w:t>304.　产妇死亡率有所改善。还没有产妇死亡率的数据，但根据2004年世界卫生组织的模拟估计，产妇死亡率约为每10万个活产婴儿中220例。据估计，2010年的产妇死亡率为每10万个活产婴儿中146例。</w:t>
      </w:r>
    </w:p>
    <w:p w:rsidR="00162D29" w:rsidRPr="002C0D65" w:rsidRDefault="00162D29" w:rsidP="00162D29">
      <w:pPr>
        <w:pStyle w:val="SingleTxt"/>
        <w:rPr>
          <w:rFonts w:ascii="SimHei" w:eastAsia="SimHei" w:hint="eastAsia"/>
        </w:rPr>
      </w:pPr>
      <w:r w:rsidRPr="002C0D65">
        <w:rPr>
          <w:rFonts w:ascii="SimHei" w:eastAsia="SimHei" w:hint="eastAsia"/>
        </w:rPr>
        <w:t>产妇死亡率(每10万个活产婴儿)</w:t>
      </w:r>
    </w:p>
    <w:tbl>
      <w:tblPr>
        <w:tblW w:w="0" w:type="auto"/>
        <w:tblInd w:w="1260" w:type="dxa"/>
        <w:tblLayout w:type="fixed"/>
        <w:tblCellMar>
          <w:left w:w="0" w:type="dxa"/>
          <w:right w:w="0" w:type="dxa"/>
        </w:tblCellMar>
        <w:tblLook w:val="0000"/>
      </w:tblPr>
      <w:tblGrid>
        <w:gridCol w:w="840"/>
        <w:gridCol w:w="2160"/>
        <w:gridCol w:w="2160"/>
        <w:gridCol w:w="2160"/>
      </w:tblGrid>
      <w:tr w:rsidR="00162D29" w:rsidRPr="002C0D65" w:rsidTr="00162D29">
        <w:tblPrEx>
          <w:tblCellMar>
            <w:top w:w="0" w:type="dxa"/>
            <w:bottom w:w="0" w:type="dxa"/>
          </w:tblCellMar>
        </w:tblPrEx>
        <w:trPr>
          <w:tblHeader/>
        </w:trPr>
        <w:tc>
          <w:tcPr>
            <w:tcW w:w="840" w:type="dxa"/>
            <w:tcBorders>
              <w:top w:val="single" w:sz="4" w:space="0" w:color="auto"/>
              <w:bottom w:val="single" w:sz="12" w:space="0" w:color="auto"/>
            </w:tcBorders>
            <w:shd w:val="clear" w:color="auto" w:fill="auto"/>
            <w:vAlign w:val="bottom"/>
          </w:tcPr>
          <w:p w:rsidR="00162D29" w:rsidRPr="002C0D65" w:rsidRDefault="00162D29" w:rsidP="00162D29">
            <w:pPr>
              <w:tabs>
                <w:tab w:val="left" w:pos="360"/>
                <w:tab w:val="left" w:pos="720"/>
                <w:tab w:val="left" w:pos="1080"/>
                <w:tab w:val="left" w:pos="1440"/>
              </w:tabs>
              <w:spacing w:before="60" w:after="60" w:line="200" w:lineRule="exact"/>
              <w:ind w:right="57"/>
              <w:jc w:val="right"/>
              <w:rPr>
                <w:rFonts w:ascii="KaiTi_GB2312" w:eastAsia="KaiTi_GB2312" w:hint="eastAsia"/>
                <w:sz w:val="15"/>
              </w:rPr>
            </w:pPr>
            <w:r w:rsidRPr="002C0D65">
              <w:rPr>
                <w:rFonts w:ascii="KaiTi_GB2312" w:eastAsia="KaiTi_GB2312"/>
                <w:sz w:val="15"/>
              </w:rPr>
              <w:t>2004</w:t>
            </w:r>
          </w:p>
        </w:tc>
        <w:tc>
          <w:tcPr>
            <w:tcW w:w="2160" w:type="dxa"/>
            <w:tcBorders>
              <w:top w:val="single" w:sz="4" w:space="0" w:color="auto"/>
              <w:bottom w:val="single" w:sz="12" w:space="0" w:color="auto"/>
            </w:tcBorders>
            <w:shd w:val="clear" w:color="auto" w:fill="auto"/>
            <w:vAlign w:val="bottom"/>
          </w:tcPr>
          <w:p w:rsidR="00162D29" w:rsidRPr="002C0D65" w:rsidRDefault="00162D29" w:rsidP="00162D29">
            <w:pPr>
              <w:tabs>
                <w:tab w:val="left" w:pos="360"/>
                <w:tab w:val="left" w:pos="720"/>
                <w:tab w:val="left" w:pos="1080"/>
                <w:tab w:val="left" w:pos="1440"/>
              </w:tabs>
              <w:spacing w:before="60" w:after="60" w:line="200" w:lineRule="exact"/>
              <w:ind w:right="57"/>
              <w:jc w:val="right"/>
              <w:rPr>
                <w:rFonts w:ascii="KaiTi_GB2312" w:eastAsia="KaiTi_GB2312" w:hint="eastAsia"/>
                <w:sz w:val="15"/>
              </w:rPr>
            </w:pPr>
            <w:r w:rsidRPr="002C0D65">
              <w:rPr>
                <w:rFonts w:ascii="KaiTi_GB2312" w:eastAsia="KaiTi_GB2312"/>
                <w:sz w:val="15"/>
              </w:rPr>
              <w:t>2006</w:t>
            </w:r>
          </w:p>
        </w:tc>
        <w:tc>
          <w:tcPr>
            <w:tcW w:w="2160" w:type="dxa"/>
            <w:tcBorders>
              <w:top w:val="single" w:sz="4" w:space="0" w:color="auto"/>
              <w:bottom w:val="single" w:sz="12" w:space="0" w:color="auto"/>
            </w:tcBorders>
            <w:shd w:val="clear" w:color="auto" w:fill="auto"/>
            <w:vAlign w:val="bottom"/>
          </w:tcPr>
          <w:p w:rsidR="00162D29" w:rsidRPr="002C0D65" w:rsidRDefault="00162D29" w:rsidP="00162D29">
            <w:pPr>
              <w:tabs>
                <w:tab w:val="left" w:pos="360"/>
                <w:tab w:val="left" w:pos="720"/>
                <w:tab w:val="left" w:pos="1080"/>
                <w:tab w:val="left" w:pos="1440"/>
              </w:tabs>
              <w:spacing w:before="60" w:after="60" w:line="200" w:lineRule="exact"/>
              <w:ind w:right="57"/>
              <w:jc w:val="right"/>
              <w:rPr>
                <w:rFonts w:ascii="KaiTi_GB2312" w:eastAsia="KaiTi_GB2312" w:hint="eastAsia"/>
                <w:sz w:val="15"/>
              </w:rPr>
            </w:pPr>
            <w:r w:rsidRPr="002C0D65">
              <w:rPr>
                <w:rFonts w:ascii="KaiTi_GB2312" w:eastAsia="KaiTi_GB2312"/>
                <w:sz w:val="15"/>
              </w:rPr>
              <w:t>2007</w:t>
            </w:r>
          </w:p>
        </w:tc>
        <w:tc>
          <w:tcPr>
            <w:tcW w:w="2160" w:type="dxa"/>
            <w:tcBorders>
              <w:top w:val="single" w:sz="4" w:space="0" w:color="auto"/>
              <w:bottom w:val="single" w:sz="12" w:space="0" w:color="auto"/>
            </w:tcBorders>
            <w:shd w:val="clear" w:color="auto" w:fill="auto"/>
            <w:vAlign w:val="bottom"/>
          </w:tcPr>
          <w:p w:rsidR="00162D29" w:rsidRPr="002C0D65" w:rsidRDefault="00162D29" w:rsidP="00162D29">
            <w:pPr>
              <w:tabs>
                <w:tab w:val="left" w:pos="360"/>
                <w:tab w:val="left" w:pos="720"/>
                <w:tab w:val="left" w:pos="1080"/>
                <w:tab w:val="left" w:pos="1440"/>
              </w:tabs>
              <w:spacing w:before="60" w:after="60" w:line="200" w:lineRule="exact"/>
              <w:ind w:right="57"/>
              <w:jc w:val="right"/>
              <w:rPr>
                <w:rFonts w:ascii="KaiTi_GB2312" w:eastAsia="KaiTi_GB2312" w:hint="eastAsia"/>
                <w:sz w:val="15"/>
              </w:rPr>
            </w:pPr>
            <w:r w:rsidRPr="002C0D65">
              <w:rPr>
                <w:rFonts w:ascii="KaiTi_GB2312" w:eastAsia="KaiTi_GB2312"/>
                <w:sz w:val="15"/>
              </w:rPr>
              <w:t>2009</w:t>
            </w:r>
          </w:p>
        </w:tc>
      </w:tr>
      <w:tr w:rsidR="00162D29" w:rsidRPr="002C0D65" w:rsidTr="00162D29">
        <w:tblPrEx>
          <w:tblCellMar>
            <w:top w:w="0" w:type="dxa"/>
            <w:bottom w:w="0" w:type="dxa"/>
          </w:tblCellMar>
        </w:tblPrEx>
        <w:trPr>
          <w:trHeight w:hRule="exact" w:val="115"/>
          <w:tblHeader/>
        </w:trPr>
        <w:tc>
          <w:tcPr>
            <w:tcW w:w="840" w:type="dxa"/>
            <w:tcBorders>
              <w:top w:val="single" w:sz="12" w:space="0" w:color="auto"/>
            </w:tcBorders>
            <w:shd w:val="clear" w:color="auto" w:fill="auto"/>
            <w:vAlign w:val="bottom"/>
          </w:tcPr>
          <w:p w:rsidR="00162D29" w:rsidRPr="002C0D65" w:rsidRDefault="00162D29" w:rsidP="00162D29">
            <w:pPr>
              <w:tabs>
                <w:tab w:val="left" w:pos="360"/>
                <w:tab w:val="left" w:pos="720"/>
                <w:tab w:val="left" w:pos="1080"/>
                <w:tab w:val="left" w:pos="1440"/>
              </w:tabs>
              <w:spacing w:after="120" w:line="280" w:lineRule="exact"/>
              <w:ind w:right="57"/>
              <w:jc w:val="right"/>
              <w:rPr>
                <w:rFonts w:hint="eastAsia"/>
              </w:rPr>
            </w:pPr>
          </w:p>
        </w:tc>
        <w:tc>
          <w:tcPr>
            <w:tcW w:w="2160" w:type="dxa"/>
            <w:tcBorders>
              <w:top w:val="single" w:sz="12" w:space="0" w:color="auto"/>
            </w:tcBorders>
            <w:shd w:val="clear" w:color="auto" w:fill="auto"/>
            <w:vAlign w:val="bottom"/>
          </w:tcPr>
          <w:p w:rsidR="00162D29" w:rsidRPr="002C0D65" w:rsidRDefault="00162D29" w:rsidP="00162D29">
            <w:pPr>
              <w:tabs>
                <w:tab w:val="left" w:pos="360"/>
                <w:tab w:val="left" w:pos="720"/>
                <w:tab w:val="left" w:pos="1080"/>
                <w:tab w:val="left" w:pos="1440"/>
              </w:tabs>
              <w:spacing w:after="120" w:line="280" w:lineRule="exact"/>
              <w:ind w:right="57"/>
              <w:jc w:val="right"/>
              <w:rPr>
                <w:rFonts w:hint="eastAsia"/>
              </w:rPr>
            </w:pPr>
          </w:p>
        </w:tc>
        <w:tc>
          <w:tcPr>
            <w:tcW w:w="2160" w:type="dxa"/>
            <w:tcBorders>
              <w:top w:val="single" w:sz="12" w:space="0" w:color="auto"/>
            </w:tcBorders>
            <w:shd w:val="clear" w:color="auto" w:fill="auto"/>
            <w:vAlign w:val="bottom"/>
          </w:tcPr>
          <w:p w:rsidR="00162D29" w:rsidRPr="002C0D65" w:rsidRDefault="00162D29" w:rsidP="00162D29">
            <w:pPr>
              <w:tabs>
                <w:tab w:val="left" w:pos="360"/>
                <w:tab w:val="left" w:pos="720"/>
                <w:tab w:val="left" w:pos="1080"/>
                <w:tab w:val="left" w:pos="1440"/>
              </w:tabs>
              <w:spacing w:after="120" w:line="280" w:lineRule="exact"/>
              <w:ind w:right="57"/>
              <w:jc w:val="right"/>
              <w:rPr>
                <w:rFonts w:hint="eastAsia"/>
              </w:rPr>
            </w:pPr>
          </w:p>
        </w:tc>
        <w:tc>
          <w:tcPr>
            <w:tcW w:w="2160" w:type="dxa"/>
            <w:tcBorders>
              <w:top w:val="single" w:sz="12" w:space="0" w:color="auto"/>
            </w:tcBorders>
            <w:shd w:val="clear" w:color="auto" w:fill="auto"/>
            <w:vAlign w:val="bottom"/>
          </w:tcPr>
          <w:p w:rsidR="00162D29" w:rsidRPr="002C0D65" w:rsidRDefault="00162D29" w:rsidP="00162D29">
            <w:pPr>
              <w:tabs>
                <w:tab w:val="left" w:pos="360"/>
                <w:tab w:val="left" w:pos="720"/>
                <w:tab w:val="left" w:pos="1080"/>
                <w:tab w:val="left" w:pos="1440"/>
              </w:tabs>
              <w:spacing w:after="120" w:line="280" w:lineRule="exact"/>
              <w:ind w:right="57"/>
              <w:jc w:val="right"/>
              <w:rPr>
                <w:rFonts w:hint="eastAsia"/>
              </w:rPr>
            </w:pPr>
          </w:p>
        </w:tc>
      </w:tr>
      <w:tr w:rsidR="00162D29" w:rsidRPr="002C0D65" w:rsidTr="00162D29">
        <w:tblPrEx>
          <w:tblCellMar>
            <w:top w:w="0" w:type="dxa"/>
            <w:bottom w:w="0" w:type="dxa"/>
          </w:tblCellMar>
        </w:tblPrEx>
        <w:tc>
          <w:tcPr>
            <w:tcW w:w="840" w:type="dxa"/>
            <w:tcBorders>
              <w:bottom w:val="single" w:sz="12" w:space="0" w:color="auto"/>
            </w:tcBorders>
            <w:shd w:val="clear" w:color="auto" w:fill="auto"/>
          </w:tcPr>
          <w:p w:rsidR="00162D29" w:rsidRPr="002C0D65" w:rsidRDefault="00162D29" w:rsidP="00162D29">
            <w:pPr>
              <w:tabs>
                <w:tab w:val="left" w:pos="334"/>
                <w:tab w:val="left" w:pos="669"/>
                <w:tab w:val="left" w:pos="1003"/>
                <w:tab w:val="left" w:pos="1338"/>
              </w:tabs>
              <w:suppressAutoHyphens/>
              <w:spacing w:after="120" w:line="280" w:lineRule="exact"/>
              <w:ind w:right="57"/>
              <w:jc w:val="right"/>
              <w:rPr>
                <w:rFonts w:hint="eastAsia"/>
                <w:sz w:val="17"/>
                <w:szCs w:val="17"/>
              </w:rPr>
            </w:pPr>
            <w:r w:rsidRPr="002C0D65">
              <w:rPr>
                <w:sz w:val="17"/>
                <w:szCs w:val="17"/>
              </w:rPr>
              <w:t>184/220</w:t>
            </w:r>
          </w:p>
        </w:tc>
        <w:tc>
          <w:tcPr>
            <w:tcW w:w="2160" w:type="dxa"/>
            <w:tcBorders>
              <w:bottom w:val="single" w:sz="12" w:space="0" w:color="auto"/>
            </w:tcBorders>
            <w:shd w:val="clear" w:color="auto" w:fill="auto"/>
          </w:tcPr>
          <w:p w:rsidR="00162D29" w:rsidRPr="002C0D65" w:rsidRDefault="00162D29" w:rsidP="00162D29">
            <w:pPr>
              <w:tabs>
                <w:tab w:val="left" w:pos="334"/>
                <w:tab w:val="left" w:pos="669"/>
                <w:tab w:val="left" w:pos="1003"/>
                <w:tab w:val="left" w:pos="1338"/>
              </w:tabs>
              <w:suppressAutoHyphens/>
              <w:spacing w:after="120" w:line="280" w:lineRule="exact"/>
              <w:ind w:right="57"/>
              <w:jc w:val="right"/>
              <w:rPr>
                <w:rFonts w:hint="eastAsia"/>
                <w:sz w:val="17"/>
                <w:szCs w:val="17"/>
              </w:rPr>
            </w:pPr>
            <w:r w:rsidRPr="002C0D65">
              <w:rPr>
                <w:sz w:val="17"/>
                <w:szCs w:val="17"/>
              </w:rPr>
              <w:t>223</w:t>
            </w:r>
          </w:p>
        </w:tc>
        <w:tc>
          <w:tcPr>
            <w:tcW w:w="2160" w:type="dxa"/>
            <w:tcBorders>
              <w:bottom w:val="single" w:sz="12" w:space="0" w:color="auto"/>
            </w:tcBorders>
            <w:shd w:val="clear" w:color="auto" w:fill="auto"/>
          </w:tcPr>
          <w:p w:rsidR="00162D29" w:rsidRPr="002C0D65" w:rsidRDefault="00162D29" w:rsidP="00162D29">
            <w:pPr>
              <w:tabs>
                <w:tab w:val="left" w:pos="334"/>
                <w:tab w:val="left" w:pos="669"/>
                <w:tab w:val="left" w:pos="1003"/>
                <w:tab w:val="left" w:pos="1338"/>
              </w:tabs>
              <w:suppressAutoHyphens/>
              <w:spacing w:after="120" w:line="280" w:lineRule="exact"/>
              <w:ind w:right="57"/>
              <w:jc w:val="right"/>
              <w:rPr>
                <w:rFonts w:hint="eastAsia"/>
                <w:sz w:val="17"/>
                <w:szCs w:val="17"/>
              </w:rPr>
            </w:pPr>
            <w:r w:rsidRPr="002C0D65">
              <w:rPr>
                <w:sz w:val="17"/>
                <w:szCs w:val="17"/>
              </w:rPr>
              <w:t>103</w:t>
            </w:r>
          </w:p>
        </w:tc>
        <w:tc>
          <w:tcPr>
            <w:tcW w:w="2160" w:type="dxa"/>
            <w:tcBorders>
              <w:bottom w:val="single" w:sz="12" w:space="0" w:color="auto"/>
            </w:tcBorders>
            <w:shd w:val="clear" w:color="auto" w:fill="auto"/>
          </w:tcPr>
          <w:p w:rsidR="00162D29" w:rsidRPr="002C0D65" w:rsidRDefault="00162D29" w:rsidP="00162D29">
            <w:pPr>
              <w:tabs>
                <w:tab w:val="left" w:pos="334"/>
                <w:tab w:val="left" w:pos="669"/>
                <w:tab w:val="left" w:pos="1003"/>
                <w:tab w:val="left" w:pos="1338"/>
              </w:tabs>
              <w:suppressAutoHyphens/>
              <w:spacing w:after="120" w:line="280" w:lineRule="exact"/>
              <w:ind w:right="57"/>
              <w:jc w:val="right"/>
              <w:rPr>
                <w:rFonts w:hint="eastAsia"/>
                <w:sz w:val="17"/>
                <w:szCs w:val="17"/>
              </w:rPr>
            </w:pPr>
            <w:r w:rsidRPr="002C0D65">
              <w:rPr>
                <w:sz w:val="17"/>
                <w:szCs w:val="17"/>
              </w:rPr>
              <w:t>146</w:t>
            </w:r>
          </w:p>
        </w:tc>
      </w:tr>
    </w:tbl>
    <w:p w:rsidR="00162D29" w:rsidRPr="002C0D65" w:rsidRDefault="00162D29" w:rsidP="00162D29">
      <w:pPr>
        <w:pStyle w:val="SingleTxt"/>
        <w:spacing w:after="0" w:line="120" w:lineRule="exact"/>
        <w:rPr>
          <w:rFonts w:hint="eastAsia"/>
          <w:sz w:val="10"/>
        </w:rPr>
      </w:pPr>
    </w:p>
    <w:p w:rsidR="00162D29" w:rsidRPr="002C0D65" w:rsidRDefault="00162D29" w:rsidP="00162D29">
      <w:pPr>
        <w:pStyle w:val="SingleTxt"/>
        <w:spacing w:after="0" w:line="120" w:lineRule="exact"/>
        <w:rPr>
          <w:rFonts w:hint="eastAsia"/>
          <w:sz w:val="10"/>
        </w:rPr>
      </w:pPr>
    </w:p>
    <w:p w:rsidR="00162D29" w:rsidRDefault="00162D29" w:rsidP="00162D29">
      <w:pPr>
        <w:pStyle w:val="SingleTxt"/>
        <w:rPr>
          <w:rFonts w:hint="eastAsia"/>
        </w:rPr>
      </w:pPr>
      <w:r>
        <w:rPr>
          <w:rFonts w:hint="eastAsia"/>
        </w:rPr>
        <w:t>305.　产妇死亡率的主要原因包括首要原因：</w:t>
      </w:r>
    </w:p>
    <w:p w:rsidR="00162D29" w:rsidRDefault="00162D29" w:rsidP="00162D29">
      <w:pPr>
        <w:pStyle w:val="SingleTxt"/>
        <w:ind w:left="2126" w:hanging="431"/>
        <w:rPr>
          <w:rFonts w:hint="eastAsia"/>
        </w:rPr>
      </w:pPr>
      <w:r>
        <w:rPr>
          <w:rFonts w:hint="eastAsia"/>
        </w:rPr>
        <w:sym w:font="Symbol" w:char="F0B7"/>
      </w:r>
      <w:r>
        <w:tab/>
      </w:r>
      <w:r>
        <w:rPr>
          <w:rFonts w:hint="eastAsia"/>
        </w:rPr>
        <w:t>产后大出血</w:t>
      </w:r>
    </w:p>
    <w:p w:rsidR="00162D29" w:rsidRDefault="00162D29" w:rsidP="00162D29">
      <w:pPr>
        <w:pStyle w:val="SingleTxt"/>
        <w:ind w:left="2126" w:hanging="431"/>
        <w:rPr>
          <w:rFonts w:hint="eastAsia"/>
        </w:rPr>
      </w:pPr>
      <w:r>
        <w:rPr>
          <w:rFonts w:hint="eastAsia"/>
        </w:rPr>
        <w:sym w:font="Symbol" w:char="F0B7"/>
      </w:r>
      <w:r>
        <w:tab/>
      </w:r>
      <w:r>
        <w:rPr>
          <w:rFonts w:hint="eastAsia"/>
        </w:rPr>
        <w:t>产后败血症</w:t>
      </w:r>
    </w:p>
    <w:p w:rsidR="00162D29" w:rsidRDefault="00162D29" w:rsidP="00162D29">
      <w:pPr>
        <w:pStyle w:val="SingleTxt"/>
        <w:ind w:left="2126" w:hanging="431"/>
        <w:rPr>
          <w:rFonts w:hint="eastAsia"/>
        </w:rPr>
      </w:pPr>
      <w:r>
        <w:rPr>
          <w:rFonts w:hint="eastAsia"/>
        </w:rPr>
        <w:sym w:font="Symbol" w:char="F0B7"/>
      </w:r>
      <w:r>
        <w:tab/>
      </w:r>
      <w:r>
        <w:rPr>
          <w:rFonts w:hint="eastAsia"/>
        </w:rPr>
        <w:t>子痫</w:t>
      </w:r>
    </w:p>
    <w:p w:rsidR="00162D29" w:rsidRDefault="00162D29" w:rsidP="00162D29">
      <w:pPr>
        <w:pStyle w:val="SingleTxt"/>
        <w:ind w:left="2126" w:hanging="431"/>
        <w:rPr>
          <w:rFonts w:hint="eastAsia"/>
        </w:rPr>
      </w:pPr>
      <w:r>
        <w:rPr>
          <w:rFonts w:hint="eastAsia"/>
        </w:rPr>
        <w:sym w:font="Symbol" w:char="F0B7"/>
      </w:r>
      <w:r>
        <w:tab/>
      </w:r>
      <w:r>
        <w:rPr>
          <w:rFonts w:hint="eastAsia"/>
        </w:rPr>
        <w:t>分娩时间过长</w:t>
      </w:r>
    </w:p>
    <w:p w:rsidR="00162D29" w:rsidRDefault="00162D29" w:rsidP="00162D29">
      <w:pPr>
        <w:pStyle w:val="SingleTxt"/>
        <w:rPr>
          <w:rFonts w:hint="eastAsia"/>
        </w:rPr>
      </w:pPr>
      <w:r>
        <w:rPr>
          <w:rFonts w:hint="eastAsia"/>
        </w:rPr>
        <w:t>306.　次要原因：</w:t>
      </w:r>
    </w:p>
    <w:p w:rsidR="00162D29" w:rsidRDefault="00162D29" w:rsidP="00162D29">
      <w:pPr>
        <w:pStyle w:val="SingleTxt"/>
        <w:ind w:left="2126" w:hanging="431"/>
        <w:rPr>
          <w:rFonts w:hint="eastAsia"/>
        </w:rPr>
      </w:pPr>
      <w:r>
        <w:rPr>
          <w:rFonts w:hint="eastAsia"/>
        </w:rPr>
        <w:sym w:font="Symbol" w:char="F0B7"/>
      </w:r>
      <w:r>
        <w:tab/>
      </w:r>
      <w:r>
        <w:rPr>
          <w:rFonts w:hint="eastAsia"/>
        </w:rPr>
        <w:t>疟疾</w:t>
      </w:r>
    </w:p>
    <w:p w:rsidR="00162D29" w:rsidRDefault="00162D29" w:rsidP="00162D29">
      <w:pPr>
        <w:pStyle w:val="SingleTxt"/>
        <w:ind w:left="2126" w:hanging="431"/>
        <w:rPr>
          <w:rFonts w:hint="eastAsia"/>
        </w:rPr>
      </w:pPr>
      <w:r>
        <w:rPr>
          <w:rFonts w:hint="eastAsia"/>
        </w:rPr>
        <w:sym w:font="Symbol" w:char="F0B7"/>
      </w:r>
      <w:r>
        <w:tab/>
      </w:r>
      <w:r>
        <w:rPr>
          <w:rFonts w:hint="eastAsia"/>
        </w:rPr>
        <w:t>其他感染。</w:t>
      </w:r>
    </w:p>
    <w:p w:rsidR="00162D29" w:rsidRDefault="00162D29" w:rsidP="00162D29">
      <w:pPr>
        <w:pStyle w:val="SingleTxt"/>
        <w:rPr>
          <w:rFonts w:hint="eastAsia"/>
        </w:rPr>
      </w:pPr>
      <w:r>
        <w:rPr>
          <w:rFonts w:hint="eastAsia"/>
        </w:rPr>
        <w:t>307.　孕妇获得并受益于产前和产后保健的比例是：</w:t>
      </w:r>
    </w:p>
    <w:p w:rsidR="00162D29" w:rsidRPr="002C0D65" w:rsidRDefault="00162D29" w:rsidP="00162D29">
      <w:pPr>
        <w:pStyle w:val="SingleTxt"/>
        <w:rPr>
          <w:rFonts w:ascii="SimHei" w:eastAsia="SimHei" w:hint="eastAsia"/>
        </w:rPr>
      </w:pPr>
      <w:r>
        <w:rPr>
          <w:rFonts w:ascii="SimHei" w:eastAsia="SimHei"/>
        </w:rPr>
        <w:br w:type="page"/>
      </w:r>
      <w:r w:rsidRPr="002C0D65">
        <w:rPr>
          <w:rFonts w:ascii="SimHei" w:eastAsia="SimHei" w:hint="eastAsia"/>
        </w:rPr>
        <w:t>由技能娴熟的保健人员接生的比例</w:t>
      </w:r>
    </w:p>
    <w:tbl>
      <w:tblPr>
        <w:tblW w:w="0" w:type="auto"/>
        <w:tblInd w:w="1260" w:type="dxa"/>
        <w:tblLayout w:type="fixed"/>
        <w:tblCellMar>
          <w:left w:w="0" w:type="dxa"/>
          <w:right w:w="0" w:type="dxa"/>
        </w:tblCellMar>
        <w:tblLook w:val="0000"/>
      </w:tblPr>
      <w:tblGrid>
        <w:gridCol w:w="840"/>
        <w:gridCol w:w="1540"/>
        <w:gridCol w:w="1820"/>
        <w:gridCol w:w="1539"/>
        <w:gridCol w:w="1581"/>
      </w:tblGrid>
      <w:tr w:rsidR="00162D29" w:rsidRPr="002C0D65" w:rsidTr="00162D29">
        <w:tblPrEx>
          <w:tblCellMar>
            <w:top w:w="0" w:type="dxa"/>
            <w:bottom w:w="0" w:type="dxa"/>
          </w:tblCellMar>
        </w:tblPrEx>
        <w:trPr>
          <w:tblHeader/>
        </w:trPr>
        <w:tc>
          <w:tcPr>
            <w:tcW w:w="840" w:type="dxa"/>
            <w:tcBorders>
              <w:top w:val="single" w:sz="4" w:space="0" w:color="auto"/>
              <w:bottom w:val="single" w:sz="12" w:space="0" w:color="auto"/>
            </w:tcBorders>
            <w:shd w:val="clear" w:color="auto" w:fill="auto"/>
            <w:vAlign w:val="bottom"/>
          </w:tcPr>
          <w:p w:rsidR="00162D29" w:rsidRPr="002C0D65" w:rsidRDefault="00162D29" w:rsidP="00162D29">
            <w:pPr>
              <w:tabs>
                <w:tab w:val="left" w:pos="360"/>
                <w:tab w:val="left" w:pos="720"/>
                <w:tab w:val="left" w:pos="1080"/>
                <w:tab w:val="left" w:pos="1440"/>
              </w:tabs>
              <w:spacing w:before="60" w:after="60" w:line="200" w:lineRule="exact"/>
              <w:ind w:right="57"/>
              <w:jc w:val="right"/>
              <w:rPr>
                <w:rFonts w:ascii="KaiTi_GB2312" w:eastAsia="KaiTi_GB2312" w:hint="eastAsia"/>
                <w:sz w:val="15"/>
              </w:rPr>
            </w:pPr>
            <w:r w:rsidRPr="002C0D65">
              <w:rPr>
                <w:rFonts w:ascii="KaiTi_GB2312" w:eastAsia="KaiTi_GB2312"/>
                <w:sz w:val="15"/>
              </w:rPr>
              <w:t>200</w:t>
            </w:r>
            <w:r>
              <w:rPr>
                <w:rFonts w:ascii="KaiTi_GB2312" w:eastAsia="KaiTi_GB2312" w:hint="eastAsia"/>
                <w:sz w:val="15"/>
              </w:rPr>
              <w:t>0</w:t>
            </w:r>
          </w:p>
        </w:tc>
        <w:tc>
          <w:tcPr>
            <w:tcW w:w="1540" w:type="dxa"/>
            <w:tcBorders>
              <w:top w:val="single" w:sz="4" w:space="0" w:color="auto"/>
              <w:bottom w:val="single" w:sz="12" w:space="0" w:color="auto"/>
            </w:tcBorders>
            <w:shd w:val="clear" w:color="auto" w:fill="auto"/>
            <w:vAlign w:val="bottom"/>
          </w:tcPr>
          <w:p w:rsidR="00162D29" w:rsidRPr="002C0D65" w:rsidRDefault="00162D29" w:rsidP="00162D29">
            <w:pPr>
              <w:tabs>
                <w:tab w:val="left" w:pos="360"/>
                <w:tab w:val="left" w:pos="720"/>
                <w:tab w:val="left" w:pos="1080"/>
                <w:tab w:val="left" w:pos="1440"/>
              </w:tabs>
              <w:spacing w:before="60" w:after="60" w:line="200" w:lineRule="exact"/>
              <w:ind w:right="57"/>
              <w:jc w:val="right"/>
              <w:rPr>
                <w:rFonts w:ascii="KaiTi_GB2312" w:eastAsia="KaiTi_GB2312" w:hint="eastAsia"/>
                <w:sz w:val="15"/>
              </w:rPr>
            </w:pPr>
            <w:r w:rsidRPr="002C0D65">
              <w:rPr>
                <w:rFonts w:ascii="KaiTi_GB2312" w:eastAsia="KaiTi_GB2312"/>
                <w:sz w:val="15"/>
              </w:rPr>
              <w:t>200</w:t>
            </w:r>
            <w:r>
              <w:rPr>
                <w:rFonts w:ascii="KaiTi_GB2312" w:eastAsia="KaiTi_GB2312" w:hint="eastAsia"/>
                <w:sz w:val="15"/>
              </w:rPr>
              <w:t>4</w:t>
            </w:r>
          </w:p>
        </w:tc>
        <w:tc>
          <w:tcPr>
            <w:tcW w:w="1820" w:type="dxa"/>
            <w:tcBorders>
              <w:top w:val="single" w:sz="4" w:space="0" w:color="auto"/>
              <w:bottom w:val="single" w:sz="12" w:space="0" w:color="auto"/>
            </w:tcBorders>
            <w:shd w:val="clear" w:color="auto" w:fill="auto"/>
            <w:vAlign w:val="bottom"/>
          </w:tcPr>
          <w:p w:rsidR="00162D29" w:rsidRPr="002C0D65" w:rsidRDefault="00162D29" w:rsidP="00162D29">
            <w:pPr>
              <w:tabs>
                <w:tab w:val="left" w:pos="360"/>
                <w:tab w:val="left" w:pos="720"/>
                <w:tab w:val="left" w:pos="1080"/>
                <w:tab w:val="left" w:pos="1440"/>
              </w:tabs>
              <w:spacing w:before="60" w:after="60" w:line="200" w:lineRule="exact"/>
              <w:ind w:right="57"/>
              <w:jc w:val="right"/>
              <w:rPr>
                <w:rFonts w:ascii="KaiTi_GB2312" w:eastAsia="KaiTi_GB2312" w:hint="eastAsia"/>
                <w:sz w:val="15"/>
              </w:rPr>
            </w:pPr>
            <w:r>
              <w:rPr>
                <w:rFonts w:ascii="KaiTi_GB2312" w:eastAsia="KaiTi_GB2312" w:hint="eastAsia"/>
                <w:sz w:val="15"/>
              </w:rPr>
              <w:t>2006</w:t>
            </w:r>
          </w:p>
        </w:tc>
        <w:tc>
          <w:tcPr>
            <w:tcW w:w="1539" w:type="dxa"/>
            <w:tcBorders>
              <w:top w:val="single" w:sz="4" w:space="0" w:color="auto"/>
              <w:bottom w:val="single" w:sz="12" w:space="0" w:color="auto"/>
            </w:tcBorders>
            <w:shd w:val="clear" w:color="auto" w:fill="auto"/>
            <w:vAlign w:val="bottom"/>
          </w:tcPr>
          <w:p w:rsidR="00162D29" w:rsidRPr="002C0D65" w:rsidRDefault="00162D29" w:rsidP="00162D29">
            <w:pPr>
              <w:tabs>
                <w:tab w:val="left" w:pos="360"/>
                <w:tab w:val="left" w:pos="720"/>
                <w:tab w:val="left" w:pos="1080"/>
                <w:tab w:val="left" w:pos="1440"/>
              </w:tabs>
              <w:spacing w:before="60" w:after="60" w:line="200" w:lineRule="exact"/>
              <w:ind w:right="57"/>
              <w:jc w:val="right"/>
              <w:rPr>
                <w:rFonts w:ascii="KaiTi_GB2312" w:eastAsia="KaiTi_GB2312" w:hint="eastAsia"/>
                <w:sz w:val="15"/>
              </w:rPr>
            </w:pPr>
            <w:r w:rsidRPr="002C0D65">
              <w:rPr>
                <w:rFonts w:ascii="KaiTi_GB2312" w:eastAsia="KaiTi_GB2312"/>
                <w:sz w:val="15"/>
              </w:rPr>
              <w:t>2007</w:t>
            </w:r>
          </w:p>
        </w:tc>
        <w:tc>
          <w:tcPr>
            <w:tcW w:w="1581" w:type="dxa"/>
            <w:tcBorders>
              <w:top w:val="single" w:sz="4" w:space="0" w:color="auto"/>
              <w:bottom w:val="single" w:sz="12" w:space="0" w:color="auto"/>
            </w:tcBorders>
            <w:shd w:val="clear" w:color="auto" w:fill="auto"/>
            <w:vAlign w:val="bottom"/>
          </w:tcPr>
          <w:p w:rsidR="00162D29" w:rsidRPr="002C0D65" w:rsidRDefault="00162D29" w:rsidP="00162D29">
            <w:pPr>
              <w:tabs>
                <w:tab w:val="left" w:pos="360"/>
                <w:tab w:val="left" w:pos="720"/>
                <w:tab w:val="left" w:pos="1080"/>
                <w:tab w:val="left" w:pos="1440"/>
              </w:tabs>
              <w:spacing w:before="60" w:after="60" w:line="200" w:lineRule="exact"/>
              <w:ind w:right="57"/>
              <w:jc w:val="right"/>
              <w:rPr>
                <w:rFonts w:ascii="KaiTi_GB2312" w:eastAsia="KaiTi_GB2312" w:hint="eastAsia"/>
                <w:sz w:val="15"/>
              </w:rPr>
            </w:pPr>
            <w:r w:rsidRPr="002C0D65">
              <w:rPr>
                <w:rFonts w:ascii="KaiTi_GB2312" w:eastAsia="KaiTi_GB2312"/>
                <w:sz w:val="15"/>
              </w:rPr>
              <w:t>20</w:t>
            </w:r>
            <w:r>
              <w:rPr>
                <w:rFonts w:ascii="KaiTi_GB2312" w:eastAsia="KaiTi_GB2312" w:hint="eastAsia"/>
                <w:sz w:val="15"/>
              </w:rPr>
              <w:t>10</w:t>
            </w:r>
          </w:p>
        </w:tc>
      </w:tr>
      <w:tr w:rsidR="00162D29" w:rsidRPr="002C0D65" w:rsidTr="00162D29">
        <w:tblPrEx>
          <w:tblCellMar>
            <w:top w:w="0" w:type="dxa"/>
            <w:bottom w:w="0" w:type="dxa"/>
          </w:tblCellMar>
        </w:tblPrEx>
        <w:trPr>
          <w:trHeight w:hRule="exact" w:val="115"/>
          <w:tblHeader/>
        </w:trPr>
        <w:tc>
          <w:tcPr>
            <w:tcW w:w="840" w:type="dxa"/>
            <w:tcBorders>
              <w:top w:val="single" w:sz="12" w:space="0" w:color="auto"/>
            </w:tcBorders>
            <w:shd w:val="clear" w:color="auto" w:fill="auto"/>
            <w:vAlign w:val="bottom"/>
          </w:tcPr>
          <w:p w:rsidR="00162D29" w:rsidRPr="002C0D65" w:rsidRDefault="00162D29" w:rsidP="00162D29">
            <w:pPr>
              <w:tabs>
                <w:tab w:val="left" w:pos="360"/>
                <w:tab w:val="left" w:pos="720"/>
                <w:tab w:val="left" w:pos="1080"/>
                <w:tab w:val="left" w:pos="1440"/>
              </w:tabs>
              <w:spacing w:after="120" w:line="280" w:lineRule="exact"/>
              <w:ind w:right="57"/>
              <w:jc w:val="right"/>
              <w:rPr>
                <w:rFonts w:hint="eastAsia"/>
              </w:rPr>
            </w:pPr>
          </w:p>
        </w:tc>
        <w:tc>
          <w:tcPr>
            <w:tcW w:w="1540" w:type="dxa"/>
            <w:tcBorders>
              <w:top w:val="single" w:sz="12" w:space="0" w:color="auto"/>
            </w:tcBorders>
            <w:shd w:val="clear" w:color="auto" w:fill="auto"/>
            <w:vAlign w:val="bottom"/>
          </w:tcPr>
          <w:p w:rsidR="00162D29" w:rsidRPr="002C0D65" w:rsidRDefault="00162D29" w:rsidP="00162D29">
            <w:pPr>
              <w:tabs>
                <w:tab w:val="left" w:pos="360"/>
                <w:tab w:val="left" w:pos="720"/>
                <w:tab w:val="left" w:pos="1080"/>
                <w:tab w:val="left" w:pos="1440"/>
              </w:tabs>
              <w:spacing w:after="120" w:line="280" w:lineRule="exact"/>
              <w:ind w:right="57"/>
              <w:jc w:val="right"/>
              <w:rPr>
                <w:rFonts w:hint="eastAsia"/>
              </w:rPr>
            </w:pPr>
          </w:p>
        </w:tc>
        <w:tc>
          <w:tcPr>
            <w:tcW w:w="1820" w:type="dxa"/>
            <w:tcBorders>
              <w:top w:val="single" w:sz="12" w:space="0" w:color="auto"/>
            </w:tcBorders>
            <w:shd w:val="clear" w:color="auto" w:fill="auto"/>
            <w:vAlign w:val="bottom"/>
          </w:tcPr>
          <w:p w:rsidR="00162D29" w:rsidRPr="002C0D65" w:rsidRDefault="00162D29" w:rsidP="00162D29">
            <w:pPr>
              <w:tabs>
                <w:tab w:val="left" w:pos="360"/>
                <w:tab w:val="left" w:pos="720"/>
                <w:tab w:val="left" w:pos="1080"/>
                <w:tab w:val="left" w:pos="1440"/>
              </w:tabs>
              <w:spacing w:after="120" w:line="280" w:lineRule="exact"/>
              <w:ind w:right="57"/>
              <w:jc w:val="right"/>
              <w:rPr>
                <w:rFonts w:hint="eastAsia"/>
              </w:rPr>
            </w:pPr>
          </w:p>
        </w:tc>
        <w:tc>
          <w:tcPr>
            <w:tcW w:w="1539" w:type="dxa"/>
            <w:tcBorders>
              <w:top w:val="single" w:sz="12" w:space="0" w:color="auto"/>
            </w:tcBorders>
            <w:shd w:val="clear" w:color="auto" w:fill="auto"/>
            <w:vAlign w:val="bottom"/>
          </w:tcPr>
          <w:p w:rsidR="00162D29" w:rsidRPr="002C0D65" w:rsidRDefault="00162D29" w:rsidP="00162D29">
            <w:pPr>
              <w:tabs>
                <w:tab w:val="left" w:pos="360"/>
                <w:tab w:val="left" w:pos="720"/>
                <w:tab w:val="left" w:pos="1080"/>
                <w:tab w:val="left" w:pos="1440"/>
              </w:tabs>
              <w:spacing w:after="120" w:line="280" w:lineRule="exact"/>
              <w:ind w:right="57"/>
              <w:jc w:val="right"/>
              <w:rPr>
                <w:rFonts w:hint="eastAsia"/>
              </w:rPr>
            </w:pPr>
          </w:p>
        </w:tc>
        <w:tc>
          <w:tcPr>
            <w:tcW w:w="1581" w:type="dxa"/>
            <w:tcBorders>
              <w:top w:val="single" w:sz="12" w:space="0" w:color="auto"/>
            </w:tcBorders>
            <w:shd w:val="clear" w:color="auto" w:fill="auto"/>
            <w:vAlign w:val="bottom"/>
          </w:tcPr>
          <w:p w:rsidR="00162D29" w:rsidRPr="002C0D65" w:rsidRDefault="00162D29" w:rsidP="00162D29">
            <w:pPr>
              <w:tabs>
                <w:tab w:val="left" w:pos="360"/>
                <w:tab w:val="left" w:pos="720"/>
                <w:tab w:val="left" w:pos="1080"/>
                <w:tab w:val="left" w:pos="1440"/>
              </w:tabs>
              <w:spacing w:after="120" w:line="280" w:lineRule="exact"/>
              <w:ind w:right="57"/>
              <w:jc w:val="right"/>
              <w:rPr>
                <w:rFonts w:hint="eastAsia"/>
              </w:rPr>
            </w:pPr>
          </w:p>
        </w:tc>
      </w:tr>
      <w:tr w:rsidR="00162D29" w:rsidRPr="002C0D65" w:rsidTr="00162D29">
        <w:tblPrEx>
          <w:tblCellMar>
            <w:top w:w="0" w:type="dxa"/>
            <w:bottom w:w="0" w:type="dxa"/>
          </w:tblCellMar>
        </w:tblPrEx>
        <w:tc>
          <w:tcPr>
            <w:tcW w:w="840" w:type="dxa"/>
            <w:tcBorders>
              <w:bottom w:val="single" w:sz="12" w:space="0" w:color="auto"/>
            </w:tcBorders>
            <w:shd w:val="clear" w:color="auto" w:fill="auto"/>
          </w:tcPr>
          <w:p w:rsidR="00162D29" w:rsidRPr="002C0D65" w:rsidRDefault="00162D29" w:rsidP="00162D29">
            <w:pPr>
              <w:tabs>
                <w:tab w:val="left" w:pos="334"/>
                <w:tab w:val="left" w:pos="669"/>
                <w:tab w:val="left" w:pos="1003"/>
                <w:tab w:val="left" w:pos="1338"/>
              </w:tabs>
              <w:suppressAutoHyphens/>
              <w:spacing w:after="120" w:line="280" w:lineRule="exact"/>
              <w:ind w:right="57"/>
              <w:jc w:val="right"/>
              <w:rPr>
                <w:rFonts w:hint="eastAsia"/>
                <w:sz w:val="17"/>
                <w:szCs w:val="17"/>
              </w:rPr>
            </w:pPr>
            <w:r w:rsidRPr="002C0D65">
              <w:rPr>
                <w:rFonts w:hint="eastAsia"/>
                <w:sz w:val="17"/>
                <w:szCs w:val="17"/>
              </w:rPr>
              <w:t>85%</w:t>
            </w:r>
          </w:p>
        </w:tc>
        <w:tc>
          <w:tcPr>
            <w:tcW w:w="1540" w:type="dxa"/>
            <w:tcBorders>
              <w:bottom w:val="single" w:sz="12" w:space="0" w:color="auto"/>
            </w:tcBorders>
            <w:shd w:val="clear" w:color="auto" w:fill="auto"/>
          </w:tcPr>
          <w:p w:rsidR="00162D29" w:rsidRPr="002C0D65" w:rsidRDefault="00162D29" w:rsidP="00162D29">
            <w:pPr>
              <w:tabs>
                <w:tab w:val="left" w:pos="334"/>
                <w:tab w:val="left" w:pos="669"/>
                <w:tab w:val="left" w:pos="1003"/>
                <w:tab w:val="left" w:pos="1338"/>
              </w:tabs>
              <w:suppressAutoHyphens/>
              <w:spacing w:after="120" w:line="280" w:lineRule="exact"/>
              <w:ind w:right="57"/>
              <w:jc w:val="right"/>
              <w:rPr>
                <w:rFonts w:hint="eastAsia"/>
                <w:sz w:val="17"/>
                <w:szCs w:val="17"/>
              </w:rPr>
            </w:pPr>
            <w:r w:rsidRPr="002C0D65">
              <w:rPr>
                <w:rFonts w:hint="eastAsia"/>
                <w:sz w:val="17"/>
                <w:szCs w:val="17"/>
              </w:rPr>
              <w:t>87%</w:t>
            </w:r>
          </w:p>
        </w:tc>
        <w:tc>
          <w:tcPr>
            <w:tcW w:w="1820" w:type="dxa"/>
            <w:tcBorders>
              <w:bottom w:val="single" w:sz="12" w:space="0" w:color="auto"/>
            </w:tcBorders>
            <w:shd w:val="clear" w:color="auto" w:fill="auto"/>
          </w:tcPr>
          <w:p w:rsidR="00162D29" w:rsidRPr="002C0D65" w:rsidRDefault="00162D29" w:rsidP="00162D29">
            <w:pPr>
              <w:tabs>
                <w:tab w:val="left" w:pos="334"/>
                <w:tab w:val="left" w:pos="669"/>
                <w:tab w:val="left" w:pos="1003"/>
                <w:tab w:val="left" w:pos="1338"/>
              </w:tabs>
              <w:suppressAutoHyphens/>
              <w:spacing w:after="120" w:line="280" w:lineRule="exact"/>
              <w:ind w:right="57"/>
              <w:jc w:val="right"/>
              <w:rPr>
                <w:rFonts w:hint="eastAsia"/>
                <w:sz w:val="17"/>
                <w:szCs w:val="17"/>
              </w:rPr>
            </w:pPr>
            <w:r>
              <w:rPr>
                <w:rFonts w:hint="eastAsia"/>
                <w:sz w:val="17"/>
                <w:szCs w:val="17"/>
              </w:rPr>
              <w:t>84%</w:t>
            </w:r>
            <w:r w:rsidRPr="002C0D65">
              <w:rPr>
                <w:rFonts w:hint="eastAsia"/>
                <w:sz w:val="17"/>
                <w:szCs w:val="17"/>
              </w:rPr>
              <w:t>人口和健康调查</w:t>
            </w:r>
          </w:p>
        </w:tc>
        <w:tc>
          <w:tcPr>
            <w:tcW w:w="1539" w:type="dxa"/>
            <w:tcBorders>
              <w:bottom w:val="single" w:sz="12" w:space="0" w:color="auto"/>
            </w:tcBorders>
            <w:shd w:val="clear" w:color="auto" w:fill="auto"/>
          </w:tcPr>
          <w:p w:rsidR="00162D29" w:rsidRPr="002C0D65" w:rsidRDefault="00162D29" w:rsidP="00162D29">
            <w:pPr>
              <w:tabs>
                <w:tab w:val="left" w:pos="334"/>
                <w:tab w:val="left" w:pos="669"/>
                <w:tab w:val="left" w:pos="1003"/>
                <w:tab w:val="left" w:pos="1338"/>
              </w:tabs>
              <w:suppressAutoHyphens/>
              <w:spacing w:after="120" w:line="280" w:lineRule="exact"/>
              <w:ind w:right="57"/>
              <w:jc w:val="right"/>
              <w:rPr>
                <w:rFonts w:hint="eastAsia"/>
                <w:sz w:val="17"/>
                <w:szCs w:val="17"/>
              </w:rPr>
            </w:pPr>
            <w:r w:rsidRPr="002C0D65">
              <w:rPr>
                <w:rFonts w:hint="eastAsia"/>
                <w:sz w:val="17"/>
                <w:szCs w:val="17"/>
              </w:rPr>
              <w:t>86%</w:t>
            </w:r>
          </w:p>
        </w:tc>
        <w:tc>
          <w:tcPr>
            <w:tcW w:w="1581" w:type="dxa"/>
            <w:tcBorders>
              <w:bottom w:val="single" w:sz="12" w:space="0" w:color="auto"/>
            </w:tcBorders>
            <w:shd w:val="clear" w:color="auto" w:fill="auto"/>
          </w:tcPr>
          <w:p w:rsidR="00162D29" w:rsidRPr="002C0D65" w:rsidRDefault="00162D29" w:rsidP="00162D29">
            <w:pPr>
              <w:tabs>
                <w:tab w:val="left" w:pos="334"/>
                <w:tab w:val="left" w:pos="669"/>
                <w:tab w:val="left" w:pos="1003"/>
                <w:tab w:val="left" w:pos="1338"/>
              </w:tabs>
              <w:suppressAutoHyphens/>
              <w:spacing w:after="120" w:line="280" w:lineRule="exact"/>
              <w:ind w:right="57"/>
              <w:jc w:val="right"/>
              <w:rPr>
                <w:rFonts w:hint="eastAsia"/>
                <w:sz w:val="17"/>
                <w:szCs w:val="17"/>
              </w:rPr>
            </w:pPr>
            <w:r w:rsidRPr="002C0D65">
              <w:rPr>
                <w:rFonts w:hint="eastAsia"/>
                <w:sz w:val="17"/>
                <w:szCs w:val="17"/>
              </w:rPr>
              <w:t>95%/85%</w:t>
            </w:r>
          </w:p>
        </w:tc>
      </w:tr>
    </w:tbl>
    <w:p w:rsidR="00162D29" w:rsidRPr="002C0D65" w:rsidRDefault="00162D29" w:rsidP="00162D29">
      <w:pPr>
        <w:pStyle w:val="SingleTxt"/>
        <w:spacing w:after="0" w:line="120" w:lineRule="exact"/>
        <w:rPr>
          <w:rFonts w:hint="eastAsia"/>
          <w:sz w:val="10"/>
        </w:rPr>
      </w:pPr>
    </w:p>
    <w:p w:rsidR="00162D29" w:rsidRPr="002C0D65" w:rsidRDefault="00162D29" w:rsidP="00162D29">
      <w:pPr>
        <w:pStyle w:val="SingleTxt"/>
        <w:spacing w:after="0" w:line="120" w:lineRule="exact"/>
        <w:rPr>
          <w:rFonts w:hint="eastAsia"/>
          <w:sz w:val="10"/>
        </w:rPr>
      </w:pPr>
    </w:p>
    <w:p w:rsidR="00162D29" w:rsidRDefault="00162D29" w:rsidP="00162D29">
      <w:pPr>
        <w:pStyle w:val="SingleTxt"/>
        <w:rPr>
          <w:rFonts w:hint="eastAsia"/>
        </w:rPr>
      </w:pPr>
      <w:r>
        <w:rPr>
          <w:rFonts w:hint="eastAsia"/>
        </w:rPr>
        <w:t>308.　2007年人口和健康调查表明，95%的妇女接受了技能娴熟的医护人员提供的产前护理。虽然近三分之二的妇女(64.6%)就医四次或四次以上，但18.1%的妇女没有根据建议接受产前护理，17.4%人记不清就医的次数。调查表明，妇女在妊娠期第一次就医的中位数字为5.6个月，但此时已经错过尽早诊断并发症、提供治疗或防止并发症恶化的机会。参加调查的妇女中只有55%的人表示在产前护理期间获知如何识别怀孕期间的问题，特别是初为人母者(51.9%)和年龄较大、分娩存在潜在高风险的孕妇(51.8%)。</w:t>
      </w:r>
    </w:p>
    <w:p w:rsidR="00162D29" w:rsidRDefault="00162D29" w:rsidP="00162D29">
      <w:pPr>
        <w:pStyle w:val="SingleTxt"/>
        <w:rPr>
          <w:rFonts w:hint="eastAsia"/>
        </w:rPr>
      </w:pPr>
      <w:r>
        <w:rPr>
          <w:rFonts w:hint="eastAsia"/>
        </w:rPr>
        <w:t>309.　据2007年人口和健康调查报告，85%的分娩在保健设施中进行，14%的分娩在家中进行。城市妇女在保健设施内分娩的比率(94%)高于农村地区妇女(83%)。人口和健康调查显示，86%的分娩得到技能娴熟的保健人员的护理。更多的城市妇女(95%)由技术娴熟的医护人员帮助她们分娩，但农村妇女的比例较低(84%)。2010年，由技术娴熟的医护人员接生的比例约为85%。</w:t>
      </w:r>
    </w:p>
    <w:p w:rsidR="00162D29" w:rsidRDefault="00162D29" w:rsidP="00162D29">
      <w:pPr>
        <w:pStyle w:val="SingleTxt"/>
        <w:rPr>
          <w:rFonts w:hint="eastAsia"/>
        </w:rPr>
      </w:pPr>
      <w:r>
        <w:rPr>
          <w:rFonts w:hint="eastAsia"/>
        </w:rPr>
        <w:t>310.　在2007年人口和健康调查之前的五年中，超过四分之一的分娩妇女没有得到任何产后护理，57%的人是由一名医生、护士或助产士为她们进行第一次产后检查，14%的人由一名助理护士或助产士进行检查，不到2%的人由传统助产士等其他保健提供者进行检查。</w:t>
      </w:r>
    </w:p>
    <w:p w:rsidR="00162D29" w:rsidRPr="002C0D65" w:rsidRDefault="00162D29" w:rsidP="00162D29">
      <w:pPr>
        <w:pStyle w:val="SingleTxt"/>
        <w:rPr>
          <w:rFonts w:ascii="SimHei" w:eastAsia="SimHei" w:hint="eastAsia"/>
        </w:rPr>
      </w:pPr>
      <w:r w:rsidRPr="002C0D65">
        <w:rPr>
          <w:rFonts w:ascii="SimHei" w:eastAsia="SimHei" w:hint="eastAsia"/>
        </w:rPr>
        <w:t>精神卫生</w:t>
      </w:r>
    </w:p>
    <w:p w:rsidR="00162D29" w:rsidRDefault="00162D29" w:rsidP="00162D29">
      <w:pPr>
        <w:pStyle w:val="SingleTxt"/>
        <w:rPr>
          <w:rFonts w:hint="eastAsia"/>
        </w:rPr>
      </w:pPr>
      <w:r>
        <w:rPr>
          <w:rFonts w:hint="eastAsia"/>
        </w:rPr>
        <w:t>311.　尽管自1999年以来设立了国家精神卫生方案，但精神卫生没有被当作优先问题，因此，为有需求者提供的政策、资源和服务历来不足。精神病患者的护理交给了家庭、教会和非政府组织，但它们往往设备差、没有能力处理精神不适者的问题。在2010年对国家精神卫生方案进行了修订，并在2004年再次修订。</w:t>
      </w:r>
    </w:p>
    <w:p w:rsidR="00162D29" w:rsidRDefault="00162D29" w:rsidP="00162D29">
      <w:pPr>
        <w:pStyle w:val="SingleTxt"/>
        <w:rPr>
          <w:rFonts w:hint="eastAsia"/>
        </w:rPr>
      </w:pPr>
      <w:r>
        <w:rPr>
          <w:rFonts w:hint="eastAsia"/>
        </w:rPr>
        <w:t>312.　(当时的)卫生部编写了2006-2010年所罗门群岛精神卫生综合计划。该计划朝着制定国家精神卫生政策迈出了第一步，但这项政策尚待完成。由于之前没有对精神卫生问题作出承诺，因此没有统计资料和数据来协助分析所罗门群岛的精神卫生问题。2005年太平洋审查指出，只有1.4%的卫生预算用于精神卫生。</w:t>
      </w:r>
    </w:p>
    <w:p w:rsidR="00162D29" w:rsidRDefault="00162D29" w:rsidP="00162D29">
      <w:pPr>
        <w:pStyle w:val="SingleTxt"/>
        <w:rPr>
          <w:rFonts w:hint="eastAsia"/>
        </w:rPr>
      </w:pPr>
      <w:r>
        <w:rPr>
          <w:rFonts w:hint="eastAsia"/>
        </w:rPr>
        <w:t>313.　没有分列数据可以说明患精神疾病的妇女人数。2010年可得到的数据仅有被诊断患有精神疾病者的平均年龄(27.78岁)。设在马莱塔省的国家精神病院的设施非常有限。</w:t>
      </w:r>
    </w:p>
    <w:p w:rsidR="00162D29" w:rsidRDefault="00162D29" w:rsidP="00162D29">
      <w:pPr>
        <w:pStyle w:val="SingleTxt"/>
        <w:rPr>
          <w:rFonts w:hint="eastAsia"/>
        </w:rPr>
      </w:pPr>
      <w:r>
        <w:rPr>
          <w:rFonts w:hint="eastAsia"/>
        </w:rPr>
        <w:t>314.　2008年，卫生和医疗部的精神卫生服务部门共向约100名儿童和青年人提供了精神卫生和常见精神病的培训。</w:t>
      </w:r>
    </w:p>
    <w:p w:rsidR="00162D29" w:rsidRDefault="00162D29" w:rsidP="00162D29">
      <w:pPr>
        <w:pStyle w:val="SingleTxt"/>
        <w:rPr>
          <w:rFonts w:hint="eastAsia"/>
        </w:rPr>
      </w:pPr>
      <w:r>
        <w:rPr>
          <w:rFonts w:hint="eastAsia"/>
        </w:rPr>
        <w:t>315.　2007年，所罗门群岛发展信托基金完成了一项青年和精神健康状况分析，该报告提出了19项建议。这项研究报告是首次对儿童和青年精神卫生问题进行的研究。研究报告的建议是基于一套合理理由，这为不同利益攸关方之间就如何处理影响青年人(包括18岁以下的儿童)的问题提供了合作机会。这项研究记录了2007年1月至8月期间的自杀率。在这个短短的时期内，共有41人自杀，其中女性35人，男性6人。该研究报告称，这些自杀大多数发生在年轻人中，但这项研究没有提供按年龄分列的数据。该研究报告认定，滥用药物、抑郁、自杀、家庭破裂和缺乏就业和机会等问题是影响所罗门群岛青年的重大问题。除了该报告所载的数据外，没有任何数据可供说明在本报告所述期间发生的自杀数量。</w:t>
      </w:r>
    </w:p>
    <w:p w:rsidR="00162D29" w:rsidRDefault="00162D29" w:rsidP="00162D29">
      <w:pPr>
        <w:pStyle w:val="SingleTxt"/>
        <w:rPr>
          <w:rFonts w:hint="eastAsia"/>
        </w:rPr>
      </w:pPr>
      <w:r>
        <w:rPr>
          <w:rFonts w:hint="eastAsia"/>
        </w:rPr>
        <w:t>316.　所罗门群岛发展信托基金目前正在与卫生和医疗部精神卫生司以及英联邦青年方案等其他利益攸关方合作，解决与精神疾病有关的问题，并考虑采取预防性措施。</w:t>
      </w:r>
    </w:p>
    <w:p w:rsidR="00162D29" w:rsidRPr="002C0D65" w:rsidRDefault="00162D29" w:rsidP="00162D29">
      <w:pPr>
        <w:pStyle w:val="SingleTxt"/>
        <w:rPr>
          <w:rFonts w:ascii="SimHei" w:eastAsia="SimHei" w:hint="eastAsia"/>
        </w:rPr>
      </w:pPr>
      <w:r w:rsidRPr="002C0D65">
        <w:rPr>
          <w:rFonts w:ascii="SimHei" w:eastAsia="SimHei" w:hint="eastAsia"/>
        </w:rPr>
        <w:t>阻碍提供保健的因素</w:t>
      </w:r>
    </w:p>
    <w:p w:rsidR="00162D29" w:rsidRDefault="00162D29" w:rsidP="00162D29">
      <w:pPr>
        <w:pStyle w:val="SingleTxt"/>
        <w:rPr>
          <w:rFonts w:hint="eastAsia"/>
        </w:rPr>
      </w:pPr>
      <w:r>
        <w:rPr>
          <w:rFonts w:hint="eastAsia"/>
        </w:rPr>
        <w:t>317.　2007年人口和健康调查显示，就在所罗门群岛获得保健服务而言，人们最经常指出的问题是药品供应、没有女性医护人员和获得治疗资金。几乎参加2007年人口和健康调查的所有妇女(96%)表示，在获得医疗保健方面存在某些问题。最常见的问题是没有药品(89%)或没有保健提供者(85%)。</w:t>
      </w:r>
    </w:p>
    <w:p w:rsidR="00162D29" w:rsidRDefault="00162D29" w:rsidP="00162D29">
      <w:pPr>
        <w:pStyle w:val="SingleTxt"/>
        <w:rPr>
          <w:rFonts w:hint="eastAsia"/>
        </w:rPr>
      </w:pPr>
      <w:r>
        <w:rPr>
          <w:rFonts w:hint="eastAsia"/>
        </w:rPr>
        <w:t>318.　获得生殖保健服务的情况存在很大差别，因为这不仅取决于医疗设施、就诊次数和避孕用品，还取决于一系列十分棘手的的微妙因素。这些因素包括：提供隐私的程度、人们对保密度的看法、社区中其他人是否可能看到客户利用这种服务并对他们进行污名化、以及社区对各种客户及其家庭利用计划生育的态度。许多设施不能提供足够的隐私，让患者获得保密的咨询服务、检查和其他服务。此外，必要的复诊、备份和转诊系统并非总是到位，以确保向社区的男子、妇女和青年人提供高质量的护理和服务。</w:t>
      </w:r>
    </w:p>
    <w:p w:rsidR="00162D29" w:rsidRDefault="00162D29" w:rsidP="00162D29">
      <w:pPr>
        <w:pStyle w:val="SingleTxt"/>
        <w:rPr>
          <w:rFonts w:hint="eastAsia"/>
        </w:rPr>
      </w:pPr>
      <w:r>
        <w:rPr>
          <w:rFonts w:hint="eastAsia"/>
        </w:rPr>
        <w:t>319.　由于以下因素，往往很难在农村地区提供保健服务：</w:t>
      </w:r>
    </w:p>
    <w:p w:rsidR="00162D29" w:rsidRDefault="00162D29" w:rsidP="00162D29">
      <w:pPr>
        <w:pStyle w:val="SingleTxt"/>
        <w:ind w:left="2126" w:hanging="431"/>
        <w:rPr>
          <w:rFonts w:hint="eastAsia"/>
        </w:rPr>
      </w:pPr>
      <w:r>
        <w:rPr>
          <w:rFonts w:hint="eastAsia"/>
        </w:rPr>
        <w:sym w:font="Symbol" w:char="F0B7"/>
      </w:r>
      <w:r>
        <w:tab/>
      </w:r>
      <w:r>
        <w:rPr>
          <w:rFonts w:hint="eastAsia"/>
        </w:rPr>
        <w:t>农村具有偏远、地域分散的性质；</w:t>
      </w:r>
    </w:p>
    <w:p w:rsidR="00162D29" w:rsidRDefault="00162D29" w:rsidP="00162D29">
      <w:pPr>
        <w:pStyle w:val="SingleTxt"/>
        <w:ind w:left="2126" w:hanging="431"/>
        <w:rPr>
          <w:rFonts w:hint="eastAsia"/>
        </w:rPr>
      </w:pPr>
      <w:r>
        <w:rPr>
          <w:rFonts w:hint="eastAsia"/>
        </w:rPr>
        <w:sym w:font="Symbol" w:char="F0B7"/>
      </w:r>
      <w:r>
        <w:tab/>
      </w:r>
      <w:r>
        <w:rPr>
          <w:rFonts w:hint="eastAsia"/>
        </w:rPr>
        <w:t>缺乏受过训练的人员；</w:t>
      </w:r>
    </w:p>
    <w:p w:rsidR="00162D29" w:rsidRDefault="00162D29" w:rsidP="00162D29">
      <w:pPr>
        <w:pStyle w:val="SingleTxt"/>
        <w:ind w:left="2126" w:hanging="431"/>
        <w:rPr>
          <w:rFonts w:hint="eastAsia"/>
        </w:rPr>
      </w:pPr>
      <w:r>
        <w:rPr>
          <w:rFonts w:hint="eastAsia"/>
        </w:rPr>
        <w:sym w:font="Symbol" w:char="F0B7"/>
      </w:r>
      <w:r>
        <w:tab/>
      </w:r>
      <w:r>
        <w:rPr>
          <w:rFonts w:hint="eastAsia"/>
        </w:rPr>
        <w:t>交通和通信基础设施薄弱；</w:t>
      </w:r>
    </w:p>
    <w:p w:rsidR="00162D29" w:rsidRDefault="00162D29" w:rsidP="00162D29">
      <w:pPr>
        <w:pStyle w:val="SingleTxt"/>
        <w:ind w:left="2126" w:hanging="431"/>
        <w:rPr>
          <w:rFonts w:hint="eastAsia"/>
        </w:rPr>
      </w:pPr>
      <w:r>
        <w:rPr>
          <w:rFonts w:hint="eastAsia"/>
        </w:rPr>
        <w:sym w:font="Symbol" w:char="F0B7"/>
      </w:r>
      <w:r>
        <w:tab/>
      </w:r>
      <w:r>
        <w:rPr>
          <w:rFonts w:hint="eastAsia"/>
        </w:rPr>
        <w:t>财政资源有限；</w:t>
      </w:r>
    </w:p>
    <w:p w:rsidR="00162D29" w:rsidRDefault="00162D29" w:rsidP="00162D29">
      <w:pPr>
        <w:pStyle w:val="SingleTxt"/>
        <w:ind w:left="2126" w:hanging="431"/>
        <w:rPr>
          <w:rFonts w:hint="eastAsia"/>
        </w:rPr>
      </w:pPr>
      <w:r>
        <w:rPr>
          <w:rFonts w:hint="eastAsia"/>
        </w:rPr>
        <w:sym w:font="Symbol" w:char="F0B7"/>
      </w:r>
      <w:r>
        <w:tab/>
      </w:r>
      <w:r>
        <w:rPr>
          <w:rFonts w:hint="eastAsia"/>
        </w:rPr>
        <w:t>缺乏可提供的信息。</w:t>
      </w:r>
    </w:p>
    <w:p w:rsidR="00162D29" w:rsidRDefault="00162D29" w:rsidP="00162D29">
      <w:pPr>
        <w:pStyle w:val="SingleTxt"/>
        <w:rPr>
          <w:rFonts w:hint="eastAsia"/>
        </w:rPr>
      </w:pPr>
      <w:r>
        <w:rPr>
          <w:rFonts w:hint="eastAsia"/>
        </w:rPr>
        <w:t>320.　只有30%的人口住在与最近的医疗诊所距离不到三公里的地方。由于大部分所罗门群岛居民居住在村庄中，而这些村庄又分散在众多岛屿上，因此很难向偏远地区和外岛提供具有成本效益的保健服务。</w:t>
      </w:r>
    </w:p>
    <w:p w:rsidR="00000133" w:rsidRPr="00000133" w:rsidRDefault="00000133" w:rsidP="00000133">
      <w:pPr>
        <w:pStyle w:val="SingleTxt"/>
        <w:rPr>
          <w:rFonts w:ascii="SimHei" w:eastAsia="SimHei" w:hint="eastAsia"/>
          <w:sz w:val="24"/>
          <w:szCs w:val="24"/>
        </w:rPr>
      </w:pPr>
      <w:r w:rsidRPr="00000133">
        <w:rPr>
          <w:rFonts w:ascii="SimHei" w:eastAsia="SimHei" w:hint="eastAsia"/>
          <w:sz w:val="24"/>
          <w:szCs w:val="24"/>
        </w:rPr>
        <w:t>第13条：经济和社会福利</w:t>
      </w:r>
    </w:p>
    <w:p w:rsidR="00000133" w:rsidRPr="004D7FEB" w:rsidRDefault="00000133" w:rsidP="00000133">
      <w:pPr>
        <w:pStyle w:val="SingleTxt"/>
        <w:rPr>
          <w:rFonts w:ascii="SimHei" w:eastAsia="SimHei" w:hint="eastAsia"/>
        </w:rPr>
      </w:pPr>
      <w:r w:rsidRPr="004D7FEB">
        <w:rPr>
          <w:rFonts w:ascii="SimHei" w:eastAsia="SimHei" w:hint="eastAsia"/>
        </w:rPr>
        <w:t>法律背景</w:t>
      </w:r>
    </w:p>
    <w:p w:rsidR="00000133" w:rsidRDefault="00000133" w:rsidP="00000133">
      <w:pPr>
        <w:pStyle w:val="SingleTxt"/>
        <w:rPr>
          <w:rFonts w:hint="eastAsia"/>
        </w:rPr>
      </w:pPr>
      <w:r>
        <w:rPr>
          <w:rFonts w:hint="eastAsia"/>
        </w:rPr>
        <w:t>321.　所罗门群岛的主要正规社会保障制度是1976年《所罗门群岛国家储备基金法》设立的所罗门群岛国家储备基金。其他正规社会保障制度包括议员、宪法规定职位任职者和一些教会工作人员的养恤金。“wantok”</w:t>
      </w:r>
      <w:r>
        <w:rPr>
          <w:rStyle w:val="FootnoteReference"/>
        </w:rPr>
        <w:footnoteReference w:id="55"/>
      </w:r>
      <w:r>
        <w:t xml:space="preserve"> </w:t>
      </w:r>
      <w:r>
        <w:rPr>
          <w:rFonts w:hint="eastAsia"/>
        </w:rPr>
        <w:t>制度是主要的社区非正规社会保障制度。</w:t>
      </w:r>
    </w:p>
    <w:p w:rsidR="00000133" w:rsidRDefault="00000133" w:rsidP="00000133">
      <w:pPr>
        <w:pStyle w:val="SingleTxt"/>
        <w:rPr>
          <w:rFonts w:hint="eastAsia"/>
        </w:rPr>
      </w:pPr>
      <w:r>
        <w:rPr>
          <w:rFonts w:hint="eastAsia"/>
        </w:rPr>
        <w:t>322.　没有阻碍妇女获得银行贷款、抵押贷款和金融信贷的法律障碍。也没有阻止妇女参加娱乐活动、体育运动和文化生活的法律障碍。</w:t>
      </w:r>
    </w:p>
    <w:p w:rsidR="00000133" w:rsidRPr="004D7FEB" w:rsidRDefault="00000133" w:rsidP="00000133">
      <w:pPr>
        <w:pStyle w:val="SingleTxt"/>
        <w:rPr>
          <w:rFonts w:ascii="SimHei" w:eastAsia="SimHei" w:hint="eastAsia"/>
        </w:rPr>
      </w:pPr>
      <w:r w:rsidRPr="004D7FEB">
        <w:rPr>
          <w:rFonts w:ascii="SimHei" w:eastAsia="SimHei" w:hint="eastAsia"/>
        </w:rPr>
        <w:t>所罗门群岛国家储备基金</w:t>
      </w:r>
    </w:p>
    <w:p w:rsidR="00000133" w:rsidRDefault="00000133" w:rsidP="00000133">
      <w:pPr>
        <w:pStyle w:val="SingleTxt"/>
        <w:rPr>
          <w:rFonts w:hint="eastAsia"/>
        </w:rPr>
      </w:pPr>
      <w:r>
        <w:rPr>
          <w:rFonts w:hint="eastAsia"/>
        </w:rPr>
        <w:t>323.　根据《所罗门群岛国家储备基金法》，雇主的强制性缴款占7.5%，雇员最少缴款5%，最多缴款20%。该法在很大程度上涵盖正规部门雇员。雇员和雇主有义务向该基金缴款。所罗门群岛国家储备基金福利金可在年满50岁或死亡、丧失能力或永久移民的情况下领取。还可以在被解雇或年满40岁和出具永久性工作离职证明的情况下部分或全部领取。2005年，所罗门群岛国家储备基金共有65 089名成员，其中70%是男子，30%是妇女。2008年6月，所罗门群岛国家储备基金共记录了135 960名成员的存款余额，其中73%的成员是男性，27%的成员是女性。2010年，72%的成员为男性，28%为女性。向所罗门群岛国家储备基金缴款并成为成员的雇员人数逐年增加。然而，2005-2010年期间女性成员的人数没有增加，这是因为妇女更有可能从事非正规工作，或者从事不属于所罗门群岛国家储备基金规定范围内的工作。自营职业者和失业者可选择加入所罗门群岛国家储备基金。</w:t>
      </w:r>
    </w:p>
    <w:p w:rsidR="00000133" w:rsidRPr="004D7FEB" w:rsidRDefault="00000133" w:rsidP="00000133">
      <w:pPr>
        <w:pStyle w:val="SingleTxt"/>
        <w:rPr>
          <w:rFonts w:ascii="SimHei" w:eastAsia="SimHei" w:hint="eastAsia"/>
        </w:rPr>
      </w:pPr>
      <w:r w:rsidRPr="004D7FEB">
        <w:rPr>
          <w:rFonts w:ascii="SimHei" w:eastAsia="SimHei" w:hint="eastAsia"/>
        </w:rPr>
        <w:t>妇女与经济</w:t>
      </w:r>
    </w:p>
    <w:p w:rsidR="00000133" w:rsidRDefault="00000133" w:rsidP="00000133">
      <w:pPr>
        <w:pStyle w:val="SingleTxt"/>
        <w:rPr>
          <w:rFonts w:hint="eastAsia"/>
        </w:rPr>
      </w:pPr>
      <w:r>
        <w:rPr>
          <w:rFonts w:hint="eastAsia"/>
        </w:rPr>
        <w:t>324.　人口和健康调查表明，一半以上(56.1%)受雇妇女的工作得不到现金或实物报酬，加剧了这些妇女的经济脆弱性。</w:t>
      </w:r>
    </w:p>
    <w:p w:rsidR="00000133" w:rsidRDefault="00000133" w:rsidP="00000133">
      <w:pPr>
        <w:pStyle w:val="SingleTxt"/>
        <w:rPr>
          <w:rFonts w:hint="eastAsia"/>
        </w:rPr>
      </w:pPr>
      <w:r>
        <w:rPr>
          <w:rFonts w:hint="eastAsia"/>
        </w:rPr>
        <w:t>325.　2007年北韦拉选区报告——妇女状况报告——指出，由于缺乏创收活动、缺乏市场、无法获得银行和信贷设施，妇女经济地位的提高受到限制。</w:t>
      </w:r>
    </w:p>
    <w:p w:rsidR="00000133" w:rsidRDefault="00000133" w:rsidP="00000133">
      <w:pPr>
        <w:pStyle w:val="SingleTxt"/>
        <w:rPr>
          <w:rFonts w:hint="eastAsia"/>
        </w:rPr>
      </w:pPr>
      <w:r>
        <w:rPr>
          <w:rFonts w:hint="eastAsia"/>
        </w:rPr>
        <w:t>326.　妇女尽管在正规经济中没有发挥重要作用，但在非正规经济中发挥主要作用。世界银行最近的一份报告估计，霍尼亚拉中央市场的年营业额在1 000万至1 600万美元之间，妇女从事这些销售活动的90%，是农民的大买家，也是零售商。</w:t>
      </w:r>
    </w:p>
    <w:p w:rsidR="00000133" w:rsidRPr="004D7FEB" w:rsidRDefault="00000133" w:rsidP="00000133">
      <w:pPr>
        <w:pStyle w:val="SingleTxt"/>
        <w:rPr>
          <w:rFonts w:ascii="SimHei" w:eastAsia="SimHei" w:hint="eastAsia"/>
        </w:rPr>
      </w:pPr>
      <w:r>
        <w:rPr>
          <w:rFonts w:ascii="SimHei" w:eastAsia="SimHei"/>
        </w:rPr>
        <w:br w:type="page"/>
      </w:r>
      <w:r w:rsidRPr="004D7FEB">
        <w:rPr>
          <w:rFonts w:ascii="SimHei" w:eastAsia="SimHei" w:hint="eastAsia"/>
        </w:rPr>
        <w:t>政府的政策和举措</w:t>
      </w:r>
    </w:p>
    <w:p w:rsidR="00000133" w:rsidRDefault="00000133" w:rsidP="00000133">
      <w:pPr>
        <w:pStyle w:val="SingleTxt"/>
        <w:rPr>
          <w:rFonts w:hint="eastAsia"/>
        </w:rPr>
      </w:pPr>
      <w:r>
        <w:rPr>
          <w:rFonts w:hint="eastAsia"/>
        </w:rPr>
        <w:t>327.　为了表明对农村发展的承诺，所罗门群岛政府在2007年设立了农村发展与土著商业事务部。该部的政策目标是各省农村进步，改善省、社区和村庄的能力，同时考虑到每省不同的多样性、动态和特性。该部的预算在2009年至2010年期间增加了。土著商业司参与在农村地区开办创业和简单簿记培训班。妇女正在参加这些培训班，但大多数参加者是男子。该司还为小企业方案提供援助。没有关于这一方案申请人的分类数据。</w:t>
      </w:r>
    </w:p>
    <w:p w:rsidR="00000133" w:rsidRDefault="00000133" w:rsidP="00000133">
      <w:pPr>
        <w:pStyle w:val="SingleTxt"/>
        <w:rPr>
          <w:rFonts w:hint="eastAsia"/>
        </w:rPr>
      </w:pPr>
      <w:r>
        <w:rPr>
          <w:rFonts w:hint="eastAsia"/>
        </w:rPr>
        <w:t>328.　为了表明对平等提供经济惠益的承诺，所罗门群岛政府制定了《2008-2010年中期发展战略计划》。该战略认识到，由于大多数人生活在农村，妇女发展将有助于实现满足农村社区人民基本需要的国家目标，并确保其生活水平的真正提高。《2008-2010年中期发展战略》现已纳入《2011-2020年所罗门群岛国家发展战略》。</w:t>
      </w:r>
    </w:p>
    <w:p w:rsidR="00000133" w:rsidRDefault="00000133" w:rsidP="00000133">
      <w:pPr>
        <w:pStyle w:val="SingleTxt"/>
        <w:rPr>
          <w:rFonts w:hint="eastAsia"/>
        </w:rPr>
      </w:pPr>
      <w:r>
        <w:rPr>
          <w:rFonts w:hint="eastAsia"/>
        </w:rPr>
        <w:t>329.　妇女、青年、儿童和家庭事务部认识到农村妇女的经济贡献的重要性，最近寻求并获得发展伙伴的援助，进行妇女经济地位的范围界定。这项工作将有助于所罗门群岛政府确定和注重在经济活动中改善妇女生活的优先领域。这项工作已经完成。为了解决积压的土地争端，并增进男女平等，所罗门群岛政府目前正在协商《2012年部落土地争端解决小组法案》。该法的目的是在土地争端解决程序中纳入其他争议解决办法特别是调解，以鼓励各方达成协议，并将习俗纳入争端裁决。目前的法律草案提议，审议任何争端的小组由三人组成，其中至少一人必须是妇女。该法案直接企图将妇女纳入土地管理进程。法案的一份草案已得到内阁批准。目前正在就该法案进行协商。预计该法案将于2013年年中在议会提出。</w:t>
      </w:r>
      <w:r>
        <w:rPr>
          <w:rStyle w:val="FootnoteReference"/>
        </w:rPr>
        <w:footnoteReference w:id="56"/>
      </w:r>
    </w:p>
    <w:p w:rsidR="00000133" w:rsidRPr="004D7FEB" w:rsidRDefault="00000133" w:rsidP="00000133">
      <w:pPr>
        <w:pStyle w:val="SingleTxt"/>
        <w:rPr>
          <w:rFonts w:ascii="SimHei" w:eastAsia="SimHei" w:hint="eastAsia"/>
        </w:rPr>
      </w:pPr>
      <w:r w:rsidRPr="004D7FEB">
        <w:rPr>
          <w:rFonts w:ascii="SimHei" w:eastAsia="SimHei" w:hint="eastAsia"/>
        </w:rPr>
        <w:t>妇女和土地</w:t>
      </w:r>
    </w:p>
    <w:p w:rsidR="00000133" w:rsidRDefault="00000133" w:rsidP="00000133">
      <w:pPr>
        <w:pStyle w:val="SingleTxt"/>
        <w:rPr>
          <w:rFonts w:hint="eastAsia"/>
        </w:rPr>
      </w:pPr>
      <w:r>
        <w:rPr>
          <w:rFonts w:hint="eastAsia"/>
        </w:rPr>
        <w:t>330.　尽管在一些母系社会由妇女继承习惯土地，但习惯土地管理的决定几乎总是由男子作出。</w:t>
      </w:r>
      <w:r>
        <w:rPr>
          <w:rStyle w:val="FootnoteReference"/>
        </w:rPr>
        <w:footnoteReference w:id="57"/>
      </w:r>
      <w:r>
        <w:t xml:space="preserve"> </w:t>
      </w:r>
      <w:r>
        <w:rPr>
          <w:rFonts w:hint="eastAsia"/>
        </w:rPr>
        <w:t>商业经营者在寻求土地使用权时认为男性酋长是应找的相关守护者。</w:t>
      </w:r>
      <w:r>
        <w:rPr>
          <w:rStyle w:val="FootnoteReference"/>
        </w:rPr>
        <w:footnoteReference w:id="58"/>
      </w:r>
      <w:r>
        <w:t xml:space="preserve"> </w:t>
      </w:r>
      <w:r>
        <w:rPr>
          <w:rFonts w:hint="eastAsia"/>
        </w:rPr>
        <w:t>因此，妇女在土地用于经济目的方面很少得到经济利益。使妇女有更多机会获得和分享生产性资源、如土地及其产生的收入，将大大促进提高妇女的经济地位和减少贫穷。这点已经得到性别平等和妇女发展政策的承认，其成果2是提高妇女的经济地位。要实现这一成果，必须制定政策和方案，让妇女参与自然资源开发和管理；改善获得和拥有土地、资源和发展的机会；并改善各部门妇女的就业和商业机会。</w:t>
      </w:r>
    </w:p>
    <w:p w:rsidR="00000133" w:rsidRPr="004D7FEB" w:rsidRDefault="00000133" w:rsidP="00000133">
      <w:pPr>
        <w:pStyle w:val="SingleTxt"/>
        <w:rPr>
          <w:rFonts w:ascii="SimHei" w:eastAsia="SimHei" w:hint="eastAsia"/>
        </w:rPr>
      </w:pPr>
      <w:r w:rsidRPr="004D7FEB">
        <w:rPr>
          <w:rFonts w:ascii="SimHei" w:eastAsia="SimHei" w:hint="eastAsia"/>
        </w:rPr>
        <w:t>获得信贷</w:t>
      </w:r>
    </w:p>
    <w:p w:rsidR="00000133" w:rsidRDefault="00000133" w:rsidP="00000133">
      <w:pPr>
        <w:pStyle w:val="SingleTxt"/>
        <w:rPr>
          <w:rFonts w:hint="eastAsia"/>
        </w:rPr>
      </w:pPr>
      <w:r>
        <w:rPr>
          <w:rFonts w:hint="eastAsia"/>
        </w:rPr>
        <w:t>331.　信用社注册办公室和中央银行通过支持所罗门群岛信用社联盟，支持并促进所罗门群岛的信用社运动。</w:t>
      </w:r>
    </w:p>
    <w:p w:rsidR="00000133" w:rsidRDefault="00000133" w:rsidP="00000133">
      <w:pPr>
        <w:pStyle w:val="SingleTxt"/>
        <w:rPr>
          <w:rFonts w:hint="eastAsia"/>
        </w:rPr>
      </w:pPr>
      <w:r>
        <w:rPr>
          <w:rFonts w:hint="eastAsia"/>
        </w:rPr>
        <w:t>332.　银行服务在农村地区非常有限。只是霍尼亚拉才有多种商业银行和金融机构。凡是没有护照或驾照等正式身份证的妇女不能开设账户，因此不能获得商业信贷或贷款。在只有银行代理机构的省份，如伊萨贝尔省，是不能开设账户的。人们需要前往霍尼亚拉开设账户。银行不会向没有担保或正式身份的小农场主或村民贷款。传闻表明，既便妇女符合所有资格标准，她们也被视为具有极大的信用风险；妇女在申请过程中经历了莫名其妙的长期拖延，或者被要求提供男性担保人。农村妇女更不可能获得贷款和信贷。</w:t>
      </w:r>
    </w:p>
    <w:p w:rsidR="00000133" w:rsidRDefault="00000133" w:rsidP="00000133">
      <w:pPr>
        <w:pStyle w:val="SingleTxt"/>
        <w:rPr>
          <w:rFonts w:hint="eastAsia"/>
        </w:rPr>
      </w:pPr>
      <w:r>
        <w:rPr>
          <w:rFonts w:hint="eastAsia"/>
        </w:rPr>
        <w:t>333.　若干妇女组织认识到，有必要帮助妇女控制其商业资产。大多数妇女从事贸易活动，在当地的市场上销售货物。一个例子是1999年设立的Rokotanikeni协会，其主要重点是增强马莱塔省West Arere妇女的经济权能。该协会经营一项非常成功的信贷计划，在2012年发表了一个出版物，载有与储蓄、经营信用计划和其他商业业务领域相关的信息。所罗门群岛妇女商业协会经营了一个成功的信用社，有98名成员。信用计划的主要优势是可以存款，尽管也向成员提供一些信贷。</w:t>
      </w:r>
    </w:p>
    <w:p w:rsidR="00000133" w:rsidRDefault="00000133" w:rsidP="00000133">
      <w:pPr>
        <w:pStyle w:val="SingleTxt"/>
        <w:rPr>
          <w:rFonts w:hint="eastAsia"/>
        </w:rPr>
      </w:pPr>
      <w:r>
        <w:rPr>
          <w:rFonts w:hint="eastAsia"/>
        </w:rPr>
        <w:t>334.　确认对妇女进入商业和获得经济赋权与发展，有相当大的法律法规限制。研究还发现，需要实行适当的商业执照费和程序，让经商妇女有机会使其生意正规化，从而能够利用信贷和其他措施扩大生意。</w:t>
      </w:r>
      <w:r>
        <w:rPr>
          <w:rStyle w:val="FootnoteReference"/>
        </w:rPr>
        <w:footnoteReference w:id="59"/>
      </w:r>
    </w:p>
    <w:p w:rsidR="00000133" w:rsidRPr="004D7FEB" w:rsidRDefault="00000133" w:rsidP="00000133">
      <w:pPr>
        <w:pStyle w:val="SingleTxt"/>
        <w:rPr>
          <w:rFonts w:ascii="SimHei" w:eastAsia="SimHei" w:hint="eastAsia"/>
        </w:rPr>
      </w:pPr>
      <w:r w:rsidRPr="004D7FEB">
        <w:rPr>
          <w:rFonts w:ascii="SimHei" w:eastAsia="SimHei" w:hint="eastAsia"/>
        </w:rPr>
        <w:t>妇女参与商业</w:t>
      </w:r>
    </w:p>
    <w:p w:rsidR="00000133" w:rsidRDefault="00000133" w:rsidP="00000133">
      <w:pPr>
        <w:pStyle w:val="SingleTxt"/>
        <w:rPr>
          <w:rFonts w:hint="eastAsia"/>
        </w:rPr>
      </w:pPr>
      <w:r>
        <w:rPr>
          <w:rFonts w:hint="eastAsia"/>
        </w:rPr>
        <w:t>335.　所罗门群岛妇女商业协会主要代表在霍尼亚拉的有薪酬和自营职业的妇女。它的主要作用是提供一个可建立网络的论坛，它没有重要的宣传作用，尽管派一名代表参加商业法和行政改革指导委员会。商业法和行政改革指导委员会的任务是在以下方面为商业、工业和就业部部长及财政和国库部部长提供指导和咨询：在所罗门群岛实施务实改革，以加强商业相关法律和产权，并尽可能迅速和有效地减少商业合规时间和费用。所罗门群岛妇女商业协会也是所罗门群岛商会的成员。后者将宣传视为其关键作用之一，提供公共部门和私营部门之间的联系。不过，所罗门群岛大多数女商人是小农和买卖人，其利益在私营部门的代表是有限的。</w:t>
      </w:r>
      <w:r>
        <w:rPr>
          <w:rStyle w:val="FootnoteReference"/>
        </w:rPr>
        <w:footnoteReference w:id="60"/>
      </w:r>
    </w:p>
    <w:p w:rsidR="00000133" w:rsidRDefault="00000133" w:rsidP="00000133">
      <w:pPr>
        <w:pStyle w:val="SingleTxt"/>
        <w:rPr>
          <w:rFonts w:hint="eastAsia"/>
        </w:rPr>
      </w:pPr>
      <w:r>
        <w:rPr>
          <w:rFonts w:hint="eastAsia"/>
        </w:rPr>
        <w:t>336.　商业部和财政部目前没有开展任何旨在改善妇女投资环境的活动。目前所罗门群岛大多数妇女没有正式的企业。绝大多数公司、商业名称或企业许可证持有人的注册是男子拥有的企业。</w:t>
      </w:r>
      <w:r>
        <w:rPr>
          <w:rStyle w:val="FootnoteReference"/>
        </w:rPr>
        <w:footnoteReference w:id="61"/>
      </w:r>
      <w:r>
        <w:t xml:space="preserve"> </w:t>
      </w:r>
      <w:r>
        <w:rPr>
          <w:rFonts w:hint="eastAsia"/>
        </w:rPr>
        <w:t>妇女主要是在非正式的基础上经营自己的企业。</w:t>
      </w:r>
    </w:p>
    <w:p w:rsidR="00000133" w:rsidRDefault="00000133" w:rsidP="00000133">
      <w:pPr>
        <w:pStyle w:val="SingleTxt"/>
        <w:rPr>
          <w:rFonts w:hint="eastAsia"/>
        </w:rPr>
      </w:pPr>
      <w:r>
        <w:rPr>
          <w:rFonts w:hint="eastAsia"/>
        </w:rPr>
        <w:t>337.　由于识字率低、缺乏财政资源和受教育程度低，妇女在经营企业方面面临重大挑战。男性支配的文化也不鼓励妇女搞正规的企业，其表现是注册企业名称的妇女人数很少。2008年，在注册的772个企业名称中，只有3、4个是妇女注册的。同样，在公司注册方面，在该年注册的157个公司中，绝大多数有男性股东和董事。</w:t>
      </w:r>
    </w:p>
    <w:p w:rsidR="00000133" w:rsidRDefault="00000133" w:rsidP="00000133">
      <w:pPr>
        <w:pStyle w:val="SingleTxt"/>
        <w:rPr>
          <w:rFonts w:hint="eastAsia"/>
        </w:rPr>
      </w:pPr>
      <w:r>
        <w:rPr>
          <w:rFonts w:hint="eastAsia"/>
        </w:rPr>
        <w:t>338.　商会有120多名成员。它还有40名名誉成员，这些名誉成员是开发署供资的一个讲习班所赞助的青年企业家，其中12人是妇女。</w:t>
      </w:r>
    </w:p>
    <w:p w:rsidR="00000133" w:rsidRPr="00000133" w:rsidRDefault="00000133" w:rsidP="00000133">
      <w:pPr>
        <w:pStyle w:val="SingleTxt"/>
        <w:rPr>
          <w:rFonts w:ascii="SimHei" w:eastAsia="SimHei" w:hint="eastAsia"/>
          <w:sz w:val="24"/>
          <w:szCs w:val="24"/>
        </w:rPr>
      </w:pPr>
      <w:r w:rsidRPr="00000133">
        <w:rPr>
          <w:rFonts w:ascii="SimHei" w:eastAsia="SimHei" w:hint="eastAsia"/>
          <w:sz w:val="24"/>
          <w:szCs w:val="24"/>
        </w:rPr>
        <w:t>第14条：农村妇女</w:t>
      </w:r>
    </w:p>
    <w:p w:rsidR="00000133" w:rsidRPr="004D7FEB" w:rsidRDefault="00000133" w:rsidP="00000133">
      <w:pPr>
        <w:pStyle w:val="SingleTxt"/>
        <w:rPr>
          <w:rFonts w:ascii="SimHei" w:eastAsia="SimHei" w:hint="eastAsia"/>
        </w:rPr>
      </w:pPr>
      <w:r w:rsidRPr="004D7FEB">
        <w:rPr>
          <w:rFonts w:ascii="SimHei" w:eastAsia="SimHei" w:hint="eastAsia"/>
        </w:rPr>
        <w:t>法律背景</w:t>
      </w:r>
    </w:p>
    <w:p w:rsidR="00000133" w:rsidRDefault="00000133" w:rsidP="00000133">
      <w:pPr>
        <w:pStyle w:val="SingleTxt"/>
        <w:rPr>
          <w:rFonts w:hint="eastAsia"/>
        </w:rPr>
      </w:pPr>
      <w:r>
        <w:rPr>
          <w:rFonts w:hint="eastAsia"/>
        </w:rPr>
        <w:t>339.　尽管大多数人口生活在农村地区和外岛，却没有法律规定为推动农村妇女的实质性平等采取特别措施。</w:t>
      </w:r>
    </w:p>
    <w:p w:rsidR="00000133" w:rsidRPr="004D7FEB" w:rsidRDefault="00000133" w:rsidP="00000133">
      <w:pPr>
        <w:pStyle w:val="SingleTxt"/>
        <w:rPr>
          <w:rFonts w:ascii="SimHei" w:eastAsia="SimHei" w:hint="eastAsia"/>
        </w:rPr>
      </w:pPr>
      <w:r w:rsidRPr="004D7FEB">
        <w:rPr>
          <w:rFonts w:ascii="SimHei" w:eastAsia="SimHei" w:hint="eastAsia"/>
        </w:rPr>
        <w:t>农村地区妇女</w:t>
      </w:r>
    </w:p>
    <w:p w:rsidR="00000133" w:rsidRDefault="00000133" w:rsidP="00000133">
      <w:pPr>
        <w:pStyle w:val="SingleTxt"/>
        <w:rPr>
          <w:rFonts w:hint="eastAsia"/>
        </w:rPr>
      </w:pPr>
      <w:r>
        <w:rPr>
          <w:rFonts w:hint="eastAsia"/>
        </w:rPr>
        <w:t>340.　大多数妇女生活在农村地区。2009年人口普查报告称，总人口为515 870人，其中251 415人是妇女。据报，在这些妇女中，203 095人生活在农村地区，48 320人生活在城市地区。根据2009年人口普查，约81%的妇女生活在农村地区。农村妇女的状况受到通常不包含平等原则的习惯法和社会约束因素的影响。农村家庭往往很大，包括许多儿童和老人。这对作为家庭主要照顾者的妇女提出很高要求。</w:t>
      </w:r>
    </w:p>
    <w:p w:rsidR="00000133" w:rsidRPr="004D7FEB" w:rsidRDefault="00000133" w:rsidP="00000133">
      <w:pPr>
        <w:pStyle w:val="SingleTxt"/>
        <w:rPr>
          <w:rFonts w:ascii="SimHei" w:eastAsia="SimHei" w:hint="eastAsia"/>
        </w:rPr>
      </w:pPr>
      <w:r w:rsidRPr="004D7FEB">
        <w:rPr>
          <w:rFonts w:ascii="SimHei" w:eastAsia="SimHei" w:hint="eastAsia"/>
        </w:rPr>
        <w:t>政府的政策和倡议</w:t>
      </w:r>
    </w:p>
    <w:p w:rsidR="00000133" w:rsidRDefault="00000133" w:rsidP="00000133">
      <w:pPr>
        <w:pStyle w:val="SingleTxt"/>
        <w:rPr>
          <w:rFonts w:hint="eastAsia"/>
        </w:rPr>
      </w:pPr>
      <w:r>
        <w:rPr>
          <w:rFonts w:hint="eastAsia"/>
        </w:rPr>
        <w:t>341.　为了表明对农村妇女的承诺，所罗门群岛政府制定了《2008-2010年中期发展战略》。该战略认识到，由于大多数人生活在农村社区，妇女的发展将有助于实现满足农村社区人民基本需要的国家目标，并确保真正提高他们的生活水平。</w:t>
      </w:r>
    </w:p>
    <w:p w:rsidR="00000133" w:rsidRDefault="00000133" w:rsidP="00000133">
      <w:pPr>
        <w:pStyle w:val="SingleTxt"/>
        <w:rPr>
          <w:rFonts w:hint="eastAsia"/>
        </w:rPr>
      </w:pPr>
      <w:r>
        <w:rPr>
          <w:rFonts w:hint="eastAsia"/>
        </w:rPr>
        <w:t>342.　农业部认识到妇女在农业方面的关键作用，设立了一个妇女推广司。该司是在1993年设立的，资金来自发展伙伴，其关键活动是为农村女农民提供有关粮食生产和粮食安全的培训。该司开始时只有两名官员，现在人员配备已增至33名官员，安置在所有9个省份。该司还对其工作人员进行重要的能力建设，以便通过他们向农村妇女传授技术与知识。工作人员在所罗门群岛高等教育学院在职学习，获得应用农业科学文凭。妇女推广司2012年有发展预算250万所罗门元，用于实施培训和创收项目补助金。</w:t>
      </w:r>
    </w:p>
    <w:p w:rsidR="00000133" w:rsidRDefault="00000133" w:rsidP="00000133">
      <w:pPr>
        <w:pStyle w:val="SingleTxt"/>
        <w:rPr>
          <w:rFonts w:hint="eastAsia"/>
        </w:rPr>
      </w:pPr>
      <w:r>
        <w:rPr>
          <w:rFonts w:hint="eastAsia"/>
        </w:rPr>
        <w:t>343.　妇女、青年、儿童和家庭事务部妇女发展司是政府妇女问题协调中心。培训与宣传是该司的核心职能。在培训方面，妇女发展司负责提供社区一级的妇女技能培训。性别平等和妇女发展政策的关键组成部分之一，是通过技能培训和教育意识增强妇女的权能。</w:t>
      </w:r>
    </w:p>
    <w:p w:rsidR="00000133" w:rsidRDefault="00000133" w:rsidP="00000133">
      <w:pPr>
        <w:pStyle w:val="SingleTxt"/>
        <w:rPr>
          <w:rFonts w:hint="eastAsia"/>
        </w:rPr>
      </w:pPr>
      <w:r>
        <w:rPr>
          <w:rFonts w:hint="eastAsia"/>
        </w:rPr>
        <w:t>344.　妇女发展司向各种农村妇女团体提供培训和财政援助。2007年举办了4个省级讲习班，涵盖《消除对妇女歧视公约》、人权和消除对妇女的暴力行为等议题。总共向全国和省级妇女团体提供了7笔财政援助赠款，用于协助开办培训讲习班。这些团体包括国家妇女理事会、南海福音会全国妇女主管办公室、西部省妇女理事会和基督复临安息日教会的妇女和儿童部。2007年，妇女发展司能够通过为小型创收活动提供财政援助，协助农村和城市妇女团体，其中包括资助泰莫图省的Tanigili妇女团体实施一个缝纫项目、拉纳尔和贝罗纳省的Tegano妇女团体实施一个缝纫项目、瓜达尔卡纳尔省的Nona妇女团体实施一个家禽项目、以及中央省的Uri妇女团体实施一个渔业项目。</w:t>
      </w:r>
    </w:p>
    <w:p w:rsidR="00000133" w:rsidRDefault="00000133" w:rsidP="00000133">
      <w:pPr>
        <w:pStyle w:val="SingleTxt"/>
        <w:rPr>
          <w:rFonts w:hint="eastAsia"/>
        </w:rPr>
      </w:pPr>
      <w:r>
        <w:rPr>
          <w:rFonts w:hint="eastAsia"/>
        </w:rPr>
        <w:t>345.　2007年，妇女发展司在发展伙伴的协助下，协助4名农村妇女(2名来自马莱塔省、2名来自泰莫图省) 出席在斐济举行的为期7个月的社区发展培训方案。这些妇女获得了各种各样的技能之后，在其社区乃至在其省里更广泛地运用这些技能。妇女发展司还利用这些妇女的技能，在其各自的省份内帮助举办农村妇女培训和研讨会。这些培训帮助发展妇女在社区内的领导能力。</w:t>
      </w:r>
    </w:p>
    <w:p w:rsidR="00000133" w:rsidRDefault="00000133" w:rsidP="00000133">
      <w:pPr>
        <w:pStyle w:val="SingleTxt"/>
        <w:rPr>
          <w:rFonts w:hint="eastAsia"/>
        </w:rPr>
      </w:pPr>
      <w:r>
        <w:rPr>
          <w:rFonts w:hint="eastAsia"/>
        </w:rPr>
        <w:t>346.　2008至2010年期间，在9个省中心都设立了省妇女资源中心。这些资源中心的目的是提供一个平台，使妇女能够集聚在一起，谈论妇女的问题和妇女的发展。这些中心还为妇女提供了一个建立网络的机遇平台。各种涉及性别的方案与组织利用了妇女资源中心。</w:t>
      </w:r>
    </w:p>
    <w:p w:rsidR="00000133" w:rsidRDefault="00000133" w:rsidP="00000133">
      <w:pPr>
        <w:pStyle w:val="SingleTxt"/>
        <w:rPr>
          <w:rFonts w:hint="eastAsia"/>
        </w:rPr>
      </w:pPr>
      <w:r>
        <w:rPr>
          <w:rFonts w:hint="eastAsia"/>
        </w:rPr>
        <w:t>347.　妇女发展司继续在各省举办基本商务技能培训，并举办关于提高人权认识和妇女权利的研讨会，以促进妇女的经济赋权。妇女发展司的经常预算设有专门用于农村妇女的补助金。</w:t>
      </w:r>
    </w:p>
    <w:p w:rsidR="00000133" w:rsidRDefault="00000133" w:rsidP="00000133">
      <w:pPr>
        <w:pStyle w:val="SingleTxt"/>
        <w:rPr>
          <w:rFonts w:hint="eastAsia"/>
        </w:rPr>
      </w:pPr>
      <w:r>
        <w:rPr>
          <w:rFonts w:hint="eastAsia"/>
        </w:rPr>
        <w:t>348.　由卫生和医疗部制订的《2011</w:t>
      </w:r>
      <w:r>
        <w:t>-</w:t>
      </w:r>
      <w:r>
        <w:rPr>
          <w:rFonts w:hint="eastAsia"/>
        </w:rPr>
        <w:t>2015年全国卫生战略计划》承认必须改进农村保健设施，为在所有农村保健设施内提供更好的服务，制订了实质性的全国卫生政策。该计划规定，提供更好服务的指标之一，是所有省份在2012年年底之前确定其年度初级保健和治疗服务的目标，在2015年年底之前，所有省份实现其服务目标的80%。该计划还力求确保向需要者提供基于社区的康复服务，并提供助行器，并为提供照料的人提供信息和材料。</w:t>
      </w:r>
    </w:p>
    <w:p w:rsidR="00000133" w:rsidRDefault="00000133" w:rsidP="00000133">
      <w:pPr>
        <w:pStyle w:val="SingleTxt"/>
        <w:rPr>
          <w:rFonts w:hint="eastAsia"/>
        </w:rPr>
      </w:pPr>
      <w:r>
        <w:rPr>
          <w:rFonts w:hint="eastAsia"/>
        </w:rPr>
        <w:t>349.　认识到农村地区人们所面临的种种困难，所罗门群岛政府与若干发展伙伴一起于2007年开始实施《乡村发展方案》。该方案将于2007年一直实施到2012年，由发展规划和援助协调部、农业和畜牲业部与各省政府与社区联手实施。方案的目的是改进社区和省一级机制，以便提供重要的经济和社会基础设施与服务；为支持乡村收入增长而增加农村家庭获得高质量农业服务的机会，并通过提供资金、有关培训和技术援助，发展农村商业。尽管该方案并没有针对妇女的具体内容，但妇女可以利用该方案的所有组成部分，受益于该方案的各个方面。</w:t>
      </w:r>
    </w:p>
    <w:p w:rsidR="00000133" w:rsidRPr="004D7FEB" w:rsidRDefault="00000133" w:rsidP="00000133">
      <w:pPr>
        <w:pStyle w:val="SingleTxt"/>
        <w:rPr>
          <w:rFonts w:ascii="SimHei" w:eastAsia="SimHei" w:hint="eastAsia"/>
        </w:rPr>
      </w:pPr>
      <w:r w:rsidRPr="004D7FEB">
        <w:rPr>
          <w:rFonts w:ascii="SimHei" w:eastAsia="SimHei" w:hint="eastAsia"/>
        </w:rPr>
        <w:t>农村妇女和土地</w:t>
      </w:r>
    </w:p>
    <w:p w:rsidR="00000133" w:rsidRDefault="00000133" w:rsidP="00000133">
      <w:pPr>
        <w:pStyle w:val="SingleTxt"/>
        <w:rPr>
          <w:rFonts w:hint="eastAsia"/>
        </w:rPr>
      </w:pPr>
      <w:r>
        <w:rPr>
          <w:rFonts w:hint="eastAsia"/>
        </w:rPr>
        <w:t>350.　人们认为，在所罗门群岛的9个省中，有5个省仍然实行母系土地保有制度，但该制度目前正受到压力，因为大规模开发需要土地，且传统制度的性质正在改变。</w:t>
      </w:r>
      <w:r>
        <w:rPr>
          <w:rStyle w:val="FootnoteReference"/>
        </w:rPr>
        <w:footnoteReference w:id="62"/>
      </w:r>
      <w:r>
        <w:rPr>
          <w:rFonts w:hint="eastAsia"/>
        </w:rPr>
        <w:t xml:space="preserve"> 在许多情况下，通过习俗获得的所有权或使用权已成为潜在冲突的根源，妇女的土地权得不到法律保护。既便存在母系制度，妇女往往仍然不能在独立于其丈夫的情况下使用或持有土地。在农村地区，土地所有权确定了能否获得信贷或农村支助服务，以及是否有社会权力为获得各种资源进行谈判。</w:t>
      </w:r>
      <w:r>
        <w:rPr>
          <w:rStyle w:val="FootnoteReference"/>
        </w:rPr>
        <w:footnoteReference w:id="63"/>
      </w:r>
      <w:r>
        <w:rPr>
          <w:rFonts w:hint="eastAsia"/>
        </w:rPr>
        <w:t xml:space="preserve"> 由于进行大规模的伐木，并且需要土地进行发展和种植经济作物，妇女越来越处于不利地位。男子出于金钱利益，往往在谈判时完全不顾妇女和传统的母系遗产制度，妇女往往被边缘化。</w:t>
      </w:r>
      <w:r>
        <w:rPr>
          <w:rStyle w:val="FootnoteReference"/>
        </w:rPr>
        <w:footnoteReference w:id="64"/>
      </w:r>
    </w:p>
    <w:p w:rsidR="00000133" w:rsidRDefault="00000133" w:rsidP="00000133">
      <w:pPr>
        <w:pStyle w:val="SingleTxt"/>
        <w:rPr>
          <w:rFonts w:hint="eastAsia"/>
        </w:rPr>
      </w:pPr>
      <w:r>
        <w:rPr>
          <w:rFonts w:hint="eastAsia"/>
        </w:rPr>
        <w:t>351.　名为“生活和学习”非政府组织启动了一个农村社区自然资源管理项目。该组织是所罗门群岛非政府组织伙伴关系协定的成员。该项目的目标是努力实现更具包容性和更可持续的社区，特别是增强妇女和青年的权能，以提高他们的生活质量。该项目在社区，特别是在那些受伐木活动影响的社区工作，使妇女能够更多地参与其社区的决策。西部省的一些社区成功阻止了在其地区的伐木。该项目还已经协助农村妇女在自己的社区建立储蓄俱乐部。2011年7月至2012年1月，妇女领导的14个储蓄俱乐部集体储蓄了10多万所罗门元。</w:t>
      </w:r>
    </w:p>
    <w:p w:rsidR="00000133" w:rsidRPr="004D7FEB" w:rsidRDefault="00000133" w:rsidP="00000133">
      <w:pPr>
        <w:pStyle w:val="SingleTxt"/>
        <w:rPr>
          <w:rFonts w:ascii="SimHei" w:eastAsia="SimHei" w:hint="eastAsia"/>
        </w:rPr>
      </w:pPr>
      <w:r w:rsidRPr="004D7FEB">
        <w:rPr>
          <w:rFonts w:ascii="SimHei" w:eastAsia="SimHei" w:hint="eastAsia"/>
        </w:rPr>
        <w:t>农业</w:t>
      </w:r>
    </w:p>
    <w:p w:rsidR="00000133" w:rsidRDefault="00000133" w:rsidP="00000133">
      <w:pPr>
        <w:pStyle w:val="SingleTxt"/>
        <w:rPr>
          <w:rFonts w:hint="eastAsia"/>
        </w:rPr>
      </w:pPr>
      <w:r>
        <w:rPr>
          <w:rFonts w:hint="eastAsia"/>
        </w:rPr>
        <w:t>352.　农业是所罗门群岛全境生计保障的主要来源，小型农作是主要的生产方式。从传统上说，农村地区的妇女和女孩承担家庭粮食生产的主要责任，在家庭菜园里种植作物，饲养小牲畜和制作手工艺品。不过，农村妇女在农业活动中的作用正在从单纯传统的自足型蔬果种植转变到包括小规模商业生产。所罗门群岛的困难经济局势已迫使许多农村妇女进入非正规工作部门。这意味着66%的妇女从事非正规贸易，其中大约30%的人提供了其家庭的唯一收入。</w:t>
      </w:r>
      <w:r>
        <w:rPr>
          <w:rStyle w:val="FootnoteReference"/>
        </w:rPr>
        <w:footnoteReference w:id="65"/>
      </w:r>
    </w:p>
    <w:p w:rsidR="00000133" w:rsidRDefault="00000133" w:rsidP="00000133">
      <w:pPr>
        <w:pStyle w:val="SingleTxt"/>
        <w:rPr>
          <w:rFonts w:hint="eastAsia"/>
        </w:rPr>
      </w:pPr>
      <w:r>
        <w:rPr>
          <w:rFonts w:hint="eastAsia"/>
        </w:rPr>
        <w:t>353.　2011年人民普查表明，最常见的资金来源是销售商品，绝大多数是非正式销售食品与槟榔果。农村地区依靠销售的比例(84%)高于霍尼亚拉这样的城市地区(51%)。调查还表明，85%的女性受访者依赖非正式销售，而男子为75%。</w:t>
      </w:r>
    </w:p>
    <w:p w:rsidR="00000133" w:rsidRDefault="00000133" w:rsidP="00000133">
      <w:pPr>
        <w:pStyle w:val="SingleTxt"/>
        <w:rPr>
          <w:rFonts w:hint="eastAsia"/>
        </w:rPr>
      </w:pPr>
      <w:r>
        <w:rPr>
          <w:rFonts w:hint="eastAsia"/>
        </w:rPr>
        <w:t>354.　农村妇女的就业围绕着日常生存活动，其中包括做饭、打扫卫生、汲水、照顾儿童、销售农产品、烘焙(食品出售)、切割和生产椰干、种菜园和其他粮食生产活动。阻碍农村妇女增加收入的障碍包括缺乏基础设施和(或)基础设施质劣，特别是道路和桥梁，以及天气恶劣。当地资源没有足够的市场，这意味着农村妇女往往必须走很远的路去别的市场。所有这些因素都限制农村妇女到城市地区出售其产品和其他货物的能力。</w:t>
      </w:r>
      <w:r>
        <w:rPr>
          <w:rStyle w:val="FootnoteReference"/>
        </w:rPr>
        <w:footnoteReference w:id="66"/>
      </w:r>
    </w:p>
    <w:p w:rsidR="00000133" w:rsidRDefault="00000133" w:rsidP="00000133">
      <w:pPr>
        <w:pStyle w:val="SingleTxt"/>
        <w:rPr>
          <w:rFonts w:hint="eastAsia"/>
        </w:rPr>
      </w:pPr>
      <w:r>
        <w:rPr>
          <w:rFonts w:hint="eastAsia"/>
        </w:rPr>
        <w:t>355.　农村地区妇女是粮食供应的主要提供者，而且是所罗门群岛政府粮食安全发展政策的主要执行者。然而，已确认有必要与从事生计农业的妇女增加接触。</w:t>
      </w:r>
    </w:p>
    <w:p w:rsidR="00000133" w:rsidRPr="004D7FEB" w:rsidRDefault="00000133" w:rsidP="00000133">
      <w:pPr>
        <w:pStyle w:val="SingleTxt"/>
        <w:rPr>
          <w:rFonts w:ascii="SimHei" w:eastAsia="SimHei" w:hint="eastAsia"/>
        </w:rPr>
      </w:pPr>
      <w:r w:rsidRPr="004D7FEB">
        <w:rPr>
          <w:rFonts w:ascii="SimHei" w:eastAsia="SimHei" w:hint="eastAsia"/>
        </w:rPr>
        <w:t>获得保健服务</w:t>
      </w:r>
    </w:p>
    <w:p w:rsidR="00000133" w:rsidRDefault="00000133" w:rsidP="00000133">
      <w:pPr>
        <w:pStyle w:val="SingleTxt"/>
        <w:rPr>
          <w:rFonts w:hint="eastAsia"/>
        </w:rPr>
      </w:pPr>
      <w:r>
        <w:rPr>
          <w:rFonts w:hint="eastAsia"/>
        </w:rPr>
        <w:t>356.　农村妇女没有充分利用保健服务设施的机会。在2007年人口和健康调查中，97%的农村妇女报告说，她们在获得保健服务时至少遇到过一次问题。据报告，农村妇女在获得保健方面遇到的最普遍问题是没有药品(91%)和没有提供者(87%)。65%的农村妇女说获得治疗资金是问题，56%报告说与保健设施距离远是一个问题。就在保健设施内分娩的比率而言，城市地区(94%)高于农村地区(83%)。较高比例的城市妇女(95%)分娩时有技术娴熟的助产士帮助她们，农村妇女的比例则较低(84%)。</w:t>
      </w:r>
    </w:p>
    <w:p w:rsidR="00000133" w:rsidRDefault="00000133" w:rsidP="00000133">
      <w:pPr>
        <w:pStyle w:val="SingleTxt"/>
        <w:rPr>
          <w:rFonts w:hint="eastAsia"/>
        </w:rPr>
      </w:pPr>
      <w:r>
        <w:rPr>
          <w:rFonts w:hint="eastAsia"/>
        </w:rPr>
        <w:t>357.　2010年，所罗门群岛计划生育协会在泰莫图省(最偏远省份之一)和中部省举办了两个踏脚石方案。这些方案旨在改变青年人在社区内的行为，给他们提供信息，以便他们对自己的性健康和生殖健康作出知情决定。该协会还在农村和偏远社区，特别是在与巴布亚新几内亚边界附近地区开展工作，以在西部省和乔伊索省农村社区提高对艾滋病/艾滋病毒的认识。</w:t>
      </w:r>
    </w:p>
    <w:p w:rsidR="00000133" w:rsidRPr="004D7FEB" w:rsidRDefault="00000133" w:rsidP="00000133">
      <w:pPr>
        <w:pStyle w:val="SingleTxt"/>
        <w:rPr>
          <w:rFonts w:ascii="SimHei" w:eastAsia="SimHei" w:hint="eastAsia"/>
        </w:rPr>
      </w:pPr>
      <w:r w:rsidRPr="004D7FEB">
        <w:rPr>
          <w:rFonts w:ascii="SimHei" w:eastAsia="SimHei" w:hint="eastAsia"/>
        </w:rPr>
        <w:t>受教育的机会</w:t>
      </w:r>
    </w:p>
    <w:p w:rsidR="00000133" w:rsidRDefault="00000133" w:rsidP="00000133">
      <w:pPr>
        <w:pStyle w:val="SingleTxt"/>
        <w:spacing w:after="120"/>
        <w:rPr>
          <w:rFonts w:hint="eastAsia"/>
        </w:rPr>
      </w:pPr>
      <w:r>
        <w:rPr>
          <w:rFonts w:hint="eastAsia"/>
        </w:rPr>
        <w:t>358.　农村地区成年妇女识字率特别低，影响妇女为改进耕作获得信息和技术。2010年，亚洲南太平洋基础教育和成人教育协会和所罗门群岛教育联盟在伊萨贝尔省和拉纳尔省进行了一次教育经验调查和识字评估。在伊萨贝尔省的1214名答复者中，40.6%的妇女和32.5%的男子被归类为不识字。约有43.4%的妇女和48.1%的男子被认为是半文盲，16%的妇女和19.4%的男子被列为识字。在伊萨贝尔省，识字率最高的是20至24岁的人。在拉纳尔省，识字率随着年龄下降，但男女识字率的差距缩小了。大约24.5%的妇女和23.6%的男子被归类为不识字。42.2%的妇女和41.9%的男子被归类为半文盲，33%的妇女和34.5%的男子被列为识字。识字调查显示，接受正规教育的人并不能确保识字。</w:t>
      </w:r>
      <w:r>
        <w:rPr>
          <w:rStyle w:val="FootnoteReference"/>
        </w:rPr>
        <w:footnoteReference w:id="67"/>
      </w:r>
    </w:p>
    <w:p w:rsidR="00000133" w:rsidRPr="004D7FEB" w:rsidRDefault="00000133" w:rsidP="00000133">
      <w:pPr>
        <w:pStyle w:val="SingleTxt"/>
        <w:spacing w:after="120"/>
        <w:rPr>
          <w:rFonts w:ascii="SimHei" w:eastAsia="SimHei" w:hint="eastAsia"/>
        </w:rPr>
      </w:pPr>
      <w:r w:rsidRPr="004D7FEB">
        <w:rPr>
          <w:rFonts w:ascii="SimHei" w:eastAsia="SimHei" w:hint="eastAsia"/>
        </w:rPr>
        <w:t>诉诸司法</w:t>
      </w:r>
    </w:p>
    <w:p w:rsidR="00000133" w:rsidRDefault="00000133" w:rsidP="00000133">
      <w:pPr>
        <w:pStyle w:val="SingleTxt"/>
        <w:spacing w:after="120"/>
        <w:rPr>
          <w:rFonts w:hint="eastAsia"/>
        </w:rPr>
      </w:pPr>
      <w:r>
        <w:rPr>
          <w:rFonts w:hint="eastAsia"/>
        </w:rPr>
        <w:t>359.　农村地区妇女往往不能充分利用正规司法制度。作为国家正规司法系统一部分并处理习俗问题的地方法庭，只零星地处理数目有限的问题。这是因为没有资金用于委任和维持农村地区地方法庭的官员。地方法庭由男子主导。2008年，据报在任命的940名地方法院法官中，只任命了一名女性法官。乡村地区没有治安法院，这些法院往往限于省中心。因此，许多妇女不能利用司法制度，除非到省中心，甚至在有些情况下需要去首都霍尼亚拉。没有足够的资金在农村地区设置治安法院。全国有56个巡回中心，但其中许多中心往往没有省法院巡回办案。2011年1月至6月只覆盖了15个巡回中心，因为必须从霍尼亚拉提供服务，而由于资金有限，不能覆盖所有56个巡回中心。</w:t>
      </w:r>
      <w:r>
        <w:rPr>
          <w:rStyle w:val="FootnoteReference"/>
        </w:rPr>
        <w:footnoteReference w:id="68"/>
      </w:r>
    </w:p>
    <w:p w:rsidR="00000133" w:rsidRDefault="00000133" w:rsidP="00000133">
      <w:pPr>
        <w:pStyle w:val="SingleTxt"/>
        <w:spacing w:after="120"/>
        <w:rPr>
          <w:rFonts w:hint="eastAsia"/>
        </w:rPr>
      </w:pPr>
      <w:r>
        <w:rPr>
          <w:rFonts w:hint="eastAsia"/>
        </w:rPr>
        <w:t>360.　据估计，农村地区95%以上的争端在村一级非正式解决。</w:t>
      </w:r>
      <w:r>
        <w:rPr>
          <w:rStyle w:val="FootnoteReference"/>
        </w:rPr>
        <w:footnoteReference w:id="69"/>
      </w:r>
      <w:r>
        <w:t xml:space="preserve"> </w:t>
      </w:r>
      <w:r>
        <w:rPr>
          <w:rFonts w:hint="eastAsia"/>
        </w:rPr>
        <w:t>在乡村地区，酋长是村一级的传统领袖和调解者，绝大多数司法由男子实施。研究报告表明，就暴力侵害妇女行为而言，大多数妇女并不认为传统的司法制度符合其需求，因为这一制度由男子主持，维持有利于男子的传统性别角色与价值观。</w:t>
      </w:r>
      <w:r>
        <w:rPr>
          <w:rStyle w:val="FootnoteReference"/>
        </w:rPr>
        <w:footnoteReference w:id="70"/>
      </w:r>
      <w:r>
        <w:t xml:space="preserve"> </w:t>
      </w:r>
      <w:r>
        <w:rPr>
          <w:rFonts w:hint="eastAsia"/>
        </w:rPr>
        <w:t>企图利用司法系统的妇女在某种程度上名声不好。对于她们来说，这是费用昂贵和令人生畏的经历。</w:t>
      </w:r>
    </w:p>
    <w:p w:rsidR="00000133" w:rsidRDefault="00000133" w:rsidP="00000133">
      <w:pPr>
        <w:pStyle w:val="SingleTxt"/>
        <w:spacing w:after="120"/>
        <w:rPr>
          <w:rFonts w:hint="eastAsia"/>
        </w:rPr>
      </w:pPr>
      <w:r>
        <w:rPr>
          <w:rFonts w:hint="eastAsia"/>
        </w:rPr>
        <w:t>361.　为了解决农村地区缺少法律信息传播的情况，公设律师办公室通过所罗门群岛广播公司每月第二个星期三晚上在全国广播节目上播放法律宣传节目。这个节目往往涉及有关妇女的法律问题，并且向全国广播。法律改革委员会还两周一次播放有关土地和刑法事项的节目。这个节目涉及影响妇女的性犯罪问题。公设律师办公室家庭保护股还计划到各省巡游，以增加法律服务并传播信息。</w:t>
      </w:r>
    </w:p>
    <w:p w:rsidR="00000133" w:rsidRPr="004D7FEB" w:rsidRDefault="00000133" w:rsidP="00000133">
      <w:pPr>
        <w:pStyle w:val="SingleTxt"/>
        <w:spacing w:after="120"/>
        <w:rPr>
          <w:rFonts w:ascii="SimHei" w:eastAsia="SimHei" w:hint="eastAsia"/>
        </w:rPr>
      </w:pPr>
      <w:r w:rsidRPr="004D7FEB">
        <w:rPr>
          <w:rFonts w:ascii="SimHei" w:eastAsia="SimHei" w:hint="eastAsia"/>
        </w:rPr>
        <w:t>非政府组织、国际非政府组织、教会和民间社会组织</w:t>
      </w:r>
    </w:p>
    <w:p w:rsidR="00000133" w:rsidRDefault="00000133" w:rsidP="00000133">
      <w:pPr>
        <w:pStyle w:val="SingleTxt"/>
        <w:rPr>
          <w:rFonts w:hint="eastAsia"/>
        </w:rPr>
      </w:pPr>
      <w:r>
        <w:rPr>
          <w:rFonts w:hint="eastAsia"/>
        </w:rPr>
        <w:t>362.　所罗门群岛国家妇女理事会是索罗门群岛政府的一项举措，是作为政府的监督机构和妇女论坛设立的。它是国家妇女机制的组成部分。与国家妇女理事会目标相似的注册非政府组织和团体可成为联系成员。全国各地的省妇女理事会是国家妇女理事会的成员。</w:t>
      </w:r>
    </w:p>
    <w:p w:rsidR="00000133" w:rsidRDefault="00000133" w:rsidP="00000133">
      <w:pPr>
        <w:pStyle w:val="SingleTxt"/>
        <w:rPr>
          <w:rFonts w:hint="eastAsia"/>
        </w:rPr>
      </w:pPr>
      <w:r>
        <w:rPr>
          <w:rFonts w:hint="eastAsia"/>
        </w:rPr>
        <w:t>363.　Vois Blong Mere(妇女的媒体机构)是一个代表妇女的关键民间社会组织，其重点是向农村妇女传播信息。该组织为农村妇女编制定期通讯和广播消息。</w:t>
      </w:r>
    </w:p>
    <w:p w:rsidR="00000133" w:rsidRDefault="00000133" w:rsidP="00000133">
      <w:pPr>
        <w:pStyle w:val="SingleTxt"/>
        <w:rPr>
          <w:rFonts w:hint="eastAsia"/>
        </w:rPr>
      </w:pPr>
      <w:r>
        <w:rPr>
          <w:rFonts w:hint="eastAsia"/>
        </w:rPr>
        <w:t>364.　所罗门群岛基督教协会妇女联合会协调主流教会</w:t>
      </w:r>
      <w:r>
        <w:rPr>
          <w:rStyle w:val="FootnoteReference"/>
        </w:rPr>
        <w:footnoteReference w:id="71"/>
      </w:r>
      <w:r>
        <w:t xml:space="preserve"> </w:t>
      </w:r>
      <w:r>
        <w:rPr>
          <w:rFonts w:hint="eastAsia"/>
        </w:rPr>
        <w:t>妇女团体在农村地区提高妇女地位的工作。同样，所罗门群岛全福音协会协调其他教会的妇女团体。</w:t>
      </w:r>
    </w:p>
    <w:p w:rsidR="00000133" w:rsidRPr="00000133" w:rsidRDefault="00000133" w:rsidP="00000133">
      <w:pPr>
        <w:pStyle w:val="SingleTxt"/>
        <w:rPr>
          <w:rFonts w:hint="eastAsia"/>
          <w:spacing w:val="-2"/>
        </w:rPr>
      </w:pPr>
      <w:r>
        <w:rPr>
          <w:rFonts w:hint="eastAsia"/>
        </w:rPr>
        <w:t>365.　2009年至2010年，所罗门群岛基督教协会妇女联合会向家庭暴力和暴力侵害妇女和儿童行为的受害者提供了支助。该网络由10人小组组成，其中包括</w:t>
      </w:r>
      <w:r w:rsidRPr="00000133">
        <w:rPr>
          <w:rFonts w:hint="eastAsia"/>
          <w:spacing w:val="-2"/>
        </w:rPr>
        <w:t>宗教领袖、一名警官、一名护士、一名教师和省福利办事处，覆盖9个省中的8个。</w:t>
      </w:r>
    </w:p>
    <w:p w:rsidR="00000133" w:rsidRDefault="00000133" w:rsidP="00000133">
      <w:pPr>
        <w:pStyle w:val="SingleTxt"/>
        <w:rPr>
          <w:rFonts w:hint="eastAsia"/>
        </w:rPr>
      </w:pPr>
      <w:r>
        <w:rPr>
          <w:rFonts w:hint="eastAsia"/>
        </w:rPr>
        <w:t>366.　家庭支助中心和基督教护理中心主要在霍尼亚拉提供服务。家庭支助中心将在奥基和吉佐设立两个咨询中心。已在西部省吉佐设立了一个家庭支助组织。但是，这些组织为城市和城市周边地区提供服务。因此，农村妇女和儿童如果遭到家庭暴力、性虐待、儿童虐待和强奸，必须前往城市中心获得服务。位于霍尼亚拉东部的家庭支助中心是妇女和儿童受害者唯一的庇护所。</w:t>
      </w:r>
    </w:p>
    <w:p w:rsidR="00000133" w:rsidRDefault="00000133" w:rsidP="00000133">
      <w:pPr>
        <w:pStyle w:val="SingleTxt"/>
        <w:rPr>
          <w:rFonts w:hint="eastAsia"/>
        </w:rPr>
      </w:pPr>
      <w:r>
        <w:rPr>
          <w:rFonts w:hint="eastAsia"/>
        </w:rPr>
        <w:t>367.　还有几个省级团体和社区团体注重改善农村妇女状况。这些团体一般旨在使妇女对其家庭发展所需资源具有更大控制。其中一些团体经营信贷计划，提供经商信息。这些团体包括基督教女青年会、Rokotanikeni、Vella la Vella妇女协会和Fikutaikini East Kwara</w:t>
      </w:r>
      <w:r w:rsidRPr="00BD5A29">
        <w:rPr>
          <w:rFonts w:ascii="Times New Roman"/>
        </w:rPr>
        <w:t>’</w:t>
      </w:r>
      <w:r>
        <w:rPr>
          <w:rFonts w:hint="eastAsia"/>
        </w:rPr>
        <w:t>ae妇女协会。</w:t>
      </w:r>
    </w:p>
    <w:p w:rsidR="00000133" w:rsidRDefault="00000133" w:rsidP="00000133">
      <w:pPr>
        <w:pStyle w:val="SingleTxt"/>
        <w:rPr>
          <w:rFonts w:hint="eastAsia"/>
        </w:rPr>
      </w:pPr>
      <w:r>
        <w:rPr>
          <w:rFonts w:hint="eastAsia"/>
        </w:rPr>
        <w:t>368.　在发展伙伴的援助下，所罗门群岛发展信托基金、生活和学习环境教育组织、乐施会团结一致反对暴力项目、所罗门群岛计划生育协会以及其他非政府组织和民间社会组织也将重点放在农村妇女身上。</w:t>
      </w:r>
    </w:p>
    <w:p w:rsidR="00000133" w:rsidRPr="004D7FEB" w:rsidRDefault="00000133" w:rsidP="00000133">
      <w:pPr>
        <w:pStyle w:val="SingleTxt"/>
        <w:rPr>
          <w:rFonts w:ascii="SimHei" w:eastAsia="SimHei" w:hint="eastAsia"/>
        </w:rPr>
      </w:pPr>
      <w:r w:rsidRPr="004D7FEB">
        <w:rPr>
          <w:rFonts w:ascii="SimHei" w:eastAsia="SimHei" w:hint="eastAsia"/>
        </w:rPr>
        <w:t>获得银行服务</w:t>
      </w:r>
    </w:p>
    <w:p w:rsidR="00000133" w:rsidRDefault="00000133" w:rsidP="00000133">
      <w:pPr>
        <w:pStyle w:val="SingleTxt"/>
        <w:rPr>
          <w:rFonts w:hint="eastAsia"/>
        </w:rPr>
      </w:pPr>
      <w:r>
        <w:rPr>
          <w:rFonts w:hint="eastAsia"/>
        </w:rPr>
        <w:t>369.　银行服务在农村地区非常有限。只是霍尼亚拉有多种商业银行和金融机构。因此，许多农村地区的妇女无法获得银行贷款和信贷便利。2011年进行的人民普查表明，只是很少的农村人口有银行账户，他们大多是公务员，如教师、护士和警察，其薪金存入其账户。以前澳新银行提供农村银行服务。然而，这项服务已不再提供，所以，许多公务员在发薪周离开工作地点，前往能够提取工资的最近中心。这往往导致他们缺勤数天。这在农村地区是一个严重问题，因为这意味着教师和护士经常长时间不上班。银行不会向没有担保或正式身份的小农或村民贷款。农村妇女尤其无法获得贷款和信用。</w:t>
      </w:r>
    </w:p>
    <w:p w:rsidR="00000133" w:rsidRPr="004D7FEB" w:rsidRDefault="00000133" w:rsidP="00000133">
      <w:pPr>
        <w:pStyle w:val="SingleTxt"/>
        <w:rPr>
          <w:rFonts w:ascii="SimHei" w:eastAsia="SimHei" w:hint="eastAsia"/>
        </w:rPr>
      </w:pPr>
      <w:r>
        <w:rPr>
          <w:rFonts w:ascii="SimHei" w:eastAsia="SimHei"/>
        </w:rPr>
        <w:br w:type="page"/>
      </w:r>
      <w:r w:rsidRPr="004D7FEB">
        <w:rPr>
          <w:rFonts w:ascii="SimHei" w:eastAsia="SimHei" w:hint="eastAsia"/>
        </w:rPr>
        <w:t>基础设施</w:t>
      </w:r>
    </w:p>
    <w:p w:rsidR="00000133" w:rsidRDefault="00000133" w:rsidP="00000133">
      <w:pPr>
        <w:pStyle w:val="SingleTxt"/>
        <w:rPr>
          <w:rFonts w:hint="eastAsia"/>
        </w:rPr>
      </w:pPr>
      <w:r>
        <w:rPr>
          <w:rFonts w:hint="eastAsia"/>
        </w:rPr>
        <w:t>370.　2007年，北韦拉选区完成了一份关于农村地区妇女地位的报告。报告指出，尽管所罗门群岛政府与非政府组织一道，为提高妇女地位作出了无数努力，但该国许多农村地区仍未感受到社会及经济进步的影响。报告的结论是，这已导致妇女在政治、经济、社会和技术部门的进步缓慢且有限。</w:t>
      </w:r>
    </w:p>
    <w:p w:rsidR="00000133" w:rsidRDefault="00000133" w:rsidP="00000133">
      <w:pPr>
        <w:pStyle w:val="SingleTxt"/>
        <w:rPr>
          <w:rFonts w:hint="eastAsia"/>
        </w:rPr>
      </w:pPr>
      <w:r>
        <w:rPr>
          <w:rFonts w:hint="eastAsia"/>
        </w:rPr>
        <w:t>371.　2011年的人民普查显示，许多农村地区缺少道路。在瓜达尔卡纳尔东部社区，人们往往必须走9个小时才能到达最近的道路。这对运输货物以供销售以及为就医和供应进行旅行的能力产生重大影响。来自泰莫图省的受访者指出，他们离霍尼亚拉很远，在很大程度上被国家政府忽视。该省的交通运输落后，且没有适当可靠的航运服务。来自西部省的受访者也抱怨缺乏交通运输基础设施。</w:t>
      </w:r>
    </w:p>
    <w:p w:rsidR="00000133" w:rsidRPr="00CD5F53" w:rsidRDefault="00000133" w:rsidP="00000133">
      <w:pPr>
        <w:pStyle w:val="SingleTxt"/>
        <w:rPr>
          <w:rFonts w:hint="eastAsia"/>
        </w:rPr>
      </w:pPr>
      <w:r>
        <w:rPr>
          <w:rFonts w:hint="eastAsia"/>
        </w:rPr>
        <w:t>372.　2011年的人民普查显示，大多数农村人感到无助和被忽视。</w:t>
      </w:r>
      <w:r>
        <w:rPr>
          <w:rStyle w:val="FootnoteReference"/>
        </w:rPr>
        <w:footnoteReference w:id="72"/>
      </w:r>
      <w:r>
        <w:t xml:space="preserve"> </w:t>
      </w:r>
      <w:r>
        <w:rPr>
          <w:rFonts w:hint="eastAsia"/>
        </w:rPr>
        <w:t>大多数农村妇女获得安全饮用水和卫生设施的水平仍然有限。2009年人口普查表明，在所罗门群岛总共91 251个私人家庭中，29 932个家庭(几乎33%)没有任何卫生设施，有22 396个家庭报告说，其主要饮用水来源是河流或溪流，32 042个家庭报告说，其主要来源是公共水管。</w:t>
      </w:r>
    </w:p>
    <w:p w:rsidR="00000133" w:rsidRPr="00000133" w:rsidRDefault="00000133" w:rsidP="00000133">
      <w:pPr>
        <w:pStyle w:val="SingleTxt"/>
        <w:rPr>
          <w:rFonts w:ascii="SimHei" w:eastAsia="SimHei" w:hint="eastAsia"/>
          <w:sz w:val="24"/>
          <w:szCs w:val="24"/>
        </w:rPr>
      </w:pPr>
      <w:r w:rsidRPr="00000133">
        <w:rPr>
          <w:rFonts w:ascii="SimHei" w:eastAsia="SimHei" w:hint="eastAsia"/>
          <w:sz w:val="24"/>
          <w:szCs w:val="24"/>
        </w:rPr>
        <w:t>第15条：法律面前人人平等及民事事项</w:t>
      </w:r>
    </w:p>
    <w:p w:rsidR="00000133" w:rsidRPr="00834F55" w:rsidRDefault="00000133" w:rsidP="00000133">
      <w:pPr>
        <w:pStyle w:val="SingleTxt"/>
        <w:rPr>
          <w:rFonts w:ascii="SimHei" w:eastAsia="SimHei" w:hint="eastAsia"/>
        </w:rPr>
      </w:pPr>
      <w:r w:rsidRPr="00834F55">
        <w:rPr>
          <w:rFonts w:ascii="SimHei" w:eastAsia="SimHei" w:hint="eastAsia"/>
        </w:rPr>
        <w:t>法律背景</w:t>
      </w:r>
    </w:p>
    <w:p w:rsidR="00000133" w:rsidRDefault="00000133" w:rsidP="00000133">
      <w:pPr>
        <w:pStyle w:val="SingleTxt"/>
        <w:rPr>
          <w:rFonts w:hint="eastAsia"/>
        </w:rPr>
      </w:pPr>
      <w:r>
        <w:rPr>
          <w:rFonts w:hint="eastAsia"/>
        </w:rPr>
        <w:t>373.　《宪法》中没有保障法律面前人人平等的条款。但没有任何法律障碍限制妇女提出民事诉讼的能力。也没有任何法律障碍限制妇女参与法院诉讼程序的权利。此外，没有任何法律障碍限制妇女签订合同和管理财产的权利。</w:t>
      </w:r>
    </w:p>
    <w:p w:rsidR="00000133" w:rsidRDefault="00000133" w:rsidP="00000133">
      <w:pPr>
        <w:pStyle w:val="SingleTxt"/>
        <w:rPr>
          <w:rFonts w:hint="eastAsia"/>
        </w:rPr>
      </w:pPr>
      <w:r>
        <w:rPr>
          <w:rFonts w:hint="eastAsia"/>
        </w:rPr>
        <w:t>374.　没有任何法律障碍阻止妇女担任司法或治安机构成员。没有任何法律障碍阻止妇女从事法律职业或限制其在所有法院和法庭出庭的权利。</w:t>
      </w:r>
    </w:p>
    <w:p w:rsidR="00000133" w:rsidRDefault="00000133" w:rsidP="00000133">
      <w:pPr>
        <w:pStyle w:val="SingleTxt"/>
        <w:rPr>
          <w:rFonts w:hint="eastAsia"/>
        </w:rPr>
      </w:pPr>
      <w:r>
        <w:rPr>
          <w:rFonts w:hint="eastAsia"/>
        </w:rPr>
        <w:t>375.　根据《1987年遗嘱、遗嘱检验和行政法》(第33章)第60条，妇女有担任遗产执行人或管理人的平等权利。</w:t>
      </w:r>
    </w:p>
    <w:p w:rsidR="00000133" w:rsidRDefault="00000133" w:rsidP="00000133">
      <w:pPr>
        <w:pStyle w:val="SingleTxt"/>
        <w:rPr>
          <w:rFonts w:hint="eastAsia"/>
        </w:rPr>
      </w:pPr>
      <w:r>
        <w:rPr>
          <w:rFonts w:hint="eastAsia"/>
        </w:rPr>
        <w:t>376.　没有任何法律规定限制妇女法律行为能力的合同和文书不具效力，因此，没有禁止歧视性合同。</w:t>
      </w:r>
    </w:p>
    <w:p w:rsidR="00000133" w:rsidRDefault="00000133" w:rsidP="00000133">
      <w:pPr>
        <w:pStyle w:val="SingleTxt"/>
        <w:rPr>
          <w:rFonts w:hint="eastAsia"/>
        </w:rPr>
      </w:pPr>
      <w:r>
        <w:rPr>
          <w:rFonts w:hint="eastAsia"/>
        </w:rPr>
        <w:t>377.　《公民身份法》第7条规定，所罗门群岛人的外国妻子经其丈夫同意，可在定居两年之后成为公民。然而，该规定并不适用于所罗门群岛妇女的丈夫。第11条规定，外国妇女通过婚姻获得公民地位，如之后离婚并与拥有另一国籍的人结婚，则被视为放弃其公民地位。该规定也不适用于男子。</w:t>
      </w:r>
    </w:p>
    <w:p w:rsidR="00000133" w:rsidRPr="00834F55" w:rsidRDefault="00000133" w:rsidP="00000133">
      <w:pPr>
        <w:pStyle w:val="SingleTxt"/>
        <w:rPr>
          <w:rFonts w:ascii="SimHei" w:eastAsia="SimHei" w:hint="eastAsia"/>
        </w:rPr>
      </w:pPr>
      <w:r>
        <w:rPr>
          <w:rFonts w:ascii="SimHei" w:eastAsia="SimHei"/>
        </w:rPr>
        <w:br w:type="page"/>
      </w:r>
      <w:r w:rsidRPr="00834F55">
        <w:rPr>
          <w:rFonts w:ascii="SimHei" w:eastAsia="SimHei" w:hint="eastAsia"/>
        </w:rPr>
        <w:t>法律的适用</w:t>
      </w:r>
    </w:p>
    <w:p w:rsidR="00000133" w:rsidRDefault="00000133" w:rsidP="00000133">
      <w:pPr>
        <w:pStyle w:val="SingleTxt"/>
        <w:rPr>
          <w:rFonts w:hint="eastAsia"/>
        </w:rPr>
      </w:pPr>
      <w:r>
        <w:rPr>
          <w:rFonts w:hint="eastAsia"/>
        </w:rPr>
        <w:t>378.　《公民身份法》中关于妇女选择定居和住所的权利的规定具有歧视性。该法作出了针对妇女但不适用于男子的限制。它要求妇女在相当长时间之后才能申请公民身份，并需要得到丈夫的同意，但没有对男子提出这些要求。</w:t>
      </w:r>
    </w:p>
    <w:p w:rsidR="00000133" w:rsidRPr="00834F55" w:rsidRDefault="00000133" w:rsidP="00000133">
      <w:pPr>
        <w:pStyle w:val="SingleTxt"/>
        <w:rPr>
          <w:rFonts w:ascii="SimHei" w:eastAsia="SimHei" w:hint="eastAsia"/>
        </w:rPr>
      </w:pPr>
      <w:r w:rsidRPr="00834F55">
        <w:rPr>
          <w:rFonts w:ascii="SimHei" w:eastAsia="SimHei" w:hint="eastAsia"/>
        </w:rPr>
        <w:t>法律界的妇女</w:t>
      </w:r>
    </w:p>
    <w:p w:rsidR="00000133" w:rsidRDefault="00000133" w:rsidP="00000133">
      <w:pPr>
        <w:pStyle w:val="SingleTxt"/>
        <w:rPr>
          <w:rFonts w:hint="eastAsia"/>
        </w:rPr>
      </w:pPr>
      <w:r>
        <w:rPr>
          <w:rFonts w:hint="eastAsia"/>
        </w:rPr>
        <w:t>379.　所罗门群岛女律师协会成立于2005年，最初成员包括约18名女律师。该协会的成立基于以下认识：妇女和儿童需要更多关注并更多地利用法律机构，而且需要在政府机构中确立性别平等参与。成员们开办了提高法律认识讲习班，为女律师提供建立网络的机会，该协会已成为若干政府委员会的成员。然而，该协会自2010年以来没有开展活动。</w:t>
      </w:r>
    </w:p>
    <w:p w:rsidR="00000133" w:rsidRDefault="00000133" w:rsidP="00000133">
      <w:pPr>
        <w:pStyle w:val="SingleTxt"/>
        <w:rPr>
          <w:rFonts w:hint="eastAsia"/>
        </w:rPr>
      </w:pPr>
      <w:r>
        <w:rPr>
          <w:rFonts w:hint="eastAsia"/>
        </w:rPr>
        <w:t>380.　妇女有权担任司法机构成员，但从未有妇女出任所罗门群岛高等法院或上诉法院法官。只有为数不多的几名女性担任治安法官，且级别通常较低。</w:t>
      </w:r>
    </w:p>
    <w:p w:rsidR="00000133" w:rsidRDefault="00000133" w:rsidP="00000133">
      <w:pPr>
        <w:pStyle w:val="SingleTxt"/>
        <w:rPr>
          <w:rFonts w:hint="eastAsia"/>
        </w:rPr>
      </w:pPr>
      <w:r w:rsidRPr="00834F55">
        <w:rPr>
          <w:rFonts w:ascii="SimHei" w:eastAsia="SimHei" w:hint="eastAsia"/>
        </w:rPr>
        <w:t>获得法律服务和法律信息</w:t>
      </w:r>
    </w:p>
    <w:p w:rsidR="00000133" w:rsidRDefault="00000133" w:rsidP="00000133">
      <w:pPr>
        <w:pStyle w:val="SingleTxt"/>
        <w:rPr>
          <w:rFonts w:hint="eastAsia"/>
        </w:rPr>
      </w:pPr>
      <w:r>
        <w:rPr>
          <w:rFonts w:hint="eastAsia"/>
        </w:rPr>
        <w:t>381.　大多数争议是通过采取传统方法、以非正式方式解决的。妇女尤其很少诉诸正规司法系统。然而，所罗门群岛政府、发展伙伴、非政府组织和民间社会组织近年来作出很大努力，向所有公民传播关于正规司法系统的信息。这包括通过到各省巡访以及通过印刷品、广播和电视媒体等方式开展宣传活动。然而，由于所罗门群岛地理特征多样，许多地区地处偏远，因此传播信息工作不易开展。在全国各地统一提供法律服务也受到地理、交通、通信和经济等因素的限制。这仍然是政府面临的一大挑战。</w:t>
      </w:r>
    </w:p>
    <w:p w:rsidR="00000133" w:rsidRDefault="00000133" w:rsidP="00000133">
      <w:pPr>
        <w:pStyle w:val="SingleTxt"/>
        <w:rPr>
          <w:rFonts w:hint="eastAsia"/>
        </w:rPr>
      </w:pPr>
      <w:r>
        <w:rPr>
          <w:rFonts w:hint="eastAsia"/>
        </w:rPr>
        <w:t>382.　妇女可获得公设律师办公室的免费法律服务。这种律师代理涉及各种法律领域，包括刑事、家庭、家庭暴力和民事事项。只能在以下三省获得公设律师办公室的协助：瓜达尔卡纳尔省，主要办事处设在首都霍尼亚拉；西部省省府；马莱塔省省府。设在霍尼亚拉的公设律师办公室成立了一个家庭保护股。该股负责向妇女和儿童提供专家服务。一些法院在其他省的一些地区巡回办案。然而，这些巡回办案通常时间很短，也不经常进行，而且侧重点通常是刑事事项。因此，在一个省巡回办案期间，那里的妇女只有非常有限的机会获得法律服务。在农村地区以及公设律师办公室不提供服务的省份，妇女获得的法律服务非常有限。偏远和农村地区的妇女若需要法律服务，往往必须前往首都霍尼亚拉，才能获得这种服务。</w:t>
      </w:r>
    </w:p>
    <w:p w:rsidR="00000133" w:rsidRDefault="00000133" w:rsidP="00000133">
      <w:pPr>
        <w:pStyle w:val="SingleTxt"/>
        <w:rPr>
          <w:rFonts w:hint="eastAsia"/>
        </w:rPr>
      </w:pPr>
      <w:r>
        <w:rPr>
          <w:rFonts w:hint="eastAsia"/>
        </w:rPr>
        <w:t>383.　2008年，公设律师办公室设立了土地所有者宣传和法律支助股。该股的作用是，与其他非政府组织合作，向习惯法中的土地所有者提供免费信息和咨询，说明他们作为土地所有者，对其森林资源拥有哪些权利(可持续发展和保护环境利益的权利)。2009-2010年期间，土地所有者宣传和法律支助股在各省的城市中心进行了这种法律权利宣传。</w:t>
      </w:r>
    </w:p>
    <w:p w:rsidR="00000133" w:rsidRDefault="00000133" w:rsidP="00000133">
      <w:pPr>
        <w:pStyle w:val="SingleTxt"/>
        <w:rPr>
          <w:rFonts w:hint="eastAsia"/>
        </w:rPr>
      </w:pPr>
      <w:r>
        <w:rPr>
          <w:rFonts w:hint="eastAsia"/>
        </w:rPr>
        <w:t>384.　2010年，所罗门群岛首次开办“法律周”活动，并在2011年再次举办这一活动。在“法律周”期间，司法和法律事务部(检察长办公室、公设律师办公室、检察长、警察、惩戒部门、法院和法律改革委员会)以及其他组织为公众举办展览，并通过公开论坛、小册子、辩论和讨论等方式进行宣传。拯救儿童联盟等非政府组织还参与提供人权方面的资料。</w:t>
      </w:r>
    </w:p>
    <w:p w:rsidR="00000133" w:rsidRDefault="00000133" w:rsidP="00000133">
      <w:pPr>
        <w:pStyle w:val="SingleTxt"/>
        <w:rPr>
          <w:rFonts w:hint="eastAsia"/>
        </w:rPr>
      </w:pPr>
      <w:r>
        <w:rPr>
          <w:rFonts w:hint="eastAsia"/>
        </w:rPr>
        <w:t>385.　2010年，作为包括提高认识活动在内的社区接触方案的一部分，法律改革委员会制作了七个15分钟的广播节目，在所罗门群岛广播公司的节目中播放。这些广播节目介绍了“现行法律改革”项目，例如审查腐败、性侵害犯罪、精神损害、刑事责任与是否适于申辩、判刑以及与高水位线以下土地有关的法律(包括习惯法和惯例)，并邀请公众对人们关心的问题、需求和愿望以及常规与《刑法》审查的关系发表意见。</w:t>
      </w:r>
    </w:p>
    <w:p w:rsidR="00000133" w:rsidRDefault="00000133" w:rsidP="00000133">
      <w:pPr>
        <w:pStyle w:val="SingleTxt"/>
        <w:rPr>
          <w:rFonts w:hint="eastAsia"/>
        </w:rPr>
      </w:pPr>
      <w:r>
        <w:rPr>
          <w:rFonts w:hint="eastAsia"/>
        </w:rPr>
        <w:t>386.　2010年和2011年，监察员办公室针对个人免费获得法律服务的法律权利问题，在所有省级城市中心开展社区外联宣传方案。这一外联活动主要是在省级城市中心的学校进行的。</w:t>
      </w:r>
    </w:p>
    <w:p w:rsidR="00000133" w:rsidRDefault="00000133" w:rsidP="00000133">
      <w:pPr>
        <w:pStyle w:val="SingleTxt"/>
        <w:rPr>
          <w:rFonts w:hint="eastAsia"/>
        </w:rPr>
      </w:pPr>
      <w:r>
        <w:rPr>
          <w:rFonts w:hint="eastAsia"/>
        </w:rPr>
        <w:t>387.　每年向高等法院提出约400至500个民事案件，这些案件几乎没有一名女性原告或被告。大多数案件都是由男子提出，他们声称是卷入土地纠纷的家庭或部族的代表。即使在母系社会中，关于土地的决定也通常由男子作出。</w:t>
      </w:r>
    </w:p>
    <w:p w:rsidR="00000133" w:rsidRPr="00000133" w:rsidRDefault="00000133" w:rsidP="00000133">
      <w:pPr>
        <w:pStyle w:val="SingleTxt"/>
        <w:rPr>
          <w:rFonts w:ascii="SimHei" w:eastAsia="SimHei" w:hint="eastAsia"/>
          <w:sz w:val="24"/>
          <w:szCs w:val="24"/>
        </w:rPr>
      </w:pPr>
      <w:r w:rsidRPr="00000133">
        <w:rPr>
          <w:rFonts w:ascii="SimHei" w:eastAsia="SimHei" w:hint="eastAsia"/>
          <w:sz w:val="24"/>
          <w:szCs w:val="24"/>
        </w:rPr>
        <w:t>第16条：个人和家庭法</w:t>
      </w:r>
    </w:p>
    <w:p w:rsidR="00000133" w:rsidRPr="00834F55" w:rsidRDefault="00000133" w:rsidP="00000133">
      <w:pPr>
        <w:pStyle w:val="SingleTxt"/>
        <w:rPr>
          <w:rFonts w:ascii="SimHei" w:eastAsia="SimHei" w:hint="eastAsia"/>
        </w:rPr>
      </w:pPr>
      <w:r w:rsidRPr="00834F55">
        <w:rPr>
          <w:rFonts w:ascii="SimHei" w:eastAsia="SimHei" w:hint="eastAsia"/>
        </w:rPr>
        <w:t>法律背景</w:t>
      </w:r>
    </w:p>
    <w:p w:rsidR="00000133" w:rsidRDefault="00000133" w:rsidP="00000133">
      <w:pPr>
        <w:pStyle w:val="SingleTxt"/>
        <w:rPr>
          <w:rFonts w:hint="eastAsia"/>
        </w:rPr>
      </w:pPr>
      <w:r>
        <w:rPr>
          <w:rFonts w:hint="eastAsia"/>
        </w:rPr>
        <w:t>388.　1945年《岛民婚姻法》(第171章)承认习俗婚姻和正式婚姻。第4条规定，婚姻如由牧师或区登记官主持、或根据习俗举行，则具有效力。由牧师或区登记官主持的正式婚姻考虑双方是否同意。然而，习俗婚姻不考虑缔结婚姻的妇女是否完全和自由同意。因此，没有法律对妇女完全出于自愿同意缔结婚姻给予保障。1960年《岛民离婚法》(170章)对根据《岛民婚姻法》登记的习俗婚姻的离婚作出规定。第12(b)条规定，因胁迫或错误缔结的婚姻是无效的。</w:t>
      </w:r>
    </w:p>
    <w:p w:rsidR="00000133" w:rsidRDefault="00000133" w:rsidP="00000133">
      <w:pPr>
        <w:pStyle w:val="SingleTxt"/>
        <w:rPr>
          <w:rFonts w:hint="eastAsia"/>
        </w:rPr>
      </w:pPr>
      <w:r>
        <w:rPr>
          <w:rFonts w:hint="eastAsia"/>
        </w:rPr>
        <w:t>389.　《岛民婚姻法》第10条规定，男孩和女孩的最低结婚年龄为15岁，但这不适用于习俗婚姻。因此，法律没有禁止童婚的规定。</w:t>
      </w:r>
    </w:p>
    <w:p w:rsidR="00000133" w:rsidRDefault="00000133" w:rsidP="00000133">
      <w:pPr>
        <w:pStyle w:val="SingleTxt"/>
        <w:rPr>
          <w:rFonts w:hint="eastAsia"/>
        </w:rPr>
      </w:pPr>
      <w:r>
        <w:rPr>
          <w:rFonts w:hint="eastAsia"/>
        </w:rPr>
        <w:t>390.　正式婚姻必须根据《岛民婚姻法》第15条和第17条在区婚姻登记处登记。习俗婚姻可免于登记，但也可以根据该法第18条自愿地登记。《刑法》第170条规定，重婚是犯罪行为，但有一个例外，即根据习惯法缔结婚姻的仪式如未根据《岛民婚姻法》第18条的规定进行登记，则不被视为之前的有效婚姻。该法规定最高可判处七年监禁。《岛民婚姻法》第14条规定，重婚为犯罪，最高可处以五年监禁。然而，如同《刑法》规定的犯罪一样，这并不适用于尚未根据该法登记的习俗婚姻。</w:t>
      </w:r>
    </w:p>
    <w:p w:rsidR="00000133" w:rsidRDefault="00000133" w:rsidP="00000133">
      <w:pPr>
        <w:pStyle w:val="SingleTxt"/>
        <w:rPr>
          <w:rFonts w:hint="eastAsia"/>
        </w:rPr>
      </w:pPr>
      <w:r>
        <w:rPr>
          <w:rFonts w:hint="eastAsia"/>
        </w:rPr>
        <w:t>391.　没有任何法律障碍阻止妇女选择姓氏。</w:t>
      </w:r>
    </w:p>
    <w:p w:rsidR="00000133" w:rsidRDefault="00000133" w:rsidP="00000133">
      <w:pPr>
        <w:pStyle w:val="SingleTxt"/>
        <w:rPr>
          <w:rFonts w:hint="eastAsia"/>
        </w:rPr>
      </w:pPr>
      <w:r>
        <w:rPr>
          <w:rFonts w:hint="eastAsia"/>
        </w:rPr>
        <w:t>392.　在未成年人结婚方面，父母双方的同意是不平等的。《岛民婚姻法》第10条规定，15岁至18岁儿童如想结婚，须得到父亲的书面同意，如父亲死亡、缺席或精神不健全，则须得到母亲的同意。</w:t>
      </w:r>
    </w:p>
    <w:p w:rsidR="00000133" w:rsidRDefault="00000133" w:rsidP="00000133">
      <w:pPr>
        <w:pStyle w:val="SingleTxt"/>
        <w:rPr>
          <w:rFonts w:hint="eastAsia"/>
        </w:rPr>
      </w:pPr>
      <w:r>
        <w:rPr>
          <w:rFonts w:hint="eastAsia"/>
        </w:rPr>
        <w:t>393.　法律没有规定保障配偶双方在拥有、获得、经营、管理、享受和处置财产方面拥有平等地位。所罗门群岛法律没有对离婚后的婚姻财产分割作任何规定。因此，在提交法院审理的案件中，法院依据普通法原则来决定婚姻财产的分割。财产权基本上由习惯法决定，而习惯法根据《宪法》具有法律地位。因此，如果妇女根据习惯法在财产方面受到歧视，法律并不保障向其提供保护与平等。</w:t>
      </w:r>
    </w:p>
    <w:p w:rsidR="00000133" w:rsidRDefault="00000133" w:rsidP="00000133">
      <w:pPr>
        <w:pStyle w:val="SingleTxt"/>
        <w:rPr>
          <w:rFonts w:hint="eastAsia"/>
        </w:rPr>
      </w:pPr>
      <w:r>
        <w:rPr>
          <w:rFonts w:hint="eastAsia"/>
        </w:rPr>
        <w:t>394.　1971年《亲子关系、分居和抚养法》(第1章)根据过失标准判定分居。该法第13条确实规定了支付抚养费。该条规定，丈夫向妻子一次性支付一笔法院在考虑到双方财力后认为合理的款项。合理的标准没有在双方赚取收入的能力、承诺和需求方面提供足够的指导。此外，没有制定计算妇女作出的非财政贡献的标准。第17条规定，如妇女通奸，则撤销关于抚养费的命令。</w:t>
      </w:r>
    </w:p>
    <w:p w:rsidR="00000133" w:rsidRDefault="00000133" w:rsidP="00000133">
      <w:pPr>
        <w:pStyle w:val="SingleTxt"/>
        <w:rPr>
          <w:rFonts w:hint="eastAsia"/>
        </w:rPr>
      </w:pPr>
      <w:r>
        <w:rPr>
          <w:rFonts w:hint="eastAsia"/>
        </w:rPr>
        <w:t>395.　该法第22条规定，如发生无法达成和解或家庭暴力的情况，则任何一方可以占据婚姻住所。法律没有规定命令恢复夫妻同居权。</w:t>
      </w:r>
    </w:p>
    <w:p w:rsidR="00000133" w:rsidRDefault="00000133" w:rsidP="00000133">
      <w:pPr>
        <w:pStyle w:val="SingleTxt"/>
        <w:rPr>
          <w:rFonts w:hint="eastAsia"/>
        </w:rPr>
      </w:pPr>
      <w:r>
        <w:rPr>
          <w:rFonts w:hint="eastAsia"/>
        </w:rPr>
        <w:t>396.　1960年《岛民离婚法》(第170章)第5条规定，过失可以作为离婚的理由，其中包括5年分居。将过失作为理由就意味着证明发生有关婚姻关系的罪行，即配偶犯有通奸、遗弃至少三年、残忍和心智不健全至少五年。此外，如丈夫犯有强奸、鸡奸或兽奸行为，妇女可申请离婚。第13条规定，如果发生申请人在发现离婚理由后仍同意性交的情况，法院则不批准离婚。第3条规定，只有丈夫居住在所罗门群岛，该法才适用于习惯法婚姻。因此，如果丈夫不居住在所罗门群岛，妻子不能获得离婚。这并不适用于相反的情况。</w:t>
      </w:r>
    </w:p>
    <w:p w:rsidR="00000133" w:rsidRPr="00834F55" w:rsidRDefault="00000133" w:rsidP="00000133">
      <w:pPr>
        <w:pStyle w:val="SingleTxt"/>
        <w:rPr>
          <w:rFonts w:hint="eastAsia"/>
        </w:rPr>
      </w:pPr>
      <w:r>
        <w:rPr>
          <w:rFonts w:hint="eastAsia"/>
        </w:rPr>
        <w:t>397.　尽管法院实际上鼓励双方和解，但法院没有促进和解的义务。法院可根据《岛民离婚法》或《婚姻诉讼法》或《亲子关系、分居和抚养法》(第1章)，介绍双方到调解人那里处理，以协助受到或可能受到分居或离婚影响的双方解决一些或全部争议。</w:t>
      </w:r>
      <w:r w:rsidRPr="00834F55">
        <w:rPr>
          <w:rStyle w:val="FootnoteReference"/>
        </w:rPr>
        <w:footnoteReference w:id="73"/>
      </w:r>
      <w:r>
        <w:rPr>
          <w:rFonts w:hint="eastAsia"/>
        </w:rPr>
        <w:t xml:space="preserve"> </w:t>
      </w:r>
    </w:p>
    <w:p w:rsidR="00000133" w:rsidRDefault="00000133" w:rsidP="00000133">
      <w:pPr>
        <w:pStyle w:val="SingleTxt"/>
        <w:rPr>
          <w:rFonts w:hint="eastAsia"/>
        </w:rPr>
      </w:pPr>
      <w:r>
        <w:rPr>
          <w:rFonts w:hint="eastAsia"/>
        </w:rPr>
        <w:t>398.　法律没有规定分割财产。因此，没有承认未获薪酬的贡献、今后的需求和未来收入能力的法律标准。</w:t>
      </w:r>
    </w:p>
    <w:p w:rsidR="00000133" w:rsidRDefault="00000133" w:rsidP="00000133">
      <w:pPr>
        <w:pStyle w:val="SingleTxt"/>
        <w:rPr>
          <w:rFonts w:hint="eastAsia"/>
        </w:rPr>
      </w:pPr>
      <w:r>
        <w:rPr>
          <w:rFonts w:hint="eastAsia"/>
        </w:rPr>
        <w:t>399.　《岛民离婚法》(第170章)第21条规定离婚后支付公平和必要的儿童抚养费。这些标准并没有具体指出必须考虑到儿童的需要、赚取收入的能力和资产，以及父母双方各自的承诺。该条还规定在公平和必要的基础上支付配偶赡养费。关于抚养子女，法律没有规定要考虑到收入能力、资产和父母双方的承诺。</w:t>
      </w:r>
    </w:p>
    <w:p w:rsidR="00000133" w:rsidRDefault="00000133" w:rsidP="00000133">
      <w:pPr>
        <w:pStyle w:val="SingleTxt"/>
        <w:rPr>
          <w:rFonts w:hint="eastAsia"/>
        </w:rPr>
      </w:pPr>
      <w:r>
        <w:rPr>
          <w:rFonts w:hint="eastAsia"/>
        </w:rPr>
        <w:t>400.　《岛民离婚法》和《亲子关系、分居和抚养法》没有根据子女最佳利益的原则对监护权和探访权作出法律规定。</w:t>
      </w:r>
    </w:p>
    <w:p w:rsidR="00000133" w:rsidRDefault="00000133" w:rsidP="00000133">
      <w:pPr>
        <w:pStyle w:val="SingleTxt"/>
        <w:rPr>
          <w:rFonts w:hint="eastAsia"/>
        </w:rPr>
      </w:pPr>
      <w:r>
        <w:rPr>
          <w:rFonts w:hint="eastAsia"/>
        </w:rPr>
        <w:t>401.　《岛民离婚法》第18条规定，丈夫在申请离婚或分居时，可以通奸为由向第三方提出赔偿要求。如果丈夫通奸，该规定却不适用于妇女。</w:t>
      </w:r>
    </w:p>
    <w:p w:rsidR="00000133" w:rsidRDefault="00000133" w:rsidP="00000133">
      <w:pPr>
        <w:pStyle w:val="SingleTxt"/>
        <w:rPr>
          <w:rFonts w:hint="eastAsia"/>
        </w:rPr>
      </w:pPr>
      <w:r>
        <w:rPr>
          <w:rFonts w:hint="eastAsia"/>
        </w:rPr>
        <w:t>402.　根据2004年《领养法》，妇女在监护、监管、托管和领养方面拥有平等权利。根据习俗进行的领养由习惯法加以规范。</w:t>
      </w:r>
    </w:p>
    <w:p w:rsidR="00000133" w:rsidRDefault="00000133" w:rsidP="00000133">
      <w:pPr>
        <w:pStyle w:val="SingleTxt"/>
        <w:rPr>
          <w:rFonts w:hint="eastAsia"/>
        </w:rPr>
      </w:pPr>
      <w:r>
        <w:rPr>
          <w:rFonts w:hint="eastAsia"/>
        </w:rPr>
        <w:t>403.　有关家庭法的任何立法都不承认同居关系(包括同性伴侣)与婚姻拥有相同的权利。</w:t>
      </w:r>
    </w:p>
    <w:p w:rsidR="00000133" w:rsidRDefault="00000133" w:rsidP="00000133">
      <w:pPr>
        <w:pStyle w:val="SingleTxt"/>
        <w:rPr>
          <w:rFonts w:hint="eastAsia"/>
        </w:rPr>
      </w:pPr>
      <w:r>
        <w:rPr>
          <w:rFonts w:hint="eastAsia"/>
        </w:rPr>
        <w:t>404.　《亲子关系、分居和抚养法》第5条规定证明亲子关系的规则。但根据该条，只能根据申诉人提供的证据证明亲子关系，但必须具有旁证。该法规定，父亲向未婚母亲提供分娩费用。然而，这些都是在有限的情况下提供的。在出生三年内或如果父亲离开所罗门群岛则在其返回的12个月内，法院可以裁定支付分娩的附带费用。另外，只能在这些情况下命令支付非婚生子女的子女抚养费。该法规定，抚养费的数额应该合理并根据父亲的财力而定。</w:t>
      </w:r>
    </w:p>
    <w:p w:rsidR="00000133" w:rsidRDefault="00000133" w:rsidP="00000133">
      <w:pPr>
        <w:pStyle w:val="SingleTxt"/>
        <w:rPr>
          <w:rFonts w:hint="eastAsia"/>
        </w:rPr>
      </w:pPr>
      <w:r>
        <w:rPr>
          <w:rFonts w:hint="eastAsia"/>
        </w:rPr>
        <w:t>405.　法律没有要求法院适用《儿童权利公约》或《消除对妇女一切形式歧视公约》所载原则。</w:t>
      </w:r>
    </w:p>
    <w:p w:rsidR="00000133" w:rsidRDefault="00000133" w:rsidP="00000133">
      <w:pPr>
        <w:pStyle w:val="SingleTxt"/>
        <w:rPr>
          <w:rFonts w:hint="eastAsia"/>
        </w:rPr>
      </w:pPr>
      <w:r>
        <w:rPr>
          <w:rFonts w:hint="eastAsia"/>
        </w:rPr>
        <w:t>406.　《遗嘱、遗嘱验证和遗产管理法》(第33章)规定了平等继承的法律。然而，所罗门群岛《宪法》规定，习惯法具有正式的法律地位。因此，在有些情况下，歧视妇女的习惯继承法可能是合法的。</w:t>
      </w:r>
    </w:p>
    <w:p w:rsidR="00000133" w:rsidRPr="00834F55" w:rsidRDefault="00000133" w:rsidP="00000133">
      <w:pPr>
        <w:pStyle w:val="SingleTxt"/>
        <w:rPr>
          <w:rFonts w:ascii="SimHei" w:eastAsia="SimHei" w:hint="eastAsia"/>
        </w:rPr>
      </w:pPr>
      <w:r w:rsidRPr="00834F55">
        <w:rPr>
          <w:rFonts w:ascii="SimHei" w:eastAsia="SimHei" w:hint="eastAsia"/>
        </w:rPr>
        <w:t>法律的适用</w:t>
      </w:r>
    </w:p>
    <w:p w:rsidR="00000133" w:rsidRDefault="00000133" w:rsidP="00000133">
      <w:pPr>
        <w:pStyle w:val="SingleTxt"/>
        <w:rPr>
          <w:rFonts w:hint="eastAsia"/>
        </w:rPr>
      </w:pPr>
      <w:r>
        <w:rPr>
          <w:rFonts w:hint="eastAsia"/>
        </w:rPr>
        <w:t>407.　习俗婚姻免于登记的做法降低了登记在协助防止重婚和童婚方面的作用，因为这些情况在习惯法中更有可能发生。此外，将习俗婚姻排除在重婚罪之外，也让这一习俗得以继续合法存在。未成年人结婚首先需要得到父亲同意的要求，使得男子是一家之主的陈规定型观念长期存在。</w:t>
      </w:r>
    </w:p>
    <w:p w:rsidR="00000133" w:rsidRDefault="00000133" w:rsidP="00000133">
      <w:pPr>
        <w:pStyle w:val="SingleTxt"/>
        <w:rPr>
          <w:rFonts w:hint="eastAsia"/>
        </w:rPr>
      </w:pPr>
      <w:r>
        <w:rPr>
          <w:rFonts w:hint="eastAsia"/>
        </w:rPr>
        <w:t>408.　早婚习俗已经减少，但仍然常见于农村地区和穷人之中。贫穷父母往往认为，早婚可以保护自己的女儿，给她们带来机会。实际情况往往相反。早婚通常让她们失去发展机会和生活选择，造成身体不健康。</w:t>
      </w:r>
    </w:p>
    <w:p w:rsidR="00000133" w:rsidRDefault="00000133" w:rsidP="00000133">
      <w:pPr>
        <w:pStyle w:val="SingleTxt"/>
        <w:rPr>
          <w:rFonts w:hint="eastAsia"/>
        </w:rPr>
      </w:pPr>
      <w:r>
        <w:rPr>
          <w:rFonts w:hint="eastAsia"/>
        </w:rPr>
        <w:t>409.　《岛民离婚法》第18条显然具有歧视性，因为它意味着丈夫的财产如果被另一男人夺去，丈夫有权得到赔偿。这一规定对妇女具有歧视性，也反映了彩礼习俗所造成的陈规定型观念。在Sasango诉Beliga案</w:t>
      </w:r>
      <w:r>
        <w:rPr>
          <w:rStyle w:val="FootnoteReference"/>
        </w:rPr>
        <w:footnoteReference w:id="74"/>
      </w:r>
      <w:r>
        <w:rPr>
          <w:rFonts w:hint="eastAsia"/>
        </w:rPr>
        <w:t xml:space="preserve"> 中，法院认为，子女的最佳利益优先于习惯法中关于子女监护权的规则，即使妇女与他人发生了习俗认为不适当的关系。</w:t>
      </w:r>
    </w:p>
    <w:p w:rsidR="00000133" w:rsidRPr="00834F55" w:rsidRDefault="00000133" w:rsidP="00000133">
      <w:pPr>
        <w:pStyle w:val="SingleTxt"/>
        <w:rPr>
          <w:rFonts w:hint="eastAsia"/>
        </w:rPr>
      </w:pPr>
      <w:r>
        <w:rPr>
          <w:rFonts w:hint="eastAsia"/>
        </w:rPr>
        <w:t xml:space="preserve">410.　</w:t>
      </w:r>
      <w:r w:rsidRPr="00834F55">
        <w:rPr>
          <w:rFonts w:hint="eastAsia"/>
          <w:spacing w:val="2"/>
        </w:rPr>
        <w:t>所罗门群岛的土地大部分为习惯拥有的土地，因此土地继承主要受习惯法管制。习惯法往往歧视妇女，在土地和其他资产的所有权方面没有规定平等地位。法院在适用《宪法》第15条所载的不歧视豁免规定时，并没有做到一以贯之。因此，目前还不清楚《宪法》的意图是让所有习惯法获得反歧视豁免(广义的解释)，还是应该作出较为狭义的解释，将豁免限于何时或如何适用习惯法的法律</w:t>
      </w:r>
      <w:r>
        <w:rPr>
          <w:rFonts w:hint="eastAsia"/>
        </w:rPr>
        <w:t>。</w:t>
      </w:r>
      <w:r>
        <w:rPr>
          <w:rStyle w:val="FootnoteReference"/>
        </w:rPr>
        <w:footnoteReference w:id="75"/>
      </w:r>
      <w:r>
        <w:rPr>
          <w:rFonts w:hint="eastAsia"/>
        </w:rPr>
        <w:t xml:space="preserve"> </w:t>
      </w:r>
    </w:p>
    <w:p w:rsidR="00000133" w:rsidRDefault="00000133" w:rsidP="00000133">
      <w:pPr>
        <w:pStyle w:val="SingleTxt"/>
        <w:rPr>
          <w:rFonts w:hint="eastAsia"/>
        </w:rPr>
      </w:pPr>
      <w:r>
        <w:rPr>
          <w:rFonts w:hint="eastAsia"/>
        </w:rPr>
        <w:t>411.　尽管《宪法》授权议会制定有关适用习惯法的法律，但议会制定的法案都没有对该规定的解释作出说明。法院在一些场合审议了这一问题，但自《消除对妇女歧视公约》获得批准以来未再进行审议。关于这些裁定的完整讨论见第1条和第2条。</w:t>
      </w:r>
    </w:p>
    <w:p w:rsidR="00000133" w:rsidRDefault="00000133" w:rsidP="00000133">
      <w:pPr>
        <w:pStyle w:val="SingleTxt"/>
        <w:rPr>
          <w:rFonts w:hint="eastAsia"/>
        </w:rPr>
      </w:pPr>
      <w:r>
        <w:rPr>
          <w:rFonts w:hint="eastAsia"/>
        </w:rPr>
        <w:t>412</w:t>
      </w:r>
      <w:r>
        <w:t>.</w:t>
      </w:r>
      <w:r>
        <w:rPr>
          <w:rFonts w:hint="eastAsia"/>
        </w:rPr>
        <w:t xml:space="preserve">　在适用《岛民离婚法》和《亲子关系、分居和抚养法》时，法院似乎考虑到子女的最佳利益原则。在根据《亲子关系、分居和抚养法》进行的有关子女监护权的诉讼中，法院依靠现有判例法来适用“子女最佳利益”原则。</w:t>
      </w:r>
    </w:p>
    <w:p w:rsidR="00000133" w:rsidRDefault="00000133" w:rsidP="00000133">
      <w:pPr>
        <w:pStyle w:val="SingleTxt"/>
        <w:rPr>
          <w:rFonts w:hint="eastAsia"/>
        </w:rPr>
      </w:pPr>
      <w:r>
        <w:rPr>
          <w:rFonts w:hint="eastAsia"/>
        </w:rPr>
        <w:t>413.　对申请子女抚养费规定的法定时限具有歧视性。子女在18岁之前仍然为子女，抚养子女的费用在此之前都应分担，而无论是在何时申请发布命令。此外，就子女抚养费的数额而言，考虑的因素应远远多于父亲的财力，还应包括子女的需求、双方的收入能力和双方的承诺。</w:t>
      </w:r>
    </w:p>
    <w:p w:rsidR="00000133" w:rsidRDefault="00000133" w:rsidP="00000133">
      <w:pPr>
        <w:pStyle w:val="SingleTxt"/>
        <w:rPr>
          <w:rFonts w:hint="eastAsia"/>
        </w:rPr>
      </w:pPr>
      <w:r>
        <w:rPr>
          <w:rFonts w:hint="eastAsia"/>
        </w:rPr>
        <w:t>414.　《亲子关系、分居和抚养法》关于在证明亲子关系时提供旁证的规定非常具有歧视性。提供旁证的法律规定意味着，妇女提供的证据不具有足够的可信度和可靠性，如果没有旁证则不能单独予以采信。此外，考虑到各种情况，提供旁证可能有困难。</w:t>
      </w:r>
    </w:p>
    <w:p w:rsidR="00000133" w:rsidRPr="00834F55" w:rsidRDefault="00000133" w:rsidP="00000133">
      <w:pPr>
        <w:pStyle w:val="SingleTxt"/>
        <w:rPr>
          <w:rFonts w:ascii="SimHei" w:eastAsia="SimHei" w:hint="eastAsia"/>
        </w:rPr>
      </w:pPr>
      <w:r w:rsidRPr="00834F55">
        <w:rPr>
          <w:rFonts w:ascii="SimHei" w:eastAsia="SimHei" w:hint="eastAsia"/>
        </w:rPr>
        <w:t>法律改革</w:t>
      </w:r>
    </w:p>
    <w:p w:rsidR="00000133" w:rsidRDefault="00000133" w:rsidP="00000133">
      <w:pPr>
        <w:pStyle w:val="SingleTxt"/>
        <w:rPr>
          <w:rFonts w:hint="eastAsia"/>
        </w:rPr>
      </w:pPr>
      <w:r>
        <w:rPr>
          <w:rFonts w:hint="eastAsia"/>
        </w:rPr>
        <w:t>415.　目前，所罗门群岛法律改革委员会多次提到法律审查，其中包括《刑法》、《刑事诉讼法》、《亲子关系、分居和抚养法》、《岛民婚姻法》和《岛民离婚法》。预计这些审查将关注保护和促进妇女和儿童权利的条款。法律改革委员会的法律审查是一个非常耗时的任务，需要与社区和利益攸关方开展广泛协商。由于工作量很大、人力资源方面的限制、财政制约和立法优先事项的确定，对《亲子关系、分居和抚养法》、《岛民离婚法》和《岛民婚姻法》的审查尚未开始。</w:t>
      </w:r>
    </w:p>
    <w:p w:rsidR="00000133" w:rsidRPr="00834F55" w:rsidRDefault="00000133" w:rsidP="00000133">
      <w:pPr>
        <w:pStyle w:val="SingleTxt"/>
        <w:rPr>
          <w:rFonts w:ascii="SimHei" w:eastAsia="SimHei" w:hint="eastAsia"/>
        </w:rPr>
      </w:pPr>
      <w:r w:rsidRPr="00834F55">
        <w:rPr>
          <w:rFonts w:ascii="SimHei" w:eastAsia="SimHei" w:hint="eastAsia"/>
        </w:rPr>
        <w:t>习俗婚姻</w:t>
      </w:r>
    </w:p>
    <w:p w:rsidR="00000133" w:rsidRDefault="00000133" w:rsidP="00000133">
      <w:pPr>
        <w:pStyle w:val="SingleTxt"/>
        <w:rPr>
          <w:rFonts w:hint="eastAsia"/>
        </w:rPr>
      </w:pPr>
      <w:r>
        <w:rPr>
          <w:rFonts w:hint="eastAsia"/>
        </w:rPr>
        <w:t>416.</w:t>
      </w:r>
      <w:r w:rsidRPr="00B54CA9">
        <w:rPr>
          <w:rFonts w:hint="eastAsia"/>
          <w:spacing w:val="-2"/>
        </w:rPr>
        <w:t xml:space="preserve">　在所罗门群岛，支付彩礼仍然是一种普遍做法，但并不是所有地区都是如此。彩礼是早婚的一个重要促成因素。在传统上，支付彩礼的做法是巩固部族之间社会关系的一种手段。新郎的家庭赠送礼物，借此对新娘家庭嫁女表示感谢。彩礼的意义在于女儿对于她的家庭的价值。然而，支付彩礼的传统有时遭到滥用。</w:t>
      </w:r>
      <w:r w:rsidRPr="00B54CA9">
        <w:rPr>
          <w:rStyle w:val="FootnoteReference"/>
          <w:spacing w:val="-2"/>
        </w:rPr>
        <w:footnoteReference w:id="76"/>
      </w:r>
      <w:r w:rsidRPr="00B54CA9">
        <w:rPr>
          <w:rFonts w:hint="eastAsia"/>
          <w:spacing w:val="-2"/>
        </w:rPr>
        <w:t xml:space="preserve"> 由于</w:t>
      </w:r>
      <w:r>
        <w:rPr>
          <w:rFonts w:hint="eastAsia"/>
        </w:rPr>
        <w:t>商品经济的出现，新娘在某些情况下已成为一种商品，而不是积极社会关系的象征。</w:t>
      </w:r>
      <w:r>
        <w:rPr>
          <w:rStyle w:val="FootnoteReference"/>
        </w:rPr>
        <w:footnoteReference w:id="77"/>
      </w:r>
      <w:r>
        <w:rPr>
          <w:rFonts w:hint="eastAsia"/>
        </w:rPr>
        <w:t xml:space="preserve"> 这一习俗可能剥夺妇女作出决策的权利，并在某些情况下引发有关新娘和婚内所生子女的“所有权”争议。</w:t>
      </w:r>
    </w:p>
    <w:p w:rsidR="00000133" w:rsidRDefault="00000133" w:rsidP="00000133">
      <w:pPr>
        <w:pStyle w:val="SingleTxt"/>
        <w:rPr>
          <w:rFonts w:hint="eastAsia"/>
        </w:rPr>
      </w:pPr>
      <w:r>
        <w:rPr>
          <w:rFonts w:hint="eastAsia"/>
        </w:rPr>
        <w:t>417.　最近的一些研究已认识到，彩礼和包办婚姻的习俗可能引起儿童保护问题。2010年完成的题为“太平洋地区不与父母同住儿童”的报告和2009年完成的题为“太平洋地区对儿童的性虐待和商业剥削现象”的报告都提及彩礼和包办婚姻习俗带来的危险。</w:t>
      </w:r>
    </w:p>
    <w:p w:rsidR="00000133" w:rsidRDefault="00000133" w:rsidP="00000133">
      <w:pPr>
        <w:pStyle w:val="SingleTxt"/>
        <w:rPr>
          <w:rFonts w:hint="eastAsia"/>
        </w:rPr>
      </w:pPr>
      <w:r>
        <w:rPr>
          <w:rFonts w:hint="eastAsia"/>
        </w:rPr>
        <w:t>418.　由一些发展伙伴汇编的《太平洋地区对儿童的性虐待和商业剥削现象：区域报告(2006年)》是一份区域性报告，其中载有2004年10月至2005年6月在所罗门群岛和其他太平洋国家内开展调查研究的结果。该报告发现，存在外国人以向家庭支付现金或礼物为交换，与年龄低至12岁女童结婚的现象。</w:t>
      </w:r>
      <w:r>
        <w:rPr>
          <w:rStyle w:val="FootnoteReference"/>
        </w:rPr>
        <w:footnoteReference w:id="78"/>
      </w:r>
      <w:r>
        <w:rPr>
          <w:rFonts w:hint="eastAsia"/>
        </w:rPr>
        <w:t xml:space="preserve"> 由于彩礼传统作祟，用现金或礼物交换女童的做法被认为是合理的。</w:t>
      </w:r>
    </w:p>
    <w:p w:rsidR="00000133" w:rsidRDefault="00000133" w:rsidP="00000133">
      <w:pPr>
        <w:pStyle w:val="SingleTxt"/>
        <w:rPr>
          <w:rFonts w:hint="eastAsia"/>
        </w:rPr>
      </w:pPr>
      <w:r>
        <w:rPr>
          <w:rFonts w:hint="eastAsia"/>
        </w:rPr>
        <w:t>419.　国家组织和非政府组织已作出巨大努力，提高妇女对其个人权利和家庭权利的认识。在发展伙伴资助下，家庭支助中心为妇女编写了一系列法律扫盲方面的资料小册子。专题包括：何为法律？法律援助、分居、监护和探视；保护和禁止令；亲子关系和子女抚养；婚姻、离婚和婚姻财产。公设律师办公室还提供了一系列资料。</w:t>
      </w:r>
      <w:r>
        <w:rPr>
          <w:rStyle w:val="FootnoteReference"/>
        </w:rPr>
        <w:footnoteReference w:id="79"/>
      </w:r>
      <w:r>
        <w:rPr>
          <w:rFonts w:hint="eastAsia"/>
        </w:rPr>
        <w:t xml:space="preserve"> </w:t>
      </w:r>
    </w:p>
    <w:p w:rsidR="00EA31C3" w:rsidRPr="00000133" w:rsidRDefault="00000133" w:rsidP="00000133">
      <w:pPr>
        <w:pStyle w:val="SingleTxt"/>
        <w:spacing w:after="0" w:line="240" w:lineRule="auto"/>
        <w:rPr>
          <w:sz w:val="20"/>
        </w:rPr>
      </w:pPr>
      <w:r>
        <w:rPr>
          <w:noProof/>
          <w:sz w:val="20"/>
        </w:rPr>
        <w:pict>
          <v:line id="_x0000_s1028" style="position:absolute;left:0;text-align:left;z-index:3;mso-position-horizontal:center" from="0,30pt" to="1in,30pt" strokeweight=".25pt"/>
        </w:pict>
      </w:r>
    </w:p>
    <w:sectPr w:rsidR="00EA31C3" w:rsidRPr="00000133" w:rsidSect="00123125">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2-27T14:02:00Z" w:initials="Start">
    <w:p w:rsidR="00375094" w:rsidRDefault="00375094">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NO&gt;&gt;N1354257C&lt;&lt;ODS JOB NO&gt;&gt;</w:t>
      </w:r>
    </w:p>
    <w:p w:rsidR="00375094" w:rsidRDefault="00375094">
      <w:pPr>
        <w:pStyle w:val="CommentText"/>
      </w:pPr>
      <w:r>
        <w:t>&lt;&lt;ODS DOC SYMBOL1&gt;&gt;CEDAW/C/SLB/1-3&lt;&lt;ODS DOC SYMBOL1&gt;&gt;</w:t>
      </w:r>
    </w:p>
    <w:p w:rsidR="00375094" w:rsidRDefault="00375094">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528B" w:rsidRDefault="00D4528B">
      <w:r>
        <w:separator/>
      </w:r>
    </w:p>
  </w:endnote>
  <w:endnote w:type="continuationSeparator" w:id="0">
    <w:p w:rsidR="00D4528B" w:rsidRDefault="00D4528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System">
    <w:panose1 w:val="00000000000000000000"/>
    <w:charset w:val="00"/>
    <w:family w:val="swiss"/>
    <w:notTrueType/>
    <w:pitch w:val="variable"/>
    <w:sig w:usb0="00000003" w:usb1="00000000" w:usb2="00000000" w:usb3="00000000" w:csb0="00000001" w:csb1="00000000"/>
  </w:font>
  <w:font w:name="STZhongsong">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75094" w:rsidTr="00123125">
      <w:tblPrEx>
        <w:tblCellMar>
          <w:top w:w="0" w:type="dxa"/>
          <w:bottom w:w="0" w:type="dxa"/>
        </w:tblCellMar>
      </w:tblPrEx>
      <w:tc>
        <w:tcPr>
          <w:tcW w:w="5033" w:type="dxa"/>
          <w:shd w:val="clear" w:color="auto" w:fill="auto"/>
        </w:tcPr>
        <w:p w:rsidR="00375094" w:rsidRPr="00123125" w:rsidRDefault="00375094" w:rsidP="00123125">
          <w:pPr>
            <w:pStyle w:val="Footer"/>
            <w:jc w:val="right"/>
            <w:rPr>
              <w:b w:val="0"/>
              <w:w w:val="103"/>
              <w:sz w:val="14"/>
            </w:rPr>
          </w:pPr>
          <w:fldSimple w:instr=" DOCVARIABLE &quot;FooterJN&quot; \* MERGEFORMAT ">
            <w:r>
              <w:rPr>
                <w:b w:val="0"/>
                <w:w w:val="103"/>
                <w:sz w:val="14"/>
              </w:rPr>
              <w:t>13-54257 (C)</w:t>
            </w:r>
          </w:fldSimple>
        </w:p>
      </w:tc>
      <w:tc>
        <w:tcPr>
          <w:tcW w:w="5033" w:type="dxa"/>
          <w:shd w:val="clear" w:color="auto" w:fill="auto"/>
        </w:tcPr>
        <w:p w:rsidR="00375094" w:rsidRPr="00123125" w:rsidRDefault="00375094" w:rsidP="00123125">
          <w:pPr>
            <w:pStyle w:val="Footer"/>
            <w:jc w:val="left"/>
            <w:rPr>
              <w:w w:val="103"/>
            </w:rPr>
          </w:pPr>
          <w:r>
            <w:rPr>
              <w:w w:val="103"/>
            </w:rPr>
            <w:fldChar w:fldCharType="begin"/>
          </w:r>
          <w:r>
            <w:rPr>
              <w:w w:val="103"/>
            </w:rPr>
            <w:instrText xml:space="preserve"> PAGE  \* Arabic  \* MERGEFORMAT </w:instrText>
          </w:r>
          <w:r>
            <w:rPr>
              <w:w w:val="103"/>
            </w:rPr>
            <w:fldChar w:fldCharType="separate"/>
          </w:r>
          <w:r>
            <w:rPr>
              <w:w w:val="103"/>
            </w:rPr>
            <w:t>4</w:t>
          </w:r>
          <w:r>
            <w:rPr>
              <w:w w:val="103"/>
            </w:rPr>
            <w:fldChar w:fldCharType="end"/>
          </w:r>
          <w:r>
            <w:rPr>
              <w:w w:val="103"/>
            </w:rPr>
            <w:t>/</w:t>
          </w:r>
          <w:fldSimple w:instr=" NUMPAGES  \* Arabic  \* MERGEFORMAT ">
            <w:r>
              <w:rPr>
                <w:w w:val="103"/>
              </w:rPr>
              <w:t>80</w:t>
            </w:r>
          </w:fldSimple>
        </w:p>
      </w:tc>
    </w:tr>
  </w:tbl>
  <w:p w:rsidR="00375094" w:rsidRPr="00123125" w:rsidRDefault="00375094" w:rsidP="0012312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75094" w:rsidTr="00123125">
      <w:tblPrEx>
        <w:tblCellMar>
          <w:top w:w="0" w:type="dxa"/>
          <w:bottom w:w="0" w:type="dxa"/>
        </w:tblCellMar>
      </w:tblPrEx>
      <w:tc>
        <w:tcPr>
          <w:tcW w:w="5033" w:type="dxa"/>
          <w:shd w:val="clear" w:color="auto" w:fill="auto"/>
        </w:tcPr>
        <w:p w:rsidR="00375094" w:rsidRPr="00123125" w:rsidRDefault="00375094" w:rsidP="00123125">
          <w:pPr>
            <w:pStyle w:val="Footer"/>
            <w:jc w:val="right"/>
          </w:pPr>
          <w:fldSimple w:instr=" PAGE  \* Arabic  \* MERGEFORMAT ">
            <w:r>
              <w:t>3</w:t>
            </w:r>
          </w:fldSimple>
          <w:r>
            <w:t>/</w:t>
          </w:r>
          <w:fldSimple w:instr=" NUMPAGES  \* Arabic  \* MERGEFORMAT ">
            <w:r>
              <w:t>80</w:t>
            </w:r>
          </w:fldSimple>
        </w:p>
      </w:tc>
      <w:tc>
        <w:tcPr>
          <w:tcW w:w="5033" w:type="dxa"/>
          <w:shd w:val="clear" w:color="auto" w:fill="auto"/>
        </w:tcPr>
        <w:p w:rsidR="00375094" w:rsidRPr="00123125" w:rsidRDefault="00375094" w:rsidP="00123125">
          <w:pPr>
            <w:pStyle w:val="Footer"/>
            <w:jc w:val="left"/>
            <w:rPr>
              <w:b w:val="0"/>
              <w:w w:val="103"/>
              <w:sz w:val="14"/>
            </w:rPr>
          </w:pPr>
          <w:fldSimple w:instr=" DOCVARIABLE &quot;FooterJN&quot; \* MERGEFORMAT ">
            <w:r>
              <w:rPr>
                <w:b w:val="0"/>
                <w:w w:val="103"/>
                <w:sz w:val="14"/>
              </w:rPr>
              <w:t>13-54257 (C)</w:t>
            </w:r>
          </w:fldSimple>
        </w:p>
      </w:tc>
    </w:tr>
  </w:tbl>
  <w:p w:rsidR="00375094" w:rsidRPr="00123125" w:rsidRDefault="00375094" w:rsidP="0012312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375094" w:rsidTr="00123125">
      <w:tblPrEx>
        <w:tblCellMar>
          <w:top w:w="0" w:type="dxa"/>
          <w:bottom w:w="0" w:type="dxa"/>
        </w:tblCellMar>
      </w:tblPrEx>
      <w:tc>
        <w:tcPr>
          <w:tcW w:w="5033" w:type="dxa"/>
        </w:tcPr>
        <w:p w:rsidR="00375094" w:rsidRDefault="00375094" w:rsidP="00123125">
          <w:pPr>
            <w:pStyle w:val="Footer"/>
            <w:rPr>
              <w:rFonts w:hint="eastAsia"/>
              <w:b w:val="0"/>
              <w:sz w:val="21"/>
            </w:rPr>
          </w:pPr>
          <w:fldSimple w:instr=" DOCVARIABLE &quot;jobn&quot; \* MERGEFORMAT ">
            <w:r>
              <w:rPr>
                <w:b w:val="0"/>
                <w:sz w:val="21"/>
              </w:rPr>
              <w:t>13-54257 (C)</w:t>
            </w:r>
          </w:fldSimple>
          <w:r>
            <w:rPr>
              <w:b w:val="0"/>
              <w:sz w:val="21"/>
            </w:rPr>
            <w:t xml:space="preserve">    </w:t>
          </w:r>
          <w:r>
            <w:rPr>
              <w:rFonts w:hint="eastAsia"/>
              <w:b w:val="0"/>
              <w:sz w:val="21"/>
            </w:rPr>
            <w:t>201213</w:t>
          </w:r>
          <w:r>
            <w:rPr>
              <w:b w:val="0"/>
              <w:sz w:val="21"/>
            </w:rPr>
            <w:t xml:space="preserve">    </w:t>
          </w:r>
          <w:r>
            <w:rPr>
              <w:rFonts w:hint="eastAsia"/>
              <w:b w:val="0"/>
              <w:sz w:val="21"/>
            </w:rPr>
            <w:t>070314</w:t>
          </w:r>
        </w:p>
        <w:p w:rsidR="00375094" w:rsidRPr="00123125" w:rsidRDefault="00375094" w:rsidP="00123125">
          <w:pPr>
            <w:spacing w:before="80" w:line="210" w:lineRule="exact"/>
            <w:rPr>
              <w:rFonts w:ascii="Barcode 3 of 9 by request" w:hAnsi="Barcode 3 of 9 by request"/>
              <w:sz w:val="24"/>
            </w:rPr>
          </w:pPr>
          <w:r>
            <w:rPr>
              <w:rFonts w:ascii="Barcode 3 of 9 by request" w:hAnsi="Barcode 3 of 9 by request" w:hint="eastAsia"/>
              <w:sz w:val="24"/>
            </w:rPr>
            <w:t>*1354257*</w:t>
          </w:r>
        </w:p>
      </w:tc>
      <w:tc>
        <w:tcPr>
          <w:tcW w:w="3686" w:type="dxa"/>
        </w:tcPr>
        <w:p w:rsidR="00375094" w:rsidRDefault="00375094" w:rsidP="00123125">
          <w:pPr>
            <w:pStyle w:val="Footer"/>
            <w:jc w:val="right"/>
            <w:rPr>
              <w:b w:val="0"/>
              <w:sz w:val="21"/>
            </w:rPr>
          </w:pPr>
          <w:r w:rsidRPr="00123125">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375094" w:rsidRPr="00123125" w:rsidRDefault="00375094" w:rsidP="00123125">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528B" w:rsidRPr="00D95D43" w:rsidRDefault="00D4528B" w:rsidP="00D95D43">
      <w:pPr>
        <w:pStyle w:val="Footer"/>
        <w:spacing w:after="80"/>
        <w:ind w:left="792"/>
        <w:rPr>
          <w:sz w:val="16"/>
        </w:rPr>
      </w:pPr>
      <w:r w:rsidRPr="00D95D43">
        <w:rPr>
          <w:sz w:val="16"/>
        </w:rPr>
        <w:t>__________________</w:t>
      </w:r>
    </w:p>
  </w:footnote>
  <w:footnote w:type="continuationSeparator" w:id="0">
    <w:p w:rsidR="00D4528B" w:rsidRPr="00D95D43" w:rsidRDefault="00D4528B" w:rsidP="00D95D43">
      <w:pPr>
        <w:pStyle w:val="Footer"/>
        <w:spacing w:after="80"/>
        <w:ind w:left="792"/>
        <w:rPr>
          <w:sz w:val="16"/>
        </w:rPr>
      </w:pPr>
      <w:r w:rsidRPr="00D95D43">
        <w:rPr>
          <w:sz w:val="16"/>
        </w:rPr>
        <w:t>__________________</w:t>
      </w:r>
    </w:p>
  </w:footnote>
  <w:footnote w:id="1">
    <w:p w:rsidR="00375094" w:rsidRPr="00F82231" w:rsidRDefault="00375094" w:rsidP="00D95D43">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F82231">
        <w:rPr>
          <w:rFonts w:hint="eastAsia"/>
        </w:rPr>
        <w:t>《消除对妇女歧视公约》的一项基本原则是实质上的平等。它承认平等待遇不等于完全相同的待遇，有必要根据男女的情况给予他们不同的待遇，以确定他们的平等价值，并加强他们平等参与社会的能力。见2008年《平等原则宣言》，平等权利信托基金，伦敦。</w:t>
      </w:r>
    </w:p>
  </w:footnote>
  <w:footnote w:id="2">
    <w:p w:rsidR="00375094" w:rsidRPr="00F82231" w:rsidRDefault="00375094" w:rsidP="00D95D43">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F82231">
        <w:rPr>
          <w:rFonts w:hint="eastAsia"/>
        </w:rPr>
        <w:t>1966年《刑法》第162条(a)就是一个例子。该条规定</w:t>
      </w:r>
      <w:r>
        <w:rPr>
          <w:rFonts w:hint="eastAsia"/>
        </w:rPr>
        <w:t>：</w:t>
      </w:r>
      <w:r w:rsidRPr="00F82231">
        <w:rPr>
          <w:rFonts w:hint="eastAsia"/>
        </w:rPr>
        <w:t>“无论是在公共场合还是私人场合，任何个人与同性实施的严重猥亵行为均构成犯罪”。该条规定最多可判处五年监禁。这一条款适用于男子和妇女。它歧视有同性恋爱关系的妇女和男子，使他们须承担受到刑法处罚的法律责任。与男同性恋相比，女同性恋更加脆弱。</w:t>
      </w:r>
    </w:p>
  </w:footnote>
  <w:footnote w:id="3">
    <w:p w:rsidR="00375094" w:rsidRPr="00F82231" w:rsidRDefault="00375094" w:rsidP="00D95D43">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F82231">
        <w:rPr>
          <w:rFonts w:hint="eastAsia"/>
        </w:rPr>
        <w:t>[2012] SBHC 118；HCSI-CRC 195 of 2011</w:t>
      </w:r>
      <w:r>
        <w:rPr>
          <w:rFonts w:hint="eastAsia"/>
        </w:rPr>
        <w:t>。</w:t>
      </w:r>
    </w:p>
  </w:footnote>
  <w:footnote w:id="4">
    <w:p w:rsidR="00375094" w:rsidRPr="00F82231" w:rsidRDefault="00375094" w:rsidP="00D95D43">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F82231">
        <w:rPr>
          <w:rFonts w:hint="eastAsia"/>
        </w:rPr>
        <w:t>第</w:t>
      </w:r>
      <w:r>
        <w:rPr>
          <w:rFonts w:hint="eastAsia"/>
        </w:rPr>
        <w:t>15</w:t>
      </w:r>
      <w:r w:rsidRPr="00F82231">
        <w:rPr>
          <w:rFonts w:hint="eastAsia"/>
        </w:rPr>
        <w:t>和16条。</w:t>
      </w:r>
    </w:p>
  </w:footnote>
  <w:footnote w:id="5">
    <w:p w:rsidR="00375094" w:rsidRPr="00F82231" w:rsidRDefault="00375094" w:rsidP="00D95D43">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F82231">
        <w:rPr>
          <w:rFonts w:hint="eastAsia"/>
        </w:rPr>
        <w:t>见上文第5段。</w:t>
      </w:r>
    </w:p>
  </w:footnote>
  <w:footnote w:id="6">
    <w:p w:rsidR="00375094" w:rsidRPr="00F82231" w:rsidRDefault="00375094" w:rsidP="00D95D43">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Pr>
          <w:rFonts w:hint="eastAsia"/>
        </w:rPr>
        <w:t>Hedditch,S.Manuel,C.</w:t>
      </w:r>
      <w:r w:rsidRPr="00F82231">
        <w:rPr>
          <w:rFonts w:hint="eastAsia"/>
        </w:rPr>
        <w:t>Solomon Islands Gender and Investment Climate R</w:t>
      </w:r>
      <w:r>
        <w:rPr>
          <w:rFonts w:hint="eastAsia"/>
        </w:rPr>
        <w:t>eform Assessment, January 2010,</w:t>
      </w:r>
      <w:r w:rsidRPr="00F82231">
        <w:rPr>
          <w:rFonts w:hint="eastAsia"/>
        </w:rPr>
        <w:t>International Finan</w:t>
      </w:r>
      <w:r>
        <w:rPr>
          <w:rFonts w:hint="eastAsia"/>
        </w:rPr>
        <w:t>ce Corporation,</w:t>
      </w:r>
      <w:r w:rsidRPr="00F82231">
        <w:rPr>
          <w:rFonts w:hint="eastAsia"/>
        </w:rPr>
        <w:t>p11。</w:t>
      </w:r>
    </w:p>
  </w:footnote>
  <w:footnote w:id="7">
    <w:p w:rsidR="00375094" w:rsidRPr="00E76FE1" w:rsidRDefault="00375094" w:rsidP="00D95D43">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r>
      <w:r w:rsidRPr="00E76FE1">
        <w:rPr>
          <w:rFonts w:hint="eastAsia"/>
        </w:rPr>
        <w:t>Unreported</w:t>
      </w:r>
      <w:r>
        <w:rPr>
          <w:rFonts w:hint="eastAsia"/>
        </w:rPr>
        <w:t xml:space="preserve">, </w:t>
      </w:r>
      <w:r w:rsidRPr="00E76FE1">
        <w:rPr>
          <w:rFonts w:hint="eastAsia"/>
        </w:rPr>
        <w:t>High Court</w:t>
      </w:r>
      <w:r>
        <w:rPr>
          <w:rFonts w:hint="eastAsia"/>
        </w:rPr>
        <w:t xml:space="preserve">, </w:t>
      </w:r>
      <w:r w:rsidRPr="00E76FE1">
        <w:rPr>
          <w:rFonts w:hint="eastAsia"/>
        </w:rPr>
        <w:t>Solomon Islands</w:t>
      </w:r>
      <w:r>
        <w:rPr>
          <w:rFonts w:hint="eastAsia"/>
        </w:rPr>
        <w:t xml:space="preserve">, </w:t>
      </w:r>
      <w:r w:rsidRPr="00E76FE1">
        <w:rPr>
          <w:rFonts w:hint="eastAsia"/>
        </w:rPr>
        <w:t>Civil Case 185/1995</w:t>
      </w:r>
      <w:r>
        <w:rPr>
          <w:rFonts w:hint="eastAsia"/>
        </w:rPr>
        <w:t xml:space="preserve">, </w:t>
      </w:r>
      <w:r w:rsidRPr="00E76FE1">
        <w:rPr>
          <w:rFonts w:hint="eastAsia"/>
        </w:rPr>
        <w:t>12 January 1998。</w:t>
      </w:r>
    </w:p>
  </w:footnote>
  <w:footnote w:id="8">
    <w:p w:rsidR="00375094" w:rsidRPr="00E76FE1" w:rsidRDefault="00375094" w:rsidP="00D95D43">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r>
      <w:r w:rsidRPr="00E76FE1">
        <w:rPr>
          <w:rFonts w:hint="eastAsia"/>
        </w:rPr>
        <w:t>Unreported Court of Appeal</w:t>
      </w:r>
      <w:r>
        <w:rPr>
          <w:rFonts w:hint="eastAsia"/>
        </w:rPr>
        <w:t xml:space="preserve">, </w:t>
      </w:r>
      <w:r w:rsidRPr="00E76FE1">
        <w:rPr>
          <w:rFonts w:hint="eastAsia"/>
        </w:rPr>
        <w:t>Solomon Islands</w:t>
      </w:r>
      <w:r>
        <w:rPr>
          <w:rFonts w:hint="eastAsia"/>
        </w:rPr>
        <w:t xml:space="preserve">, </w:t>
      </w:r>
      <w:r w:rsidRPr="00E76FE1">
        <w:rPr>
          <w:rFonts w:hint="eastAsia"/>
        </w:rPr>
        <w:t>Civil Case 3/1997</w:t>
      </w:r>
      <w:r>
        <w:rPr>
          <w:rFonts w:hint="eastAsia"/>
        </w:rPr>
        <w:t xml:space="preserve">, </w:t>
      </w:r>
      <w:r w:rsidRPr="00E76FE1">
        <w:rPr>
          <w:rFonts w:hint="eastAsia"/>
        </w:rPr>
        <w:t>11 July 1997。</w:t>
      </w:r>
    </w:p>
  </w:footnote>
  <w:footnote w:id="9">
    <w:p w:rsidR="00375094" w:rsidRPr="00E76FE1" w:rsidRDefault="00375094" w:rsidP="00D95D43">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r>
      <w:r>
        <w:rPr>
          <w:rFonts w:hint="eastAsia"/>
        </w:rPr>
        <w:t>[1990] SILR 174.</w:t>
      </w:r>
      <w:r w:rsidRPr="00E76FE1">
        <w:rPr>
          <w:rFonts w:hint="eastAsia"/>
        </w:rPr>
        <w:t>(10 August 1990)。</w:t>
      </w:r>
    </w:p>
  </w:footnote>
  <w:footnote w:id="10">
    <w:p w:rsidR="00375094" w:rsidRDefault="00375094" w:rsidP="00C509D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《太平洋岛国政府性别主流化能力的估计——所罗门群岛》，太平洋共同体秘书处，2012年，第19页。</w:t>
      </w:r>
    </w:p>
  </w:footnote>
  <w:footnote w:id="11">
    <w:p w:rsidR="00375094" w:rsidRDefault="00375094" w:rsidP="00C509DE">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《所罗门群岛性别平等和妇女发展国家政策》，2010年，第1页。</w:t>
      </w:r>
    </w:p>
  </w:footnote>
  <w:footnote w:id="12">
    <w:p w:rsidR="00375094" w:rsidRDefault="00375094" w:rsidP="00C509D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其他性别平等主流化战略包括：人力资源管理人信息共享论坛；《行为守则》培训；拟定和交付新的领导与管理方案；收集分类数据；审查政府各项通令。</w:t>
      </w:r>
    </w:p>
  </w:footnote>
  <w:footnote w:id="13">
    <w:p w:rsidR="00375094" w:rsidRDefault="00375094" w:rsidP="00C509DE">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区域援助所罗门群岛特派团。</w:t>
      </w:r>
    </w:p>
  </w:footnote>
  <w:footnote w:id="14">
    <w:p w:rsidR="00375094" w:rsidRPr="00FD4D63" w:rsidRDefault="00375094" w:rsidP="00C509D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FD4D63">
        <w:rPr>
          <w:rFonts w:hint="eastAsia"/>
        </w:rPr>
        <w:t>太平洋共同体秘书处。</w:t>
      </w:r>
    </w:p>
  </w:footnote>
  <w:footnote w:id="15">
    <w:p w:rsidR="00375094" w:rsidRDefault="00375094" w:rsidP="00C509DE">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23565E">
        <w:rPr>
          <w:rFonts w:hint="eastAsia"/>
        </w:rPr>
        <w:t>“这方面的尊严在哪里？”2011年9月，大赦国际，http://www.amnesty.org.nz/files/ SolomonIslandsWEB.pdf</w:t>
      </w:r>
      <w:r>
        <w:t>(</w:t>
      </w:r>
      <w:r w:rsidRPr="0023565E">
        <w:rPr>
          <w:rFonts w:hint="eastAsia"/>
        </w:rPr>
        <w:t>2012年11月20日查阅</w:t>
      </w:r>
      <w:r>
        <w:t>)</w:t>
      </w:r>
      <w:r w:rsidRPr="0023565E">
        <w:rPr>
          <w:rFonts w:hint="eastAsia"/>
        </w:rPr>
        <w:t>。</w:t>
      </w:r>
    </w:p>
  </w:footnote>
  <w:footnote w:id="16">
    <w:p w:rsidR="00375094" w:rsidRPr="0023565E" w:rsidRDefault="00375094" w:rsidP="00C509DE">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23565E">
        <w:rPr>
          <w:rFonts w:hint="eastAsia"/>
        </w:rPr>
        <w:t>要了解家庭暴力法案的更多信息，参见第80段。</w:t>
      </w:r>
    </w:p>
  </w:footnote>
  <w:footnote w:id="17">
    <w:p w:rsidR="00375094" w:rsidRPr="00D77E27" w:rsidRDefault="00375094" w:rsidP="001F5207">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D77E27">
        <w:rPr>
          <w:rFonts w:hint="eastAsia"/>
        </w:rPr>
        <w:t>见John Kwakwala Makasi诉区域援助所罗门群岛特派团下的多方警察部队司令和检察长，高等法院民事案件，编号：59/2005。</w:t>
      </w:r>
    </w:p>
  </w:footnote>
  <w:footnote w:id="18">
    <w:p w:rsidR="00375094" w:rsidRPr="00D77E27" w:rsidRDefault="00375094" w:rsidP="001F5207">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D77E27">
        <w:rPr>
          <w:rFonts w:hint="eastAsia"/>
        </w:rPr>
        <w:t>Stege</w:t>
      </w:r>
      <w:r>
        <w:rPr>
          <w:rFonts w:hint="eastAsia"/>
        </w:rPr>
        <w:t>，</w:t>
      </w:r>
      <w:r w:rsidRPr="00D77E27">
        <w:rPr>
          <w:rFonts w:hint="eastAsia"/>
        </w:rPr>
        <w:t>K. Maetala, R. Naupa</w:t>
      </w:r>
      <w:r>
        <w:rPr>
          <w:rFonts w:hint="eastAsia"/>
        </w:rPr>
        <w:t>，</w:t>
      </w:r>
      <w:r w:rsidRPr="00D77E27">
        <w:rPr>
          <w:rFonts w:hint="eastAsia"/>
        </w:rPr>
        <w:t>A. Simo, J.：Land and Women</w:t>
      </w:r>
      <w:r>
        <w:rPr>
          <w:rFonts w:hint="eastAsia"/>
        </w:rPr>
        <w:t>：</w:t>
      </w:r>
      <w:r w:rsidRPr="00D77E27">
        <w:rPr>
          <w:rFonts w:hint="eastAsia"/>
        </w:rPr>
        <w:t xml:space="preserve">The Matrilineal Factor, The cases of the Republic of the </w:t>
      </w:r>
      <w:smartTag w:uri="urn:schemas-microsoft-com:office:smarttags" w:element="City">
        <w:r w:rsidRPr="00D77E27">
          <w:rPr>
            <w:rFonts w:hint="eastAsia"/>
          </w:rPr>
          <w:t>Marshall</w:t>
        </w:r>
      </w:smartTag>
      <w:r w:rsidRPr="00D77E27">
        <w:rPr>
          <w:rFonts w:hint="eastAsia"/>
        </w:rPr>
        <w:t xml:space="preserve"> Islands</w:t>
      </w:r>
      <w:r>
        <w:rPr>
          <w:rFonts w:hint="eastAsia"/>
        </w:rPr>
        <w:t>，</w:t>
      </w:r>
      <w:r w:rsidRPr="00D77E27">
        <w:rPr>
          <w:rFonts w:hint="eastAsia"/>
        </w:rPr>
        <w:t xml:space="preserve">Solomon </w:t>
      </w:r>
      <w:smartTag w:uri="urn:schemas-microsoft-com:office:smarttags" w:element="place">
        <w:r w:rsidRPr="00D77E27">
          <w:rPr>
            <w:rFonts w:hint="eastAsia"/>
          </w:rPr>
          <w:t>Islands</w:t>
        </w:r>
      </w:smartTag>
      <w:r w:rsidRPr="00D77E27">
        <w:rPr>
          <w:rFonts w:hint="eastAsia"/>
        </w:rPr>
        <w:t xml:space="preserve"> and Vanuatu</w:t>
      </w:r>
      <w:r>
        <w:rPr>
          <w:rFonts w:hint="eastAsia"/>
        </w:rPr>
        <w:t>，</w:t>
      </w:r>
      <w:r w:rsidRPr="00D77E27">
        <w:rPr>
          <w:rFonts w:hint="eastAsia"/>
        </w:rPr>
        <w:t>2008</w:t>
      </w:r>
      <w:r>
        <w:rPr>
          <w:rFonts w:hint="eastAsia"/>
        </w:rPr>
        <w:t>，</w:t>
      </w:r>
      <w:r w:rsidRPr="00D77E27">
        <w:rPr>
          <w:rFonts w:hint="eastAsia"/>
        </w:rPr>
        <w:t>太平洋岛屿论坛秘书处。</w:t>
      </w:r>
    </w:p>
  </w:footnote>
  <w:footnote w:id="19">
    <w:p w:rsidR="00375094" w:rsidRPr="00D77E27" w:rsidRDefault="00375094" w:rsidP="001F5207">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D77E27">
        <w:rPr>
          <w:rFonts w:hint="eastAsia"/>
        </w:rPr>
        <w:t>见Stege</w:t>
      </w:r>
      <w:r>
        <w:rPr>
          <w:rFonts w:hint="eastAsia"/>
        </w:rPr>
        <w:t>，</w:t>
      </w:r>
      <w:r w:rsidRPr="00D77E27">
        <w:rPr>
          <w:rFonts w:hint="eastAsia"/>
        </w:rPr>
        <w:t>K. Maetala</w:t>
      </w:r>
      <w:r>
        <w:rPr>
          <w:rFonts w:hint="eastAsia"/>
        </w:rPr>
        <w:t>，</w:t>
      </w:r>
      <w:r w:rsidRPr="00D77E27">
        <w:rPr>
          <w:rFonts w:hint="eastAsia"/>
        </w:rPr>
        <w:t>R. Naupa</w:t>
      </w:r>
      <w:r>
        <w:rPr>
          <w:rFonts w:hint="eastAsia"/>
        </w:rPr>
        <w:t>，</w:t>
      </w:r>
      <w:r w:rsidRPr="00D77E27">
        <w:rPr>
          <w:rFonts w:hint="eastAsia"/>
        </w:rPr>
        <w:t>A. Simo, J.</w:t>
      </w:r>
      <w:r>
        <w:rPr>
          <w:rFonts w:hint="eastAsia"/>
        </w:rPr>
        <w:t>，</w:t>
      </w:r>
      <w:r w:rsidRPr="00D77E27">
        <w:rPr>
          <w:rFonts w:hint="eastAsia"/>
        </w:rPr>
        <w:t>上文脚注11。</w:t>
      </w:r>
    </w:p>
  </w:footnote>
  <w:footnote w:id="20">
    <w:p w:rsidR="00375094" w:rsidRPr="00D77E27" w:rsidRDefault="00375094" w:rsidP="001F5207">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D77E27">
        <w:rPr>
          <w:rFonts w:hint="eastAsia"/>
        </w:rPr>
        <w:t>见上文脚注18。</w:t>
      </w:r>
    </w:p>
  </w:footnote>
  <w:footnote w:id="21">
    <w:p w:rsidR="00375094" w:rsidRPr="00D77E27" w:rsidRDefault="00375094" w:rsidP="001F5207">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D77E27">
        <w:rPr>
          <w:rFonts w:hint="eastAsia"/>
        </w:rPr>
        <w:t>见上文脚注6。</w:t>
      </w:r>
    </w:p>
  </w:footnote>
  <w:footnote w:id="22">
    <w:p w:rsidR="00375094" w:rsidRPr="00D77E27" w:rsidRDefault="00375094" w:rsidP="001F5207">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D77E27">
        <w:rPr>
          <w:rFonts w:hint="eastAsia"/>
        </w:rPr>
        <w:t>国际金融公司：Economic Opportunities for Women in the Pacific</w:t>
      </w:r>
      <w:r>
        <w:rPr>
          <w:rFonts w:hint="eastAsia"/>
        </w:rPr>
        <w:t>，</w:t>
      </w:r>
      <w:r w:rsidRPr="00D77E27">
        <w:rPr>
          <w:rFonts w:hint="eastAsia"/>
        </w:rPr>
        <w:t>2010，第1页。</w:t>
      </w:r>
    </w:p>
  </w:footnote>
  <w:footnote w:id="23">
    <w:p w:rsidR="00375094" w:rsidRPr="00F04C48" w:rsidRDefault="00375094" w:rsidP="008538B6">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F04C48">
        <w:rPr>
          <w:rFonts w:hint="eastAsia"/>
        </w:rPr>
        <w:t>儿基会，《离开父母生活的太平洋儿童》，第31页，2010年。</w:t>
      </w:r>
    </w:p>
  </w:footnote>
  <w:footnote w:id="24">
    <w:p w:rsidR="00375094" w:rsidRDefault="00375094" w:rsidP="008538B6">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r>
      <w:r>
        <w:rPr>
          <w:rFonts w:hint="eastAsia"/>
        </w:rPr>
        <w:t>见上文脚注10。</w:t>
      </w:r>
    </w:p>
  </w:footnote>
  <w:footnote w:id="25">
    <w:p w:rsidR="00375094" w:rsidRDefault="00375094" w:rsidP="008538B6">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r>
      <w:r>
        <w:rPr>
          <w:rFonts w:hint="eastAsia"/>
        </w:rPr>
        <w:t>所罗门群岛保护妇女人权法，2009年，妇发基金和妇女、青年、儿童和家庭事务部。</w:t>
      </w:r>
    </w:p>
  </w:footnote>
  <w:footnote w:id="26">
    <w:p w:rsidR="00375094" w:rsidRDefault="00375094" w:rsidP="008538B6">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r>
      <w:r>
        <w:rPr>
          <w:rFonts w:hint="eastAsia"/>
        </w:rPr>
        <w:t>见上文脚注10。</w:t>
      </w:r>
    </w:p>
  </w:footnote>
  <w:footnote w:id="27">
    <w:p w:rsidR="00375094" w:rsidRDefault="00375094" w:rsidP="008538B6">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r>
      <w:r>
        <w:rPr>
          <w:rFonts w:hint="eastAsia"/>
        </w:rPr>
        <w:t>关于习俗和宗教对担任领导职务的妇女和投票趋势的影响，见第117-119、124-125段中的讨论。</w:t>
      </w:r>
    </w:p>
  </w:footnote>
  <w:footnote w:id="28">
    <w:p w:rsidR="00375094" w:rsidRPr="00F15F55" w:rsidRDefault="00375094" w:rsidP="008538B6">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F15F55">
        <w:rPr>
          <w:rFonts w:hint="eastAsia"/>
        </w:rPr>
        <w:t>见上文脚注10。</w:t>
      </w:r>
    </w:p>
  </w:footnote>
  <w:footnote w:id="29">
    <w:p w:rsidR="00375094" w:rsidRDefault="00375094" w:rsidP="008538B6">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r>
      <w:r>
        <w:rPr>
          <w:rFonts w:hint="eastAsia"/>
        </w:rPr>
        <w:t>例如，没有妇女参加《汤斯维尔和平协定》。</w:t>
      </w:r>
    </w:p>
  </w:footnote>
  <w:footnote w:id="30">
    <w:p w:rsidR="00375094" w:rsidRDefault="00375094" w:rsidP="008538B6">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r>
      <w:r>
        <w:rPr>
          <w:rFonts w:hint="eastAsia"/>
        </w:rPr>
        <w:t>见上文脚注10。</w:t>
      </w:r>
    </w:p>
  </w:footnote>
  <w:footnote w:id="31">
    <w:p w:rsidR="00375094" w:rsidRDefault="00375094" w:rsidP="008538B6">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r>
      <w:r>
        <w:rPr>
          <w:rFonts w:hint="eastAsia"/>
        </w:rPr>
        <w:t>Fangalasuu，J. Maetala，R. Rodi，P. Vota，A. Wickham，E. Herem Kam：Stori Blong Mifala Olketa Mere，妇女提交给所罗门群岛真相与和解委员会的报告，2011年，第34页。</w:t>
      </w:r>
    </w:p>
  </w:footnote>
  <w:footnote w:id="32">
    <w:p w:rsidR="00375094" w:rsidRDefault="00375094" w:rsidP="008538B6">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r>
      <w:r>
        <w:rPr>
          <w:rFonts w:hint="eastAsia"/>
        </w:rPr>
        <w:t>见上文脚注6。</w:t>
      </w:r>
    </w:p>
  </w:footnote>
  <w:footnote w:id="33">
    <w:p w:rsidR="00375094" w:rsidRPr="00F15F55" w:rsidRDefault="00375094" w:rsidP="008538B6">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Pr>
          <w:rFonts w:hint="eastAsia"/>
        </w:rPr>
        <w:t>也符合性别平等和妇女发展国家政策。</w:t>
      </w:r>
    </w:p>
  </w:footnote>
  <w:footnote w:id="34">
    <w:p w:rsidR="00375094" w:rsidRDefault="00375094" w:rsidP="008538B6">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8538B6">
        <w:rPr>
          <w:rFonts w:hAnsi="SimSun"/>
        </w:rPr>
        <w:t>Strongim Pikinini, Strongim Laef B’long Family-Enabling Children to Reach Their Full Potential, 2005</w:t>
      </w:r>
      <w:r w:rsidRPr="008538B6">
        <w:rPr>
          <w:rFonts w:hAnsi="SimSun" w:hint="eastAsia"/>
        </w:rPr>
        <w:t>，World Vision。</w:t>
      </w:r>
    </w:p>
  </w:footnote>
  <w:footnote w:id="35">
    <w:p w:rsidR="00375094" w:rsidRDefault="00375094" w:rsidP="008538B6">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《2010-2015年所罗门群岛国家青年政策》，2012年6月，妇女、青年和儿童事务部，第6页。</w:t>
      </w:r>
    </w:p>
  </w:footnote>
  <w:footnote w:id="36">
    <w:p w:rsidR="00375094" w:rsidRDefault="00375094" w:rsidP="008538B6">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基线研究指出，有理由谨慎看待这一数据。由于教育和人力资源发展部向学校提供的赠款是基于学校调查所述入学数字，因此这些数字可能夸大实际入学人数。虽然该部已证明在监测和加强学校调查数据准确性方面取得了成功，但其认识到在这方面还需要开展更多的工作。</w:t>
      </w:r>
    </w:p>
  </w:footnote>
  <w:footnote w:id="37">
    <w:p w:rsidR="00375094" w:rsidRDefault="00375094" w:rsidP="008538B6">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数据来自教育和人力资源发展部《2005年教育统计摘要》及《2007-2009年业绩评估框架》。</w:t>
      </w:r>
    </w:p>
  </w:footnote>
  <w:footnote w:id="38">
    <w:p w:rsidR="00375094" w:rsidRDefault="00375094" w:rsidP="008538B6">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《教育障碍研究》，2011年6月，教育和人力资源发展部，第7页。</w:t>
      </w:r>
    </w:p>
  </w:footnote>
  <w:footnote w:id="39">
    <w:p w:rsidR="00375094" w:rsidRDefault="00375094" w:rsidP="008538B6">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2007-2009年和2010年《业绩评估框架》，教育和人力资源发展部。</w:t>
      </w:r>
    </w:p>
  </w:footnote>
  <w:footnote w:id="40">
    <w:p w:rsidR="00375094" w:rsidRDefault="00375094" w:rsidP="008538B6">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议会于2012年12月6日通过了《法所罗门群岛国立大学法》。</w:t>
      </w:r>
    </w:p>
  </w:footnote>
  <w:footnote w:id="41">
    <w:p w:rsidR="00375094" w:rsidRDefault="00375094" w:rsidP="008538B6">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《所罗门群岛高等教育政策声明和准则》，2010年2月，教育的人力资源发展部，第33页。</w:t>
      </w:r>
    </w:p>
  </w:footnote>
  <w:footnote w:id="42">
    <w:p w:rsidR="00375094" w:rsidRDefault="00375094" w:rsidP="008538B6">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见上文脚注6。</w:t>
      </w:r>
    </w:p>
  </w:footnote>
  <w:footnote w:id="43">
    <w:p w:rsidR="00375094" w:rsidRDefault="00375094" w:rsidP="008538B6">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见上文脚注37。</w:t>
      </w:r>
      <w:r>
        <w:rPr>
          <w:rFonts w:hint="eastAsia"/>
        </w:rPr>
        <w:tab/>
      </w:r>
    </w:p>
  </w:footnote>
  <w:footnote w:id="44">
    <w:p w:rsidR="00375094" w:rsidRDefault="00375094" w:rsidP="008538B6">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《太平洋残疾儿童——用于儿基会太平洋区域2010年中期审查的报告》，儿基会，第34页。</w:t>
      </w:r>
    </w:p>
  </w:footnote>
  <w:footnote w:id="45">
    <w:p w:rsidR="00375094" w:rsidRPr="000D07EA" w:rsidRDefault="00375094" w:rsidP="0023041C">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0D07EA">
        <w:rPr>
          <w:rFonts w:hint="eastAsia"/>
          <w:spacing w:val="4"/>
        </w:rPr>
        <w:t>薪酬公平指同工同酬，见</w:t>
      </w:r>
      <w:hyperlink r:id="rId1" w:history="1">
        <w:r w:rsidRPr="0023041C">
          <w:rPr>
            <w:rFonts w:hint="eastAsia"/>
          </w:rPr>
          <w:t>http://www.dol.govt.nz/services PayAndEmploymentEquity/</w:t>
        </w:r>
        <w:r w:rsidRPr="0023041C">
          <w:br/>
        </w:r>
        <w:r w:rsidRPr="0023041C">
          <w:rPr>
            <w:rFonts w:hint="eastAsia"/>
          </w:rPr>
          <w:t>definitions.asp</w:t>
        </w:r>
      </w:hyperlink>
      <w:r w:rsidRPr="006C14AA">
        <w:rPr>
          <w:rFonts w:hint="eastAsia"/>
        </w:rPr>
        <w:t>(2012年1</w:t>
      </w:r>
      <w:r w:rsidRPr="000D07EA">
        <w:rPr>
          <w:rFonts w:hint="eastAsia"/>
        </w:rPr>
        <w:t>2月17日登录</w:t>
      </w:r>
      <w:r>
        <w:rPr>
          <w:rFonts w:hint="eastAsia"/>
        </w:rPr>
        <w:t>)</w:t>
      </w:r>
      <w:r w:rsidRPr="000D07EA">
        <w:rPr>
          <w:rFonts w:hint="eastAsia"/>
        </w:rPr>
        <w:t>。</w:t>
      </w:r>
    </w:p>
  </w:footnote>
  <w:footnote w:id="46">
    <w:p w:rsidR="00375094" w:rsidRPr="000D07EA" w:rsidRDefault="00375094" w:rsidP="0023041C">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0D07EA">
        <w:rPr>
          <w:rFonts w:hint="eastAsia"/>
        </w:rPr>
        <w:t>见《劳动法》第</w:t>
      </w:r>
      <w:r>
        <w:rPr>
          <w:rFonts w:hint="eastAsia"/>
        </w:rPr>
        <w:t>42(1)</w:t>
      </w:r>
      <w:r w:rsidRPr="000D07EA">
        <w:rPr>
          <w:rFonts w:hint="eastAsia"/>
        </w:rPr>
        <w:t>条以及《所罗门群岛公务员总则</w:t>
      </w:r>
      <w:r>
        <w:rPr>
          <w:rFonts w:hint="eastAsia"/>
        </w:rPr>
        <w:t>(</w:t>
      </w:r>
      <w:r w:rsidRPr="000D07EA">
        <w:rPr>
          <w:rFonts w:hint="eastAsia"/>
        </w:rPr>
        <w:t>2007版</w:t>
      </w:r>
      <w:r>
        <w:rPr>
          <w:rFonts w:hint="eastAsia"/>
        </w:rPr>
        <w:t>)</w:t>
      </w:r>
      <w:r w:rsidRPr="000D07EA">
        <w:rPr>
          <w:rFonts w:hint="eastAsia"/>
        </w:rPr>
        <w:t>》第J章第</w:t>
      </w:r>
      <w:r>
        <w:rPr>
          <w:rFonts w:hint="eastAsia"/>
        </w:rPr>
        <w:t>501</w:t>
      </w:r>
      <w:r w:rsidRPr="000D07EA">
        <w:rPr>
          <w:rFonts w:hint="eastAsia"/>
        </w:rPr>
        <w:t>和502条。</w:t>
      </w:r>
    </w:p>
  </w:footnote>
  <w:footnote w:id="47">
    <w:p w:rsidR="00375094" w:rsidRPr="000D07EA" w:rsidRDefault="00375094" w:rsidP="0023041C">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0D07EA">
        <w:rPr>
          <w:rFonts w:hint="eastAsia"/>
        </w:rPr>
        <w:t>《所罗门群岛人类发展报告》，2009年，开发署。</w:t>
      </w:r>
    </w:p>
  </w:footnote>
  <w:footnote w:id="48">
    <w:p w:rsidR="00375094" w:rsidRPr="000D07EA" w:rsidRDefault="00375094" w:rsidP="0023041C">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0D07EA">
        <w:rPr>
          <w:rFonts w:hint="eastAsia"/>
        </w:rPr>
        <w:t>有关所罗门群岛妇女商业协会的更多资料见下文第333段。</w:t>
      </w:r>
    </w:p>
  </w:footnote>
  <w:footnote w:id="49">
    <w:p w:rsidR="00375094" w:rsidRPr="000D07EA" w:rsidRDefault="00375094" w:rsidP="0023041C">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0D07EA">
        <w:rPr>
          <w:rFonts w:hint="eastAsia"/>
        </w:rPr>
        <w:t>这也是源于妇女承担大部分家务的定型观念。见上文第118和119段。</w:t>
      </w:r>
    </w:p>
  </w:footnote>
  <w:footnote w:id="50">
    <w:p w:rsidR="00375094" w:rsidRPr="000D07EA" w:rsidRDefault="00375094" w:rsidP="0023041C">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0D07EA">
        <w:rPr>
          <w:rFonts w:hint="eastAsia"/>
        </w:rPr>
        <w:t>见上文第118和119段。</w:t>
      </w:r>
    </w:p>
  </w:footnote>
  <w:footnote w:id="51">
    <w:p w:rsidR="00375094" w:rsidRPr="00C272A7" w:rsidRDefault="00375094" w:rsidP="00162D2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C272A7">
        <w:rPr>
          <w:rFonts w:hint="eastAsia"/>
        </w:rPr>
        <w:t>《2011-2020年索罗门群岛国家发展战略》，</w:t>
      </w:r>
      <w:r>
        <w:rPr>
          <w:rFonts w:hint="eastAsia"/>
        </w:rPr>
        <w:t>2011年7月，</w:t>
      </w:r>
      <w:r w:rsidRPr="00C272A7">
        <w:rPr>
          <w:rFonts w:hint="eastAsia"/>
        </w:rPr>
        <w:t>MDPAC，第17页。</w:t>
      </w:r>
    </w:p>
  </w:footnote>
  <w:footnote w:id="52">
    <w:p w:rsidR="00375094" w:rsidRPr="00C272A7" w:rsidRDefault="00375094" w:rsidP="00162D2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C272A7">
        <w:rPr>
          <w:rFonts w:hint="eastAsia"/>
        </w:rPr>
        <w:t>2011年所罗门群岛儿童保健状况分析，第25页。</w:t>
      </w:r>
    </w:p>
  </w:footnote>
  <w:footnote w:id="53">
    <w:p w:rsidR="00375094" w:rsidRPr="00C272A7" w:rsidRDefault="00375094" w:rsidP="00162D2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C272A7">
        <w:rPr>
          <w:rFonts w:hint="eastAsia"/>
        </w:rPr>
        <w:t>见上文脚注10。</w:t>
      </w:r>
    </w:p>
  </w:footnote>
  <w:footnote w:id="54">
    <w:p w:rsidR="00375094" w:rsidRPr="002C0D65" w:rsidRDefault="00375094" w:rsidP="00162D2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2C0D65">
        <w:rPr>
          <w:rFonts w:hint="eastAsia"/>
        </w:rPr>
        <w:t>所罗门群岛2007年人口和健康调查</w:t>
      </w:r>
      <w:r w:rsidRPr="002C0D65">
        <w:rPr>
          <w:rFonts w:hint="eastAsia"/>
          <w:spacing w:val="-6"/>
        </w:rPr>
        <w:t>——</w:t>
      </w:r>
      <w:r w:rsidRPr="002C0D65">
        <w:rPr>
          <w:rFonts w:hint="eastAsia"/>
        </w:rPr>
        <w:t>生育率和计划生育概况介绍。</w:t>
      </w:r>
    </w:p>
  </w:footnote>
  <w:footnote w:id="55">
    <w:p w:rsidR="00375094" w:rsidRPr="00DD190F" w:rsidRDefault="00375094" w:rsidP="0000013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DD190F">
        <w:rPr>
          <w:rFonts w:hint="eastAsia"/>
        </w:rPr>
        <w:t>文化中的亲属互惠系统。</w:t>
      </w:r>
    </w:p>
  </w:footnote>
  <w:footnote w:id="56">
    <w:p w:rsidR="00375094" w:rsidRDefault="00375094" w:rsidP="0000013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见脚注22。</w:t>
      </w:r>
    </w:p>
  </w:footnote>
  <w:footnote w:id="57">
    <w:p w:rsidR="00375094" w:rsidRDefault="00375094" w:rsidP="0000013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见止文脚注11。</w:t>
      </w:r>
    </w:p>
  </w:footnote>
  <w:footnote w:id="58">
    <w:p w:rsidR="00375094" w:rsidRDefault="00375094" w:rsidP="0000013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见止文脚注11。</w:t>
      </w:r>
    </w:p>
  </w:footnote>
  <w:footnote w:id="59">
    <w:p w:rsidR="00375094" w:rsidRDefault="00375094" w:rsidP="0000013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见止文脚注6。</w:t>
      </w:r>
    </w:p>
  </w:footnote>
  <w:footnote w:id="60">
    <w:p w:rsidR="00375094" w:rsidRDefault="00375094" w:rsidP="0000013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见止文脚注6。</w:t>
      </w:r>
    </w:p>
  </w:footnote>
  <w:footnote w:id="61">
    <w:p w:rsidR="00375094" w:rsidRPr="00DD190F" w:rsidRDefault="00375094" w:rsidP="0000013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DD190F">
        <w:rPr>
          <w:rFonts w:hint="eastAsia"/>
        </w:rPr>
        <w:t>见止文脚注</w:t>
      </w:r>
      <w:r>
        <w:rPr>
          <w:rFonts w:hint="eastAsia"/>
        </w:rPr>
        <w:t>6</w:t>
      </w:r>
      <w:r w:rsidRPr="00DD190F">
        <w:rPr>
          <w:rFonts w:hint="eastAsia"/>
        </w:rPr>
        <w:t>。</w:t>
      </w:r>
    </w:p>
  </w:footnote>
  <w:footnote w:id="62">
    <w:p w:rsidR="00375094" w:rsidRDefault="00375094" w:rsidP="0000013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见止文脚注10。</w:t>
      </w:r>
    </w:p>
  </w:footnote>
  <w:footnote w:id="63">
    <w:p w:rsidR="00375094" w:rsidRDefault="00375094" w:rsidP="0000013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见止文脚注25。</w:t>
      </w:r>
    </w:p>
  </w:footnote>
  <w:footnote w:id="64">
    <w:p w:rsidR="00375094" w:rsidRDefault="00375094" w:rsidP="0000013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见止文脚注10。</w:t>
      </w:r>
    </w:p>
  </w:footnote>
  <w:footnote w:id="65">
    <w:p w:rsidR="00375094" w:rsidRPr="00DD190F" w:rsidRDefault="00375094" w:rsidP="0000013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DD190F">
        <w:rPr>
          <w:rFonts w:hint="eastAsia"/>
        </w:rPr>
        <w:t>见止文脚注</w:t>
      </w:r>
      <w:r>
        <w:rPr>
          <w:rFonts w:hint="eastAsia"/>
        </w:rPr>
        <w:t>25</w:t>
      </w:r>
      <w:r w:rsidRPr="00DD190F">
        <w:rPr>
          <w:rFonts w:hint="eastAsia"/>
        </w:rPr>
        <w:t>。</w:t>
      </w:r>
    </w:p>
  </w:footnote>
  <w:footnote w:id="66">
    <w:p w:rsidR="00375094" w:rsidRPr="00DD190F" w:rsidRDefault="00375094" w:rsidP="0000013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DD190F">
        <w:rPr>
          <w:rFonts w:hint="eastAsia"/>
        </w:rPr>
        <w:t>2011年人民调查，澳大利亚国立大学企业，第64页。</w:t>
      </w:r>
    </w:p>
  </w:footnote>
  <w:footnote w:id="67">
    <w:p w:rsidR="00375094" w:rsidRPr="00EC2824" w:rsidRDefault="00375094" w:rsidP="0000013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EC2824">
        <w:rPr>
          <w:rFonts w:hint="eastAsia"/>
        </w:rPr>
        <w:t>《2010年教育经验调查和识字评估》，亚洲南太平洋基础教育和成人教育协会，第24页。</w:t>
      </w:r>
    </w:p>
  </w:footnote>
  <w:footnote w:id="68">
    <w:p w:rsidR="00375094" w:rsidRPr="00EC2824" w:rsidRDefault="00375094" w:rsidP="0000013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EC2824">
        <w:rPr>
          <w:rFonts w:hint="eastAsia"/>
        </w:rPr>
        <w:t>太平洋岛屿论坛解决性暴力和基于性别的暴力咨商小组，《所罗门群岛国家访问报告》，2011年8月16日至19日，第11页。</w:t>
      </w:r>
    </w:p>
  </w:footnote>
  <w:footnote w:id="69">
    <w:p w:rsidR="00375094" w:rsidRPr="00EC2824" w:rsidRDefault="00375094" w:rsidP="0000013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EC2824">
        <w:rPr>
          <w:rFonts w:hint="eastAsia"/>
        </w:rPr>
        <w:t>见上文脚注6。</w:t>
      </w:r>
    </w:p>
  </w:footnote>
  <w:footnote w:id="70">
    <w:p w:rsidR="00375094" w:rsidRPr="00EC2824" w:rsidRDefault="00375094" w:rsidP="0000013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Pr>
          <w:rFonts w:hint="eastAsia"/>
        </w:rPr>
        <w:t>《解决美拉尼西亚和东帝汶暴力侵害妇女问题——</w:t>
      </w:r>
      <w:r w:rsidRPr="00EC2824">
        <w:rPr>
          <w:rFonts w:hint="eastAsia"/>
        </w:rPr>
        <w:t>所罗门群岛国家增编》，2008年，澳大利亚援助署。</w:t>
      </w:r>
    </w:p>
  </w:footnote>
  <w:footnote w:id="71">
    <w:p w:rsidR="00375094" w:rsidRPr="00EC2824" w:rsidRDefault="00375094" w:rsidP="0000013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EC2824">
        <w:rPr>
          <w:rFonts w:hint="eastAsia"/>
        </w:rPr>
        <w:t>罗马天主教会、美拉尼西亚圣公会教会、基督复临安息日教会和卫斯理联合教会。</w:t>
      </w:r>
    </w:p>
  </w:footnote>
  <w:footnote w:id="72">
    <w:p w:rsidR="00375094" w:rsidRPr="00EC2824" w:rsidRDefault="00375094" w:rsidP="0000013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EC2824">
        <w:rPr>
          <w:rFonts w:hint="eastAsia"/>
        </w:rPr>
        <w:t>见上文注脚63第55页。</w:t>
      </w:r>
    </w:p>
  </w:footnote>
  <w:footnote w:id="73">
    <w:p w:rsidR="00375094" w:rsidRDefault="00375094" w:rsidP="00000133">
      <w:pPr>
        <w:pStyle w:val="FootnoteText"/>
        <w:tabs>
          <w:tab w:val="clear" w:pos="418"/>
          <w:tab w:val="right" w:pos="1195"/>
          <w:tab w:val="left" w:pos="1264"/>
          <w:tab w:val="left" w:pos="1695"/>
          <w:tab w:val="left" w:pos="2126"/>
          <w:tab w:val="left" w:pos="2557"/>
        </w:tabs>
        <w:ind w:left="1264" w:right="1264" w:hanging="432"/>
      </w:pPr>
      <w:r>
        <w:rPr>
          <w:rFonts w:hint="eastAsia"/>
        </w:rPr>
        <w:tab/>
      </w:r>
      <w:r>
        <w:rPr>
          <w:rStyle w:val="FootnoteReference"/>
        </w:rPr>
        <w:footnoteRef/>
      </w:r>
      <w:r>
        <w:tab/>
      </w:r>
      <w:r w:rsidRPr="00834F55">
        <w:rPr>
          <w:rFonts w:hint="eastAsia"/>
        </w:rPr>
        <w:t>《2007年所罗门群岛法院</w:t>
      </w:r>
      <w:r>
        <w:t>(</w:t>
      </w:r>
      <w:r w:rsidRPr="00834F55">
        <w:rPr>
          <w:rFonts w:hint="eastAsia"/>
        </w:rPr>
        <w:t>民事诉讼</w:t>
      </w:r>
      <w:r>
        <w:t>)</w:t>
      </w:r>
      <w:r w:rsidRPr="00834F55">
        <w:rPr>
          <w:rFonts w:hint="eastAsia"/>
        </w:rPr>
        <w:t>规则》，第15.2章，离婚。</w:t>
      </w:r>
    </w:p>
  </w:footnote>
  <w:footnote w:id="74">
    <w:p w:rsidR="00375094" w:rsidRPr="00834F55" w:rsidRDefault="00375094" w:rsidP="0000013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sidRPr="00834F55">
        <w:rPr>
          <w:rStyle w:val="FootnoteReference"/>
        </w:rPr>
        <w:footnoteRef/>
      </w:r>
      <w:r w:rsidRPr="00834F55">
        <w:tab/>
      </w:r>
      <w:r>
        <w:rPr>
          <w:rFonts w:hint="eastAsia"/>
        </w:rPr>
        <w:t>[1987]SBMC 5；[1987]</w:t>
      </w:r>
      <w:r w:rsidRPr="00834F55">
        <w:rPr>
          <w:rFonts w:hint="eastAsia"/>
        </w:rPr>
        <w:t>SILR 91</w:t>
      </w:r>
      <w:r>
        <w:t>(</w:t>
      </w:r>
      <w:r w:rsidRPr="00834F55">
        <w:rPr>
          <w:rFonts w:hint="eastAsia"/>
        </w:rPr>
        <w:t>1987年8月5日</w:t>
      </w:r>
      <w:r>
        <w:t>)</w:t>
      </w:r>
      <w:r w:rsidRPr="00834F55">
        <w:rPr>
          <w:rFonts w:hint="eastAsia"/>
        </w:rPr>
        <w:t>。</w:t>
      </w:r>
    </w:p>
  </w:footnote>
  <w:footnote w:id="75">
    <w:p w:rsidR="00375094" w:rsidRPr="00834F55" w:rsidRDefault="00375094" w:rsidP="0000013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834F55">
        <w:rPr>
          <w:rFonts w:hint="eastAsia"/>
        </w:rPr>
        <w:t>见上文脚注6。</w:t>
      </w:r>
    </w:p>
  </w:footnote>
  <w:footnote w:id="76">
    <w:p w:rsidR="00375094" w:rsidRPr="00834F55" w:rsidRDefault="00375094" w:rsidP="0000013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834F55">
        <w:rPr>
          <w:rFonts w:hint="eastAsia"/>
        </w:rPr>
        <w:t>见关于彩礼的第121段。</w:t>
      </w:r>
    </w:p>
  </w:footnote>
  <w:footnote w:id="77">
    <w:p w:rsidR="00375094" w:rsidRPr="00834F55" w:rsidRDefault="00375094" w:rsidP="0000013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834F55">
        <w:rPr>
          <w:rFonts w:hint="eastAsia"/>
        </w:rPr>
        <w:t>《太平洋地区对儿童的性虐待和商业性剥削现象：区域报告》，2006年，儿童基金会、亚太经社会和根除童妓现象国际，第42页。</w:t>
      </w:r>
    </w:p>
  </w:footnote>
  <w:footnote w:id="78">
    <w:p w:rsidR="00375094" w:rsidRPr="00834F55" w:rsidRDefault="00375094" w:rsidP="0000013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834F55">
        <w:rPr>
          <w:rFonts w:hint="eastAsia"/>
        </w:rPr>
        <w:t>见上文脚注75。</w:t>
      </w:r>
    </w:p>
  </w:footnote>
  <w:footnote w:id="79">
    <w:p w:rsidR="00375094" w:rsidRPr="00834F55" w:rsidRDefault="00375094" w:rsidP="0000013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834F55">
        <w:rPr>
          <w:rFonts w:hint="eastAsia"/>
        </w:rPr>
        <w:t>小册子的专题包括：判决上诉、少年司法、保释申请、正式司法系统中的儿童律师、警察的权力、你的法院聆讯和披露以及治安法庭。</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75094" w:rsidTr="00123125">
      <w:tblPrEx>
        <w:tblCellMar>
          <w:top w:w="0" w:type="dxa"/>
          <w:bottom w:w="0" w:type="dxa"/>
        </w:tblCellMar>
      </w:tblPrEx>
      <w:trPr>
        <w:trHeight w:hRule="exact" w:val="864"/>
      </w:trPr>
      <w:tc>
        <w:tcPr>
          <w:tcW w:w="4838" w:type="dxa"/>
          <w:shd w:val="clear" w:color="auto" w:fill="auto"/>
          <w:vAlign w:val="bottom"/>
        </w:tcPr>
        <w:p w:rsidR="00375094" w:rsidRPr="00123125" w:rsidRDefault="00375094" w:rsidP="00123125">
          <w:pPr>
            <w:pStyle w:val="Header"/>
            <w:spacing w:after="80"/>
            <w:jc w:val="left"/>
            <w:rPr>
              <w:b/>
              <w:sz w:val="17"/>
            </w:rPr>
          </w:pPr>
          <w:fldSimple w:instr=" DOCVARIABLE &quot;sss1&quot; \* MERGEFORMAT ">
            <w:r>
              <w:rPr>
                <w:b/>
                <w:sz w:val="17"/>
              </w:rPr>
              <w:t>CEDAW/C/SLB/1-3</w:t>
            </w:r>
          </w:fldSimple>
        </w:p>
      </w:tc>
      <w:tc>
        <w:tcPr>
          <w:tcW w:w="5033" w:type="dxa"/>
          <w:shd w:val="clear" w:color="auto" w:fill="auto"/>
          <w:vAlign w:val="bottom"/>
        </w:tcPr>
        <w:p w:rsidR="00375094" w:rsidRDefault="00375094" w:rsidP="00123125">
          <w:pPr>
            <w:pStyle w:val="Header"/>
          </w:pPr>
        </w:p>
      </w:tc>
    </w:tr>
  </w:tbl>
  <w:p w:rsidR="00375094" w:rsidRPr="00123125" w:rsidRDefault="00375094" w:rsidP="0012312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75094" w:rsidTr="00123125">
      <w:tblPrEx>
        <w:tblCellMar>
          <w:top w:w="0" w:type="dxa"/>
          <w:bottom w:w="0" w:type="dxa"/>
        </w:tblCellMar>
      </w:tblPrEx>
      <w:trPr>
        <w:trHeight w:hRule="exact" w:val="864"/>
      </w:trPr>
      <w:tc>
        <w:tcPr>
          <w:tcW w:w="4838" w:type="dxa"/>
          <w:shd w:val="clear" w:color="auto" w:fill="auto"/>
          <w:vAlign w:val="bottom"/>
        </w:tcPr>
        <w:p w:rsidR="00375094" w:rsidRDefault="00375094" w:rsidP="00123125">
          <w:pPr>
            <w:pStyle w:val="Header"/>
          </w:pPr>
        </w:p>
      </w:tc>
      <w:tc>
        <w:tcPr>
          <w:tcW w:w="5033" w:type="dxa"/>
          <w:shd w:val="clear" w:color="auto" w:fill="auto"/>
          <w:vAlign w:val="bottom"/>
        </w:tcPr>
        <w:p w:rsidR="00375094" w:rsidRPr="00123125" w:rsidRDefault="00375094" w:rsidP="00123125">
          <w:pPr>
            <w:pStyle w:val="Header"/>
            <w:spacing w:after="80"/>
            <w:jc w:val="right"/>
            <w:rPr>
              <w:b/>
              <w:sz w:val="17"/>
            </w:rPr>
          </w:pPr>
          <w:fldSimple w:instr=" DOCVARIABLE &quot;sss1&quot; \* MERGEFORMAT ">
            <w:r>
              <w:rPr>
                <w:b/>
                <w:sz w:val="17"/>
              </w:rPr>
              <w:t>CEDAW/C/SLB/1-3</w:t>
            </w:r>
          </w:fldSimple>
        </w:p>
      </w:tc>
    </w:tr>
  </w:tbl>
  <w:p w:rsidR="00375094" w:rsidRPr="00123125" w:rsidRDefault="00375094" w:rsidP="0012312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375094" w:rsidTr="0012312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75094" w:rsidRDefault="00375094" w:rsidP="00123125">
          <w:pPr>
            <w:pStyle w:val="Header"/>
            <w:spacing w:after="120"/>
          </w:pPr>
        </w:p>
      </w:tc>
      <w:tc>
        <w:tcPr>
          <w:tcW w:w="1872" w:type="dxa"/>
          <w:tcBorders>
            <w:bottom w:val="single" w:sz="4" w:space="0" w:color="auto"/>
          </w:tcBorders>
          <w:shd w:val="clear" w:color="auto" w:fill="auto"/>
          <w:vAlign w:val="bottom"/>
        </w:tcPr>
        <w:p w:rsidR="00375094" w:rsidRPr="00123125" w:rsidRDefault="00375094" w:rsidP="00123125">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375094" w:rsidRDefault="00375094" w:rsidP="00123125">
          <w:pPr>
            <w:pStyle w:val="Header"/>
            <w:spacing w:after="120"/>
          </w:pPr>
        </w:p>
      </w:tc>
      <w:tc>
        <w:tcPr>
          <w:tcW w:w="6523" w:type="dxa"/>
          <w:gridSpan w:val="3"/>
          <w:tcBorders>
            <w:bottom w:val="single" w:sz="4" w:space="0" w:color="auto"/>
          </w:tcBorders>
          <w:shd w:val="clear" w:color="auto" w:fill="auto"/>
          <w:vAlign w:val="bottom"/>
        </w:tcPr>
        <w:p w:rsidR="00375094" w:rsidRPr="00123125" w:rsidRDefault="00375094" w:rsidP="00123125">
          <w:pPr>
            <w:spacing w:after="80" w:line="240" w:lineRule="auto"/>
            <w:jc w:val="right"/>
            <w:rPr>
              <w:rFonts w:ascii="Times New Roman"/>
              <w:position w:val="-4"/>
            </w:rPr>
          </w:pPr>
          <w:r>
            <w:rPr>
              <w:rFonts w:ascii="Times New Roman"/>
              <w:position w:val="-4"/>
              <w:sz w:val="40"/>
            </w:rPr>
            <w:t>CEDAW</w:t>
          </w:r>
          <w:r>
            <w:rPr>
              <w:rFonts w:ascii="Times New Roman"/>
              <w:position w:val="-4"/>
            </w:rPr>
            <w:t>/C/SLB/1-3</w:t>
          </w:r>
        </w:p>
      </w:tc>
    </w:tr>
    <w:tr w:rsidR="00375094" w:rsidRPr="00123125" w:rsidTr="0012312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75094" w:rsidRDefault="00375094" w:rsidP="00123125">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75094" w:rsidRPr="00123125" w:rsidRDefault="00375094" w:rsidP="00123125">
          <w:pPr>
            <w:pStyle w:val="Header"/>
            <w:spacing w:before="109"/>
            <w:ind w:left="-72"/>
          </w:pPr>
        </w:p>
      </w:tc>
      <w:tc>
        <w:tcPr>
          <w:tcW w:w="5227" w:type="dxa"/>
          <w:gridSpan w:val="3"/>
          <w:tcBorders>
            <w:top w:val="single" w:sz="4" w:space="0" w:color="auto"/>
            <w:bottom w:val="single" w:sz="12" w:space="0" w:color="auto"/>
          </w:tcBorders>
          <w:shd w:val="clear" w:color="auto" w:fill="auto"/>
        </w:tcPr>
        <w:p w:rsidR="00375094" w:rsidRPr="00123125" w:rsidRDefault="00375094" w:rsidP="00123125">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375094" w:rsidRPr="00123125" w:rsidRDefault="00375094" w:rsidP="00123125">
          <w:pPr>
            <w:pStyle w:val="Header"/>
            <w:spacing w:before="109"/>
          </w:pPr>
        </w:p>
      </w:tc>
      <w:tc>
        <w:tcPr>
          <w:tcW w:w="3180" w:type="dxa"/>
          <w:gridSpan w:val="2"/>
          <w:tcBorders>
            <w:top w:val="single" w:sz="4" w:space="0" w:color="auto"/>
            <w:bottom w:val="single" w:sz="12" w:space="0" w:color="auto"/>
          </w:tcBorders>
          <w:shd w:val="clear" w:color="auto" w:fill="auto"/>
        </w:tcPr>
        <w:p w:rsidR="00375094" w:rsidRDefault="00375094" w:rsidP="00123125">
          <w:pPr>
            <w:spacing w:before="240" w:line="240" w:lineRule="exact"/>
            <w:rPr>
              <w:rFonts w:ascii="Times New Roman"/>
            </w:rPr>
          </w:pPr>
          <w:r>
            <w:rPr>
              <w:rFonts w:ascii="Times New Roman"/>
            </w:rPr>
            <w:t>Distr.: General</w:t>
          </w:r>
        </w:p>
        <w:p w:rsidR="00375094" w:rsidRDefault="00375094" w:rsidP="00123125">
          <w:pPr>
            <w:spacing w:line="240" w:lineRule="exact"/>
            <w:rPr>
              <w:rFonts w:ascii="Times New Roman"/>
            </w:rPr>
          </w:pPr>
          <w:r>
            <w:rPr>
              <w:rFonts w:ascii="Times New Roman"/>
            </w:rPr>
            <w:t>1 November 2013</w:t>
          </w:r>
        </w:p>
        <w:p w:rsidR="00375094" w:rsidRDefault="00375094" w:rsidP="00123125">
          <w:pPr>
            <w:spacing w:line="240" w:lineRule="exact"/>
            <w:rPr>
              <w:rFonts w:ascii="Times New Roman"/>
            </w:rPr>
          </w:pPr>
          <w:r>
            <w:rPr>
              <w:rFonts w:ascii="Times New Roman"/>
            </w:rPr>
            <w:t>Chinese</w:t>
          </w:r>
        </w:p>
        <w:p w:rsidR="00375094" w:rsidRPr="00123125" w:rsidRDefault="00375094" w:rsidP="00123125">
          <w:pPr>
            <w:spacing w:line="240" w:lineRule="exact"/>
            <w:rPr>
              <w:rFonts w:ascii="Times New Roman"/>
            </w:rPr>
          </w:pPr>
          <w:r>
            <w:rPr>
              <w:rFonts w:ascii="Times New Roman"/>
            </w:rPr>
            <w:t>Original: English</w:t>
          </w:r>
        </w:p>
      </w:tc>
    </w:tr>
  </w:tbl>
  <w:p w:rsidR="00375094" w:rsidRPr="00123125" w:rsidRDefault="00375094" w:rsidP="00123125">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
    <w:nsid w:val="0E14523E"/>
    <w:multiLevelType w:val="multilevel"/>
    <w:tmpl w:val="CAEC4356"/>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4257*"/>
    <w:docVar w:name="CreationDt" w:val="27/12/2013 09:40:30"/>
    <w:docVar w:name="DocCategory" w:val="Doc"/>
    <w:docVar w:name="DocType" w:val="Final"/>
    <w:docVar w:name="FooterJN" w:val="13-54257 (C)"/>
    <w:docVar w:name="jobn" w:val="13-54257 (C)"/>
    <w:docVar w:name="jobnDT" w:val="13-54257 (C)   271213"/>
    <w:docVar w:name="jobnDTDT" w:val="13-54257 (C)   271213   271213"/>
    <w:docVar w:name="JobNo" w:val="1354257C"/>
    <w:docVar w:name="OandT" w:val="DU   C"/>
    <w:docVar w:name="sss1" w:val="CEDAW/C/SLB/1-3"/>
    <w:docVar w:name="sss2" w:val="-"/>
    <w:docVar w:name="Symbol1" w:val="CEDAW/C/SLB/1-3"/>
    <w:docVar w:name="Symbol2" w:val="-"/>
  </w:docVars>
  <w:rsids>
    <w:rsidRoot w:val="00477E08"/>
    <w:rsid w:val="00000133"/>
    <w:rsid w:val="0000347C"/>
    <w:rsid w:val="000125BC"/>
    <w:rsid w:val="0001645E"/>
    <w:rsid w:val="00021A2B"/>
    <w:rsid w:val="00024E72"/>
    <w:rsid w:val="00034465"/>
    <w:rsid w:val="00036AA2"/>
    <w:rsid w:val="00036F1B"/>
    <w:rsid w:val="00037444"/>
    <w:rsid w:val="00037B39"/>
    <w:rsid w:val="00044CA4"/>
    <w:rsid w:val="00044EE9"/>
    <w:rsid w:val="00045EFE"/>
    <w:rsid w:val="0007337D"/>
    <w:rsid w:val="00074512"/>
    <w:rsid w:val="000758DF"/>
    <w:rsid w:val="00076EB8"/>
    <w:rsid w:val="000777FC"/>
    <w:rsid w:val="00077AEE"/>
    <w:rsid w:val="00082CCB"/>
    <w:rsid w:val="00083CAB"/>
    <w:rsid w:val="00095C67"/>
    <w:rsid w:val="000A31F9"/>
    <w:rsid w:val="000C1786"/>
    <w:rsid w:val="000C4DDE"/>
    <w:rsid w:val="000D32BA"/>
    <w:rsid w:val="000E240F"/>
    <w:rsid w:val="000E49A4"/>
    <w:rsid w:val="000F1058"/>
    <w:rsid w:val="000F55DC"/>
    <w:rsid w:val="00101C4E"/>
    <w:rsid w:val="001113F8"/>
    <w:rsid w:val="00114F57"/>
    <w:rsid w:val="001212F9"/>
    <w:rsid w:val="00121328"/>
    <w:rsid w:val="00123125"/>
    <w:rsid w:val="0012708E"/>
    <w:rsid w:val="00130EE5"/>
    <w:rsid w:val="001329F7"/>
    <w:rsid w:val="00141322"/>
    <w:rsid w:val="0015066B"/>
    <w:rsid w:val="00150D3A"/>
    <w:rsid w:val="00153D29"/>
    <w:rsid w:val="00161E69"/>
    <w:rsid w:val="00161F54"/>
    <w:rsid w:val="00162D29"/>
    <w:rsid w:val="00170FBE"/>
    <w:rsid w:val="00174233"/>
    <w:rsid w:val="001746A8"/>
    <w:rsid w:val="0017506F"/>
    <w:rsid w:val="00175EBC"/>
    <w:rsid w:val="001A4A37"/>
    <w:rsid w:val="001B2814"/>
    <w:rsid w:val="001B4F95"/>
    <w:rsid w:val="001C01EC"/>
    <w:rsid w:val="001C3329"/>
    <w:rsid w:val="001C3F7F"/>
    <w:rsid w:val="001C5166"/>
    <w:rsid w:val="001D0354"/>
    <w:rsid w:val="001D3F72"/>
    <w:rsid w:val="001E0ADA"/>
    <w:rsid w:val="001E20EC"/>
    <w:rsid w:val="001E4442"/>
    <w:rsid w:val="001E5A51"/>
    <w:rsid w:val="001F03A7"/>
    <w:rsid w:val="001F2F76"/>
    <w:rsid w:val="001F5207"/>
    <w:rsid w:val="001F6F25"/>
    <w:rsid w:val="00203760"/>
    <w:rsid w:val="00207135"/>
    <w:rsid w:val="002145EA"/>
    <w:rsid w:val="0023041C"/>
    <w:rsid w:val="00231575"/>
    <w:rsid w:val="00241DB7"/>
    <w:rsid w:val="00247382"/>
    <w:rsid w:val="00252E35"/>
    <w:rsid w:val="00254858"/>
    <w:rsid w:val="00255FC4"/>
    <w:rsid w:val="00257053"/>
    <w:rsid w:val="00260C62"/>
    <w:rsid w:val="00263B7B"/>
    <w:rsid w:val="00266257"/>
    <w:rsid w:val="00271BE6"/>
    <w:rsid w:val="0027454D"/>
    <w:rsid w:val="00277AAE"/>
    <w:rsid w:val="00280671"/>
    <w:rsid w:val="002814F9"/>
    <w:rsid w:val="00282D17"/>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063F6"/>
    <w:rsid w:val="00320C99"/>
    <w:rsid w:val="003274A9"/>
    <w:rsid w:val="00331221"/>
    <w:rsid w:val="00346223"/>
    <w:rsid w:val="00363610"/>
    <w:rsid w:val="003649EE"/>
    <w:rsid w:val="00371BC6"/>
    <w:rsid w:val="00373A15"/>
    <w:rsid w:val="00375094"/>
    <w:rsid w:val="00376C04"/>
    <w:rsid w:val="00383ACA"/>
    <w:rsid w:val="00384CB1"/>
    <w:rsid w:val="00394A02"/>
    <w:rsid w:val="003966E8"/>
    <w:rsid w:val="003A7B88"/>
    <w:rsid w:val="003B557B"/>
    <w:rsid w:val="003C448D"/>
    <w:rsid w:val="003C7B20"/>
    <w:rsid w:val="003D075F"/>
    <w:rsid w:val="003D5B4D"/>
    <w:rsid w:val="003E4565"/>
    <w:rsid w:val="003E748F"/>
    <w:rsid w:val="003E7612"/>
    <w:rsid w:val="003F4E17"/>
    <w:rsid w:val="00414423"/>
    <w:rsid w:val="00433853"/>
    <w:rsid w:val="00440B0D"/>
    <w:rsid w:val="004411AD"/>
    <w:rsid w:val="004424EF"/>
    <w:rsid w:val="00453BB0"/>
    <w:rsid w:val="00460162"/>
    <w:rsid w:val="004620A8"/>
    <w:rsid w:val="00466BB5"/>
    <w:rsid w:val="004700CF"/>
    <w:rsid w:val="00477E08"/>
    <w:rsid w:val="004821D0"/>
    <w:rsid w:val="00487444"/>
    <w:rsid w:val="00493C9C"/>
    <w:rsid w:val="004A06D1"/>
    <w:rsid w:val="004A11FC"/>
    <w:rsid w:val="004B2C67"/>
    <w:rsid w:val="004B2C81"/>
    <w:rsid w:val="004C0224"/>
    <w:rsid w:val="004C053E"/>
    <w:rsid w:val="004C3255"/>
    <w:rsid w:val="004C472F"/>
    <w:rsid w:val="004D07E1"/>
    <w:rsid w:val="004D1C19"/>
    <w:rsid w:val="004E2DA8"/>
    <w:rsid w:val="004E739A"/>
    <w:rsid w:val="004F29B8"/>
    <w:rsid w:val="004F5E26"/>
    <w:rsid w:val="0050413E"/>
    <w:rsid w:val="00515657"/>
    <w:rsid w:val="00521275"/>
    <w:rsid w:val="0052216F"/>
    <w:rsid w:val="005232CA"/>
    <w:rsid w:val="00523636"/>
    <w:rsid w:val="00530CBB"/>
    <w:rsid w:val="0053111B"/>
    <w:rsid w:val="005335B9"/>
    <w:rsid w:val="00536CCE"/>
    <w:rsid w:val="00542636"/>
    <w:rsid w:val="00552CE5"/>
    <w:rsid w:val="00553D8E"/>
    <w:rsid w:val="005541E4"/>
    <w:rsid w:val="00554F60"/>
    <w:rsid w:val="00562B21"/>
    <w:rsid w:val="00562FE7"/>
    <w:rsid w:val="0057094A"/>
    <w:rsid w:val="00570BD4"/>
    <w:rsid w:val="0057450D"/>
    <w:rsid w:val="005810F3"/>
    <w:rsid w:val="0058302A"/>
    <w:rsid w:val="005A175A"/>
    <w:rsid w:val="005B7338"/>
    <w:rsid w:val="005C02AB"/>
    <w:rsid w:val="005C5FC3"/>
    <w:rsid w:val="005D0F04"/>
    <w:rsid w:val="005D2204"/>
    <w:rsid w:val="005F12F0"/>
    <w:rsid w:val="005F1AAD"/>
    <w:rsid w:val="005F3273"/>
    <w:rsid w:val="005F34A3"/>
    <w:rsid w:val="00610CF2"/>
    <w:rsid w:val="00617802"/>
    <w:rsid w:val="006328DE"/>
    <w:rsid w:val="006353DE"/>
    <w:rsid w:val="006432CB"/>
    <w:rsid w:val="006479F1"/>
    <w:rsid w:val="00650BEE"/>
    <w:rsid w:val="006520FA"/>
    <w:rsid w:val="0065377D"/>
    <w:rsid w:val="00666F57"/>
    <w:rsid w:val="006740A7"/>
    <w:rsid w:val="006767D5"/>
    <w:rsid w:val="00691524"/>
    <w:rsid w:val="006926DF"/>
    <w:rsid w:val="006A654B"/>
    <w:rsid w:val="006C4BB3"/>
    <w:rsid w:val="006E2924"/>
    <w:rsid w:val="006E7A26"/>
    <w:rsid w:val="006F04EF"/>
    <w:rsid w:val="006F2B3D"/>
    <w:rsid w:val="007038D4"/>
    <w:rsid w:val="007052CC"/>
    <w:rsid w:val="00715C4B"/>
    <w:rsid w:val="007319E0"/>
    <w:rsid w:val="007345AA"/>
    <w:rsid w:val="00737B00"/>
    <w:rsid w:val="0075155C"/>
    <w:rsid w:val="00753A05"/>
    <w:rsid w:val="00757193"/>
    <w:rsid w:val="00761190"/>
    <w:rsid w:val="00776537"/>
    <w:rsid w:val="00783A25"/>
    <w:rsid w:val="007843DB"/>
    <w:rsid w:val="007877F4"/>
    <w:rsid w:val="007B6BAE"/>
    <w:rsid w:val="007C74B9"/>
    <w:rsid w:val="007D441A"/>
    <w:rsid w:val="007E1B5E"/>
    <w:rsid w:val="007E6253"/>
    <w:rsid w:val="007F2278"/>
    <w:rsid w:val="0080267F"/>
    <w:rsid w:val="00803014"/>
    <w:rsid w:val="00805783"/>
    <w:rsid w:val="00806F57"/>
    <w:rsid w:val="00806F90"/>
    <w:rsid w:val="008232FF"/>
    <w:rsid w:val="008246FC"/>
    <w:rsid w:val="00824C19"/>
    <w:rsid w:val="00826250"/>
    <w:rsid w:val="0083056F"/>
    <w:rsid w:val="008378D1"/>
    <w:rsid w:val="00846462"/>
    <w:rsid w:val="008538B6"/>
    <w:rsid w:val="00860742"/>
    <w:rsid w:val="0086691F"/>
    <w:rsid w:val="00872730"/>
    <w:rsid w:val="00883DB0"/>
    <w:rsid w:val="00884C8F"/>
    <w:rsid w:val="00896D38"/>
    <w:rsid w:val="008A0216"/>
    <w:rsid w:val="008C076B"/>
    <w:rsid w:val="008C3296"/>
    <w:rsid w:val="008C3413"/>
    <w:rsid w:val="008E2D03"/>
    <w:rsid w:val="008E7BDF"/>
    <w:rsid w:val="008F2BB5"/>
    <w:rsid w:val="008F425D"/>
    <w:rsid w:val="008F5472"/>
    <w:rsid w:val="008F5D08"/>
    <w:rsid w:val="008F5D0F"/>
    <w:rsid w:val="009122E0"/>
    <w:rsid w:val="00913351"/>
    <w:rsid w:val="009241F6"/>
    <w:rsid w:val="00957134"/>
    <w:rsid w:val="0096193C"/>
    <w:rsid w:val="009769E1"/>
    <w:rsid w:val="00977E0D"/>
    <w:rsid w:val="00982D5C"/>
    <w:rsid w:val="00986132"/>
    <w:rsid w:val="00986C04"/>
    <w:rsid w:val="009932F9"/>
    <w:rsid w:val="009A11E3"/>
    <w:rsid w:val="009A2F76"/>
    <w:rsid w:val="009B1250"/>
    <w:rsid w:val="009C3BCD"/>
    <w:rsid w:val="009D2AC2"/>
    <w:rsid w:val="009E1774"/>
    <w:rsid w:val="009E2668"/>
    <w:rsid w:val="009E40A3"/>
    <w:rsid w:val="009E5C8C"/>
    <w:rsid w:val="009F10B1"/>
    <w:rsid w:val="009F3D89"/>
    <w:rsid w:val="009F47E3"/>
    <w:rsid w:val="009F6938"/>
    <w:rsid w:val="00A0537D"/>
    <w:rsid w:val="00A069AD"/>
    <w:rsid w:val="00A17A85"/>
    <w:rsid w:val="00A20856"/>
    <w:rsid w:val="00A24399"/>
    <w:rsid w:val="00A24CA5"/>
    <w:rsid w:val="00A252DF"/>
    <w:rsid w:val="00A27E35"/>
    <w:rsid w:val="00A33D6D"/>
    <w:rsid w:val="00A37345"/>
    <w:rsid w:val="00A40AAE"/>
    <w:rsid w:val="00A40EA9"/>
    <w:rsid w:val="00A4532A"/>
    <w:rsid w:val="00A5206D"/>
    <w:rsid w:val="00A55E9E"/>
    <w:rsid w:val="00A652D9"/>
    <w:rsid w:val="00A72E47"/>
    <w:rsid w:val="00A750A5"/>
    <w:rsid w:val="00A778F1"/>
    <w:rsid w:val="00A8346D"/>
    <w:rsid w:val="00A90956"/>
    <w:rsid w:val="00A95404"/>
    <w:rsid w:val="00A968C5"/>
    <w:rsid w:val="00AA3C28"/>
    <w:rsid w:val="00AA759D"/>
    <w:rsid w:val="00AB2786"/>
    <w:rsid w:val="00AC550F"/>
    <w:rsid w:val="00AD4308"/>
    <w:rsid w:val="00AF2A33"/>
    <w:rsid w:val="00AF4C2D"/>
    <w:rsid w:val="00B014C7"/>
    <w:rsid w:val="00B03EFA"/>
    <w:rsid w:val="00B171E7"/>
    <w:rsid w:val="00B309DD"/>
    <w:rsid w:val="00B3574C"/>
    <w:rsid w:val="00B36621"/>
    <w:rsid w:val="00B36D64"/>
    <w:rsid w:val="00B41B48"/>
    <w:rsid w:val="00B55E1D"/>
    <w:rsid w:val="00B56194"/>
    <w:rsid w:val="00B60F41"/>
    <w:rsid w:val="00B61A34"/>
    <w:rsid w:val="00B64E8E"/>
    <w:rsid w:val="00B65E8B"/>
    <w:rsid w:val="00B77051"/>
    <w:rsid w:val="00B8025A"/>
    <w:rsid w:val="00B827B1"/>
    <w:rsid w:val="00B9116F"/>
    <w:rsid w:val="00B9408D"/>
    <w:rsid w:val="00BB23A4"/>
    <w:rsid w:val="00BB6332"/>
    <w:rsid w:val="00BC2276"/>
    <w:rsid w:val="00BD1B08"/>
    <w:rsid w:val="00BD1BFF"/>
    <w:rsid w:val="00BD2150"/>
    <w:rsid w:val="00BE1CC3"/>
    <w:rsid w:val="00BE365A"/>
    <w:rsid w:val="00BE47C4"/>
    <w:rsid w:val="00C052A2"/>
    <w:rsid w:val="00C06A4A"/>
    <w:rsid w:val="00C1391A"/>
    <w:rsid w:val="00C14CE6"/>
    <w:rsid w:val="00C15218"/>
    <w:rsid w:val="00C22BB2"/>
    <w:rsid w:val="00C22F76"/>
    <w:rsid w:val="00C2725D"/>
    <w:rsid w:val="00C31E79"/>
    <w:rsid w:val="00C403C9"/>
    <w:rsid w:val="00C42033"/>
    <w:rsid w:val="00C464DD"/>
    <w:rsid w:val="00C509DE"/>
    <w:rsid w:val="00C52423"/>
    <w:rsid w:val="00C60D8E"/>
    <w:rsid w:val="00C62EF9"/>
    <w:rsid w:val="00C672B6"/>
    <w:rsid w:val="00C76854"/>
    <w:rsid w:val="00C80B0D"/>
    <w:rsid w:val="00C900C5"/>
    <w:rsid w:val="00C92AE0"/>
    <w:rsid w:val="00C943B4"/>
    <w:rsid w:val="00CA450F"/>
    <w:rsid w:val="00CA4BBC"/>
    <w:rsid w:val="00CA7E8C"/>
    <w:rsid w:val="00CB2B1E"/>
    <w:rsid w:val="00CC053E"/>
    <w:rsid w:val="00CC1E2C"/>
    <w:rsid w:val="00CC3E8B"/>
    <w:rsid w:val="00CC4E84"/>
    <w:rsid w:val="00CD5641"/>
    <w:rsid w:val="00CE474E"/>
    <w:rsid w:val="00CE64AC"/>
    <w:rsid w:val="00CE7DFC"/>
    <w:rsid w:val="00CF02D3"/>
    <w:rsid w:val="00CF49BA"/>
    <w:rsid w:val="00CF7718"/>
    <w:rsid w:val="00D177F1"/>
    <w:rsid w:val="00D217A5"/>
    <w:rsid w:val="00D25E6B"/>
    <w:rsid w:val="00D32015"/>
    <w:rsid w:val="00D323B5"/>
    <w:rsid w:val="00D42ACC"/>
    <w:rsid w:val="00D4528B"/>
    <w:rsid w:val="00D51DC5"/>
    <w:rsid w:val="00D5525A"/>
    <w:rsid w:val="00D676D7"/>
    <w:rsid w:val="00D71517"/>
    <w:rsid w:val="00D7168D"/>
    <w:rsid w:val="00D874E1"/>
    <w:rsid w:val="00D950BE"/>
    <w:rsid w:val="00D9586D"/>
    <w:rsid w:val="00D95D43"/>
    <w:rsid w:val="00D9749C"/>
    <w:rsid w:val="00DA4C97"/>
    <w:rsid w:val="00DA51B2"/>
    <w:rsid w:val="00DA6965"/>
    <w:rsid w:val="00DB0932"/>
    <w:rsid w:val="00DB293E"/>
    <w:rsid w:val="00DC2506"/>
    <w:rsid w:val="00DC49FA"/>
    <w:rsid w:val="00DC6A58"/>
    <w:rsid w:val="00DD3D6B"/>
    <w:rsid w:val="00DD4467"/>
    <w:rsid w:val="00DD5418"/>
    <w:rsid w:val="00DD61C8"/>
    <w:rsid w:val="00DD772B"/>
    <w:rsid w:val="00DF742A"/>
    <w:rsid w:val="00E023A6"/>
    <w:rsid w:val="00E041F4"/>
    <w:rsid w:val="00E050BA"/>
    <w:rsid w:val="00E25442"/>
    <w:rsid w:val="00E25A1F"/>
    <w:rsid w:val="00E34E6A"/>
    <w:rsid w:val="00E35B72"/>
    <w:rsid w:val="00E37EEB"/>
    <w:rsid w:val="00E5153D"/>
    <w:rsid w:val="00E710FB"/>
    <w:rsid w:val="00E73CC9"/>
    <w:rsid w:val="00E75847"/>
    <w:rsid w:val="00E806D9"/>
    <w:rsid w:val="00E82CA2"/>
    <w:rsid w:val="00E94E5A"/>
    <w:rsid w:val="00E95594"/>
    <w:rsid w:val="00EA31C3"/>
    <w:rsid w:val="00EB33AC"/>
    <w:rsid w:val="00EC669D"/>
    <w:rsid w:val="00EC6F21"/>
    <w:rsid w:val="00ED261F"/>
    <w:rsid w:val="00EE0913"/>
    <w:rsid w:val="00F01440"/>
    <w:rsid w:val="00F020E7"/>
    <w:rsid w:val="00F03676"/>
    <w:rsid w:val="00F04C64"/>
    <w:rsid w:val="00F13305"/>
    <w:rsid w:val="00F3596A"/>
    <w:rsid w:val="00F40463"/>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986132"/>
    <w:pPr>
      <w:keepNext/>
      <w:keepLines/>
      <w:suppressAutoHyphens/>
      <w:outlineLvl w:val="0"/>
    </w:pPr>
    <w:rPr>
      <w:rFonts w:ascii="SimHei" w:eastAsia="SimHei"/>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single"/>
    </w:rPr>
  </w:style>
  <w:style w:type="character" w:styleId="FollowedHyperlink">
    <w:name w:val="FollowedHyperlink"/>
    <w:basedOn w:val="DefaultParagraphFont"/>
    <w:rsid w:val="00036F1B"/>
    <w:rPr>
      <w:color w:val="0000FF"/>
      <w:u w:val="single"/>
    </w:rPr>
  </w:style>
  <w:style w:type="paragraph" w:customStyle="1" w:styleId="GB23126">
    <w:name w:val="样式 (中文) 楷体_GB2312 六号 蓝色 右 段后: 6 磅 行距: 单倍行距"/>
    <w:basedOn w:val="Normal"/>
    <w:rsid w:val="00D217A5"/>
    <w:pPr>
      <w:spacing w:after="120" w:line="240" w:lineRule="auto"/>
      <w:jc w:val="right"/>
    </w:pPr>
    <w:rPr>
      <w:rFonts w:eastAsia="KaiTi_GB2312" w:cs="SimSun"/>
      <w:sz w:val="15"/>
    </w:rPr>
  </w:style>
  <w:style w:type="paragraph" w:customStyle="1" w:styleId="HCh6">
    <w:name w:val="样式 _ H _Ch + (中文) 宋体 段后: 6 磅"/>
    <w:basedOn w:val="HCh"/>
    <w:rsid w:val="00D217A5"/>
    <w:pPr>
      <w:spacing w:after="120"/>
      <w:jc w:val="left"/>
    </w:pPr>
    <w:rPr>
      <w:rFonts w:eastAsia="SimSun" w:cs="SimSun"/>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h/A/RES/41/1"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dol.govt.nz/services%20PayAndEmploymentEquity/definitions.asp"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257</TotalTime>
  <Pages>1</Pages>
  <Words>11432</Words>
  <Characters>65163</Characters>
  <Application>Microsoft Office Outlook</Application>
  <DocSecurity>4</DocSecurity>
  <Lines>543</Lines>
  <Paragraphs>152</Paragraphs>
  <ScaleCrop>false</ScaleCrop>
  <Company>United Nations</Company>
  <LinksUpToDate>false</LinksUpToDate>
  <CharactersWithSpaces>76443</CharactersWithSpaces>
  <SharedDoc>false</SharedDoc>
  <HLinks>
    <vt:vector size="12" baseType="variant">
      <vt:variant>
        <vt:i4>3735659</vt:i4>
      </vt:variant>
      <vt:variant>
        <vt:i4>0</vt:i4>
      </vt:variant>
      <vt:variant>
        <vt:i4>0</vt:i4>
      </vt:variant>
      <vt:variant>
        <vt:i4>5</vt:i4>
      </vt:variant>
      <vt:variant>
        <vt:lpwstr>http://undocs.org/ch/A/RES/41/1</vt:lpwstr>
      </vt:variant>
      <vt:variant>
        <vt:lpwstr/>
      </vt:variant>
      <vt:variant>
        <vt:i4>1245304</vt:i4>
      </vt:variant>
      <vt:variant>
        <vt:i4>0</vt:i4>
      </vt:variant>
      <vt:variant>
        <vt:i4>0</vt:i4>
      </vt:variant>
      <vt:variant>
        <vt:i4>5</vt:i4>
      </vt:variant>
      <vt:variant>
        <vt:lpwstr>http://www.dol.govt.nz/services PayAndEmploymentEquity/_x000b_definitions.asp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United Nations</dc:creator>
  <cp:keywords/>
  <dc:description/>
  <cp:lastModifiedBy>ctpu1</cp:lastModifiedBy>
  <cp:revision>38</cp:revision>
  <cp:lastPrinted>2014-02-13T12:11:00Z</cp:lastPrinted>
  <dcterms:created xsi:type="dcterms:W3CDTF">2013-12-27T07:38:00Z</dcterms:created>
  <dcterms:modified xsi:type="dcterms:W3CDTF">2014-03-05T14:32:00Z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1354257</vt:lpwstr>
  </property>
  <property fmtid="{D5CDD505-2E9C-101B-9397-08002B2CF9AE}" pid="3" name="Symbol1">
    <vt:lpwstr>CEDAW/C/SLB/1-3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DU   C</vt:lpwstr>
  </property>
</Properties>
</file>