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r>
              <w:rPr>
                <w:rFonts w:hint="eastAsia"/>
                <w:sz w:val="40"/>
                <w:szCs w:val="40"/>
              </w:rPr>
              <w:t>CCPR</w:t>
            </w:r>
            <w:r w:rsidRPr="002D3D9F">
              <w:rPr>
                <w:sz w:val="20"/>
              </w:rPr>
              <w:t>/</w:t>
            </w:r>
            <w:r w:rsidR="00C231A8">
              <w:rPr>
                <w:rFonts w:hint="eastAsia"/>
                <w:sz w:val="20"/>
              </w:rPr>
              <w:t>C</w:t>
            </w:r>
            <w:r w:rsidR="00121D57">
              <w:rPr>
                <w:rFonts w:hint="eastAsia"/>
                <w:sz w:val="20"/>
              </w:rPr>
              <w:t>/</w:t>
            </w:r>
            <w:r w:rsidR="00C231A8">
              <w:rPr>
                <w:rFonts w:hint="eastAsia"/>
                <w:sz w:val="20"/>
              </w:rPr>
              <w:t>NZL</w:t>
            </w:r>
            <w:r w:rsidR="00121D57">
              <w:rPr>
                <w:rFonts w:hint="eastAsia"/>
                <w:sz w:val="20"/>
              </w:rPr>
              <w:t>/</w:t>
            </w:r>
            <w:r w:rsidR="00C231A8">
              <w:rPr>
                <w:rFonts w:hint="eastAsia"/>
                <w:sz w:val="20"/>
              </w:rPr>
              <w:t>CO</w:t>
            </w:r>
            <w:r w:rsidR="00121D57">
              <w:rPr>
                <w:rFonts w:hint="eastAsia"/>
                <w:sz w:val="20"/>
              </w:rPr>
              <w:t>/</w:t>
            </w:r>
            <w:r w:rsidR="00C231A8">
              <w:rPr>
                <w:rFonts w:hint="eastAsia"/>
                <w:sz w:val="20"/>
              </w:rPr>
              <w:t>5</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121D57" w:rsidP="002D3D9F">
            <w:pPr>
              <w:spacing w:before="240" w:line="240" w:lineRule="atLeast"/>
              <w:rPr>
                <w:rFonts w:hint="eastAsia"/>
                <w:sz w:val="20"/>
              </w:rPr>
            </w:pPr>
            <w:r>
              <w:rPr>
                <w:sz w:val="20"/>
              </w:rPr>
              <w:t xml:space="preserve">Distr.: </w:t>
            </w:r>
            <w:r w:rsidR="00C231A8">
              <w:rPr>
                <w:rFonts w:hint="eastAsia"/>
                <w:sz w:val="20"/>
              </w:rPr>
              <w:t>General</w:t>
            </w:r>
          </w:p>
          <w:p w:rsidR="00C40431" w:rsidRPr="002D3D9F" w:rsidRDefault="00C231A8">
            <w:pPr>
              <w:spacing w:line="240" w:lineRule="atLeast"/>
              <w:rPr>
                <w:rFonts w:hint="eastAsia"/>
                <w:sz w:val="20"/>
              </w:rPr>
            </w:pPr>
            <w:r>
              <w:rPr>
                <w:rFonts w:hint="eastAsia"/>
                <w:sz w:val="20"/>
              </w:rPr>
              <w:t>7 April</w:t>
            </w:r>
            <w:r w:rsidR="005F24E4">
              <w:rPr>
                <w:sz w:val="20"/>
              </w:rPr>
              <w:t xml:space="preserve"> 20</w:t>
            </w:r>
            <w:r w:rsidR="005F24E4">
              <w:rPr>
                <w:rFonts w:hint="eastAsia"/>
                <w:sz w:val="20"/>
              </w:rPr>
              <w:t>10</w:t>
            </w:r>
          </w:p>
          <w:p w:rsidR="00C40431" w:rsidRPr="002D3D9F" w:rsidRDefault="00C40431">
            <w:pPr>
              <w:spacing w:line="240" w:lineRule="atLeast"/>
              <w:rPr>
                <w:sz w:val="20"/>
              </w:rPr>
            </w:pPr>
            <w:r w:rsidRPr="002D3D9F">
              <w:rPr>
                <w:sz w:val="20"/>
              </w:rPr>
              <w:t xml:space="preserve">Chinese </w:t>
            </w:r>
          </w:p>
          <w:p w:rsidR="00C40431" w:rsidRPr="002D3D9F" w:rsidRDefault="00121D57">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C231A8" w:rsidRPr="00C231A8">
        <w:rPr>
          <w:rFonts w:ascii="Time New Roman" w:eastAsia="SimHei" w:hAnsi="Time New Roman" w:hint="eastAsia"/>
        </w:rPr>
        <w:t>九十八</w:t>
      </w:r>
      <w:r w:rsidRPr="00553C07">
        <w:rPr>
          <w:rFonts w:ascii="Time New Roman" w:eastAsia="SimHei" w:hAnsi="Time New Roman" w:hint="eastAsia"/>
        </w:rPr>
        <w:t>届会议</w:t>
      </w:r>
    </w:p>
    <w:p w:rsidR="00553C07" w:rsidRPr="00D15CBD" w:rsidRDefault="00C231A8">
      <w:pPr>
        <w:rPr>
          <w:rFonts w:hint="eastAsia"/>
          <w:snapToGrid/>
        </w:rPr>
      </w:pPr>
      <w:r w:rsidRPr="00C231A8">
        <w:rPr>
          <w:rFonts w:hint="eastAsia"/>
          <w:snapToGrid/>
        </w:rPr>
        <w:t>2010</w:t>
      </w:r>
      <w:r w:rsidRPr="00C231A8">
        <w:rPr>
          <w:rFonts w:hint="eastAsia"/>
          <w:snapToGrid/>
        </w:rPr>
        <w:t>年</w:t>
      </w:r>
      <w:r w:rsidRPr="00C231A8">
        <w:rPr>
          <w:rFonts w:hint="eastAsia"/>
          <w:snapToGrid/>
        </w:rPr>
        <w:t>3</w:t>
      </w:r>
      <w:r w:rsidRPr="00C231A8">
        <w:rPr>
          <w:rFonts w:hint="eastAsia"/>
          <w:snapToGrid/>
        </w:rPr>
        <w:t>月</w:t>
      </w:r>
      <w:r w:rsidRPr="00C231A8">
        <w:rPr>
          <w:rFonts w:hint="eastAsia"/>
          <w:snapToGrid/>
        </w:rPr>
        <w:t>8</w:t>
      </w:r>
      <w:r w:rsidRPr="00C231A8">
        <w:rPr>
          <w:rFonts w:hint="eastAsia"/>
          <w:snapToGrid/>
        </w:rPr>
        <w:t>日至</w:t>
      </w:r>
      <w:r w:rsidRPr="00C231A8">
        <w:rPr>
          <w:rFonts w:hint="eastAsia"/>
          <w:snapToGrid/>
        </w:rPr>
        <w:t>26</w:t>
      </w:r>
      <w:r w:rsidRPr="00C231A8">
        <w:rPr>
          <w:rFonts w:hint="eastAsia"/>
          <w:snapToGrid/>
        </w:rPr>
        <w:t>日，纽约</w:t>
      </w:r>
    </w:p>
    <w:p w:rsidR="00C40431" w:rsidRDefault="00C40431" w:rsidP="008A29C7">
      <w:pPr>
        <w:pStyle w:val="HChGC"/>
        <w:rPr>
          <w:rFonts w:hint="eastAsia"/>
        </w:rPr>
      </w:pPr>
      <w:r>
        <w:tab/>
      </w:r>
      <w:r>
        <w:tab/>
      </w:r>
      <w:r w:rsidR="00C231A8" w:rsidRPr="00C231A8">
        <w:rPr>
          <w:rFonts w:hint="eastAsia"/>
        </w:rPr>
        <w:t>人权事务委员会的结论性意见</w:t>
      </w:r>
    </w:p>
    <w:p w:rsidR="00C231A8" w:rsidRPr="00C231A8" w:rsidRDefault="00C231A8" w:rsidP="00C231A8">
      <w:pPr>
        <w:pStyle w:val="HChGC"/>
        <w:rPr>
          <w:rFonts w:hint="eastAsia"/>
        </w:rPr>
      </w:pPr>
      <w:r>
        <w:rPr>
          <w:rFonts w:hint="eastAsia"/>
        </w:rPr>
        <w:tab/>
      </w:r>
      <w:r>
        <w:rPr>
          <w:rFonts w:hint="eastAsia"/>
        </w:rPr>
        <w:tab/>
      </w:r>
      <w:r>
        <w:rPr>
          <w:rFonts w:hint="eastAsia"/>
        </w:rPr>
        <w:t>审议缔约国根据《公约》第四十条提交的报告</w:t>
      </w:r>
    </w:p>
    <w:p w:rsidR="00C231A8" w:rsidRDefault="00C231A8" w:rsidP="00C231A8">
      <w:pPr>
        <w:pStyle w:val="HChGC"/>
        <w:rPr>
          <w:rFonts w:hint="eastAsia"/>
        </w:rPr>
      </w:pPr>
      <w:r>
        <w:rPr>
          <w:rFonts w:hint="eastAsia"/>
        </w:rPr>
        <w:tab/>
      </w:r>
      <w:r>
        <w:rPr>
          <w:rFonts w:hint="eastAsia"/>
        </w:rPr>
        <w:tab/>
      </w:r>
      <w:r>
        <w:rPr>
          <w:rFonts w:hint="eastAsia"/>
        </w:rPr>
        <w:t>新西兰</w:t>
      </w:r>
    </w:p>
    <w:p w:rsidR="00C231A8" w:rsidRDefault="00C231A8" w:rsidP="00C231A8">
      <w:pPr>
        <w:pStyle w:val="SingleTxtGC"/>
        <w:rPr>
          <w:rFonts w:hint="eastAsia"/>
        </w:rPr>
      </w:pPr>
      <w:r>
        <w:rPr>
          <w:rFonts w:hint="eastAsia"/>
        </w:rPr>
        <w:t>1</w:t>
      </w:r>
      <w:r w:rsidR="00121D57">
        <w:rPr>
          <w:rFonts w:hint="eastAsia"/>
        </w:rPr>
        <w:t xml:space="preserve">.  </w:t>
      </w:r>
      <w:r>
        <w:rPr>
          <w:rFonts w:hint="eastAsia"/>
        </w:rPr>
        <w:t>人权事务委员会在</w:t>
      </w:r>
      <w:r>
        <w:rPr>
          <w:rFonts w:hint="eastAsia"/>
        </w:rPr>
        <w:t>2010</w:t>
      </w:r>
      <w:r>
        <w:rPr>
          <w:rFonts w:hint="eastAsia"/>
        </w:rPr>
        <w:t>年</w:t>
      </w:r>
      <w:r>
        <w:rPr>
          <w:rFonts w:hint="eastAsia"/>
        </w:rPr>
        <w:t>3</w:t>
      </w:r>
      <w:r>
        <w:rPr>
          <w:rFonts w:hint="eastAsia"/>
        </w:rPr>
        <w:t>月</w:t>
      </w:r>
      <w:r>
        <w:rPr>
          <w:rFonts w:hint="eastAsia"/>
        </w:rPr>
        <w:t>15</w:t>
      </w:r>
      <w:r>
        <w:rPr>
          <w:rFonts w:hint="eastAsia"/>
        </w:rPr>
        <w:t>日和</w:t>
      </w:r>
      <w:r>
        <w:rPr>
          <w:rFonts w:hint="eastAsia"/>
        </w:rPr>
        <w:t>16</w:t>
      </w:r>
      <w:r>
        <w:rPr>
          <w:rFonts w:hint="eastAsia"/>
        </w:rPr>
        <w:t>日举行的第</w:t>
      </w:r>
      <w:r>
        <w:rPr>
          <w:rFonts w:hint="eastAsia"/>
        </w:rPr>
        <w:t>2696</w:t>
      </w:r>
      <w:r>
        <w:rPr>
          <w:rFonts w:hint="eastAsia"/>
        </w:rPr>
        <w:t>和</w:t>
      </w:r>
      <w:r>
        <w:rPr>
          <w:rFonts w:hint="eastAsia"/>
        </w:rPr>
        <w:t>2697</w:t>
      </w:r>
      <w:r>
        <w:rPr>
          <w:rFonts w:hint="eastAsia"/>
        </w:rPr>
        <w:t>次会议</w:t>
      </w:r>
      <w:r>
        <w:rPr>
          <w:rFonts w:hint="eastAsia"/>
        </w:rPr>
        <w:t>(CCPR/C/SR.2696</w:t>
      </w:r>
      <w:r>
        <w:rPr>
          <w:rFonts w:hint="eastAsia"/>
        </w:rPr>
        <w:t>和</w:t>
      </w:r>
      <w:r>
        <w:rPr>
          <w:rFonts w:hint="eastAsia"/>
        </w:rPr>
        <w:t>2697)</w:t>
      </w:r>
      <w:r>
        <w:rPr>
          <w:rFonts w:hint="eastAsia"/>
        </w:rPr>
        <w:t>上，审议了新西兰的第五次定期报告</w:t>
      </w:r>
      <w:r>
        <w:rPr>
          <w:rFonts w:hint="eastAsia"/>
        </w:rPr>
        <w:t>(CCPR/C/ NZL/5)</w:t>
      </w:r>
      <w:r>
        <w:rPr>
          <w:rFonts w:hint="eastAsia"/>
        </w:rPr>
        <w:t>，并在</w:t>
      </w:r>
      <w:r>
        <w:rPr>
          <w:rFonts w:hint="eastAsia"/>
        </w:rPr>
        <w:t>2010</w:t>
      </w:r>
      <w:r>
        <w:rPr>
          <w:rFonts w:hint="eastAsia"/>
        </w:rPr>
        <w:t>年</w:t>
      </w:r>
      <w:r>
        <w:rPr>
          <w:rFonts w:hint="eastAsia"/>
        </w:rPr>
        <w:t>3</w:t>
      </w:r>
      <w:r>
        <w:rPr>
          <w:rFonts w:hint="eastAsia"/>
        </w:rPr>
        <w:t>月</w:t>
      </w:r>
      <w:r>
        <w:rPr>
          <w:rFonts w:hint="eastAsia"/>
        </w:rPr>
        <w:t>25</w:t>
      </w:r>
      <w:r>
        <w:rPr>
          <w:rFonts w:hint="eastAsia"/>
        </w:rPr>
        <w:t>日举行的第</w:t>
      </w:r>
      <w:r>
        <w:rPr>
          <w:rFonts w:hint="eastAsia"/>
        </w:rPr>
        <w:t>2711</w:t>
      </w:r>
      <w:r>
        <w:rPr>
          <w:rFonts w:hint="eastAsia"/>
        </w:rPr>
        <w:t>和</w:t>
      </w:r>
      <w:r>
        <w:rPr>
          <w:rFonts w:hint="eastAsia"/>
        </w:rPr>
        <w:t>2712</w:t>
      </w:r>
      <w:r>
        <w:rPr>
          <w:rFonts w:hint="eastAsia"/>
        </w:rPr>
        <w:t>次会议</w:t>
      </w:r>
      <w:r>
        <w:rPr>
          <w:rFonts w:hint="eastAsia"/>
        </w:rPr>
        <w:t>(CCPR/C/SR.2711</w:t>
      </w:r>
      <w:r>
        <w:rPr>
          <w:rFonts w:hint="eastAsia"/>
        </w:rPr>
        <w:t>和</w:t>
      </w:r>
      <w:r>
        <w:rPr>
          <w:rFonts w:hint="eastAsia"/>
        </w:rPr>
        <w:t>2712)</w:t>
      </w:r>
      <w:r>
        <w:rPr>
          <w:rFonts w:hint="eastAsia"/>
        </w:rPr>
        <w:t>上通过了以下结论性意见。</w:t>
      </w:r>
    </w:p>
    <w:p w:rsidR="00C231A8" w:rsidRDefault="00C231A8" w:rsidP="00121D57">
      <w:pPr>
        <w:pStyle w:val="H1GC"/>
        <w:rPr>
          <w:rFonts w:hint="eastAsia"/>
        </w:rPr>
      </w:pPr>
      <w:r>
        <w:rPr>
          <w:rFonts w:hint="eastAsia"/>
        </w:rPr>
        <w:tab/>
        <w:t>A</w:t>
      </w:r>
      <w:r w:rsidR="00121D57">
        <w:rPr>
          <w:rFonts w:hint="eastAsia"/>
        </w:rPr>
        <w:t>.</w:t>
      </w:r>
      <w:r w:rsidR="00121D57">
        <w:rPr>
          <w:rFonts w:hint="eastAsia"/>
        </w:rPr>
        <w:tab/>
      </w:r>
      <w:r>
        <w:rPr>
          <w:rFonts w:hint="eastAsia"/>
        </w:rPr>
        <w:t>导言</w:t>
      </w:r>
    </w:p>
    <w:p w:rsidR="00C231A8" w:rsidRDefault="00C231A8" w:rsidP="00C231A8">
      <w:pPr>
        <w:pStyle w:val="SingleTxtGC"/>
        <w:rPr>
          <w:rFonts w:hint="eastAsia"/>
        </w:rPr>
      </w:pPr>
      <w:r>
        <w:rPr>
          <w:rFonts w:hint="eastAsia"/>
        </w:rPr>
        <w:t>2</w:t>
      </w:r>
      <w:r w:rsidR="00121D57">
        <w:rPr>
          <w:rFonts w:hint="eastAsia"/>
        </w:rPr>
        <w:t xml:space="preserve">.  </w:t>
      </w:r>
      <w:r>
        <w:rPr>
          <w:rFonts w:hint="eastAsia"/>
        </w:rPr>
        <w:t>委员会欢迎缔约国及时提交第五次定期报告，其中详细说明了缔约国为进一步执行《公约》所采取的措施。此外，委员会还赞赏缔约国就问题清单作出的高质量书面答复</w:t>
      </w:r>
      <w:r>
        <w:rPr>
          <w:rFonts w:hint="eastAsia"/>
        </w:rPr>
        <w:t>(CCPR/C//NZL/Q/5/Add.1)</w:t>
      </w:r>
      <w:r>
        <w:rPr>
          <w:rFonts w:hint="eastAsia"/>
        </w:rPr>
        <w:t>，以及在报告审议期间向委员会提供的口头答复。</w:t>
      </w:r>
    </w:p>
    <w:p w:rsidR="00C231A8" w:rsidRDefault="00C231A8" w:rsidP="00121D57">
      <w:pPr>
        <w:pStyle w:val="H1GC"/>
        <w:rPr>
          <w:rFonts w:hint="eastAsia"/>
        </w:rPr>
      </w:pPr>
      <w:r>
        <w:rPr>
          <w:rFonts w:hint="eastAsia"/>
        </w:rPr>
        <w:tab/>
        <w:t>B</w:t>
      </w:r>
      <w:r w:rsidR="00121D57">
        <w:rPr>
          <w:rFonts w:hint="eastAsia"/>
        </w:rPr>
        <w:t>.</w:t>
      </w:r>
      <w:r w:rsidR="00121D57">
        <w:rPr>
          <w:rFonts w:hint="eastAsia"/>
        </w:rPr>
        <w:tab/>
      </w:r>
      <w:r>
        <w:rPr>
          <w:rFonts w:hint="eastAsia"/>
        </w:rPr>
        <w:t>积极方面</w:t>
      </w:r>
    </w:p>
    <w:p w:rsidR="00C231A8" w:rsidRDefault="00C231A8" w:rsidP="00C231A8">
      <w:pPr>
        <w:pStyle w:val="SingleTxtGC"/>
        <w:rPr>
          <w:rFonts w:hint="eastAsia"/>
        </w:rPr>
      </w:pPr>
      <w:r>
        <w:rPr>
          <w:rFonts w:hint="eastAsia"/>
        </w:rPr>
        <w:t>3</w:t>
      </w:r>
      <w:r w:rsidR="00121D57">
        <w:rPr>
          <w:rFonts w:hint="eastAsia"/>
        </w:rPr>
        <w:t xml:space="preserve">.  </w:t>
      </w:r>
      <w:r>
        <w:rPr>
          <w:rFonts w:hint="eastAsia"/>
        </w:rPr>
        <w:t>委员会欢迎以下立法措施及其他措施：</w:t>
      </w:r>
    </w:p>
    <w:p w:rsidR="00C231A8" w:rsidRDefault="00C231A8" w:rsidP="00121D57">
      <w:pPr>
        <w:pStyle w:val="SingleTxtGC"/>
        <w:numPr>
          <w:ilvl w:val="0"/>
          <w:numId w:val="39"/>
        </w:numPr>
        <w:tabs>
          <w:tab w:val="clear" w:pos="2426"/>
          <w:tab w:val="left" w:pos="2427"/>
        </w:tabs>
        <w:rPr>
          <w:rFonts w:hint="eastAsia"/>
        </w:rPr>
      </w:pPr>
      <w:r>
        <w:rPr>
          <w:rFonts w:hint="eastAsia"/>
        </w:rPr>
        <w:t>通过了</w:t>
      </w:r>
      <w:r>
        <w:rPr>
          <w:rFonts w:hint="eastAsia"/>
        </w:rPr>
        <w:t>2005</w:t>
      </w:r>
      <w:r>
        <w:rPr>
          <w:rFonts w:hint="eastAsia"/>
        </w:rPr>
        <w:t>年《民事结合关系法》，承认同性居民之间的民事结合关系与男、女同性恋者、双性恋者及变性者的平等权利；</w:t>
      </w:r>
    </w:p>
    <w:p w:rsidR="00C231A8" w:rsidRDefault="00C231A8" w:rsidP="00121D57">
      <w:pPr>
        <w:pStyle w:val="SingleTxtGC"/>
        <w:numPr>
          <w:ilvl w:val="0"/>
          <w:numId w:val="39"/>
        </w:numPr>
        <w:tabs>
          <w:tab w:val="clear" w:pos="2426"/>
          <w:tab w:val="left" w:pos="2427"/>
        </w:tabs>
        <w:rPr>
          <w:rFonts w:hint="eastAsia"/>
        </w:rPr>
      </w:pPr>
      <w:r>
        <w:rPr>
          <w:rFonts w:hint="eastAsia"/>
        </w:rPr>
        <w:t>废除了《犯罪法》中允许父母出于管教的目的在家中对儿童使用暴力的内容；</w:t>
      </w:r>
    </w:p>
    <w:p w:rsidR="00C231A8" w:rsidRDefault="00B258CE" w:rsidP="00121D57">
      <w:pPr>
        <w:pStyle w:val="SingleTxtGC"/>
        <w:numPr>
          <w:ilvl w:val="0"/>
          <w:numId w:val="39"/>
        </w:numPr>
        <w:tabs>
          <w:tab w:val="clear" w:pos="2426"/>
          <w:tab w:val="left" w:pos="2427"/>
        </w:tabs>
        <w:rPr>
          <w:rFonts w:hint="eastAsia"/>
        </w:rPr>
      </w:pPr>
      <w:r>
        <w:br w:type="page"/>
      </w:r>
      <w:r w:rsidR="00C231A8">
        <w:rPr>
          <w:rFonts w:hint="eastAsia"/>
        </w:rPr>
        <w:t>通过了</w:t>
      </w:r>
      <w:r w:rsidR="00C231A8">
        <w:rPr>
          <w:rFonts w:hint="eastAsia"/>
        </w:rPr>
        <w:t>2009</w:t>
      </w:r>
      <w:r w:rsidR="00C231A8">
        <w:rPr>
          <w:rFonts w:hint="eastAsia"/>
        </w:rPr>
        <w:t>年《移民法》；</w:t>
      </w:r>
    </w:p>
    <w:p w:rsidR="00C231A8" w:rsidRDefault="00C231A8" w:rsidP="00121D57">
      <w:pPr>
        <w:pStyle w:val="SingleTxtGC"/>
        <w:numPr>
          <w:ilvl w:val="0"/>
          <w:numId w:val="39"/>
        </w:numPr>
        <w:tabs>
          <w:tab w:val="clear" w:pos="2426"/>
          <w:tab w:val="left" w:pos="2427"/>
        </w:tabs>
        <w:rPr>
          <w:rFonts w:hint="eastAsia"/>
        </w:rPr>
      </w:pPr>
      <w:r>
        <w:rPr>
          <w:rFonts w:hint="eastAsia"/>
        </w:rPr>
        <w:t>批准了《残疾人权利国际公约》和《酷刑和其他残忍、不人道或有辱人格的待遇或处罚公约》任择议定书等国际人权条约。</w:t>
      </w:r>
    </w:p>
    <w:p w:rsidR="00C231A8" w:rsidRDefault="00C231A8" w:rsidP="00C231A8">
      <w:pPr>
        <w:pStyle w:val="SingleTxtGC"/>
        <w:rPr>
          <w:rFonts w:hint="eastAsia"/>
        </w:rPr>
      </w:pPr>
      <w:r>
        <w:rPr>
          <w:rFonts w:hint="eastAsia"/>
        </w:rPr>
        <w:t>4</w:t>
      </w:r>
      <w:r w:rsidR="00121D57">
        <w:rPr>
          <w:rFonts w:hint="eastAsia"/>
        </w:rPr>
        <w:t xml:space="preserve">.  </w:t>
      </w:r>
      <w:r>
        <w:rPr>
          <w:rFonts w:hint="eastAsia"/>
        </w:rPr>
        <w:t>委员会欢迎新西兰人权委员会和非政府组织对其工作给予的帮助。</w:t>
      </w:r>
    </w:p>
    <w:p w:rsidR="00C231A8" w:rsidRDefault="00C231A8" w:rsidP="00121D57">
      <w:pPr>
        <w:pStyle w:val="H1GC"/>
        <w:rPr>
          <w:rFonts w:hint="eastAsia"/>
        </w:rPr>
      </w:pPr>
      <w:r>
        <w:rPr>
          <w:rFonts w:hint="eastAsia"/>
        </w:rPr>
        <w:tab/>
        <w:t>C</w:t>
      </w:r>
      <w:r w:rsidR="00121D57">
        <w:rPr>
          <w:rFonts w:hint="eastAsia"/>
        </w:rPr>
        <w:t>.</w:t>
      </w:r>
      <w:r w:rsidR="00121D57">
        <w:rPr>
          <w:rFonts w:hint="eastAsia"/>
        </w:rPr>
        <w:tab/>
      </w:r>
      <w:r>
        <w:rPr>
          <w:rFonts w:hint="eastAsia"/>
        </w:rPr>
        <w:t>主要关注的问题和建议</w:t>
      </w:r>
    </w:p>
    <w:p w:rsidR="00C231A8" w:rsidRDefault="00C231A8" w:rsidP="00C231A8">
      <w:pPr>
        <w:pStyle w:val="SingleTxtGC"/>
        <w:rPr>
          <w:rFonts w:hint="eastAsia"/>
        </w:rPr>
      </w:pPr>
      <w:r>
        <w:rPr>
          <w:rFonts w:hint="eastAsia"/>
        </w:rPr>
        <w:t>5</w:t>
      </w:r>
      <w:r w:rsidR="00121D57">
        <w:rPr>
          <w:rFonts w:hint="eastAsia"/>
        </w:rPr>
        <w:t xml:space="preserve">.  </w:t>
      </w:r>
      <w:r>
        <w:rPr>
          <w:rFonts w:hint="eastAsia"/>
        </w:rPr>
        <w:t>委员会欢迎缔约国表明目前正在修改关于拘留的条例，以便撤销对《公约》第十条第</w:t>
      </w:r>
      <w:r>
        <w:rPr>
          <w:rFonts w:hint="eastAsia"/>
        </w:rPr>
        <w:t>2</w:t>
      </w:r>
      <w:r>
        <w:rPr>
          <w:rFonts w:hint="eastAsia"/>
        </w:rPr>
        <w:t>款</w:t>
      </w:r>
      <w:r w:rsidR="00121D57">
        <w:rPr>
          <w:rFonts w:hint="eastAsia"/>
        </w:rPr>
        <w:t>(</w:t>
      </w:r>
      <w:r>
        <w:rPr>
          <w:rFonts w:hint="eastAsia"/>
        </w:rPr>
        <w:t>乙</w:t>
      </w:r>
      <w:r w:rsidR="00121D57">
        <w:rPr>
          <w:rFonts w:hint="eastAsia"/>
        </w:rPr>
        <w:t>)</w:t>
      </w:r>
      <w:r>
        <w:rPr>
          <w:rFonts w:hint="eastAsia"/>
        </w:rPr>
        <w:t>项和第</w:t>
      </w:r>
      <w:r>
        <w:rPr>
          <w:rFonts w:hint="eastAsia"/>
        </w:rPr>
        <w:t>3</w:t>
      </w:r>
      <w:r>
        <w:rPr>
          <w:rFonts w:hint="eastAsia"/>
        </w:rPr>
        <w:t>款作出的保留。</w:t>
      </w:r>
    </w:p>
    <w:p w:rsidR="00C231A8" w:rsidRPr="00DC1728" w:rsidRDefault="00C231A8" w:rsidP="00B258CE">
      <w:pPr>
        <w:pStyle w:val="SingleTxtGC"/>
        <w:ind w:left="1554"/>
        <w:rPr>
          <w:rFonts w:eastAsia="SimHei" w:hint="eastAsia"/>
        </w:rPr>
      </w:pPr>
      <w:r w:rsidRPr="00DC1728">
        <w:rPr>
          <w:rFonts w:eastAsia="SimHei" w:hint="eastAsia"/>
        </w:rPr>
        <w:t>缔约国应着手撤销对《公约》第十条第</w:t>
      </w:r>
      <w:r w:rsidRPr="00DC1728">
        <w:rPr>
          <w:rFonts w:eastAsia="SimHei" w:hint="eastAsia"/>
        </w:rPr>
        <w:t>2</w:t>
      </w:r>
      <w:r w:rsidRPr="00DC1728">
        <w:rPr>
          <w:rFonts w:eastAsia="SimHei" w:hint="eastAsia"/>
        </w:rPr>
        <w:t>款</w:t>
      </w:r>
      <w:r w:rsidR="00121D57" w:rsidRPr="00DC1728">
        <w:rPr>
          <w:rFonts w:eastAsia="SimHei" w:hint="eastAsia"/>
        </w:rPr>
        <w:t>(</w:t>
      </w:r>
      <w:r w:rsidRPr="00DC1728">
        <w:rPr>
          <w:rFonts w:eastAsia="SimHei" w:hint="eastAsia"/>
        </w:rPr>
        <w:t>乙</w:t>
      </w:r>
      <w:r w:rsidR="00121D57" w:rsidRPr="00DC1728">
        <w:rPr>
          <w:rFonts w:eastAsia="SimHei" w:hint="eastAsia"/>
        </w:rPr>
        <w:t>)</w:t>
      </w:r>
      <w:r w:rsidRPr="00DC1728">
        <w:rPr>
          <w:rFonts w:eastAsia="SimHei" w:hint="eastAsia"/>
        </w:rPr>
        <w:t>项和第</w:t>
      </w:r>
      <w:r w:rsidRPr="00DC1728">
        <w:rPr>
          <w:rFonts w:eastAsia="SimHei" w:hint="eastAsia"/>
        </w:rPr>
        <w:t>3</w:t>
      </w:r>
      <w:r w:rsidRPr="00DC1728">
        <w:rPr>
          <w:rFonts w:eastAsia="SimHei" w:hint="eastAsia"/>
        </w:rPr>
        <w:t>款作出的保留，并考虑撤销对《公约》作出的所有其他保留。</w:t>
      </w:r>
    </w:p>
    <w:p w:rsidR="00C231A8" w:rsidRDefault="00C231A8" w:rsidP="00C231A8">
      <w:pPr>
        <w:pStyle w:val="SingleTxtGC"/>
        <w:rPr>
          <w:rFonts w:hint="eastAsia"/>
        </w:rPr>
      </w:pPr>
      <w:r>
        <w:rPr>
          <w:rFonts w:hint="eastAsia"/>
        </w:rPr>
        <w:t>6</w:t>
      </w:r>
      <w:r w:rsidR="00121D57">
        <w:rPr>
          <w:rFonts w:hint="eastAsia"/>
        </w:rPr>
        <w:t xml:space="preserve">.  </w:t>
      </w:r>
      <w:r>
        <w:rPr>
          <w:rFonts w:hint="eastAsia"/>
        </w:rPr>
        <w:t>委员会欢迎新西兰人权委员会通过</w:t>
      </w:r>
      <w:r>
        <w:rPr>
          <w:rFonts w:hint="eastAsia"/>
        </w:rPr>
        <w:t>2005-2010</w:t>
      </w:r>
      <w:r>
        <w:rPr>
          <w:rFonts w:hint="eastAsia"/>
        </w:rPr>
        <w:t>年国家人权行动计划，并注意到，代表团在发言中表示已要求政府所有机构在制定政策和方案时将行动计划纳入考虑，但对缔约国未将这一计划正式认可为政府的政策表示关注。</w:t>
      </w:r>
      <w:r w:rsidR="00121D57">
        <w:rPr>
          <w:rFonts w:hint="eastAsia"/>
        </w:rPr>
        <w:t>(</w:t>
      </w:r>
      <w:r>
        <w:rPr>
          <w:rFonts w:hint="eastAsia"/>
        </w:rPr>
        <w:t>第二条</w:t>
      </w:r>
      <w:r w:rsidR="00121D57">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缔约国应保证制订并正式通过</w:t>
      </w:r>
      <w:r w:rsidRPr="00DC1728">
        <w:rPr>
          <w:rFonts w:eastAsia="SimHei" w:hint="eastAsia"/>
        </w:rPr>
        <w:t>2005-2010</w:t>
      </w:r>
      <w:r w:rsidRPr="00DC1728">
        <w:rPr>
          <w:rFonts w:eastAsia="SimHei" w:hint="eastAsia"/>
        </w:rPr>
        <w:t>年国家人权行动计划，将其作为政府政策。</w:t>
      </w:r>
    </w:p>
    <w:p w:rsidR="00C231A8" w:rsidRDefault="00C231A8" w:rsidP="00C231A8">
      <w:pPr>
        <w:pStyle w:val="SingleTxtGC"/>
        <w:rPr>
          <w:rFonts w:hint="eastAsia"/>
        </w:rPr>
      </w:pPr>
      <w:r>
        <w:rPr>
          <w:rFonts w:hint="eastAsia"/>
        </w:rPr>
        <w:t>7</w:t>
      </w:r>
      <w:r w:rsidR="00121D57">
        <w:rPr>
          <w:rFonts w:hint="eastAsia"/>
        </w:rPr>
        <w:t xml:space="preserve">.  </w:t>
      </w:r>
      <w:r>
        <w:rPr>
          <w:rFonts w:hint="eastAsia"/>
        </w:rPr>
        <w:t>委员会再次对</w:t>
      </w:r>
      <w:r>
        <w:rPr>
          <w:rFonts w:hint="eastAsia"/>
        </w:rPr>
        <w:t>1990</w:t>
      </w:r>
      <w:r>
        <w:rPr>
          <w:rFonts w:hint="eastAsia"/>
        </w:rPr>
        <w:t>年《权利法案》并未体现出所有《公约》权利表示关切。委员会还继续关注《权利法案》未能优先于普通法，尽管委员会在</w:t>
      </w:r>
      <w:r>
        <w:rPr>
          <w:rFonts w:hint="eastAsia"/>
        </w:rPr>
        <w:t>2002</w:t>
      </w:r>
      <w:r>
        <w:rPr>
          <w:rFonts w:hint="eastAsia"/>
        </w:rPr>
        <w:t>年已就此提出过建议。此外，虽然总检察官已了解对保护人权有不利影响的法律与《权利法案》相悖，但缔约国仍在实施这些法律，委员会对此保持关注。</w:t>
      </w:r>
      <w:r w:rsidR="00121D57">
        <w:rPr>
          <w:rFonts w:hint="eastAsia"/>
        </w:rPr>
        <w:t>(</w:t>
      </w:r>
      <w:r>
        <w:rPr>
          <w:rFonts w:hint="eastAsia"/>
        </w:rPr>
        <w:t>第二条</w:t>
      </w:r>
      <w:r w:rsidR="00121D57">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缔约国应在国内法律系统内实施可使所有《公约》权利得到落实的法律，向受害者提供获得有效补救的途径。缔约国亦应加强现有机制，确保国内法与《公约》相一致。</w:t>
      </w:r>
    </w:p>
    <w:p w:rsidR="00C231A8" w:rsidRDefault="00C231A8" w:rsidP="00C231A8">
      <w:pPr>
        <w:pStyle w:val="SingleTxtGC"/>
        <w:rPr>
          <w:rFonts w:hint="eastAsia"/>
        </w:rPr>
      </w:pPr>
      <w:r>
        <w:rPr>
          <w:rFonts w:hint="eastAsia"/>
        </w:rPr>
        <w:t>8</w:t>
      </w:r>
      <w:r w:rsidR="00121D57">
        <w:rPr>
          <w:rFonts w:hint="eastAsia"/>
        </w:rPr>
        <w:t xml:space="preserve">.  </w:t>
      </w:r>
      <w:r>
        <w:rPr>
          <w:rFonts w:hint="eastAsia"/>
        </w:rPr>
        <w:t>委员会欢迎缔约国决定进行家庭法庭案例流分析，以按照第</w:t>
      </w:r>
      <w:r>
        <w:rPr>
          <w:rFonts w:hint="eastAsia"/>
        </w:rPr>
        <w:t>1368/20</w:t>
      </w:r>
      <w:r w:rsidR="00121D57">
        <w:rPr>
          <w:rFonts w:hint="eastAsia"/>
        </w:rPr>
        <w:t>05</w:t>
      </w:r>
      <w:r>
        <w:rPr>
          <w:rFonts w:hint="eastAsia"/>
        </w:rPr>
        <w:t>号来文</w:t>
      </w:r>
      <w:r w:rsidR="00121D57">
        <w:rPr>
          <w:rFonts w:hint="eastAsia"/>
        </w:rPr>
        <w:t>(CCPR/C/89/D/1368/2005/Rev.1)</w:t>
      </w:r>
      <w:r>
        <w:rPr>
          <w:rFonts w:hint="eastAsia"/>
        </w:rPr>
        <w:t>中通过的意见，减少判决拖后的问题，一方面对案例提交人尚未得到赔偿表示关切。</w:t>
      </w:r>
      <w:r w:rsidR="00A74599">
        <w:rPr>
          <w:rFonts w:hint="eastAsia"/>
        </w:rPr>
        <w:t>(</w:t>
      </w:r>
      <w:r w:rsidR="00A74599">
        <w:rPr>
          <w:rFonts w:hint="eastAsia"/>
        </w:rPr>
        <w:t>第二条</w:t>
      </w:r>
      <w:r w:rsidR="00A74599">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缔约国应充分落实委员会就个人来文通过的所有意见，以遵守《公约》第二条第</w:t>
      </w:r>
      <w:r w:rsidRPr="00DC1728">
        <w:rPr>
          <w:rFonts w:eastAsia="SimHei" w:hint="eastAsia"/>
        </w:rPr>
        <w:t>3</w:t>
      </w:r>
      <w:r w:rsidRPr="00DC1728">
        <w:rPr>
          <w:rFonts w:eastAsia="SimHei" w:hint="eastAsia"/>
        </w:rPr>
        <w:t>款，保证《公约》权利受到侵犯的受害者得到有效补救和赔偿的权利。</w:t>
      </w:r>
    </w:p>
    <w:p w:rsidR="00C231A8" w:rsidRDefault="00C231A8" w:rsidP="00C231A8">
      <w:pPr>
        <w:pStyle w:val="SingleTxtGC"/>
        <w:rPr>
          <w:rFonts w:hint="eastAsia"/>
        </w:rPr>
      </w:pPr>
      <w:r>
        <w:rPr>
          <w:rFonts w:hint="eastAsia"/>
        </w:rPr>
        <w:t>9</w:t>
      </w:r>
      <w:r w:rsidR="00121D57">
        <w:rPr>
          <w:rFonts w:hint="eastAsia"/>
        </w:rPr>
        <w:t xml:space="preserve">.  </w:t>
      </w:r>
      <w:r>
        <w:rPr>
          <w:rFonts w:hint="eastAsia"/>
        </w:rPr>
        <w:t>委员会关注在高层和管理位置以及私营企业董事会中鲜有女性的情况。</w:t>
      </w:r>
      <w:r w:rsidR="00121D57">
        <w:rPr>
          <w:rFonts w:hint="eastAsia"/>
        </w:rPr>
        <w:t>(</w:t>
      </w:r>
      <w:r>
        <w:rPr>
          <w:rFonts w:hint="eastAsia"/>
        </w:rPr>
        <w:t>第二、三、二十五和二十六条</w:t>
      </w:r>
      <w:r>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缔约国应根据委员会关于第三条</w:t>
      </w:r>
      <w:r w:rsidR="00121D57" w:rsidRPr="00DC1728">
        <w:rPr>
          <w:rFonts w:eastAsia="SimHei" w:hint="eastAsia"/>
        </w:rPr>
        <w:t>(</w:t>
      </w:r>
      <w:r w:rsidRPr="00DC1728">
        <w:rPr>
          <w:rFonts w:eastAsia="SimHei" w:hint="eastAsia"/>
        </w:rPr>
        <w:t>男女权利平等</w:t>
      </w:r>
      <w:r w:rsidR="00121D57" w:rsidRPr="00DC1728">
        <w:rPr>
          <w:rFonts w:eastAsia="SimHei" w:hint="eastAsia"/>
        </w:rPr>
        <w:t>)</w:t>
      </w:r>
      <w:r w:rsidRPr="00DC1728">
        <w:rPr>
          <w:rFonts w:eastAsia="SimHei" w:hint="eastAsia"/>
        </w:rPr>
        <w:t>的第</w:t>
      </w:r>
      <w:r w:rsidR="00CB17F2" w:rsidRPr="00DC1728">
        <w:rPr>
          <w:rFonts w:eastAsia="SimHei" w:hint="eastAsia"/>
        </w:rPr>
        <w:t>28</w:t>
      </w:r>
      <w:r w:rsidRPr="00DC1728">
        <w:rPr>
          <w:rFonts w:eastAsia="SimHei" w:hint="eastAsia"/>
        </w:rPr>
        <w:t>(2000)</w:t>
      </w:r>
      <w:r w:rsidRPr="00DC1728">
        <w:rPr>
          <w:rFonts w:eastAsia="SimHei" w:hint="eastAsia"/>
        </w:rPr>
        <w:t>号一般性意见，想方设法，通过加强与私营领域合作伙伴的合作与对话，进一步鼓励妇女进入高层和管理位置以及私营企业董事会。</w:t>
      </w:r>
    </w:p>
    <w:p w:rsidR="00C231A8" w:rsidRDefault="00C231A8" w:rsidP="00C231A8">
      <w:pPr>
        <w:pStyle w:val="SingleTxtGC"/>
        <w:rPr>
          <w:rFonts w:hint="eastAsia"/>
        </w:rPr>
      </w:pPr>
      <w:r>
        <w:rPr>
          <w:rFonts w:hint="eastAsia"/>
        </w:rPr>
        <w:t>10</w:t>
      </w:r>
      <w:r w:rsidR="00121D57">
        <w:rPr>
          <w:rFonts w:hint="eastAsia"/>
        </w:rPr>
        <w:t xml:space="preserve">.  </w:t>
      </w:r>
      <w:r>
        <w:rPr>
          <w:rFonts w:hint="eastAsia"/>
        </w:rPr>
        <w:t>委员会注意到缔约国保证，只有经过培训的执法人员才可在明确而严格规定的必要情况下使用电击破坏肌肉协调的装置“泰瑟枪”，但委员会感到关切的是，这种武器可导致剧烈疼痛，甚至造成危及生命的伤害。</w:t>
      </w:r>
      <w:r w:rsidR="00121D57">
        <w:rPr>
          <w:rFonts w:hint="eastAsia"/>
        </w:rPr>
        <w:t>(</w:t>
      </w:r>
      <w:r>
        <w:rPr>
          <w:rFonts w:hint="eastAsia"/>
        </w:rPr>
        <w:t>第六和七条</w:t>
      </w:r>
      <w:r w:rsidR="00121D57">
        <w:rPr>
          <w:rFonts w:hint="eastAsia"/>
        </w:rPr>
        <w:t>)</w:t>
      </w:r>
      <w:r>
        <w:rPr>
          <w:rFonts w:hint="eastAsia"/>
        </w:rPr>
        <w:t xml:space="preserve"> </w:t>
      </w:r>
    </w:p>
    <w:p w:rsidR="00C231A8" w:rsidRPr="00DC1728" w:rsidRDefault="00C231A8" w:rsidP="00B258CE">
      <w:pPr>
        <w:pStyle w:val="SingleTxtGC"/>
        <w:ind w:left="1554"/>
        <w:rPr>
          <w:rFonts w:eastAsia="SimHei" w:hint="eastAsia"/>
        </w:rPr>
      </w:pPr>
      <w:r w:rsidRPr="00DC1728">
        <w:rPr>
          <w:rFonts w:eastAsia="SimHei" w:hint="eastAsia"/>
        </w:rPr>
        <w:t>缔约国应考虑放弃使用电击破坏肌肉协调的装置“泰瑟枪”。缔约国如继续使用这种武器，则应加紧努力确保执法人员时刻遵守各项规定，将使用限制在有正当理由使用更大或致命武力的情况内。缔约国应继续对使用这种武器的效果进行研究。</w:t>
      </w:r>
    </w:p>
    <w:p w:rsidR="00C231A8" w:rsidRDefault="00C231A8" w:rsidP="00C231A8">
      <w:pPr>
        <w:pStyle w:val="SingleTxtGC"/>
        <w:rPr>
          <w:rFonts w:hint="eastAsia"/>
        </w:rPr>
      </w:pPr>
      <w:r>
        <w:rPr>
          <w:rFonts w:hint="eastAsia"/>
        </w:rPr>
        <w:t>11</w:t>
      </w:r>
      <w:r w:rsidR="00121D57">
        <w:rPr>
          <w:rFonts w:hint="eastAsia"/>
        </w:rPr>
        <w:t xml:space="preserve">.  </w:t>
      </w:r>
      <w:r>
        <w:rPr>
          <w:rFonts w:hint="eastAsia"/>
        </w:rPr>
        <w:t>委员会注意到，缔约国已采取步骤解决</w:t>
      </w:r>
      <w:r>
        <w:rPr>
          <w:rFonts w:hint="eastAsia"/>
        </w:rPr>
        <w:t>2009</w:t>
      </w:r>
      <w:r>
        <w:rPr>
          <w:rFonts w:hint="eastAsia"/>
        </w:rPr>
        <w:t>年《管教</w:t>
      </w:r>
      <w:r w:rsidR="00121D57">
        <w:rPr>
          <w:rFonts w:hint="eastAsia"/>
        </w:rPr>
        <w:t>(</w:t>
      </w:r>
      <w:r>
        <w:rPr>
          <w:rFonts w:hint="eastAsia"/>
        </w:rPr>
        <w:t>监狱的合同管理</w:t>
      </w:r>
      <w:r w:rsidR="00121D57">
        <w:rPr>
          <w:rFonts w:hint="eastAsia"/>
        </w:rPr>
        <w:t>)</w:t>
      </w:r>
      <w:r>
        <w:rPr>
          <w:rFonts w:hint="eastAsia"/>
        </w:rPr>
        <w:t>修正法案》可能造成的侵犯人权的危险，同时再次表示对监狱管理私营化的关切。委员会继续关注的是，缔约国在监狱管理领域负有保护被剥夺自由者人权的责任，而将这样一个领域私营化，缔约国是否有效地履行了依《公约》应尽的义务，并为任何违反、不遵守现有保障措施的情况承担责任。</w:t>
      </w:r>
      <w:r w:rsidR="00121D57">
        <w:rPr>
          <w:rFonts w:hint="eastAsia"/>
        </w:rPr>
        <w:t>(</w:t>
      </w:r>
      <w:r>
        <w:rPr>
          <w:rFonts w:hint="eastAsia"/>
        </w:rPr>
        <w:t>第二和十条</w:t>
      </w:r>
      <w:r w:rsidR="00121D57">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确保所有被剥夺自由者依《公约》规定的所有权利得到保障。尤其应密切监测监狱管理私营化的所有措施，以确保在任何情况下，不妨碍缔约国负责保障被剥夺自由者的所有《公约》权利，尤其是第十条规定的权利。</w:t>
      </w:r>
    </w:p>
    <w:p w:rsidR="00C231A8" w:rsidRDefault="00C231A8" w:rsidP="00C231A8">
      <w:pPr>
        <w:pStyle w:val="SingleTxtGC"/>
        <w:rPr>
          <w:rFonts w:hint="eastAsia"/>
        </w:rPr>
      </w:pPr>
      <w:r>
        <w:rPr>
          <w:rFonts w:hint="eastAsia"/>
        </w:rPr>
        <w:t>12</w:t>
      </w:r>
      <w:r w:rsidR="00121D57">
        <w:rPr>
          <w:rFonts w:hint="eastAsia"/>
        </w:rPr>
        <w:t xml:space="preserve">.  </w:t>
      </w:r>
      <w:r>
        <w:rPr>
          <w:rFonts w:hint="eastAsia"/>
        </w:rPr>
        <w:t>委员会注意到代表团已确认，毛利人，特别是毛利妇女的入狱率之高超出正常比例，委员会对此感到关切。委员会还注意到，毛利人在被控犯罪者和犯罪行为受害者中所占比例大大高于他们在总人口中的比例，这表明有深层的社会原因，并使人关注是否存在司法歧视。</w:t>
      </w:r>
      <w:r w:rsidR="00121D57">
        <w:rPr>
          <w:rFonts w:hint="eastAsia"/>
        </w:rPr>
        <w:t>(</w:t>
      </w:r>
      <w:r>
        <w:rPr>
          <w:rFonts w:hint="eastAsia"/>
        </w:rPr>
        <w:t>第二、十和十四条</w:t>
      </w:r>
      <w:r w:rsidR="00121D57">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加强努力，改变监狱中毛利人，特别是毛利族女囚犯过多的状况，并继续从根本上解决这一现象。缔约国亦应更加努力，防止在司法方面歧视毛利人。执法人员和司法部门应接受适当的人权培训，尤其是关于平等和不歧视原则的培训。</w:t>
      </w:r>
    </w:p>
    <w:p w:rsidR="00C231A8" w:rsidRDefault="00C231A8" w:rsidP="00C231A8">
      <w:pPr>
        <w:pStyle w:val="SingleTxtGC"/>
        <w:rPr>
          <w:rFonts w:hint="eastAsia"/>
        </w:rPr>
      </w:pPr>
      <w:r>
        <w:rPr>
          <w:rFonts w:hint="eastAsia"/>
        </w:rPr>
        <w:t>13</w:t>
      </w:r>
      <w:r w:rsidR="00121D57">
        <w:rPr>
          <w:rFonts w:hint="eastAsia"/>
        </w:rPr>
        <w:t xml:space="preserve">.  </w:t>
      </w:r>
      <w:r>
        <w:rPr>
          <w:rFonts w:hint="eastAsia"/>
        </w:rPr>
        <w:t>委员会一方面注意到安理会第</w:t>
      </w:r>
      <w:r w:rsidR="00CB17F2">
        <w:rPr>
          <w:rFonts w:hint="eastAsia"/>
        </w:rPr>
        <w:t>1373</w:t>
      </w:r>
      <w:r>
        <w:rPr>
          <w:rFonts w:hint="eastAsia"/>
        </w:rPr>
        <w:t>(2001)</w:t>
      </w:r>
      <w:r>
        <w:rPr>
          <w:rFonts w:hint="eastAsia"/>
        </w:rPr>
        <w:t>号决议所规定的义务，一方面对</w:t>
      </w:r>
      <w:r>
        <w:rPr>
          <w:rFonts w:hint="eastAsia"/>
        </w:rPr>
        <w:t>2007</w:t>
      </w:r>
      <w:r>
        <w:rPr>
          <w:rFonts w:hint="eastAsia"/>
        </w:rPr>
        <w:t>年《制止恐怖主义修正法案》的一些条款与《公约》的一致性问题表示关注。委员会尤其关注指定某些组织或个人为恐怖主义实体的程序，以及在《修正法案》中没有允许质疑这种指定的条款，这不符合《公约》第十四条。委员会还关注的是，在《修正法案》中引入了新的一节，允许法庭在被指定为恐怖主义实体的组织或个人缺席的情况下，接受或听证针对他们的机密安全信息。</w:t>
      </w:r>
      <w:r w:rsidR="00121D57">
        <w:rPr>
          <w:rFonts w:hint="eastAsia"/>
        </w:rPr>
        <w:t>(</w:t>
      </w:r>
      <w:r>
        <w:rPr>
          <w:rFonts w:hint="eastAsia"/>
        </w:rPr>
        <w:t>第二、十四和二十六条</w:t>
      </w:r>
      <w:r w:rsidR="00121D57">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缔约国应确保其反恐立法完全符合《公约》。缔约国尤其应采取步骤，切实执行安理会第</w:t>
      </w:r>
      <w:r w:rsidR="00CB17F2" w:rsidRPr="00DC1728">
        <w:rPr>
          <w:rFonts w:eastAsia="SimHei" w:hint="eastAsia"/>
        </w:rPr>
        <w:t>1267</w:t>
      </w:r>
      <w:r w:rsidRPr="00DC1728">
        <w:rPr>
          <w:rFonts w:eastAsia="SimHei" w:hint="eastAsia"/>
        </w:rPr>
        <w:t>(1999)</w:t>
      </w:r>
      <w:r w:rsidRPr="00DC1728">
        <w:rPr>
          <w:rFonts w:eastAsia="SimHei" w:hint="eastAsia"/>
        </w:rPr>
        <w:t>号决议，确保国家指定恐怖组织的程序完全遵守《公约》第十四条规定的所有法律保障措施。</w:t>
      </w:r>
    </w:p>
    <w:p w:rsidR="00C231A8" w:rsidRDefault="00C231A8" w:rsidP="00C231A8">
      <w:pPr>
        <w:pStyle w:val="SingleTxtGC"/>
        <w:rPr>
          <w:rFonts w:hint="eastAsia"/>
        </w:rPr>
      </w:pPr>
      <w:r>
        <w:rPr>
          <w:rFonts w:hint="eastAsia"/>
        </w:rPr>
        <w:t>14</w:t>
      </w:r>
      <w:r w:rsidR="00121D57">
        <w:rPr>
          <w:rFonts w:hint="eastAsia"/>
        </w:rPr>
        <w:t xml:space="preserve">.  </w:t>
      </w:r>
      <w:r>
        <w:rPr>
          <w:rFonts w:hint="eastAsia"/>
        </w:rPr>
        <w:t>委员会了解代表团所作的解释，但对于缺少所称的“</w:t>
      </w:r>
      <w:r>
        <w:rPr>
          <w:rFonts w:hint="eastAsia"/>
        </w:rPr>
        <w:t>8</w:t>
      </w:r>
      <w:r>
        <w:rPr>
          <w:rFonts w:hint="eastAsia"/>
        </w:rPr>
        <w:t>号行动”</w:t>
      </w:r>
      <w:r w:rsidR="00121D57">
        <w:rPr>
          <w:rFonts w:hint="eastAsia"/>
        </w:rPr>
        <w:t>(</w:t>
      </w:r>
      <w:r>
        <w:rPr>
          <w:rFonts w:hint="eastAsia"/>
        </w:rPr>
        <w:t>2007</w:t>
      </w:r>
      <w:r>
        <w:rPr>
          <w:rFonts w:hint="eastAsia"/>
        </w:rPr>
        <w:t>年</w:t>
      </w:r>
      <w:r>
        <w:rPr>
          <w:rFonts w:hint="eastAsia"/>
        </w:rPr>
        <w:t>10</w:t>
      </w:r>
      <w:r>
        <w:rPr>
          <w:rFonts w:hint="eastAsia"/>
        </w:rPr>
        <w:t>月</w:t>
      </w:r>
      <w:r>
        <w:rPr>
          <w:rFonts w:hint="eastAsia"/>
        </w:rPr>
        <w:t>15</w:t>
      </w:r>
      <w:r>
        <w:rPr>
          <w:rFonts w:hint="eastAsia"/>
        </w:rPr>
        <w:t>日进行的反恐突击行动</w:t>
      </w:r>
      <w:r w:rsidR="00121D57">
        <w:rPr>
          <w:rFonts w:hint="eastAsia"/>
        </w:rPr>
        <w:t>)</w:t>
      </w:r>
      <w:r>
        <w:rPr>
          <w:rFonts w:hint="eastAsia"/>
        </w:rPr>
        <w:t>的相关执行信息感到遗憾，据称，该行动中对毛利人社区过度使用了武力。委员会还关切地注意到，对行动中逮捕的嫌疑人将于</w:t>
      </w:r>
      <w:r>
        <w:rPr>
          <w:rFonts w:hint="eastAsia"/>
        </w:rPr>
        <w:t>2011</w:t>
      </w:r>
      <w:r>
        <w:rPr>
          <w:rFonts w:hint="eastAsia"/>
        </w:rPr>
        <w:t>年才开始审判。</w:t>
      </w:r>
      <w:r w:rsidR="00121D57">
        <w:rPr>
          <w:rFonts w:hint="eastAsia"/>
        </w:rPr>
        <w:t>(</w:t>
      </w:r>
      <w:r>
        <w:rPr>
          <w:rFonts w:hint="eastAsia"/>
        </w:rPr>
        <w:t>第二、七、十四和二十六条</w:t>
      </w:r>
      <w:r w:rsidR="00121D57">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确保不以歧视方式适用《制止恐怖主义修正法案》，不对嫌疑人过度使用武力，以满足既维护公共安全，又保障享有个人权利的需要。缔约国亦应在下次定期报告中向委员会提供详细资料，报告对那些指控执法人员涉嫌侵犯人权，特别是在</w:t>
      </w:r>
      <w:r w:rsidRPr="00DC1728">
        <w:rPr>
          <w:rFonts w:eastAsia="SimHei" w:hint="eastAsia"/>
        </w:rPr>
        <w:t>8</w:t>
      </w:r>
      <w:r w:rsidRPr="00DC1728">
        <w:rPr>
          <w:rFonts w:eastAsia="SimHei" w:hint="eastAsia"/>
        </w:rPr>
        <w:t>号行动中过度使用武力的案例进行调查、起诉和采取纪律措施的结果。</w:t>
      </w:r>
      <w:r w:rsidR="00F53ED7">
        <w:rPr>
          <w:rFonts w:eastAsia="SimHei" w:hint="eastAsia"/>
        </w:rPr>
        <w:t>此外，缔约国应确保在“</w:t>
      </w:r>
      <w:r w:rsidR="00F53ED7">
        <w:rPr>
          <w:rFonts w:eastAsia="SimHei" w:hint="eastAsia"/>
        </w:rPr>
        <w:t>8</w:t>
      </w:r>
      <w:r w:rsidR="00F53ED7">
        <w:rPr>
          <w:rFonts w:eastAsia="SimHei" w:hint="eastAsia"/>
        </w:rPr>
        <w:t>号行动”中逮捕的人能在合理的时限内得到审判。</w:t>
      </w:r>
    </w:p>
    <w:p w:rsidR="00C231A8" w:rsidRDefault="00C231A8" w:rsidP="00C231A8">
      <w:pPr>
        <w:pStyle w:val="SingleTxtGC"/>
        <w:rPr>
          <w:rFonts w:hint="eastAsia"/>
        </w:rPr>
      </w:pPr>
      <w:r>
        <w:rPr>
          <w:rFonts w:hint="eastAsia"/>
        </w:rPr>
        <w:t>15</w:t>
      </w:r>
      <w:r w:rsidR="00121D57">
        <w:rPr>
          <w:rFonts w:hint="eastAsia"/>
        </w:rPr>
        <w:t xml:space="preserve">.  </w:t>
      </w:r>
      <w:r>
        <w:rPr>
          <w:rFonts w:hint="eastAsia"/>
        </w:rPr>
        <w:t>委员会欢迎针对人口贩运采取的措施，但对缔约国至今未能确定任何一例贩运案件表示关注。</w:t>
      </w:r>
      <w:r w:rsidR="00121D57">
        <w:rPr>
          <w:rFonts w:hint="eastAsia"/>
        </w:rPr>
        <w:t>(</w:t>
      </w:r>
      <w:r>
        <w:rPr>
          <w:rFonts w:hint="eastAsia"/>
        </w:rPr>
        <w:t>第八条</w:t>
      </w:r>
      <w:r w:rsidR="00121D57">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当加大力度识别贩运行为受害者，做到系统地收集贩运人口入境或从其领土过境的数据。应对警察、边防警卫、法官、律师和其他有关人员进行培训，提高他们对人口贩运问题和受害者权利问题敏感性的认识。</w:t>
      </w:r>
    </w:p>
    <w:p w:rsidR="00C231A8" w:rsidRDefault="00C231A8" w:rsidP="00C231A8">
      <w:pPr>
        <w:pStyle w:val="SingleTxtGC"/>
        <w:rPr>
          <w:rFonts w:hint="eastAsia"/>
        </w:rPr>
      </w:pPr>
      <w:r>
        <w:rPr>
          <w:rFonts w:hint="eastAsia"/>
        </w:rPr>
        <w:t>16</w:t>
      </w:r>
      <w:r w:rsidR="00121D57">
        <w:rPr>
          <w:rFonts w:hint="eastAsia"/>
        </w:rPr>
        <w:t xml:space="preserve">.  </w:t>
      </w:r>
      <w:r>
        <w:rPr>
          <w:rFonts w:hint="eastAsia"/>
        </w:rPr>
        <w:t>委员会注意到，缔约国的政策规定在极少数情况下可对寻求庇护者实施拘留。委员会进一步关切地注意到，缔约国的“安全的第三国”政策以申请人已向或可能已向另一国提出申请为理由，允许对其寻求保护或难民身份的请求不予考虑，这可能导致违反不驱逐的原则。有报告称，寻求庇护者和无证件移民被与已判刑囚犯混合拘留于惩教场所，委员会也对此感到关切。</w:t>
      </w:r>
      <w:r w:rsidR="00A74599">
        <w:rPr>
          <w:rFonts w:hint="eastAsia"/>
        </w:rPr>
        <w:t>(</w:t>
      </w:r>
      <w:r w:rsidR="00A74599">
        <w:rPr>
          <w:rFonts w:hint="eastAsia"/>
        </w:rPr>
        <w:t>第十三条</w:t>
      </w:r>
      <w:r w:rsidR="00A74599">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w:t>
      </w:r>
    </w:p>
    <w:p w:rsidR="00C231A8" w:rsidRPr="00DC1728" w:rsidRDefault="00C231A8" w:rsidP="00B258CE">
      <w:pPr>
        <w:pStyle w:val="SingleTxtGC"/>
        <w:numPr>
          <w:ilvl w:val="0"/>
          <w:numId w:val="43"/>
        </w:numPr>
        <w:tabs>
          <w:tab w:val="clear" w:pos="2426"/>
          <w:tab w:val="left" w:pos="2427"/>
        </w:tabs>
        <w:ind w:left="1554"/>
        <w:rPr>
          <w:rFonts w:eastAsia="SimHei" w:hint="eastAsia"/>
        </w:rPr>
      </w:pPr>
      <w:r w:rsidRPr="00DC1728">
        <w:rPr>
          <w:rFonts w:eastAsia="SimHei" w:hint="eastAsia"/>
        </w:rPr>
        <w:t>使其立法完全符合不驱逐原则；</w:t>
      </w:r>
    </w:p>
    <w:p w:rsidR="00C231A8" w:rsidRPr="00DC1728" w:rsidRDefault="00C231A8" w:rsidP="00B258CE">
      <w:pPr>
        <w:pStyle w:val="SingleTxtGC"/>
        <w:numPr>
          <w:ilvl w:val="0"/>
          <w:numId w:val="43"/>
        </w:numPr>
        <w:tabs>
          <w:tab w:val="clear" w:pos="2426"/>
          <w:tab w:val="left" w:pos="2427"/>
        </w:tabs>
        <w:ind w:left="1554"/>
        <w:rPr>
          <w:rFonts w:eastAsia="SimHei" w:hint="eastAsia"/>
        </w:rPr>
      </w:pPr>
      <w:r w:rsidRPr="00DC1728">
        <w:rPr>
          <w:rFonts w:eastAsia="SimHei" w:hint="eastAsia"/>
        </w:rPr>
        <w:t>确保不将寻求庇护者或难民与已判刑囚犯混合拘留于惩教场所或其他拘留场所，对《移民法》进行相应修订；</w:t>
      </w:r>
    </w:p>
    <w:p w:rsidR="00C231A8" w:rsidRPr="00DC1728" w:rsidRDefault="00C231A8" w:rsidP="00B258CE">
      <w:pPr>
        <w:pStyle w:val="SingleTxtGC"/>
        <w:numPr>
          <w:ilvl w:val="0"/>
          <w:numId w:val="43"/>
        </w:numPr>
        <w:tabs>
          <w:tab w:val="clear" w:pos="2426"/>
          <w:tab w:val="left" w:pos="2427"/>
        </w:tabs>
        <w:ind w:left="1554"/>
        <w:rPr>
          <w:rFonts w:eastAsia="SimHei" w:hint="eastAsia"/>
        </w:rPr>
      </w:pPr>
      <w:r w:rsidRPr="00DC1728">
        <w:rPr>
          <w:rFonts w:eastAsia="SimHei" w:hint="eastAsia"/>
        </w:rPr>
        <w:t>考虑扩大新西兰人权委员会的任务授权，使其能够接受与移民法律、政策和做法有关的侵犯人权的指控并就此作出报告。</w:t>
      </w:r>
    </w:p>
    <w:p w:rsidR="00C231A8" w:rsidRDefault="00C231A8" w:rsidP="00C231A8">
      <w:pPr>
        <w:pStyle w:val="SingleTxtGC"/>
        <w:rPr>
          <w:rFonts w:hint="eastAsia"/>
        </w:rPr>
      </w:pPr>
      <w:r>
        <w:rPr>
          <w:rFonts w:hint="eastAsia"/>
        </w:rPr>
        <w:t>17</w:t>
      </w:r>
      <w:r w:rsidR="00121D57">
        <w:rPr>
          <w:rFonts w:hint="eastAsia"/>
        </w:rPr>
        <w:t xml:space="preserve">.  </w:t>
      </w:r>
      <w:r>
        <w:rPr>
          <w:rFonts w:hint="eastAsia"/>
        </w:rPr>
        <w:t>委员会关注到，最高法院得出的结论认为，关于毒品携带的刑事法律中有违反无罪推定原则之处，但尚未因此对相关法律进行修改。</w:t>
      </w:r>
      <w:r w:rsidR="00A74599">
        <w:rPr>
          <w:rFonts w:hint="eastAsia"/>
        </w:rPr>
        <w:t>(</w:t>
      </w:r>
      <w:r w:rsidR="00A74599">
        <w:rPr>
          <w:rFonts w:hint="eastAsia"/>
        </w:rPr>
        <w:t>第九和十四条</w:t>
      </w:r>
      <w:r w:rsidR="00A74599">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根据委员会关于第十四条</w:t>
      </w:r>
      <w:r w:rsidR="00121D57" w:rsidRPr="00DC1728">
        <w:rPr>
          <w:rFonts w:eastAsia="SimHei" w:hint="eastAsia"/>
        </w:rPr>
        <w:t>(</w:t>
      </w:r>
      <w:r w:rsidRPr="00DC1728">
        <w:rPr>
          <w:rFonts w:eastAsia="SimHei" w:hint="eastAsia"/>
        </w:rPr>
        <w:t>在法庭和裁判所前一律平等和获得公正审判的权利</w:t>
      </w:r>
      <w:r w:rsidR="00121D57" w:rsidRPr="00DC1728">
        <w:rPr>
          <w:rFonts w:eastAsia="SimHei" w:hint="eastAsia"/>
        </w:rPr>
        <w:t>)</w:t>
      </w:r>
      <w:r w:rsidRPr="00DC1728">
        <w:rPr>
          <w:rFonts w:eastAsia="SimHei" w:hint="eastAsia"/>
        </w:rPr>
        <w:t>的第</w:t>
      </w:r>
      <w:r w:rsidRPr="00DC1728">
        <w:rPr>
          <w:rFonts w:eastAsia="SimHei" w:hint="eastAsia"/>
        </w:rPr>
        <w:t>32(2007)</w:t>
      </w:r>
      <w:r w:rsidRPr="00DC1728">
        <w:rPr>
          <w:rFonts w:eastAsia="SimHei" w:hint="eastAsia"/>
        </w:rPr>
        <w:t>号一般性意见，缔约国应加快通过对</w:t>
      </w:r>
      <w:r w:rsidRPr="00DC1728">
        <w:rPr>
          <w:rFonts w:eastAsia="SimHei" w:hint="eastAsia"/>
        </w:rPr>
        <w:t>1975</w:t>
      </w:r>
      <w:r w:rsidRPr="00DC1728">
        <w:rPr>
          <w:rFonts w:eastAsia="SimHei" w:hint="eastAsia"/>
        </w:rPr>
        <w:t>年《滥用毒品法案》的修订，做到与《公约》第九和十四条相一致，保障无罪推定权。</w:t>
      </w:r>
    </w:p>
    <w:p w:rsidR="00C231A8" w:rsidRDefault="00C231A8" w:rsidP="00C231A8">
      <w:pPr>
        <w:pStyle w:val="SingleTxtGC"/>
        <w:rPr>
          <w:rFonts w:hint="eastAsia"/>
        </w:rPr>
      </w:pPr>
      <w:r>
        <w:rPr>
          <w:rFonts w:hint="eastAsia"/>
        </w:rPr>
        <w:t>18</w:t>
      </w:r>
      <w:r w:rsidR="00121D57">
        <w:rPr>
          <w:rFonts w:hint="eastAsia"/>
        </w:rPr>
        <w:t xml:space="preserve">.  </w:t>
      </w:r>
      <w:r>
        <w:rPr>
          <w:rFonts w:hint="eastAsia"/>
        </w:rPr>
        <w:t>委员会欢迎采取举措保护儿童不受虐待，注意到缔约国已认为需要解决这一问题，但对在缔约国发生的虐待儿童事件表示关切。</w:t>
      </w:r>
      <w:r w:rsidR="00121D57">
        <w:rPr>
          <w:rFonts w:hint="eastAsia"/>
        </w:rPr>
        <w:t>(</w:t>
      </w:r>
      <w:r>
        <w:rPr>
          <w:rFonts w:hint="eastAsia"/>
        </w:rPr>
        <w:t>第七和二十四条</w:t>
      </w:r>
      <w:r w:rsidR="00121D57">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缔约国应进一步加大力度，打击虐待儿童行为，改进早期发现机制，鼓励报告可疑和实际的虐待行为，并要求有关当局对虐待儿童者采取法律行动。</w:t>
      </w:r>
    </w:p>
    <w:p w:rsidR="00C231A8" w:rsidRDefault="00C231A8" w:rsidP="00C231A8">
      <w:pPr>
        <w:pStyle w:val="SingleTxtGC"/>
        <w:rPr>
          <w:rFonts w:hint="eastAsia"/>
        </w:rPr>
      </w:pPr>
      <w:r>
        <w:rPr>
          <w:rFonts w:hint="eastAsia"/>
        </w:rPr>
        <w:t>19</w:t>
      </w:r>
      <w:r w:rsidR="00121D57">
        <w:rPr>
          <w:rFonts w:hint="eastAsia"/>
        </w:rPr>
        <w:t xml:space="preserve">.  </w:t>
      </w:r>
      <w:r>
        <w:rPr>
          <w:rFonts w:hint="eastAsia"/>
        </w:rPr>
        <w:t>委员会了解到已启动谈判程序，审查或可能废止</w:t>
      </w:r>
      <w:r>
        <w:rPr>
          <w:rFonts w:hint="eastAsia"/>
        </w:rPr>
        <w:t>2004</w:t>
      </w:r>
      <w:r>
        <w:rPr>
          <w:rFonts w:hint="eastAsia"/>
        </w:rPr>
        <w:t>年《海岸与海床法》，但感到关切的是，该法歧视毛利人，取消了他们对海岸和海床的传统所有权。</w:t>
      </w:r>
      <w:r w:rsidR="00121D57">
        <w:rPr>
          <w:rFonts w:hint="eastAsia"/>
        </w:rPr>
        <w:t>(</w:t>
      </w:r>
      <w:r>
        <w:rPr>
          <w:rFonts w:hint="eastAsia"/>
        </w:rPr>
        <w:t>第二、二十六和二十七条</w:t>
      </w:r>
      <w:r w:rsidR="00121D57">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缔约国应加大努力，就当前审查</w:t>
      </w:r>
      <w:r w:rsidRPr="00DC1728">
        <w:rPr>
          <w:rFonts w:eastAsia="SimHei" w:hint="eastAsia"/>
        </w:rPr>
        <w:t>2004</w:t>
      </w:r>
      <w:r w:rsidRPr="00DC1728">
        <w:rPr>
          <w:rFonts w:eastAsia="SimHei" w:hint="eastAsia"/>
        </w:rPr>
        <w:t>年《海岸与海床法》一事与所有毛利人群体的代表进行有效协商，以修订或废止该法。尤其是公开协商阶段应留有充足的时间听取所有毛利人群体的意见。此外，应按照委员会关于第二十七条</w:t>
      </w:r>
      <w:r w:rsidR="00121D57" w:rsidRPr="00DC1728">
        <w:rPr>
          <w:rFonts w:eastAsia="SimHei" w:hint="eastAsia"/>
        </w:rPr>
        <w:t>(</w:t>
      </w:r>
      <w:r w:rsidRPr="00DC1728">
        <w:rPr>
          <w:rFonts w:eastAsia="SimHei" w:hint="eastAsia"/>
        </w:rPr>
        <w:t>少数群体的权利</w:t>
      </w:r>
      <w:r w:rsidR="00121D57" w:rsidRPr="00DC1728">
        <w:rPr>
          <w:rFonts w:eastAsia="SimHei" w:hint="eastAsia"/>
        </w:rPr>
        <w:t>)</w:t>
      </w:r>
      <w:r w:rsidRPr="00DC1728">
        <w:rPr>
          <w:rFonts w:eastAsia="SimHei" w:hint="eastAsia"/>
        </w:rPr>
        <w:t>的第</w:t>
      </w:r>
      <w:r w:rsidRPr="00DC1728">
        <w:rPr>
          <w:rFonts w:eastAsia="SimHei" w:hint="eastAsia"/>
        </w:rPr>
        <w:t>23(1994)</w:t>
      </w:r>
      <w:r w:rsidRPr="00DC1728">
        <w:rPr>
          <w:rFonts w:eastAsia="SimHei" w:hint="eastAsia"/>
        </w:rPr>
        <w:t>号一般性意见，特别注意海岸和海床对毛利人文化和宗教所具有的意义。</w:t>
      </w:r>
    </w:p>
    <w:p w:rsidR="00C231A8" w:rsidRDefault="00C231A8" w:rsidP="00C231A8">
      <w:pPr>
        <w:pStyle w:val="SingleTxtGC"/>
        <w:rPr>
          <w:rFonts w:hint="eastAsia"/>
        </w:rPr>
      </w:pPr>
      <w:r>
        <w:rPr>
          <w:rFonts w:hint="eastAsia"/>
        </w:rPr>
        <w:t>20</w:t>
      </w:r>
      <w:r w:rsidR="00121D57">
        <w:rPr>
          <w:rFonts w:hint="eastAsia"/>
        </w:rPr>
        <w:t xml:space="preserve">.  </w:t>
      </w:r>
      <w:r>
        <w:rPr>
          <w:rFonts w:hint="eastAsia"/>
        </w:rPr>
        <w:t>委员会欢迎缔约国进行宪法改革，发挥《威坦哲条约》作用的举措。但委员会注意到，该《条约》目前并非国内法的正式组成部份，因此难以被毛利人在法庭援用。委员会还欢迎缔约国为解决历史条约诉求作出的努力，但感到关切的是有报告称，在一例个案中，尽管一些毛利人群体认为解决办法没有恰当体现部落原有的所有权，缔约国却结束了协商。</w:t>
      </w:r>
      <w:r w:rsidR="00A74599">
        <w:rPr>
          <w:rFonts w:hint="eastAsia"/>
        </w:rPr>
        <w:t>(</w:t>
      </w:r>
      <w:r w:rsidR="00A74599">
        <w:rPr>
          <w:rFonts w:hint="eastAsia"/>
        </w:rPr>
        <w:t>第二、二十六和二十七条</w:t>
      </w:r>
      <w:r w:rsidR="00A74599">
        <w:rPr>
          <w:rFonts w:hint="eastAsia"/>
        </w:rPr>
        <w:t>)</w:t>
      </w:r>
    </w:p>
    <w:p w:rsidR="00C231A8" w:rsidRPr="00DC1728" w:rsidRDefault="00C231A8" w:rsidP="00B258CE">
      <w:pPr>
        <w:pStyle w:val="SingleTxtGC"/>
        <w:ind w:left="1554"/>
        <w:rPr>
          <w:rFonts w:eastAsia="SimHei" w:hint="eastAsia"/>
        </w:rPr>
      </w:pPr>
      <w:r w:rsidRPr="00DC1728">
        <w:rPr>
          <w:rFonts w:eastAsia="SimHei" w:hint="eastAsia"/>
        </w:rPr>
        <w:t>缔约国应继续努力，通过与所有毛利人群体协商，重新考虑《威坦哲条约》在国内法律体系中的地位，包括将其纳入国内法的可取性。此外，缔约国应保证在解决历史条约诉求问题的协商过程中，各毛利人群体所表达的意见都得到充分考虑。</w:t>
      </w:r>
    </w:p>
    <w:p w:rsidR="00C231A8" w:rsidRDefault="00C231A8" w:rsidP="00C231A8">
      <w:pPr>
        <w:pStyle w:val="SingleTxtGC"/>
        <w:rPr>
          <w:rFonts w:hint="eastAsia"/>
        </w:rPr>
      </w:pPr>
      <w:r>
        <w:rPr>
          <w:rFonts w:hint="eastAsia"/>
        </w:rPr>
        <w:t>21</w:t>
      </w:r>
      <w:r w:rsidR="00121D57">
        <w:rPr>
          <w:rFonts w:hint="eastAsia"/>
        </w:rPr>
        <w:t xml:space="preserve">.  </w:t>
      </w:r>
      <w:r>
        <w:rPr>
          <w:rFonts w:hint="eastAsia"/>
        </w:rPr>
        <w:t>缔约国应广泛散发本《公约》、《公约》的两项任择议定书、第五次定期报告的案文、缔约国为答复委员会编制的问题清单提供的书面答复以及本结论性意见，提高司法、立法和行政当局、民间社会和在该国境内运作的非政府组织以及广大公众的认识。委员会还建议将本报告和结论性意见翻译为该国的其他官方语言。</w:t>
      </w:r>
    </w:p>
    <w:p w:rsidR="00C231A8" w:rsidRDefault="00C231A8" w:rsidP="00C231A8">
      <w:pPr>
        <w:pStyle w:val="SingleTxtGC"/>
        <w:rPr>
          <w:rFonts w:hint="eastAsia"/>
        </w:rPr>
      </w:pPr>
      <w:r>
        <w:rPr>
          <w:rFonts w:hint="eastAsia"/>
        </w:rPr>
        <w:t>22</w:t>
      </w:r>
      <w:r w:rsidR="00121D57">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款，缔约国应在一年之内提供相关资料，阐明该国执行上述第</w:t>
      </w:r>
      <w:r>
        <w:rPr>
          <w:rFonts w:hint="eastAsia"/>
        </w:rPr>
        <w:t>12</w:t>
      </w:r>
      <w:r>
        <w:rPr>
          <w:rFonts w:hint="eastAsia"/>
        </w:rPr>
        <w:t>、</w:t>
      </w:r>
      <w:r>
        <w:rPr>
          <w:rFonts w:hint="eastAsia"/>
        </w:rPr>
        <w:t>14</w:t>
      </w:r>
      <w:r>
        <w:rPr>
          <w:rFonts w:hint="eastAsia"/>
        </w:rPr>
        <w:t>和</w:t>
      </w:r>
      <w:r>
        <w:rPr>
          <w:rFonts w:hint="eastAsia"/>
        </w:rPr>
        <w:t>19</w:t>
      </w:r>
      <w:r>
        <w:rPr>
          <w:rFonts w:hint="eastAsia"/>
        </w:rPr>
        <w:t>段所载委员会建议的情况。</w:t>
      </w:r>
    </w:p>
    <w:p w:rsidR="00C231A8" w:rsidRDefault="00C231A8" w:rsidP="00C231A8">
      <w:pPr>
        <w:pStyle w:val="SingleTxtGC"/>
        <w:rPr>
          <w:rFonts w:hint="eastAsia"/>
        </w:rPr>
      </w:pPr>
      <w:r>
        <w:rPr>
          <w:rFonts w:hint="eastAsia"/>
        </w:rPr>
        <w:t>23</w:t>
      </w:r>
      <w:r w:rsidR="00121D57">
        <w:rPr>
          <w:rFonts w:hint="eastAsia"/>
        </w:rPr>
        <w:t xml:space="preserve">.  </w:t>
      </w:r>
      <w:r>
        <w:rPr>
          <w:rFonts w:hint="eastAsia"/>
        </w:rPr>
        <w:t>委员会请缔约国在规定于</w:t>
      </w:r>
      <w:r>
        <w:rPr>
          <w:rFonts w:hint="eastAsia"/>
        </w:rPr>
        <w:t>2015</w:t>
      </w:r>
      <w:r>
        <w:rPr>
          <w:rFonts w:hint="eastAsia"/>
        </w:rPr>
        <w:t>年</w:t>
      </w:r>
      <w:r>
        <w:rPr>
          <w:rFonts w:hint="eastAsia"/>
        </w:rPr>
        <w:t>3</w:t>
      </w:r>
      <w:r>
        <w:rPr>
          <w:rFonts w:hint="eastAsia"/>
        </w:rPr>
        <w:t>月</w:t>
      </w:r>
      <w:r>
        <w:rPr>
          <w:rFonts w:hint="eastAsia"/>
        </w:rPr>
        <w:t>30</w:t>
      </w:r>
      <w:r>
        <w:rPr>
          <w:rFonts w:hint="eastAsia"/>
        </w:rPr>
        <w:t>日之前提交的该国第六次定期报告中提供关于委员会所有建议和整体《公约》情况的具体执行资料。委员会还请缔约国在编写第六次定期报告时，与民间社会和各非政府组织展开广泛协商。</w:t>
      </w:r>
    </w:p>
    <w:p w:rsidR="00254A15" w:rsidRDefault="00254A15" w:rsidP="00C231A8">
      <w:pPr>
        <w:pStyle w:val="SingleTxtGC"/>
        <w:rPr>
          <w:rFonts w:hint="eastAsia"/>
        </w:rPr>
      </w:pPr>
    </w:p>
    <w:p w:rsidR="00254A15" w:rsidRPr="002D6A9C" w:rsidRDefault="00254A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54A15" w:rsidRPr="00C231A8" w:rsidRDefault="00254A15" w:rsidP="00C231A8">
      <w:pPr>
        <w:pStyle w:val="SingleTxtGC"/>
        <w:rPr>
          <w:rFonts w:hint="eastAsia"/>
        </w:rPr>
      </w:pPr>
    </w:p>
    <w:sectPr w:rsidR="00254A15" w:rsidRPr="00C231A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8CE" w:rsidRPr="000F217F" w:rsidRDefault="00B258CE"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B258CE" w:rsidRPr="000F217F" w:rsidRDefault="00B258CE"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8CE" w:rsidRPr="00DC1728" w:rsidRDefault="00B258CE">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706C09">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DC1728">
      <w:rPr>
        <w:rFonts w:eastAsia="SimSun"/>
      </w:rPr>
      <w:t>GE.10-41510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8CE" w:rsidRDefault="00B258CE">
    <w:pPr>
      <w:pStyle w:val="Footer"/>
      <w:tabs>
        <w:tab w:val="right" w:pos="9639"/>
      </w:tabs>
    </w:pPr>
    <w:r w:rsidRPr="00DC1728">
      <w:rPr>
        <w:rFonts w:eastAsia="SimSun"/>
      </w:rPr>
      <w:t>GE.10-41510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06C09">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8CE" w:rsidRPr="0061164F" w:rsidRDefault="00B258CE"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41510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230410</w:t>
    </w:r>
    <w:r>
      <w:rPr>
        <w:rFonts w:eastAsia="SimSun"/>
        <w:sz w:val="20"/>
        <w:lang w:eastAsia="zh-CN"/>
      </w:rPr>
      <w:tab/>
    </w:r>
    <w:r>
      <w:rPr>
        <w:rFonts w:eastAsia="SimSun" w:hint="eastAsia"/>
        <w:sz w:val="20"/>
        <w:lang w:eastAsia="zh-CN"/>
      </w:rPr>
      <w:t>27</w:t>
    </w:r>
    <w:r w:rsidRPr="00EE277A">
      <w:rPr>
        <w:rFonts w:eastAsia="SimSun"/>
        <w:sz w:val="20"/>
        <w:lang w:eastAsia="zh-CN"/>
      </w:rPr>
      <w:t>0</w:t>
    </w:r>
    <w:r>
      <w:rPr>
        <w:rFonts w:eastAsia="SimSun" w:hint="eastAsia"/>
        <w:sz w:val="20"/>
        <w:lang w:eastAsia="zh-CN"/>
      </w:rPr>
      <w:t>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8CE" w:rsidRPr="00052154" w:rsidRDefault="00B258CE"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258CE" w:rsidRPr="00052154" w:rsidRDefault="00B258CE"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8CE" w:rsidRPr="00DC1728" w:rsidRDefault="00B258CE">
    <w:pPr>
      <w:pStyle w:val="Header"/>
    </w:pPr>
    <w:r w:rsidRPr="00DC1728">
      <w:t>CCPR/C/NZL/CO/5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8CE" w:rsidRPr="00DC1728" w:rsidRDefault="00B258CE">
    <w:pPr>
      <w:pStyle w:val="Header"/>
      <w:jc w:val="right"/>
    </w:pPr>
    <w:r w:rsidRPr="00DC1728">
      <w:t>CCPR/C/NZL/CO/5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8CE" w:rsidRDefault="00B258C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D381C"/>
    <w:multiLevelType w:val="hybridMultilevel"/>
    <w:tmpl w:val="E926FF9E"/>
    <w:lvl w:ilvl="0" w:tplc="2A38F5E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200003A"/>
    <w:multiLevelType w:val="hybridMultilevel"/>
    <w:tmpl w:val="A1A0E33E"/>
    <w:lvl w:ilvl="0" w:tplc="2DE0437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6B35E43"/>
    <w:multiLevelType w:val="hybridMultilevel"/>
    <w:tmpl w:val="1904F866"/>
    <w:lvl w:ilvl="0" w:tplc="56FC72E4">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49A5731B"/>
    <w:multiLevelType w:val="hybridMultilevel"/>
    <w:tmpl w:val="6628A840"/>
    <w:lvl w:ilvl="0" w:tplc="2DE0437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9A35125"/>
    <w:multiLevelType w:val="hybridMultilevel"/>
    <w:tmpl w:val="8D5225BA"/>
    <w:lvl w:ilvl="0" w:tplc="2DE0437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7"/>
  </w:num>
  <w:num w:numId="13">
    <w:abstractNumId w:val="18"/>
  </w:num>
  <w:num w:numId="14">
    <w:abstractNumId w:val="11"/>
  </w:num>
  <w:num w:numId="15">
    <w:abstractNumId w:val="12"/>
  </w:num>
  <w:num w:numId="16">
    <w:abstractNumId w:val="24"/>
  </w:num>
  <w:num w:numId="17">
    <w:abstractNumId w:val="11"/>
  </w:num>
  <w:num w:numId="18">
    <w:abstractNumId w:val="11"/>
  </w:num>
  <w:num w:numId="19">
    <w:abstractNumId w:val="24"/>
  </w:num>
  <w:num w:numId="20">
    <w:abstractNumId w:val="12"/>
  </w:num>
  <w:num w:numId="21">
    <w:abstractNumId w:val="12"/>
  </w:num>
  <w:num w:numId="22">
    <w:abstractNumId w:val="20"/>
  </w:num>
  <w:num w:numId="23">
    <w:abstractNumId w:val="10"/>
  </w:num>
  <w:num w:numId="24">
    <w:abstractNumId w:val="17"/>
  </w:num>
  <w:num w:numId="25">
    <w:abstractNumId w:val="23"/>
  </w:num>
  <w:num w:numId="26">
    <w:abstractNumId w:val="19"/>
  </w:num>
  <w:num w:numId="27">
    <w:abstractNumId w:val="13"/>
  </w:num>
  <w:num w:numId="28">
    <w:abstractNumId w:val="20"/>
  </w:num>
  <w:num w:numId="29">
    <w:abstractNumId w:val="10"/>
  </w:num>
  <w:num w:numId="30">
    <w:abstractNumId w:val="17"/>
  </w:num>
  <w:num w:numId="31">
    <w:abstractNumId w:val="26"/>
  </w:num>
  <w:num w:numId="32">
    <w:abstractNumId w:val="23"/>
  </w:num>
  <w:num w:numId="33">
    <w:abstractNumId w:val="19"/>
  </w:num>
  <w:num w:numId="34">
    <w:abstractNumId w:val="13"/>
  </w:num>
  <w:num w:numId="35">
    <w:abstractNumId w:val="20"/>
  </w:num>
  <w:num w:numId="36">
    <w:abstractNumId w:val="10"/>
  </w:num>
  <w:num w:numId="37">
    <w:abstractNumId w:val="17"/>
  </w:num>
  <w:num w:numId="38">
    <w:abstractNumId w:val="26"/>
  </w:num>
  <w:num w:numId="39">
    <w:abstractNumId w:val="15"/>
  </w:num>
  <w:num w:numId="40">
    <w:abstractNumId w:val="14"/>
  </w:num>
  <w:num w:numId="41">
    <w:abstractNumId w:val="22"/>
  </w:num>
  <w:num w:numId="42">
    <w:abstractNumId w:val="16"/>
  </w:num>
  <w:num w:numId="43">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31A8"/>
    <w:rsid w:val="00051474"/>
    <w:rsid w:val="00052154"/>
    <w:rsid w:val="00056B0A"/>
    <w:rsid w:val="000848DB"/>
    <w:rsid w:val="00086AFE"/>
    <w:rsid w:val="000F217F"/>
    <w:rsid w:val="00121D57"/>
    <w:rsid w:val="00161576"/>
    <w:rsid w:val="001909BF"/>
    <w:rsid w:val="001A7516"/>
    <w:rsid w:val="001F04F8"/>
    <w:rsid w:val="002250D3"/>
    <w:rsid w:val="0023199F"/>
    <w:rsid w:val="0023313F"/>
    <w:rsid w:val="00242C16"/>
    <w:rsid w:val="002547C8"/>
    <w:rsid w:val="00254A15"/>
    <w:rsid w:val="002918A1"/>
    <w:rsid w:val="002C2513"/>
    <w:rsid w:val="002C618C"/>
    <w:rsid w:val="002D3D9F"/>
    <w:rsid w:val="0038024C"/>
    <w:rsid w:val="003C6A6A"/>
    <w:rsid w:val="003D1840"/>
    <w:rsid w:val="003F3E54"/>
    <w:rsid w:val="003F7E40"/>
    <w:rsid w:val="004841B8"/>
    <w:rsid w:val="00497733"/>
    <w:rsid w:val="004A27CA"/>
    <w:rsid w:val="004D1555"/>
    <w:rsid w:val="004E0BB3"/>
    <w:rsid w:val="004F49CC"/>
    <w:rsid w:val="004F794C"/>
    <w:rsid w:val="00520B34"/>
    <w:rsid w:val="00524A79"/>
    <w:rsid w:val="005252B4"/>
    <w:rsid w:val="005539DA"/>
    <w:rsid w:val="00553C07"/>
    <w:rsid w:val="005714D8"/>
    <w:rsid w:val="0058028F"/>
    <w:rsid w:val="00583259"/>
    <w:rsid w:val="005848A2"/>
    <w:rsid w:val="0059200A"/>
    <w:rsid w:val="005A1158"/>
    <w:rsid w:val="005C1316"/>
    <w:rsid w:val="005C425C"/>
    <w:rsid w:val="005C69F1"/>
    <w:rsid w:val="005F24E4"/>
    <w:rsid w:val="0061164F"/>
    <w:rsid w:val="00630134"/>
    <w:rsid w:val="006425A2"/>
    <w:rsid w:val="0064450E"/>
    <w:rsid w:val="0065322F"/>
    <w:rsid w:val="00654852"/>
    <w:rsid w:val="006708D2"/>
    <w:rsid w:val="00671AA3"/>
    <w:rsid w:val="0068106B"/>
    <w:rsid w:val="006A719B"/>
    <w:rsid w:val="006B6E2A"/>
    <w:rsid w:val="006D3DFA"/>
    <w:rsid w:val="006D5182"/>
    <w:rsid w:val="006D537E"/>
    <w:rsid w:val="00706C09"/>
    <w:rsid w:val="00721ADC"/>
    <w:rsid w:val="007B5B8A"/>
    <w:rsid w:val="007E1E0A"/>
    <w:rsid w:val="007F57CE"/>
    <w:rsid w:val="0082020C"/>
    <w:rsid w:val="008351FB"/>
    <w:rsid w:val="00840AD2"/>
    <w:rsid w:val="0086574C"/>
    <w:rsid w:val="00867AE0"/>
    <w:rsid w:val="00877885"/>
    <w:rsid w:val="008A29C7"/>
    <w:rsid w:val="008A2C66"/>
    <w:rsid w:val="008B7C42"/>
    <w:rsid w:val="008D08D4"/>
    <w:rsid w:val="008F1659"/>
    <w:rsid w:val="00924464"/>
    <w:rsid w:val="00935148"/>
    <w:rsid w:val="009353BD"/>
    <w:rsid w:val="00964A61"/>
    <w:rsid w:val="00983FE7"/>
    <w:rsid w:val="00997F66"/>
    <w:rsid w:val="00A02B21"/>
    <w:rsid w:val="00A13418"/>
    <w:rsid w:val="00A3593C"/>
    <w:rsid w:val="00A37913"/>
    <w:rsid w:val="00A50BDC"/>
    <w:rsid w:val="00A53684"/>
    <w:rsid w:val="00A74599"/>
    <w:rsid w:val="00AC0B2D"/>
    <w:rsid w:val="00AC56DE"/>
    <w:rsid w:val="00AE6BDB"/>
    <w:rsid w:val="00AF26E4"/>
    <w:rsid w:val="00B258CE"/>
    <w:rsid w:val="00B75594"/>
    <w:rsid w:val="00BD1515"/>
    <w:rsid w:val="00C1716A"/>
    <w:rsid w:val="00C21A92"/>
    <w:rsid w:val="00C231A8"/>
    <w:rsid w:val="00C40431"/>
    <w:rsid w:val="00C51697"/>
    <w:rsid w:val="00C63BBD"/>
    <w:rsid w:val="00CB17F2"/>
    <w:rsid w:val="00CD2B51"/>
    <w:rsid w:val="00CD757E"/>
    <w:rsid w:val="00CF29A2"/>
    <w:rsid w:val="00D012B2"/>
    <w:rsid w:val="00D01D93"/>
    <w:rsid w:val="00D129A7"/>
    <w:rsid w:val="00D159B2"/>
    <w:rsid w:val="00D15CBD"/>
    <w:rsid w:val="00D26C70"/>
    <w:rsid w:val="00D3329D"/>
    <w:rsid w:val="00D37022"/>
    <w:rsid w:val="00D563C9"/>
    <w:rsid w:val="00D73055"/>
    <w:rsid w:val="00DC1728"/>
    <w:rsid w:val="00DD5096"/>
    <w:rsid w:val="00DF1A03"/>
    <w:rsid w:val="00E04759"/>
    <w:rsid w:val="00E9545F"/>
    <w:rsid w:val="00E9599A"/>
    <w:rsid w:val="00E97B28"/>
    <w:rsid w:val="00EA4612"/>
    <w:rsid w:val="00EA55AB"/>
    <w:rsid w:val="00EC1754"/>
    <w:rsid w:val="00ED4038"/>
    <w:rsid w:val="00F01AC1"/>
    <w:rsid w:val="00F01AE0"/>
    <w:rsid w:val="00F039D0"/>
    <w:rsid w:val="00F174AF"/>
    <w:rsid w:val="00F209E8"/>
    <w:rsid w:val="00F21548"/>
    <w:rsid w:val="00F22540"/>
    <w:rsid w:val="00F32849"/>
    <w:rsid w:val="00F4532B"/>
    <w:rsid w:val="00F53ED7"/>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styleId="BalloonText">
    <w:name w:val="Balloon Text"/>
    <w:basedOn w:val="Normal"/>
    <w:semiHidden/>
    <w:rsid w:val="005C69F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5</Pages>
  <Words>671</Words>
  <Characters>3826</Characters>
  <Application>Microsoft Office Word</Application>
  <DocSecurity>4</DocSecurity>
  <Lines>31</Lines>
  <Paragraphs>8</Paragraphs>
  <ScaleCrop>false</ScaleCrop>
  <Company>CSD</Company>
  <LinksUpToDate>false</LinksUpToDate>
  <CharactersWithSpaces>4489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TIAN</cp:lastModifiedBy>
  <cp:revision>2</cp:revision>
  <cp:lastPrinted>2010-04-27T09:56:00Z</cp:lastPrinted>
  <dcterms:created xsi:type="dcterms:W3CDTF">2010-04-27T09:56:00Z</dcterms:created>
  <dcterms:modified xsi:type="dcterms:W3CDTF">2010-04-27T09:56:00Z</dcterms:modified>
</cp:coreProperties>
</file>