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D14D2" w14:textId="77777777" w:rsidR="00F876D9" w:rsidRDefault="00F876D9" w:rsidP="00F876D9">
      <w:pPr>
        <w:spacing w:line="60" w:lineRule="exact"/>
        <w:rPr>
          <w:color w:val="010000"/>
          <w:sz w:val="2"/>
        </w:rPr>
        <w:sectPr w:rsidR="00F876D9" w:rsidSect="0002270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2F7B68D5" w14:textId="13F7B86A" w:rsidR="00F876D9" w:rsidRDefault="00022702" w:rsidP="0002270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14:paraId="216A886F" w14:textId="0F00E092" w:rsidR="00022702" w:rsidRPr="00022702" w:rsidRDefault="00022702" w:rsidP="00022702">
      <w:pPr>
        <w:pStyle w:val="SingleTxt"/>
        <w:spacing w:after="0" w:line="120" w:lineRule="exact"/>
        <w:rPr>
          <w:sz w:val="10"/>
        </w:rPr>
      </w:pPr>
    </w:p>
    <w:p w14:paraId="2FB3F723" w14:textId="2E8B5DDD" w:rsidR="00022702" w:rsidRDefault="00022702" w:rsidP="00022702">
      <w:pPr>
        <w:pStyle w:val="SingleTxt"/>
        <w:spacing w:after="0" w:line="120" w:lineRule="exact"/>
        <w:rPr>
          <w:sz w:val="10"/>
        </w:rPr>
      </w:pPr>
    </w:p>
    <w:p w14:paraId="339CA88C" w14:textId="77777777" w:rsidR="00D96A54" w:rsidRPr="00022702" w:rsidRDefault="00D96A54" w:rsidP="00022702">
      <w:pPr>
        <w:pStyle w:val="SingleTxt"/>
        <w:spacing w:after="0" w:line="120" w:lineRule="exact"/>
        <w:rPr>
          <w:sz w:val="10"/>
        </w:rPr>
      </w:pPr>
    </w:p>
    <w:p w14:paraId="679479DD" w14:textId="3F6176E6" w:rsidR="0038177B" w:rsidRPr="0054219E" w:rsidRDefault="0038177B" w:rsidP="0038177B">
      <w:pPr>
        <w:pStyle w:val="TitleHCH"/>
      </w:pPr>
      <w:r>
        <w:tab/>
      </w:r>
      <w:r>
        <w:tab/>
        <w:t>Заключительные замечания по объединенным четвертому-шестому периодическим докладам Суринама*</w:t>
      </w:r>
    </w:p>
    <w:p w14:paraId="4613F238" w14:textId="77777777" w:rsidR="0038177B" w:rsidRPr="0054219E" w:rsidRDefault="0038177B" w:rsidP="0038177B">
      <w:pPr>
        <w:framePr w:w="9792" w:h="432" w:hSpace="180" w:wrap="notBeside" w:hAnchor="page" w:x="1210" w:yAlign="bottom"/>
        <w:spacing w:line="240" w:lineRule="auto"/>
        <w:rPr>
          <w:sz w:val="2"/>
        </w:rPr>
      </w:pPr>
      <w:r w:rsidRPr="0038481A">
        <w:rPr>
          <w:noProof/>
          <w:w w:val="100"/>
          <w:sz w:val="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3BE3D" wp14:editId="0E9613F6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CC06BF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AkgHP73gAAAAkBAAAPAAAAAAAAAAAAAAAAADQEAABkcnMvZG93bnJldi54bWxQSwUGAAAAAAQA&#10;BADzAAAAPwUAAAAA&#10;" strokecolor="#010000" strokeweight=".25pt">
                <w10:wrap anchorx="page"/>
              </v:line>
            </w:pict>
          </mc:Fallback>
        </mc:AlternateContent>
      </w:r>
    </w:p>
    <w:p w14:paraId="06402D82" w14:textId="1895C7BB" w:rsidR="0038177B" w:rsidRPr="0054219E" w:rsidRDefault="0038177B" w:rsidP="00D96A54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</w:rPr>
      </w:pPr>
      <w:r>
        <w:tab/>
      </w:r>
      <w:r w:rsidRPr="00D96A54">
        <w:rPr>
          <w:vertAlign w:val="superscript"/>
        </w:rPr>
        <w:t>*</w:t>
      </w:r>
      <w:r>
        <w:tab/>
      </w:r>
      <w:r w:rsidRPr="00D96A54">
        <w:rPr>
          <w:sz w:val="17"/>
          <w:szCs w:val="17"/>
        </w:rPr>
        <w:t xml:space="preserve">Приняты Комитетом на его шестьдесят девятой сессии </w:t>
      </w:r>
      <w:r w:rsidR="00D96A54" w:rsidRPr="00D96A54">
        <w:rPr>
          <w:sz w:val="17"/>
          <w:szCs w:val="17"/>
        </w:rPr>
        <w:t>(19 </w:t>
      </w:r>
      <w:r w:rsidRPr="00D96A54">
        <w:rPr>
          <w:sz w:val="17"/>
          <w:szCs w:val="17"/>
        </w:rPr>
        <w:t>февраля</w:t>
      </w:r>
      <w:r w:rsidR="00D96A54" w:rsidRPr="00D96A54">
        <w:rPr>
          <w:sz w:val="17"/>
          <w:szCs w:val="17"/>
        </w:rPr>
        <w:t> — 9 </w:t>
      </w:r>
      <w:r w:rsidRPr="00D96A54">
        <w:rPr>
          <w:sz w:val="17"/>
          <w:szCs w:val="17"/>
        </w:rPr>
        <w:t>марта 2018 года).</w:t>
      </w:r>
    </w:p>
    <w:p w14:paraId="671E7B90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7772B0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1B9FAEA" w14:textId="500D3BC0" w:rsidR="0038177B" w:rsidRPr="0054219E" w:rsidRDefault="0038177B" w:rsidP="0038177B">
      <w:pPr>
        <w:pStyle w:val="SingleTxt"/>
      </w:pPr>
      <w:r>
        <w:t>1.</w:t>
      </w:r>
      <w:r>
        <w:tab/>
        <w:t>Комитет рассмотрел объединенные четвертый</w:t>
      </w:r>
      <w:r w:rsidRPr="002C065E">
        <w:t>-</w:t>
      </w:r>
      <w:r>
        <w:t>шестой периодические доклады Суринама (</w:t>
      </w:r>
      <w:hyperlink r:id="rId15" w:history="1">
        <w:r w:rsidRPr="0038481A">
          <w:rPr>
            <w:rStyle w:val="Hyperlink"/>
          </w:rPr>
          <w:t>CEDAW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5E457D">
          <w:rPr>
            <w:rStyle w:val="Hyperlink"/>
          </w:rPr>
          <w:t>/4-6</w:t>
        </w:r>
      </w:hyperlink>
      <w:r>
        <w:t>) на своих 1584-м и 1585-м заседаниях (см. </w:t>
      </w:r>
      <w:hyperlink r:id="rId16" w:history="1">
        <w:r w:rsidRPr="0038481A">
          <w:rPr>
            <w:rStyle w:val="Hyperlink"/>
          </w:rPr>
          <w:t>CEDAW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SR</w:t>
        </w:r>
        <w:r w:rsidRPr="005E457D">
          <w:rPr>
            <w:rStyle w:val="Hyperlink"/>
          </w:rPr>
          <w:t>.1584</w:t>
        </w:r>
      </w:hyperlink>
      <w:r>
        <w:t xml:space="preserve"> и 1585), состоявшихся 28 февраля 2018 года. Перечень тем и вопросов Комитета содержится в документе </w:t>
      </w:r>
      <w:hyperlink r:id="rId17" w:history="1">
        <w:r w:rsidRPr="0038481A">
          <w:rPr>
            <w:rStyle w:val="Hyperlink"/>
          </w:rPr>
          <w:t>CEDAW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Q</w:t>
        </w:r>
        <w:r w:rsidRPr="005E457D">
          <w:rPr>
            <w:rStyle w:val="Hyperlink"/>
          </w:rPr>
          <w:t>/4-6</w:t>
        </w:r>
      </w:hyperlink>
      <w:r>
        <w:t xml:space="preserve">, а ответы Суринама - в документе </w:t>
      </w:r>
      <w:hyperlink r:id="rId18" w:history="1">
        <w:r w:rsidRPr="0038481A">
          <w:rPr>
            <w:rStyle w:val="Hyperlink"/>
          </w:rPr>
          <w:t>CEDAW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5E457D">
          <w:rPr>
            <w:rStyle w:val="Hyperlink"/>
          </w:rPr>
          <w:t>/</w:t>
        </w:r>
        <w:r w:rsidRPr="0038481A">
          <w:rPr>
            <w:rStyle w:val="Hyperlink"/>
          </w:rPr>
          <w:t>Q</w:t>
        </w:r>
        <w:r w:rsidRPr="005E457D">
          <w:rPr>
            <w:rStyle w:val="Hyperlink"/>
          </w:rPr>
          <w:t>/4-6/</w:t>
        </w:r>
        <w:r w:rsidRPr="0038481A">
          <w:rPr>
            <w:rStyle w:val="Hyperlink"/>
          </w:rPr>
          <w:t>Add</w:t>
        </w:r>
        <w:r w:rsidRPr="005E457D">
          <w:rPr>
            <w:rStyle w:val="Hyperlink"/>
          </w:rPr>
          <w:t>.1</w:t>
        </w:r>
      </w:hyperlink>
      <w:r>
        <w:t>.</w:t>
      </w:r>
    </w:p>
    <w:p w14:paraId="66DBC14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7923AE0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FE96FCD" w14:textId="6C9EE291" w:rsidR="0038177B" w:rsidRPr="0054219E" w:rsidRDefault="0038177B" w:rsidP="00D96A5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96A54">
        <w:rPr>
          <w:lang w:val="en-US"/>
        </w:rPr>
        <w:t>A</w:t>
      </w:r>
      <w:r>
        <w:t>.</w:t>
      </w:r>
      <w:r>
        <w:tab/>
        <w:t>Введение</w:t>
      </w:r>
    </w:p>
    <w:p w14:paraId="1972EFCE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9666DA0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9889162" w14:textId="707D5AE2" w:rsidR="0038177B" w:rsidRPr="0054219E" w:rsidRDefault="0038177B" w:rsidP="00D96A54">
      <w:pPr>
        <w:pStyle w:val="SingleTxt"/>
      </w:pPr>
      <w:r>
        <w:t>2.</w:t>
      </w:r>
      <w:r>
        <w:tab/>
        <w:t>Комитет благодарит государство-участник за представление его объединенных четвертого</w:t>
      </w:r>
      <w:r w:rsidRPr="002C065E">
        <w:t>-</w:t>
      </w:r>
      <w:r>
        <w:t>шестого периодических докладов, но при этом выражает сожаление в связи с тем, что они были представлены с восьмилетним опозданием. Он также выражает признательность государству-участнику за представление письменных ответов на перечень тем и вопросов, сформулированных предсессионной рабочей группой, и приветствует устный доклад делегации и дальнейшие уточнения, представленные в ответ на вопросы, сформулированные Комитетом в устной форме в ходе диалога. Вместе с тем Комитет сожалеет о том, что делегация не смогла дать ответы на некоторые вопросы и что некоторые ответы были недостаточно ясными или точными.</w:t>
      </w:r>
    </w:p>
    <w:p w14:paraId="273E128D" w14:textId="77777777" w:rsidR="0038177B" w:rsidRPr="0054219E" w:rsidRDefault="0038177B" w:rsidP="0038177B">
      <w:pPr>
        <w:pStyle w:val="SingleTxt"/>
      </w:pPr>
      <w:r>
        <w:t>3.</w:t>
      </w:r>
      <w:r>
        <w:tab/>
        <w:t>Комитет с удовлетворением отмечает направление государством-участником многопрофильной делегации, которую возглавлял советник по политическим вопросам Министерства внутренних дел Мохамед Назиэр Эскак и в состав которой входили представители Министерства внутренних дел, Министерства иностранных дел, Министерства юстиции и полиции и Министерства здравоохранения, четверо из которых приняли участие в диалоге в режиме видеоконференции, находясь в Парамарибо. Вместе  с тем Комитет глубоко сожалеет о недостаточно высоком представительстве государства-участника в ходе диалога с Комитетом.</w:t>
      </w:r>
    </w:p>
    <w:p w14:paraId="116D96F9" w14:textId="77777777" w:rsidR="0038177B" w:rsidRPr="0054219E" w:rsidRDefault="0038177B" w:rsidP="00D96A54">
      <w:pPr>
        <w:pStyle w:val="SingleTxt"/>
        <w:keepNext/>
        <w:keepLines/>
        <w:spacing w:after="0" w:line="120" w:lineRule="exact"/>
        <w:rPr>
          <w:sz w:val="10"/>
        </w:rPr>
      </w:pPr>
    </w:p>
    <w:p w14:paraId="344582AF" w14:textId="6319B477" w:rsidR="0038177B" w:rsidRPr="0054219E" w:rsidRDefault="0038177B" w:rsidP="00D96A54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96A54">
        <w:rPr>
          <w:lang w:val="en-US"/>
        </w:rPr>
        <w:t>B</w:t>
      </w:r>
      <w:r>
        <w:t>.</w:t>
      </w:r>
      <w:r>
        <w:tab/>
        <w:t>Позитивные аспекты</w:t>
      </w:r>
    </w:p>
    <w:p w14:paraId="69B33E33" w14:textId="77777777" w:rsidR="0038177B" w:rsidRPr="0054219E" w:rsidRDefault="0038177B" w:rsidP="00D96A54">
      <w:pPr>
        <w:pStyle w:val="SingleTxt"/>
        <w:keepNext/>
        <w:keepLines/>
        <w:spacing w:after="0" w:line="120" w:lineRule="exact"/>
        <w:rPr>
          <w:sz w:val="10"/>
        </w:rPr>
      </w:pPr>
    </w:p>
    <w:p w14:paraId="1C66276F" w14:textId="77777777" w:rsidR="0038177B" w:rsidRPr="0054219E" w:rsidRDefault="0038177B" w:rsidP="00D96A54">
      <w:pPr>
        <w:pStyle w:val="SingleTxt"/>
        <w:keepNext/>
        <w:keepLines/>
        <w:spacing w:after="0" w:line="120" w:lineRule="exact"/>
        <w:rPr>
          <w:sz w:val="10"/>
        </w:rPr>
      </w:pPr>
    </w:p>
    <w:p w14:paraId="16039F4C" w14:textId="26BA1E40" w:rsidR="0038177B" w:rsidRPr="0054219E" w:rsidRDefault="0038177B" w:rsidP="00D96A54">
      <w:pPr>
        <w:pStyle w:val="SingleTxt"/>
        <w:keepNext/>
        <w:keepLines/>
      </w:pPr>
      <w:bookmarkStart w:id="1" w:name="_GoBack"/>
      <w:bookmarkEnd w:id="1"/>
      <w:r>
        <w:t>4.</w:t>
      </w:r>
      <w:r>
        <w:tab/>
        <w:t>Комитет приветствует прогресс, достигнутый со времени рассмотрения в 2007 году третьего периодического доклада государства-участника (</w:t>
      </w:r>
      <w:hyperlink r:id="rId19" w:history="1">
        <w:r w:rsidRPr="0038481A">
          <w:rPr>
            <w:rStyle w:val="Hyperlink"/>
          </w:rPr>
          <w:t>CEDAW</w:t>
        </w:r>
        <w:r w:rsidRPr="002C065E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2C065E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2C065E">
          <w:rPr>
            <w:rStyle w:val="Hyperlink"/>
          </w:rPr>
          <w:t>/3</w:t>
        </w:r>
      </w:hyperlink>
      <w:r>
        <w:t>) в проведении законодательных реформ, в частности, принятие:</w:t>
      </w:r>
    </w:p>
    <w:p w14:paraId="2402F583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законов о внесении поправок в Уголовный кодекс, предусматривающих определение дискриминации и включение сексуальной ориентации и гендерной принадлежности в качестве запрещенных признаков для дискриминации; запрещение торговли людьми и расширение ее определения; введение уголовной ответственности за изнасилование в браке, акушерское насилие, физическое насилие и насилие, приведшее к смерти (фемицид); и в 2015 и 2009 годах снятие ограничений на доступ подростков к сексуальной информации и противозачаточным средствам;</w:t>
      </w:r>
    </w:p>
    <w:p w14:paraId="20916055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Поправки в 2014 году к Закону 1975 о регулировании суринамского гражданства и вида на жительство, устраняющей дискриминационные положения, касающиеся приобретения и утраты гражданства в контексте брака и развода;</w:t>
      </w:r>
    </w:p>
    <w:p w14:paraId="04296A22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Закона о национальных пенсионных пособиях, Закона о минимальной почасовой заработной плате и Закона 2014 года о национальном базовом медицинском страховании, предусматривающего создание национальной системы социального обеспечения, которые способствуют расширению экономических прав и возможностей женщин, в частности женщин, возглавляющих домашние хозяйства, и расширяют их доступ к медицинскому обслуживанию;</w:t>
      </w:r>
    </w:p>
    <w:p w14:paraId="43D9583E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Закона 2012 года о запрещении преследований, запрещающего преследование и предусматривающего принятие государственным прокурором превентивных мер по защите возможных жертв;</w:t>
      </w:r>
    </w:p>
    <w:p w14:paraId="041B1DB7" w14:textId="77777777" w:rsidR="0038177B" w:rsidRPr="0054219E" w:rsidRDefault="0038177B" w:rsidP="0038177B">
      <w:pPr>
        <w:pStyle w:val="SingleTxt"/>
      </w:pPr>
      <w:r>
        <w:tab/>
        <w:t>е)</w:t>
      </w:r>
      <w:r>
        <w:tab/>
        <w:t>Закона 2009 года о борьбе с семейно-бытовым насилием, в котором содержатся положения о наказаниях и определение семейно-бытового насилия, а также положения, предоставляющие жертвам семейно-бытового насилия возможность обращаться с просьбой о вынесении запретительных судебных приказов.</w:t>
      </w:r>
    </w:p>
    <w:p w14:paraId="1F4FAB22" w14:textId="77777777" w:rsidR="0038177B" w:rsidRPr="0054219E" w:rsidRDefault="0038177B" w:rsidP="0038177B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совершенствованию своей институциональной и политической базы в целях ускорения ликвидации дискриминации в отношении женщин и поощрения гендерного равенства, в частности принятие следующих документов или учреждение следующих органов:</w:t>
      </w:r>
    </w:p>
    <w:p w14:paraId="4E64ECED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Национальный план</w:t>
      </w:r>
      <w:r w:rsidRPr="002A0AF6">
        <w:t xml:space="preserve"> </w:t>
      </w:r>
      <w:r>
        <w:t>развития на 2017 – 2021 годы, который требует, чтобы все разрабатываемые правительством проекты включали в себя компонент, учитывающий гендерную проблематику;</w:t>
      </w:r>
    </w:p>
    <w:p w14:paraId="10E21512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Национальная стратегия и национальный план действий по борьбе с торговлей людьми  2014 года, которые включают в себя стратегии, направленные на установление контактов с женщинами и детьми из сельских районов;</w:t>
      </w:r>
    </w:p>
    <w:p w14:paraId="4C4F0644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План гендерной работы 2013 года, в котором основное внимание уделяется улучшению положения женщин в областях принятия решений, образования, здравоохранения, труда и доходов, а также бедности и насилия;</w:t>
      </w:r>
    </w:p>
    <w:p w14:paraId="0EB0376C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Национальный руководящий комитет по борьбе с семейно-бытовым насилием в 2008 году и Национальная платформа по проблеме семейно-бытового насилия в 2010 году.</w:t>
      </w:r>
    </w:p>
    <w:p w14:paraId="194AE01C" w14:textId="77777777" w:rsidR="0038177B" w:rsidRPr="0054219E" w:rsidRDefault="0038177B" w:rsidP="0038177B">
      <w:pPr>
        <w:pStyle w:val="SingleTxt"/>
      </w:pPr>
      <w:r>
        <w:t>6.</w:t>
      </w:r>
      <w:r>
        <w:tab/>
        <w:t>Комитет приветствует тот факт, что за время, прошедшее с момента рассмотрения предыдущего доклада, государство-участник ратифицировало следующие международно-правовые документы или присоединилось к ним:</w:t>
      </w:r>
    </w:p>
    <w:p w14:paraId="68845CA6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Конвенция о правах инвалидов — в 2017 году;</w:t>
      </w:r>
    </w:p>
    <w:p w14:paraId="38E33B46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порнографии, - в 2012 году;</w:t>
      </w:r>
    </w:p>
    <w:p w14:paraId="0065C6A6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Конвенция Организации Объединенных Наций против транснациональной организованной преступности и протоколы к ней - в 2010 году.</w:t>
      </w:r>
    </w:p>
    <w:p w14:paraId="5B827617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6F93B81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26CA25A" w14:textId="238A4684" w:rsidR="0038177B" w:rsidRPr="0054219E" w:rsidRDefault="0038177B" w:rsidP="000C613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C6134">
        <w:rPr>
          <w:lang w:val="en-US"/>
        </w:rPr>
        <w:t>C</w:t>
      </w:r>
      <w:r>
        <w:t>.</w:t>
      </w:r>
      <w:r>
        <w:tab/>
        <w:t>Парламент</w:t>
      </w:r>
    </w:p>
    <w:p w14:paraId="6C9D0C0B" w14:textId="77777777" w:rsidR="0038177B" w:rsidRPr="0054219E" w:rsidRDefault="0038177B" w:rsidP="0038177B">
      <w:pPr>
        <w:pStyle w:val="SingleTxt"/>
        <w:keepNext/>
        <w:keepLines/>
        <w:spacing w:after="0" w:line="120" w:lineRule="exact"/>
        <w:rPr>
          <w:sz w:val="10"/>
        </w:rPr>
      </w:pPr>
    </w:p>
    <w:p w14:paraId="5FE3E86C" w14:textId="77777777" w:rsidR="0038177B" w:rsidRPr="0054219E" w:rsidRDefault="0038177B" w:rsidP="0038177B">
      <w:pPr>
        <w:pStyle w:val="SingleTxt"/>
        <w:keepNext/>
        <w:keepLines/>
        <w:spacing w:after="0" w:line="120" w:lineRule="exact"/>
        <w:rPr>
          <w:sz w:val="10"/>
        </w:rPr>
      </w:pPr>
    </w:p>
    <w:p w14:paraId="45585CC3" w14:textId="77777777" w:rsidR="0038177B" w:rsidRPr="0054219E" w:rsidRDefault="0038177B" w:rsidP="0038177B">
      <w:pPr>
        <w:pStyle w:val="SingleTxt"/>
      </w:pPr>
      <w:r>
        <w:t>7.</w:t>
      </w:r>
      <w:r>
        <w:tab/>
      </w:r>
      <w:r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2010 году).</w:t>
      </w:r>
      <w:r>
        <w:t xml:space="preserve"> </w:t>
      </w:r>
      <w:r>
        <w:rPr>
          <w:b/>
          <w:bCs/>
        </w:rPr>
        <w:t>Он предлагает Национальной Ассамблее, действуя в соответствии с ее мандатом, предпринять необходимые шаги по выполнению настоящих заключительных замечаний за время до представления следующего периодического доклада.</w:t>
      </w:r>
    </w:p>
    <w:p w14:paraId="69EB8366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0B1CC2BD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967889A" w14:textId="77777777" w:rsidR="0038177B" w:rsidRPr="0054219E" w:rsidRDefault="0038177B" w:rsidP="000C613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D.</w:t>
      </w:r>
      <w:r>
        <w:tab/>
        <w:t>Главные проблемные области и рекомендации</w:t>
      </w:r>
    </w:p>
    <w:p w14:paraId="43F061C6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7E3BCFF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6D67B31" w14:textId="77777777" w:rsidR="0038177B" w:rsidRPr="0054219E" w:rsidRDefault="0038177B" w:rsidP="000C61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Конвенции</w:t>
      </w:r>
    </w:p>
    <w:p w14:paraId="1D41110C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437B1C7" w14:textId="77777777" w:rsidR="0038177B" w:rsidRPr="0054219E" w:rsidRDefault="0038177B" w:rsidP="0038177B">
      <w:pPr>
        <w:pStyle w:val="SingleTxt"/>
      </w:pPr>
      <w:r>
        <w:t>8.</w:t>
      </w:r>
      <w:r>
        <w:tab/>
        <w:t>Комитет отмечает, что после ее ратификации Конвенция была включена в национальное законодательство по статье 106 Конституции. Вместе с тем Комитет обеспокоен ограниченным применением положений Конвенции на практике, а также отсутствием каких-либо случаев прямых ссылок на Конвенцию в национальных судах. Он также выражает сожаление в связи с отсутствием у лиц и органов, ответственных за разработку политики, понимания важности прав женщин и гендерного равенства.</w:t>
      </w:r>
    </w:p>
    <w:p w14:paraId="47AC16E1" w14:textId="77777777" w:rsidR="0038177B" w:rsidRPr="0054219E" w:rsidRDefault="0038177B" w:rsidP="0038177B">
      <w:pPr>
        <w:pStyle w:val="SingleTxt"/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укрепить потенциал судей, прокуроров и адвокатов в плане понимания Конвенции, ее прямой применимости и концепции реального равенства.</w:t>
      </w:r>
      <w:r>
        <w:t xml:space="preserve"> Кроме того, он рекомендует государству-участнику активизировать свои усилия по повышению информированности женщин о значимости прав человека женщин, гендерном равенстве и дискриминации по признаку пола, ориентированные, в частности, на сельских женщин, женщин-маронов и женщин из числа коренных народов.</w:t>
      </w:r>
    </w:p>
    <w:p w14:paraId="2FF68BAF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2059792A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Законодательные рамки и определение дискриминации</w:t>
      </w:r>
    </w:p>
    <w:p w14:paraId="238A09C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01A55EF3" w14:textId="77777777" w:rsidR="0038177B" w:rsidRPr="0054219E" w:rsidRDefault="0038177B" w:rsidP="0038177B">
      <w:pPr>
        <w:pStyle w:val="SingleTxt"/>
      </w:pPr>
      <w:r>
        <w:t>10.</w:t>
      </w:r>
      <w:r>
        <w:tab/>
        <w:t>Комитет признает разнообразие культур и этнических групп в государстве-участнике и проживающих в нем отличных друг от друга коренных и племенных народов. Принимая к сведению позицию государства-участника о том, что статья 8 Конституции в достаточной мере гарантирует реальное равенство женщин и мужчин, Комитет обеспокоен тем, что ни в Конституции, ни в национальном законодательстве не дается определения дискриминации в отношении женщин в соответствии со статьей 1 Конвенции, охватывающего прямую и косвенную дискриминацию как в государственном, так и в частном секторах и признающего перекрестные формы дискриминации. Комитет также по-прежнему обеспокоен тем, что группы женщин, находящихся в неблагоприятном положении, включая сельских женщин, женщин-маронов и женщин из числа коренных народов, женщин-инвалидов, лесбиянок, бисексуалок и женщин-трансгендеров и интерсексуалок, по-прежнему сталкиваются с пересекающимися формами дискриминации и нарушениями их прав человека. Комитет также выражает сожаление в связи с тем, что у лиц и органов, ответственных за разработку политики, отсутствует политическая воля принимать в первоочередном порядке правовые положения о защите прав женщин, и отмечает, что такие положения, как законопроект о равном обращении с мужчинами и женщинами и законопроект о труде, а также положения о создании механизма подачи и рассмотрения жалоб на гендерную дискриминацию находятся на стадии рассмотрения с 2002 года.</w:t>
      </w:r>
    </w:p>
    <w:p w14:paraId="40385357" w14:textId="77777777" w:rsidR="0038177B" w:rsidRPr="0054219E" w:rsidRDefault="0038177B" w:rsidP="0038177B">
      <w:pPr>
        <w:pStyle w:val="SingleTxt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E1F9E3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принять законопроект о создании независимого конституционного суда, уполномоченного рассматривать вопрос о соответствии законодательных актов международным договорам о правах человека и укомплектованного квалифицированным персоналом;</w:t>
      </w:r>
    </w:p>
    <w:p w14:paraId="373C5122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внести изменения в статью 8 (2) Конституции, с тем чтобы признать пересекающиеся формы дискриминации в отношении сельских женщин, женщин-маронов и женщин из числа коренных народов, женщин-инвалидов, лесбиянок, бисексуалок, женщин-трансгендеров и интерсексуалок;</w:t>
      </w:r>
    </w:p>
    <w:p w14:paraId="20014CC3" w14:textId="4D274D7F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принять законопроект о равном обращении с женщинами и мужчинами и обеспечить, чтобы он включал в себя определение дискриминации в отношении женщин, включая пересекающиеся формы дискриминации, и запрещал прямую и косвенную дискриминацию в государственной и частной сферах в соответствии со статьей 1 Конвенции и предыдущими заключительными замечаниями Комитета (</w:t>
      </w:r>
      <w:hyperlink r:id="rId20" w:history="1">
        <w:r w:rsidRPr="0092182D">
          <w:rPr>
            <w:rStyle w:val="Hyperlink"/>
            <w:b/>
            <w:bCs/>
          </w:rPr>
          <w:t>CEDAW</w:t>
        </w:r>
        <w:r w:rsidRPr="002C065E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C</w:t>
        </w:r>
        <w:r w:rsidRPr="002C065E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SUR</w:t>
        </w:r>
        <w:r w:rsidRPr="002C065E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CO</w:t>
        </w:r>
        <w:r w:rsidRPr="002C065E">
          <w:rPr>
            <w:rStyle w:val="Hyperlink"/>
            <w:b/>
            <w:bCs/>
          </w:rPr>
          <w:t>/3</w:t>
        </w:r>
      </w:hyperlink>
      <w:r>
        <w:rPr>
          <w:b/>
          <w:bCs/>
        </w:rPr>
        <w:t>, пункт 12);</w:t>
      </w:r>
    </w:p>
    <w:p w14:paraId="6CEA8C49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провести в течение следующих 24 месяцев мероприятия по обязательному укреплению потенциала парламентариев, политиков и государственных должностных лиц по вопросам важности всеобъемлющей, последовательной и слаженной законодательной реформы в целях достижения реального равенства между женщинами и мужчинами, с тем чтобы сформировать консенсус в отношении незамедлительного принятия различных законопроектов и стратегий по поощрению прав женщин</w:t>
      </w:r>
      <w:r>
        <w:t>.</w:t>
      </w:r>
    </w:p>
    <w:p w14:paraId="7D14B63D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EA04DC1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Доступ к правосудию</w:t>
      </w:r>
    </w:p>
    <w:p w14:paraId="06D3A7E1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00DC1026" w14:textId="77777777" w:rsidR="0038177B" w:rsidRPr="0054219E" w:rsidRDefault="0038177B" w:rsidP="0038177B">
      <w:pPr>
        <w:pStyle w:val="SingleTxt"/>
      </w:pPr>
      <w:r>
        <w:t>12.</w:t>
      </w:r>
      <w:r>
        <w:tab/>
        <w:t>Комитет отмечает, что женщины могут бесплатно получать правовую помощь по линии Бюро правовой помощи (Bureau Rechtszorg) при Министерстве юстиции и полиции. Вместе с тем он выражает сожаление по поводу того, что в государстве-участнике нет механизма, политики или процедуры для гарантирования равного доступа к правосудию всем женщинам, в частности тем женщинам, которые принадлежат к группам, находящимся в неблагоприятном положении. Комитет также с обеспокоенностью отмечает информацию о широко распространенной дискриминации в системе правосудия в отношении женщин из числа коренных народов и народов, ведущих племенной образ жизни, в частности в том, что касается их земельных прав. Комитет также обеспокоен отсутствием информации о механизмах подачи жалоб, имеющихся в распоряжении женщин, ставших жертвами дискриминации и гендерного насилия.</w:t>
      </w:r>
    </w:p>
    <w:p w14:paraId="15643821" w14:textId="77777777" w:rsidR="0038177B" w:rsidRPr="0054219E" w:rsidRDefault="0038177B" w:rsidP="009232F3">
      <w:pPr>
        <w:pStyle w:val="SingleTxt"/>
        <w:keepNext/>
        <w:keepLines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CA17EA" w14:textId="77777777" w:rsidR="0038177B" w:rsidRPr="0054219E" w:rsidRDefault="0038177B" w:rsidP="009232F3">
      <w:pPr>
        <w:pStyle w:val="SingleTxt"/>
        <w:keepNext/>
        <w:keepLines/>
      </w:pPr>
      <w:r>
        <w:tab/>
        <w:t>а)</w:t>
      </w:r>
      <w:r>
        <w:tab/>
      </w:r>
      <w:r>
        <w:rPr>
          <w:b/>
          <w:bCs/>
        </w:rPr>
        <w:t>провести исследование по вопросу о том, как общая рекомендация Комитета № 33 (2015 год), касающаяся доступа женщин к правосудию, может быть использована для реформирования Бюро правовой помощи и ликвидации дискриминационных видов практики, препятствующих доступу женщин к правосудию в государстве-участнике;</w:t>
      </w:r>
    </w:p>
    <w:p w14:paraId="24044DC1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создать без каких-либо задержек конфиденциальный механизм подачи и рассмотрения жалоб для женщин, ставших жертвами дискриминации и гендерного насилия;</w:t>
      </w:r>
    </w:p>
    <w:p w14:paraId="5427A9E6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предоставлять бесплатную юридическую помощь женщинам и девочкам, не имеющим достаточных средств, разработать учитывающие гендерные аспекты процедуры подачи заявлений в Бюро правовой помощи, увеличить его бюджет и предоставлять бесплатные переводческие услуги женщинам из числа этнических меньшинств.</w:t>
      </w:r>
    </w:p>
    <w:p w14:paraId="10ADACA8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1C5632C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</w:r>
      <w:r>
        <w:rPr>
          <w:bCs/>
        </w:rPr>
        <w:t>Национальный механизм по улучшению положения женщин</w:t>
      </w:r>
    </w:p>
    <w:p w14:paraId="3C7A8D6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48EF94A" w14:textId="77777777" w:rsidR="0038177B" w:rsidRPr="0054219E" w:rsidRDefault="0038177B" w:rsidP="0038177B">
      <w:pPr>
        <w:pStyle w:val="SingleTxt"/>
      </w:pPr>
      <w:r>
        <w:t>14.</w:t>
      </w:r>
      <w:r>
        <w:tab/>
        <w:t>Комитет с удовлетворением отмечает усилия государства-участника по укреплению Бюро по гендерным вопросам и оказанию финансовой поддержки неправительственным организациям, которые занимаются поощрением прав женщин. Вместе с тем он с обеспокоенностью отмечает следующее:</w:t>
      </w:r>
    </w:p>
    <w:p w14:paraId="3BFE5C0F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в главных государственных органах, занимающихся вопросами обеспечения гендерного равенства и расширения прав и возможностей женщин, часто происходят изменения, а организационная структура Бюро по гендерным вопросам все еще находится на утверждении министра внутренних дел;</w:t>
      </w:r>
    </w:p>
    <w:p w14:paraId="281E6C90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со времени принятия в 2013 году плана работы по гендерным вопросам в государстве-участнике не было никакой национальной политики по гендерной проблематике;</w:t>
      </w:r>
    </w:p>
    <w:p w14:paraId="3237A43C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система управления действиями по учету гендерной проблематики, которая была создана в 2001 году в целях обеспечения учета гендерной проблематики во всех секторах деятельности правительства, не является в полной мере функциональной отчасти из-за отсутствия ясности в отношении обязанностей координаторов по гендерным вопросам, описания должностей которых находятся на утверждении министра внутренних дел с 2016 года и которые играют весьма несущественную роль в разработке гендерной политики в их соответствующих министерствах.</w:t>
      </w:r>
    </w:p>
    <w:p w14:paraId="1BA4560F" w14:textId="77777777" w:rsidR="0038177B" w:rsidRPr="0054219E" w:rsidRDefault="0038177B" w:rsidP="0038177B">
      <w:pPr>
        <w:pStyle w:val="SingleTxt"/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A864323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безотлагательно завершить создание организационной структуры Бюро по гендерным вопросам и обеспечить, чтобы оно было наделено надлежащими директивными полномочиями и людскими, техническими и финансовыми ресурсами для эффективного содействия продвижению прав женщин и гендерного равенства в государстве-участнике;</w:t>
      </w:r>
    </w:p>
    <w:p w14:paraId="5BCA4658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ускорить разработку и принятие плана действий по подготовке национальной гендерной политики на 2018 – 2021 годы с использованием конкретных и поддающихся оценке целей и показателей;</w:t>
      </w:r>
    </w:p>
    <w:p w14:paraId="79F97362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создать в структуре Бюро по гендерным вопросам механизм мониторинга для всесторонней и регулярной оценки хода осуществления плана действий по подготовке национальной гендерной политики;</w:t>
      </w:r>
    </w:p>
    <w:p w14:paraId="71CC7980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обеспечить учет гендерной проблематики при разработке и осуществлении всех законов, политики и программ во всех министерствах и законодательных структурах;</w:t>
      </w:r>
    </w:p>
    <w:p w14:paraId="4C5E09ED" w14:textId="77777777" w:rsidR="0038177B" w:rsidRPr="0054219E" w:rsidRDefault="0038177B" w:rsidP="0038177B">
      <w:pPr>
        <w:pStyle w:val="SingleTxt"/>
      </w:pPr>
      <w:r>
        <w:tab/>
        <w:t>е)</w:t>
      </w:r>
      <w:r>
        <w:tab/>
      </w:r>
      <w:r>
        <w:rPr>
          <w:b/>
          <w:bCs/>
        </w:rPr>
        <w:t>создать постоянный механизм мониторинга хода осуществления Конвенции и устранить препятствия, мешающие принятию соответствующего законодательства;</w:t>
      </w:r>
    </w:p>
    <w:p w14:paraId="4EAFAEA0" w14:textId="77D4EF94" w:rsidR="0038177B" w:rsidRPr="0054219E" w:rsidRDefault="0038177B" w:rsidP="0038177B">
      <w:pPr>
        <w:pStyle w:val="SingleTxt"/>
      </w:pPr>
      <w:r>
        <w:tab/>
        <w:t>f)</w:t>
      </w:r>
      <w:r>
        <w:tab/>
      </w:r>
      <w:r>
        <w:rPr>
          <w:b/>
          <w:bCs/>
        </w:rPr>
        <w:t>утвердить без каких-либо задержек описания должностей координаторов по гендерным вопросам, поручить эту функцию сотрудникам руководящего звена и обеспечить, чтобы они имели прямой доступ к лицам и органам, отвечающим за выработку политики, и к Бюро по гендерным вопросам в соответствии с предыдущими заключительными замечаниями Комитета (</w:t>
      </w:r>
      <w:hyperlink r:id="rId21" w:history="1">
        <w:r w:rsidRPr="0092182D">
          <w:rPr>
            <w:rStyle w:val="Hyperlink"/>
            <w:b/>
            <w:bCs/>
          </w:rPr>
          <w:t>CEDAW</w:t>
        </w:r>
        <w:r w:rsidRPr="00416D32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C</w:t>
        </w:r>
        <w:r w:rsidRPr="00416D32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SUR</w:t>
        </w:r>
        <w:r w:rsidRPr="00416D32">
          <w:rPr>
            <w:rStyle w:val="Hyperlink"/>
            <w:b/>
            <w:bCs/>
          </w:rPr>
          <w:t>/</w:t>
        </w:r>
        <w:r w:rsidRPr="0092182D">
          <w:rPr>
            <w:rStyle w:val="Hyperlink"/>
            <w:b/>
            <w:bCs/>
          </w:rPr>
          <w:t>CO</w:t>
        </w:r>
        <w:r w:rsidRPr="00416D32">
          <w:rPr>
            <w:rStyle w:val="Hyperlink"/>
            <w:b/>
            <w:bCs/>
          </w:rPr>
          <w:t>/3</w:t>
        </w:r>
      </w:hyperlink>
      <w:r>
        <w:rPr>
          <w:b/>
          <w:bCs/>
        </w:rPr>
        <w:t>, пункт 24).</w:t>
      </w:r>
    </w:p>
    <w:p w14:paraId="44CB0EAF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CFF3241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537C9EC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84A2232" w14:textId="77777777" w:rsidR="0038177B" w:rsidRPr="0054219E" w:rsidRDefault="0038177B" w:rsidP="0038177B">
      <w:pPr>
        <w:pStyle w:val="SingleTxt"/>
      </w:pPr>
      <w:r>
        <w:t>16.</w:t>
      </w:r>
      <w:r>
        <w:tab/>
        <w:t>Комитет приветствует создание в 2016 году Национального института по правам человека, но выражает сожаление по поводу того, что он еще не начал свою работу.</w:t>
      </w:r>
    </w:p>
    <w:p w14:paraId="7F0ED298" w14:textId="3EF7F6EE" w:rsidR="0038177B" w:rsidRPr="0054219E" w:rsidRDefault="0038177B" w:rsidP="0038177B">
      <w:pPr>
        <w:pStyle w:val="SingleTxt"/>
      </w:pPr>
      <w:r>
        <w:t>17.</w:t>
      </w:r>
      <w:r>
        <w:tab/>
      </w:r>
      <w:r>
        <w:rPr>
          <w:b/>
          <w:bCs/>
        </w:rPr>
        <w:t xml:space="preserve">Комитет призывает государство-участник ввести в эксплуатацию Национальный институт по правам человека в соответствии с Принципами, касающимися статуса национальных учреждений по поощрению и защите прав человека (Парижскими принципами) (резолюция </w:t>
      </w:r>
      <w:hyperlink r:id="rId22" w:history="1">
        <w:r w:rsidRPr="00416D32">
          <w:rPr>
            <w:rStyle w:val="Hyperlink"/>
            <w:b/>
            <w:bCs/>
          </w:rPr>
          <w:t>48/134</w:t>
        </w:r>
      </w:hyperlink>
      <w:r>
        <w:rPr>
          <w:b/>
          <w:bCs/>
        </w:rPr>
        <w:t xml:space="preserve"> Генеральной Ассамблеи, приложение), с широким мандатом, включая поощрение и защиту прав женщин и обеспечение гендерного равенства.</w:t>
      </w:r>
      <w:r>
        <w:t xml:space="preserve"> </w:t>
      </w:r>
      <w:r w:rsidRPr="00416D32">
        <w:rPr>
          <w:b/>
        </w:rPr>
        <w:t>Он также рекомендует государству-участнику предоставить этому Институту достаточные людские, технические и финансовые ресурсы, а также обеспечить, чтобы он проводил мероприятия по укреплению потенциала своих сотрудников по гендерным вопросам и правам женщин в соответствии с Конвенцией.</w:t>
      </w:r>
    </w:p>
    <w:p w14:paraId="76B209C6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272DFB2D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Борьба с коррупцией</w:t>
      </w:r>
    </w:p>
    <w:p w14:paraId="2A09A5C5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F2947CA" w14:textId="77777777" w:rsidR="0038177B" w:rsidRPr="0054219E" w:rsidRDefault="0038177B" w:rsidP="0038177B">
      <w:pPr>
        <w:pStyle w:val="SingleTxt"/>
      </w:pPr>
      <w:r>
        <w:t>18.</w:t>
      </w:r>
      <w:r>
        <w:tab/>
        <w:t>Комитет приветствует принятие в 2017 году Закона о борьбе с коррупцией, но считает при этом, что широко распространенная коррупция в государственном секторе по-прежнему препятствует продвижению прав человека женщин в государстве-участнике.</w:t>
      </w:r>
    </w:p>
    <w:p w14:paraId="7DB3E652" w14:textId="77777777" w:rsidR="0038177B" w:rsidRPr="0054219E" w:rsidRDefault="0038177B" w:rsidP="0038177B">
      <w:pPr>
        <w:pStyle w:val="SingleTxt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разработать государственную политику по осуществлению Закона о борьбе с коррупцией, укрепить институциональный потенциал для эффективного выявления и расследования заявлений о коррупции в государственном секторе, привлекать виновных к ответственности и обеспечить транспарентность системы управления государственными финансами, с тем чтобы предотвратить отвлечение ресурсов от осуществления Конвенции.</w:t>
      </w:r>
    </w:p>
    <w:p w14:paraId="7997E51A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33D0676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Экстерриториальные обязательства</w:t>
      </w:r>
    </w:p>
    <w:p w14:paraId="672DCBFC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2F76AB2" w14:textId="3CC3614C" w:rsidR="0038177B" w:rsidRPr="0054219E" w:rsidRDefault="0038177B" w:rsidP="0038177B">
      <w:pPr>
        <w:pStyle w:val="SingleTxt"/>
      </w:pPr>
      <w:r>
        <w:t>20.</w:t>
      </w:r>
      <w:r>
        <w:tab/>
        <w:t xml:space="preserve">Комитет с удовлетворением отмечает усилия государства-участника по устранению последствий горнорудной деятельности, в том числе загрязнения ртутью, и по учету гендерных аспектов в ходе проведения и мониторинга этой деятельности в рамках своего плана действий по обеспечению гендерного равенства. Вместе с тем он обеспокоен негативным воздействием деятельности иностранных компаний, занимающихся добычей золота и добычей нефти, а также агропромышленных компаний, действующих на территории государства-участника, равно как и компаний, зарегистрированных в Суринаме и </w:t>
      </w:r>
      <w:r w:rsidR="00D33629">
        <w:t>проводящих</w:t>
      </w:r>
      <w:r>
        <w:t xml:space="preserve"> свои операции за рубежом, на осуществление прав сельских женщин, женщин-маронов и женщин из числа коренных народов. В этой связи Комитет обеспокоен тем, что существующая правовая база не обеспечивает достаточной подотчетности иностранных компаний за нарушения прав женщин, в частности их земельных прав и права на здоровье, а также за нарушения экологических и трудовых стандартов.</w:t>
      </w:r>
    </w:p>
    <w:p w14:paraId="48C51AEF" w14:textId="77777777" w:rsidR="0038177B" w:rsidRPr="0054219E" w:rsidRDefault="0038177B" w:rsidP="0038177B">
      <w:pPr>
        <w:pStyle w:val="SingleTxt"/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A72EB8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усилить свое законодательство, регламентирующее поведение компаний, зарегистрированных в государстве-участнике, включая Декрет о добыче полезных ископаемых, с тем чтобы установить минимальные стандарты защиты окружающей среды, качества воды, труда и здравоохранения в целях обеспечения защиты прав сельских женщин, женщин-маронов и женщин из числа коренных народов, которые уже пострадали или могут пострадать от их деятельности;</w:t>
      </w:r>
    </w:p>
    <w:p w14:paraId="44B83843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создать механизм или орган по регулированию деятельности иностранных частных горнодобывающих компаний и контролировать исполнение ими законодательных положений и улучшение положения в области соблюдения прав человека женщин.</w:t>
      </w:r>
    </w:p>
    <w:p w14:paraId="6A533FFF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6CB1BCA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</w:p>
    <w:p w14:paraId="08F5DB6B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AEF52D7" w14:textId="77777777" w:rsidR="0038177B" w:rsidRPr="0054219E" w:rsidRDefault="0038177B" w:rsidP="0038177B">
      <w:pPr>
        <w:pStyle w:val="SingleTxt"/>
      </w:pPr>
      <w:r>
        <w:t>22.</w:t>
      </w:r>
      <w:r>
        <w:tab/>
        <w:t>Комитет с обеспокоенностью отмечает ограниченное понимание концепции временных специальных мер в государстве-участнике, в том числе среди политических лидеров и лиц, ответственных за разработку политики. Он с обеспокоенностью отмечает, что государство-участник не приняло никаких временных специальных мер, направленных на достижение реального равенства между женщинами и мужчинами во всех охватываемых Конвенцией областях, в которых женщины недопредставлены или находятся в неблагоприятном положении, включая политическую и общественную жизнь, образование, занятость и здравоохранение.</w:t>
      </w:r>
    </w:p>
    <w:p w14:paraId="2A49DA13" w14:textId="3773DA1E" w:rsidR="0038177B" w:rsidRPr="0054219E" w:rsidRDefault="0038177B" w:rsidP="0038177B">
      <w:pPr>
        <w:pStyle w:val="SingleTxt"/>
      </w:pPr>
      <w:r>
        <w:t>23.</w:t>
      </w:r>
      <w:r>
        <w:tab/>
      </w:r>
      <w:r>
        <w:rPr>
          <w:b/>
          <w:bCs/>
        </w:rPr>
        <w:t>Комитет вновь подтверждает свои предыдущие заключительные замечания (</w:t>
      </w:r>
      <w:hyperlink r:id="rId23" w:history="1">
        <w:r w:rsidRPr="005A6E12">
          <w:rPr>
            <w:rStyle w:val="Hyperlink"/>
            <w:b/>
            <w:bCs/>
          </w:rPr>
          <w:t>CEDAW</w:t>
        </w:r>
        <w:r w:rsidRPr="00416D32">
          <w:rPr>
            <w:rStyle w:val="Hyperlink"/>
            <w:b/>
            <w:bCs/>
          </w:rPr>
          <w:t>/</w:t>
        </w:r>
        <w:r w:rsidRPr="005A6E12">
          <w:rPr>
            <w:rStyle w:val="Hyperlink"/>
            <w:b/>
            <w:bCs/>
          </w:rPr>
          <w:t>C</w:t>
        </w:r>
        <w:r w:rsidRPr="00416D32">
          <w:rPr>
            <w:rStyle w:val="Hyperlink"/>
            <w:b/>
            <w:bCs/>
          </w:rPr>
          <w:t>/</w:t>
        </w:r>
        <w:r w:rsidRPr="005A6E12">
          <w:rPr>
            <w:rStyle w:val="Hyperlink"/>
            <w:b/>
            <w:bCs/>
          </w:rPr>
          <w:t>SUR</w:t>
        </w:r>
        <w:r w:rsidRPr="00416D32">
          <w:rPr>
            <w:rStyle w:val="Hyperlink"/>
            <w:b/>
            <w:bCs/>
          </w:rPr>
          <w:t>/</w:t>
        </w:r>
        <w:r w:rsidRPr="005A6E12">
          <w:rPr>
            <w:rStyle w:val="Hyperlink"/>
            <w:b/>
            <w:bCs/>
          </w:rPr>
          <w:t>CO</w:t>
        </w:r>
        <w:r w:rsidRPr="00416D32">
          <w:rPr>
            <w:rStyle w:val="Hyperlink"/>
            <w:b/>
            <w:bCs/>
          </w:rPr>
          <w:t>/3</w:t>
        </w:r>
      </w:hyperlink>
      <w:r>
        <w:rPr>
          <w:b/>
          <w:bCs/>
        </w:rPr>
        <w:t xml:space="preserve">, пункт 26, и </w:t>
      </w:r>
      <w:hyperlink r:id="rId24" w:history="1">
        <w:r w:rsidRPr="005A6E12">
          <w:rPr>
            <w:rStyle w:val="Hyperlink"/>
            <w:b/>
            <w:bCs/>
          </w:rPr>
          <w:t>A</w:t>
        </w:r>
        <w:r w:rsidRPr="00416D32">
          <w:rPr>
            <w:rStyle w:val="Hyperlink"/>
            <w:b/>
            <w:bCs/>
          </w:rPr>
          <w:t>/57/38</w:t>
        </w:r>
      </w:hyperlink>
      <w:r>
        <w:rPr>
          <w:b/>
          <w:bCs/>
        </w:rPr>
        <w:t>, пункт 56) и рекомендует государству-участнику в соответствии с пунктом 1 статьи 4 Конвенции и общей рекомендацией Комитета № 25 (2004 год) о временных специальных мерах:</w:t>
      </w:r>
    </w:p>
    <w:p w14:paraId="6E3FC7D1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повышать информированность соответствующих государственных должностных лиц о недискриминационном характере временных специальных мер, с тем чтобы обеспечить достижение реального равенства женщин и мужчин, и о необходимости ликвидации пересекающихся форм дискриминации, с которыми сталкиваются группы женщин, находящихся в неблагоприятном положении, особенно сельские женщины женщины-мароны и женщины из числа коренных народов, а также женщины-инвалиды;</w:t>
      </w:r>
    </w:p>
    <w:p w14:paraId="1FE1909E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установить целевые показатели с конкретными сроками их достижения и выделить достаточные ресурсы для осуществления временных специальных мер, таких как установление квот и принятие других упредительных мер, с тем чтобы ускорить процесса обеспечения равной представленности женщин в судебных органах, на государственной службе, в сельскохозяйственных кооперативах, профсоюзах и профессиональных ассоциациях, а также в сельских советах и советах директоров государственных и частных компаний.</w:t>
      </w:r>
    </w:p>
    <w:p w14:paraId="2B75C242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FAA350B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Стереотипы</w:t>
      </w:r>
    </w:p>
    <w:p w14:paraId="1FC1C36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7715F04" w14:textId="72836F29" w:rsidR="0038177B" w:rsidRPr="0054219E" w:rsidRDefault="0038177B" w:rsidP="0038177B">
      <w:pPr>
        <w:pStyle w:val="SingleTxt"/>
      </w:pPr>
      <w:r>
        <w:t>24.</w:t>
      </w:r>
      <w:r>
        <w:tab/>
        <w:t>Комитет приветствует осуществляемую Министерством внутренних дел деятельность по подготовке кадров в целях искоренения дискриминационных стереотипов. В то же время Комитет подтверждает свою ранее выраженную обеспокоенность (</w:t>
      </w:r>
      <w:hyperlink r:id="rId25" w:history="1">
        <w:r w:rsidRPr="0038481A">
          <w:rPr>
            <w:rStyle w:val="Hyperlink"/>
          </w:rPr>
          <w:t>CEDAW</w:t>
        </w:r>
        <w:r w:rsidRPr="00306A65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306A65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306A65">
          <w:rPr>
            <w:rStyle w:val="Hyperlink"/>
          </w:rPr>
          <w:t>/</w:t>
        </w:r>
        <w:r w:rsidRPr="0038481A">
          <w:rPr>
            <w:rStyle w:val="Hyperlink"/>
          </w:rPr>
          <w:t>CO</w:t>
        </w:r>
        <w:r w:rsidRPr="00306A65">
          <w:rPr>
            <w:rStyle w:val="Hyperlink"/>
          </w:rPr>
          <w:t>/3</w:t>
        </w:r>
      </w:hyperlink>
      <w:r>
        <w:t>, пункт 17) по поводу все еще широко распространенных дискриминационных стереотипов в отношении распределения ролей и обязанностей между женщинами и мужчинами в семье и обществе. В частности, он выражает обеспокоенность в связи с:</w:t>
      </w:r>
    </w:p>
    <w:p w14:paraId="0357032F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отсутствием структурированных долгосрочных национальных программ и стратегий по решению проблемы недостаточной осведомленности общественности о правах женщин и связанных с ними стереотипами;</w:t>
      </w:r>
    </w:p>
    <w:p w14:paraId="3C21D6AD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ограниченным характером мер, принятых в целях искоренения дискриминационных стереотипов в системе образования, в том числе в школьных программах и учебниках, а также в связи с тем фактом, что программа обучения основным жизненным навыкам, которая была внедрена в 1997 году, с тем чтобы адаптировать устаревшую систему образования к современным стандартам, и содержит разделы, нацеленные на ознакомление учащихся с вопросами гендерного равенства, не была включена в школьные учебные программы и по-прежнему считается «экспериментальным проектом», который будет апробирован в семи школах в 2018 – 2019 годах;</w:t>
      </w:r>
    </w:p>
    <w:p w14:paraId="793571F4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отсутствием нормативных положений, регулирующих медийный контент, который нередко способствует закреплению традиционных ролей женщин и не обеспечивает сбалансированное представление о разнообразных ролях женщин и об их вкладе в жизнь общества.</w:t>
      </w:r>
    </w:p>
    <w:p w14:paraId="126185F2" w14:textId="77777777" w:rsidR="0038177B" w:rsidRPr="0054219E" w:rsidRDefault="0038177B" w:rsidP="0038177B">
      <w:pPr>
        <w:pStyle w:val="SingleTxt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25C4265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выявлять и устранять барьеры, препятствующие разработке структурированных долгосрочных национальных программ, направленных на изменение социальных и культурных моделей, которые поощряют и закрепляют дискриминационные стереотипы в отношении ролей и обязанностей женщин и мужчин в семье и обществе;</w:t>
      </w:r>
    </w:p>
    <w:p w14:paraId="686C0058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включить в течение конкретного периода времени программу обучения основным жизненным навыкам в систему образования и обеспечить, чтобы учебники, разработанные в рамках этой программы, использовались во всех начальных и средних школах;</w:t>
      </w:r>
    </w:p>
    <w:p w14:paraId="12562024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повышать осведомленность работников средств массовой информации о необходимости искоренения гендерных стереотипов и создать механизма в структуре Бюро по гендерным вопросам для систематической оценки наличия стереотипного контента в средствах массовой информации, что будет способствовать его удалению и формированию позитивного образа женщин и девочек;</w:t>
      </w:r>
    </w:p>
    <w:p w14:paraId="0D1BB556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разработать и принять целенаправленные меры по линии средств массовой информации, с тем чтобы повысить уровень осведомленности общественности о правах женщин и поощрять формирование позитивного образа женщин как активных участников социальной, экономической и политической жизни и мужчин как активных участников работы по ведению домашнего хозяйства и уходу за детьми</w:t>
      </w:r>
      <w:r>
        <w:t>.</w:t>
      </w:r>
    </w:p>
    <w:p w14:paraId="7B0856D1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09F78112" w14:textId="77777777" w:rsidR="0038177B" w:rsidRPr="0054219E" w:rsidRDefault="0038177B" w:rsidP="00923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14:paraId="771F4DCD" w14:textId="77777777" w:rsidR="0038177B" w:rsidRPr="0054219E" w:rsidRDefault="0038177B" w:rsidP="009232F3">
      <w:pPr>
        <w:pStyle w:val="SingleTxt"/>
        <w:keepNext/>
        <w:keepLines/>
        <w:spacing w:after="0" w:line="120" w:lineRule="exact"/>
        <w:rPr>
          <w:sz w:val="10"/>
        </w:rPr>
      </w:pPr>
    </w:p>
    <w:p w14:paraId="06F8AF82" w14:textId="77777777" w:rsidR="0038177B" w:rsidRPr="0054219E" w:rsidRDefault="0038177B" w:rsidP="009232F3">
      <w:pPr>
        <w:pStyle w:val="SingleTxt"/>
        <w:keepNext/>
        <w:keepLines/>
      </w:pPr>
      <w:r>
        <w:t>26.</w:t>
      </w:r>
      <w:r>
        <w:tab/>
        <w:t>Комитет вновь выражает свою обеспокоенность в связи с широким распространением гендерного насилия в отношении женщин, включая семейно-бытовое насилие, в государстве-участнике и задержкой с принятием проекта национального политического плана действий по борьбе с семейно-бытовым насилием на  2014 – 2017 годы. Кроме того, он выражает сожаление по поводу:</w:t>
      </w:r>
    </w:p>
    <w:p w14:paraId="0D71AF6C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ограниченности информации о применении Закона о борьбе с семейно-бытовым насилием со времени его принятия в 2009 году;</w:t>
      </w:r>
    </w:p>
    <w:p w14:paraId="5D63879E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отсутствия информации о межведомственных координационных механизмах по борьбе с гендерным насилием, включая семейно-бытовое насилие и сексуальные домогательства, а также того факта, что в стране действует только один приют для жертв семейно-бытового насилия, который может оказать помощь вплоть до 30 женщинам и их детям;</w:t>
      </w:r>
    </w:p>
    <w:p w14:paraId="4E5699E1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сохраняющейся практики телесных наказаний девочек и отсутствия законодательства, прямо запрещающего их применение в любых условиях;</w:t>
      </w:r>
    </w:p>
    <w:p w14:paraId="6B5A32A3" w14:textId="374C75ED" w:rsidR="0038177B" w:rsidRPr="0054219E" w:rsidRDefault="0038177B" w:rsidP="0038177B">
      <w:pPr>
        <w:pStyle w:val="SingleTxt"/>
      </w:pPr>
      <w:r>
        <w:tab/>
        <w:t>d)</w:t>
      </w:r>
      <w:r>
        <w:tab/>
        <w:t>отсутствия информации о распространенности, причинах и последствиях гендерного насилия в отношении женщин, несмотря на предыдущую рекомендацию Комитета (</w:t>
      </w:r>
      <w:hyperlink r:id="rId26" w:history="1">
        <w:r w:rsidRPr="0038481A">
          <w:rPr>
            <w:rStyle w:val="Hyperlink"/>
          </w:rPr>
          <w:t>CEDAW</w:t>
        </w:r>
        <w:r w:rsidRPr="00901344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901344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901344">
          <w:rPr>
            <w:rStyle w:val="Hyperlink"/>
          </w:rPr>
          <w:t>/</w:t>
        </w:r>
        <w:r w:rsidRPr="0038481A">
          <w:rPr>
            <w:rStyle w:val="Hyperlink"/>
          </w:rPr>
          <w:t>CO</w:t>
        </w:r>
        <w:r w:rsidRPr="00901344">
          <w:rPr>
            <w:rStyle w:val="Hyperlink"/>
          </w:rPr>
          <w:t>/3</w:t>
        </w:r>
      </w:hyperlink>
      <w:r>
        <w:t>, пункт 20).</w:t>
      </w:r>
    </w:p>
    <w:p w14:paraId="7E55989D" w14:textId="77777777" w:rsidR="0038177B" w:rsidRPr="000B4628" w:rsidRDefault="0038177B" w:rsidP="0038177B">
      <w:pPr>
        <w:pStyle w:val="SingleTxt"/>
      </w:pPr>
      <w:r>
        <w:t>27.</w:t>
      </w:r>
      <w:r>
        <w:tab/>
      </w:r>
      <w:r>
        <w:rPr>
          <w:b/>
          <w:bCs/>
        </w:rPr>
        <w:t>Ссылаясь на свою</w:t>
      </w:r>
      <w:r w:rsidRPr="00901344">
        <w:rPr>
          <w:b/>
          <w:bCs/>
        </w:rPr>
        <w:t xml:space="preserve"> </w:t>
      </w:r>
      <w:r>
        <w:rPr>
          <w:b/>
          <w:bCs/>
        </w:rPr>
        <w:t>общую рекомендацию № 35 (2017 год) о гендерном насилии в отношении женщин, которая обновляет общую рекомендацию № 19, Комитет рекомендует государству-участнику:</w:t>
      </w:r>
    </w:p>
    <w:p w14:paraId="34CCB38D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безотлагательно утвердить национальный политический план действий по борьбе с семейно-бытовым насилием и продолжать свои усилия по обеспечению выполнения Закона о борьбе с семейно-бытовым насилием;</w:t>
      </w:r>
    </w:p>
    <w:p w14:paraId="2C10ED15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создать дополнительные приюты для жертв гендерного насилия, которые были бы доступны для всех женщин и девочек, особенно тех, кто живет в сельских районах, и обеспечить предоставление в них правовой помощи, услуг по реабилитации и психологической поддержки жертвам;</w:t>
      </w:r>
    </w:p>
    <w:p w14:paraId="206415B3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принять закон, прямо запрещающий телесные наказания в любых условиях;</w:t>
      </w:r>
    </w:p>
    <w:p w14:paraId="3AA12A0D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осуществлять систематический сбор данных о случаях гендерного насилия в отношении женщин и девочек в разбивке по возрасту, этнической принадлежности, географическому положению и характеру взаимоотношений между жертвой и правонарушителем, а также обеспечить, чтобы исследования в этой области служили основой для принятия всеобъемлющих и целенаправленных мер вмешательства.</w:t>
      </w:r>
    </w:p>
    <w:p w14:paraId="53D70D2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C1FDE70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</w:p>
    <w:p w14:paraId="6DA5700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EC710B5" w14:textId="77777777" w:rsidR="0038177B" w:rsidRPr="0054219E" w:rsidRDefault="0038177B" w:rsidP="0038177B">
      <w:pPr>
        <w:pStyle w:val="SingleTxt"/>
      </w:pPr>
      <w:r>
        <w:t>28.</w:t>
      </w:r>
      <w:r>
        <w:tab/>
        <w:t>Комитет приветствует пересмотр Уголовного кодекса в целях запрещения торговли людьми, а также создание отдела по борьбе с торговлей людьми в структуре Государственной прокуратуры и Группы по борьбе с торговлей людьми в структуре полиции, с тем чтобы расследовать дела о торговле людьми, а также Рабочей группы по противодействию торговле людьми в структуре Министерства юстиции и полиции, которой поручено разработать национальную стратегию и национальный план действий. В то же время Комитет обеспокоен:</w:t>
      </w:r>
    </w:p>
    <w:p w14:paraId="35D8E611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ограниченными возможностями и способностями реагирования институтов, созданных для контроля за соблюдением законов о борьбе с торговлей людьми, особенно в отдаленных районах;</w:t>
      </w:r>
    </w:p>
    <w:p w14:paraId="5CFEECD2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отсутствием надежных данных о торговле женщинами и девочками, в том числе о ее масштабах и числе расследований, уголовных преследованиях, осуждениях и приговорах, вынесенных в отношении правонарушителей;</w:t>
      </w:r>
    </w:p>
    <w:p w14:paraId="3AD01B8A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отсутствием информации о приютах, в которые могут обращаться женщины и девочки, ставшие жертвами торговли людьми, а также о видах программ и услуг в области здравоохранения, предоставляемых этими приютами.</w:t>
      </w:r>
    </w:p>
    <w:p w14:paraId="5CBD6282" w14:textId="77777777" w:rsidR="0038177B" w:rsidRPr="0054219E" w:rsidRDefault="0038177B" w:rsidP="0038177B">
      <w:pPr>
        <w:pStyle w:val="SingleTxt"/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8790C36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выделить достаточные людские, технические и финансовые ресурсы новой государственной инфраструктуре</w:t>
      </w:r>
      <w:r>
        <w:t xml:space="preserve"> </w:t>
      </w:r>
      <w:r>
        <w:rPr>
          <w:b/>
          <w:bCs/>
        </w:rPr>
        <w:t>для борьбы с торговлей людьми (Schakelketting 2.0), с тем чтобы выполнить национальную стратегию и национальный план действий по борьбе с торговлей людьми, а также создать достаточное число должным образом оснащенных приютов для жертв торговли людьми в различных частях государства-участника;</w:t>
      </w:r>
    </w:p>
    <w:p w14:paraId="06D65E8B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проводить расследования, преследовать в уголовном порядке и надлежащим образом наказывать правонарушителей и обеспечить, чтобы жертвы торговли людьми и проституции освобождались от уголовной ответственности, а также предоставлять им надлежащую защиту, средства правовой защиты и возмещение, включая разрешения на временное проживание, медицинскую помощь, психосоциальное консультирование, реабилитационную и реинтеграционную поддержку и компенсацию;</w:t>
      </w:r>
    </w:p>
    <w:p w14:paraId="68F5B5B0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проводить политику, направленную на обеспечение того, чтобы нуждающиеся в защите жертвы торговли людьми имели доступ к процедурам подачи и рассмотрения ходатайств о предоставлении убежища в государстве-участнике и чтобы в пунктах въезда в страну и в местах содержания под стражей</w:t>
      </w:r>
      <w:r>
        <w:t xml:space="preserve"> </w:t>
      </w:r>
      <w:r>
        <w:rPr>
          <w:b/>
          <w:bCs/>
        </w:rPr>
        <w:t>действовали механизмы, занимающиеся выявлением жертв и направлением их для получения помощи с учетом гендерных аспектов;</w:t>
      </w:r>
    </w:p>
    <w:p w14:paraId="35480DCF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продолжать принимать меры по укреплению потенциала судей, прокуроров, сотрудников пограничной полиции, иммиграционных инстанций и других сотрудников правоохранительных органов по вопросам раннего выявления жертв торговли людьми</w:t>
      </w:r>
      <w:r>
        <w:t xml:space="preserve"> </w:t>
      </w:r>
      <w:r>
        <w:rPr>
          <w:b/>
          <w:bCs/>
        </w:rPr>
        <w:t>и использования учитывающих гендерную специфику методов обращения с ними.</w:t>
      </w:r>
    </w:p>
    <w:p w14:paraId="2846951E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6D36E59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</w:t>
      </w:r>
    </w:p>
    <w:p w14:paraId="683D2CFD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0DF3CBE4" w14:textId="0B54CCA8" w:rsidR="0038177B" w:rsidRPr="0054219E" w:rsidRDefault="0038177B" w:rsidP="0038177B">
      <w:pPr>
        <w:pStyle w:val="SingleTxt"/>
      </w:pPr>
      <w:r>
        <w:t>30.</w:t>
      </w:r>
      <w:r>
        <w:tab/>
        <w:t>Комитет с удовлетворением отмечает усилия государства-участника по поощрению участия женщин в политической жизни, а также некоторое расширение участия женщин в политической жизни на окружном и местном уровнях, а также на дипломатической службе. Вместе с тем Комитет подтверждает свою ранее выраженную им обеспокоенность (</w:t>
      </w:r>
      <w:hyperlink r:id="rId27" w:history="1">
        <w:r w:rsidRPr="0038481A">
          <w:rPr>
            <w:rStyle w:val="Hyperlink"/>
          </w:rPr>
          <w:t>CEDAW</w:t>
        </w:r>
        <w:r w:rsidRPr="00B71605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B71605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B71605">
          <w:rPr>
            <w:rStyle w:val="Hyperlink"/>
          </w:rPr>
          <w:t>/</w:t>
        </w:r>
        <w:r w:rsidRPr="0038481A">
          <w:rPr>
            <w:rStyle w:val="Hyperlink"/>
          </w:rPr>
          <w:t>CO</w:t>
        </w:r>
        <w:r w:rsidRPr="00B71605">
          <w:rPr>
            <w:rStyle w:val="Hyperlink"/>
          </w:rPr>
          <w:t>/3</w:t>
        </w:r>
      </w:hyperlink>
      <w:r>
        <w:t>, пункт 25) по поводу значительной недопредставленности женщин в политической и общественной жизни, в частности на руководящих должностях, в том числе в Национальной ассамблее и Кабинете министров.</w:t>
      </w:r>
    </w:p>
    <w:p w14:paraId="5CE1A578" w14:textId="77777777" w:rsidR="0038177B" w:rsidRPr="0054219E" w:rsidRDefault="0038177B" w:rsidP="0038177B">
      <w:pPr>
        <w:pStyle w:val="SingleTxt"/>
      </w:pPr>
      <w:r>
        <w:t>31.</w:t>
      </w:r>
      <w:r>
        <w:tab/>
      </w:r>
      <w:r>
        <w:rPr>
          <w:b/>
          <w:bCs/>
        </w:rPr>
        <w:t>Напоминая о том, что всестороннее, равное, свободное и демократическое участие женщин на равноправной с мужчинами основе в политической и общественной жизни является одним из требований для полного осуществления прав человека женщин, Комитет рекомендует государству-участнику:</w:t>
      </w:r>
    </w:p>
    <w:p w14:paraId="5795DCE9" w14:textId="77777777" w:rsidR="0038177B" w:rsidRPr="0054219E" w:rsidRDefault="0038177B" w:rsidP="009232F3">
      <w:pPr>
        <w:pStyle w:val="SingleTxt"/>
        <w:keepLines/>
      </w:pPr>
      <w:r>
        <w:tab/>
        <w:t>а)</w:t>
      </w:r>
      <w:r>
        <w:tab/>
      </w:r>
      <w:r>
        <w:rPr>
          <w:b/>
          <w:bCs/>
        </w:rPr>
        <w:t>принять всеобъемлющую стратегию для поощрения участия женщин в политической и общественной жизни на всех уровнях, в том числе путем принятия обязательных квот для политических назначений, ускоренного набора женщин на руководящие должности и предоставления финансовых стимулов политическим партиям, которые включают равное число женщин и мужчин в свои избирательные списки;</w:t>
      </w:r>
    </w:p>
    <w:p w14:paraId="2B48BB33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содействовать оказанию безусловной поддержки женщин, которые выставляют свои кандидатуры на выборах, и их предвыборных политических кампаний путем проведения информационно-просветительской работы среди политических лидеров и населения в целом, укрепления потенциала и финансирования кампаний;</w:t>
      </w:r>
    </w:p>
    <w:p w14:paraId="2042643A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принять временные специальные меры для расширения представленности сельских женщин, женщин-маронов и женщин из числа коренных народов в Национальной Ассамблее, Кабинете министров, законодательных органах, районных и местных советах, на руководящих должностях в политических партиях и в государственных консультативных советах (высшие органы государства).</w:t>
      </w:r>
    </w:p>
    <w:p w14:paraId="2E0BD099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64E5B05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Гражданство</w:t>
      </w:r>
    </w:p>
    <w:p w14:paraId="570695B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2A9C76C" w14:textId="77777777" w:rsidR="0038177B" w:rsidRPr="0054219E" w:rsidRDefault="0038177B" w:rsidP="0038177B">
      <w:pPr>
        <w:pStyle w:val="SingleTxt"/>
      </w:pPr>
      <w:r>
        <w:t>32.</w:t>
      </w:r>
      <w:r>
        <w:tab/>
        <w:t>Комитет приветствует принятие в 2014 году поправки к Закону 1975 года о регулировании суринамского гражданства и вида на жительство, которая направлена на поощрение гендерного равенства при передаче гражданства и предусматривает гарантии для предотвращения безгражданства. В то же время Комитет обеспокоен тем, что женщины, живущие в отдаленных районах, сталкиваются с трудностями при регистрации рождений своих детей.</w:t>
      </w:r>
    </w:p>
    <w:p w14:paraId="36545A71" w14:textId="77777777" w:rsidR="0038177B" w:rsidRPr="0054219E" w:rsidRDefault="0038177B" w:rsidP="0038177B">
      <w:pPr>
        <w:pStyle w:val="SingleTxt"/>
      </w:pPr>
      <w:r>
        <w:t>33.</w:t>
      </w:r>
      <w:r>
        <w:tab/>
      </w:r>
      <w:r>
        <w:rPr>
          <w:b/>
          <w:bCs/>
        </w:rPr>
        <w:t>Ссылаясь на статью 9 Конвенции и общую рекомендацию Комитета № 32 (2014 год), касающуюся гендерных аспектов статуса беженца, убежища, гражданства и безгражданства женщин, Комитет рекомендует государству-участнику:</w:t>
      </w:r>
    </w:p>
    <w:p w14:paraId="5D1E8394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принять законодательные и другие меры, такие как развертывание передвижных групп для регистрации актов гражданского состояния, а также снижения затрат и ликвидации административных барьеров, с тем чтобы содействовать регистрации детей, родившихся в отдаленных районах страны;</w:t>
      </w:r>
    </w:p>
    <w:p w14:paraId="76AABF7F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ликвидировать любые административные барьеры и дискриминационные виды практики, которые препятствуют проведению регистрации детей, рожденных от родителей-иностранцев.</w:t>
      </w:r>
    </w:p>
    <w:p w14:paraId="0F815936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04819A5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Образование</w:t>
      </w:r>
    </w:p>
    <w:p w14:paraId="190CD58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C67E51F" w14:textId="77777777" w:rsidR="0038177B" w:rsidRPr="0054219E" w:rsidRDefault="0038177B" w:rsidP="0038177B">
      <w:pPr>
        <w:pStyle w:val="SingleTxt"/>
      </w:pPr>
      <w:r>
        <w:t>34.</w:t>
      </w:r>
      <w:r>
        <w:tab/>
        <w:t>Комитет приветствует усилия государства-участника по расширению доступа женщин и девочек к образованию, включая отмену вступительных взносов и расширение доступности для девочек-инвалидов. Он также отмечает высокий чистый коэффициент охвата девочек на этапе начального образования и высокий уровень представленности девушек в высших учебных заведениях. Вместе с тем Комитет по-прежнему обеспокоен:</w:t>
      </w:r>
    </w:p>
    <w:p w14:paraId="58CDAAA1" w14:textId="4F3C0E6A" w:rsidR="0038177B" w:rsidRPr="0054219E" w:rsidRDefault="0038177B" w:rsidP="0038177B">
      <w:pPr>
        <w:pStyle w:val="SingleTxt"/>
      </w:pPr>
      <w:r>
        <w:tab/>
        <w:t>а)</w:t>
      </w:r>
      <w:r>
        <w:tab/>
        <w:t>низкими показателями завершения начального, среднего и высшего образования среди женщин и девочек, как было сообщено государством-участником в пункте 110 его доклада (</w:t>
      </w:r>
      <w:hyperlink r:id="rId28" w:history="1">
        <w:r w:rsidRPr="0038481A">
          <w:rPr>
            <w:rStyle w:val="Hyperlink"/>
          </w:rPr>
          <w:t>CEDAW</w:t>
        </w:r>
        <w:r w:rsidRPr="00B71605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B71605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B71605">
          <w:rPr>
            <w:rStyle w:val="Hyperlink"/>
          </w:rPr>
          <w:t>/4-6</w:t>
        </w:r>
      </w:hyperlink>
      <w:r>
        <w:t>);</w:t>
      </w:r>
    </w:p>
    <w:p w14:paraId="6517D08E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ограниченным доступом к образованию для девочек из групп, находящихся в неблагоприятном положении, в том числе девочек-инвалидов, и значительными различиями в показателях охвата образованием между сельскими и городскими районами, а также низким качеством обучения в начальных школах и отсутствием средних школ в сельских районах;</w:t>
      </w:r>
    </w:p>
    <w:p w14:paraId="5DA8D145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отсутствием двуязычного образования для девочек и мальчиков как из числа маронов, так и из числа коренных народов;</w:t>
      </w:r>
    </w:p>
    <w:p w14:paraId="30711D4F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высокими показателями отсева и даже исключения из школ по причине ранней беременности, а также тенденцией молодых матерей получать профессиональную подготовку вместо того, чтобы возвращаться в школу;</w:t>
      </w:r>
    </w:p>
    <w:p w14:paraId="7E7E1FFC" w14:textId="77777777" w:rsidR="0038177B" w:rsidRPr="0054219E" w:rsidRDefault="0038177B" w:rsidP="0038177B">
      <w:pPr>
        <w:pStyle w:val="SingleTxt"/>
      </w:pPr>
      <w:r>
        <w:tab/>
        <w:t>е)</w:t>
      </w:r>
      <w:r>
        <w:tab/>
        <w:t>отсутствием обязательного, всеобъемлющего и соответствующего возрасту просвещения в школе по вопросам сексуального и репродуктивного здоровья и соответствующих прав;</w:t>
      </w:r>
    </w:p>
    <w:p w14:paraId="479E00E8" w14:textId="77777777" w:rsidR="0038177B" w:rsidRPr="0054219E" w:rsidRDefault="0038177B" w:rsidP="0038177B">
      <w:pPr>
        <w:pStyle w:val="SingleTxt"/>
      </w:pPr>
      <w:r>
        <w:tab/>
        <w:t>f)</w:t>
      </w:r>
      <w:r>
        <w:tab/>
        <w:t>тем, что возраст учащихся, охватываемых обязательным образованием, не может превышать 12 лет.</w:t>
      </w:r>
    </w:p>
    <w:p w14:paraId="13958F96" w14:textId="4E01D9FD" w:rsidR="0038177B" w:rsidRPr="0054219E" w:rsidRDefault="0038177B" w:rsidP="0038177B">
      <w:pPr>
        <w:pStyle w:val="SingleTxt"/>
      </w:pPr>
      <w:r>
        <w:t>35.</w:t>
      </w:r>
      <w:r>
        <w:tab/>
      </w:r>
      <w:r>
        <w:rPr>
          <w:b/>
          <w:bCs/>
        </w:rPr>
        <w:t>Действуя в соответствии с общей рекомендацией Комитета № 36 (2017 год) о праве девочек и женщин на образование и ссылаясь на свои предыдущие заключительные замечания (</w:t>
      </w:r>
      <w:hyperlink r:id="rId29" w:history="1">
        <w:r w:rsidRPr="00CC5355">
          <w:rPr>
            <w:rStyle w:val="Hyperlink"/>
            <w:b/>
            <w:bCs/>
          </w:rPr>
          <w:t>CEDAW</w:t>
        </w:r>
        <w:r w:rsidRPr="00B71605">
          <w:rPr>
            <w:rStyle w:val="Hyperlink"/>
            <w:b/>
            <w:bCs/>
          </w:rPr>
          <w:t>/</w:t>
        </w:r>
        <w:r w:rsidRPr="00CC5355">
          <w:rPr>
            <w:rStyle w:val="Hyperlink"/>
            <w:b/>
            <w:bCs/>
          </w:rPr>
          <w:t>CO</w:t>
        </w:r>
        <w:r w:rsidRPr="00B71605">
          <w:rPr>
            <w:rStyle w:val="Hyperlink"/>
            <w:b/>
            <w:bCs/>
          </w:rPr>
          <w:t>/</w:t>
        </w:r>
        <w:r w:rsidRPr="00CC5355">
          <w:rPr>
            <w:rStyle w:val="Hyperlink"/>
            <w:b/>
            <w:bCs/>
          </w:rPr>
          <w:t>SUR</w:t>
        </w:r>
        <w:r w:rsidRPr="00B71605">
          <w:rPr>
            <w:rStyle w:val="Hyperlink"/>
            <w:b/>
            <w:bCs/>
          </w:rPr>
          <w:t>/</w:t>
        </w:r>
        <w:r w:rsidRPr="00CC5355">
          <w:rPr>
            <w:rStyle w:val="Hyperlink"/>
            <w:b/>
            <w:bCs/>
          </w:rPr>
          <w:t>CO</w:t>
        </w:r>
        <w:r w:rsidRPr="00B71605">
          <w:rPr>
            <w:rStyle w:val="Hyperlink"/>
            <w:b/>
            <w:bCs/>
          </w:rPr>
          <w:t>/3</w:t>
        </w:r>
      </w:hyperlink>
      <w:r>
        <w:rPr>
          <w:b/>
          <w:bCs/>
        </w:rPr>
        <w:t>, пункт 18), Комитет рекомендует государству-участнику:</w:t>
      </w:r>
    </w:p>
    <w:p w14:paraId="6BB23605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повысить показатели приема женщин и девочек в учебные заведения на всех уровнях образования, уделяя должное внимание взаимосвязи между выбором женщинами и девочками учебных предметов и потребностями на рынке труда;</w:t>
      </w:r>
    </w:p>
    <w:p w14:paraId="2ECF576D" w14:textId="5AD4885D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 xml:space="preserve">повысить качество образования и доступность школ в сельских районах и предоставлять обучение в школах на языках коренных народов и народов, ведущих племенной образ жизни, в целях расширения доступа к образованию для девочек-маронов, девочек из числа коренных народов и </w:t>
      </w:r>
      <w:r w:rsidR="00D33629">
        <w:rPr>
          <w:b/>
          <w:bCs/>
        </w:rPr>
        <w:t>девочек</w:t>
      </w:r>
      <w:r>
        <w:rPr>
          <w:b/>
          <w:bCs/>
        </w:rPr>
        <w:t>-инвалидов;</w:t>
      </w:r>
    </w:p>
    <w:p w14:paraId="6359C2F1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создать механизмы надзора, а также предусмотреть санкции в целях обеспечения соблюдения государственных политических программ, запрещающих исключение беременных девочек из школы, и содействия реинтеграции молодых матерей в систему школьного образования;</w:t>
      </w:r>
    </w:p>
    <w:p w14:paraId="0598894C" w14:textId="29219E94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 xml:space="preserve">институционализировать обязательное, </w:t>
      </w:r>
      <w:r w:rsidR="00D33629">
        <w:rPr>
          <w:b/>
          <w:bCs/>
        </w:rPr>
        <w:t>соответствующее</w:t>
      </w:r>
      <w:r>
        <w:rPr>
          <w:b/>
          <w:bCs/>
        </w:rPr>
        <w:t xml:space="preserve"> возрасту и всестороннее половое просвещение, включая просвещение по вопросам ответственного сексуального поведения и профилактики ранней беременности;</w:t>
      </w:r>
    </w:p>
    <w:p w14:paraId="47D7D1BF" w14:textId="77777777" w:rsidR="0038177B" w:rsidRPr="0054219E" w:rsidRDefault="0038177B" w:rsidP="0038177B">
      <w:pPr>
        <w:pStyle w:val="SingleTxt"/>
      </w:pPr>
      <w:r>
        <w:tab/>
        <w:t>е)</w:t>
      </w:r>
      <w:r>
        <w:tab/>
      </w:r>
      <w:r>
        <w:rPr>
          <w:b/>
          <w:bCs/>
        </w:rPr>
        <w:t>повысить до 16 лет возраст обязательного образования как для девочек, так и для мальчиков</w:t>
      </w:r>
      <w:r>
        <w:t>.</w:t>
      </w:r>
    </w:p>
    <w:p w14:paraId="3D965B8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C41833C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Занятость</w:t>
      </w:r>
    </w:p>
    <w:p w14:paraId="08547C0D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2C27BDBD" w14:textId="77777777" w:rsidR="0038177B" w:rsidRPr="0054219E" w:rsidRDefault="0038177B" w:rsidP="0038177B">
      <w:pPr>
        <w:pStyle w:val="SingleTxt"/>
      </w:pPr>
      <w:r>
        <w:t>36.</w:t>
      </w:r>
      <w:r>
        <w:tab/>
        <w:t>Комитет отмечает, что гарантия равной оплаты за равный труд женщин и мужчин, содержащаяся в статье 28 Конституции, не отвечает принципу равной оплаты за труд равной ценности. Кроме того, он с обеспокоенностью отмечает следующее:</w:t>
      </w:r>
    </w:p>
    <w:p w14:paraId="0BA6CC49" w14:textId="77777777" w:rsidR="0038177B" w:rsidRPr="0054219E" w:rsidRDefault="0038177B" w:rsidP="009232F3">
      <w:pPr>
        <w:pStyle w:val="SingleTxt"/>
        <w:keepLines/>
      </w:pPr>
      <w:r>
        <w:tab/>
        <w:t>а)</w:t>
      </w:r>
      <w:r>
        <w:tab/>
        <w:t>задержку с принятием различных законодательных документов, которые необходимы для ускорения процесса обеспечения равного участия женщин на рынке труда, включая: a) законопроект о сексуальных домогательствах на рабочем месте, который был разработан в период 2008 – 2011 годов; b) законопроект об охране материнства; и c) поправку к Закону о гражданских служащих, предусматривающую отмену дискриминационных положений, которые позволяют сократить право женщин на ежегодный отпуск в связи с беременностью и родами и предусматривают возможность прекращения трудового договора с женщинами из числа гражданских служащих в случае заключения брака;</w:t>
      </w:r>
    </w:p>
    <w:p w14:paraId="18F7D115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отсутствие законодательства, закрепляющего принцип равной оплаты за труд равной ценности в государстве-участнике, несмотря на ратификацию им в 2016 году Конвенции 1951 года о равном вознаграждении (№ 100) Международной организации труда (МОТ);</w:t>
      </w:r>
    </w:p>
    <w:p w14:paraId="761CCDD2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неравный для женщин доступ к экономическим возможностям, несмотря на их более широкое участие и более высокую успеваемость на всех уровнях образования, а также непропорционально высокий уровень безработицы среди женщин, особенно среди сельских женщин, женщин-маронов и женщин из числа коренных народов;</w:t>
      </w:r>
    </w:p>
    <w:p w14:paraId="4A10DE29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продолжающуюся профессиональную сегрегацию на рынке труда, концентрацию женщин на низкооплачиваемых работах в неформальном секторе и недостаточную представленность женщин на управленческих должностях и в нетрадиционных профессиях;</w:t>
      </w:r>
    </w:p>
    <w:p w14:paraId="0427A1E4" w14:textId="77777777" w:rsidR="0038177B" w:rsidRPr="0054219E" w:rsidRDefault="0038177B" w:rsidP="0038177B">
      <w:pPr>
        <w:pStyle w:val="SingleTxt"/>
      </w:pPr>
      <w:r>
        <w:tab/>
        <w:t>е)</w:t>
      </w:r>
      <w:r>
        <w:tab/>
        <w:t>отсутствие нормативных положений, устанавливающих максимальное количество часов работы для девочек в возрасте от 14 до 17 лет, что повышает их уязвимость перед эксплуататорскими условиями труда и притеснениями или злоупотреблениями со стороны работодателей;</w:t>
      </w:r>
    </w:p>
    <w:p w14:paraId="7F7A56E1" w14:textId="77777777" w:rsidR="0038177B" w:rsidRPr="0054219E" w:rsidRDefault="0038177B" w:rsidP="0038177B">
      <w:pPr>
        <w:pStyle w:val="SingleTxt"/>
      </w:pPr>
      <w:r>
        <w:tab/>
        <w:t>f)</w:t>
      </w:r>
      <w:r>
        <w:tab/>
        <w:t>отсутствие достоверных статистических данных о гендерном разрыве в оплате труда как в частном, так и в государственном секторах.</w:t>
      </w:r>
    </w:p>
    <w:p w14:paraId="1363F8A4" w14:textId="3814A4D0" w:rsidR="0038177B" w:rsidRPr="0054219E" w:rsidRDefault="0038177B" w:rsidP="0038177B">
      <w:pPr>
        <w:pStyle w:val="SingleTxt"/>
      </w:pPr>
      <w:r>
        <w:t>37.</w:t>
      </w:r>
      <w:r>
        <w:tab/>
      </w:r>
      <w:r>
        <w:rPr>
          <w:b/>
          <w:bCs/>
        </w:rPr>
        <w:t>Ссылаясь на свои предыдущие рекомендации (</w:t>
      </w:r>
      <w:hyperlink r:id="rId30" w:history="1">
        <w:r w:rsidRPr="00000DB0">
          <w:rPr>
            <w:rStyle w:val="Hyperlink"/>
            <w:b/>
            <w:bCs/>
          </w:rPr>
          <w:t>CEDAW</w:t>
        </w:r>
        <w:r w:rsidRPr="00DE762C">
          <w:rPr>
            <w:rStyle w:val="Hyperlink"/>
            <w:b/>
            <w:bCs/>
          </w:rPr>
          <w:t>/</w:t>
        </w:r>
        <w:r w:rsidRPr="00000DB0">
          <w:rPr>
            <w:rStyle w:val="Hyperlink"/>
            <w:b/>
            <w:bCs/>
          </w:rPr>
          <w:t>C</w:t>
        </w:r>
        <w:r w:rsidRPr="00DE762C">
          <w:rPr>
            <w:rStyle w:val="Hyperlink"/>
            <w:b/>
            <w:bCs/>
          </w:rPr>
          <w:t>/</w:t>
        </w:r>
        <w:r w:rsidRPr="00000DB0">
          <w:rPr>
            <w:rStyle w:val="Hyperlink"/>
            <w:b/>
            <w:bCs/>
          </w:rPr>
          <w:t>SUR</w:t>
        </w:r>
        <w:r w:rsidRPr="00DE762C">
          <w:rPr>
            <w:rStyle w:val="Hyperlink"/>
            <w:b/>
            <w:bCs/>
          </w:rPr>
          <w:t>/</w:t>
        </w:r>
        <w:r w:rsidRPr="00000DB0">
          <w:rPr>
            <w:rStyle w:val="Hyperlink"/>
            <w:b/>
            <w:bCs/>
          </w:rPr>
          <w:t>CO</w:t>
        </w:r>
        <w:r w:rsidRPr="00DE762C">
          <w:rPr>
            <w:rStyle w:val="Hyperlink"/>
            <w:b/>
            <w:bCs/>
          </w:rPr>
          <w:t>/3</w:t>
        </w:r>
      </w:hyperlink>
      <w:r>
        <w:rPr>
          <w:b/>
          <w:bCs/>
        </w:rPr>
        <w:t>, пункт 28), Комитет призывает государство-участник:</w:t>
      </w:r>
    </w:p>
    <w:p w14:paraId="7D466BA3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безотлагательно принять пересмотренный Гражданский кодекс, законопроект о защите материнства и поправку к Закону о гражданских служащих, а также распространить сферу применения Закона о минимальной почасовой заработной плате на государственный сектор и на неформальный сектор экономики;</w:t>
      </w:r>
    </w:p>
    <w:p w14:paraId="119C5809" w14:textId="0D9B1531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 xml:space="preserve">выявить и </w:t>
      </w:r>
      <w:r w:rsidR="00D33629">
        <w:rPr>
          <w:b/>
          <w:bCs/>
        </w:rPr>
        <w:t>устранить</w:t>
      </w:r>
      <w:r>
        <w:rPr>
          <w:b/>
          <w:bCs/>
        </w:rPr>
        <w:t xml:space="preserve"> проблемы, задерживающие принятие законопроекта о сексуальных домогательствах на рабочем месте, и обеспечить его соблюдение как в государственном, так и частном секторах;</w:t>
      </w:r>
    </w:p>
    <w:p w14:paraId="35EA02A6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внести изменения в статью 28 Конституции, с тем чтобы обеспечить включение в нее принципа равного вознаграждения за труд равной ценности, и принять меры для обеспечения эффективного соблюдения этого принципа;</w:t>
      </w:r>
    </w:p>
    <w:p w14:paraId="6D7468AD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провести исследование по вопросу о профессиональной сегрегации на рынке труда и гендерном разрыве в оплате труда, включая сбор и анализ статистических данных с разбивкой по признаку пола, в целях устранения дискриминационных гендерных стереотипов, мешающих женщинам найти работу по определенным профессиям, и поощрения недискриминационной практики занятости и найма на работу во всех секторах;</w:t>
      </w:r>
    </w:p>
    <w:p w14:paraId="25E0B4E7" w14:textId="77777777" w:rsidR="0038177B" w:rsidRPr="0054219E" w:rsidRDefault="0038177B" w:rsidP="0038177B">
      <w:pPr>
        <w:pStyle w:val="SingleTxt"/>
      </w:pPr>
      <w:r>
        <w:tab/>
        <w:t>е)</w:t>
      </w:r>
      <w:r>
        <w:tab/>
      </w:r>
      <w:r>
        <w:rPr>
          <w:b/>
          <w:bCs/>
        </w:rPr>
        <w:t>принять целевые меры по устранению профессиональной сегрегации и поощрять доступ женщин к занятости в формальном секторе, в том числе на управленческих и руководящих должностях и в нетрадиционных профессиях, таких как строительство, добыча полезных ископаемых и лесозаготовки, гарантируя предоставление им оплачиваемого отпуска по беременности и родам и предоставляя достаточные и надлежащие услуги в учреждениях по уходу за детьми;</w:t>
      </w:r>
    </w:p>
    <w:p w14:paraId="3888C5BB" w14:textId="77777777" w:rsidR="0038177B" w:rsidRPr="0054219E" w:rsidRDefault="0038177B" w:rsidP="0038177B">
      <w:pPr>
        <w:pStyle w:val="SingleTxt"/>
      </w:pPr>
      <w:r>
        <w:tab/>
        <w:t>f)</w:t>
      </w:r>
      <w:r>
        <w:tab/>
      </w:r>
      <w:r>
        <w:rPr>
          <w:b/>
          <w:bCs/>
        </w:rPr>
        <w:t>поощрять равное распределение семейных и бытовых обязанностей между женщинами и мужчинами, в том числе путем введения для отцов обязательного отпуска в связи с рождением ребенка.</w:t>
      </w:r>
    </w:p>
    <w:p w14:paraId="7216592B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E67B656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Здоровье</w:t>
      </w:r>
    </w:p>
    <w:p w14:paraId="4BCAFADA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5064F77" w14:textId="77777777" w:rsidR="0038177B" w:rsidRPr="0054219E" w:rsidRDefault="0038177B" w:rsidP="0038177B">
      <w:pPr>
        <w:pStyle w:val="SingleTxt"/>
      </w:pPr>
      <w:r>
        <w:t>38.</w:t>
      </w:r>
      <w:r>
        <w:tab/>
        <w:t>Комитет приветствует расширение охвата медицинским страхованием женщин в государстве-участнике, в том числе женщин-инвалидов и женщин из групп, находящихся в неблагоприятном положении. В то же время он по-прежнему обеспокоен следующим:</w:t>
      </w:r>
    </w:p>
    <w:p w14:paraId="1E237301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недостаточным финансированием сектора здравоохранения, что приводит к крайне ограниченному доступу женщин к основным медицинским услугам, особенно сельских женщин, женщин-маронов и женщин из числа коренных народов, которые часто вынуждены ездить в Парамарибо для получения специализированной медицинской помощи;</w:t>
      </w:r>
    </w:p>
    <w:p w14:paraId="50FFC0FC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отсутствием услуг по лечению сердечно-сосудистых заболеваний и обследований на выявление онкологических заболеваний для женщин за пределами Парамарибо, несмотря на высокие показатели распространенности сердечно-сосудистых заболеваний и рака репродуктивных органов, включая рак молочной железы, рак матки и рак шейки матки;</w:t>
      </w:r>
    </w:p>
    <w:p w14:paraId="7E9B524B" w14:textId="0B039A9B" w:rsidR="0038177B" w:rsidRPr="0054219E" w:rsidRDefault="0038177B" w:rsidP="0038177B">
      <w:pPr>
        <w:pStyle w:val="SingleTxt"/>
      </w:pPr>
      <w:r>
        <w:tab/>
        <w:t>c)</w:t>
      </w:r>
      <w:r>
        <w:tab/>
        <w:t>широкой распространенностью небезопасных абортов и отсутствием мер по выполнению предыдущих рекомендаций Комитета о пересмотре законодательства, предусматривающего уголовную ответственность за аборты (</w:t>
      </w:r>
      <w:hyperlink r:id="rId31" w:history="1">
        <w:r w:rsidRPr="0038481A">
          <w:rPr>
            <w:rStyle w:val="Hyperlink"/>
          </w:rPr>
          <w:t>CEDAW</w:t>
        </w:r>
        <w:r w:rsidRPr="00DE762C">
          <w:rPr>
            <w:rStyle w:val="Hyperlink"/>
          </w:rPr>
          <w:t>/</w:t>
        </w:r>
        <w:r w:rsidRPr="0038481A">
          <w:rPr>
            <w:rStyle w:val="Hyperlink"/>
          </w:rPr>
          <w:t>C</w:t>
        </w:r>
        <w:r w:rsidRPr="00DE762C">
          <w:rPr>
            <w:rStyle w:val="Hyperlink"/>
          </w:rPr>
          <w:t>/</w:t>
        </w:r>
        <w:r w:rsidRPr="0038481A">
          <w:rPr>
            <w:rStyle w:val="Hyperlink"/>
          </w:rPr>
          <w:t>SUR</w:t>
        </w:r>
        <w:r w:rsidRPr="00DE762C">
          <w:rPr>
            <w:rStyle w:val="Hyperlink"/>
          </w:rPr>
          <w:t>/</w:t>
        </w:r>
        <w:r w:rsidRPr="0038481A">
          <w:rPr>
            <w:rStyle w:val="Hyperlink"/>
          </w:rPr>
          <w:t>CO</w:t>
        </w:r>
        <w:r w:rsidRPr="00DE762C">
          <w:rPr>
            <w:rStyle w:val="Hyperlink"/>
          </w:rPr>
          <w:t>/3</w:t>
        </w:r>
      </w:hyperlink>
      <w:r>
        <w:t>, пункт 30);</w:t>
      </w:r>
    </w:p>
    <w:p w14:paraId="27B103C7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отсутствием всесторонних просветительских программ по вопросам сексуального и репродуктивного здоровья и прав, равно как и услуг по планированию семьи, а также неизменно низкими показателями использования современных контрацептивов, особенно сельскими женщинами, женщинами-маронами и женщинами из числа коренных народов.</w:t>
      </w:r>
    </w:p>
    <w:p w14:paraId="4CEABEEF" w14:textId="77777777" w:rsidR="0038177B" w:rsidRPr="0054219E" w:rsidRDefault="0038177B" w:rsidP="0038177B">
      <w:pPr>
        <w:pStyle w:val="SingleTxt"/>
      </w:pPr>
      <w:r>
        <w:t>39.</w:t>
      </w:r>
      <w:r>
        <w:tab/>
      </w:r>
      <w:r>
        <w:rPr>
          <w:b/>
          <w:bCs/>
        </w:rPr>
        <w:t>Ссылаясь на свою общую рекомендацию № 24 (1999 год) о женщинах и здоровье, Комитет обращает внимание на цели 3.1 и 3.7</w:t>
      </w:r>
      <w:r>
        <w:t xml:space="preserve"> </w:t>
      </w:r>
      <w:r>
        <w:rPr>
          <w:b/>
          <w:bCs/>
        </w:rPr>
        <w:t>в области устойчивого развития и рекомендует государству-участнику:</w:t>
      </w:r>
    </w:p>
    <w:p w14:paraId="64ABC844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увеличить свои расходы на здравоохранение в целях расширения охвата и доступа к высококачественным медицинским услугам для женщин, проживающих в отдаленных районах государства-участника, и обеспечить им доступ к медицинским услугам по лечению сердечно-сосудистых заболеваний и обследованиям на выявление онкологических заболеваний;</w:t>
      </w:r>
    </w:p>
    <w:p w14:paraId="2D2EB2B2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провести исследование о воздействии небезопасных абортов на материнскую смертность и другие осложнения, связанные с беременностью и родами;</w:t>
      </w:r>
    </w:p>
    <w:p w14:paraId="738A0FE8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внести изменения в статьи 355 – 357 Уголовного кодекса, которые запрещают проведение абортов, в целях легализации аборта в случаях изнасилования, инцеста, угрозы жизни и/или здоровью матери или тяжелых аномалий плода, отменив уголовную ответственность за аборт во всех других случаях и отменив меры наказания в отношении женщин, сделавших аборты;</w:t>
      </w:r>
    </w:p>
    <w:p w14:paraId="12912ECC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предоставить женщинам доступ к качественному уходу в период после проведения аборта, особенно в случаях осложнений в результате небезопасных абортов;</w:t>
      </w:r>
    </w:p>
    <w:p w14:paraId="66BCF0CB" w14:textId="77777777" w:rsidR="0038177B" w:rsidRPr="0054219E" w:rsidRDefault="0038177B" w:rsidP="0038177B">
      <w:pPr>
        <w:pStyle w:val="SingleTxt"/>
      </w:pPr>
      <w:r>
        <w:tab/>
        <w:t>е)</w:t>
      </w:r>
      <w:r>
        <w:tab/>
      </w:r>
      <w:r>
        <w:rPr>
          <w:b/>
          <w:bCs/>
        </w:rPr>
        <w:t>предоставить доступ к безопасным и недорогостоящим противозачаточным средствам, услугам по планированию семьи и надлежащей информации о сексуальном и репродуктивном здоровье.</w:t>
      </w:r>
    </w:p>
    <w:p w14:paraId="796E8DC9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21424365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Экономическая и социальная жизнь</w:t>
      </w:r>
    </w:p>
    <w:p w14:paraId="06203869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D20C8E6" w14:textId="77777777" w:rsidR="0038177B" w:rsidRPr="0054219E" w:rsidRDefault="0038177B" w:rsidP="0038177B">
      <w:pPr>
        <w:pStyle w:val="SingleTxt"/>
      </w:pPr>
      <w:r>
        <w:t>40.</w:t>
      </w:r>
      <w:r>
        <w:tab/>
        <w:t>Комитет высоко оценивает действия государства-участника по реформированию законодательства, которые привели к созданию национальной системы социального обеспечения и обеспечили предоставление женщинам социальных льгот, в том числе семейных пособий и условных денежных переводов. Вместе с тем Комитет обеспокоен тем, что меры жесткой экономии, принятые государством-участником, включая сокращения бюджета и введение фиксированной ставки налога на добавленную стоимость в 2014 году, оказали несоразмерно большое воздействие на женщин, живущих в условиях нищеты.</w:t>
      </w:r>
    </w:p>
    <w:p w14:paraId="0DC7CE3D" w14:textId="77777777" w:rsidR="0038177B" w:rsidRPr="0054219E" w:rsidRDefault="0038177B" w:rsidP="0038177B">
      <w:pPr>
        <w:pStyle w:val="SingleTxt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провести оценку воздействия мер жесткой экономии на положение женщин, в частности групп женщин, находящихся в неблагоприятном положении, и обеспечить внутреннее перераспределение своих национальных ресурсов в целях преодоления последствий сокращения бюджета и обеспечения доступа женщин к социальным пособиям и программам микрофинансирования и микрокредитования по низким процентным ставкам.</w:t>
      </w:r>
    </w:p>
    <w:p w14:paraId="453FB3DB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7E3AD27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Снижение риска бедствий и изменение климата</w:t>
      </w:r>
    </w:p>
    <w:p w14:paraId="34768DC8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329F89D" w14:textId="77777777" w:rsidR="0038177B" w:rsidRPr="0054219E" w:rsidRDefault="0038177B" w:rsidP="0038177B">
      <w:pPr>
        <w:pStyle w:val="SingleTxt"/>
      </w:pPr>
      <w:r>
        <w:t>42.</w:t>
      </w:r>
      <w:r>
        <w:tab/>
        <w:t>Комитет высоко оценивает действия государства-участника за его приверженность делу борьбы с изменением климата посредством реализации стратегий снижения риска бедствий. Вместе с тем Комитет обеспокоен тем, что государство-участник не включило в четкой форме гендерные аспекты в эти стратегии. Комитет также выражает сожаление в связи с тем, что во втором национальном сообщении, представленном в соответствии с Рамочной конвенцией Организации Объединенных Наций об изменении климата в 2016 году, не были учтены особая уязвимость женщин перед стихийными бедствиями и потенциал женщин как проводников перемен.</w:t>
      </w:r>
    </w:p>
    <w:p w14:paraId="3C337966" w14:textId="77777777" w:rsidR="0038177B" w:rsidRPr="0054219E" w:rsidRDefault="0038177B" w:rsidP="0038177B">
      <w:pPr>
        <w:pStyle w:val="SingleTxt"/>
      </w:pPr>
      <w:r>
        <w:t>43.</w:t>
      </w:r>
      <w:r>
        <w:tab/>
      </w:r>
      <w:r>
        <w:rPr>
          <w:b/>
          <w:bCs/>
        </w:rPr>
        <w:t>Обращая внимание на свою общую рекомендацию № 37 (2018 год), касающуюся гендерных аспектов деятельности по снижению риска бедствий в условиях изменения климата, Комитет рекомендует государству-участнику обеспечить эффективное участие женщин, особенно сельских женщин, женщин-маронов и женщин из числа коренных народов, в разработке и осуществлении стратегий и планов действий по снижению риска бедствий и борьбе с изменением климата, не только потому, что они в несоразмерно большой степени страдают от воздействия изменения климата и стихийных бедствий, но и потому, что они являются проводниками перемен.</w:t>
      </w:r>
      <w:r>
        <w:t xml:space="preserve"> </w:t>
      </w:r>
      <w:r>
        <w:rPr>
          <w:b/>
          <w:bCs/>
        </w:rPr>
        <w:t>Он также рекомендует, чтобы в этих стратегиях и планах, включая третье национальное сообщение, четко учитывались гендерные аспекты и принимались во внимание особые потребности женщин.</w:t>
      </w:r>
    </w:p>
    <w:p w14:paraId="1DC51A25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2D88B9FC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Сельские женщины, женщины-мароны и женщины из числа коренных народов, проживающие в отдаленных районах</w:t>
      </w:r>
    </w:p>
    <w:p w14:paraId="7153C964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6620128" w14:textId="77777777" w:rsidR="0038177B" w:rsidRPr="0054219E" w:rsidRDefault="0038177B" w:rsidP="0038177B">
      <w:pPr>
        <w:pStyle w:val="SingleTxt"/>
      </w:pPr>
      <w:r>
        <w:t>44.</w:t>
      </w:r>
      <w:r>
        <w:tab/>
        <w:t>Комитет с удовлетворением отмечает политику Министерства регионального развития по расширению прав и возможностей женщин и их вовлечению в процесс планирования сельскохозяйственной деятельности в отдаленных районах и приветствует создание в 2016 году двух директоратов для оказания помощи общинам маронов и коренных народов. Вместе с тем он с обеспокоенностью отмечает чрезвычайно высокий уровень нищеты среди сельских женщин, женщин-маронов и женщин из числа коренных народов в государстве-участнике и их крайне ограниченный доступ к базовым услугам, в том числе к медицинским услугам, образованию, чистой воде, надлежащей санитарии, энергоснабжению и коммуникационным технологиям. Он также испытывает обеспокоенность в связи с нарушениями земельных прав женщин из числа коренных народов и народов, ведущих племенной образ жизни, несмотря на три постановления, вынесенные Межамериканским судом по правам человека в 2005, 2007 и 2015 годах, в которых было заявлено, что государство-участник нарушает права коренного населения на землю и доступ к правосудию. Комитет также выражает сожаление по поводу того, что сельские женщины, женщины-мароны и женщины из числа коренных народов исключены из процессов принятия решений, в частности в вопросах землепользования.</w:t>
      </w:r>
    </w:p>
    <w:p w14:paraId="68D330DF" w14:textId="77777777" w:rsidR="0038177B" w:rsidRPr="0054219E" w:rsidRDefault="0038177B" w:rsidP="0038177B">
      <w:pPr>
        <w:pStyle w:val="SingleTxt"/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906D6F2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разработать и осуществить политику по поддержке экономического и социального развития сельских женщин, женщин-маронов и женщин из числа коренных народов и по преодолению сохраняющегося гендерного неравенства, ограничивающего их доступ к земле, социальным услугам, экономическим возможностям, санитарно-техническим сооружениям и коммуникационным технологиям;</w:t>
      </w:r>
    </w:p>
    <w:p w14:paraId="6670C606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принять меры по обеспечению полного и равного участия сельских женщин, женщин-маронов и женщин из числа коренных народов в затрагивающих их жизнь процессах принятия решений, в том числе в отношении горнодобывающих и лесозаготовительных концессий и сельских и национальных планов развития, в соответствии с общей рекомендацией Комитета № 34 (2016 год), касающейся прав сельских женщин;</w:t>
      </w:r>
    </w:p>
    <w:p w14:paraId="0F69B24B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ратифицировать Конвенцию МОТ (№ 169) 1989 года о коренных народах и народах, ведущих племенной образ жизни.</w:t>
      </w:r>
    </w:p>
    <w:p w14:paraId="64E9A01D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71B07391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Женщины-инвалиды</w:t>
      </w:r>
    </w:p>
    <w:p w14:paraId="194E6542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6F8F57E3" w14:textId="77777777" w:rsidR="0038177B" w:rsidRPr="0054219E" w:rsidRDefault="0038177B" w:rsidP="0038177B">
      <w:pPr>
        <w:pStyle w:val="SingleTxt"/>
      </w:pPr>
      <w:r>
        <w:t>46.</w:t>
      </w:r>
      <w:r>
        <w:tab/>
        <w:t>Комитет выражает обеспокоенность по поводу отсутствия информации о положении женщин-инвалидов и девочек-инвалидов в государстве-участнике и о доступных для них услугах. Он также выражает сожаление в связи с тем, что государство-участник не приняло никаких мер для расширения доступа к образованию, занятости и медицинским услугам и обеспечению их доступности для сельских женщин, женщин-маронов и женщин из числа коренных народов и девочек, которые являются инвалидами.</w:t>
      </w:r>
    </w:p>
    <w:p w14:paraId="692B812B" w14:textId="77777777" w:rsidR="0038177B" w:rsidRPr="0054219E" w:rsidRDefault="0038177B" w:rsidP="0038177B">
      <w:pPr>
        <w:pStyle w:val="SingleTxt"/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меры для сбора и анализа информации о положении женщин-инвалидов и девочек-инвалидов, уделяя при этом особое внимание их доступу к образованию, занятости и медицинской помощи, и о качестве предоставляемых им услуг.</w:t>
      </w:r>
      <w:r>
        <w:t xml:space="preserve"> </w:t>
      </w:r>
      <w:r>
        <w:rPr>
          <w:b/>
          <w:bCs/>
        </w:rPr>
        <w:t>Он также призывает государство-участник принять меры по увеличению доступности таких услуг, в частности для сельских женщин, женщин-маронов и женщин из числа коренных народов и девочек, которые являются инвалидами.</w:t>
      </w:r>
    </w:p>
    <w:p w14:paraId="4507496E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4398CFA3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из числа беженцев и просителей убежища</w:t>
      </w:r>
    </w:p>
    <w:p w14:paraId="58626F6A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3590F1F" w14:textId="77777777" w:rsidR="0038177B" w:rsidRPr="0054219E" w:rsidRDefault="0038177B" w:rsidP="0038177B">
      <w:pPr>
        <w:pStyle w:val="SingleTxt"/>
      </w:pPr>
      <w:r>
        <w:t>48.</w:t>
      </w:r>
      <w:r>
        <w:tab/>
        <w:t>Комитет отмечает, что в 2016 и 2017 годах в государстве-участнике произошло резкое увеличение числа зарегистрированных лиц, ищущих убежища, и выражает обеспокоенность в связи с отсутствием национальной политики, регулирующей предоставление беженцам защиты или процедуры предоставления убежища в государстве-участнике, а также в связи с отсутствием долгосрочных мер по защите женщин из числа беженцев и просителей убежища, которые являются жертвами торговли людьми или гендерного насилия. Он также обеспокоен тем, что женщины из числа беженцев и просителей убежища в государстве-участнике сталкиваются с трудностями в получении доступа к образованию, здравоохранению, занятости, возможностям получения дохода и финансовым услугам.</w:t>
      </w:r>
    </w:p>
    <w:p w14:paraId="1AA5FB65" w14:textId="77777777" w:rsidR="0038177B" w:rsidRPr="0054219E" w:rsidRDefault="0038177B" w:rsidP="0038177B">
      <w:pPr>
        <w:pStyle w:val="SingleTxt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AA1114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разработать и принять политику, регулирующую защиту беженцев и процедуры предоставления убежища, которая обеспечила бы реализацию учитывающего гендерные факторы подхода и защиту экономических и социальных прав женщин и девочек из числа беженцев и просителей убежища;</w:t>
      </w:r>
    </w:p>
    <w:p w14:paraId="535E1FBB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внедрить индивидуальные процедуры проверки и оценки, учитывающие гендерные, культурные и возрастные факторы, с тем чтобы обеспечить систематическое и раннее выявление беженцев и просителей убежища, особенно женщин и девочек, которые являются или рискуют оказаться жертвами гендерного насилия.</w:t>
      </w:r>
    </w:p>
    <w:p w14:paraId="5CF41F53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C629D8E" w14:textId="3E5915E4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 xml:space="preserve">Женщины из числа лесбиянок, бисексуалов и трансгендеров, </w:t>
      </w:r>
      <w:r w:rsidR="009232F3">
        <w:rPr>
          <w:bCs/>
        </w:rPr>
        <w:br/>
      </w:r>
      <w:r>
        <w:rPr>
          <w:bCs/>
        </w:rPr>
        <w:t>а также интерсексуалы</w:t>
      </w:r>
    </w:p>
    <w:p w14:paraId="0E43015E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B983024" w14:textId="77777777" w:rsidR="0038177B" w:rsidRPr="0054219E" w:rsidRDefault="0038177B" w:rsidP="0038177B">
      <w:pPr>
        <w:pStyle w:val="SingleTxt"/>
      </w:pPr>
      <w:r>
        <w:t>50.</w:t>
      </w:r>
      <w:r>
        <w:tab/>
        <w:t>Комитет отмечает, что в Уголовный кодекс были внесены изменения, в частности с тем чтобы обеспечить защиту женщин из числа лесбиянок, бисексуалов и трансгендеров, а также интерсексуалов и запретить дискриминацию и ненавистническую риторику в их отношении. В то же время он выражает обеспокоенность в связи с тем, что женщины из числа лесбиянок, бисексуалов трансгендеров, а также интерсексуалы продолжают подвергаться дискриминации и притеснениям, в частности в том, что касается их прав на образование, занятость и здравоохранение.</w:t>
      </w:r>
    </w:p>
    <w:p w14:paraId="587BA95F" w14:textId="77777777" w:rsidR="0038177B" w:rsidRPr="0054219E" w:rsidRDefault="0038177B" w:rsidP="0038177B">
      <w:pPr>
        <w:pStyle w:val="SingleTxt"/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обеспечить равные права и возможности для женщин из числа лесбиянок, бисексуалов, трансгендеров, а также интерсексуалов и повысить осведомленность общественности в целях ликвидации дискриминации и социальной стигматизации в их отношении.</w:t>
      </w:r>
      <w:r>
        <w:t xml:space="preserve"> </w:t>
      </w:r>
      <w:r>
        <w:rPr>
          <w:b/>
          <w:bCs/>
        </w:rPr>
        <w:t>Он рекомендует далее государству-участнику применять политику абсолютной нетерпимости к дискриминации и насилию в отношении женщин из числа лесбиянок, бисексуалов и трансгендеров, а также интерсексуалов, в том числе путем уголовного преследования и надлежащего наказания виновных.</w:t>
      </w:r>
    </w:p>
    <w:p w14:paraId="1B1D889E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570EC67A" w14:textId="77777777" w:rsidR="0038177B" w:rsidRPr="0054219E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</w:p>
    <w:p w14:paraId="6CE10F2F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11106840" w14:textId="77777777" w:rsidR="0038177B" w:rsidRPr="0054219E" w:rsidRDefault="0038177B" w:rsidP="009232F3">
      <w:pPr>
        <w:pStyle w:val="SingleTxt"/>
      </w:pPr>
      <w:r>
        <w:t>52.</w:t>
      </w:r>
      <w:r>
        <w:tab/>
        <w:t>Комитет приветствует тот факт, что в статье 35 Конституции признается равенство мужа и жены перед законом и чрезвычайная ценность материнства, а также предусматривается защита детей без какой-либо дискриминации. Вместе с тем Комитет обеспокоен тем, что на практике женщины не имеют равных прав в браке. В частности, он выражает обеспокоенность в связи с:</w:t>
      </w:r>
    </w:p>
    <w:p w14:paraId="3D7C2190" w14:textId="77777777" w:rsidR="0038177B" w:rsidRPr="0054219E" w:rsidRDefault="0038177B" w:rsidP="0038177B">
      <w:pPr>
        <w:pStyle w:val="SingleTxt"/>
      </w:pPr>
      <w:r>
        <w:tab/>
        <w:t>а)</w:t>
      </w:r>
      <w:r>
        <w:tab/>
        <w:t>задержкой с 2011 года с пересмотром Гражданского кодекса, с тем чтобы исключить положения, которые определяют отца в качестве единственного родителя, имеющего опеку над детьми; предусматривают, чтобы дети брали фамилию своего отца; и определяют неправоспособность замужних женщин;</w:t>
      </w:r>
    </w:p>
    <w:p w14:paraId="5E2061A2" w14:textId="77777777" w:rsidR="0038177B" w:rsidRPr="0054219E" w:rsidRDefault="0038177B" w:rsidP="0038177B">
      <w:pPr>
        <w:pStyle w:val="SingleTxt"/>
      </w:pPr>
      <w:r>
        <w:tab/>
        <w:t>b)</w:t>
      </w:r>
      <w:r>
        <w:tab/>
        <w:t>минимальным возрастом вступления в брак, который составляет 15 лет для девочек; несоразмерно высоким числом сельских женщин, женщин-маронов и женщин из числа коренных народов в возрасте от 15 до 17 лет, которые состоят в браке; и отсутствием национальной стратегии по пресечению и предупреждению детских браков;</w:t>
      </w:r>
    </w:p>
    <w:p w14:paraId="1B4E7944" w14:textId="77777777" w:rsidR="0038177B" w:rsidRPr="0054219E" w:rsidRDefault="0038177B" w:rsidP="0038177B">
      <w:pPr>
        <w:pStyle w:val="SingleTxt"/>
      </w:pPr>
      <w:r>
        <w:tab/>
        <w:t>c)</w:t>
      </w:r>
      <w:r>
        <w:tab/>
        <w:t>отсутствием правовых основ для племенных браков;</w:t>
      </w:r>
    </w:p>
    <w:p w14:paraId="2C8EF162" w14:textId="77777777" w:rsidR="0038177B" w:rsidRPr="0054219E" w:rsidRDefault="0038177B" w:rsidP="0038177B">
      <w:pPr>
        <w:pStyle w:val="SingleTxt"/>
      </w:pPr>
      <w:r>
        <w:tab/>
        <w:t>d)</w:t>
      </w:r>
      <w:r>
        <w:tab/>
        <w:t>тем фактом, что женщины, состоящие в гражданском браке, не могут наследовать имущество умершего партнера или претендовать на получение пенсионных пособий.</w:t>
      </w:r>
    </w:p>
    <w:p w14:paraId="02CF019D" w14:textId="77777777" w:rsidR="0038177B" w:rsidRPr="0054219E" w:rsidRDefault="0038177B" w:rsidP="0038177B">
      <w:pPr>
        <w:pStyle w:val="SingleTxt"/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A7DA2AD" w14:textId="77777777" w:rsidR="0038177B" w:rsidRPr="0054219E" w:rsidRDefault="0038177B" w:rsidP="0038177B">
      <w:pPr>
        <w:pStyle w:val="SingleTxt"/>
      </w:pPr>
      <w:r>
        <w:tab/>
        <w:t>а)</w:t>
      </w:r>
      <w:r>
        <w:tab/>
      </w:r>
      <w:r>
        <w:rPr>
          <w:b/>
          <w:bCs/>
        </w:rPr>
        <w:t>принять пересмотренный Гражданский кодекс, с тем чтобы исключить из него дискриминационные положения, включая статьи 18, 24, 56 a), 217, 221, 234 и 353, повысить минимальный возраст вступления в брак до 18 лет и гарантировать правоспособность и равенство прав замужних женщин, а также равенство женщин и мужчин в отношении родительских прав и опеки над детьми;</w:t>
      </w:r>
    </w:p>
    <w:p w14:paraId="20D69AFF" w14:textId="77777777" w:rsidR="0038177B" w:rsidRPr="0054219E" w:rsidRDefault="0038177B" w:rsidP="0038177B">
      <w:pPr>
        <w:pStyle w:val="SingleTxt"/>
      </w:pPr>
      <w:r>
        <w:tab/>
        <w:t>b)</w:t>
      </w:r>
      <w:r>
        <w:tab/>
      </w:r>
      <w:r>
        <w:rPr>
          <w:b/>
          <w:bCs/>
        </w:rPr>
        <w:t>принять меры по предупреждению ранних и детских браков, в том числе посредством разработки национальной стратегии по предупреждению и ликвидации детских браков и создания механизма подачи и рассмотрения жалоб для жертв детских и/или принудительных браков;</w:t>
      </w:r>
    </w:p>
    <w:p w14:paraId="6404F270" w14:textId="77777777" w:rsidR="0038177B" w:rsidRPr="0054219E" w:rsidRDefault="0038177B" w:rsidP="0038177B">
      <w:pPr>
        <w:pStyle w:val="SingleTxt"/>
      </w:pPr>
      <w:r>
        <w:tab/>
        <w:t>c)</w:t>
      </w:r>
      <w:r>
        <w:tab/>
      </w:r>
      <w:r>
        <w:rPr>
          <w:b/>
          <w:bCs/>
        </w:rPr>
        <w:t>предусмотреть правовую защиту прав женщин в племенных браках и проводить целенаправленную работу по разъяснению их прав согласно Конвенции и соответствующих средств правовой защиты;</w:t>
      </w:r>
    </w:p>
    <w:p w14:paraId="2CD5AFAB" w14:textId="77777777" w:rsidR="0038177B" w:rsidRPr="0054219E" w:rsidRDefault="0038177B" w:rsidP="0038177B">
      <w:pPr>
        <w:pStyle w:val="SingleTxt"/>
      </w:pPr>
      <w:r>
        <w:tab/>
        <w:t>d)</w:t>
      </w:r>
      <w:r>
        <w:tab/>
      </w:r>
      <w:r>
        <w:rPr>
          <w:b/>
          <w:bCs/>
        </w:rPr>
        <w:t>рассмотреть вопрос о распространении социальной и экономической защиты на женщин, состоящих в гражданском браке.</w:t>
      </w:r>
    </w:p>
    <w:p w14:paraId="1CC10C10" w14:textId="77777777" w:rsidR="0038177B" w:rsidRPr="0054219E" w:rsidRDefault="0038177B" w:rsidP="0038177B">
      <w:pPr>
        <w:pStyle w:val="SingleTxt"/>
        <w:spacing w:after="0" w:line="120" w:lineRule="exact"/>
        <w:rPr>
          <w:sz w:val="10"/>
        </w:rPr>
      </w:pPr>
    </w:p>
    <w:p w14:paraId="34F88C98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8177B">
        <w:rPr>
          <w:bCs/>
        </w:rPr>
        <w:t>Сбор и анализ данных</w:t>
      </w:r>
    </w:p>
    <w:p w14:paraId="3E366156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4740E9F9" w14:textId="244ED406" w:rsidR="0038177B" w:rsidRPr="0038177B" w:rsidRDefault="0038177B" w:rsidP="0038177B">
      <w:pPr>
        <w:pStyle w:val="SingleTxt"/>
      </w:pPr>
      <w:r w:rsidRPr="0038177B">
        <w:t>54.</w:t>
      </w:r>
      <w:r w:rsidRPr="0038177B">
        <w:tab/>
        <w:t>Комитет приветствует усилия государства-участника по совершенствованию систем сбора данных, в том числе посредством внедрения в экспериментальном порядке разработанной Карибским сообществом модели показателей гендерного равенства, с тем чтобы проводить сбор данных об участии женщин в общественной жизни, подготовить национальный доклад о положении женщин и мужчин в государстве-участнике и создать базу данных для мониторинга. Вместе с тем Комитет подтверждает свою ранее выраженную обеспокоенность в связи с общим отсутствием публичных и регулярно получаемых данных в разбивке по полу, возрасту и месту проживания (сельские районы, отдаленные районы и городские районы) (</w:t>
      </w:r>
      <w:hyperlink r:id="rId32" w:history="1">
        <w:r w:rsidRPr="0038177B">
          <w:rPr>
            <w:rStyle w:val="Hyperlink"/>
          </w:rPr>
          <w:t>CEDAW/C/SUR/CO/3</w:t>
        </w:r>
      </w:hyperlink>
      <w:r w:rsidRPr="0038177B">
        <w:t>, пункт 13), которые необходимы для оценки воздействия и эффективности политики во всех областях, охватываемых Конвенцией, в частности в отношении охвата медицинским страхованием, социальных льгот, доступа к земле, расширения экономических прав и возможностей, профессиональной подготовки, спорта и отдыха.</w:t>
      </w:r>
    </w:p>
    <w:p w14:paraId="205CC51C" w14:textId="77777777" w:rsidR="0038177B" w:rsidRPr="0038177B" w:rsidRDefault="0038177B" w:rsidP="009232F3">
      <w:pPr>
        <w:pStyle w:val="SingleTxt"/>
        <w:keepLines/>
      </w:pPr>
      <w:r w:rsidRPr="0038177B">
        <w:t>55.</w:t>
      </w:r>
      <w:r w:rsidRPr="0038177B">
        <w:tab/>
      </w:r>
      <w:r w:rsidRPr="0038177B">
        <w:rPr>
          <w:b/>
          <w:bCs/>
        </w:rPr>
        <w:t>Комитет рекомендует государству-участнику улучшить сбор, анализ и публикацию комплексных данных в разбивке по полу, возрасту и месту проживания и уделить первоочередное внимание созданию национальной базы данных, которая использует поддающиеся количественной оценке показатели для оценки тенденций в положении женщин и прогресса в достижении реального равенства между женщинами и мужчинами во всех областях, охватываемых Конвенцией.</w:t>
      </w:r>
      <w:r w:rsidRPr="0038177B">
        <w:t xml:space="preserve"> </w:t>
      </w:r>
      <w:r w:rsidRPr="0038177B">
        <w:rPr>
          <w:b/>
          <w:bCs/>
        </w:rPr>
        <w:t>В этой связи Комитет привлекает внимание государства-участника к своей общей рекомендации № 9 (1989 год) о статистических данных, касающихся положения женщин, и призывает государство-участник продолжать сотрудничать с соответствующими учреждениями Организации Объединенных Наций в систематическом сборе достоверных данных.</w:t>
      </w:r>
    </w:p>
    <w:p w14:paraId="220279DF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540A2A6A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Факультативный протокол к Конвенции и поправка к пункту 1 статьи 20 Конвенции</w:t>
      </w:r>
    </w:p>
    <w:p w14:paraId="250A0C83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0D8EB591" w14:textId="77777777" w:rsidR="0038177B" w:rsidRPr="0038177B" w:rsidRDefault="0038177B" w:rsidP="0038177B">
      <w:pPr>
        <w:pStyle w:val="SingleTxt"/>
      </w:pPr>
      <w:r w:rsidRPr="0038177B">
        <w:t>56.</w:t>
      </w:r>
      <w:r w:rsidRPr="0038177B">
        <w:tab/>
      </w:r>
      <w:r w:rsidRPr="0038177B">
        <w:rPr>
          <w:b/>
          <w:bCs/>
        </w:rPr>
        <w:t>Комитет призывает государство-участник ратифицировать Факультативный протокол к Конвенции и как можно скорее принять поправку к пункту 1 статьи 20 Конвенции, касающуюся продолжительности заседаний Комитета.</w:t>
      </w:r>
    </w:p>
    <w:p w14:paraId="36D82317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1CC6F1AA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Пекинская декларация и Платформа действий</w:t>
      </w:r>
    </w:p>
    <w:p w14:paraId="1731C51A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6B632EB7" w14:textId="77777777" w:rsidR="0038177B" w:rsidRPr="0038177B" w:rsidRDefault="0038177B" w:rsidP="0038177B">
      <w:pPr>
        <w:pStyle w:val="SingleTxt"/>
      </w:pPr>
      <w:r w:rsidRPr="0038177B">
        <w:t>57.</w:t>
      </w:r>
      <w:r w:rsidRPr="0038177B">
        <w:tab/>
      </w:r>
      <w:r w:rsidRPr="0038177B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57040C21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51522C53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Повестка дня в области устойчивого развития на период до 2030 года</w:t>
      </w:r>
    </w:p>
    <w:p w14:paraId="587B39ED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0A6A27C5" w14:textId="77777777" w:rsidR="0038177B" w:rsidRPr="0038177B" w:rsidRDefault="0038177B" w:rsidP="0038177B">
      <w:pPr>
        <w:pStyle w:val="SingleTxt"/>
      </w:pPr>
      <w:r w:rsidRPr="0038177B">
        <w:t>58.</w:t>
      </w:r>
      <w:r w:rsidRPr="0038177B">
        <w:tab/>
      </w:r>
      <w:r w:rsidRPr="0038177B">
        <w:rPr>
          <w:b/>
          <w:bCs/>
        </w:rPr>
        <w:t>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</w:p>
    <w:p w14:paraId="25846EE9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649F98EA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Распространение</w:t>
      </w:r>
    </w:p>
    <w:p w14:paraId="59BA32A8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57363537" w14:textId="77777777" w:rsidR="0038177B" w:rsidRPr="0038177B" w:rsidRDefault="0038177B" w:rsidP="0038177B">
      <w:pPr>
        <w:pStyle w:val="SingleTxt"/>
      </w:pPr>
      <w:r w:rsidRPr="0038177B">
        <w:t>59.</w:t>
      </w:r>
      <w:r w:rsidRPr="0038177B">
        <w:tab/>
      </w:r>
      <w:r w:rsidRPr="0038177B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министерствах, Национальной ассамблее и судебных органах, с тем чтобы содействовать их осуществлению в полном объеме.</w:t>
      </w:r>
    </w:p>
    <w:p w14:paraId="55A4652F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1ECA8CA0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Техническая помощь</w:t>
      </w:r>
    </w:p>
    <w:p w14:paraId="5B8193B7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150CB929" w14:textId="77777777" w:rsidR="0038177B" w:rsidRPr="0038177B" w:rsidRDefault="0038177B" w:rsidP="0038177B">
      <w:pPr>
        <w:pStyle w:val="SingleTxt"/>
      </w:pPr>
      <w:r w:rsidRPr="0038177B">
        <w:t>60.</w:t>
      </w:r>
      <w:r w:rsidRPr="0038177B">
        <w:tab/>
      </w:r>
      <w:r w:rsidRPr="0038177B">
        <w:rPr>
          <w:b/>
          <w:bCs/>
        </w:rPr>
        <w:t>Комитет рекомендует государству-участнику увязать свои действия по осуществлению Конвенции с его усилиями в области развития и воспользоваться в этой связи региональной или международной технической помощью.</w:t>
      </w:r>
    </w:p>
    <w:p w14:paraId="24282008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326186FC" w14:textId="77777777" w:rsidR="0038177B" w:rsidRPr="0038177B" w:rsidRDefault="0038177B" w:rsidP="00923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Ратификация других договоров</w:t>
      </w:r>
    </w:p>
    <w:p w14:paraId="62842E3D" w14:textId="77777777" w:rsidR="0038177B" w:rsidRPr="0038177B" w:rsidRDefault="0038177B" w:rsidP="009232F3">
      <w:pPr>
        <w:pStyle w:val="SingleTxt"/>
        <w:keepNext/>
        <w:keepLines/>
        <w:spacing w:after="0" w:line="120" w:lineRule="exact"/>
        <w:rPr>
          <w:sz w:val="10"/>
        </w:rPr>
      </w:pPr>
    </w:p>
    <w:p w14:paraId="03EEB8F3" w14:textId="77777777" w:rsidR="0038177B" w:rsidRPr="0038177B" w:rsidRDefault="0038177B" w:rsidP="009232F3">
      <w:pPr>
        <w:pStyle w:val="SingleTxt"/>
        <w:keepNext/>
        <w:keepLines/>
      </w:pPr>
      <w:r w:rsidRPr="0038177B">
        <w:t>61.</w:t>
      </w:r>
      <w:r w:rsidRPr="0038177B">
        <w:tab/>
      </w:r>
      <w:r w:rsidRPr="0038177B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 будет способствовать осуществлению женщинами их прав человека и основных свобод во всех сферах жизни.</w:t>
      </w:r>
      <w:r w:rsidRPr="0038177B">
        <w:rPr>
          <w:rStyle w:val="FootnoteReference"/>
        </w:rPr>
        <w:footnoteReference w:id="1"/>
      </w:r>
      <w:r w:rsidRPr="0038177B">
        <w:t xml:space="preserve"> </w:t>
      </w:r>
      <w:r w:rsidRPr="0038177B">
        <w:rPr>
          <w:b/>
          <w:bCs/>
        </w:rPr>
        <w:t>В этой связи Комитет призывает государство-участник ратифицировать Конвенцию против пыток и других 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является.</w:t>
      </w:r>
    </w:p>
    <w:p w14:paraId="7839ED22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614B2DA8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Последующая деятельность в связи с заключительными замечаниями</w:t>
      </w:r>
    </w:p>
    <w:p w14:paraId="1C236D0F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161BA8ED" w14:textId="77777777" w:rsidR="0038177B" w:rsidRPr="0038177B" w:rsidRDefault="0038177B" w:rsidP="0038177B">
      <w:pPr>
        <w:pStyle w:val="SingleTxt"/>
      </w:pPr>
      <w:r w:rsidRPr="0038177B">
        <w:t>62.</w:t>
      </w:r>
      <w:r w:rsidRPr="0038177B">
        <w:tab/>
      </w:r>
      <w:r w:rsidRPr="0038177B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пунктах 11 с), 11 d), 15 a) и 15 b) выше.</w:t>
      </w:r>
    </w:p>
    <w:p w14:paraId="3E2C42B9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430876A5" w14:textId="77777777" w:rsidR="0038177B" w:rsidRPr="0038177B" w:rsidRDefault="0038177B" w:rsidP="003817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177B">
        <w:tab/>
      </w:r>
      <w:r w:rsidRPr="0038177B">
        <w:tab/>
      </w:r>
      <w:r w:rsidRPr="0038177B">
        <w:rPr>
          <w:bCs/>
        </w:rPr>
        <w:t>Подготовка следующего доклада</w:t>
      </w:r>
    </w:p>
    <w:p w14:paraId="36BC5DB3" w14:textId="77777777" w:rsidR="0038177B" w:rsidRPr="0038177B" w:rsidRDefault="0038177B" w:rsidP="0038177B">
      <w:pPr>
        <w:pStyle w:val="SingleTxt"/>
        <w:spacing w:after="0" w:line="120" w:lineRule="exact"/>
        <w:rPr>
          <w:sz w:val="10"/>
        </w:rPr>
      </w:pPr>
    </w:p>
    <w:p w14:paraId="736379FC" w14:textId="77777777" w:rsidR="0038177B" w:rsidRPr="0038177B" w:rsidRDefault="0038177B" w:rsidP="0038177B">
      <w:pPr>
        <w:pStyle w:val="SingleTxt"/>
      </w:pPr>
      <w:r w:rsidRPr="0038177B">
        <w:t>63.</w:t>
      </w:r>
      <w:r w:rsidRPr="0038177B">
        <w:tab/>
      </w:r>
      <w:r w:rsidRPr="0038177B">
        <w:rPr>
          <w:b/>
          <w:bCs/>
        </w:rPr>
        <w:t>Комитет предлагает государству-участнику представить свой седьмой периодический доклад в марте 2022 года.</w:t>
      </w:r>
      <w:r w:rsidRPr="0038177B">
        <w:t xml:space="preserve"> </w:t>
      </w:r>
      <w:r w:rsidRPr="0038177B">
        <w:rPr>
          <w:b/>
          <w:bCs/>
        </w:rPr>
        <w:t>Этот доклад должен быть представлен в срок и в случае задержки охватывать весь период вплоть до даты его представления.</w:t>
      </w:r>
    </w:p>
    <w:p w14:paraId="4A4BB035" w14:textId="7F28A7FE" w:rsidR="0038177B" w:rsidRPr="002C5348" w:rsidRDefault="0038177B" w:rsidP="0038177B">
      <w:pPr>
        <w:pStyle w:val="SingleTxt"/>
      </w:pPr>
      <w:r w:rsidRPr="0038177B">
        <w:t>64.</w:t>
      </w:r>
      <w:r w:rsidRPr="0038177B">
        <w:tab/>
      </w:r>
      <w:r w:rsidRPr="0038177B">
        <w:rPr>
          <w:b/>
          <w:bCs/>
        </w:rPr>
        <w:t xml:space="preserve">Комитет просит государство-участник придерживаться согласованных руководящих принципов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</w:t>
      </w:r>
      <w:hyperlink r:id="rId33" w:history="1">
        <w:r w:rsidRPr="0038177B">
          <w:rPr>
            <w:rStyle w:val="Hyperlink"/>
            <w:b/>
            <w:bCs/>
          </w:rPr>
          <w:t>HRI/GEN/2/Rev.6</w:t>
        </w:r>
      </w:hyperlink>
      <w:r w:rsidRPr="0038177B">
        <w:rPr>
          <w:b/>
          <w:bCs/>
        </w:rPr>
        <w:t>, глава I).</w:t>
      </w:r>
    </w:p>
    <w:p w14:paraId="3BC176B0" w14:textId="7CAAE6D4" w:rsidR="00022702" w:rsidRPr="009232F3" w:rsidRDefault="009232F3" w:rsidP="009232F3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64D99" wp14:editId="3278F82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BFA7D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022702" w:rsidRPr="009232F3" w:rsidSect="00022702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5-18T14:47:00Z" w:initials="Start">
    <w:p w14:paraId="7A82EC3B" w14:textId="77777777" w:rsidR="000C6134" w:rsidRPr="00022702" w:rsidRDefault="000C6134">
      <w:pPr>
        <w:pStyle w:val="CommentText"/>
        <w:rPr>
          <w:lang w:val="en-US"/>
        </w:rPr>
      </w:pPr>
      <w:r>
        <w:fldChar w:fldCharType="begin"/>
      </w:r>
      <w:r w:rsidRPr="00022702">
        <w:rPr>
          <w:rStyle w:val="CommentReference"/>
          <w:lang w:val="en-US"/>
        </w:rPr>
        <w:instrText xml:space="preserve"> </w:instrText>
      </w:r>
      <w:r w:rsidRPr="00022702">
        <w:rPr>
          <w:lang w:val="en-US"/>
        </w:rPr>
        <w:instrText>PAGE \# "'Page: '#'</w:instrText>
      </w:r>
      <w:r w:rsidRPr="00022702">
        <w:rPr>
          <w:lang w:val="en-US"/>
        </w:rPr>
        <w:br/>
        <w:instrText>'"</w:instrText>
      </w:r>
      <w:r w:rsidRPr="0002270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22702">
        <w:rPr>
          <w:lang w:val="en-US"/>
        </w:rPr>
        <w:t>&lt;&lt;ODS JOB NO&gt;&gt;N1807070R&lt;&lt;ODS JOB NO&gt;&gt;</w:t>
      </w:r>
    </w:p>
    <w:p w14:paraId="0BAD85ED" w14:textId="77777777" w:rsidR="000C6134" w:rsidRDefault="000C6134">
      <w:pPr>
        <w:pStyle w:val="CommentText"/>
      </w:pPr>
      <w:r>
        <w:t>&lt;&lt;ODS DOC SYMBOL1&gt;&gt;CEDAW/C/SUR/CO/4-6&lt;&lt;ODS DOC SYMBOL1&gt;&gt;</w:t>
      </w:r>
    </w:p>
    <w:p w14:paraId="1AF79D8E" w14:textId="77777777" w:rsidR="000C6134" w:rsidRDefault="000C613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AF79D8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7F9DA" w14:textId="77777777" w:rsidR="000C6134" w:rsidRDefault="000C6134" w:rsidP="001824A1">
      <w:pPr>
        <w:spacing w:line="240" w:lineRule="auto"/>
      </w:pPr>
      <w:r>
        <w:separator/>
      </w:r>
    </w:p>
  </w:endnote>
  <w:endnote w:type="continuationSeparator" w:id="0">
    <w:p w14:paraId="2CACE823" w14:textId="77777777" w:rsidR="000C6134" w:rsidRDefault="000C6134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6134" w14:paraId="56A7EC4E" w14:textId="77777777" w:rsidTr="00F876D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77EC448" w14:textId="2D5ED917" w:rsidR="000C6134" w:rsidRPr="00F876D9" w:rsidRDefault="000C6134" w:rsidP="00F876D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570A9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9570A9">
              <w:rPr>
                <w:noProof/>
              </w:rPr>
              <w:t>20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53CC03F" w14:textId="1E51C564" w:rsidR="000C6134" w:rsidRPr="000C6134" w:rsidRDefault="000C6134" w:rsidP="00F876D9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9075D">
            <w:rPr>
              <w:b w:val="0"/>
              <w:color w:val="000000"/>
              <w:sz w:val="14"/>
            </w:rPr>
            <w:t>18-03914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032147C1" w14:textId="77777777" w:rsidR="000C6134" w:rsidRPr="00F876D9" w:rsidRDefault="000C6134" w:rsidP="00F876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6134" w14:paraId="347ED77C" w14:textId="77777777" w:rsidTr="00F876D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41D8EEA" w14:textId="3A09774A" w:rsidR="000C6134" w:rsidRPr="000C6134" w:rsidRDefault="000C6134" w:rsidP="00F876D9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9075D">
            <w:rPr>
              <w:b w:val="0"/>
              <w:color w:val="000000"/>
              <w:sz w:val="14"/>
            </w:rPr>
            <w:t>18-03914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1D006DBE" w14:textId="1B8812F4" w:rsidR="000C6134" w:rsidRPr="00F876D9" w:rsidRDefault="000C6134" w:rsidP="00F876D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570A9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9570A9">
              <w:rPr>
                <w:noProof/>
              </w:rPr>
              <w:t>20</w:t>
            </w:r>
          </w:fldSimple>
        </w:p>
      </w:tc>
    </w:tr>
  </w:tbl>
  <w:p w14:paraId="011D7223" w14:textId="77777777" w:rsidR="000C6134" w:rsidRPr="00F876D9" w:rsidRDefault="000C6134" w:rsidP="00F876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C6134" w14:paraId="6C007066" w14:textId="77777777" w:rsidTr="00F876D9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C5D7093" w14:textId="5B05AEDC" w:rsidR="000C6134" w:rsidRDefault="000C6134" w:rsidP="00F876D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A73194F" wp14:editId="6C9EBA26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SUR/CO/4-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SUR/CO/4-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18-03914</w:t>
          </w:r>
          <w:r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05</w:t>
          </w:r>
          <w:r>
            <w:rPr>
              <w:color w:val="010000"/>
              <w:lang w:val="en-US"/>
            </w:rPr>
            <w:t>04</w:t>
          </w:r>
          <w:r>
            <w:rPr>
              <w:color w:val="010000"/>
            </w:rPr>
            <w:t>18    180518</w:t>
          </w:r>
        </w:p>
        <w:p w14:paraId="47B47CC9" w14:textId="77777777" w:rsidR="000C6134" w:rsidRPr="00F876D9" w:rsidRDefault="000C6134" w:rsidP="00F876D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*1803914*</w:t>
          </w:r>
        </w:p>
      </w:tc>
      <w:tc>
        <w:tcPr>
          <w:tcW w:w="4920" w:type="dxa"/>
        </w:tcPr>
        <w:p w14:paraId="72240C80" w14:textId="77777777" w:rsidR="000C6134" w:rsidRDefault="000C6134" w:rsidP="00F876D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0582477" wp14:editId="707BA8F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7E4FA74" w14:textId="77777777" w:rsidR="000C6134" w:rsidRPr="00F876D9" w:rsidRDefault="000C6134" w:rsidP="00F876D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420AE" w14:textId="32917343" w:rsidR="000C6134" w:rsidRPr="0038177B" w:rsidRDefault="000C6134" w:rsidP="0038177B">
      <w:pPr>
        <w:pStyle w:val="Footer"/>
        <w:spacing w:after="80"/>
        <w:ind w:left="792"/>
      </w:pPr>
      <w:r w:rsidRPr="0038177B">
        <w:t>__________________</w:t>
      </w:r>
    </w:p>
  </w:footnote>
  <w:footnote w:type="continuationSeparator" w:id="0">
    <w:p w14:paraId="20298308" w14:textId="625ECC79" w:rsidR="000C6134" w:rsidRPr="0038177B" w:rsidRDefault="000C6134" w:rsidP="0038177B">
      <w:pPr>
        <w:pStyle w:val="Footer"/>
        <w:spacing w:after="80"/>
        <w:ind w:left="792"/>
      </w:pPr>
      <w:r w:rsidRPr="0038177B">
        <w:t>__________________</w:t>
      </w:r>
    </w:p>
  </w:footnote>
  <w:footnote w:id="1">
    <w:p w14:paraId="2E888A20" w14:textId="2C96B79C" w:rsidR="000C6134" w:rsidRPr="0054219E" w:rsidRDefault="000C6134" w:rsidP="0038177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9232F3">
        <w:rPr>
          <w:lang w:val="en-US"/>
        </w:rPr>
        <w:t> </w:t>
      </w:r>
      <w:r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</w:t>
      </w:r>
      <w:r w:rsidR="009232F3">
        <w:t>ащения и наказания; Конвенция о</w:t>
      </w:r>
      <w:r w:rsidR="009232F3">
        <w:rPr>
          <w:lang w:val="en-US"/>
        </w:rPr>
        <w:t> </w:t>
      </w:r>
      <w:r>
        <w:t>правах ребенка; Международная конвенция о защите п</w:t>
      </w:r>
      <w:r w:rsidR="009232F3">
        <w:t>рав всех трудящихся-мигрантов и</w:t>
      </w:r>
      <w:r w:rsidR="009232F3">
        <w:rPr>
          <w:lang w:val="en-US"/>
        </w:rPr>
        <w:t> </w:t>
      </w:r>
      <w:r>
        <w:t>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6134" w14:paraId="0FFCCF0D" w14:textId="77777777" w:rsidTr="00F876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28B820D" w14:textId="2B694D21" w:rsidR="000C6134" w:rsidRPr="00F876D9" w:rsidRDefault="000C6134" w:rsidP="00F876D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9075D">
            <w:rPr>
              <w:b/>
            </w:rPr>
            <w:t>CEDAW/C/SUR/CO/4-6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D0911CD" w14:textId="77777777" w:rsidR="000C6134" w:rsidRDefault="000C6134" w:rsidP="00F876D9">
          <w:pPr>
            <w:pStyle w:val="Header"/>
          </w:pPr>
        </w:p>
      </w:tc>
    </w:tr>
  </w:tbl>
  <w:p w14:paraId="709FD6A6" w14:textId="77777777" w:rsidR="000C6134" w:rsidRPr="00F876D9" w:rsidRDefault="000C6134" w:rsidP="00F876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6134" w14:paraId="09BB8BCB" w14:textId="77777777" w:rsidTr="00F876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D63ACA3" w14:textId="77777777" w:rsidR="000C6134" w:rsidRDefault="000C6134" w:rsidP="00F876D9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3E2AAB3" w14:textId="56ED9CFF" w:rsidR="000C6134" w:rsidRPr="00F876D9" w:rsidRDefault="000C6134" w:rsidP="00F876D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9075D">
            <w:rPr>
              <w:b/>
            </w:rPr>
            <w:t>CEDAW/C/SUR/CO/4-6</w:t>
          </w:r>
          <w:r>
            <w:rPr>
              <w:b/>
            </w:rPr>
            <w:fldChar w:fldCharType="end"/>
          </w:r>
        </w:p>
      </w:tc>
    </w:tr>
  </w:tbl>
  <w:p w14:paraId="7AEE9A66" w14:textId="77777777" w:rsidR="000C6134" w:rsidRPr="00F876D9" w:rsidRDefault="000C6134" w:rsidP="00F876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C6134" w14:paraId="33B5C016" w14:textId="77777777" w:rsidTr="00F876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6FE47C4" w14:textId="77777777" w:rsidR="000C6134" w:rsidRPr="00F876D9" w:rsidRDefault="000C6134" w:rsidP="00F876D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4140039" w14:textId="77777777" w:rsidR="000C6134" w:rsidRDefault="000C6134" w:rsidP="00F876D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E595244" w14:textId="77777777" w:rsidR="000C6134" w:rsidRPr="00F876D9" w:rsidRDefault="000C6134" w:rsidP="00F876D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/C/SUR/CO/4-6</w:t>
          </w:r>
        </w:p>
      </w:tc>
    </w:tr>
    <w:tr w:rsidR="000C6134" w:rsidRPr="00022702" w14:paraId="23ED96C3" w14:textId="77777777" w:rsidTr="00F876D9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96ED79" w14:textId="77777777" w:rsidR="000C6134" w:rsidRPr="00F876D9" w:rsidRDefault="000C6134" w:rsidP="00F876D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DD75CDA" wp14:editId="1A11DDB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F2120DC" w14:textId="77777777" w:rsidR="000C6134" w:rsidRPr="00F876D9" w:rsidRDefault="000C6134" w:rsidP="00F876D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4F672F6" w14:textId="77777777" w:rsidR="000C6134" w:rsidRPr="00F876D9" w:rsidRDefault="000C6134" w:rsidP="00F876D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DA51571" w14:textId="77777777" w:rsidR="000C6134" w:rsidRPr="00022702" w:rsidRDefault="000C6134" w:rsidP="00F876D9">
          <w:pPr>
            <w:pStyle w:val="Distribution"/>
            <w:rPr>
              <w:color w:val="000000"/>
              <w:lang w:val="en-US"/>
            </w:rPr>
          </w:pPr>
          <w:r w:rsidRPr="00022702">
            <w:rPr>
              <w:color w:val="000000"/>
              <w:lang w:val="en-US"/>
            </w:rPr>
            <w:t>Distr.: General</w:t>
          </w:r>
        </w:p>
        <w:p w14:paraId="5134743B" w14:textId="77777777" w:rsidR="000C6134" w:rsidRPr="00022702" w:rsidRDefault="000C6134" w:rsidP="00F876D9">
          <w:pPr>
            <w:pStyle w:val="Publication"/>
            <w:rPr>
              <w:color w:val="000000"/>
              <w:lang w:val="en-US"/>
            </w:rPr>
          </w:pPr>
          <w:r w:rsidRPr="00022702">
            <w:rPr>
              <w:color w:val="000000"/>
              <w:lang w:val="en-US"/>
            </w:rPr>
            <w:t>14 March 2018</w:t>
          </w:r>
        </w:p>
        <w:p w14:paraId="645BCFA7" w14:textId="77777777" w:rsidR="000C6134" w:rsidRPr="00022702" w:rsidRDefault="000C6134" w:rsidP="00F876D9">
          <w:pPr>
            <w:rPr>
              <w:color w:val="000000"/>
              <w:lang w:val="en-US"/>
            </w:rPr>
          </w:pPr>
          <w:r w:rsidRPr="00022702">
            <w:rPr>
              <w:color w:val="000000"/>
              <w:lang w:val="en-US"/>
            </w:rPr>
            <w:t>Russian</w:t>
          </w:r>
        </w:p>
        <w:p w14:paraId="313A19CD" w14:textId="77777777" w:rsidR="000C6134" w:rsidRPr="00022702" w:rsidRDefault="000C6134" w:rsidP="00F876D9">
          <w:pPr>
            <w:pStyle w:val="Original"/>
            <w:rPr>
              <w:color w:val="000000"/>
              <w:lang w:val="en-US"/>
            </w:rPr>
          </w:pPr>
          <w:r w:rsidRPr="00022702">
            <w:rPr>
              <w:color w:val="000000"/>
              <w:lang w:val="en-US"/>
            </w:rPr>
            <w:t>Original: English</w:t>
          </w:r>
        </w:p>
        <w:p w14:paraId="1CFCA90A" w14:textId="77777777" w:rsidR="000C6134" w:rsidRPr="00022702" w:rsidRDefault="000C6134" w:rsidP="00F876D9">
          <w:pPr>
            <w:rPr>
              <w:lang w:val="en-US"/>
            </w:rPr>
          </w:pPr>
        </w:p>
      </w:tc>
    </w:tr>
  </w:tbl>
  <w:p w14:paraId="6CBD7E2B" w14:textId="77777777" w:rsidR="000C6134" w:rsidRPr="00022702" w:rsidRDefault="000C6134" w:rsidP="00F876D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5628CFD8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B346319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54E89BF6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32203E3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3914*"/>
    <w:docVar w:name="CreationDt" w:val="18/05/2018 2:47: PM"/>
    <w:docVar w:name="DocCategory" w:val="Doc"/>
    <w:docVar w:name="DocType" w:val="Final"/>
    <w:docVar w:name="DutyStation" w:val="New York"/>
    <w:docVar w:name="FooterJN" w:val="18-03914"/>
    <w:docVar w:name="jobn" w:val="18-03914 (R)"/>
    <w:docVar w:name="jobnDT" w:val="18-03914 (R)   180518"/>
    <w:docVar w:name="jobnDTDT" w:val="18-03914 (R)   180518   180518"/>
    <w:docVar w:name="JobNo" w:val="1803914R"/>
    <w:docVar w:name="JobNo2" w:val="1807070R"/>
    <w:docVar w:name="LocalDrive" w:val="0"/>
    <w:docVar w:name="OandT" w:val=" "/>
    <w:docVar w:name="sss1" w:val="CEDAW/C/SUR/CO/4-6"/>
    <w:docVar w:name="sss2" w:val="-"/>
    <w:docVar w:name="Symbol1" w:val="CEDAW/C/SUR/CO/4-6"/>
    <w:docVar w:name="Symbol2" w:val="-"/>
  </w:docVars>
  <w:rsids>
    <w:rsidRoot w:val="00992D52"/>
    <w:rsid w:val="00022702"/>
    <w:rsid w:val="00057473"/>
    <w:rsid w:val="000A1A1B"/>
    <w:rsid w:val="000C6134"/>
    <w:rsid w:val="001639F9"/>
    <w:rsid w:val="001824A1"/>
    <w:rsid w:val="001A17D9"/>
    <w:rsid w:val="001B0786"/>
    <w:rsid w:val="001F427A"/>
    <w:rsid w:val="00210AF4"/>
    <w:rsid w:val="00215A7D"/>
    <w:rsid w:val="00231812"/>
    <w:rsid w:val="0023755B"/>
    <w:rsid w:val="002931DA"/>
    <w:rsid w:val="002D2A1B"/>
    <w:rsid w:val="003218EF"/>
    <w:rsid w:val="003704F4"/>
    <w:rsid w:val="003807EF"/>
    <w:rsid w:val="0038177B"/>
    <w:rsid w:val="0038495D"/>
    <w:rsid w:val="003E5E5F"/>
    <w:rsid w:val="003F68D9"/>
    <w:rsid w:val="003F7347"/>
    <w:rsid w:val="004275D7"/>
    <w:rsid w:val="004279A5"/>
    <w:rsid w:val="00431502"/>
    <w:rsid w:val="004731F9"/>
    <w:rsid w:val="00482559"/>
    <w:rsid w:val="004C7827"/>
    <w:rsid w:val="004F0F55"/>
    <w:rsid w:val="00542D6F"/>
    <w:rsid w:val="005644C2"/>
    <w:rsid w:val="00571999"/>
    <w:rsid w:val="00576A4E"/>
    <w:rsid w:val="0059075D"/>
    <w:rsid w:val="005A2266"/>
    <w:rsid w:val="005B58D8"/>
    <w:rsid w:val="00600448"/>
    <w:rsid w:val="00627397"/>
    <w:rsid w:val="00643F79"/>
    <w:rsid w:val="00660B3D"/>
    <w:rsid w:val="006B0972"/>
    <w:rsid w:val="006D4969"/>
    <w:rsid w:val="006E5CA5"/>
    <w:rsid w:val="00705A84"/>
    <w:rsid w:val="0075343F"/>
    <w:rsid w:val="007D2E54"/>
    <w:rsid w:val="00840363"/>
    <w:rsid w:val="00843551"/>
    <w:rsid w:val="008B4BE8"/>
    <w:rsid w:val="008C2BA8"/>
    <w:rsid w:val="008E0493"/>
    <w:rsid w:val="008E3D70"/>
    <w:rsid w:val="009232F3"/>
    <w:rsid w:val="009570A9"/>
    <w:rsid w:val="0096420F"/>
    <w:rsid w:val="00992D52"/>
    <w:rsid w:val="009D1288"/>
    <w:rsid w:val="009F077A"/>
    <w:rsid w:val="009F4DF2"/>
    <w:rsid w:val="009F7673"/>
    <w:rsid w:val="00A3408E"/>
    <w:rsid w:val="00A57ABA"/>
    <w:rsid w:val="00A72FF5"/>
    <w:rsid w:val="00AB3D29"/>
    <w:rsid w:val="00B535EE"/>
    <w:rsid w:val="00B6727E"/>
    <w:rsid w:val="00B745E4"/>
    <w:rsid w:val="00B77403"/>
    <w:rsid w:val="00C41769"/>
    <w:rsid w:val="00C45C26"/>
    <w:rsid w:val="00C6120C"/>
    <w:rsid w:val="00C77647"/>
    <w:rsid w:val="00CA4BB0"/>
    <w:rsid w:val="00D33629"/>
    <w:rsid w:val="00D760D3"/>
    <w:rsid w:val="00D76282"/>
    <w:rsid w:val="00D82BC5"/>
    <w:rsid w:val="00D96A54"/>
    <w:rsid w:val="00D96F14"/>
    <w:rsid w:val="00DF1C3C"/>
    <w:rsid w:val="00E25037"/>
    <w:rsid w:val="00E720E8"/>
    <w:rsid w:val="00E8049B"/>
    <w:rsid w:val="00EA21C1"/>
    <w:rsid w:val="00EA72E1"/>
    <w:rsid w:val="00EB0BBE"/>
    <w:rsid w:val="00EC2A36"/>
    <w:rsid w:val="00F2422B"/>
    <w:rsid w:val="00F63321"/>
    <w:rsid w:val="00F81CC1"/>
    <w:rsid w:val="00F876D9"/>
    <w:rsid w:val="00FB731E"/>
    <w:rsid w:val="00FE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F0837"/>
  <w15:chartTrackingRefBased/>
  <w15:docId w15:val="{55DC14D0-A0DF-41DC-BB12-29076D43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231812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231812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231812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31812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231812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231812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231812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231812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231812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231812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231812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231812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231812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231812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23181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31812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23181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231812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231812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231812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231812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231812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23181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31812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3181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231812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231812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23181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231812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23181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231812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231812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31812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31812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231812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231812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231812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231812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231812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231812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231812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31812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231812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231812"/>
    <w:rPr>
      <w:szCs w:val="20"/>
    </w:rPr>
  </w:style>
  <w:style w:type="paragraph" w:customStyle="1" w:styleId="Publication">
    <w:name w:val="Publication"/>
    <w:basedOn w:val="Normal"/>
    <w:next w:val="Normal"/>
    <w:qFormat/>
    <w:rsid w:val="00231812"/>
  </w:style>
  <w:style w:type="paragraph" w:customStyle="1" w:styleId="ReleaseDate">
    <w:name w:val="ReleaseDate"/>
    <w:basedOn w:val="Normal"/>
    <w:next w:val="Normal"/>
    <w:qFormat/>
    <w:rsid w:val="00231812"/>
    <w:rPr>
      <w:szCs w:val="20"/>
    </w:rPr>
  </w:style>
  <w:style w:type="paragraph" w:customStyle="1" w:styleId="Small">
    <w:name w:val="Small"/>
    <w:basedOn w:val="Normal"/>
    <w:next w:val="Normal"/>
    <w:qFormat/>
    <w:rsid w:val="00231812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31812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23181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23181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231812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876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76D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76D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76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76D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rsid w:val="0038177B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D1288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CEDAW/C/SUR/Q/4-6/Add.1" TargetMode="External"/><Relationship Id="rId26" Type="http://schemas.openxmlformats.org/officeDocument/2006/relationships/hyperlink" Target="https://undocs.org/CEDAW/C/SUR/CO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CEDAW/C/SUR/CO/3" TargetMode="External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CEDAW/C/SUR/Q/4" TargetMode="External"/><Relationship Id="rId25" Type="http://schemas.openxmlformats.org/officeDocument/2006/relationships/hyperlink" Target="https://undocs.org/CEDAW/C/SUR/CO/3" TargetMode="External"/><Relationship Id="rId33" Type="http://schemas.openxmlformats.org/officeDocument/2006/relationships/hyperlink" Target="https://undocs.org/HRI/GEN/2/Rev.6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CEDAW/C/SR.1584" TargetMode="External"/><Relationship Id="rId20" Type="http://schemas.openxmlformats.org/officeDocument/2006/relationships/hyperlink" Target="https://undocs.org/CEDAW/C/SUR/CO/3" TargetMode="External"/><Relationship Id="rId29" Type="http://schemas.openxmlformats.org/officeDocument/2006/relationships/hyperlink" Target="https://undocs.org/CEDAW/CO/SUR/CO/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A/57/38" TargetMode="External"/><Relationship Id="rId32" Type="http://schemas.openxmlformats.org/officeDocument/2006/relationships/hyperlink" Target="https://undocs.org/CEDAW/C/SUR/CO/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CEDAW/C/SUR/4" TargetMode="External"/><Relationship Id="rId23" Type="http://schemas.openxmlformats.org/officeDocument/2006/relationships/hyperlink" Target="https://undocs.org/CEDAW/C/SUR/CO/3" TargetMode="External"/><Relationship Id="rId28" Type="http://schemas.openxmlformats.org/officeDocument/2006/relationships/hyperlink" Target="https://undocs.org/CEDAW/C/SUR/4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CEDAW/C/SUR/3" TargetMode="External"/><Relationship Id="rId31" Type="http://schemas.openxmlformats.org/officeDocument/2006/relationships/hyperlink" Target="https://undocs.org/CEDAW/C/SUR/CO/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A/RES/48/134" TargetMode="External"/><Relationship Id="rId27" Type="http://schemas.openxmlformats.org/officeDocument/2006/relationships/hyperlink" Target="https://undocs.org/CEDAW/C/SUR/CO/3" TargetMode="External"/><Relationship Id="rId30" Type="http://schemas.openxmlformats.org/officeDocument/2006/relationships/hyperlink" Target="https://undocs.org/CEDAW/C/SUR/CO/3" TargetMode="External"/><Relationship Id="rId35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7069</Words>
  <Characters>48920</Characters>
  <Application>Microsoft Office Word</Application>
  <DocSecurity>0</DocSecurity>
  <Lines>998</Lines>
  <Paragraphs>241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Kananykina</dc:creator>
  <cp:keywords/>
  <dc:description/>
  <cp:lastModifiedBy>Natalia Kananykina</cp:lastModifiedBy>
  <cp:revision>4</cp:revision>
  <cp:lastPrinted>2018-05-18T19:05:00Z</cp:lastPrinted>
  <dcterms:created xsi:type="dcterms:W3CDTF">2018-05-18T19:08:00Z</dcterms:created>
  <dcterms:modified xsi:type="dcterms:W3CDTF">2018-05-18T19:10:00Z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1803914R</vt:lpwstr>
  </property>
  <property fmtid="{D5CDD505-2E9C-101B-9397-08002B2CF9AE}" pid="3" name="ODSRefJobNo">
    <vt:lpwstr>1807070R</vt:lpwstr>
  </property>
  <property fmtid="{D5CDD505-2E9C-101B-9397-08002B2CF9AE}" pid="4" name="Symbol1">
    <vt:lpwstr>CEDAW/C/SUR/CO/4-6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Comment">
    <vt:lpwstr/>
  </property>
  <property fmtid="{D5CDD505-2E9C-101B-9397-08002B2CF9AE}" pid="10" name="DraftPages">
    <vt:lpwstr>20</vt:lpwstr>
  </property>
  <property fmtid="{D5CDD505-2E9C-101B-9397-08002B2CF9AE}" pid="11" name="Operator">
    <vt:lpwstr>Kananykina</vt:lpwstr>
  </property>
  <property fmtid="{D5CDD505-2E9C-101B-9397-08002B2CF9AE}" pid="12" name="Distribution">
    <vt:lpwstr>General</vt:lpwstr>
  </property>
  <property fmtid="{D5CDD505-2E9C-101B-9397-08002B2CF9AE}" pid="13" name="Publication Date">
    <vt:lpwstr>14 March 2018</vt:lpwstr>
  </property>
  <property fmtid="{D5CDD505-2E9C-101B-9397-08002B2CF9AE}" pid="14" name="Original">
    <vt:lpwstr>English</vt:lpwstr>
  </property>
  <property fmtid="{D5CDD505-2E9C-101B-9397-08002B2CF9AE}" pid="15" name="Release Date">
    <vt:lpwstr>180518</vt:lpwstr>
  </property>
  <property fmtid="{D5CDD505-2E9C-101B-9397-08002B2CF9AE}" pid="16" name="Title1">
    <vt:lpwstr>		Заключительные замечания по объединенным четвертому-шестому периодическим докладам Суринама*_x000d_</vt:lpwstr>
  </property>
</Properties>
</file>