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553"/>
        <w:gridCol w:w="283"/>
        <w:gridCol w:w="851"/>
        <w:gridCol w:w="992"/>
        <w:gridCol w:w="2410"/>
      </w:tblGrid>
      <w:tr w:rsidR="00B44C11">
        <w:tblPrEx>
          <w:tblCellMar>
            <w:top w:w="0" w:type="dxa"/>
            <w:left w:w="0" w:type="dxa"/>
            <w:bottom w:w="0" w:type="dxa"/>
            <w:right w:w="0" w:type="dxa"/>
          </w:tblCellMar>
        </w:tblPrEx>
        <w:trPr>
          <w:cantSplit/>
          <w:trHeight w:hRule="exact" w:val="864"/>
        </w:trPr>
        <w:tc>
          <w:tcPr>
            <w:tcW w:w="4820" w:type="dxa"/>
            <w:gridSpan w:val="2"/>
            <w:tcBorders>
              <w:top w:val="nil"/>
              <w:left w:val="nil"/>
              <w:bottom w:val="nil"/>
              <w:right w:val="nil"/>
            </w:tcBorders>
            <w:vAlign w:val="bottom"/>
          </w:tcPr>
          <w:p w:rsidR="00B44C11" w:rsidRDefault="00B44C11">
            <w:pPr>
              <w:pStyle w:val="HCh"/>
              <w:spacing w:after="80"/>
              <w:rPr>
                <w:spacing w:val="0"/>
              </w:rPr>
            </w:pPr>
            <w:bookmarkStart w:id="0" w:name="insstart"/>
            <w:bookmarkEnd w:id="0"/>
            <w:r>
              <w:rPr>
                <w:spacing w:val="0"/>
              </w:rPr>
              <w:t>Организация Объединенных Наций</w:t>
            </w:r>
          </w:p>
        </w:tc>
        <w:tc>
          <w:tcPr>
            <w:tcW w:w="283" w:type="dxa"/>
            <w:tcBorders>
              <w:top w:val="nil"/>
              <w:left w:val="nil"/>
              <w:bottom w:val="nil"/>
              <w:right w:val="nil"/>
            </w:tcBorders>
            <w:vAlign w:val="bottom"/>
          </w:tcPr>
          <w:p w:rsidR="00B44C11" w:rsidRDefault="00B44C11">
            <w:pPr>
              <w:pStyle w:val="Header"/>
              <w:spacing w:after="120"/>
            </w:pPr>
          </w:p>
        </w:tc>
        <w:tc>
          <w:tcPr>
            <w:tcW w:w="4253" w:type="dxa"/>
            <w:gridSpan w:val="3"/>
            <w:tcBorders>
              <w:top w:val="nil"/>
              <w:left w:val="nil"/>
              <w:bottom w:val="nil"/>
              <w:right w:val="nil"/>
            </w:tcBorders>
            <w:vAlign w:val="bottom"/>
          </w:tcPr>
          <w:p w:rsidR="00B44C11" w:rsidRDefault="00B44C11">
            <w:pPr>
              <w:pStyle w:val="Header"/>
              <w:spacing w:after="20"/>
              <w:jc w:val="right"/>
              <w:rPr>
                <w:sz w:val="20"/>
              </w:rPr>
            </w:pPr>
            <w:r>
              <w:rPr>
                <w:b/>
                <w:sz w:val="40"/>
              </w:rPr>
              <w:t>CEDAW</w:t>
            </w:r>
            <w:r>
              <w:rPr>
                <w:sz w:val="20"/>
              </w:rPr>
              <w:t>/C/NZL/6</w:t>
            </w:r>
          </w:p>
        </w:tc>
      </w:tr>
      <w:tr w:rsidR="00B44C11">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B44C11" w:rsidRDefault="00B44C11">
            <w:pPr>
              <w:pStyle w:val="Header"/>
              <w:spacing w:before="240"/>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7" o:title="_unlogo"/>
                </v:shape>
              </w:pict>
            </w:r>
          </w:p>
          <w:p w:rsidR="00B44C11" w:rsidRDefault="00B44C11">
            <w:pPr>
              <w:pStyle w:val="Header"/>
              <w:spacing w:before="240"/>
            </w:pPr>
          </w:p>
        </w:tc>
        <w:tc>
          <w:tcPr>
            <w:tcW w:w="4687" w:type="dxa"/>
            <w:gridSpan w:val="3"/>
            <w:tcBorders>
              <w:left w:val="nil"/>
              <w:bottom w:val="single" w:sz="12" w:space="0" w:color="auto"/>
              <w:right w:val="nil"/>
            </w:tcBorders>
          </w:tcPr>
          <w:p w:rsidR="00B44C11" w:rsidRDefault="00B44C11">
            <w:pPr>
              <w:pStyle w:val="XLarge"/>
              <w:spacing w:before="240" w:line="240" w:lineRule="auto"/>
              <w:jc w:val="left"/>
              <w:rPr>
                <w:spacing w:val="0"/>
                <w:w w:val="100"/>
                <w:sz w:val="32"/>
              </w:rPr>
            </w:pPr>
            <w:bookmarkStart w:id="1" w:name="_Toc145841540"/>
            <w:bookmarkStart w:id="2" w:name="_Toc145842151"/>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bookmarkEnd w:id="1"/>
            <w:bookmarkEnd w:id="2"/>
          </w:p>
        </w:tc>
        <w:tc>
          <w:tcPr>
            <w:tcW w:w="992" w:type="dxa"/>
            <w:tcBorders>
              <w:left w:val="nil"/>
              <w:bottom w:val="single" w:sz="12" w:space="0" w:color="auto"/>
              <w:right w:val="nil"/>
            </w:tcBorders>
          </w:tcPr>
          <w:p w:rsidR="00B44C11" w:rsidRDefault="00B44C11">
            <w:pPr>
              <w:pStyle w:val="Header"/>
              <w:spacing w:before="109"/>
            </w:pPr>
          </w:p>
        </w:tc>
        <w:tc>
          <w:tcPr>
            <w:tcW w:w="2410" w:type="dxa"/>
            <w:tcBorders>
              <w:left w:val="nil"/>
              <w:bottom w:val="single" w:sz="12" w:space="0" w:color="auto"/>
              <w:right w:val="nil"/>
            </w:tcBorders>
          </w:tcPr>
          <w:p w:rsidR="00B44C11" w:rsidRDefault="00B44C11">
            <w:pPr>
              <w:spacing w:before="240" w:after="0"/>
              <w:ind w:left="57"/>
              <w:rPr>
                <w:lang w:val="en-US"/>
              </w:rPr>
            </w:pPr>
            <w:r>
              <w:rPr>
                <w:lang w:val="en-US"/>
              </w:rPr>
              <w:t>Distr.: General</w:t>
            </w:r>
          </w:p>
          <w:p w:rsidR="00B44C11" w:rsidRDefault="00B44C11">
            <w:pPr>
              <w:spacing w:after="0"/>
              <w:ind w:left="57"/>
              <w:rPr>
                <w:lang w:val="en-US"/>
              </w:rPr>
            </w:pPr>
            <w:r>
              <w:t>8 May</w:t>
            </w:r>
            <w:r>
              <w:rPr>
                <w:sz w:val="20"/>
              </w:rPr>
              <w:t xml:space="preserve"> </w:t>
            </w:r>
            <w:r>
              <w:rPr>
                <w:lang w:val="en-US"/>
              </w:rPr>
              <w:t>2006</w:t>
            </w:r>
          </w:p>
          <w:p w:rsidR="00B44C11" w:rsidRDefault="00B44C11">
            <w:pPr>
              <w:spacing w:after="0"/>
              <w:ind w:left="57"/>
              <w:rPr>
                <w:lang w:val="en-US"/>
              </w:rPr>
            </w:pPr>
          </w:p>
          <w:p w:rsidR="00B44C11" w:rsidRDefault="00B44C11">
            <w:pPr>
              <w:spacing w:after="0"/>
              <w:ind w:left="57"/>
              <w:rPr>
                <w:lang w:val="en-US"/>
              </w:rPr>
            </w:pPr>
            <w:r>
              <w:rPr>
                <w:lang w:val="en-US"/>
              </w:rPr>
              <w:t>Russian</w:t>
            </w:r>
          </w:p>
          <w:p w:rsidR="00B44C11" w:rsidRDefault="00B44C11">
            <w:pPr>
              <w:pStyle w:val="H56"/>
              <w:keepNext w:val="0"/>
              <w:keepLines w:val="0"/>
              <w:tabs>
                <w:tab w:val="clear" w:pos="360"/>
              </w:tabs>
              <w:suppressAutoHyphens w:val="0"/>
              <w:spacing w:after="0" w:line="240" w:lineRule="auto"/>
              <w:ind w:left="57"/>
              <w:outlineLvl w:val="9"/>
              <w:rPr>
                <w:spacing w:val="0"/>
                <w:w w:val="100"/>
                <w:lang/>
              </w:rPr>
            </w:pPr>
            <w:r>
              <w:rPr>
                <w:spacing w:val="0"/>
                <w:w w:val="100"/>
                <w:lang w:val="en-US"/>
              </w:rPr>
              <w:t>Original</w:t>
            </w:r>
            <w:r>
              <w:rPr>
                <w:spacing w:val="0"/>
                <w:w w:val="100"/>
                <w:lang/>
              </w:rPr>
              <w:t xml:space="preserve">: </w:t>
            </w:r>
            <w:r>
              <w:t>English</w:t>
            </w:r>
          </w:p>
        </w:tc>
      </w:tr>
    </w:tbl>
    <w:p w:rsidR="00B44C11" w:rsidRDefault="00B44C11">
      <w:pPr>
        <w:pStyle w:val="H1"/>
        <w:tabs>
          <w:tab w:val="left" w:pos="680"/>
        </w:tabs>
        <w:spacing w:after="0" w:line="100" w:lineRule="exact"/>
        <w:jc w:val="left"/>
        <w:rPr>
          <w:lang/>
        </w:rPr>
      </w:pPr>
    </w:p>
    <w:p w:rsidR="00B44C11" w:rsidRDefault="00B44C11">
      <w:pPr>
        <w:pStyle w:val="H1"/>
        <w:tabs>
          <w:tab w:val="left" w:pos="680"/>
        </w:tabs>
        <w:spacing w:after="840"/>
        <w:jc w:val="left"/>
      </w:pPr>
      <w:bookmarkStart w:id="3" w:name="_Toc145841541"/>
      <w:bookmarkStart w:id="4" w:name="_Toc145842152"/>
      <w:r>
        <w:t>Комитет по ликвидации дискриминации</w:t>
      </w:r>
      <w:r>
        <w:rPr>
          <w:rStyle w:val="CommentReference"/>
          <w:vanish/>
        </w:rPr>
        <w:commentReference w:id="5"/>
      </w:r>
      <w:r>
        <w:rPr>
          <w:lang/>
        </w:rPr>
        <w:br/>
        <w:t xml:space="preserve">  </w:t>
      </w:r>
      <w:r>
        <w:t>в отношении женщин</w:t>
      </w:r>
      <w:bookmarkEnd w:id="3"/>
      <w:bookmarkEnd w:id="4"/>
    </w:p>
    <w:p w:rsidR="00B44C11" w:rsidRDefault="00B44C11">
      <w:pPr>
        <w:pStyle w:val="HCh"/>
        <w:tabs>
          <w:tab w:val="left" w:pos="680"/>
        </w:tabs>
        <w:spacing w:after="480"/>
        <w:jc w:val="center"/>
        <w:rPr>
          <w:spacing w:val="0"/>
        </w:rPr>
      </w:pPr>
      <w:r>
        <w:rPr>
          <w:spacing w:val="0"/>
        </w:rPr>
        <w:t xml:space="preserve">Рассмотрение докладов, представленных государствами-участниками </w:t>
      </w:r>
      <w:r>
        <w:rPr>
          <w:spacing w:val="0"/>
          <w:lang/>
        </w:rPr>
        <w:br/>
      </w:r>
      <w:r>
        <w:rPr>
          <w:spacing w:val="0"/>
        </w:rPr>
        <w:t>в соответствии со статьей</w:t>
      </w:r>
      <w:r>
        <w:rPr>
          <w:spacing w:val="0"/>
          <w:lang/>
        </w:rPr>
        <w:t xml:space="preserve"> </w:t>
      </w:r>
      <w:r>
        <w:rPr>
          <w:spacing w:val="0"/>
        </w:rPr>
        <w:t xml:space="preserve">18 Конвенции о ликвидации </w:t>
      </w:r>
      <w:r>
        <w:rPr>
          <w:spacing w:val="0"/>
          <w:lang/>
        </w:rPr>
        <w:br/>
      </w:r>
      <w:r>
        <w:rPr>
          <w:spacing w:val="0"/>
        </w:rPr>
        <w:t>всех форм дискриминации в отношении женщин</w:t>
      </w:r>
    </w:p>
    <w:p w:rsidR="00B44C11" w:rsidRDefault="00B44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B44C11" w:rsidRDefault="00B44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B44C11" w:rsidRDefault="00B44C11">
      <w:pPr>
        <w:pStyle w:val="H1"/>
        <w:tabs>
          <w:tab w:val="left" w:pos="680"/>
        </w:tabs>
        <w:spacing w:after="600"/>
        <w:jc w:val="center"/>
        <w:rPr>
          <w:b w:val="0"/>
        </w:rPr>
      </w:pPr>
      <w:bookmarkStart w:id="6" w:name="_Toc145841542"/>
      <w:bookmarkStart w:id="7" w:name="_Toc145842153"/>
      <w:r>
        <w:t>Шестой периодический доклад государств-участников</w:t>
      </w:r>
      <w:bookmarkEnd w:id="6"/>
      <w:bookmarkEnd w:id="7"/>
    </w:p>
    <w:p w:rsidR="00B44C11" w:rsidRDefault="00B44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B44C11" w:rsidRDefault="00B44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jc w:val="right"/>
        <w:rPr>
          <w:spacing w:val="0"/>
          <w:w w:val="100"/>
          <w:sz w:val="10"/>
        </w:rPr>
      </w:pPr>
    </w:p>
    <w:p w:rsidR="00B44C11" w:rsidRDefault="00B44C11">
      <w:pPr>
        <w:pStyle w:val="H1"/>
        <w:tabs>
          <w:tab w:val="left" w:pos="680"/>
        </w:tabs>
        <w:jc w:val="center"/>
        <w:rPr>
          <w:sz w:val="28"/>
          <w:lang/>
        </w:rPr>
      </w:pPr>
      <w:bookmarkStart w:id="8" w:name="_Toc145841543"/>
      <w:bookmarkStart w:id="9" w:name="_Toc145842154"/>
      <w:r>
        <w:rPr>
          <w:sz w:val="28"/>
        </w:rPr>
        <w:t>Новая Зеландия</w:t>
      </w:r>
      <w:r>
        <w:rPr>
          <w:rStyle w:val="FootnoteReference"/>
          <w:position w:val="4"/>
          <w:vertAlign w:val="baseline"/>
          <w:lang/>
        </w:rPr>
        <w:footnoteReference w:customMarkFollows="1" w:id="1"/>
        <w:t>*</w:t>
      </w:r>
      <w:bookmarkEnd w:id="8"/>
      <w:bookmarkEnd w:id="9"/>
    </w:p>
    <w:p w:rsidR="00B44C11" w:rsidRDefault="00B44C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60" w:lineRule="exact"/>
        <w:ind w:left="1264" w:right="1264"/>
        <w:rPr>
          <w:spacing w:val="0"/>
          <w:w w:val="100"/>
        </w:rPr>
      </w:pPr>
    </w:p>
    <w:p w:rsidR="00B44C11" w:rsidRDefault="00B44C11">
      <w:pPr>
        <w:pStyle w:val="H1"/>
        <w:tabs>
          <w:tab w:val="left" w:pos="680"/>
        </w:tabs>
        <w:ind w:left="1267" w:right="1260" w:hanging="1267"/>
        <w:sectPr w:rsidR="00B44C11">
          <w:footerReference w:type="even" r:id="rId9"/>
          <w:footerReference w:type="default" r:id="rId10"/>
          <w:footerReference w:type="first" r:id="rId11"/>
          <w:endnotePr>
            <w:numFmt w:val="decimal"/>
          </w:endnotePr>
          <w:type w:val="continuous"/>
          <w:pgSz w:w="12240" w:h="15840" w:code="1"/>
          <w:pgMar w:top="567" w:right="1418" w:bottom="1701" w:left="1418" w:header="0" w:footer="851" w:gutter="0"/>
          <w:pgNumType w:start="1"/>
          <w:cols w:space="720"/>
          <w:noEndnote/>
          <w:titlePg/>
        </w:sectPr>
      </w:pPr>
      <w:bookmarkStart w:id="10" w:name="insend"/>
      <w:bookmarkEnd w:id="10"/>
    </w:p>
    <w:p w:rsidR="00B44C11" w:rsidRDefault="00B44C11">
      <w:pPr>
        <w:pStyle w:val="Heading3"/>
      </w:pPr>
      <w:r>
        <w:t>Содержание</w:t>
      </w:r>
    </w:p>
    <w:p w:rsidR="00B44C11" w:rsidRDefault="00B44C11">
      <w:pPr>
        <w:pStyle w:val="H1"/>
        <w:tabs>
          <w:tab w:val="clear" w:pos="567"/>
          <w:tab w:val="clear" w:pos="907"/>
          <w:tab w:val="clear" w:pos="1247"/>
          <w:tab w:val="clear" w:pos="1588"/>
          <w:tab w:val="left" w:leader="dot" w:pos="8789"/>
          <w:tab w:val="right" w:pos="9356"/>
        </w:tabs>
        <w:spacing w:after="200"/>
        <w:rPr>
          <w:b w:val="0"/>
          <w:sz w:val="22"/>
        </w:rPr>
      </w:pPr>
      <w:r>
        <w:rPr>
          <w:b w:val="0"/>
          <w:sz w:val="22"/>
        </w:rPr>
        <w:t>Предисловие</w:t>
      </w:r>
      <w:r>
        <w:rPr>
          <w:b w:val="0"/>
          <w:sz w:val="22"/>
        </w:rPr>
        <w:tab/>
      </w:r>
      <w:r>
        <w:rPr>
          <w:b w:val="0"/>
          <w:sz w:val="22"/>
        </w:rPr>
        <w:tab/>
        <w:t>4</w:t>
      </w:r>
    </w:p>
    <w:p w:rsidR="00B44C11" w:rsidRDefault="00B44C11">
      <w:pPr>
        <w:pStyle w:val="H1"/>
        <w:tabs>
          <w:tab w:val="clear" w:pos="567"/>
          <w:tab w:val="clear" w:pos="907"/>
          <w:tab w:val="clear" w:pos="1247"/>
          <w:tab w:val="clear" w:pos="1588"/>
          <w:tab w:val="left" w:leader="dot" w:pos="8789"/>
          <w:tab w:val="right" w:pos="9356"/>
        </w:tabs>
        <w:spacing w:after="200"/>
        <w:jc w:val="left"/>
        <w:rPr>
          <w:b w:val="0"/>
          <w:sz w:val="22"/>
        </w:rPr>
      </w:pPr>
      <w:r>
        <w:rPr>
          <w:b w:val="0"/>
          <w:sz w:val="22"/>
        </w:rPr>
        <w:t>Введение</w:t>
      </w:r>
      <w:r>
        <w:rPr>
          <w:b w:val="0"/>
          <w:sz w:val="22"/>
        </w:rPr>
        <w:tab/>
      </w:r>
      <w:r>
        <w:rPr>
          <w:b w:val="0"/>
          <w:sz w:val="22"/>
        </w:rPr>
        <w:tab/>
        <w:t>5</w:t>
      </w:r>
    </w:p>
    <w:p w:rsidR="00B44C11" w:rsidRDefault="00B44C11">
      <w:pPr>
        <w:pStyle w:val="H1"/>
        <w:tabs>
          <w:tab w:val="clear" w:pos="567"/>
          <w:tab w:val="clear" w:pos="907"/>
          <w:tab w:val="clear" w:pos="1247"/>
          <w:tab w:val="clear" w:pos="1588"/>
          <w:tab w:val="left" w:leader="dot" w:pos="8789"/>
          <w:tab w:val="right" w:pos="9356"/>
        </w:tabs>
        <w:spacing w:after="200"/>
        <w:jc w:val="left"/>
        <w:rPr>
          <w:b w:val="0"/>
          <w:sz w:val="22"/>
        </w:rPr>
      </w:pPr>
      <w:r>
        <w:rPr>
          <w:b w:val="0"/>
          <w:sz w:val="22"/>
        </w:rPr>
        <w:t>Сведения общего характера</w:t>
      </w:r>
      <w:r>
        <w:rPr>
          <w:b w:val="0"/>
          <w:sz w:val="22"/>
        </w:rPr>
        <w:tab/>
      </w:r>
      <w:r>
        <w:rPr>
          <w:b w:val="0"/>
          <w:sz w:val="22"/>
        </w:rPr>
        <w:tab/>
        <w:t>6</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1: </w:t>
      </w:r>
      <w:r>
        <w:rPr>
          <w:b w:val="0"/>
          <w:sz w:val="22"/>
        </w:rPr>
        <w:tab/>
        <w:t>Определение дискриминации в отношении женщин</w:t>
      </w:r>
      <w:r>
        <w:rPr>
          <w:b w:val="0"/>
          <w:sz w:val="22"/>
        </w:rPr>
        <w:tab/>
      </w:r>
      <w:r>
        <w:rPr>
          <w:b w:val="0"/>
          <w:sz w:val="22"/>
        </w:rPr>
        <w:tab/>
        <w:t>7</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2: </w:t>
      </w:r>
      <w:r>
        <w:rPr>
          <w:b w:val="0"/>
          <w:sz w:val="22"/>
        </w:rPr>
        <w:tab/>
        <w:t>Антидискриминационные меры</w:t>
      </w:r>
      <w:r>
        <w:rPr>
          <w:b w:val="0"/>
          <w:sz w:val="22"/>
        </w:rPr>
        <w:tab/>
      </w:r>
      <w:r>
        <w:rPr>
          <w:b w:val="0"/>
          <w:sz w:val="22"/>
        </w:rPr>
        <w:tab/>
        <w:t>8</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3: </w:t>
      </w:r>
      <w:r>
        <w:rPr>
          <w:b w:val="0"/>
          <w:sz w:val="22"/>
        </w:rPr>
        <w:tab/>
        <w:t>Развитие и улучшение положения женщин</w:t>
      </w:r>
      <w:r>
        <w:rPr>
          <w:b w:val="0"/>
          <w:sz w:val="22"/>
        </w:rPr>
        <w:tab/>
      </w:r>
      <w:r>
        <w:rPr>
          <w:b w:val="0"/>
          <w:sz w:val="22"/>
        </w:rPr>
        <w:tab/>
        <w:t>11</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4: </w:t>
      </w:r>
      <w:r>
        <w:rPr>
          <w:b w:val="0"/>
          <w:sz w:val="22"/>
        </w:rPr>
        <w:tab/>
        <w:t>Ускорение установления равенства между мужчинами и женщинами</w:t>
      </w:r>
      <w:r>
        <w:rPr>
          <w:b w:val="0"/>
          <w:sz w:val="22"/>
        </w:rPr>
        <w:tab/>
      </w:r>
      <w:r>
        <w:rPr>
          <w:b w:val="0"/>
          <w:sz w:val="22"/>
        </w:rPr>
        <w:tab/>
        <w:t>17</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5: </w:t>
      </w:r>
      <w:r>
        <w:rPr>
          <w:b w:val="0"/>
          <w:sz w:val="22"/>
        </w:rPr>
        <w:tab/>
        <w:t>Роль мужчин и женщин и ее стереотипное изображение</w:t>
      </w:r>
      <w:r>
        <w:rPr>
          <w:b w:val="0"/>
          <w:sz w:val="22"/>
        </w:rPr>
        <w:tab/>
      </w:r>
      <w:r>
        <w:rPr>
          <w:b w:val="0"/>
          <w:sz w:val="22"/>
        </w:rPr>
        <w:tab/>
        <w:t>18</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6: </w:t>
      </w:r>
      <w:r>
        <w:rPr>
          <w:b w:val="0"/>
          <w:sz w:val="22"/>
        </w:rPr>
        <w:tab/>
        <w:t>Пресечение эксплуатации женщин</w:t>
      </w:r>
      <w:r>
        <w:rPr>
          <w:b w:val="0"/>
          <w:sz w:val="22"/>
        </w:rPr>
        <w:tab/>
      </w:r>
      <w:r>
        <w:rPr>
          <w:b w:val="0"/>
          <w:sz w:val="22"/>
        </w:rPr>
        <w:tab/>
        <w:t>20</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7: </w:t>
      </w:r>
      <w:r>
        <w:rPr>
          <w:b w:val="0"/>
          <w:sz w:val="22"/>
        </w:rPr>
        <w:tab/>
        <w:t>Политическая и общественная жизнь</w:t>
      </w:r>
      <w:r>
        <w:rPr>
          <w:b w:val="0"/>
          <w:sz w:val="22"/>
        </w:rPr>
        <w:tab/>
      </w:r>
      <w:r>
        <w:rPr>
          <w:b w:val="0"/>
          <w:sz w:val="22"/>
        </w:rPr>
        <w:tab/>
        <w:t>25</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Статья 8:</w:t>
      </w:r>
      <w:r>
        <w:rPr>
          <w:b w:val="0"/>
          <w:sz w:val="22"/>
        </w:rPr>
        <w:tab/>
        <w:t>Представительские функции на международном уровне и участие в работе международных организаций</w:t>
      </w:r>
      <w:r>
        <w:rPr>
          <w:b w:val="0"/>
          <w:sz w:val="22"/>
        </w:rPr>
        <w:tab/>
      </w:r>
      <w:r>
        <w:rPr>
          <w:b w:val="0"/>
          <w:sz w:val="22"/>
        </w:rPr>
        <w:tab/>
        <w:t>30</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9: </w:t>
      </w:r>
      <w:r>
        <w:rPr>
          <w:b w:val="0"/>
          <w:sz w:val="22"/>
        </w:rPr>
        <w:tab/>
        <w:t>Гражданство</w:t>
      </w:r>
      <w:r>
        <w:rPr>
          <w:b w:val="0"/>
          <w:sz w:val="22"/>
        </w:rPr>
        <w:tab/>
      </w:r>
      <w:r>
        <w:rPr>
          <w:b w:val="0"/>
          <w:sz w:val="22"/>
        </w:rPr>
        <w:tab/>
        <w:t>34</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10: </w:t>
      </w:r>
      <w:r>
        <w:rPr>
          <w:b w:val="0"/>
          <w:sz w:val="22"/>
        </w:rPr>
        <w:tab/>
        <w:t>Образование</w:t>
      </w:r>
      <w:r>
        <w:rPr>
          <w:b w:val="0"/>
          <w:sz w:val="22"/>
        </w:rPr>
        <w:tab/>
      </w:r>
      <w:r>
        <w:rPr>
          <w:b w:val="0"/>
          <w:sz w:val="22"/>
        </w:rPr>
        <w:tab/>
        <w:t>35</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11: </w:t>
      </w:r>
      <w:r>
        <w:rPr>
          <w:b w:val="0"/>
          <w:sz w:val="22"/>
        </w:rPr>
        <w:tab/>
        <w:t>Занятость</w:t>
      </w:r>
      <w:r>
        <w:rPr>
          <w:b w:val="0"/>
          <w:sz w:val="22"/>
        </w:rPr>
        <w:tab/>
      </w:r>
      <w:r>
        <w:rPr>
          <w:b w:val="0"/>
          <w:sz w:val="22"/>
        </w:rPr>
        <w:tab/>
        <w:t>47</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12: </w:t>
      </w:r>
      <w:r>
        <w:rPr>
          <w:b w:val="0"/>
          <w:sz w:val="22"/>
        </w:rPr>
        <w:tab/>
        <w:t>Здравоохранение</w:t>
      </w:r>
      <w:r>
        <w:rPr>
          <w:b w:val="0"/>
          <w:sz w:val="22"/>
        </w:rPr>
        <w:tab/>
      </w:r>
      <w:r>
        <w:rPr>
          <w:b w:val="0"/>
          <w:sz w:val="22"/>
        </w:rPr>
        <w:tab/>
        <w:t>60</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13: </w:t>
      </w:r>
      <w:r>
        <w:rPr>
          <w:b w:val="0"/>
          <w:sz w:val="22"/>
        </w:rPr>
        <w:tab/>
        <w:t>Экономическая и социальная жизнь</w:t>
      </w:r>
      <w:r>
        <w:rPr>
          <w:b w:val="0"/>
          <w:sz w:val="22"/>
        </w:rPr>
        <w:tab/>
      </w:r>
      <w:r>
        <w:rPr>
          <w:b w:val="0"/>
          <w:sz w:val="22"/>
        </w:rPr>
        <w:tab/>
        <w:t>72</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14: </w:t>
      </w:r>
      <w:r>
        <w:rPr>
          <w:b w:val="0"/>
          <w:sz w:val="22"/>
        </w:rPr>
        <w:tab/>
        <w:t>Женщины, проживающие в сельской местности</w:t>
      </w:r>
      <w:r>
        <w:rPr>
          <w:b w:val="0"/>
          <w:sz w:val="22"/>
        </w:rPr>
        <w:tab/>
      </w:r>
      <w:r>
        <w:rPr>
          <w:b w:val="0"/>
          <w:sz w:val="22"/>
        </w:rPr>
        <w:tab/>
        <w:t>77</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15: </w:t>
      </w:r>
      <w:r>
        <w:rPr>
          <w:b w:val="0"/>
          <w:sz w:val="22"/>
        </w:rPr>
        <w:tab/>
        <w:t>Равенство перед законом и в гражданских делах</w:t>
      </w:r>
      <w:r>
        <w:rPr>
          <w:b w:val="0"/>
          <w:sz w:val="22"/>
        </w:rPr>
        <w:tab/>
      </w:r>
      <w:r>
        <w:rPr>
          <w:b w:val="0"/>
          <w:sz w:val="22"/>
        </w:rPr>
        <w:tab/>
        <w:t>83</w:t>
      </w:r>
    </w:p>
    <w:p w:rsidR="00B44C11" w:rsidRDefault="00B44C11">
      <w:pPr>
        <w:pStyle w:val="H1"/>
        <w:tabs>
          <w:tab w:val="clear" w:pos="567"/>
          <w:tab w:val="clear" w:pos="907"/>
          <w:tab w:val="clear" w:pos="1247"/>
          <w:tab w:val="clear" w:pos="1588"/>
          <w:tab w:val="left" w:pos="1134"/>
          <w:tab w:val="left" w:leader="dot" w:pos="8789"/>
          <w:tab w:val="right" w:pos="9356"/>
        </w:tabs>
        <w:spacing w:after="200"/>
        <w:ind w:left="1134" w:hanging="1134"/>
        <w:jc w:val="left"/>
        <w:rPr>
          <w:b w:val="0"/>
          <w:sz w:val="22"/>
        </w:rPr>
      </w:pPr>
      <w:r>
        <w:rPr>
          <w:b w:val="0"/>
          <w:sz w:val="22"/>
        </w:rPr>
        <w:t xml:space="preserve">Статья 16: </w:t>
      </w:r>
      <w:r>
        <w:rPr>
          <w:b w:val="0"/>
          <w:sz w:val="22"/>
        </w:rPr>
        <w:tab/>
        <w:t>Брак и семейная жизнь</w:t>
      </w:r>
      <w:r>
        <w:rPr>
          <w:b w:val="0"/>
          <w:sz w:val="22"/>
        </w:rPr>
        <w:tab/>
      </w:r>
      <w:r>
        <w:rPr>
          <w:b w:val="0"/>
          <w:sz w:val="22"/>
        </w:rPr>
        <w:tab/>
        <w:t>88</w:t>
      </w:r>
    </w:p>
    <w:p w:rsidR="00B44C11" w:rsidRDefault="00B44C11">
      <w:pPr>
        <w:pStyle w:val="H1"/>
        <w:tabs>
          <w:tab w:val="clear" w:pos="567"/>
          <w:tab w:val="clear" w:pos="907"/>
          <w:tab w:val="clear" w:pos="1247"/>
          <w:tab w:val="clear" w:pos="1588"/>
          <w:tab w:val="left" w:leader="dot" w:pos="8789"/>
          <w:tab w:val="right" w:pos="9356"/>
        </w:tabs>
        <w:spacing w:after="200"/>
        <w:jc w:val="left"/>
        <w:rPr>
          <w:b w:val="0"/>
          <w:sz w:val="22"/>
        </w:rPr>
      </w:pPr>
      <w:r>
        <w:rPr>
          <w:b w:val="0"/>
          <w:sz w:val="22"/>
        </w:rPr>
        <w:t>Библиография</w:t>
      </w:r>
      <w:r>
        <w:rPr>
          <w:b w:val="0"/>
          <w:sz w:val="22"/>
        </w:rPr>
        <w:tab/>
      </w:r>
      <w:r>
        <w:rPr>
          <w:b w:val="0"/>
          <w:sz w:val="22"/>
        </w:rPr>
        <w:tab/>
        <w:t>99</w:t>
      </w:r>
    </w:p>
    <w:p w:rsidR="00B44C11" w:rsidRDefault="00B44C11">
      <w:pPr>
        <w:pStyle w:val="H1"/>
        <w:tabs>
          <w:tab w:val="clear" w:pos="567"/>
          <w:tab w:val="clear" w:pos="907"/>
          <w:tab w:val="clear" w:pos="1247"/>
          <w:tab w:val="clear" w:pos="1588"/>
          <w:tab w:val="left" w:leader="dot" w:pos="8789"/>
          <w:tab w:val="right" w:pos="9356"/>
        </w:tabs>
        <w:spacing w:after="120"/>
        <w:jc w:val="left"/>
      </w:pPr>
      <w:r>
        <w:rPr>
          <w:b w:val="0"/>
          <w:sz w:val="22"/>
        </w:rPr>
        <w:t>Список приложений</w:t>
      </w:r>
      <w:r>
        <w:rPr>
          <w:b w:val="0"/>
          <w:sz w:val="22"/>
        </w:rPr>
        <w:tab/>
      </w:r>
      <w:r>
        <w:rPr>
          <w:b w:val="0"/>
          <w:sz w:val="22"/>
        </w:rPr>
        <w:tab/>
        <w:t>104</w:t>
      </w:r>
    </w:p>
    <w:p w:rsidR="00B44C11" w:rsidRDefault="00B44C11">
      <w:pPr>
        <w:pStyle w:val="H1"/>
        <w:spacing w:after="120"/>
      </w:pPr>
      <w:r>
        <w:br w:type="page"/>
      </w:r>
      <w:bookmarkStart w:id="11" w:name="_Toc145842155"/>
      <w:r>
        <w:t>Предисловие</w:t>
      </w:r>
      <w:bookmarkEnd w:id="11"/>
    </w:p>
    <w:p w:rsidR="00B44C11" w:rsidRDefault="00B44C11">
      <w:pPr>
        <w:spacing w:after="120"/>
      </w:pPr>
      <w:r>
        <w:t>Для меня большая честь представить от имени правительства Новой Зеландии шестой доклад по Конвенции Организации Объединенных Наций о ликвидации всех форм дискриминации в отношении женщин.</w:t>
      </w:r>
    </w:p>
    <w:p w:rsidR="00B44C11" w:rsidRDefault="00B44C11">
      <w:pPr>
        <w:spacing w:after="120"/>
      </w:pPr>
      <w:r>
        <w:t xml:space="preserve">Предыдущие правительства осознавали свою высокую ответственность за осуществление Конвенции. В настоящее время Новая Зеландия имеет современную правовую и политическую основу, необходимую для обеспечения всеобщей защиты от всех форм дискриминации. Существуют законы, направленные на обеспечение равноправия женщин во всех областях жизни. Женщины имеют право получать равное вознаграждение за выполнение работы одинакового характера и равный доступ к образованию и профессиональной подготовке. Женщины также имеют равный во всех отношениях доступ к пенсиям по выслуге лет и государственным пособиям. Они также имеют равные с мужчинами права на приобретение, изменение или сохранение своего гражданства и равные с мужчинами права в отношении гражданства своих детей. Женщины также имеют равные права на заключение договоров, наследование и владение собственностью. </w:t>
      </w:r>
    </w:p>
    <w:p w:rsidR="00B44C11" w:rsidRDefault="00B44C11">
      <w:pPr>
        <w:spacing w:after="120"/>
      </w:pPr>
      <w:r>
        <w:t xml:space="preserve">В настоящее время Новая Зеландия уделяет главное внимание дальнейшему укреплению правовой и политической базы и обеспечению того, чтобы женщины не подвергались фактической дискриминации. Основное внимание в настоящем докладе уделяется характеристике правовых, структурных и политических изменений, происшедших со времени представления предыдущего доклада, а также ответам на заключительные замечания, сделанные Комитетом после рассмотрения этого последнего по времени доклада Новой Зеландии. За отчетный период достигнут значительный прогресс в дальнейшем выполнении обязательств Новой Зеландии в соответствии </w:t>
      </w:r>
      <w:r>
        <w:br/>
        <w:t xml:space="preserve">с Конвенцией. Сегодня Новая Зеландия имеет только одну оговорку, которая касается участия женщин в военных действиях. На практике, однако, не существует барьеров для участия женщин </w:t>
      </w:r>
      <w:r>
        <w:br/>
        <w:t>в выполнении боевых задач. Как только в законодательство будут внесены необходимые изменения, Новая Зеландия рассмотрит вопрос о снятии этой сохраняющейся оговорки.</w:t>
      </w:r>
    </w:p>
    <w:p w:rsidR="00B44C11" w:rsidRDefault="00B44C11">
      <w:pPr>
        <w:spacing w:after="120"/>
      </w:pPr>
      <w:r>
        <w:t xml:space="preserve">За отчетный период достигнут значительный прогресс в таких областях, как разработка и осуществление </w:t>
      </w:r>
      <w:r>
        <w:rPr>
          <w:i/>
        </w:rPr>
        <w:t>Новозеландского плана действий в интересах женщин</w:t>
      </w:r>
      <w:r>
        <w:t xml:space="preserve"> и предоставление финансируемого правительством оплачиваемого отпуска по уходу за детьми. Наряду с этим были внесены изменения в План кредитования студентов, особенно выгодный для женщин. Вместе с тем были приняты меры, направленные на дальнейшую поддержку участия женщин в сфере занятости. </w:t>
      </w:r>
    </w:p>
    <w:p w:rsidR="00B44C11" w:rsidRDefault="00B44C11">
      <w:pPr>
        <w:spacing w:after="120"/>
      </w:pPr>
      <w:r>
        <w:t xml:space="preserve">Новой Зеландии, как и многим странам, предстоит еще проделать больший объем работы. </w:t>
      </w:r>
      <w:r>
        <w:br/>
        <w:t>В настоящее время Новая Зеландия уделяет особое внимание углублению равенства не только между мужчинами и женщинами, но и между разными группами женщин и разрешению более сложных проблем, таких как насилие в семье и профессиональная сегрегация. Для решения многих из этих проблем потребуется не только вмешательство правительства, но и значительные долгосрочные культурные изменения и изменение сложившихся представлений.</w:t>
      </w:r>
    </w:p>
    <w:p w:rsidR="00B44C11" w:rsidRDefault="00B44C11">
      <w:pPr>
        <w:spacing w:after="40"/>
      </w:pPr>
      <w:r>
        <w:t xml:space="preserve">В заключение я хотела бы выразить признательность чиновникам министерств, НПО и отдельным женщинам за их работу и вклад, который они внесли в подготовку данного доклада, который я </w:t>
      </w:r>
      <w:r>
        <w:br/>
        <w:t>с огромной гордостью представляю Комитету.</w:t>
      </w:r>
    </w:p>
    <w:p w:rsidR="00B44C11" w:rsidRDefault="00B44C11">
      <w:pPr>
        <w:pStyle w:val="Web"/>
        <w:spacing w:before="0" w:after="0"/>
        <w:rPr>
          <w:rFonts w:ascii="Times New Roman" w:eastAsia="Times New Roman" w:hAnsi="Times New Roman"/>
          <w:kern w:val="14"/>
          <w:lang w:val="ru-RU" w:eastAsia="ru-RU"/>
        </w:rPr>
      </w:pPr>
      <w:r>
        <w:rPr>
          <w:rFonts w:ascii="Times New Roman" w:eastAsia="Times New Roman" w:hAnsi="Times New Roman"/>
          <w:kern w:val="14"/>
          <w:lang w:val="ru-RU" w:eastAsia="ru-RU"/>
        </w:rPr>
        <w:pict>
          <v:shape id="_x0000_i1026" type="#_x0000_t75" style="width:147.75pt;height:54pt" fillcolor="window">
            <v:imagedata r:id="rId12" o:title="" croptop="230f" cropbottom="2919f"/>
          </v:shape>
        </w:pict>
      </w:r>
    </w:p>
    <w:p w:rsidR="00B44C11" w:rsidRDefault="00B44C11">
      <w:pPr>
        <w:pStyle w:val="H56"/>
        <w:keepNext w:val="0"/>
        <w:keepLines w:val="0"/>
        <w:tabs>
          <w:tab w:val="clear" w:pos="360"/>
        </w:tabs>
        <w:suppressAutoHyphens w:val="0"/>
        <w:spacing w:after="120" w:line="240" w:lineRule="auto"/>
        <w:outlineLvl w:val="9"/>
        <w:rPr>
          <w:spacing w:val="0"/>
          <w:w w:val="100"/>
        </w:rPr>
      </w:pPr>
      <w:r>
        <w:rPr>
          <w:spacing w:val="0"/>
          <w:w w:val="100"/>
        </w:rPr>
        <w:t>Достопочтенная Лиенн Далзил</w:t>
      </w:r>
    </w:p>
    <w:p w:rsidR="00B44C11" w:rsidRDefault="00B44C11">
      <w:pPr>
        <w:pStyle w:val="Heading3"/>
        <w:spacing w:after="0"/>
      </w:pPr>
      <w:r>
        <w:t>Министр по делам женщин</w:t>
      </w:r>
    </w:p>
    <w:p w:rsidR="00B44C11" w:rsidRDefault="00B44C11">
      <w:pPr>
        <w:pStyle w:val="H1"/>
      </w:pPr>
      <w:r>
        <w:br w:type="page"/>
      </w:r>
      <w:bookmarkStart w:id="12" w:name="_Toc145842156"/>
      <w:r>
        <w:t>Введение</w:t>
      </w:r>
      <w:bookmarkEnd w:id="12"/>
    </w:p>
    <w:p w:rsidR="00B44C11" w:rsidRDefault="00B44C11">
      <w:r>
        <w:t>1.</w:t>
      </w:r>
      <w:r>
        <w:tab/>
        <w:t xml:space="preserve">Это шестой периодический доклад Новой Зеландии о ходе осуществления Конвенции Организации Объединенных Наций (ООН) о ликвидации всех форм дискриминации в отношении женщин. Он подготовлен в соответствии с Компиляцией руководящих принципов в отношении формы и содержания докладов, представляемых государствами – участниками международных договоров по правам человека (HRI/GEN/2/Rev.1/Add.2). Настоящий доклад охватывает период </w:t>
      </w:r>
      <w:r>
        <w:br/>
      </w:r>
      <w:r>
        <w:rPr>
          <w:b/>
        </w:rPr>
        <w:t>с марта 2002 года по март 2006 года</w:t>
      </w:r>
      <w:r>
        <w:t>.</w:t>
      </w:r>
    </w:p>
    <w:p w:rsidR="00B44C11" w:rsidRDefault="00B44C11">
      <w:r>
        <w:t>2.</w:t>
      </w:r>
      <w:r>
        <w:tab/>
        <w:t xml:space="preserve">В докладе рассматриваются основные законодательные, судебные, административные или другие меры, принятые в отчетный период, с помощью которых реализуются положения Конвенции. Его необходимо читать вместе с предыдущими докладами Новой Зеландии, представленными в соответствии с Конвенцией, а также с третьим и четвертым периодическими докладами Новой Зеландии, представленными в соответствии с Международным пактом </w:t>
      </w:r>
      <w:r>
        <w:br/>
        <w:t>о гражданских и политических правах (CCPR/C/64/Add.10 и CCPR/C/NZL/2001/4), вторым периодическим докладом Новой Зеландии, представленным в соответствии с Международным пактом об экономических, социальных и культурных правах (E/1990/6/Add.33), и Сводным докладом, включающим 15-й, 16-й и 17-й периодические доклады Новой Зеландии, представленным Комитету по ликвидации расовой дискриминации (без номера).</w:t>
      </w:r>
    </w:p>
    <w:p w:rsidR="00B44C11" w:rsidRDefault="00B44C11">
      <w:r>
        <w:t>3.</w:t>
      </w:r>
      <w:r>
        <w:tab/>
        <w:t xml:space="preserve">События в Токелау, в отношении которого Конвенция применима на основании действий Новой Зеландии, осуществляемых ею по договору, также рассматриваются в приложении к докладу (см. приложение 3). Острова Кука и Ниуэ, как самоуправляющиеся государства, обязаны представлять доклады о выполнении договоров о правах человека, которые применяются к ним </w:t>
      </w:r>
      <w:r>
        <w:br/>
        <w:t xml:space="preserve">в силу деятельности Новой Зеландии в соответствии с договорами. В порядке осуществления двусторонних программ помощи в области развития Новая Зеландия оказала содействие Ниуэ и Островам Кука в выполнении их обязательств в отношении представления докладов в связи </w:t>
      </w:r>
      <w:r>
        <w:br/>
        <w:t>с Конвенцией. Новая Зеландия принимает к сведению, что Острова Кука представили доклад об осуществлении ими Конвенции.</w:t>
      </w:r>
    </w:p>
    <w:p w:rsidR="00B44C11" w:rsidRDefault="00B44C11">
      <w:r>
        <w:t>4.</w:t>
      </w:r>
      <w:r>
        <w:tab/>
        <w:t xml:space="preserve">В заключительных замечаниях Комитета (А/58/38, пункты 405–431) по пятому периодическому докладу Новой Зеландии (CEDAW/C/NZL/5, в дальнейшем именуемый "последний доклад") содержатся некоторые предложения и рекомендации. Ответы на рекомендации представлены в таблице, прилагаемой к настоящему докладу (см. приложение 1), </w:t>
      </w:r>
      <w:r>
        <w:br/>
        <w:t xml:space="preserve">а также рассматриваются в тексте настоящего доклада в рамках материала по статье, к которой они в основном относятся. </w:t>
      </w:r>
    </w:p>
    <w:p w:rsidR="00B44C11" w:rsidRDefault="00B44C11">
      <w:r>
        <w:t>5.</w:t>
      </w:r>
      <w:r>
        <w:tab/>
        <w:t>Новая Зеландия демонстрирует высокую степень ответственности за обеспечение осуществления всех своих международных обязательств в области прав человека. Новая Зеландия является активным членом международного сообщества и участником основных договоров по правам человека. В Новой Зеландии есть условия, необходимые для эффективной защиты, содействия развитию и осуществления прав человека, а именно: демократия, верховенство закона и независимая судебная система, свободная от коррупции; эффективные управленческие структуры; специальные механизмы осуществления прав человека и другие механизмы обеспечения подотчетности; а также осознается уязвимость определенных групп и лиц.</w:t>
      </w:r>
    </w:p>
    <w:p w:rsidR="00B44C11" w:rsidRDefault="00B44C11">
      <w:r>
        <w:t>6.</w:t>
      </w:r>
      <w:r>
        <w:tab/>
        <w:t xml:space="preserve">Новая Зеландия также имеет особое обязательство содействовать реализации прав женщин на международном уровне. Наряду с этим Новая Зеландия является активным участником Комиссии по положению женщин и содействует развитию прав женщин в Комиссии по правам человека и Третьем комитете Генеральной Ассамблеи Организации Объединенных Наций. Новая Зеландия также принимает меры для того, чтобы предоставляемая ею международная помощь на цели развития содействовала реализации целей и принципов Конвенции. </w:t>
      </w:r>
    </w:p>
    <w:p w:rsidR="00B44C11" w:rsidRDefault="00B44C11">
      <w:r>
        <w:t>7.</w:t>
      </w:r>
      <w:r>
        <w:tab/>
        <w:t>Внутри страны осуществление Конвенции с момента ее ратификации в 1985 году носит комплексный характер. В настоящее время прогресс идет в разных направлениях, и основное внимание уделяется уже его консолидации ввиду того, что в предыдущие отчетные периоды акцент сделался на создании правовой и политической основ реализации Конвенции. За данный отчетный период правовая система Новой Зеландии не претерпела каких-либо изменений, поскольку она уже достигла той степени развития, которая обеспечивает выполнение Конвенции. В настоящее время основное внимание уделяется стратегиям, осуществляемым в рамках сложившихся систем.</w:t>
      </w:r>
    </w:p>
    <w:p w:rsidR="00B44C11" w:rsidRDefault="00B44C11">
      <w:r>
        <w:t>8.</w:t>
      </w:r>
      <w:r>
        <w:tab/>
        <w:t xml:space="preserve">При разработке политики и стратегий в интересах женщин правительство признает, что обеспечение благополучия женщин и девочек крайне важно для обеспечения благополучия всех </w:t>
      </w:r>
      <w:r>
        <w:rPr>
          <w:spacing w:val="-2"/>
        </w:rPr>
        <w:t xml:space="preserve">новозеландцев. В связи с этим женские проблемы часто учитываются в общеполитических процессах и решаются на основе межведомственного подхода. Обеспечение прогресса и улучшение положения </w:t>
      </w:r>
      <w:r>
        <w:t xml:space="preserve">женщин являются также неотъемлемой частью комплексной государственной стратегии, направленной на улучшение социального и экономического положения всех новозеландцев. </w:t>
      </w:r>
    </w:p>
    <w:p w:rsidR="00B44C11" w:rsidRDefault="00B44C11">
      <w:r>
        <w:t>9.</w:t>
      </w:r>
      <w:r>
        <w:tab/>
        <w:t xml:space="preserve">Стратегический подход правительства к улучшению положения женщин находит отражение </w:t>
      </w:r>
      <w:r>
        <w:br/>
        <w:t xml:space="preserve">в Плане действий в интересах новозеландских женщин, обнародованном в 2004 году. В этом Плане действий изложены конкретные цели, которых правительство должно достичь в обеспечении экономической независимости женщин, сбалансированного сочетания их трудовой деятельности и семейной жизни и общего благополучия. Этот План действий также тесно связан с целями и принципами Конвенции (как показано в добавлении 4). При разработке Плана действий проводились тщательные консультации с неправительственными организациями (НПО), другими членами гражданского общества и женщинами в новозеландских общинах, и резюме их мнений </w:t>
      </w:r>
      <w:r>
        <w:br/>
        <w:t>о положении женщин в Новой Зеландии и приоритетных областях, где требуются действия, содержатся в приложении к настоящему докладу (добавление 2).</w:t>
      </w:r>
    </w:p>
    <w:p w:rsidR="00B44C11" w:rsidRDefault="00B44C11">
      <w:r>
        <w:t>10.</w:t>
      </w:r>
      <w:r>
        <w:tab/>
        <w:t>Разработана общая политика для обеспечения в интересах женщин результатов в трех ключевых областях Плана действий и в других сферах жизни. Кроме того, в тех случаях, когда все женщины или их отдельные группы имеют специфические потребности, осуществляются специальные стратегии, направленные на удовлетворение этих потребностей, например в области охраны здоровья женщин. В этом отражается приоритетное внимание, уделяемое правительством не только ликвидации неравенства между мужчинами и женщинами, но и неравенства между различными группами женщин.</w:t>
      </w:r>
    </w:p>
    <w:p w:rsidR="00B44C11" w:rsidRDefault="00B44C11">
      <w:r>
        <w:t>11.</w:t>
      </w:r>
      <w:r>
        <w:tab/>
        <w:t xml:space="preserve">В отчетный период был достигнут существенный прогресс в выполнении Новой Зеландией обязательств по Конвенции. В настоящее время в Новой Зеландии предусмотрен оплачиваемый отпуск по уходу за детьми, и правительство намерено дополнительно расширить сферу его применения и охват. Однако все еще существуют области, в которых необходим дальнейший прогресс, в частности в плане борьбы с насилием в отношении женщин, а также равенства в оплате труда и трудоустройства. По самой своей сути эти проблемы носят более сложный, взаимозависимый и межсекторальный характер, поэтому для их решения может потребоваться больше времени. Правительство стремится решать эти проблемы как путем осуществления Плана действий, так и с помощью других своих стратегий в области социального и экономического развития. </w:t>
      </w:r>
    </w:p>
    <w:p w:rsidR="00B44C11" w:rsidRDefault="00B44C11">
      <w:pPr>
        <w:pStyle w:val="H1"/>
      </w:pPr>
      <w:bookmarkStart w:id="13" w:name="_Toc145842157"/>
      <w:r>
        <w:t>Сведения общего характера</w:t>
      </w:r>
      <w:bookmarkEnd w:id="13"/>
    </w:p>
    <w:p w:rsidR="00B44C11" w:rsidRDefault="00B44C11">
      <w:pPr>
        <w:pStyle w:val="Heading4"/>
      </w:pPr>
      <w:r>
        <w:t>Общие положения</w:t>
      </w:r>
    </w:p>
    <w:p w:rsidR="00B44C11" w:rsidRDefault="00B44C11">
      <w:r>
        <w:t>12.</w:t>
      </w:r>
      <w:r>
        <w:tab/>
        <w:t xml:space="preserve">Необходимо сослаться на Базовый документ Новой Зеландии, в котором дан обзор особенностей новозеландского общества, а также имеющихся политических и правовых структур, которые обеспечивают содействие развитию и защите прав человека в Новой Зеландии, включая права женщин и девочек. Этот обзор позволяет оценить в верном контексте ход осуществления Конвенции Новой Зеландией. </w:t>
      </w:r>
    </w:p>
    <w:p w:rsidR="00B44C11" w:rsidRDefault="00B44C11">
      <w:r>
        <w:t>13.</w:t>
      </w:r>
      <w:r>
        <w:tab/>
        <w:t xml:space="preserve">В период с ноября 1999 года по июль 2002 года у власти в Новой Зеландии находилось коалиционное правительство Лейбористской партии и Партии альянса. После всеобщих выборов, состоявшихся в июле 2002 года, Лейбористская партия осталась у власти на второй срок, сформировав коалиционное правительство с Прогрессивной партией. Очередные всеобщие выборы состоялись 17 сентября 2005 года, и по их результатам к власти в Новой Зеландии пришло коалиционное правительство Лейбористской и Прогрессивной партий, которое подписало соглашения о сотрудничестве и доверии с двумя партиями: Первой партией Новой Зеландии и Партией единого будущего. </w:t>
      </w:r>
    </w:p>
    <w:p w:rsidR="00B44C11" w:rsidRDefault="00B44C11">
      <w:pPr>
        <w:pStyle w:val="Heading4"/>
      </w:pPr>
      <w:r>
        <w:t>Женщины в Новой Зеландии</w:t>
      </w:r>
    </w:p>
    <w:p w:rsidR="00B44C11" w:rsidRDefault="00B44C11">
      <w:r>
        <w:t>14.</w:t>
      </w:r>
      <w:r>
        <w:tab/>
        <w:t>В разделе "Фактическая и статистическая информация" Базового документа Новой Зеландии дается статистическая и качественная характеристика структуры женского населения Новой Зеландии. Коротко говоря:</w:t>
      </w:r>
    </w:p>
    <w:p w:rsidR="00B44C11" w:rsidRDefault="00B44C11">
      <w:pPr>
        <w:pStyle w:val="10-18"/>
      </w:pPr>
      <w:r>
        <w:sym w:font="Symbol" w:char="F0B7"/>
      </w:r>
      <w:r>
        <w:tab/>
        <w:t>Во всех этнических группах Новой Зеландии, кроме группы "прочие", женщин больше, чем мужчин</w:t>
      </w:r>
      <w:r>
        <w:rPr>
          <w:rStyle w:val="FootnoteReference"/>
        </w:rPr>
        <w:footnoteReference w:id="2"/>
      </w:r>
      <w:r>
        <w:t xml:space="preserve">. </w:t>
      </w:r>
    </w:p>
    <w:p w:rsidR="00B44C11" w:rsidRDefault="00B44C11">
      <w:pPr>
        <w:pStyle w:val="10-18"/>
      </w:pPr>
      <w:r>
        <w:sym w:font="Symbol" w:char="F0B7"/>
      </w:r>
      <w:r>
        <w:tab/>
      </w:r>
      <w:r>
        <w:rPr>
          <w:caps/>
        </w:rPr>
        <w:t>э</w:t>
      </w:r>
      <w:r>
        <w:t xml:space="preserve">тническое многообразие женского населения возрастает, при этом быстрее всего увеличивается численность женщин из Азии и с тихоокеанских островов. </w:t>
      </w:r>
    </w:p>
    <w:p w:rsidR="00B44C11" w:rsidRDefault="00B44C11">
      <w:pPr>
        <w:pStyle w:val="10-18"/>
      </w:pPr>
      <w:r>
        <w:sym w:font="Symbol" w:char="F0B7"/>
      </w:r>
      <w:r>
        <w:tab/>
        <w:t xml:space="preserve">У женщин-маори и женщин с тихоокеанских островов высокие коэффициенты фертильности, а у женщин европейского и азиатского происхождения – сравнительно низкие. </w:t>
      </w:r>
    </w:p>
    <w:p w:rsidR="00B44C11" w:rsidRDefault="00B44C11">
      <w:pPr>
        <w:pStyle w:val="10-18"/>
      </w:pPr>
      <w:r>
        <w:sym w:font="Symbol" w:char="F0B7"/>
      </w:r>
      <w:r>
        <w:tab/>
      </w:r>
      <w:r>
        <w:rPr>
          <w:caps/>
        </w:rPr>
        <w:t>о</w:t>
      </w:r>
      <w:r>
        <w:t>жидаемая продолжительность жизни у европейских женщин гораздо выше, чем у женщин из других этнических групп.</w:t>
      </w:r>
    </w:p>
    <w:p w:rsidR="00B44C11" w:rsidRDefault="00B44C11">
      <w:pPr>
        <w:pStyle w:val="10-18"/>
      </w:pPr>
      <w:r>
        <w:sym w:font="Symbol" w:char="F0B7"/>
      </w:r>
      <w:r>
        <w:tab/>
      </w:r>
      <w:r>
        <w:rPr>
          <w:caps/>
        </w:rPr>
        <w:t>в</w:t>
      </w:r>
      <w:r>
        <w:t xml:space="preserve">озрастной состав женского населения в следующие пятьдесят лет заметно изменится. По расчетам, к 2051 году 46 процентов женщин будут старше 50 лет по сравнению всего </w:t>
      </w:r>
      <w:r>
        <w:br/>
        <w:t xml:space="preserve">с 29 процентами в 2004 году. Вследствие этого проблемы пожилых людей будут и далее </w:t>
      </w:r>
      <w:r>
        <w:br/>
        <w:t>в непропорциональной степени затрагивать женщин по мере их старения.</w:t>
      </w:r>
    </w:p>
    <w:p w:rsidR="00B44C11" w:rsidRDefault="00B44C11">
      <w:r>
        <w:t>15.</w:t>
      </w:r>
      <w:r>
        <w:tab/>
        <w:t xml:space="preserve">В настоящем докладе данные были, по возможности, дезагрегированы и представлены в разбивке по полу и этническому происхождению. Во многих случаях получить дезагрегированные данные не было возможности. Это по-прежнему сложная проблема. </w:t>
      </w:r>
    </w:p>
    <w:p w:rsidR="00B44C11" w:rsidRDefault="00B44C11">
      <w:pPr>
        <w:pStyle w:val="Heading4"/>
      </w:pPr>
      <w:r>
        <w:t>Пекинская декларация и Платформа действий</w:t>
      </w:r>
    </w:p>
    <w:p w:rsidR="00B44C11" w:rsidRDefault="00B44C11">
      <w:r>
        <w:t>16.</w:t>
      </w:r>
      <w:r>
        <w:tab/>
        <w:t>Как отмечалось в предыдущем докладе, во исполнение решений Пекинской конференции 1995 года правительство Новой Зеландии определило ряд ключевых областей для осуществления дальнейших действий по улучшению положения женщин:</w:t>
      </w:r>
    </w:p>
    <w:p w:rsidR="00B44C11" w:rsidRDefault="00B44C11">
      <w:pPr>
        <w:pStyle w:val="10-18"/>
      </w:pPr>
      <w:r>
        <w:sym w:font="Symbol" w:char="F0B7"/>
      </w:r>
      <w:r>
        <w:tab/>
        <w:t>включение гендерной проблематики во все направления политики и программы в области развития;</w:t>
      </w:r>
    </w:p>
    <w:p w:rsidR="00B44C11" w:rsidRDefault="00B44C11">
      <w:pPr>
        <w:pStyle w:val="10-18"/>
      </w:pPr>
      <w:r>
        <w:sym w:font="Symbol" w:char="F0B7"/>
      </w:r>
      <w:r>
        <w:tab/>
        <w:t>меры в связи с необходимостью более упорядоченного сбора данных по всем вопросам жизни женщин;</w:t>
      </w:r>
    </w:p>
    <w:p w:rsidR="00B44C11" w:rsidRDefault="00B44C11">
      <w:pPr>
        <w:pStyle w:val="10-18"/>
      </w:pPr>
      <w:r>
        <w:sym w:font="Symbol" w:char="F0B7"/>
      </w:r>
      <w:r>
        <w:tab/>
        <w:t>осуществление содержащихся в Платформе действий рекомендаций в отношении женщин и девушек-маори;</w:t>
      </w:r>
    </w:p>
    <w:p w:rsidR="00B44C11" w:rsidRDefault="00B44C11">
      <w:pPr>
        <w:pStyle w:val="10-18"/>
      </w:pPr>
      <w:r>
        <w:sym w:font="Symbol" w:char="F0B7"/>
      </w:r>
      <w:r>
        <w:tab/>
        <w:t>решение проблемы неоплачиваемого труда женщин;</w:t>
      </w:r>
    </w:p>
    <w:p w:rsidR="00B44C11" w:rsidRDefault="00B44C11">
      <w:pPr>
        <w:pStyle w:val="10-18"/>
      </w:pPr>
      <w:r>
        <w:sym w:font="Symbol" w:char="F0B7"/>
      </w:r>
      <w:r>
        <w:tab/>
        <w:t>ликвидация разрыва в оплате труда мужчин и женщин;</w:t>
      </w:r>
    </w:p>
    <w:p w:rsidR="00B44C11" w:rsidRDefault="00B44C11">
      <w:pPr>
        <w:pStyle w:val="10-18"/>
      </w:pPr>
      <w:r>
        <w:sym w:font="Symbol" w:char="F0B7"/>
      </w:r>
      <w:r>
        <w:tab/>
        <w:t>повышение роли женщин в принятии решений.</w:t>
      </w:r>
    </w:p>
    <w:p w:rsidR="00B44C11" w:rsidRDefault="00B44C11">
      <w:pPr>
        <w:pStyle w:val="H1"/>
      </w:pPr>
      <w:bookmarkStart w:id="14" w:name="_Toc145842158"/>
      <w:r>
        <w:t>Статья 1</w:t>
      </w:r>
      <w:bookmarkEnd w:id="14"/>
    </w:p>
    <w:p w:rsidR="00B44C11" w:rsidRDefault="00B44C11">
      <w:pPr>
        <w:pStyle w:val="H1"/>
      </w:pPr>
      <w:bookmarkStart w:id="15" w:name="_Toc145841548"/>
      <w:bookmarkStart w:id="16" w:name="_Toc145842159"/>
      <w:r>
        <w:t>Определение дискриминации в отношении женщин</w:t>
      </w:r>
      <w:bookmarkEnd w:id="15"/>
      <w:bookmarkEnd w:id="16"/>
    </w:p>
    <w:p w:rsidR="00B44C11" w:rsidRDefault="00B44C11">
      <w:pPr>
        <w:pStyle w:val="Heading3"/>
      </w:pPr>
      <w:r>
        <w:t>Введение</w:t>
      </w:r>
    </w:p>
    <w:p w:rsidR="00B44C11" w:rsidRDefault="00B44C11">
      <w:r>
        <w:t>17.</w:t>
      </w:r>
      <w:r>
        <w:tab/>
        <w:t>После представления последнего доклада в правовой системе Новой Зеландии, которая обеспечивает защиту от всех рассматриваемых в Конвенции форм дискриминации, не произошло никаких изменений. Правда, были введены в действие некоторые процедуры, с тем чтобы принятие новых законов не нанесло ущерба действию существующих механизмов защиты.</w:t>
      </w:r>
    </w:p>
    <w:p w:rsidR="00B44C11" w:rsidRDefault="00B44C11">
      <w:r>
        <w:t>18.</w:t>
      </w:r>
      <w:r>
        <w:tab/>
        <w:t>В своих заключительных замечаниях по последнему докладу Новой Зеландии Комитет рекомендовал, чтобы Новая Зеландия приняла надлежащие меры для включения всех положений Конвенции во внутригосударственное законодательство. До того как стать участником того или иного международного договора правительство Новой Зеландии обеспечивает, чтобы законодательство, политика и административная практика страны в полной мере соответствовали обязательствам, предусмотренным в этом договоре. В связи с этим, хотя Новая Зеландия не имеет специального законодательного акта, вводящего в действие Конвенцию, выполнение правительством своих обязательств по Конвенции обеспечивается другим, широким законодательством, касающимся прав человека.</w:t>
      </w:r>
    </w:p>
    <w:p w:rsidR="00B44C11" w:rsidRDefault="00B44C11">
      <w:r>
        <w:t>19.</w:t>
      </w:r>
      <w:r>
        <w:tab/>
        <w:t xml:space="preserve">За отчетный период Комитет не получал каких-либо жалоб, представленных в соответствии </w:t>
      </w:r>
      <w:r>
        <w:br/>
        <w:t>с Факультативным протоколом к Конвенции, который Новая Зеландия ратифицировала в 2000 году.</w:t>
      </w:r>
    </w:p>
    <w:p w:rsidR="00B44C11" w:rsidRDefault="00B44C11">
      <w:pPr>
        <w:pStyle w:val="Heading3"/>
      </w:pPr>
      <w:r>
        <w:t>Договор Вайтанги</w:t>
      </w:r>
    </w:p>
    <w:p w:rsidR="00B44C11" w:rsidRDefault="00B44C11">
      <w:r>
        <w:t>20.</w:t>
      </w:r>
      <w:r>
        <w:tab/>
        <w:t xml:space="preserve">Ссылки на Договор Вайтанги по-прежнему включаются в новое законодательство. </w:t>
      </w:r>
    </w:p>
    <w:p w:rsidR="00B44C11" w:rsidRDefault="00B44C11">
      <w:pPr>
        <w:pStyle w:val="Heading3"/>
      </w:pPr>
      <w:r>
        <w:t>Новозеландский закон 1990 года, касающийся Билля о правах</w:t>
      </w:r>
    </w:p>
    <w:p w:rsidR="00B44C11" w:rsidRDefault="00B44C11">
      <w:r>
        <w:t>21.</w:t>
      </w:r>
      <w:r>
        <w:tab/>
        <w:t xml:space="preserve">Новозеландский закон 1990 года, касающийся Билля о правах, требует, чтобы Генеральный прокурор уведомлял палату представителей, когда новый законопроект представляется противоречащим Закону, касающемуся Билля о правах. Во время разработки нового законодательства и политики Министерство юстиции работает в тесном сотрудничестве с государственными ведомствами, с тем чтобы обеспечить, насколько это возможно, соответствие нового законодательства и политики Закону, касающемуся Билля о правах. Кроме того, данный закон требует, чтобы, по возможности, интерпретация законодательства соответствовала правам и свободам, которые оно закрепляет. Суды также разработали ряд средств защиты в отношении нарушения Закона, касающегося Билля о правах. Подробное обсуждение статуса Закона о Билле </w:t>
      </w:r>
      <w:r>
        <w:br/>
        <w:t xml:space="preserve">о правах и соответствующее прецедентное право включены в третий и четвертый периодические доклады по Международному пакту о гражданских и политических правах (CCPR/C/64/Add.10 и CCPR/C/NZL/2001/4). </w:t>
      </w:r>
    </w:p>
    <w:p w:rsidR="00B44C11" w:rsidRDefault="00B44C11">
      <w:pPr>
        <w:pStyle w:val="H1"/>
      </w:pPr>
      <w:bookmarkStart w:id="17" w:name="_Toc145842160"/>
      <w:r>
        <w:t>Статья 2</w:t>
      </w:r>
      <w:bookmarkEnd w:id="17"/>
    </w:p>
    <w:p w:rsidR="00B44C11" w:rsidRDefault="00B44C11">
      <w:pPr>
        <w:pStyle w:val="H1"/>
      </w:pPr>
      <w:bookmarkStart w:id="18" w:name="_Toc145841550"/>
      <w:bookmarkStart w:id="19" w:name="_Toc145842161"/>
      <w:r>
        <w:t>Антидискриминационные меры</w:t>
      </w:r>
      <w:bookmarkEnd w:id="18"/>
      <w:bookmarkEnd w:id="19"/>
    </w:p>
    <w:p w:rsidR="00B44C11" w:rsidRDefault="00B44C11">
      <w:pPr>
        <w:pStyle w:val="Heading3"/>
      </w:pPr>
      <w:r>
        <w:t>Введение</w:t>
      </w:r>
    </w:p>
    <w:p w:rsidR="00B44C11" w:rsidRDefault="00B44C11">
      <w:r>
        <w:t>22.</w:t>
      </w:r>
      <w:r>
        <w:tab/>
        <w:t xml:space="preserve">Новая Зеландия имеет современную правовую и политическую основу, обеспечивающую защиту от всех форм дискриминации при поддержке всеобъемлющей и независимой институциональной структуры, призванной обеспечить эффективное правоприменение. </w:t>
      </w:r>
    </w:p>
    <w:p w:rsidR="00B44C11" w:rsidRDefault="00B44C11">
      <w:r>
        <w:t>23.</w:t>
      </w:r>
      <w:r>
        <w:tab/>
        <w:t xml:space="preserve">Со времени представления последнего доклада в правовые нормы, которые напрямую касаются прав женщин, не было внесено каких-либо изменений. Руководящие принципы кабинета министров требуют, чтобы при разработке предложений по политике обращалось внимание на их соответствие Закону о правах человека 1993 года и Новозеландскому закону 1990 года, касающемуся Билля о правах. Все политические документы, представляемые кабинету министров и комитетам при кабинете министров, должны включать заявление о любых несоответствиях предложения Закону о правах человека и Новозеландскому закону 1990 года, касающемуся Билля </w:t>
      </w:r>
      <w:r>
        <w:br/>
        <w:t>о правах, резюме последствий и комментарий в отношении того, могут ли эти проблемы быть устранены или решены и как это можно сделать</w:t>
      </w:r>
      <w:r>
        <w:rPr>
          <w:rStyle w:val="FootnoteReference"/>
        </w:rPr>
        <w:footnoteReference w:id="3"/>
      </w:r>
      <w:r>
        <w:t xml:space="preserve">. </w:t>
      </w:r>
    </w:p>
    <w:p w:rsidR="00B44C11" w:rsidRDefault="00B44C11">
      <w:r>
        <w:t>24.</w:t>
      </w:r>
      <w:r>
        <w:tab/>
        <w:t>Комиссия по правам человека (КПЧ) является ведущим учреждением по содействию развития и защите прав человека в Новой Зеландии. Со времени представления последнего доклада Комиссия проводит работу по дальнейшему укреплению своего потенциала в плане удовлетворения связанных с правами человека потребностей женщин и девушек. Другие смежные учреждения, призванные содействовать развитию и защите прав человека, такие как ведомства омбудсмена и Комиссара по правам детей описаны в разделе "Структура по содействию развитию и защите прав человека" Базового документа Новой Зеландии.</w:t>
      </w:r>
    </w:p>
    <w:p w:rsidR="00B44C11" w:rsidRDefault="00B44C11">
      <w:pPr>
        <w:pStyle w:val="H1"/>
      </w:pPr>
      <w:bookmarkStart w:id="20" w:name="_Toc145841551"/>
      <w:bookmarkStart w:id="21" w:name="_Toc145842162"/>
      <w:r>
        <w:t>Комиссия по правам человека</w:t>
      </w:r>
      <w:bookmarkEnd w:id="20"/>
      <w:bookmarkEnd w:id="21"/>
    </w:p>
    <w:p w:rsidR="00B44C11" w:rsidRDefault="00B44C11">
      <w:r>
        <w:t>25.</w:t>
      </w:r>
      <w:r>
        <w:tab/>
        <w:t xml:space="preserve">Комиссия по правам человека продолжает играть основную роль в содействии развитию и защите прав человека в Новой Зеландии. Данная Комиссией общая оценка положения с правами женщин в Новой Зеландии состоит в том, что со времени представления последнего доклада по правам женщин во многих областях был достигнут существенный прогресс, которым Новая Зеландия может гордиться, например введением системы оплачиваемого отпуска по уходу </w:t>
      </w:r>
      <w:r>
        <w:br/>
        <w:t xml:space="preserve">за детьми. Вместе с тем сохраняются некоторые застарелые и сложные проблемы, такие как профессиональная сегрегация и широко распространенные препоны, мешающие, например, инвалидам принимать полноправное участие в жизни общества, в решении которых не был достигнут прогресс, и нужна целеустремленная работа для обеспечения такого прогресса в следующем отчетном периоде. </w:t>
      </w:r>
    </w:p>
    <w:p w:rsidR="00B44C11" w:rsidRDefault="00B44C11">
      <w:pPr>
        <w:pStyle w:val="Heading4"/>
      </w:pPr>
      <w:r>
        <w:t xml:space="preserve">Новозеландский план действий по правам человека, разработанный Комиссией по правам человека </w:t>
      </w:r>
    </w:p>
    <w:p w:rsidR="00B44C11" w:rsidRDefault="00B44C11">
      <w:r>
        <w:t>26.</w:t>
      </w:r>
      <w:r>
        <w:tab/>
        <w:t xml:space="preserve">Закон 2001 года о внесении поправок в Закон о правах человека возложил разработку национального плана действий по правам человека на Комиссию по правам человека. "Новозеландский план действий по правам человека" (НЗПДПЧ), опубликованный 31 марта 2005 года, разрабатывался в течение примерно двух лет после проведения широких консультаций с народом Новой Зеландии. Однако в этом плане не был проработан конкретный комплекс мер, касающихся прав человека в отношении именно женщин, поскольку имеется План действий в интересах новозеландских женщин. Несмотря на это, некоторые элементы НЗПДПЧ актуальны для женщин и девушек, например меры, касающиеся детей и молодежи, инвалидов, права на труд, права на личную безопасность и на доступ к системе правосудия. </w:t>
      </w:r>
    </w:p>
    <w:p w:rsidR="00B44C11" w:rsidRDefault="00B44C11">
      <w:r>
        <w:t>27.</w:t>
      </w:r>
      <w:r>
        <w:tab/>
        <w:t>Правительство одобряет вклад Комиссии и будет продолжать разработку правительственного Плана действий по правам человека в 2006 году. Однако до представления этого доклада никаких решений по существу данного вопроса не ожидается.</w:t>
      </w:r>
    </w:p>
    <w:p w:rsidR="00B44C11" w:rsidRDefault="00B44C11">
      <w:pPr>
        <w:pStyle w:val="Heading4"/>
      </w:pPr>
      <w:r>
        <w:t>Отдел по вопросам равных возможностей в области занятости</w:t>
      </w:r>
    </w:p>
    <w:p w:rsidR="00B44C11" w:rsidRDefault="00B44C11">
      <w:r>
        <w:t>28.</w:t>
      </w:r>
      <w:r>
        <w:tab/>
        <w:t xml:space="preserve">В Законе 2001 года о внесении поправок в Закон о правах человека определяются также функции штатного уполномоченного (комиссара), который отвечает за консультирование по вопросам РВЗ и руководство деятельностью в области РВЗ, мониторинг и оценку прогресса в этой области, а также за проведение дискуссий по проблемам РВЗ, включая равенство в оплате труда. Отдел по вопросам равных возможностей в области занятости, созданный в феврале 2003 года для обеспечения работы Комиссара по РВЗ, уделяет особое внимание правам женщин. За время, прошедшее после его создания, Отдел подготовил важный сравнительно-аналитический доклад </w:t>
      </w:r>
      <w:r>
        <w:br/>
        <w:t xml:space="preserve">о прогрессе в обеспечении РВЗ в Новой Зеландии – Основа на будущее. Отдел также провел широкие консультации для подготовки Доклада о праве на труд, на основе которого определялись показатели занятости в НЗПДПЧ (см. выше). </w:t>
      </w:r>
    </w:p>
    <w:p w:rsidR="00B44C11" w:rsidRDefault="00B44C11">
      <w:r>
        <w:t>29.</w:t>
      </w:r>
      <w:r>
        <w:tab/>
        <w:t xml:space="preserve">В 2004 году правительство возложило на Комиссара по РВЗ ответственность за предоставление руководящих указаний субъектам Короны в отношении принятия более широких мер по обеспечению равных возможностей в области занятости в масштабах всего государственного сектора. Эти руководящие указания были разработаны в консультации </w:t>
      </w:r>
      <w:r>
        <w:br/>
        <w:t xml:space="preserve">с Комиссией по вопросам государственной службы (КГС) и готовились при участии субъектов Короны, работодателей, представителей профсоюзов и специалистов по вопросам РВЗ </w:t>
      </w:r>
      <w:r>
        <w:br/>
        <w:t xml:space="preserve">в составлении моделей, инструментария и организации семинаров по популяризации и пропаганде образа "добросовестного работодателя". В марте 2006 года станет доступным веб-сайт, созданный </w:t>
      </w:r>
      <w:r>
        <w:br/>
        <w:t xml:space="preserve">в партнерстве с Целевым фондом РВЗ, который будет на конкретных примерах знакомить с передовым опытом в этой области. </w:t>
      </w:r>
    </w:p>
    <w:p w:rsidR="00B44C11" w:rsidRDefault="00B44C11">
      <w:r>
        <w:t>30.</w:t>
      </w:r>
      <w:r>
        <w:tab/>
        <w:t xml:space="preserve">В числе других важных документов и видов деятельности можно отметить: "Обследование участия женщин в органах государственной власти и политической жизни", свидетельствующее </w:t>
      </w:r>
      <w:r>
        <w:br/>
        <w:t xml:space="preserve">о значительном отставании новозеландских женщин от прогресса, достигнутого в других, сопоставимых по уровню развития странах; "Доклад о праве на грудное вскармливание"; введение в действие Национальной сети по обеспечению равных возможностей; исследование дискриминации, с которой сталкиваются работники старшего возраста; и уделение особого внимания недопредставленности женщин в области профессиональной подготовки. </w:t>
      </w:r>
    </w:p>
    <w:p w:rsidR="00B44C11" w:rsidRDefault="00B44C11">
      <w:pPr>
        <w:pStyle w:val="Heading4"/>
      </w:pPr>
      <w:r>
        <w:t>Разрешение споров</w:t>
      </w:r>
    </w:p>
    <w:p w:rsidR="00B44C11" w:rsidRDefault="00B44C11">
      <w:r>
        <w:t>31.</w:t>
      </w:r>
      <w:r>
        <w:tab/>
        <w:t xml:space="preserve">За рассматриваемый период каких-либо существенных изменений в плане предоставления Комиссией услуг по разрешению споров не произошло. </w:t>
      </w:r>
    </w:p>
    <w:p w:rsidR="00B44C11" w:rsidRDefault="00B44C11">
      <w:r>
        <w:t>32.</w:t>
      </w:r>
      <w:r>
        <w:tab/>
        <w:t>Общее количество споров в связи с дискриминацией по признаку пола (включая дискриминацию на сексуальной почве) остается достаточно стабильным и составляет около 13 процентов от споров, возникающих за каждый год отчетного периода. В целом на проблему дискриминации по признаку пола приходится до 6 процентов от общего количества споров, а на жалобы в связи с сексуальными домогательствами – до 7 процентов. Однако женщины обращаются в Комиссию и по ряду других связанных с дискриминацией споров. Например, анализ всех жалоб, поданных женщинами за отчетный период, показывает, что споры, в связи с которыми поступают жалобы от женщин, как правило, возникают по следующим, запрещенным, основаниям для дискриминации:</w:t>
      </w:r>
    </w:p>
    <w:p w:rsidR="00B44C11" w:rsidRDefault="00B44C11">
      <w:pPr>
        <w:pStyle w:val="10-18"/>
      </w:pPr>
      <w:r>
        <w:sym w:font="Symbol" w:char="F0B7"/>
      </w:r>
      <w:r>
        <w:tab/>
        <w:t>пол (включая сексуальное домогательство): 16–22 процента всех споров с участием женщин;</w:t>
      </w:r>
    </w:p>
    <w:p w:rsidR="00B44C11" w:rsidRDefault="00B44C11">
      <w:pPr>
        <w:pStyle w:val="10-18"/>
      </w:pPr>
      <w:r>
        <w:sym w:font="Symbol" w:char="F0B7"/>
      </w:r>
      <w:r>
        <w:tab/>
        <w:t>инвалидность: 17–26 процентов всех споров с участием женщин;</w:t>
      </w:r>
    </w:p>
    <w:p w:rsidR="00B44C11" w:rsidRDefault="00B44C11">
      <w:pPr>
        <w:pStyle w:val="10-18"/>
      </w:pPr>
      <w:r>
        <w:sym w:font="Symbol" w:char="F0B7"/>
      </w:r>
      <w:r>
        <w:tab/>
        <w:t>расовая принадлежность (включая этническое и страновое происхождение, расовую рознь и расовые нападки): 24–34 процента всех споров с участием женщин;</w:t>
      </w:r>
    </w:p>
    <w:p w:rsidR="00B44C11" w:rsidRDefault="00B44C11">
      <w:pPr>
        <w:pStyle w:val="10-18"/>
      </w:pPr>
      <w:r>
        <w:sym w:font="Symbol" w:char="F0B7"/>
      </w:r>
      <w:r>
        <w:tab/>
        <w:t>семейное положение: 7–8 процентов всех споров с участием женщин;</w:t>
      </w:r>
    </w:p>
    <w:p w:rsidR="00B44C11" w:rsidRDefault="00B44C11">
      <w:pPr>
        <w:pStyle w:val="10-18"/>
      </w:pPr>
      <w:r>
        <w:sym w:font="Symbol" w:char="F0B7"/>
      </w:r>
      <w:r>
        <w:tab/>
        <w:t>возраст: 5–10 процентов от всех споров с участием женщин.</w:t>
      </w:r>
    </w:p>
    <w:p w:rsidR="00B44C11" w:rsidRDefault="00B44C11">
      <w:r>
        <w:t>33.</w:t>
      </w:r>
      <w:r>
        <w:tab/>
        <w:t xml:space="preserve">Две основные области, где по инициативе женщин возникают споры по поводу дискриминации, касаются занятости и предоставления товаров и услуг. На вопросы занятости, включая период, предшествующий найму, в 2002–2005 годах приходилось 31–46 процентов всех споров с участием женщин, тогда как на обеспечение товарами и услугами – от 33 до 44 процентов. Анализ выборки из 75 споров в связи с дискриминацией по признаку пола показал, что 37 процентов споров связаны с дискриминацией беременных женщин. </w:t>
      </w:r>
    </w:p>
    <w:p w:rsidR="00B44C11" w:rsidRDefault="00B44C11">
      <w:r>
        <w:t>34.</w:t>
      </w:r>
      <w:r>
        <w:tab/>
        <w:t xml:space="preserve">За отчетный период было три значительных спора, связанных с дискриминацией по признаку пола. Они касаются профессиональной сегрегации и равенства в оплате труда, детской бедности </w:t>
      </w:r>
      <w:r>
        <w:br/>
        <w:t>и дискриминации в вопросах предоставления образования, материальной поддержки учащихся и участия в плане кредитования учащихся. По одному из этих споров подана апелляция, а два других</w:t>
      </w:r>
      <w:r>
        <w:rPr>
          <w:lang w:val="en-US"/>
        </w:rPr>
        <w:t> </w:t>
      </w:r>
      <w:r>
        <w:t>– находятся еще на предварительных этапах разрешения спора или решения процедурных вопросов. Эти споры показывают, что сегодня важные вопросы соблюдения прав человека рассматриваются Комиссией и обсуждаются в обществе совсем не так, как это не было принято прежде. Развитию этой практики способствует ширящаяся разъяснительно-пропагандистская деятельность истцов и информация о роли Комиссии в обеспечении услуг для разрешения споров.</w:t>
      </w:r>
    </w:p>
    <w:p w:rsidR="00B44C11" w:rsidRDefault="00B44C11">
      <w:pPr>
        <w:pStyle w:val="Heading4"/>
      </w:pPr>
      <w:r>
        <w:t>Управление по рассмотрению жалоб на нарушения прав человека (УРЖНПЧ)</w:t>
      </w:r>
    </w:p>
    <w:p w:rsidR="00B44C11" w:rsidRDefault="00B44C11">
      <w:r>
        <w:t>35.</w:t>
      </w:r>
      <w:r>
        <w:tab/>
        <w:t xml:space="preserve">Если споры не удается разрешить или если одна из сторон не желает прибегать к услугам посредника, то они могут быть переданы непосредственно на рассмотрение Суда по вопросам прав человека. В таких случаях Управление может представлять интересы истца. В период с 2002 по 2004 год число дел, связанных с дискриминацией по признаку пола и сексуальных домогательств, было крайне незначительным. В связи с этим трудно выявить какие-либо тенденции. И все же </w:t>
      </w:r>
      <w:r>
        <w:br/>
        <w:t>в 2003 году было зарегистрировано четыре случая – три случая сексуального домогательства и один случай дискриминации по признаку пола. В 2004 году было отмечено пять случаев: четыре – сексуального домогательства и один – дискриминации по признаку пола. В 2005 году был всего один случай дискриминации по признаку пола.</w:t>
      </w:r>
    </w:p>
    <w:p w:rsidR="00B44C11" w:rsidRDefault="00B44C11">
      <w:pPr>
        <w:pStyle w:val="Heading3"/>
      </w:pPr>
      <w:r>
        <w:t>Прочее</w:t>
      </w:r>
    </w:p>
    <w:p w:rsidR="00B44C11" w:rsidRDefault="00B44C11">
      <w:r>
        <w:t>36.</w:t>
      </w:r>
      <w:r>
        <w:tab/>
        <w:t xml:space="preserve">По вопросу антидискриминационных мер, касающихся конкретных групп женщин, </w:t>
      </w:r>
      <w:r>
        <w:br/>
        <w:t>см. материал по статье 3: Развитие и улучшение положения женщин, и по статье 14: Женщины, проживающие в сельской местности.</w:t>
      </w:r>
    </w:p>
    <w:p w:rsidR="00B44C11" w:rsidRDefault="00B44C11">
      <w:pPr>
        <w:pStyle w:val="H1"/>
      </w:pPr>
      <w:bookmarkStart w:id="22" w:name="_Toc145842163"/>
      <w:r>
        <w:t>Статья 3</w:t>
      </w:r>
      <w:bookmarkEnd w:id="22"/>
    </w:p>
    <w:p w:rsidR="00B44C11" w:rsidRDefault="00B44C11">
      <w:pPr>
        <w:pStyle w:val="H1"/>
      </w:pPr>
      <w:bookmarkStart w:id="23" w:name="_Toc145841553"/>
      <w:bookmarkStart w:id="24" w:name="_Toc145842164"/>
      <w:r>
        <w:t>Развитие и улучшение положения женщин</w:t>
      </w:r>
      <w:bookmarkEnd w:id="23"/>
      <w:bookmarkEnd w:id="24"/>
    </w:p>
    <w:p w:rsidR="00B44C11" w:rsidRDefault="00B44C11">
      <w:pPr>
        <w:pStyle w:val="Heading3"/>
      </w:pPr>
      <w:r>
        <w:t>Введение</w:t>
      </w:r>
    </w:p>
    <w:p w:rsidR="00B44C11" w:rsidRDefault="00B44C11">
      <w:r>
        <w:t>37.</w:t>
      </w:r>
      <w:r>
        <w:tab/>
        <w:t>В отчетный период все предыдущие правительства продемонстрировали свою решимость добиваться улучшения положения новозеландских женщин и женщин из других стран, в частности женщин, живущих в Тихоокеанском регионе. В Новой Зеландии равенство и улучшение положения женщин признано в качестве необходимого условия улучшения положения всех новозеландцев, и поэтому интегрируются в основные политические процессы. Во многих областях женщины добиваются результатов, сопоставимых с достижениями мужчин, и политика новозеландского правительства сегодня сосредоточена на устранении неравенства в показателях различных групп женщин, а также в преодолении остающихся различий в показателях женщин и мужчин.</w:t>
      </w:r>
    </w:p>
    <w:p w:rsidR="00B44C11" w:rsidRDefault="00B44C11">
      <w:r>
        <w:t>38.</w:t>
      </w:r>
      <w:r>
        <w:tab/>
        <w:t>Новозеландское правительство поставило на самом высоком уровне касающиеся всех ведомств комплексные цели в области развития и улучшения положения женщин, для достижения которых разработало свою главную социальную стратегию под названием "Возможности для всех новозеландцев". Правительственная концепция устойчивого развития Новой Зеландии основана на ряде межсекторальных социальных стратегий, включая План действий в интересах новозеландских женщин (см. диаграмму ниже):</w:t>
      </w:r>
    </w:p>
    <w:bookmarkStart w:id="25" w:name="_MON_1217661300"/>
    <w:bookmarkStart w:id="26" w:name="_MON_1217661333"/>
    <w:bookmarkStart w:id="27" w:name="_MON_1217666151"/>
    <w:bookmarkStart w:id="28" w:name="_MON_1217666181"/>
    <w:bookmarkEnd w:id="25"/>
    <w:bookmarkEnd w:id="26"/>
    <w:bookmarkEnd w:id="27"/>
    <w:bookmarkEnd w:id="28"/>
    <w:p w:rsidR="00B44C11" w:rsidRDefault="00B44C11">
      <w:pPr>
        <w:rPr>
          <w:lang w:val="en-US"/>
        </w:rPr>
      </w:pPr>
      <w:r>
        <w:rPr>
          <w:sz w:val="24"/>
          <w:lang w:val="en-US"/>
        </w:rPr>
        <w:object w:dxaOrig="9281" w:dyaOrig="4965">
          <v:shape id="_x0000_i1027" type="#_x0000_t75" style="width:464.25pt;height:248.25pt" o:ole="">
            <v:imagedata r:id="rId13" o:title=""/>
          </v:shape>
          <o:OLEObject Type="Embed" ProgID="Word.Picture.8" ShapeID="_x0000_i1027" DrawAspect="Content" ObjectID="_1395247785" r:id="rId14"/>
        </w:object>
      </w:r>
    </w:p>
    <w:p w:rsidR="00B44C11" w:rsidRDefault="00B44C11">
      <w:pPr>
        <w:jc w:val="left"/>
        <w:rPr>
          <w:lang w:val="en-US"/>
        </w:rPr>
      </w:pPr>
      <w:r>
        <w:t>Источник</w:t>
      </w:r>
      <w:r>
        <w:rPr>
          <w:lang w:val="en-US"/>
        </w:rPr>
        <w:t xml:space="preserve">: Ministry of Social Development (2004) </w:t>
      </w:r>
      <w:r>
        <w:rPr>
          <w:i/>
          <w:lang w:val="en-US"/>
        </w:rPr>
        <w:t>Opportunity for All New Zealanders</w:t>
      </w:r>
      <w:r>
        <w:rPr>
          <w:lang w:val="en-US"/>
        </w:rPr>
        <w:t xml:space="preserve">. </w:t>
      </w:r>
      <w:r>
        <w:rPr>
          <w:lang w:val="en-US"/>
        </w:rPr>
        <w:br/>
        <w:t xml:space="preserve">Wellington: </w:t>
      </w:r>
      <w:r>
        <w:rPr>
          <w:lang w:val="en-US"/>
        </w:rPr>
        <w:br/>
        <w:t>Ministry of Social Development.</w:t>
      </w:r>
    </w:p>
    <w:p w:rsidR="00B44C11" w:rsidRDefault="00B44C11">
      <w:pPr>
        <w:pStyle w:val="Heading3"/>
        <w:spacing w:before="120"/>
      </w:pPr>
      <w:bookmarkStart w:id="29" w:name="_Toc145841554"/>
      <w:bookmarkStart w:id="30" w:name="_Toc145842165"/>
      <w:r>
        <w:t>Министерство по делам женщин</w:t>
      </w:r>
      <w:bookmarkEnd w:id="29"/>
      <w:bookmarkEnd w:id="30"/>
    </w:p>
    <w:p w:rsidR="00B44C11" w:rsidRDefault="00B44C11">
      <w:r>
        <w:t>39.</w:t>
      </w:r>
      <w:r>
        <w:tab/>
        <w:t>Министерство по делам женщин – это государственное учреждение, которое отвечает за консультирование по вопросам выработки политики по решению специфических проблем новозеландских женщин. МДЖ вносит вклад в разработку правительственной концепции устойчивой Новой Зеландии путем:</w:t>
      </w:r>
    </w:p>
    <w:p w:rsidR="00B44C11" w:rsidRDefault="00B44C11">
      <w:pPr>
        <w:pStyle w:val="10-18"/>
      </w:pPr>
      <w:r>
        <w:sym w:font="Symbol" w:char="F0B7"/>
      </w:r>
      <w:r>
        <w:tab/>
        <w:t>консультирования по вопросам решения проблем, влияющих на социально-экономическое положение женщин;</w:t>
      </w:r>
    </w:p>
    <w:p w:rsidR="00B44C11" w:rsidRDefault="00B44C11">
      <w:pPr>
        <w:pStyle w:val="10-18"/>
      </w:pPr>
      <w:r>
        <w:sym w:font="Symbol" w:char="F0B7"/>
      </w:r>
      <w:r>
        <w:tab/>
        <w:t>содействия правительству в выполнении им своих международных обязательств по улучшению положения женщин;</w:t>
      </w:r>
    </w:p>
    <w:p w:rsidR="00B44C11" w:rsidRDefault="00B44C11">
      <w:pPr>
        <w:pStyle w:val="10-18"/>
      </w:pPr>
      <w:r>
        <w:sym w:font="Symbol" w:char="F0B7"/>
      </w:r>
      <w:r>
        <w:tab/>
        <w:t xml:space="preserve">выдвижения кандидатур имеющих надлежащую квалификацию женщин для работы </w:t>
      </w:r>
      <w:r>
        <w:br/>
        <w:t>в советах и комиссиях государственного сектора.</w:t>
      </w:r>
    </w:p>
    <w:p w:rsidR="00B44C11" w:rsidRDefault="00B44C11">
      <w:r>
        <w:t>40.</w:t>
      </w:r>
      <w:r>
        <w:tab/>
        <w:t xml:space="preserve">МДЖ также консультирует ведомства, оказывающие услуги населению, по методам внедрения гендерного анализа в разработку своей политики, и дает рекомендации по справкам ведомств о гендерных последствиях принимаемых мер. Справки о гендерных последствиях должны включаться во все документы, представляемые Комитету по вопросам социального развития (КСР) кабинета министров. Правительственный КСР рассматривает вопросы разработки и осуществления социальной политики правительства и обеспечения социального равенства. Необходимо консультироваться с МДЖ по всем предложениям, касающимся экономического </w:t>
      </w:r>
      <w:r>
        <w:br/>
        <w:t>и социального положения женщин, особенно женщин народности маори.</w:t>
      </w:r>
    </w:p>
    <w:p w:rsidR="00B44C11" w:rsidRDefault="00B44C11">
      <w:r>
        <w:t>41.</w:t>
      </w:r>
      <w:r>
        <w:tab/>
        <w:t xml:space="preserve">В 2003 году была проведена оценка деятельности МДЖ, укреплен его потенциал и подтвержден его статус в качестве самостоятельного учреждения. В своей деятельности </w:t>
      </w:r>
      <w:r>
        <w:rPr>
          <w:caps/>
        </w:rPr>
        <w:t>м</w:t>
      </w:r>
      <w:r>
        <w:t>инистерство руководствуется Планом действий в интересах новозеландских женщин, пятилетним межведомственным государственным планом, направленным на повышение качества жизни новозеландских женщин, выполнение которого было начато в 2004 году.</w:t>
      </w:r>
    </w:p>
    <w:p w:rsidR="00B44C11" w:rsidRDefault="00B44C11">
      <w:pPr>
        <w:pStyle w:val="Heading3"/>
      </w:pPr>
      <w:r>
        <w:t>План действий в интересах новозеландских женщин</w:t>
      </w:r>
    </w:p>
    <w:p w:rsidR="00B44C11" w:rsidRDefault="00B44C11">
      <w:r>
        <w:t>42.</w:t>
      </w:r>
      <w:r>
        <w:tab/>
        <w:t xml:space="preserve">В 2002 году правительство дало указания МДЖ разработать в консультации с другими учреждениями План действий в интересах новозеландских женщин. В этом </w:t>
      </w:r>
      <w:r>
        <w:rPr>
          <w:caps/>
        </w:rPr>
        <w:t>п</w:t>
      </w:r>
      <w:r>
        <w:t xml:space="preserve">лане сформулировано обязательство правительства по улучшению положения женщин по ряду показателей и сокращению масштабов неравенства между женщинами и мужчинами, а также между конкретными группами женщин. Вклад в разработку этого </w:t>
      </w:r>
      <w:r>
        <w:rPr>
          <w:caps/>
        </w:rPr>
        <w:t>п</w:t>
      </w:r>
      <w:r>
        <w:t xml:space="preserve">лана внесли многие женщины и НПО по всей Новой Зеландии. </w:t>
      </w:r>
    </w:p>
    <w:p w:rsidR="00B44C11" w:rsidRDefault="00B44C11">
      <w:r>
        <w:t>43.</w:t>
      </w:r>
      <w:r>
        <w:tab/>
        <w:t xml:space="preserve">Правительственная концепция превращения Новой Зеландии в справедливое и устойчивое общество, обеспечивающее равные возможности для всех, может способствовать реализации устремлений новозеландских женщин, и, кроме того, женщины-маори как tangata whenua (представительницы коренного народа) могут осуществить чаяния своей whānau (семьи), hapū (подплемени) и iwi (племени). Другие предусмотренные в Плане действия направлены на улучшение показателей в областях, которые оказывают наибольшее влияние на положение новозеландских женщин с тихоокеанских островов, сельских женщин, женщин-инвалидов, женщин из числа этнических меньшинств и престарелых женщин. </w:t>
      </w:r>
    </w:p>
    <w:p w:rsidR="00B44C11" w:rsidRDefault="00B44C11">
      <w:r>
        <w:t>44.</w:t>
      </w:r>
      <w:r>
        <w:tab/>
        <w:t>Новозеландское правительство придало первоочередный характер мерам, направленным на улучшение положения женщин в трех взаимосвязанных областях:</w:t>
      </w:r>
    </w:p>
    <w:p w:rsidR="00B44C11" w:rsidRDefault="00B44C11">
      <w:pPr>
        <w:pStyle w:val="10-18"/>
      </w:pPr>
      <w:r>
        <w:sym w:font="Symbol" w:char="F0B7"/>
      </w:r>
      <w:r>
        <w:tab/>
        <w:t>экономическая устойчивость – с целью повысить экономическую независимость женщин и их способность вносить вклад в экономику Новой Зеландии;</w:t>
      </w:r>
    </w:p>
    <w:p w:rsidR="00B44C11" w:rsidRDefault="00B44C11">
      <w:pPr>
        <w:pStyle w:val="10-18"/>
      </w:pPr>
      <w:r>
        <w:sym w:font="Symbol" w:char="F0B7"/>
      </w:r>
      <w:r>
        <w:tab/>
        <w:t>сочетание трудовой деятельности и семейной жизни – с целью помочь женщинам в достижении более гармоничного сочетания оплачиваемой работы и жизни вне работы;</w:t>
      </w:r>
    </w:p>
    <w:p w:rsidR="00B44C11" w:rsidRDefault="00B44C11">
      <w:pPr>
        <w:pStyle w:val="10-18"/>
      </w:pPr>
      <w:r>
        <w:sym w:font="Symbol" w:char="F0B7"/>
      </w:r>
      <w:r>
        <w:tab/>
        <w:t>благополучие – с целью улучшить медико-санитарные и социальные показатели для женщин.</w:t>
      </w:r>
    </w:p>
    <w:p w:rsidR="00B44C11" w:rsidRDefault="00B44C11">
      <w:r>
        <w:t>45.</w:t>
      </w:r>
      <w:r>
        <w:tab/>
        <w:t xml:space="preserve">Эти области отражают мнения женщин о том, что является важным для них, те сферы, показатели в которых свидетельствуют о неудовлетворительных для женщин результатах принимаемых мер, и сферы, в которых действия правительства могут обеспечить улучшение положения. Определение в </w:t>
      </w:r>
      <w:r>
        <w:rPr>
          <w:caps/>
        </w:rPr>
        <w:t>п</w:t>
      </w:r>
      <w:r>
        <w:t xml:space="preserve">лане сроков завершения мероприятий, промежуточных этапов и целей будет способствовать достижению желательных для женщин результатов принимаемых мер. </w:t>
      </w:r>
    </w:p>
    <w:p w:rsidR="00B44C11" w:rsidRDefault="00B44C11">
      <w:r>
        <w:t>46.</w:t>
      </w:r>
      <w:r>
        <w:tab/>
        <w:t>Нижеследующая диаграмма показывает, как План способствует реализации правительственной концепции устойчивой Новой Зеландии:</w:t>
      </w:r>
    </w:p>
    <w:p w:rsidR="00B44C11" w:rsidRDefault="00B44C11">
      <w:pPr>
        <w:jc w:val="center"/>
        <w:rPr>
          <w:lang w:val="en-US"/>
        </w:rPr>
      </w:pPr>
      <w:r>
        <w:br w:type="page"/>
      </w:r>
      <w:bookmarkStart w:id="31" w:name="_MON_1217672213"/>
      <w:bookmarkStart w:id="32" w:name="_MON_1217672360"/>
      <w:bookmarkStart w:id="33" w:name="_MON_1217672491"/>
      <w:bookmarkStart w:id="34" w:name="_MON_1219664288"/>
      <w:bookmarkStart w:id="35" w:name="_MON_1219664383"/>
      <w:bookmarkStart w:id="36" w:name="_MON_1219847608"/>
      <w:bookmarkStart w:id="37" w:name="_MON_1219847678"/>
      <w:bookmarkStart w:id="38" w:name="_MON_1219847747"/>
      <w:bookmarkStart w:id="39" w:name="_MON_1219847764"/>
      <w:bookmarkEnd w:id="31"/>
      <w:bookmarkEnd w:id="32"/>
      <w:bookmarkEnd w:id="33"/>
      <w:bookmarkEnd w:id="34"/>
      <w:bookmarkEnd w:id="35"/>
      <w:bookmarkEnd w:id="36"/>
      <w:bookmarkEnd w:id="37"/>
      <w:bookmarkEnd w:id="38"/>
      <w:bookmarkEnd w:id="39"/>
      <w:r>
        <w:object w:dxaOrig="8997" w:dyaOrig="9432">
          <v:shape id="_x0000_i1028" type="#_x0000_t75" style="width:450pt;height:471.75pt" o:ole="">
            <v:imagedata r:id="rId15" o:title=""/>
          </v:shape>
          <o:OLEObject Type="Embed" ProgID="Word.Picture.8" ShapeID="_x0000_i1028" DrawAspect="Content" ObjectID="_1395247786" r:id="rId16"/>
        </w:object>
      </w:r>
    </w:p>
    <w:p w:rsidR="00B44C11" w:rsidRDefault="00B44C11">
      <w:pPr>
        <w:ind w:left="284" w:right="192"/>
        <w:jc w:val="left"/>
        <w:rPr>
          <w:lang w:val="en-US"/>
        </w:rPr>
      </w:pPr>
      <w:r>
        <w:t>Источник</w:t>
      </w:r>
      <w:r>
        <w:rPr>
          <w:lang w:val="en-US"/>
        </w:rPr>
        <w:t xml:space="preserve">: Ministry of Women's Affairs (2005) </w:t>
      </w:r>
      <w:r>
        <w:rPr>
          <w:i/>
          <w:lang w:val="en-US"/>
        </w:rPr>
        <w:t xml:space="preserve">Statement of Intent 2005-2008. </w:t>
      </w:r>
      <w:r>
        <w:rPr>
          <w:lang w:val="en-US"/>
        </w:rPr>
        <w:t>Wellington: Ministry of Women's Affairs.</w:t>
      </w:r>
    </w:p>
    <w:p w:rsidR="00B44C11" w:rsidRDefault="00B44C11"/>
    <w:p w:rsidR="00B44C11" w:rsidRDefault="00B44C11">
      <w:r>
        <w:t>47.</w:t>
      </w:r>
      <w:r>
        <w:tab/>
        <w:t xml:space="preserve">Осуществление этого Плана содействует реализации концепции будущего развития в интересах женщин и улучшению экономических и социальных перспектив для Новой Зеландии. Надзор за осуществлением Плана ведется руководящей группой руководителей старшего звена из ведущих государственных учреждений. МДЖ проводит мониторинг прогресса по мере выполнения Плана. Предложение по рассмотрению и обновлению Плана будет представлено правительству </w:t>
      </w:r>
      <w:r>
        <w:br/>
        <w:t>в 2006 году.</w:t>
      </w:r>
    </w:p>
    <w:p w:rsidR="00B44C11" w:rsidRDefault="00B44C11">
      <w:pPr>
        <w:pStyle w:val="Heading3"/>
      </w:pPr>
      <w:r>
        <w:t>Женщины-беженцы и мигранты</w:t>
      </w:r>
    </w:p>
    <w:p w:rsidR="00B44C11" w:rsidRDefault="00B44C11">
      <w:r>
        <w:t>48.</w:t>
      </w:r>
      <w:r>
        <w:tab/>
        <w:t>В пункте 426 заключительных замечаний Комитета по последнему докладу Новой Зеландии содержатся конкретные рекомендации, касающиеся женщин-беженцев и мигрантов. Правительство страны, поставившей свою подпись под Конвенцией Организации Объединенных Наций о ликвидации расовой дискриминации, несет серьезную ответственность за борьбу в Новой Зеландии с расизмом во всех его формах. Усилия правительства по ликвидации расовой дискриминации и ксенофобии, в том числе в отношении беженцев и мигрантов, подробно рассматриваются в сводном 15-м, 16-м и 17-м периодическом докладе Новой Зеландии, представленном Комитету по ликвидации расовой дискриминации. В данном докладе внимание также обращается на имеющиеся стратегии и услуги, направленные на удовлетворение потребностей беженцев и мигрантов в области образования, здравоохранения, занятости и других областях, включая:</w:t>
      </w:r>
    </w:p>
    <w:p w:rsidR="00B44C11" w:rsidRDefault="00B44C11">
      <w:pPr>
        <w:pStyle w:val="10-18"/>
      </w:pPr>
      <w:r>
        <w:sym w:font="Symbol" w:char="F0B7"/>
      </w:r>
      <w:r>
        <w:tab/>
        <w:t>Управление по делам этнических групп, созданное в 2001 году, которое работает со всеми этническими группами, включая мигрантов, беженцев и их родившихся в Новой Зеландии потомков, идентифицирующих себя со своим этническим наследием.</w:t>
      </w:r>
    </w:p>
    <w:p w:rsidR="00B44C11" w:rsidRDefault="00B44C11">
      <w:pPr>
        <w:pStyle w:val="10-18"/>
      </w:pPr>
      <w:r>
        <w:sym w:font="Symbol" w:char="F0B7"/>
      </w:r>
      <w:r>
        <w:tab/>
        <w:t>Новозеландскую стратегию ассимиляции, осуществление которой было начато в декабре 2004 года (см. ниже).</w:t>
      </w:r>
    </w:p>
    <w:p w:rsidR="00B44C11" w:rsidRDefault="00B44C11">
      <w:pPr>
        <w:pStyle w:val="10-18"/>
      </w:pPr>
      <w:r>
        <w:sym w:font="Symbol" w:char="F0B7"/>
      </w:r>
      <w:r>
        <w:t xml:space="preserve"> </w:t>
      </w:r>
      <w:r>
        <w:tab/>
        <w:t>Стратегию ЕСОЛ (английский для лиц, говорящих на других языках) для взрослых.</w:t>
      </w:r>
    </w:p>
    <w:p w:rsidR="00B44C11" w:rsidRDefault="00B44C11">
      <w:pPr>
        <w:pStyle w:val="10-18"/>
      </w:pPr>
      <w:r>
        <w:sym w:font="Symbol" w:char="F0B7"/>
      </w:r>
      <w:r>
        <w:tab/>
      </w:r>
      <w:r>
        <w:rPr>
          <w:caps/>
        </w:rPr>
        <w:t>я</w:t>
      </w:r>
      <w:r>
        <w:t>зыковую линию: телефонная служба по оказанию переводческих услуг, которая начала функционировать в апреле 2003 года и предназначена для обеспечения более широкого доступа к государственным услугам для лиц, которые говорят по-английски плохо или вообще не говорят.</w:t>
      </w:r>
    </w:p>
    <w:p w:rsidR="00B44C11" w:rsidRDefault="00B44C11">
      <w:pPr>
        <w:pStyle w:val="10-18"/>
      </w:pPr>
      <w:r>
        <w:sym w:font="Symbol" w:char="F0B7"/>
      </w:r>
      <w:r>
        <w:tab/>
      </w:r>
      <w:r>
        <w:rPr>
          <w:caps/>
        </w:rPr>
        <w:t>н</w:t>
      </w:r>
      <w:r>
        <w:t>епрерывную разработку стратегической основы для осуществления мероприятий и оперативного удовлетворения потребностей в области здравоохранения этнических групп (EARTH).</w:t>
      </w:r>
    </w:p>
    <w:p w:rsidR="00B44C11" w:rsidRDefault="00B44C11">
      <w:r>
        <w:t>49.</w:t>
      </w:r>
      <w:r>
        <w:tab/>
        <w:t>Помимо этого, в материалы, посвященные конкретным статьям, по возможности, включены дезагрегированные данные о положении женщин-беженцев и женщин-мигрантов, в том числе в сфере занятости, здравоохранения и образования. В будущем с развитием метода продольного обследования иммиграции подобные данные станут более доступными: Новая Зеландия изучает опыт ассимиляции беженцев и мигрантов, прибывших в Новую Зеландию, в том числе в таких областях, как поиски работы, изучение английского языка и получение доступа к услугам здравоохранения.</w:t>
      </w:r>
    </w:p>
    <w:p w:rsidR="00B44C11" w:rsidRDefault="00B44C11">
      <w:pPr>
        <w:pStyle w:val="Heading4"/>
      </w:pPr>
      <w:r>
        <w:t>Новозеландская стратегия ассимиляции</w:t>
      </w:r>
    </w:p>
    <w:p w:rsidR="00B44C11" w:rsidRDefault="00B44C11">
      <w:r>
        <w:t>50.</w:t>
      </w:r>
      <w:r>
        <w:tab/>
      </w:r>
      <w:r>
        <w:rPr>
          <w:i/>
        </w:rPr>
        <w:t>Новозеландская стратегия ассимиляции</w:t>
      </w:r>
      <w:r>
        <w:t xml:space="preserve">, осуществление которой было начато в 2004 году, обеспечивает рамки для разработки связанных с ассимиляцией политики и услуг. В стратегии предусматривается создание широкой государственной основы для достижения наилучших для мигрантов, беженцев и их семей результатов осуществления согласованных мер по ассимиляции, </w:t>
      </w:r>
      <w:r>
        <w:br/>
        <w:t>с тем чтобы они могли достичь следующих шести целей:</w:t>
      </w:r>
    </w:p>
    <w:p w:rsidR="00B44C11" w:rsidRDefault="00B44C11">
      <w:pPr>
        <w:pStyle w:val="10-18"/>
        <w:keepNext/>
      </w:pPr>
      <w:r>
        <w:sym w:font="Symbol" w:char="F0B7"/>
      </w:r>
      <w:r>
        <w:tab/>
        <w:t>получить работу в соответствии с их квалификацией;</w:t>
      </w:r>
    </w:p>
    <w:p w:rsidR="00B44C11" w:rsidRDefault="00B44C11">
      <w:pPr>
        <w:pStyle w:val="10-18"/>
      </w:pPr>
      <w:r>
        <w:sym w:font="Symbol" w:char="F0B7"/>
      </w:r>
      <w:r>
        <w:tab/>
        <w:t>иметь возможность доступа к надлежащей информации и удовлетворяющим их потребности услугам;</w:t>
      </w:r>
    </w:p>
    <w:p w:rsidR="00B44C11" w:rsidRDefault="00B44C11">
      <w:pPr>
        <w:pStyle w:val="10-18"/>
      </w:pPr>
      <w:r>
        <w:sym w:font="Symbol" w:char="F0B7"/>
      </w:r>
      <w:r>
        <w:tab/>
        <w:t>уверенно владеть английским языком в новозеландском окружении или иметь возможность доступа к необходимой языковой поддержке;</w:t>
      </w:r>
    </w:p>
    <w:p w:rsidR="00B44C11" w:rsidRDefault="00B44C11">
      <w:pPr>
        <w:pStyle w:val="10-18"/>
      </w:pPr>
      <w:r>
        <w:sym w:font="Symbol" w:char="F0B7"/>
      </w:r>
      <w:r>
        <w:tab/>
        <w:t>иметь возможность создания вспомогательных социальных сетей и формирования устойчивой общинной идентичности;</w:t>
      </w:r>
    </w:p>
    <w:p w:rsidR="00B44C11" w:rsidRDefault="00B44C11">
      <w:pPr>
        <w:pStyle w:val="10-18"/>
      </w:pPr>
      <w:r>
        <w:sym w:font="Symbol" w:char="F0B7"/>
      </w:r>
      <w:r>
        <w:tab/>
        <w:t>чувствовать себя в безопасности, выражая свою этническую идентичность, а также приемлемость их широкими слоями общества и сопричастность к ним в принимающей их стране;</w:t>
      </w:r>
    </w:p>
    <w:p w:rsidR="00B44C11" w:rsidRDefault="00B44C11">
      <w:pPr>
        <w:pStyle w:val="10-18"/>
      </w:pPr>
      <w:r>
        <w:sym w:font="Symbol" w:char="F0B7"/>
      </w:r>
      <w:r>
        <w:tab/>
        <w:t>участвовать в гражданской, общинной и социальной деятельности.</w:t>
      </w:r>
    </w:p>
    <w:p w:rsidR="00B44C11" w:rsidRDefault="00B44C11">
      <w:r>
        <w:t>51.</w:t>
      </w:r>
      <w:r>
        <w:tab/>
      </w:r>
      <w:r>
        <w:rPr>
          <w:i/>
        </w:rPr>
        <w:t>Стратегия ассимиляции</w:t>
      </w:r>
      <w:r>
        <w:t xml:space="preserve"> реализуется через широкий ряд инициатив, руководство которыми осуществляется различными правительственными учреждениями. Помимо этого, </w:t>
      </w:r>
      <w:r>
        <w:rPr>
          <w:i/>
        </w:rPr>
        <w:t>стратегия</w:t>
      </w:r>
      <w:r>
        <w:t xml:space="preserve"> побуждает центральное правительство и органы местного самоуправления, общинные организации, деловые круги и промышленность, а также местные общины устанавливать между собой партнерские отношения в целях предоставления возможностей и поддержки мигрантам и беженцам.</w:t>
      </w:r>
    </w:p>
    <w:p w:rsidR="00B44C11" w:rsidRDefault="00B44C11">
      <w:pPr>
        <w:pStyle w:val="Heading3"/>
      </w:pPr>
      <w:r>
        <w:t>Женщины-инвалиды</w:t>
      </w:r>
    </w:p>
    <w:p w:rsidR="00B44C11" w:rsidRDefault="00B44C11">
      <w:r>
        <w:t>52.</w:t>
      </w:r>
      <w:r>
        <w:tab/>
        <w:t xml:space="preserve">Новозеландские женщины, и особенно женщины-инвалиды, принимают самое активное участие в разработке предлагаемой новой конвенции Организации Объединенных Наций о правах инвалидов. Управление по вопросам инвалидности работает в тесном взаимодействии </w:t>
      </w:r>
      <w:r>
        <w:br/>
        <w:t xml:space="preserve">с </w:t>
      </w:r>
      <w:r>
        <w:rPr>
          <w:caps/>
        </w:rPr>
        <w:t>м</w:t>
      </w:r>
      <w:r>
        <w:t xml:space="preserve">инистерством иностранных дел и торговли (МИДВТ) и в партнерстве с инвалидами и организациями сектора помощи инвалидам, активно содействуя вкладу Новой Зеландии </w:t>
      </w:r>
      <w:r>
        <w:br/>
        <w:t>в разработку конвенции. В конвенции затрагиваются проблемы помощи инвалидам, которыми серьезно пренебрегают на международном уровне и в Новой Зеландии.</w:t>
      </w:r>
    </w:p>
    <w:p w:rsidR="00B44C11" w:rsidRDefault="00B44C11">
      <w:pPr>
        <w:pStyle w:val="Heading3"/>
      </w:pPr>
      <w:r>
        <w:t>Другие группы женщин</w:t>
      </w:r>
    </w:p>
    <w:p w:rsidR="00B44C11" w:rsidRDefault="00B44C11">
      <w:r>
        <w:t>53.</w:t>
      </w:r>
      <w:r>
        <w:tab/>
        <w:t xml:space="preserve">Дополнительная информация о положении женщин народности маори, женщин тихоокеанских островов, женщин-инвалидов, престарелых женщин и молодых женщин, в том числе стратегии, учитывающие их конкретные потребности, по возможности, включены </w:t>
      </w:r>
      <w:r>
        <w:br/>
        <w:t>в материалы, посвященные каждой из статей.</w:t>
      </w:r>
    </w:p>
    <w:p w:rsidR="00B44C11" w:rsidRDefault="00B44C11">
      <w:r>
        <w:t>54.</w:t>
      </w:r>
      <w:r>
        <w:tab/>
        <w:t>Необходимы также ссылки на последний доклад в связи с информацией по стратегии улучшения положения молодежи "Аотеароа", новозеландской стратегии улучшения положения престарелых и новозеландской стратегии по улучшению положения инвалидов, на основе которых правительство по-прежнему разрабатывает подходы к решению проблем молодежи, престарелых и инвалидов.</w:t>
      </w:r>
    </w:p>
    <w:p w:rsidR="00B44C11" w:rsidRDefault="00B44C11">
      <w:pPr>
        <w:pStyle w:val="Heading3"/>
      </w:pPr>
      <w:r>
        <w:t>Улучшение положения женщин в других странах</w:t>
      </w:r>
    </w:p>
    <w:p w:rsidR="00B44C11" w:rsidRDefault="00B44C11">
      <w:r>
        <w:t>55.</w:t>
      </w:r>
      <w:r>
        <w:tab/>
        <w:t>Новозеландское агентство по международному развитию "Nga Hoe Tuputupu-mai-tawhiti" (НЗАИД)</w:t>
      </w:r>
      <w:r>
        <w:rPr>
          <w:rStyle w:val="FootnoteReference"/>
        </w:rPr>
        <w:footnoteReference w:id="4"/>
      </w:r>
      <w:r>
        <w:t xml:space="preserve"> – это государственное учреждение по предоставлению международной помощи в целях развития. С момента создания агентства в июле 2002 года главной задачей миссии НЗАИД является искоренение бедности с уделением особого внимания Тихоокеанскому региону, что отражает приверженность правительства политике международной лояльности и добрососедства. НЗАИД отдает приоритет установлению прочных партнерских отношений и направляет свою помощь </w:t>
      </w:r>
      <w:r>
        <w:br/>
        <w:t>в целях развития на деятельность, которая способствует искоренению нищеты путем создания безопасных и справедливых обществ равных возможностей для всех, удовлетворения основных потребностей и достижения экологической устойчивости и устойчивого жизнеобеспечения. Вопрос о вкладе НЗАИД в развитие и улучшение положения женщин рассматривается далее в рамках статьи 8 "Представительство и участие на международном уровне".</w:t>
      </w:r>
    </w:p>
    <w:p w:rsidR="00B44C11" w:rsidRDefault="00B44C11">
      <w:pPr>
        <w:pStyle w:val="H1"/>
      </w:pPr>
      <w:bookmarkStart w:id="40" w:name="_Toc145842166"/>
      <w:r>
        <w:t>Статья 4</w:t>
      </w:r>
      <w:bookmarkEnd w:id="40"/>
    </w:p>
    <w:p w:rsidR="00B44C11" w:rsidRDefault="00B44C11">
      <w:pPr>
        <w:pStyle w:val="H1"/>
      </w:pPr>
      <w:bookmarkStart w:id="41" w:name="_Toc145841556"/>
      <w:bookmarkStart w:id="42" w:name="_Toc145842167"/>
      <w:r>
        <w:t>Ускорение установления равенства между мужчинами и женщинами</w:t>
      </w:r>
      <w:bookmarkEnd w:id="41"/>
      <w:bookmarkEnd w:id="42"/>
    </w:p>
    <w:p w:rsidR="00B44C11" w:rsidRDefault="00B44C11">
      <w:r>
        <w:rPr>
          <w:b/>
        </w:rPr>
        <w:t>Введение</w:t>
      </w:r>
    </w:p>
    <w:p w:rsidR="00B44C11" w:rsidRDefault="00B44C11">
      <w:r>
        <w:t>56.</w:t>
      </w:r>
      <w:r>
        <w:tab/>
        <w:t xml:space="preserve">Принцип равенства между мужчинами и женщинами закреплен в политико-правовой основе страны. Законы существуют для того, чтобы обеспечить равные права женщин во всех областях жизни, например право на равную оплату за труд равной ценности, на равный доступ </w:t>
      </w:r>
      <w:r>
        <w:br/>
        <w:t>к образованию и подготовке и на всеобщий доступ к пенсиям по старости и причитающимся пенсионным выплатам для женщин. Наряду с этим существует также такой закон, как Закон об отпуске по уходу за ребенком и защите занятости (оплачиваемом отпуске по уходу за ребенком) 2002 года, который призван устранять любое неравенство, возникающее в силу конкретных потребностей женщин, например необходимости прекратить работу, чтобы ухаживать за детьми.</w:t>
      </w:r>
    </w:p>
    <w:p w:rsidR="00B44C11" w:rsidRDefault="00B44C11">
      <w:r>
        <w:t>57.</w:t>
      </w:r>
      <w:r>
        <w:tab/>
        <w:t>Правительство предпочитает решать проблемы неравенства через механизмы политико-правовой системы, чем прибегать к использованию временных специальных мер. Это обеспечивает возможность использования всеобъемлющего подхода к улучшению положения женщин и получение устойчивых результатов.</w:t>
      </w:r>
    </w:p>
    <w:p w:rsidR="00B44C11" w:rsidRDefault="00B44C11">
      <w:pPr>
        <w:pStyle w:val="Heading3"/>
      </w:pPr>
      <w:r>
        <w:t>Временные специальные меры</w:t>
      </w:r>
    </w:p>
    <w:p w:rsidR="00B44C11" w:rsidRDefault="00B44C11">
      <w:r>
        <w:t>58.</w:t>
      </w:r>
      <w:r>
        <w:tab/>
        <w:t>С момента представления последнего доклада не произошло никаких изменений в правовых нормах, предусматривающих применение временных специальных мер. По традиции правительство использует временные специальные меры в целях развития и защиты определенных этнических групп, но оно стало более жестко подходить к использованию таких мер после их пересмотра в 2004 и 2005 годах</w:t>
      </w:r>
      <w:r>
        <w:rPr>
          <w:rStyle w:val="FootnoteReference"/>
        </w:rPr>
        <w:footnoteReference w:id="5"/>
      </w:r>
      <w:r>
        <w:t>. Правительство считает уместным жесткий подход к целевым программам, который важен для обеспечения доверия к ним и признания их обществом.</w:t>
      </w:r>
    </w:p>
    <w:p w:rsidR="00B44C11" w:rsidRDefault="00B44C11">
      <w:pPr>
        <w:pStyle w:val="H1"/>
      </w:pPr>
      <w:bookmarkStart w:id="43" w:name="_Toc145842168"/>
      <w:r>
        <w:t>Статья 5</w:t>
      </w:r>
      <w:bookmarkEnd w:id="43"/>
    </w:p>
    <w:p w:rsidR="00B44C11" w:rsidRDefault="00B44C11">
      <w:pPr>
        <w:pStyle w:val="H1"/>
      </w:pPr>
      <w:bookmarkStart w:id="44" w:name="_Toc145841558"/>
      <w:bookmarkStart w:id="45" w:name="_Toc145842169"/>
      <w:r>
        <w:t>Роль мужчин и женщин и ее стереотипное изображение</w:t>
      </w:r>
      <w:bookmarkEnd w:id="44"/>
      <w:bookmarkEnd w:id="45"/>
      <w:r>
        <w:t xml:space="preserve"> </w:t>
      </w:r>
    </w:p>
    <w:p w:rsidR="00B44C11" w:rsidRDefault="00B44C11">
      <w:pPr>
        <w:rPr>
          <w:b/>
        </w:rPr>
      </w:pPr>
      <w:r>
        <w:rPr>
          <w:b/>
        </w:rPr>
        <w:t xml:space="preserve">Введение </w:t>
      </w:r>
    </w:p>
    <w:p w:rsidR="00B44C11" w:rsidRDefault="00B44C11">
      <w:r>
        <w:t>59.</w:t>
      </w:r>
      <w:r>
        <w:tab/>
        <w:t>Проведенное в 2002 году обследование показало, что взгляды на роли мужчин и женщин в обществе меняются. Меньшинство новозеландцев (18 процентов) придерживаются традиционного мнения, согласно которому мужчина должен работать и зарабатывать деньги, а женщина должна заниматься домом и семьей. Более 50 процентов респондентов согласились с тем, что мужчины должны больше работать по дому и заниматься детьми, чем они это делают сейчас</w:t>
      </w:r>
      <w:r>
        <w:rPr>
          <w:rStyle w:val="FootnoteReference"/>
        </w:rPr>
        <w:footnoteReference w:id="6"/>
      </w:r>
      <w:r>
        <w:t xml:space="preserve">. </w:t>
      </w:r>
    </w:p>
    <w:p w:rsidR="00B44C11" w:rsidRDefault="00B44C11">
      <w:r>
        <w:t>60.</w:t>
      </w:r>
      <w:r>
        <w:tab/>
        <w:t xml:space="preserve">Подобному изменению сложившихся представлений способствует законодательно-политическая база, которая поощряет достижение равенства между мужчинами и женщинами и обеспечивает женщинам максимальные возможности выбора и участия во всех областях жизни. Повышение образования женщин также положительно сказывается на видах и уровне работы, выполняемой женщинами. Меры политики, направленные на поддержку участия женщин во всех сферах жизни, рассматриваются в материалах, посвященных соответствующим статьям, например статье 10: Образование. Роли мужчин и женщин в воспитании детей обсуждаются в рамках статьи 16: Брак и семейная жизнь. В настоящем разделе рассматриваются законы, которые регулируют вопросы изображения роли женщин в вещательных и печатных средствах массовой информации. </w:t>
      </w:r>
    </w:p>
    <w:p w:rsidR="00B44C11" w:rsidRDefault="00B44C11">
      <w:pPr>
        <w:pStyle w:val="Heading3"/>
      </w:pPr>
      <w:r>
        <w:t>Цензура</w:t>
      </w:r>
    </w:p>
    <w:p w:rsidR="00B44C11" w:rsidRDefault="00B44C11">
      <w:r>
        <w:t>61.</w:t>
      </w:r>
      <w:r>
        <w:tab/>
        <w:t>Всем фильмам (включая кинофильмы, видеозаписи, компьютерные игры и иные носители с движущимся изображением) должна быть присвоена категория, они должны быть классифицированы и снабжены соответствующими обозначениями в виде наклеек, прежде чем их увидит зритель (кроме тех из них, которые исключены из их числа на основании раздела 8 Закона 1993 года о классификации кинофильмов, видеозаписей и публикаций) (далее называемый "Закон")</w:t>
      </w:r>
      <w:r>
        <w:rPr>
          <w:rStyle w:val="FootnoteReference"/>
        </w:rPr>
        <w:footnoteReference w:id="7"/>
      </w:r>
      <w:r>
        <w:t xml:space="preserve">. Благодаря присвоению категории и классификации фильмов потребитель получает информацию о том, насколько фильмы приемлемы для просмотра в той или иной аудитории. </w:t>
      </w:r>
    </w:p>
    <w:p w:rsidR="00B44C11" w:rsidRDefault="00B44C11">
      <w:r>
        <w:t>62.</w:t>
      </w:r>
      <w:r>
        <w:tab/>
        <w:t>Закон не требует классификации журналов, книг и прочих публикаций, выпущенных не на пленке, до того как они будут обнародованы. Однако подобные публикации все же подпадают под действие установленных Законом ограничений в отношении нежелательных публикаций</w:t>
      </w:r>
      <w:r>
        <w:rPr>
          <w:rStyle w:val="FootnoteReference"/>
        </w:rPr>
        <w:footnoteReference w:id="8"/>
      </w:r>
      <w:r>
        <w:t>, а также на них распространяются общие запреты, предусматриваемые Законом в отношении публикаций, которые поощряют или поддерживают определенные действия, например сексуальную эксплуатацию детей, или сексуальное насилие, или принуждение.</w:t>
      </w:r>
    </w:p>
    <w:p w:rsidR="00B44C11" w:rsidRDefault="00B44C11">
      <w:r>
        <w:t>63.</w:t>
      </w:r>
      <w:r>
        <w:tab/>
        <w:t xml:space="preserve">Хотя основные учреждения, занимающиеся вопросами цензуры, и их обязанности не претерпели каких-либо изменений, за отчетный период вступили в силу существенные поправки, которые были внесены в сам Закон. Эти поправки, в дополнение к ужесточению наказаний за публикации сомнительного содержания, предоставляют Управлению по классификации кинофильмов и произведений литературы (УККПЛ) право ограничивать или запрещать показ откровенно сексуальных образов обнаженных детей и право ограничивать публикации, содержащие крайне оскорбительные слова и выражения, наглядное представление в привлекательном виде способов изменения своего тела или самоубийства, наглядный показ крайне рискованных поддающихся воспроизведению трюков и шуток, а также публикации, в которых содержится изображение порочащего достоинство поведения на уровне физического контакта, и порочащих достоинство или оскорбительных изображений человеческого тела и жестокого сексуального насилия. </w:t>
      </w:r>
    </w:p>
    <w:p w:rsidR="00B44C11" w:rsidRDefault="00B44C11">
      <w:r>
        <w:t>64.</w:t>
      </w:r>
      <w:r>
        <w:tab/>
        <w:t>В декабре 2002 года министр по вопросам вещания создал Рабочую группу, представляющую вещательные компании, законодателей, продюсеров, ученых и группы по защите общественных интересов, для изучения уровней насилия, которое показывает телевидение Новой Зеландии, с учетом международного контекста. Эта группа также должна была подготовить новое исследование, чтобы иметь возможность на основе полученной информации вести свои обсуждения и выносить рекомендации. Рабочая группа представила доклад министру по вопросам вещания в 2004 году</w:t>
      </w:r>
      <w:r>
        <w:rPr>
          <w:rStyle w:val="FootnoteReference"/>
        </w:rPr>
        <w:footnoteReference w:id="9"/>
      </w:r>
      <w:r>
        <w:t>. Предложения Рабочей группы по вопросу показа насилия по телевидению включали:</w:t>
      </w:r>
    </w:p>
    <w:p w:rsidR="00B44C11" w:rsidRDefault="00B44C11">
      <w:pPr>
        <w:pStyle w:val="10-18"/>
      </w:pPr>
      <w:r>
        <w:sym w:font="Symbol" w:char="F0B7"/>
      </w:r>
      <w:r>
        <w:tab/>
        <w:t>расширение образовательной и информативной роли Управления по стандартам вещания;</w:t>
      </w:r>
    </w:p>
    <w:p w:rsidR="00B44C11" w:rsidRDefault="00B44C11">
      <w:pPr>
        <w:pStyle w:val="10-18"/>
      </w:pPr>
      <w:r>
        <w:sym w:font="Symbol" w:char="F0B7"/>
      </w:r>
      <w:r>
        <w:tab/>
        <w:t xml:space="preserve">предоставление телезрителям большей информации, чтобы они имели возможность выбора </w:t>
      </w:r>
      <w:r>
        <w:br/>
        <w:t>в отношении просмотра передач;</w:t>
      </w:r>
    </w:p>
    <w:p w:rsidR="00B44C11" w:rsidRDefault="00B44C11">
      <w:pPr>
        <w:pStyle w:val="10-18"/>
      </w:pPr>
      <w:r>
        <w:sym w:font="Symbol" w:char="F0B7"/>
      </w:r>
      <w:r>
        <w:tab/>
        <w:t>наличие независимой и доступной системы рассмотрения жалоб, защищающей права телезрителей на серьезное отношение к их озабоченностям, которые должны служить основанием для принятия надлежащих мер в случае нарушения стандартов.</w:t>
      </w:r>
    </w:p>
    <w:p w:rsidR="00B44C11" w:rsidRDefault="00B44C11">
      <w:r>
        <w:t>65.</w:t>
      </w:r>
      <w:r>
        <w:tab/>
        <w:t xml:space="preserve">Правительство принимает во внимание выводы и рекомендации Рабочей группы при рассмотрении вопроса о будущем государственного телевещания в Новой Зеландии. В феврале 2005 года правительство обнародовало Программу действий под названием "Создание здоровых и устойчивых условий для общественного вещания в Новой Зеландии: Программа действий". Эта Программа действий будет осуществляться в течение шести лет. Она включает шесть первоочередных задач, одна из которых сформулирована как "повышение независимости и ответственности в области вещания". В рамках этой первоочередной задачи правительство намерено провести обзор деятельности Управления по стандартам вещания, в том числе рассмотрение вопроса о том, должно ли Управление играть более значительную роль, особенно </w:t>
      </w:r>
      <w:r>
        <w:br/>
        <w:t>с тем чтобы оно могло способствовать расширению диапазона интересов публики в сфере вещания, например в отношении к вопросу об уровне насилия на телевидении.</w:t>
      </w:r>
    </w:p>
    <w:p w:rsidR="00B44C11" w:rsidRDefault="00B44C11">
      <w:pPr>
        <w:pStyle w:val="Heading3"/>
      </w:pPr>
      <w:r>
        <w:t>Поддержание стандартов вещания</w:t>
      </w:r>
    </w:p>
    <w:p w:rsidR="00B44C11" w:rsidRDefault="00B44C11">
      <w:r>
        <w:t>66.</w:t>
      </w:r>
      <w:r>
        <w:tab/>
        <w:t xml:space="preserve">Управление по стандартам вещания (УСВ) – это квазисудебный орган, созданный в соответствии с Законом о вещании 1989 года. Этот </w:t>
      </w:r>
      <w:r>
        <w:rPr>
          <w:caps/>
        </w:rPr>
        <w:t>з</w:t>
      </w:r>
      <w:r>
        <w:t xml:space="preserve">акон налагает на все вещательные компании обязанность поддерживать стандарты, включая необходимость иметь хороший вкус и соблюдать приличия, поддерживать правопорядок, неприкосновенность частной жизни человека, защиту детей, требование к вещательным программам быть точными, справедливыми и взвешенными, а </w:t>
      </w:r>
      <w:r>
        <w:br/>
        <w:t>к вещательным компаниям – создать гарантии недопущения изображения людей в программах таким образом, чтобы это поощряло унижение чести и достоинства или дискриминацию.</w:t>
      </w:r>
    </w:p>
    <w:p w:rsidR="00B44C11" w:rsidRDefault="00B44C11">
      <w:r>
        <w:t>67.</w:t>
      </w:r>
      <w:r>
        <w:tab/>
        <w:t xml:space="preserve">В целом, число жалоб, получаемых Управлением по стандартам вещания, остается относительно постоянным с середины 1990-х годов. Сократилось число жалоб на нарушения стандарта хорошего вкуса и соблюдения приличий. Эта тенденция сохраняется в течение последних пяти лет, за исключением высокого уровня жалоб на радиопрограммы в 2002 году. Только одна из тридцати жалоб на нарушение этого стандарта была удовлетворена. </w:t>
      </w:r>
    </w:p>
    <w:p w:rsidR="00B44C11" w:rsidRDefault="00B44C11">
      <w:pPr>
        <w:pStyle w:val="H1"/>
      </w:pPr>
      <w:bookmarkStart w:id="46" w:name="_Toc145842170"/>
      <w:r>
        <w:t>Статья 6</w:t>
      </w:r>
      <w:bookmarkEnd w:id="46"/>
    </w:p>
    <w:p w:rsidR="00B44C11" w:rsidRDefault="00B44C11">
      <w:pPr>
        <w:pStyle w:val="H1"/>
      </w:pPr>
      <w:bookmarkStart w:id="47" w:name="_Toc145841560"/>
      <w:bookmarkStart w:id="48" w:name="_Toc145842171"/>
      <w:r>
        <w:t>Пресечение эксплуатации женщин</w:t>
      </w:r>
      <w:bookmarkEnd w:id="47"/>
      <w:bookmarkEnd w:id="48"/>
    </w:p>
    <w:p w:rsidR="00B44C11" w:rsidRDefault="00B44C11">
      <w:pPr>
        <w:pStyle w:val="Heading3"/>
      </w:pPr>
      <w:r>
        <w:t>Введение</w:t>
      </w:r>
    </w:p>
    <w:p w:rsidR="00B44C11" w:rsidRDefault="00B44C11">
      <w:r>
        <w:t>68.</w:t>
      </w:r>
      <w:r>
        <w:tab/>
        <w:t xml:space="preserve">Правительство Новой Зеландии по-прежнему уделяет особое внимание пресечению торговли женщинами и эксплуатации их в стране. Правительство также продолжает принимать специальные меры по предотвращению торговли и сексуальной эксплуатации молодых людей. Помимо этого, оно занимается вопросами оказания помощи незаконным иммигрантам с целью недопущения вовлечения их в занятие проституцией. В центре внимания уголовного права находятся лица, занимающиеся эксплуатацией проституток, в то время как к самим проституткам применяются меры, направленные на сокращение масштабов вреда, а не меры наказания, предусматриваемые уголовным правом. </w:t>
      </w:r>
    </w:p>
    <w:p w:rsidR="00B44C11" w:rsidRDefault="00B44C11">
      <w:r>
        <w:t>69.</w:t>
      </w:r>
      <w:r>
        <w:tab/>
        <w:t xml:space="preserve">После представления последнего доклада законодательство Новой Зеландии, касающееся проституции, было реформировано путем принятия Законопроекта о реформировании сферы сексуальных услуг. Закон о реформировании сферы сексуальных услуг 2003 года декриминализовал проституцию и предоставил центральным и местным органам власти больше возможностей для мониторинга и регулирования этой прежде преимущественно "скрытой" сферы деятельности. В соответствии с </w:t>
      </w:r>
      <w:r>
        <w:rPr>
          <w:caps/>
        </w:rPr>
        <w:t>з</w:t>
      </w:r>
      <w:r>
        <w:t xml:space="preserve">аконом был также создан Комитет по рассмотрению закона </w:t>
      </w:r>
      <w:r>
        <w:br/>
        <w:t xml:space="preserve">о сфере сексуальных услуг для осуществления контроля за действием этого закона. Комитет завершил работу над докладом, посвященным особенностям и масштабам сферы сексуальных услуг в Новой Зеландии, ко времени внесения изменений в законодательство. В докладе Комитета содержится базовая информация, она будет использована при подготовке его второго доклада </w:t>
      </w:r>
      <w:r>
        <w:br/>
        <w:t xml:space="preserve">о действии </w:t>
      </w:r>
      <w:r>
        <w:rPr>
          <w:caps/>
        </w:rPr>
        <w:t>з</w:t>
      </w:r>
      <w:r>
        <w:t xml:space="preserve">акона, который должен появиться к июню 2008 года. </w:t>
      </w:r>
    </w:p>
    <w:p w:rsidR="00B44C11" w:rsidRDefault="00B44C11">
      <w:pPr>
        <w:pStyle w:val="Heading3"/>
      </w:pPr>
      <w:r>
        <w:t>Национальная и международная защита детей</w:t>
      </w:r>
    </w:p>
    <w:p w:rsidR="00B44C11" w:rsidRDefault="00B44C11">
      <w:r>
        <w:t>70.</w:t>
      </w:r>
      <w:r>
        <w:tab/>
        <w:t>Как отмечалось в предыдущем докладе Новой Зеландии, она подписала и ратифицировала:</w:t>
      </w:r>
    </w:p>
    <w:p w:rsidR="00B44C11" w:rsidRDefault="00B44C11">
      <w:pPr>
        <w:pStyle w:val="10-18"/>
      </w:pPr>
      <w:r>
        <w:sym w:font="Symbol" w:char="F0B7"/>
      </w:r>
      <w:r>
        <w:tab/>
        <w:t xml:space="preserve">Конвенцию Международной организации труда 182 о запрещении и немедленных мерах </w:t>
      </w:r>
      <w:r>
        <w:br/>
        <w:t>по искоренению наихудших форм детского труда</w:t>
      </w:r>
    </w:p>
    <w:p w:rsidR="00B44C11" w:rsidRDefault="00B44C11">
      <w:pPr>
        <w:pStyle w:val="10-18"/>
      </w:pPr>
      <w:r>
        <w:sym w:font="Symbol" w:char="F0B7"/>
      </w:r>
      <w:r>
        <w:tab/>
        <w:t>Конвенцию Организации Объединенных Наций против транснациональной организованной преступности</w:t>
      </w:r>
    </w:p>
    <w:p w:rsidR="00B44C11" w:rsidRDefault="00B44C11">
      <w:pPr>
        <w:pStyle w:val="10-18"/>
      </w:pPr>
      <w:r>
        <w:sym w:font="Symbol" w:char="F0B7"/>
      </w:r>
      <w:r>
        <w:tab/>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w:t>
      </w:r>
    </w:p>
    <w:p w:rsidR="00B44C11" w:rsidRDefault="00B44C11">
      <w:r>
        <w:t>71.</w:t>
      </w:r>
      <w:r>
        <w:tab/>
        <w:t xml:space="preserve">Новая Зеландия подписала, но не ратифицировала Факультативный протокол к Конвенции Организации Объединенных Наций о правах ребенка, касающийся торговли детьми, детской проституции и детской порнографии. Новая Зеландия является участницей Гаагской конвенции </w:t>
      </w:r>
      <w:r>
        <w:br/>
        <w:t>о межгосударственном усыновлении.</w:t>
      </w:r>
    </w:p>
    <w:p w:rsidR="00B44C11" w:rsidRDefault="00B44C11">
      <w:r>
        <w:t>72.</w:t>
      </w:r>
      <w:r>
        <w:tab/>
        <w:t>Подписание и ратификация Новой Зеландией этих международных договоров служит подтверждением того, что правительство Новой Зеландии придает первоочередное значение вопросам прав человека и, в частности, необходимости обеспечения особой защиты в целях предотвращения торговли и сексуальной эксплуатации молодых людей.</w:t>
      </w:r>
    </w:p>
    <w:p w:rsidR="00B44C11" w:rsidRDefault="00B44C11">
      <w:r>
        <w:t>73.</w:t>
      </w:r>
      <w:r>
        <w:tab/>
        <w:t xml:space="preserve">В 2001 году Новая Зеландия разработала Национальный план действий против сексуальной эксплуатации детей в коммерческих целях, названный "Protecting our Innocence". В Плане действий подробно рассматривается сексуальная эксплуатация детей в коммерческих целях в Новой Зеландии. В нем также изложено сорок специальных мер, которые должны быть приняты правительством и НПО. Эти меры направлены на реагирование и предотвращение сексуальной эксплуатации детей в коммерческих целях (в частности, детской проституции, детской порнографии, торговли детьми в сексуальных целях и детского секс-туризма). </w:t>
      </w:r>
    </w:p>
    <w:p w:rsidR="00B44C11" w:rsidRDefault="00B44C11">
      <w:r>
        <w:t>74.</w:t>
      </w:r>
      <w:r>
        <w:tab/>
        <w:t xml:space="preserve">В 2005 году </w:t>
      </w:r>
      <w:r>
        <w:rPr>
          <w:caps/>
        </w:rPr>
        <w:t>м</w:t>
      </w:r>
      <w:r>
        <w:t>инистерство юстиции и организация "За прекращение детской проституции, порнографии и торговли детьми в Новой Зеландии" (ЭКПАТ НЗ) дали критическую оценку осуществлению Плана действий, в результате чего был проведен обзор деятельности правительства и НПО – от хода ратификации международных конвенций до просветительско-воспитательной работы полиции в школах. Почти все конкретные меры, предусмотренные планом, были приняты. В настоящее время осуществляются программы, нацеленные на выявление и предотвращение преступлений и предоставление помощи жертвам.</w:t>
      </w:r>
    </w:p>
    <w:p w:rsidR="00B44C11" w:rsidRDefault="00B44C11">
      <w:pPr>
        <w:pStyle w:val="Heading3"/>
      </w:pPr>
      <w:r>
        <w:t>Помощь проституткам</w:t>
      </w:r>
    </w:p>
    <w:p w:rsidR="00B44C11" w:rsidRDefault="00B44C11">
      <w:r>
        <w:t>75.</w:t>
      </w:r>
      <w:r>
        <w:tab/>
        <w:t xml:space="preserve">Министерство здравоохранения заключило договор с Союзом проституток Новой Зеландии (СПНЗ) об осуществлении на уровне общины информационно-просветительской программы с уделением особого внимания вопросам сексуального и репродуктивного здоровья и ВИЧ/СПИДа. В рамках СПНЗ по всей территории Новой Зеландии также функционируют открытые общинные центры и центры по предоставлению услуг информационно-просветительского характера, где лица сферы сексуальных услуг могут воспользоваться широким кругом услуг, связанных с охраной здоровья и профессиональным занятием, включая услуги венерологических центров и услуги по линии программы распространения одноразовых шприцов. Кроме того, различные специалисты проводят среди них информационно-просветительскую работу по целому ряду вопросов, касающихся здоровья, безопасности и социального обеспечения. </w:t>
      </w:r>
    </w:p>
    <w:p w:rsidR="00B44C11" w:rsidRDefault="00B44C11">
      <w:r>
        <w:t>76.</w:t>
      </w:r>
      <w:r>
        <w:tab/>
        <w:t>Управление охраны труда провело консультации и выпустило "Руководство по безопасности и охране труда в сфере сексуальных услуг Новой Зеландии". В настоящее время оно выполняется всеми должностными лицами. Санитарные врачи и инспекторы по безопасности и охране труда, как того требует Руководство, взаимодействуют с представителями сферы сексуальных услуг. Кроме того, лица, занятые в сфере сексуальных услуг, получают дополнительную защиту в том плане, что их право на получение социальной помощи и на выплату компенсации в связи с несчастным случаем не может быть аннулировано или затронуто каким-либо иным образом из-за их отказа работать или продолжать работать в качестве работника сферы сексуальных услуг.</w:t>
      </w:r>
    </w:p>
    <w:p w:rsidR="00B44C11" w:rsidRDefault="00B44C11">
      <w:r>
        <w:t>77.</w:t>
      </w:r>
      <w:r>
        <w:tab/>
        <w:t>Правительство также выделяет средства на подготовку и обучение, целью которых является поддержание работников сферы сексуальных услуг в создании возможностей занятости вне сферы сексуальных услуг. На проституции лежит клеймо позора, от которого еще труднее избавиться, если имеется судимость. Согласно Закону о безупречной репутации, который вступил в силу в 2004 году, если работник сферы сексуальных услуг получил наказание, не связанное с лишением свободы, то он, вероятнее всего, получит право скрыть свою судимость в большинстве случаев. Работники сферы сексуальных услуг, которые были приговорены к тюремному заключению, получат право ходатайствовать перед судьей о снятии судимости.</w:t>
      </w:r>
    </w:p>
    <w:p w:rsidR="00B44C11" w:rsidRDefault="00B44C11">
      <w:pPr>
        <w:pStyle w:val="Heading3"/>
      </w:pPr>
      <w:r>
        <w:t>Незаконные иммигранты и проституция</w:t>
      </w:r>
    </w:p>
    <w:p w:rsidR="00B44C11" w:rsidRDefault="00B44C11">
      <w:r>
        <w:t>78.</w:t>
      </w:r>
      <w:r>
        <w:tab/>
        <w:t xml:space="preserve">Как отмечалось в последнем докладе Новой Зеландии, представленном Комитету, правительство сотрудничает с городским советом Окленда и соответствующими местными НПО в вопросах разработки механизмов оказания помощи и защиты мигрантов, которые незаконно работают в качестве проституток, и уголовного преследования лиц, занимающихся их торговлей и наймом. Установлено, что большинство проституток, не являющихся гражданами Новой Зеландии, в основном сосредоточены в районе Большого Окленда и преимущественно прибыли из Таиланда и Китая. </w:t>
      </w:r>
    </w:p>
    <w:p w:rsidR="00B44C11" w:rsidRDefault="00B44C11">
      <w:r>
        <w:t>79.</w:t>
      </w:r>
      <w:r>
        <w:tab/>
        <w:t xml:space="preserve">Согласно Закону об иммиграции 1987 года разрешения на работу не могут выдаваться лицам для предоставления сексуальных услуг в коммерческих целях. Этот </w:t>
      </w:r>
      <w:r>
        <w:rPr>
          <w:caps/>
        </w:rPr>
        <w:t>з</w:t>
      </w:r>
      <w:r>
        <w:t>акон также запрещает держателям временных разрешений (рабочих, учебных или гостевых) предоставлять сексуальные услуги в коммерческих целях.</w:t>
      </w:r>
    </w:p>
    <w:p w:rsidR="00B44C11" w:rsidRDefault="00B44C11">
      <w:pPr>
        <w:pStyle w:val="Heading3"/>
      </w:pPr>
      <w:r>
        <w:t>Молодые женщины, подвергающиеся риску или занимающиеся проституцией</w:t>
      </w:r>
    </w:p>
    <w:p w:rsidR="00B44C11" w:rsidRDefault="00B44C11">
      <w:r>
        <w:t>80.</w:t>
      </w:r>
      <w:r>
        <w:tab/>
        <w:t xml:space="preserve">Министерство по делам детей, подростков и их семей обеспечивает финансирование "ночлежек", получаемое организацией под названием "Баптист экшн" в Окленде, которая создала открытый центр помощи для молодых женщин, подвергающихся риску быть вовлеченными в проституцию или занимающихся ею. Организация "Youth and Cultural Development" в Крайстчёрче осуществляет проект работы с уличными подростками моложе 18 лет, направленный на охват молодых людей, которые подвергаются риску быть вовлеченными в сферу сексуальных услуг или работают в ней. Данный проект имеет компонент индивидуального регулирования, и в нем уделяется особое внимание "минимизации вреда". Проект побуждает молодых людей, которые, как установлено, подвергаются риску, рассмотреть варианты своего будущего. Персонал проекта работает на улице три ночи в неделю и руководит открытым общинным центром, при необходимости проводит посещения на дому и содействует проведению медицинских осмотров </w:t>
      </w:r>
      <w:r>
        <w:br/>
        <w:t>в связи с сексуальным здоровьем.</w:t>
      </w:r>
    </w:p>
    <w:p w:rsidR="00B44C11" w:rsidRDefault="00B44C11">
      <w:pPr>
        <w:pStyle w:val="Heading3"/>
      </w:pPr>
      <w:r>
        <w:rPr>
          <w:lang w:val="ru-RU"/>
        </w:rPr>
        <w:br w:type="page"/>
      </w:r>
      <w:r>
        <w:t>Реформирование сферы сексуальных услуг</w:t>
      </w:r>
    </w:p>
    <w:p w:rsidR="00B44C11" w:rsidRDefault="00B44C11">
      <w:r>
        <w:t>81.</w:t>
      </w:r>
      <w:r>
        <w:tab/>
        <w:t>В последнем докладе отмечалось, что законопроект о реформировании сферы сексуальных услуг находился на рассмотрении Комитета специального состава по вопросам юстиции и выборам, который должен был представить свой доклад парламенту к ноябрю 2002 года. До вступления в силу Закона о реформировании сферы сексуальных услуг (июнь 2003 года) собственно проституция не считалась преступлением. Напротив, преступлением считалось:</w:t>
      </w:r>
    </w:p>
    <w:p w:rsidR="00B44C11" w:rsidRDefault="00B44C11">
      <w:pPr>
        <w:pStyle w:val="10-18"/>
      </w:pPr>
      <w:r>
        <w:sym w:font="Symbol" w:char="F0B7"/>
      </w:r>
      <w:r>
        <w:tab/>
        <w:t xml:space="preserve">для лица, занятого в сфере сексуальных услуг, предлагать сексуальные услуги за деньги в публичном месте, но не считалось преступлением заплатить или предложить заплатить </w:t>
      </w:r>
      <w:r>
        <w:br/>
        <w:t>за сексуальные услуги;</w:t>
      </w:r>
    </w:p>
    <w:p w:rsidR="00B44C11" w:rsidRDefault="00B44C11">
      <w:pPr>
        <w:pStyle w:val="10-18"/>
      </w:pPr>
      <w:r>
        <w:sym w:font="Symbol" w:char="F0B7"/>
      </w:r>
      <w:r>
        <w:tab/>
        <w:t>содержать или руководить публичным домом;</w:t>
      </w:r>
    </w:p>
    <w:p w:rsidR="00B44C11" w:rsidRDefault="00B44C11">
      <w:pPr>
        <w:pStyle w:val="10-18"/>
      </w:pPr>
      <w:r>
        <w:sym w:font="Symbol" w:char="F0B7"/>
      </w:r>
      <w:r>
        <w:tab/>
        <w:t>жить на доходы, получаемые от занятия проституцией другого лица;</w:t>
      </w:r>
    </w:p>
    <w:p w:rsidR="00B44C11" w:rsidRDefault="00B44C11">
      <w:pPr>
        <w:pStyle w:val="10-18"/>
      </w:pPr>
      <w:r>
        <w:sym w:font="Symbol" w:char="F0B7"/>
      </w:r>
      <w:r>
        <w:tab/>
        <w:t>содействие вступлению любой женщины или девушки в половые сношения с любым мужчиной, который не является ее мужем.</w:t>
      </w:r>
    </w:p>
    <w:p w:rsidR="00B44C11" w:rsidRDefault="00B44C11">
      <w:r>
        <w:t>82.</w:t>
      </w:r>
      <w:r>
        <w:tab/>
        <w:t xml:space="preserve">Осуждение за навязывание сексуальных услуг удерживает работников сферы сексуальных услуг от работы в массажном салоне, практически вынуждая их работать на эскорт-агентство или на улице, что в обоих случаях потенциально представляет бóльшую опасность. С уличными проститутками также труднее установить контакт медико-санитарным работникам. Судимость тоже может стать для проститутки препятствием, для того чтобы порвать со сферой сексуальных услуг и заняться другим родом деятельности или профессией. </w:t>
      </w:r>
    </w:p>
    <w:p w:rsidR="00B44C11" w:rsidRDefault="00B44C11">
      <w:r>
        <w:t>83.</w:t>
      </w:r>
      <w:r>
        <w:tab/>
        <w:t>Были рассмотрены три ответные меры в области политики:</w:t>
      </w:r>
    </w:p>
    <w:p w:rsidR="00B44C11" w:rsidRDefault="00B44C11">
      <w:pPr>
        <w:pStyle w:val="10-18"/>
      </w:pPr>
      <w:r>
        <w:sym w:font="Symbol" w:char="F0B7"/>
      </w:r>
      <w:r>
        <w:tab/>
        <w:t>криминализация (объявление проституции незаконной в отношении как клиентов, так и лиц, занятых в сфере сексуальных услуг);</w:t>
      </w:r>
    </w:p>
    <w:p w:rsidR="00B44C11" w:rsidRDefault="00B44C11">
      <w:pPr>
        <w:pStyle w:val="10-18"/>
      </w:pPr>
      <w:r>
        <w:sym w:font="Symbol" w:char="F0B7"/>
      </w:r>
      <w:r>
        <w:tab/>
        <w:t>легализация (объявление проституции законной на основании предусмотренного законом положения);</w:t>
      </w:r>
    </w:p>
    <w:p w:rsidR="00B44C11" w:rsidRDefault="00B44C11">
      <w:pPr>
        <w:pStyle w:val="10-18"/>
      </w:pPr>
      <w:r>
        <w:sym w:font="Symbol" w:char="F0B7"/>
      </w:r>
      <w:r>
        <w:tab/>
        <w:t xml:space="preserve">декриминализация (отмена всех законов, объявляющих проституцию преступлением). </w:t>
      </w:r>
    </w:p>
    <w:p w:rsidR="00B44C11" w:rsidRDefault="00B44C11">
      <w:r>
        <w:t>84.</w:t>
      </w:r>
      <w:r>
        <w:tab/>
        <w:t>В докладе Комитета специального состава отмечается: "Большинство из нас занимают прагматичный подход к проституции; мы не оправдываем и не осуждаем ее, но признаем факт ее существования в жизни общества (и постоянный характер этого существования). Мы признаем, что проституция может быть опасной и причинять ущерб лицам, занятым в сфере сексуальных услуг, и что бороться с этим следует законодательными и другими средствами".</w:t>
      </w:r>
    </w:p>
    <w:p w:rsidR="00B44C11" w:rsidRDefault="00B44C11">
      <w:r>
        <w:t>85.</w:t>
      </w:r>
      <w:r>
        <w:tab/>
        <w:t xml:space="preserve">Законопроект был возвращен в парламент в ноябре 2002 года, и в феврале 2003 года он прошел второе чтение. Парламент счел, что голосование по данному вопросу – это дело совести каждого, и потому члены парламента могли голосовать индивидуально, а не консолидированно, как члены той или иной партии. Законопроект был весьма спорным и был принят 60 голосами против 59 при 1 воздержавшемся. </w:t>
      </w:r>
    </w:p>
    <w:p w:rsidR="00B44C11" w:rsidRDefault="00B44C11">
      <w:r>
        <w:t>86.</w:t>
      </w:r>
      <w:r>
        <w:tab/>
        <w:t>Заявленная цель этого закона была сформулирована как декриминализация проституции (при этом не содержалось ни одобрения, ни морального осуждения проституции или ее использования) и создание основы, которая:</w:t>
      </w:r>
    </w:p>
    <w:p w:rsidR="00B44C11" w:rsidRDefault="00B44C11">
      <w:pPr>
        <w:pStyle w:val="10-18"/>
      </w:pPr>
      <w:r>
        <w:sym w:font="Symbol" w:char="F0B7"/>
      </w:r>
      <w:r>
        <w:tab/>
        <w:t>защищает права человека лиц, занятых в сфере сексуальных услуг, и защищает их от эксплуатации;</w:t>
      </w:r>
    </w:p>
    <w:p w:rsidR="00B44C11" w:rsidRDefault="00B44C11">
      <w:pPr>
        <w:pStyle w:val="10-18"/>
      </w:pPr>
      <w:r>
        <w:sym w:font="Symbol" w:char="F0B7"/>
      </w:r>
      <w:r>
        <w:tab/>
        <w:t>содействует социальному обеспечению и охране здоровья и безопасности лиц сферы сексуальных услуг;</w:t>
      </w:r>
    </w:p>
    <w:p w:rsidR="00B44C11" w:rsidRDefault="00B44C11">
      <w:pPr>
        <w:pStyle w:val="10-18"/>
      </w:pPr>
      <w:r>
        <w:sym w:font="Symbol" w:char="F0B7"/>
      </w:r>
      <w:r>
        <w:tab/>
        <w:t>создает условия, благоприятствующие охране здоровья общества;</w:t>
      </w:r>
    </w:p>
    <w:p w:rsidR="00B44C11" w:rsidRDefault="00B44C11">
      <w:pPr>
        <w:pStyle w:val="10-18"/>
      </w:pPr>
      <w:r>
        <w:sym w:font="Symbol" w:char="F0B7"/>
      </w:r>
      <w:r>
        <w:tab/>
        <w:t>запрещает вовлечение в проституцию лиц моложе 18 лет;</w:t>
      </w:r>
    </w:p>
    <w:p w:rsidR="00B44C11" w:rsidRDefault="00B44C11">
      <w:pPr>
        <w:pStyle w:val="10-18"/>
      </w:pPr>
      <w:r>
        <w:sym w:font="Symbol" w:char="F0B7"/>
      </w:r>
      <w:r>
        <w:tab/>
        <w:t>обеспечивает осуществление некоторых других относящихся к делу реформ.</w:t>
      </w:r>
    </w:p>
    <w:p w:rsidR="00B44C11" w:rsidRDefault="00B44C11">
      <w:r>
        <w:t>87.</w:t>
      </w:r>
      <w:r>
        <w:tab/>
        <w:t xml:space="preserve">Закон запрещает склонять или принуждать лиц к предоставлению сексуальных услуг </w:t>
      </w:r>
      <w:r>
        <w:br/>
        <w:t xml:space="preserve">в коммерческих целях или получению доходов от проституции и подтверждает право лиц сферы сексуальных услуг отказываться от своего согласия предоставлять сексуальные услуги </w:t>
      </w:r>
      <w:r>
        <w:br/>
        <w:t>в коммерческих целях в любое время.</w:t>
      </w:r>
    </w:p>
    <w:p w:rsidR="00B44C11" w:rsidRDefault="00B44C11">
      <w:r>
        <w:t>88.</w:t>
      </w:r>
      <w:r>
        <w:tab/>
        <w:t xml:space="preserve">Законом также учрежден Комитет по рассмотрению действия закона о сфере сексуальных услуг, на который возложена ответственность за анализ действия </w:t>
      </w:r>
      <w:r>
        <w:rPr>
          <w:caps/>
        </w:rPr>
        <w:t>з</w:t>
      </w:r>
      <w:r>
        <w:t xml:space="preserve">акона 2003 года и связанных </w:t>
      </w:r>
      <w:r>
        <w:br/>
        <w:t>с ним вопросов. В 2005 году Комитет обнародовал свой доклад о характере и масштабах сферы сексуальных услуг в Новой Зеландии. Хотя к любой попытке установить размеры сферы сексуальных услуг следует подходить с осторожностью, учитывая тот факт, что значительная часть в ее рамках носит "скрытый" характер, в докладе содержится базовая информация о числе лиц сферы сексуальных услуг в Новой Зеландии по состоянию на время реформы законодательства.</w:t>
      </w:r>
    </w:p>
    <w:p w:rsidR="00B44C11" w:rsidRDefault="00B44C11">
      <w:r>
        <w:t>89.</w:t>
      </w:r>
      <w:r>
        <w:tab/>
        <w:t xml:space="preserve">От Комитета также требуется проводить обзор действия </w:t>
      </w:r>
      <w:r>
        <w:rPr>
          <w:caps/>
        </w:rPr>
        <w:t>з</w:t>
      </w:r>
      <w:r>
        <w:t xml:space="preserve">акона за период от трех до пяти лет после его вступления в силу (к июню 2008 года). Особое внимание в обзоре Комитета будет уделено цели </w:t>
      </w:r>
      <w:r>
        <w:rPr>
          <w:caps/>
        </w:rPr>
        <w:t>з</w:t>
      </w:r>
      <w:r>
        <w:t>акона, и он будет включать оценку действия закона после его вступления в силу и рассмотрение вопроса о необходимости внесения поправок.</w:t>
      </w:r>
    </w:p>
    <w:p w:rsidR="00B44C11" w:rsidRDefault="00B44C11">
      <w:r>
        <w:t>90.</w:t>
      </w:r>
      <w:r>
        <w:tab/>
        <w:t xml:space="preserve">По состоянию на март 2006 года после принятия </w:t>
      </w:r>
      <w:r>
        <w:rPr>
          <w:caps/>
        </w:rPr>
        <w:t>з</w:t>
      </w:r>
      <w:r>
        <w:t xml:space="preserve">акона восемь человек были осуждены </w:t>
      </w:r>
      <w:r>
        <w:br/>
        <w:t xml:space="preserve">за наем или использование проституток моложе 18 лет. </w:t>
      </w:r>
    </w:p>
    <w:p w:rsidR="00B44C11" w:rsidRDefault="00B44C11">
      <w:pPr>
        <w:pStyle w:val="Heading3"/>
      </w:pPr>
      <w:r>
        <w:t>Лица сферы сексуальных услуг, работающие на улице</w:t>
      </w:r>
    </w:p>
    <w:p w:rsidR="00B44C11" w:rsidRDefault="00B44C11">
      <w:r>
        <w:t>91.</w:t>
      </w:r>
      <w:r>
        <w:tab/>
        <w:t xml:space="preserve">В Законе о реформировании сферы сексуальных услуг конкретно ничего не говорится об уличных проститутках, и поэтому некоторые городские советы стремятся взять под контроль эту сферу деятельности путем принятия местных законопроектов. В связи с этим в парламент также был внесен законопроект городского совета Манукау (контроль над уличной проституцией). В случае его принятия навязывание сексуальных услуг в общественных местах города Манукау объявляется незаконным. Парламент передал этот законопроект на рассмотрение Комитета специального состава, с тем чтобы были охвачены все относящиеся к делу вопросы. </w:t>
      </w:r>
    </w:p>
    <w:p w:rsidR="00B44C11" w:rsidRDefault="00B44C11">
      <w:pPr>
        <w:pStyle w:val="H1"/>
      </w:pPr>
      <w:bookmarkStart w:id="49" w:name="_Toc145842172"/>
      <w:r>
        <w:t>Статья 7</w:t>
      </w:r>
      <w:bookmarkEnd w:id="49"/>
    </w:p>
    <w:p w:rsidR="00B44C11" w:rsidRDefault="00B44C11">
      <w:pPr>
        <w:pStyle w:val="H1"/>
      </w:pPr>
      <w:bookmarkStart w:id="50" w:name="_Toc145841562"/>
      <w:bookmarkStart w:id="51" w:name="_Toc145842173"/>
      <w:r>
        <w:t>Политическая и общественная жизнь</w:t>
      </w:r>
      <w:bookmarkEnd w:id="50"/>
      <w:bookmarkEnd w:id="51"/>
    </w:p>
    <w:p w:rsidR="00B44C11" w:rsidRDefault="00B44C11">
      <w:pPr>
        <w:pStyle w:val="Heading3"/>
      </w:pPr>
      <w:r>
        <w:t>Введение</w:t>
      </w:r>
    </w:p>
    <w:p w:rsidR="00B44C11" w:rsidRDefault="00B44C11">
      <w:r>
        <w:t>92.</w:t>
      </w:r>
      <w:r>
        <w:tab/>
        <w:t xml:space="preserve">Положение новозеландских женщин в общественной и политической жизни страны остается прочным. Женщины занимают четыре из пяти ключевых государственных постов в Новой Зеландии. Однако такое высокое положение женщин нехарактерно для всех уровней общественной и политической жизни. Женщины по сравнению с мужчинами по-прежнему недопредставлены </w:t>
      </w:r>
      <w:r>
        <w:br/>
        <w:t xml:space="preserve">в парламенте, органах местного самоуправления, окружных медико-санитарных комиссиях, руководящих советах и судебных органах. Правительство разработало стратегию, направленную на увеличение участия и представленности женщин, в том числе путем содействия обеспечению равных возможностей в области занятости и через Службу по вопросам назначений, находящуюся под управлением </w:t>
      </w:r>
      <w:r>
        <w:rPr>
          <w:caps/>
        </w:rPr>
        <w:t>м</w:t>
      </w:r>
      <w:r>
        <w:t xml:space="preserve">инистерства по делам женщин, которое поставило задачу достичь к 2010 году представительства мужчин и женщин в правительственных советах в соотношении 50/50. </w:t>
      </w:r>
    </w:p>
    <w:p w:rsidR="00B44C11" w:rsidRDefault="00B44C11">
      <w:pPr>
        <w:pStyle w:val="Heading3"/>
      </w:pPr>
      <w:r>
        <w:t>Центральное правительство</w:t>
      </w:r>
    </w:p>
    <w:p w:rsidR="00B44C11" w:rsidRDefault="00B44C11">
      <w:r>
        <w:t>93.</w:t>
      </w:r>
      <w:r>
        <w:tab/>
        <w:t xml:space="preserve">В 2005 году Новая Зеландия отметила 112-ю годовщину с того времени, когда она стала первой в мире страной, которая предоставила женщинам право участия в голосовании. Решение об участии в голосовании – это личный выбор каждого. Однако закон требует, чтобы все граждане Новой Зеландии и лица, постоянно проживающие в этой стране, старше 18 лет были внесены </w:t>
      </w:r>
      <w:r>
        <w:br/>
        <w:t>в списки для голосования.</w:t>
      </w:r>
    </w:p>
    <w:p w:rsidR="00B44C11" w:rsidRDefault="00B44C11">
      <w:r>
        <w:t>94.</w:t>
      </w:r>
      <w:r>
        <w:tab/>
        <w:t>На общих выборах 2005 года в Новой Зеландии явка избирателей составила 76,5 процента по сравнению с 72,5 процента в 2002 году. В связи с тем что голосование носит тайный характер, получить непосредственно информацию о различиях в участии разных этнических групп не представляется возможным. Тем не менее опросы на выборах показывают, что между показателями явки мужчин и женщин имеются некоторые различия</w:t>
      </w:r>
      <w:r>
        <w:rPr>
          <w:rStyle w:val="FootnoteReference"/>
        </w:rPr>
        <w:footnoteReference w:id="10"/>
      </w:r>
      <w:r>
        <w:t xml:space="preserve">. </w:t>
      </w:r>
    </w:p>
    <w:p w:rsidR="00B44C11" w:rsidRDefault="00B44C11">
      <w:r>
        <w:t>95.</w:t>
      </w:r>
      <w:r>
        <w:tab/>
        <w:t xml:space="preserve">После введения в 1996 году системы смешанного пропорционального представительства (СПП) доля женщин в парламенте остается неизменной. В результате всеобщих выборов 2005 года доля женщин в парламенте текущего созыва достигла 32 процентов по сравнению с 28 процентами, избранными в 2002 году. </w:t>
      </w:r>
    </w:p>
    <w:p w:rsidR="00B44C11" w:rsidRDefault="00B44C11">
      <w:r>
        <w:t>96.</w:t>
      </w:r>
      <w:r>
        <w:tab/>
        <w:t xml:space="preserve">Семь из 28 министров Короны – женщины, включая первую в Новой Зеландии женщину-министра с тихоокеанских островов. Для сравнения следует отметить, что на момент представления последнего доклада 8 из 26 постов министров занимали женщины. Женщины также были назначены на нетрадиционные для них министерские посты. Например, нынешний министр по делам женщин также получила портфели министров по делам торговли и мелкого предпринимательства. Министром полиции также является женщина. </w:t>
      </w:r>
    </w:p>
    <w:p w:rsidR="00B44C11" w:rsidRDefault="00B44C11">
      <w:r>
        <w:t>97.</w:t>
      </w:r>
      <w:r>
        <w:tab/>
        <w:t xml:space="preserve">Помимо этого, женщины занимают четыре из пяти ключевых государственных постов </w:t>
      </w:r>
      <w:r>
        <w:br/>
        <w:t>в Новой Зеландии: генерал-губернатора, премьер-министра, верховного судьи и спикера палаты представителей.</w:t>
      </w:r>
    </w:p>
    <w:p w:rsidR="00B44C11" w:rsidRDefault="00B44C11">
      <w:pPr>
        <w:pStyle w:val="Heading3"/>
        <w:spacing w:after="220"/>
      </w:pPr>
      <w:r>
        <w:t>Органы местного самоуправления</w:t>
      </w:r>
    </w:p>
    <w:p w:rsidR="00B44C11" w:rsidRDefault="00B44C11">
      <w:pPr>
        <w:spacing w:after="220"/>
      </w:pPr>
      <w:r>
        <w:t>98.</w:t>
      </w:r>
      <w:r>
        <w:tab/>
        <w:t>В Новой Зеландии имеются три типа органов местного самоуправления: региональные, территориальные (в городах и округах) и унитарные (они соединяют в себе функции регионального и территориального совета).</w:t>
      </w:r>
    </w:p>
    <w:p w:rsidR="00B44C11" w:rsidRDefault="00B44C11">
      <w:pPr>
        <w:spacing w:after="220"/>
      </w:pPr>
      <w:r>
        <w:t>99.</w:t>
      </w:r>
      <w:r>
        <w:tab/>
        <w:t>С 1989 года общее число женщин-кандидатов на должности в органах местного самоуправления увеличилось как в числовом выражении, так и в виде доли от общего числа кандидатов на фоне сокращения численности кандидатов. В результате выборов 2004 года в органы местного самоуправления было избрано 566 женщин, что составило 30 процентов всех выборных должностей в этих органах. Доля женщин от общего числа кандидатов, которые принимали участие и победили на выборах всех уровней, составила 48 процентов по сравнению с 49 процентами для мужчин.</w:t>
      </w:r>
    </w:p>
    <w:p w:rsidR="00B44C11" w:rsidRDefault="00B44C11">
      <w:pPr>
        <w:pStyle w:val="Heading3"/>
        <w:spacing w:after="220"/>
      </w:pPr>
      <w:r>
        <w:t>Окружные медико-санитарные комиссии</w:t>
      </w:r>
    </w:p>
    <w:p w:rsidR="00B44C11" w:rsidRDefault="00B44C11">
      <w:pPr>
        <w:spacing w:after="220"/>
      </w:pPr>
      <w:r>
        <w:t>100.</w:t>
      </w:r>
      <w:r>
        <w:tab/>
        <w:t xml:space="preserve">Окружные медико-санитарные комиссии (ОМСК), созданные в январе 2001 года, занимаются вопросами предоставления услуг в области здравоохранения и услуг инвалидам в 21 округе. Руководство ОМСК осуществляют советы, состоящие из 11 членов: семеро избираются обществом каждые три года, а четверо назначаются министром здравоохранения. Последние выборы по избранию членов ОМСК состоялись в 2004 году одновременно с выборами в местные органы власти. Впервые выборы проводились по системе единого передаваемого голоса (СЕПГ). </w:t>
      </w:r>
    </w:p>
    <w:p w:rsidR="00B44C11" w:rsidRDefault="00B44C11">
      <w:pPr>
        <w:pStyle w:val="-"/>
        <w:spacing w:after="200"/>
      </w:pPr>
      <w:r>
        <w:t xml:space="preserve">Число избранных членов окружных медико-санитарных комиссий в разбивке по полу </w:t>
      </w:r>
    </w:p>
    <w:p w:rsidR="00B44C11" w:rsidRDefault="00B44C11">
      <w:pPr>
        <w:pStyle w:val="-"/>
        <w:spacing w:after="200"/>
      </w:pPr>
      <w:r>
        <w:t>21 января 2002 года – 1 декабря 2005 года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515"/>
        <w:gridCol w:w="1191"/>
        <w:gridCol w:w="1077"/>
        <w:gridCol w:w="680"/>
        <w:gridCol w:w="1191"/>
        <w:gridCol w:w="1077"/>
        <w:gridCol w:w="680"/>
      </w:tblGrid>
      <w:tr w:rsidR="00B44C11">
        <w:tblPrEx>
          <w:tblCellMar>
            <w:top w:w="0" w:type="dxa"/>
            <w:bottom w:w="0" w:type="dxa"/>
          </w:tblCellMar>
        </w:tblPrEx>
        <w:trPr>
          <w:cantSplit/>
        </w:trPr>
        <w:tc>
          <w:tcPr>
            <w:tcW w:w="3515" w:type="dxa"/>
            <w:vMerge w:val="restart"/>
            <w:shd w:val="clear" w:color="auto" w:fill="C0C0C0"/>
          </w:tcPr>
          <w:p w:rsidR="00B44C11" w:rsidRDefault="00B44C11">
            <w:pPr>
              <w:pStyle w:val="a0"/>
              <w:rPr>
                <w:b/>
              </w:rPr>
            </w:pPr>
            <w:r>
              <w:rPr>
                <w:b/>
              </w:rPr>
              <w:t>Период</w:t>
            </w:r>
          </w:p>
        </w:tc>
        <w:tc>
          <w:tcPr>
            <w:tcW w:w="5896" w:type="dxa"/>
            <w:gridSpan w:val="6"/>
            <w:shd w:val="clear" w:color="auto" w:fill="C0C0C0"/>
          </w:tcPr>
          <w:p w:rsidR="00B44C11" w:rsidRDefault="00B44C11">
            <w:pPr>
              <w:pStyle w:val="a0"/>
              <w:rPr>
                <w:b/>
              </w:rPr>
            </w:pPr>
            <w:r>
              <w:rPr>
                <w:b/>
              </w:rPr>
              <w:t>Пол</w:t>
            </w:r>
          </w:p>
        </w:tc>
      </w:tr>
      <w:tr w:rsidR="00B44C11">
        <w:tblPrEx>
          <w:tblCellMar>
            <w:top w:w="0" w:type="dxa"/>
            <w:bottom w:w="0" w:type="dxa"/>
          </w:tblCellMar>
        </w:tblPrEx>
        <w:trPr>
          <w:cantSplit/>
        </w:trPr>
        <w:tc>
          <w:tcPr>
            <w:tcW w:w="3515" w:type="dxa"/>
            <w:vMerge/>
            <w:shd w:val="clear" w:color="auto" w:fill="C0C0C0"/>
          </w:tcPr>
          <w:p w:rsidR="00B44C11" w:rsidRDefault="00B44C11">
            <w:pPr>
              <w:pStyle w:val="a0"/>
              <w:rPr>
                <w:b/>
              </w:rPr>
            </w:pPr>
          </w:p>
        </w:tc>
        <w:tc>
          <w:tcPr>
            <w:tcW w:w="2948" w:type="dxa"/>
            <w:gridSpan w:val="3"/>
            <w:shd w:val="clear" w:color="auto" w:fill="C0C0C0"/>
          </w:tcPr>
          <w:p w:rsidR="00B44C11" w:rsidRDefault="00B44C11">
            <w:pPr>
              <w:pStyle w:val="a0"/>
              <w:rPr>
                <w:b/>
              </w:rPr>
            </w:pPr>
            <w:r>
              <w:rPr>
                <w:b/>
              </w:rPr>
              <w:t>Доля мужчин (в процентах)</w:t>
            </w:r>
          </w:p>
        </w:tc>
        <w:tc>
          <w:tcPr>
            <w:tcW w:w="2948" w:type="dxa"/>
            <w:gridSpan w:val="3"/>
            <w:shd w:val="clear" w:color="auto" w:fill="C0C0C0"/>
          </w:tcPr>
          <w:p w:rsidR="00B44C11" w:rsidRDefault="00B44C11">
            <w:pPr>
              <w:pStyle w:val="a0"/>
              <w:rPr>
                <w:b/>
              </w:rPr>
            </w:pPr>
            <w:r>
              <w:rPr>
                <w:b/>
              </w:rPr>
              <w:t>Доля женщин (в процентах)</w:t>
            </w:r>
          </w:p>
        </w:tc>
      </w:tr>
      <w:tr w:rsidR="00B44C11">
        <w:tblPrEx>
          <w:tblCellMar>
            <w:top w:w="0" w:type="dxa"/>
            <w:bottom w:w="0" w:type="dxa"/>
          </w:tblCellMar>
        </w:tblPrEx>
        <w:trPr>
          <w:cantSplit/>
        </w:trPr>
        <w:tc>
          <w:tcPr>
            <w:tcW w:w="3515" w:type="dxa"/>
            <w:vMerge/>
            <w:shd w:val="clear" w:color="auto" w:fill="C0C0C0"/>
          </w:tcPr>
          <w:p w:rsidR="00B44C11" w:rsidRDefault="00B44C11">
            <w:pPr>
              <w:pStyle w:val="a0"/>
              <w:rPr>
                <w:b/>
              </w:rPr>
            </w:pPr>
          </w:p>
        </w:tc>
        <w:tc>
          <w:tcPr>
            <w:tcW w:w="1191" w:type="dxa"/>
            <w:shd w:val="clear" w:color="auto" w:fill="C0C0C0"/>
          </w:tcPr>
          <w:p w:rsidR="00B44C11" w:rsidRDefault="00B44C11">
            <w:pPr>
              <w:pStyle w:val="a0"/>
              <w:rPr>
                <w:b/>
              </w:rPr>
            </w:pPr>
            <w:r>
              <w:rPr>
                <w:b/>
              </w:rPr>
              <w:t>Назначены</w:t>
            </w:r>
          </w:p>
        </w:tc>
        <w:tc>
          <w:tcPr>
            <w:tcW w:w="1077" w:type="dxa"/>
            <w:shd w:val="clear" w:color="auto" w:fill="C0C0C0"/>
          </w:tcPr>
          <w:p w:rsidR="00B44C11" w:rsidRDefault="00B44C11">
            <w:pPr>
              <w:pStyle w:val="a0"/>
              <w:rPr>
                <w:b/>
              </w:rPr>
            </w:pPr>
            <w:r>
              <w:rPr>
                <w:b/>
              </w:rPr>
              <w:t>Избраны</w:t>
            </w:r>
          </w:p>
        </w:tc>
        <w:tc>
          <w:tcPr>
            <w:tcW w:w="680" w:type="dxa"/>
            <w:shd w:val="clear" w:color="auto" w:fill="C0C0C0"/>
          </w:tcPr>
          <w:p w:rsidR="00B44C11" w:rsidRDefault="00B44C11">
            <w:pPr>
              <w:pStyle w:val="a0"/>
              <w:rPr>
                <w:b/>
              </w:rPr>
            </w:pPr>
            <w:r>
              <w:rPr>
                <w:b/>
              </w:rPr>
              <w:t>Всего</w:t>
            </w:r>
          </w:p>
        </w:tc>
        <w:tc>
          <w:tcPr>
            <w:tcW w:w="1191" w:type="dxa"/>
            <w:shd w:val="clear" w:color="auto" w:fill="C0C0C0"/>
          </w:tcPr>
          <w:p w:rsidR="00B44C11" w:rsidRDefault="00B44C11">
            <w:pPr>
              <w:pStyle w:val="a0"/>
              <w:rPr>
                <w:b/>
              </w:rPr>
            </w:pPr>
            <w:r>
              <w:rPr>
                <w:b/>
              </w:rPr>
              <w:t>Назначены</w:t>
            </w:r>
          </w:p>
        </w:tc>
        <w:tc>
          <w:tcPr>
            <w:tcW w:w="1077" w:type="dxa"/>
            <w:shd w:val="clear" w:color="auto" w:fill="C0C0C0"/>
          </w:tcPr>
          <w:p w:rsidR="00B44C11" w:rsidRDefault="00B44C11">
            <w:pPr>
              <w:pStyle w:val="a0"/>
              <w:rPr>
                <w:b/>
              </w:rPr>
            </w:pPr>
            <w:r>
              <w:rPr>
                <w:b/>
              </w:rPr>
              <w:t>Избраны</w:t>
            </w:r>
          </w:p>
        </w:tc>
        <w:tc>
          <w:tcPr>
            <w:tcW w:w="680" w:type="dxa"/>
            <w:shd w:val="clear" w:color="auto" w:fill="C0C0C0"/>
          </w:tcPr>
          <w:p w:rsidR="00B44C11" w:rsidRDefault="00B44C11">
            <w:pPr>
              <w:pStyle w:val="a0"/>
              <w:rPr>
                <w:b/>
              </w:rPr>
            </w:pPr>
            <w:r>
              <w:rPr>
                <w:b/>
              </w:rPr>
              <w:t>Всего</w:t>
            </w:r>
          </w:p>
        </w:tc>
      </w:tr>
      <w:tr w:rsidR="00B44C11">
        <w:tblPrEx>
          <w:tblCellMar>
            <w:top w:w="0" w:type="dxa"/>
            <w:bottom w:w="0" w:type="dxa"/>
          </w:tblCellMar>
        </w:tblPrEx>
        <w:tc>
          <w:tcPr>
            <w:tcW w:w="3515" w:type="dxa"/>
          </w:tcPr>
          <w:p w:rsidR="00B44C11" w:rsidRDefault="00B44C11">
            <w:pPr>
              <w:pStyle w:val="a0"/>
              <w:jc w:val="left"/>
            </w:pPr>
            <w:r>
              <w:t>По состоянию на 31 января 2002 года</w:t>
            </w:r>
          </w:p>
        </w:tc>
        <w:tc>
          <w:tcPr>
            <w:tcW w:w="1191" w:type="dxa"/>
          </w:tcPr>
          <w:p w:rsidR="00B44C11" w:rsidRDefault="00B44C11">
            <w:pPr>
              <w:pStyle w:val="a0"/>
            </w:pPr>
            <w:r>
              <w:t>66,3</w:t>
            </w:r>
          </w:p>
        </w:tc>
        <w:tc>
          <w:tcPr>
            <w:tcW w:w="1077" w:type="dxa"/>
          </w:tcPr>
          <w:p w:rsidR="00B44C11" w:rsidRDefault="00B44C11">
            <w:pPr>
              <w:pStyle w:val="a0"/>
            </w:pPr>
            <w:r>
              <w:t>55,1</w:t>
            </w:r>
          </w:p>
        </w:tc>
        <w:tc>
          <w:tcPr>
            <w:tcW w:w="680" w:type="dxa"/>
          </w:tcPr>
          <w:p w:rsidR="00B44C11" w:rsidRDefault="00B44C11">
            <w:pPr>
              <w:pStyle w:val="a0"/>
            </w:pPr>
            <w:r>
              <w:t>59,0</w:t>
            </w:r>
          </w:p>
        </w:tc>
        <w:tc>
          <w:tcPr>
            <w:tcW w:w="1191" w:type="dxa"/>
          </w:tcPr>
          <w:p w:rsidR="00B44C11" w:rsidRDefault="00B44C11">
            <w:pPr>
              <w:pStyle w:val="a0"/>
            </w:pPr>
            <w:r>
              <w:t>33,8</w:t>
            </w:r>
          </w:p>
        </w:tc>
        <w:tc>
          <w:tcPr>
            <w:tcW w:w="1077" w:type="dxa"/>
          </w:tcPr>
          <w:p w:rsidR="00B44C11" w:rsidRDefault="00B44C11">
            <w:pPr>
              <w:pStyle w:val="a0"/>
            </w:pPr>
            <w:r>
              <w:t>44,9</w:t>
            </w:r>
          </w:p>
        </w:tc>
        <w:tc>
          <w:tcPr>
            <w:tcW w:w="680" w:type="dxa"/>
          </w:tcPr>
          <w:p w:rsidR="00B44C11" w:rsidRDefault="00B44C11">
            <w:pPr>
              <w:pStyle w:val="a0"/>
            </w:pPr>
            <w:r>
              <w:t>42,4</w:t>
            </w:r>
          </w:p>
        </w:tc>
      </w:tr>
      <w:tr w:rsidR="00B44C11">
        <w:tblPrEx>
          <w:tblCellMar>
            <w:top w:w="0" w:type="dxa"/>
            <w:bottom w:w="0" w:type="dxa"/>
          </w:tblCellMar>
        </w:tblPrEx>
        <w:tc>
          <w:tcPr>
            <w:tcW w:w="3515" w:type="dxa"/>
          </w:tcPr>
          <w:p w:rsidR="00B44C11" w:rsidRDefault="00B44C11">
            <w:pPr>
              <w:pStyle w:val="a0"/>
              <w:jc w:val="left"/>
            </w:pPr>
            <w:r>
              <w:t>По состоянию на 31 декабря 2004 года</w:t>
            </w:r>
          </w:p>
        </w:tc>
        <w:tc>
          <w:tcPr>
            <w:tcW w:w="1191" w:type="dxa"/>
          </w:tcPr>
          <w:p w:rsidR="00B44C11" w:rsidRDefault="00B44C11">
            <w:pPr>
              <w:pStyle w:val="a0"/>
            </w:pPr>
            <w:r>
              <w:t>59,2</w:t>
            </w:r>
          </w:p>
        </w:tc>
        <w:tc>
          <w:tcPr>
            <w:tcW w:w="1077" w:type="dxa"/>
          </w:tcPr>
          <w:p w:rsidR="00B44C11" w:rsidRDefault="00B44C11">
            <w:pPr>
              <w:pStyle w:val="a0"/>
            </w:pPr>
            <w:r>
              <w:t>57,8</w:t>
            </w:r>
          </w:p>
        </w:tc>
        <w:tc>
          <w:tcPr>
            <w:tcW w:w="680" w:type="dxa"/>
          </w:tcPr>
          <w:p w:rsidR="00B44C11" w:rsidRDefault="00B44C11">
            <w:pPr>
              <w:pStyle w:val="a0"/>
            </w:pPr>
            <w:r>
              <w:t>58,3</w:t>
            </w:r>
          </w:p>
        </w:tc>
        <w:tc>
          <w:tcPr>
            <w:tcW w:w="1191" w:type="dxa"/>
          </w:tcPr>
          <w:p w:rsidR="00B44C11" w:rsidRDefault="00B44C11">
            <w:pPr>
              <w:pStyle w:val="a0"/>
            </w:pPr>
            <w:r>
              <w:t>40,8</w:t>
            </w:r>
          </w:p>
        </w:tc>
        <w:tc>
          <w:tcPr>
            <w:tcW w:w="1077" w:type="dxa"/>
          </w:tcPr>
          <w:p w:rsidR="00B44C11" w:rsidRDefault="00B44C11">
            <w:pPr>
              <w:pStyle w:val="a0"/>
            </w:pPr>
            <w:r>
              <w:t>42,2</w:t>
            </w:r>
          </w:p>
        </w:tc>
        <w:tc>
          <w:tcPr>
            <w:tcW w:w="680" w:type="dxa"/>
          </w:tcPr>
          <w:p w:rsidR="00B44C11" w:rsidRDefault="00B44C11">
            <w:pPr>
              <w:pStyle w:val="a0"/>
            </w:pPr>
            <w:r>
              <w:t>41,7</w:t>
            </w:r>
          </w:p>
        </w:tc>
      </w:tr>
      <w:tr w:rsidR="00B44C11">
        <w:tblPrEx>
          <w:tblCellMar>
            <w:top w:w="0" w:type="dxa"/>
            <w:bottom w:w="0" w:type="dxa"/>
          </w:tblCellMar>
        </w:tblPrEx>
        <w:tc>
          <w:tcPr>
            <w:tcW w:w="3515" w:type="dxa"/>
          </w:tcPr>
          <w:p w:rsidR="00B44C11" w:rsidRDefault="00B44C11">
            <w:pPr>
              <w:pStyle w:val="a0"/>
              <w:jc w:val="left"/>
            </w:pPr>
            <w:r>
              <w:t>По состоянию на 1 декабря 2005 года</w:t>
            </w:r>
          </w:p>
        </w:tc>
        <w:tc>
          <w:tcPr>
            <w:tcW w:w="1191" w:type="dxa"/>
          </w:tcPr>
          <w:p w:rsidR="00B44C11" w:rsidRDefault="00B44C11">
            <w:pPr>
              <w:pStyle w:val="a0"/>
            </w:pPr>
            <w:r>
              <w:t>66,3</w:t>
            </w:r>
          </w:p>
        </w:tc>
        <w:tc>
          <w:tcPr>
            <w:tcW w:w="1077" w:type="dxa"/>
          </w:tcPr>
          <w:p w:rsidR="00B44C11" w:rsidRDefault="00B44C11">
            <w:pPr>
              <w:pStyle w:val="a0"/>
            </w:pPr>
            <w:r>
              <w:t>55,1</w:t>
            </w:r>
          </w:p>
        </w:tc>
        <w:tc>
          <w:tcPr>
            <w:tcW w:w="680" w:type="dxa"/>
          </w:tcPr>
          <w:p w:rsidR="00B44C11" w:rsidRDefault="00B44C11">
            <w:pPr>
              <w:pStyle w:val="a0"/>
            </w:pPr>
            <w:r>
              <w:t>57,6</w:t>
            </w:r>
          </w:p>
        </w:tc>
        <w:tc>
          <w:tcPr>
            <w:tcW w:w="1191" w:type="dxa"/>
          </w:tcPr>
          <w:p w:rsidR="00B44C11" w:rsidRDefault="00B44C11">
            <w:pPr>
              <w:pStyle w:val="a0"/>
            </w:pPr>
            <w:r>
              <w:t>33,8</w:t>
            </w:r>
          </w:p>
        </w:tc>
        <w:tc>
          <w:tcPr>
            <w:tcW w:w="1077" w:type="dxa"/>
          </w:tcPr>
          <w:p w:rsidR="00B44C11" w:rsidRDefault="00B44C11">
            <w:pPr>
              <w:pStyle w:val="a0"/>
            </w:pPr>
            <w:r>
              <w:t>44,9</w:t>
            </w:r>
          </w:p>
        </w:tc>
        <w:tc>
          <w:tcPr>
            <w:tcW w:w="680" w:type="dxa"/>
          </w:tcPr>
          <w:p w:rsidR="00B44C11" w:rsidRDefault="00B44C11">
            <w:pPr>
              <w:pStyle w:val="a0"/>
            </w:pPr>
            <w:r>
              <w:t>41,0</w:t>
            </w:r>
          </w:p>
        </w:tc>
      </w:tr>
    </w:tbl>
    <w:p w:rsidR="00B44C11" w:rsidRDefault="00B44C11">
      <w:r>
        <w:t>Источник: Министерство здравоохранения, 2001 год, 2004 год</w:t>
      </w:r>
    </w:p>
    <w:p w:rsidR="00B44C11" w:rsidRDefault="00B44C11">
      <w:pPr>
        <w:pStyle w:val="Heading3"/>
        <w:spacing w:after="220"/>
      </w:pPr>
      <w:r>
        <w:t>Оценки и обзоры</w:t>
      </w:r>
    </w:p>
    <w:p w:rsidR="00B44C11" w:rsidRDefault="00B44C11">
      <w:pPr>
        <w:spacing w:after="220"/>
      </w:pPr>
      <w:r>
        <w:t>101.</w:t>
      </w:r>
      <w:r>
        <w:tab/>
        <w:t>Озабоченность низким уровнем представленности и политического участия некоторых групп населения привела к появлению ряда целевых проектов, включая:</w:t>
      </w:r>
    </w:p>
    <w:p w:rsidR="00B44C11" w:rsidRDefault="00B44C11">
      <w:pPr>
        <w:pStyle w:val="10-18"/>
        <w:spacing w:after="220"/>
      </w:pPr>
      <w:r>
        <w:sym w:font="Symbol" w:char="F0B7"/>
      </w:r>
      <w:r>
        <w:tab/>
        <w:t xml:space="preserve">Стратегию улучшения положения молодежи "Аотеароа", осуществляемую главным образом </w:t>
      </w:r>
      <w:r>
        <w:rPr>
          <w:caps/>
        </w:rPr>
        <w:t>м</w:t>
      </w:r>
      <w:r>
        <w:t xml:space="preserve">инистерством по делам молодежи и обеспечивающую полноправное участие молодежи </w:t>
      </w:r>
      <w:r>
        <w:br/>
        <w:t>в качестве одного из шести принципов улучшения положения молодежи</w:t>
      </w:r>
    </w:p>
    <w:p w:rsidR="00B44C11" w:rsidRDefault="00B44C11">
      <w:pPr>
        <w:pStyle w:val="10-18"/>
      </w:pPr>
      <w:r>
        <w:sym w:font="Symbol" w:char="F0B7"/>
      </w:r>
      <w:r>
        <w:tab/>
        <w:t xml:space="preserve">План действий в области инвалидности Управления по организации и проведению выборов, осуществляемый главным образом этим управлением, который определяет три ключевых приоритетных направления увеличения доступности избирательной системы для инвалидов (а именно, более эффективное распространение информации, более доступное голосование </w:t>
      </w:r>
      <w:r>
        <w:br/>
        <w:t>и подготовка персонала для повышения его осведомленности в вопросах инвалидности).</w:t>
      </w:r>
    </w:p>
    <w:p w:rsidR="00B44C11" w:rsidRDefault="00B44C11">
      <w:pPr>
        <w:pStyle w:val="Heading4"/>
      </w:pPr>
      <w:r>
        <w:t>Обзор, осуществляемый Комитетом специального состава</w:t>
      </w:r>
    </w:p>
    <w:p w:rsidR="00B44C11" w:rsidRDefault="00B44C11">
      <w:r>
        <w:t>102.</w:t>
      </w:r>
      <w:r>
        <w:tab/>
        <w:t xml:space="preserve">Принято, чтобы соответствующий комитет специального состава проводил обзор после каждых всеобщих выборов. В настоящее время Комитет специального состава по вопросам юстиции и выборам проводит обзор всеобщих выборов 2005 года. </w:t>
      </w:r>
    </w:p>
    <w:p w:rsidR="00B44C11" w:rsidRDefault="00B44C11">
      <w:r>
        <w:t>103.</w:t>
      </w:r>
      <w:r>
        <w:tab/>
        <w:t>В соответствии с Законом о выборах в органы местного самоуправления проводились две избирательные кампании по выборам в местные органы власти, которые переизбираются каждые три года. После выборов в органы местного самоуправления в октябре 2004 года Комитет специального состава по вопросам юстиции и выборам приступил к обследованию процесса этих выборов, включая снижение явки избирателей и задержки с объявлением результатов выборов по системе единого передаваемого голоса. Комитет завершил свое обследование и представил его результаты парламенту. Комитет дал ряд рекомендаций, касающихся действующих положений о мерах по обеспечению представленности, инициатив, направленных на повышение явки избирателей, ролей и ответственности за руководство выборами. Правительство все еще рассматривает свой доклад Комитета.</w:t>
      </w:r>
    </w:p>
    <w:p w:rsidR="00B44C11" w:rsidRDefault="00B44C11">
      <w:pPr>
        <w:pStyle w:val="Heading3"/>
      </w:pPr>
      <w:r>
        <w:t>Женщины и законодательство</w:t>
      </w:r>
    </w:p>
    <w:p w:rsidR="00B44C11" w:rsidRDefault="00B44C11">
      <w:r>
        <w:t>104.</w:t>
      </w:r>
      <w:r>
        <w:tab/>
        <w:t xml:space="preserve">Новая Зеландия имеет хорошо развитую правовую систему. После представления последнего доклада Новая Зеландия восстановила суд последней апелляционной инстанции; новым судом последней апелляционной инстанции является Верховный суд, который заседает в Веллингтоне. Верховный суд возглавляет Верховный судья, на должность которого назначена женщина. Нижестоящими судами по отношению к Верховному суду являются апелляционный суд, высокий суд и окружные суды. Имеется также ряд судов и органов правосудия специальной юрисдикции. </w:t>
      </w:r>
      <w:r>
        <w:br/>
        <w:t>За отчетный период отмечено увеличение численности женщин, назначенных на должности в судебной системе, особенно в окружные суды. Двадцать четыре процента судей в Новой Зеландии составляют женщины. В нижеследующей таблице приводится численность судей в разбивке по полу по состоянию на 1 марта 2006 года.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4191"/>
        <w:gridCol w:w="2608"/>
        <w:gridCol w:w="2608"/>
      </w:tblGrid>
      <w:tr w:rsidR="00B44C11">
        <w:tblPrEx>
          <w:tblCellMar>
            <w:top w:w="0" w:type="dxa"/>
            <w:bottom w:w="0" w:type="dxa"/>
          </w:tblCellMar>
        </w:tblPrEx>
        <w:tc>
          <w:tcPr>
            <w:tcW w:w="4191" w:type="dxa"/>
            <w:shd w:val="clear" w:color="auto" w:fill="C0C0C0"/>
          </w:tcPr>
          <w:p w:rsidR="00B44C11" w:rsidRDefault="00B44C11">
            <w:pPr>
              <w:pStyle w:val="a0"/>
              <w:rPr>
                <w:b/>
              </w:rPr>
            </w:pPr>
            <w:r>
              <w:rPr>
                <w:b/>
              </w:rPr>
              <w:t>Суд</w:t>
            </w:r>
          </w:p>
        </w:tc>
        <w:tc>
          <w:tcPr>
            <w:tcW w:w="2608" w:type="dxa"/>
            <w:shd w:val="clear" w:color="auto" w:fill="C0C0C0"/>
          </w:tcPr>
          <w:p w:rsidR="00B44C11" w:rsidRDefault="00B44C11">
            <w:pPr>
              <w:pStyle w:val="a0"/>
              <w:rPr>
                <w:b/>
              </w:rPr>
            </w:pPr>
            <w:r>
              <w:rPr>
                <w:b/>
              </w:rPr>
              <w:t>Численность судей из числа мужчин</w:t>
            </w:r>
          </w:p>
        </w:tc>
        <w:tc>
          <w:tcPr>
            <w:tcW w:w="2608" w:type="dxa"/>
            <w:shd w:val="clear" w:color="auto" w:fill="C0C0C0"/>
          </w:tcPr>
          <w:p w:rsidR="00B44C11" w:rsidRDefault="00B44C11">
            <w:pPr>
              <w:pStyle w:val="a0"/>
              <w:rPr>
                <w:b/>
              </w:rPr>
            </w:pPr>
            <w:r>
              <w:rPr>
                <w:b/>
              </w:rPr>
              <w:t>Численность судей из числа женщин</w:t>
            </w:r>
          </w:p>
        </w:tc>
      </w:tr>
      <w:tr w:rsidR="00B44C11">
        <w:tblPrEx>
          <w:tblCellMar>
            <w:top w:w="0" w:type="dxa"/>
            <w:bottom w:w="0" w:type="dxa"/>
          </w:tblCellMar>
        </w:tblPrEx>
        <w:tc>
          <w:tcPr>
            <w:tcW w:w="4191" w:type="dxa"/>
          </w:tcPr>
          <w:p w:rsidR="00B44C11" w:rsidRDefault="00B44C11">
            <w:pPr>
              <w:pStyle w:val="a0"/>
              <w:jc w:val="left"/>
            </w:pPr>
            <w:r>
              <w:t>Верховный суд</w:t>
            </w:r>
          </w:p>
        </w:tc>
        <w:tc>
          <w:tcPr>
            <w:tcW w:w="2608" w:type="dxa"/>
          </w:tcPr>
          <w:p w:rsidR="00B44C11" w:rsidRDefault="00B44C11">
            <w:pPr>
              <w:pStyle w:val="a0"/>
            </w:pPr>
            <w:r>
              <w:t>5</w:t>
            </w:r>
          </w:p>
        </w:tc>
        <w:tc>
          <w:tcPr>
            <w:tcW w:w="2608" w:type="dxa"/>
          </w:tcPr>
          <w:p w:rsidR="00B44C11" w:rsidRDefault="00B44C11">
            <w:pPr>
              <w:pStyle w:val="a0"/>
            </w:pPr>
            <w:r>
              <w:t>1</w:t>
            </w:r>
          </w:p>
        </w:tc>
      </w:tr>
      <w:tr w:rsidR="00B44C11">
        <w:tblPrEx>
          <w:tblCellMar>
            <w:top w:w="0" w:type="dxa"/>
            <w:bottom w:w="0" w:type="dxa"/>
          </w:tblCellMar>
        </w:tblPrEx>
        <w:tc>
          <w:tcPr>
            <w:tcW w:w="4191" w:type="dxa"/>
          </w:tcPr>
          <w:p w:rsidR="00B44C11" w:rsidRDefault="00B44C11">
            <w:pPr>
              <w:pStyle w:val="a0"/>
              <w:jc w:val="left"/>
            </w:pPr>
            <w:r>
              <w:t>Апелляционный суд</w:t>
            </w:r>
          </w:p>
        </w:tc>
        <w:tc>
          <w:tcPr>
            <w:tcW w:w="2608" w:type="dxa"/>
          </w:tcPr>
          <w:p w:rsidR="00B44C11" w:rsidRDefault="00B44C11">
            <w:pPr>
              <w:pStyle w:val="a0"/>
            </w:pPr>
            <w:r>
              <w:t>5</w:t>
            </w:r>
          </w:p>
        </w:tc>
        <w:tc>
          <w:tcPr>
            <w:tcW w:w="2608" w:type="dxa"/>
          </w:tcPr>
          <w:p w:rsidR="00B44C11" w:rsidRDefault="00B44C11">
            <w:pPr>
              <w:pStyle w:val="a0"/>
            </w:pPr>
            <w:r>
              <w:t>1</w:t>
            </w:r>
          </w:p>
        </w:tc>
      </w:tr>
      <w:tr w:rsidR="00B44C11">
        <w:tblPrEx>
          <w:tblCellMar>
            <w:top w:w="0" w:type="dxa"/>
            <w:bottom w:w="0" w:type="dxa"/>
          </w:tblCellMar>
        </w:tblPrEx>
        <w:tc>
          <w:tcPr>
            <w:tcW w:w="4191" w:type="dxa"/>
          </w:tcPr>
          <w:p w:rsidR="00B44C11" w:rsidRDefault="00B44C11">
            <w:pPr>
              <w:pStyle w:val="a0"/>
              <w:jc w:val="left"/>
            </w:pPr>
            <w:r>
              <w:t>Высокий суд (судьи)</w:t>
            </w:r>
          </w:p>
        </w:tc>
        <w:tc>
          <w:tcPr>
            <w:tcW w:w="2608" w:type="dxa"/>
          </w:tcPr>
          <w:p w:rsidR="00B44C11" w:rsidRDefault="00B44C11">
            <w:pPr>
              <w:pStyle w:val="a0"/>
            </w:pPr>
            <w:r>
              <w:t>24</w:t>
            </w:r>
          </w:p>
        </w:tc>
        <w:tc>
          <w:tcPr>
            <w:tcW w:w="2608" w:type="dxa"/>
          </w:tcPr>
          <w:p w:rsidR="00B44C11" w:rsidRDefault="00B44C11">
            <w:pPr>
              <w:pStyle w:val="a0"/>
            </w:pPr>
            <w:r>
              <w:t>6</w:t>
            </w:r>
          </w:p>
        </w:tc>
      </w:tr>
      <w:tr w:rsidR="00B44C11">
        <w:tblPrEx>
          <w:tblCellMar>
            <w:top w:w="0" w:type="dxa"/>
            <w:bottom w:w="0" w:type="dxa"/>
          </w:tblCellMar>
        </w:tblPrEx>
        <w:tc>
          <w:tcPr>
            <w:tcW w:w="4191" w:type="dxa"/>
          </w:tcPr>
          <w:p w:rsidR="00B44C11" w:rsidRDefault="00B44C11">
            <w:pPr>
              <w:pStyle w:val="a0"/>
              <w:jc w:val="left"/>
            </w:pPr>
            <w:r>
              <w:t>Высокий суд (судебные заседатели)</w:t>
            </w:r>
          </w:p>
        </w:tc>
        <w:tc>
          <w:tcPr>
            <w:tcW w:w="2608" w:type="dxa"/>
          </w:tcPr>
          <w:p w:rsidR="00B44C11" w:rsidRDefault="00B44C11">
            <w:pPr>
              <w:pStyle w:val="a0"/>
            </w:pPr>
            <w:r>
              <w:t>5</w:t>
            </w:r>
          </w:p>
        </w:tc>
        <w:tc>
          <w:tcPr>
            <w:tcW w:w="2608" w:type="dxa"/>
          </w:tcPr>
          <w:p w:rsidR="00B44C11" w:rsidRDefault="00B44C11">
            <w:pPr>
              <w:pStyle w:val="a0"/>
            </w:pPr>
            <w:r>
              <w:t>1</w:t>
            </w:r>
          </w:p>
        </w:tc>
      </w:tr>
      <w:tr w:rsidR="00B44C11">
        <w:tblPrEx>
          <w:tblCellMar>
            <w:top w:w="0" w:type="dxa"/>
            <w:bottom w:w="0" w:type="dxa"/>
          </w:tblCellMar>
        </w:tblPrEx>
        <w:tc>
          <w:tcPr>
            <w:tcW w:w="4191" w:type="dxa"/>
          </w:tcPr>
          <w:p w:rsidR="00B44C11" w:rsidRDefault="00B44C11">
            <w:pPr>
              <w:pStyle w:val="a0"/>
              <w:jc w:val="left"/>
            </w:pPr>
            <w:r>
              <w:t>Суд по вопросам занятости</w:t>
            </w:r>
          </w:p>
        </w:tc>
        <w:tc>
          <w:tcPr>
            <w:tcW w:w="2608" w:type="dxa"/>
          </w:tcPr>
          <w:p w:rsidR="00B44C11" w:rsidRDefault="00B44C11">
            <w:pPr>
              <w:pStyle w:val="a0"/>
            </w:pPr>
            <w:r>
              <w:t>3</w:t>
            </w:r>
          </w:p>
        </w:tc>
        <w:tc>
          <w:tcPr>
            <w:tcW w:w="2608" w:type="dxa"/>
          </w:tcPr>
          <w:p w:rsidR="00B44C11" w:rsidRDefault="00B44C11">
            <w:pPr>
              <w:pStyle w:val="a0"/>
            </w:pPr>
            <w:r>
              <w:t>1</w:t>
            </w:r>
          </w:p>
        </w:tc>
      </w:tr>
      <w:tr w:rsidR="00B44C11">
        <w:tblPrEx>
          <w:tblCellMar>
            <w:top w:w="0" w:type="dxa"/>
            <w:bottom w:w="0" w:type="dxa"/>
          </w:tblCellMar>
        </w:tblPrEx>
        <w:tc>
          <w:tcPr>
            <w:tcW w:w="4191" w:type="dxa"/>
          </w:tcPr>
          <w:p w:rsidR="00B44C11" w:rsidRDefault="00B44C11">
            <w:pPr>
              <w:pStyle w:val="a0"/>
              <w:jc w:val="left"/>
            </w:pPr>
            <w:r>
              <w:t>Окружные суды</w:t>
            </w:r>
          </w:p>
        </w:tc>
        <w:tc>
          <w:tcPr>
            <w:tcW w:w="2608" w:type="dxa"/>
          </w:tcPr>
          <w:p w:rsidR="00B44C11" w:rsidRDefault="00B44C11">
            <w:pPr>
              <w:pStyle w:val="a0"/>
            </w:pPr>
            <w:r>
              <w:t>91</w:t>
            </w:r>
          </w:p>
        </w:tc>
        <w:tc>
          <w:tcPr>
            <w:tcW w:w="2608" w:type="dxa"/>
          </w:tcPr>
          <w:p w:rsidR="00B44C11" w:rsidRDefault="00B44C11">
            <w:pPr>
              <w:pStyle w:val="a0"/>
            </w:pPr>
            <w:r>
              <w:t>32</w:t>
            </w:r>
          </w:p>
        </w:tc>
      </w:tr>
      <w:tr w:rsidR="00B44C11">
        <w:tblPrEx>
          <w:tblCellMar>
            <w:top w:w="0" w:type="dxa"/>
            <w:bottom w:w="0" w:type="dxa"/>
          </w:tblCellMar>
        </w:tblPrEx>
        <w:tc>
          <w:tcPr>
            <w:tcW w:w="4191" w:type="dxa"/>
          </w:tcPr>
          <w:p w:rsidR="00B44C11" w:rsidRDefault="00B44C11">
            <w:pPr>
              <w:pStyle w:val="a0"/>
              <w:jc w:val="left"/>
            </w:pPr>
            <w:r>
              <w:t>Земельный суд маори</w:t>
            </w:r>
          </w:p>
        </w:tc>
        <w:tc>
          <w:tcPr>
            <w:tcW w:w="2608" w:type="dxa"/>
          </w:tcPr>
          <w:p w:rsidR="00B44C11" w:rsidRDefault="00B44C11">
            <w:pPr>
              <w:pStyle w:val="a0"/>
            </w:pPr>
            <w:r>
              <w:t>5</w:t>
            </w:r>
          </w:p>
        </w:tc>
        <w:tc>
          <w:tcPr>
            <w:tcW w:w="2608" w:type="dxa"/>
          </w:tcPr>
          <w:p w:rsidR="00B44C11" w:rsidRDefault="00B44C11">
            <w:pPr>
              <w:pStyle w:val="a0"/>
            </w:pPr>
            <w:r>
              <w:t>3</w:t>
            </w:r>
          </w:p>
        </w:tc>
      </w:tr>
      <w:tr w:rsidR="00B44C11">
        <w:tblPrEx>
          <w:tblCellMar>
            <w:top w:w="0" w:type="dxa"/>
            <w:bottom w:w="0" w:type="dxa"/>
          </w:tblCellMar>
        </w:tblPrEx>
        <w:tc>
          <w:tcPr>
            <w:tcW w:w="4191" w:type="dxa"/>
          </w:tcPr>
          <w:p w:rsidR="00B44C11" w:rsidRDefault="00B44C11">
            <w:pPr>
              <w:pStyle w:val="a0"/>
              <w:jc w:val="left"/>
            </w:pPr>
            <w:r>
              <w:t>Суд по экологическим вопросам</w:t>
            </w:r>
          </w:p>
        </w:tc>
        <w:tc>
          <w:tcPr>
            <w:tcW w:w="2608" w:type="dxa"/>
          </w:tcPr>
          <w:p w:rsidR="00B44C11" w:rsidRDefault="00B44C11">
            <w:pPr>
              <w:pStyle w:val="a0"/>
            </w:pPr>
            <w:r>
              <w:t>6</w:t>
            </w:r>
          </w:p>
        </w:tc>
        <w:tc>
          <w:tcPr>
            <w:tcW w:w="2608" w:type="dxa"/>
          </w:tcPr>
          <w:p w:rsidR="00B44C11" w:rsidRDefault="00B44C11">
            <w:pPr>
              <w:pStyle w:val="a0"/>
            </w:pPr>
            <w:r>
              <w:t>1</w:t>
            </w:r>
          </w:p>
        </w:tc>
      </w:tr>
    </w:tbl>
    <w:p w:rsidR="00B44C11" w:rsidRDefault="00B44C11">
      <w:r>
        <w:t xml:space="preserve">Примечание: приведенные выше данные даются без разбивки по этническому происхождению. </w:t>
      </w:r>
    </w:p>
    <w:p w:rsidR="00B44C11" w:rsidRDefault="00B44C11">
      <w:pPr>
        <w:pStyle w:val="Heading3"/>
        <w:spacing w:after="220"/>
      </w:pPr>
      <w:r>
        <w:t>Женщины на руководящей работе</w:t>
      </w:r>
    </w:p>
    <w:p w:rsidR="00B44C11" w:rsidRDefault="00B44C11">
      <w:pPr>
        <w:pStyle w:val="Heading4"/>
        <w:spacing w:after="220"/>
      </w:pPr>
      <w:r>
        <w:t>Государственная служба</w:t>
      </w:r>
    </w:p>
    <w:p w:rsidR="00B44C11" w:rsidRDefault="00B44C11">
      <w:pPr>
        <w:spacing w:after="220"/>
      </w:pPr>
      <w:r>
        <w:t>105.</w:t>
      </w:r>
      <w:r>
        <w:tab/>
        <w:t>Численность женщин – руководителей старшего звена за данный отчетный период несколько увеличилась. По состоянию на 30 июня 2005 года 9 из 37 руководителей старшего звена – женщины по сравнению с 7 женщинами из 37 руководителей старшего звена по состоянию на 28 февраля 2002 года. Доля общей представленности женщин на государственной службе также увеличилась с 56 процентов в 2002 году до 59 процентов в 2004 году</w:t>
      </w:r>
      <w:r>
        <w:rPr>
          <w:rStyle w:val="FootnoteReference"/>
        </w:rPr>
        <w:footnoteReference w:id="11"/>
      </w:r>
      <w:r>
        <w:t xml:space="preserve">. Большая доля женщин, занятых на государственной службе, в основном объясняется тем, что в сфере государственной службы имеется ряд должностей, которые, как правило, занимают женщины (такие, как социальные работники, патронажные сестры и канцелярские работники). </w:t>
      </w:r>
    </w:p>
    <w:p w:rsidR="00B44C11" w:rsidRDefault="00B44C11">
      <w:pPr>
        <w:spacing w:after="220"/>
      </w:pPr>
      <w:r>
        <w:t>106.</w:t>
      </w:r>
      <w:r>
        <w:tab/>
        <w:t xml:space="preserve">Комиссия по вопросам государственной службы (КГС) проводит мониторинг равенства </w:t>
      </w:r>
      <w:r>
        <w:br/>
        <w:t>в заработной плате и занятости на государственной службе. В ходе обследования кадрового потенциала государственных учреждений по состоянию на 20 июня 2005 года</w:t>
      </w:r>
      <w:r>
        <w:rPr>
          <w:rStyle w:val="FootnoteReference"/>
        </w:rPr>
        <w:footnoteReference w:id="12"/>
      </w:r>
      <w:r>
        <w:t xml:space="preserve"> Комиссия выявила скорректированный разрыв на 10 процентов (так же, как в 2004 году) в заработной плате между мужчинами и женщинами, состоящими на государственной службе, по сравнению с 19 процентами (17 процентами в 2004 году) среди занятой рабочей силы в целом. Разрыв в заработной плате между мужчинами и женщинами, скорректированный с поправкой на возраст и род занятий, сократился до 8 процентов (8 процентов в 2004 году) на государственной службе и 17 процентов (16 процентов в 2004 году) среди рабочей силы в целом.</w:t>
      </w:r>
    </w:p>
    <w:p w:rsidR="00B44C11" w:rsidRDefault="00B44C11">
      <w:pPr>
        <w:spacing w:after="220"/>
      </w:pPr>
      <w:r>
        <w:t>107.</w:t>
      </w:r>
      <w:r>
        <w:tab/>
        <w:t>Правительство стремится решить проблемы равной оплаты труда и равных возможностей занятости путем осуществления пятилетнего Плана действий в области обеспечения равной оплаты труда и равных возможностей занятости.</w:t>
      </w:r>
    </w:p>
    <w:p w:rsidR="00B44C11" w:rsidRDefault="00B44C11">
      <w:pPr>
        <w:pStyle w:val="Heading3"/>
        <w:spacing w:after="220"/>
      </w:pPr>
      <w:r>
        <w:t>Частный сектор</w:t>
      </w:r>
    </w:p>
    <w:p w:rsidR="00B44C11" w:rsidRDefault="00B44C11">
      <w:pPr>
        <w:spacing w:after="220"/>
      </w:pPr>
      <w:r>
        <w:t>108.</w:t>
      </w:r>
      <w:r>
        <w:tab/>
        <w:t>По сравнению с мужчинами женщины имеют гораздо меньше возможностей занимать управленческие или руководящие должности в частном секторе. По состоянию на март 2003 года женщины занимали 5 процентов должностей в советах директоров компаний, зарегистрированных на новозеландской фондовой бирже. Этот показатель не претерпел сколько-нибудь существенных изменений с 1995 года, когда доля женщин на этих должностях составляла 3,9 процента</w:t>
      </w:r>
      <w:r>
        <w:rPr>
          <w:rStyle w:val="FootnoteReference"/>
        </w:rPr>
        <w:footnoteReference w:id="13"/>
      </w:r>
      <w:r>
        <w:t xml:space="preserve">. </w:t>
      </w:r>
    </w:p>
    <w:p w:rsidR="00B44C11" w:rsidRDefault="00B44C11">
      <w:pPr>
        <w:spacing w:after="220"/>
      </w:pPr>
      <w:r>
        <w:t>109.</w:t>
      </w:r>
      <w:r>
        <w:tab/>
        <w:t>Правительство поддерживает женщин, занимающихся бизнесом, оказывая помощь частному сектору в реализации его усилий по обеспечению равных возможностей для занятости и через инициативы, направленные на поддержку женщин, которые владеют малыми и средними предприятиями.</w:t>
      </w:r>
    </w:p>
    <w:p w:rsidR="00B44C11" w:rsidRDefault="00B44C11">
      <w:pPr>
        <w:pStyle w:val="Heading3"/>
        <w:spacing w:after="220"/>
      </w:pPr>
      <w:r>
        <w:t>Руководящие советы</w:t>
      </w:r>
    </w:p>
    <w:p w:rsidR="00B44C11" w:rsidRDefault="00B44C11">
      <w:pPr>
        <w:spacing w:after="220"/>
      </w:pPr>
      <w:r>
        <w:t>110.</w:t>
      </w:r>
      <w:r>
        <w:tab/>
        <w:t>Правительство по-прежнему считает, что задачей Службы по вопросам назначений, находящаяся под управлением МДЖ, является достижение к 2010 году представленности мужчин и женщин в государственных советах в соотношении 50/50. По состоянию на середину декабря 2005 года Служба по вопросам назначений располагала информацией по более чем 2439 женщинам, которые могли быть назначены в органы, принимающие решения</w:t>
      </w:r>
      <w:r>
        <w:rPr>
          <w:rStyle w:val="FootnoteReference"/>
        </w:rPr>
        <w:footnoteReference w:id="14"/>
      </w:r>
      <w:r>
        <w:t>, по сравнению приблизительно с 1800 женщинами на момент представления последнего доклада.</w:t>
      </w:r>
    </w:p>
    <w:p w:rsidR="00B44C11" w:rsidRDefault="00B44C11">
      <w:pPr>
        <w:spacing w:after="220"/>
      </w:pPr>
      <w:r>
        <w:t>111.</w:t>
      </w:r>
      <w:r>
        <w:tab/>
        <w:t>Недавно правительство провело критическую оценку государственных руководящих советов, которая показала, что в настоящее время доля женщин в членском составе руководящих советов достигла 41 процента. Ведомства, имеющие высокую долю участия женщин, включают:</w:t>
      </w:r>
    </w:p>
    <w:p w:rsidR="00B44C11" w:rsidRDefault="00B44C11">
      <w:pPr>
        <w:pStyle w:val="10-18"/>
        <w:spacing w:after="220"/>
      </w:pPr>
      <w:r>
        <w:sym w:font="Symbol" w:char="F0B7"/>
      </w:r>
      <w:r>
        <w:tab/>
      </w:r>
      <w:r>
        <w:rPr>
          <w:caps/>
        </w:rPr>
        <w:t>м</w:t>
      </w:r>
      <w:r>
        <w:t xml:space="preserve">инистерство социального развития (МСР) – под его управлением восемь советов, общее число членов которых составляет 31 человек; из них 19 (61 процент) – женщины. </w:t>
      </w:r>
    </w:p>
    <w:p w:rsidR="00B44C11" w:rsidRDefault="00B44C11">
      <w:pPr>
        <w:pStyle w:val="10-18"/>
        <w:spacing w:after="220"/>
      </w:pPr>
      <w:r>
        <w:sym w:font="Symbol" w:char="F0B7"/>
      </w:r>
      <w:r>
        <w:tab/>
      </w:r>
      <w:r>
        <w:rPr>
          <w:caps/>
        </w:rPr>
        <w:t>м</w:t>
      </w:r>
      <w:r>
        <w:t>инистерство здравоохранения – управляет 67 советами, общее число членов которых составляет 591 человек; из них 302 (51 процент) – женщины.</w:t>
      </w:r>
    </w:p>
    <w:p w:rsidR="00B44C11" w:rsidRDefault="00B44C11">
      <w:pPr>
        <w:pStyle w:val="10-18"/>
        <w:spacing w:after="220"/>
      </w:pPr>
      <w:r>
        <w:sym w:font="Symbol" w:char="F0B7"/>
      </w:r>
      <w:r>
        <w:tab/>
      </w:r>
      <w:r>
        <w:rPr>
          <w:caps/>
        </w:rPr>
        <w:t>д</w:t>
      </w:r>
      <w:r>
        <w:t>епартамент внутренних дел – управляет 38 советами, общее число членов которых составляет 268 человек, из них 130 (49 процентов) – женщины.</w:t>
      </w:r>
    </w:p>
    <w:p w:rsidR="00B44C11" w:rsidRDefault="00B44C11">
      <w:pPr>
        <w:pStyle w:val="Heading3"/>
        <w:spacing w:after="220"/>
      </w:pPr>
      <w:r>
        <w:t>Школьные попечительские советы</w:t>
      </w:r>
    </w:p>
    <w:p w:rsidR="00B44C11" w:rsidRDefault="00B44C11">
      <w:pPr>
        <w:spacing w:after="220"/>
      </w:pPr>
      <w:r>
        <w:t>112.</w:t>
      </w:r>
      <w:r>
        <w:tab/>
        <w:t>Деятельность новозеландских государственных и полугосударственных школ регулируется попечительскими советами в составе родителей, руководства, преподавателей, учащихся и представителей общественности. По состоянию на декабрь 2004 года насчитывалось 19 876 попечителей, 52 процента которых составляли женщины. Из этого числа 11 706 попечителей были избраны родителями, 49 процентов избранных родителями попечителей составляли женщины. Кроме того, на женщин приходилось 80 процентов представителей преподавательского состава.</w:t>
      </w:r>
    </w:p>
    <w:p w:rsidR="00B44C11" w:rsidRDefault="00B44C11">
      <w:pPr>
        <w:pStyle w:val="Heading3"/>
        <w:spacing w:after="220"/>
      </w:pPr>
      <w:r>
        <w:t>Неправительственные организации (НПО)</w:t>
      </w:r>
    </w:p>
    <w:p w:rsidR="00B44C11" w:rsidRDefault="00B44C11">
      <w:pPr>
        <w:spacing w:after="220"/>
      </w:pPr>
      <w:r>
        <w:t>113.</w:t>
      </w:r>
      <w:r>
        <w:tab/>
        <w:t>В сентябре 2003 года было создано Управление по вопросам общественного и добровольного сектора в целях решения всеобъемлющих для общественного и добровольного сектора проблем и повышения статуса этого сектора в структуре правительства. Управление работает с различными правительственными учреждениями, опираясь на примеры передовой практики, с целью установления партнерских отношений между государственными учреждениями и обществом, организациями добровольцев и маори.</w:t>
      </w:r>
    </w:p>
    <w:p w:rsidR="00B44C11" w:rsidRDefault="00B44C11">
      <w:r>
        <w:t>114.</w:t>
      </w:r>
      <w:r>
        <w:tab/>
        <w:t>Некоторые учреждения центрального правительства создали формальные механизмы для ведения диалога с общественными и добровольными организациями в областях, вызывающих их обеспокоенность. Они могут включать специальный персонал по обеспечению взаимодействия, регулярный обмен информацией, а также участие в разработке политики и/или финансировании различных групп сектора. Например, МДЖ поддерживает постоянные отношения с ключевыми женскими группами, включая Национальный совет женщин Новой Зеландии, организацию "Пасифика", Лигу обеспечения благосостояния женщин-маори, организацию "Женщины, проживающие в сельских районах Новой Зеландии", Новозеландскую федерацию женщин-предпринимателей и специалистов, инк., "Зонта" и Национальное общество независимых женских приютов.</w:t>
      </w:r>
    </w:p>
    <w:p w:rsidR="00B44C11" w:rsidRDefault="00B44C11">
      <w:r>
        <w:t>115.</w:t>
      </w:r>
      <w:r>
        <w:tab/>
        <w:t>МДЖ также регулярно созывает совещание по международным женским проблемам. Это совещание является тем форумом, на котором НПО и государственные учреждения обмениваются информацией и укрепляют потенциал Новой Зеландии, позволяющий ей вносить эффективный вклад в работу международных форумов.</w:t>
      </w:r>
    </w:p>
    <w:p w:rsidR="00B44C11" w:rsidRDefault="00B44C11">
      <w:r>
        <w:t>116.</w:t>
      </w:r>
      <w:r>
        <w:tab/>
        <w:t>Сегодня от местных властей официально требуется работать бок о бок со своими местными общинами и общественными организациями. Закон о местном самоуправлении 2002 года устанавливает для местных органов власти требование – определить пути улучшения положения общины, используя для этого процесс, согласованный в ходе обсуждения с другими заинтересованными сторонами, и привлечь общественность к определению связанных с этим приоритетов.</w:t>
      </w:r>
    </w:p>
    <w:p w:rsidR="00B44C11" w:rsidRDefault="00B44C11">
      <w:pPr>
        <w:pStyle w:val="Heading3"/>
      </w:pPr>
      <w:r>
        <w:t>Прочее</w:t>
      </w:r>
    </w:p>
    <w:p w:rsidR="00B44C11" w:rsidRDefault="00B44C11">
      <w:r>
        <w:t>117.</w:t>
      </w:r>
      <w:r>
        <w:tab/>
        <w:t xml:space="preserve">Для получения информации об участии женщин в международных делах см. статью 8: Представительские функции на международном уровне и участие в работе международных организаций. </w:t>
      </w:r>
    </w:p>
    <w:p w:rsidR="00B44C11" w:rsidRDefault="00B44C11">
      <w:pPr>
        <w:pStyle w:val="H1"/>
      </w:pPr>
      <w:bookmarkStart w:id="52" w:name="_Toc145842174"/>
      <w:r>
        <w:t>Статья 8</w:t>
      </w:r>
      <w:bookmarkEnd w:id="52"/>
    </w:p>
    <w:p w:rsidR="00B44C11" w:rsidRDefault="00B44C11">
      <w:pPr>
        <w:pStyle w:val="H1"/>
        <w:jc w:val="left"/>
      </w:pPr>
      <w:bookmarkStart w:id="53" w:name="_Toc145841564"/>
      <w:bookmarkStart w:id="54" w:name="_Toc145842175"/>
      <w:r>
        <w:t>Представительские функции на международном уровне и участие в работе международных организаций</w:t>
      </w:r>
      <w:bookmarkEnd w:id="53"/>
      <w:bookmarkEnd w:id="54"/>
    </w:p>
    <w:p w:rsidR="00B44C11" w:rsidRDefault="00B44C11">
      <w:pPr>
        <w:pStyle w:val="Heading3"/>
      </w:pPr>
      <w:r>
        <w:t>Введение</w:t>
      </w:r>
    </w:p>
    <w:p w:rsidR="00B44C11" w:rsidRDefault="00B44C11">
      <w:r>
        <w:t xml:space="preserve">118. </w:t>
      </w:r>
      <w:r>
        <w:tab/>
        <w:t>Новозеландские женщины принимают активное участие в работе международных форумов. По-прежнему обеспечивается без какой-либо дискриминации по признаку пола представленность женщин на важных международных конференциях, включая конференции Организации Объединенных Наций.</w:t>
      </w:r>
    </w:p>
    <w:p w:rsidR="00B44C11" w:rsidRDefault="00B44C11">
      <w:r>
        <w:t>119.</w:t>
      </w:r>
      <w:r>
        <w:tab/>
        <w:t xml:space="preserve">По-прежнему делегации, направляющиеся на ряд международных встреч, возглавляются министрами-женщинами, включая премьер-министра. Неуклонно растет численность женщин среди сотрудников </w:t>
      </w:r>
      <w:r>
        <w:rPr>
          <w:caps/>
        </w:rPr>
        <w:t>м</w:t>
      </w:r>
      <w:r>
        <w:t>инистерства иностранных дел и торговли (МИДТ). Все более тесными становятся взаимоотношения между правительством и представителями гражданского общества, участвующими в работе международных форумов. Например, члены гражданского общества входят в состав делегаций, направляющихся на заседания КЛДЖ и Комиссии по положению женщин.</w:t>
      </w:r>
    </w:p>
    <w:p w:rsidR="00B44C11" w:rsidRDefault="00B44C11">
      <w:r>
        <w:t>120.</w:t>
      </w:r>
      <w:r>
        <w:tab/>
        <w:t xml:space="preserve">Новая Зеландия также продолжает прилагать усилия к тому, чтобы стратегия расширения прав и возможностей женщин и обеспечения равноправия мужчин и женщин активно внедрялась во все направления деятельности, связанные с международным развитием. </w:t>
      </w:r>
    </w:p>
    <w:p w:rsidR="00B44C11" w:rsidRDefault="00B44C11">
      <w:pPr>
        <w:pStyle w:val="Heading3"/>
      </w:pPr>
      <w:r>
        <w:t>Женщины на дипломатической службе</w:t>
      </w:r>
    </w:p>
    <w:p w:rsidR="00B44C11" w:rsidRDefault="00B44C11">
      <w:r>
        <w:t>121.</w:t>
      </w:r>
      <w:r>
        <w:tab/>
        <w:t xml:space="preserve">Женщины играют все более заметную роль в работе МИДТ, представляя Новую Зеландию на международной арене. По состоянию на сентябрь 2005 года женщины составляли 53 процента сотрудников этого министерства (из 711 сотрудников 374 женщины). Сорок сотрудниц МИДТ указали, что они относятся к маори (по сравнению с 30 в 1997 году). Со времени представления последнего доклада значительно увеличилось число женщин на уровне высшего руководства по вопросам политики (сотрудник по вопросам внешней политики 6-го уровня – СВВП6) и низшего звена сотрудников по политическим вопросам (сотрудник по вопросам политики 1-го уровня – СВП1): 25 процентов на уровне СВВП6 (по сравнению с 18 процентами в 1997 году) и 67 процентов на уровне СВП1 (по сравнению с 51 процентом в 1997 году). Эти тенденции свидетельствуют об увеличении числа женщин, которые получают повышение по службе и переводятся на старшие должности в МИДТ, а также о росте числа женщин, поступающих на работу в МИДТ на должности низшего уровня. </w:t>
      </w:r>
    </w:p>
    <w:p w:rsidR="00B44C11" w:rsidRDefault="00B44C11">
      <w:r>
        <w:t>122.</w:t>
      </w:r>
      <w:r>
        <w:tab/>
        <w:t xml:space="preserve">Женщины занимают восемь из пятидесяти должностей руководителей дипломатических представительств/учреждений по сравнению с девятью в 1998 году. Две из восьми этих должностей относятся к числу самых ответственных должностей в загранучреждениях, а именно должность Постоянного представителя при Организации Объединенных Наций в Нью-Йорке; и должность Верховного комиссара Организации Объединенных Наций по правам человека в Австралии, </w:t>
      </w:r>
      <w:r>
        <w:br/>
        <w:t xml:space="preserve">в Канберре. Двадцать женщин работают на должностях заместителей руководителей дипломатических представительств/учреждений по сравнению с 17 женщинами во время представления предыдущего доклада. Этот рост соответствует общей тенденции продвижения женщин по службе в МИДТ. </w:t>
      </w:r>
    </w:p>
    <w:p w:rsidR="00B44C11" w:rsidRDefault="00B44C11">
      <w:r>
        <w:t>123.</w:t>
      </w:r>
      <w:r>
        <w:tab/>
        <w:t xml:space="preserve">Женщина является одним из шести членов группы высшего руководства МИДТ. Кроме того, женщины занимают восемь из двадцати пяти должностей на уровне директоров в Веллингтоне. </w:t>
      </w:r>
    </w:p>
    <w:p w:rsidR="00B44C11" w:rsidRDefault="00B44C11">
      <w:r>
        <w:t>124.</w:t>
      </w:r>
      <w:r>
        <w:tab/>
        <w:t>МИДТ продолжает организовывать для своих сотрудниц учебные курсы по вопросам профессионального развития. В последнее время МИДТ с учетом изменений, внесенных в законодательство, и организационных потребностей стало уделять особое внимание политике, ориентированной на потребности семьи. В 2005 году МИДТ создало рабочую группу по рассмотрению вопросов гармоничного сочетания трудовой деятельности и семейной жизни, в том числе такие вопросы, как режим рабочего времени, объем работы и последствия для сотрудников получения назначений на работу в загранучреждения. В начале 2006 года МИДТ также завершит обзор обеспечения равных возможностей в области оплаты труда и занятости в масштабах государственного сектора. Цель данного обзора состоит в том, чтобы удостовериться, что политика, практика и внутриорганизационная культура МИДТ обеспечивают мужчинам и женщинам получение справедливой доли вознаграждения, равноправное участие во всех областях и уважительное и справедливое обращение.</w:t>
      </w:r>
    </w:p>
    <w:p w:rsidR="00B44C11" w:rsidRDefault="00B44C11">
      <w:pPr>
        <w:pStyle w:val="Heading3"/>
      </w:pPr>
      <w:r>
        <w:t>Международные конференции и организации</w:t>
      </w:r>
    </w:p>
    <w:p w:rsidR="00B44C11" w:rsidRDefault="00B44C11">
      <w:r>
        <w:t>125.</w:t>
      </w:r>
      <w:r>
        <w:tab/>
        <w:t xml:space="preserve">Женщины продолжают представлять Новую Зеландию на международных конференциях в качестве официальных и неофициальных членов правительственных делегаций без какой-либо дискриминации по признаку пола. Правила, на основе которых определяется состав новозеландских делегаций на международных конференциях, не устанавливают никаких ограничений по признаку пола, и потому в течение всего периода, охватываемого настоящим докладом, женщины неизменно возглавляли, обеспечивали работу и консультировали такие делегации. Примерами делегаций, возглавлявшихся в 2005 году женщинами, являются новозеландские делегации на </w:t>
      </w:r>
      <w:r>
        <w:rPr>
          <w:caps/>
        </w:rPr>
        <w:t>в</w:t>
      </w:r>
      <w:r>
        <w:t xml:space="preserve">стрече на высшем уровне лидеров стран АТЭС, совещание глав правительств Содружества и </w:t>
      </w:r>
      <w:r>
        <w:rPr>
          <w:caps/>
        </w:rPr>
        <w:t>в</w:t>
      </w:r>
      <w:r>
        <w:t xml:space="preserve">стреча на высшем уровне лидеров стран Восточной Азии (делегацию возглавляла премьер-министр) и делегации на Всемирном саммите Организации Объединенных Наций и на 60-й очередной сессии Генеральной Ассамблеи Организации Объединенных Наций. </w:t>
      </w:r>
    </w:p>
    <w:p w:rsidR="00B44C11" w:rsidRDefault="00B44C11">
      <w:r>
        <w:t>126.</w:t>
      </w:r>
      <w:r>
        <w:tab/>
        <w:t>Новозеландские женщины продолжают участвовать в качестве консультантов в работе постоянных органов, занимающихся международными вопросами. В настоящее время, например, три женщины представлены в Государственном консультативном комитете по разоружению и контролю над вооружениями.</w:t>
      </w:r>
    </w:p>
    <w:p w:rsidR="00B44C11" w:rsidRDefault="00B44C11">
      <w:r>
        <w:t>127.</w:t>
      </w:r>
      <w:r>
        <w:tab/>
        <w:t xml:space="preserve">Правительство Новой Зеландии одобряет, когда это вызвано необходимостью, включение в состав правительственных организаций на международных совещаниях неофициальных представителей (включая женщин – представителей НПО) в знак признания тех широких специальных знаний, которыми они обладают и могут поделиться. Как правило, предполагается, что неофициальные члены официальных делегаций сами покрывают свои расходы. Однако в тех случаях, когда правительство само добивается их включения, учитывая специальные знания, которые могут оказаться необходимыми для делегаций, может быть рассмотрен вопрос о покрытии их расходов. Женщины в качестве неофициальных представителей включались в состав многочисленных новозеландских делегаций, в том числе на Всемирной встрече на высшем уровне по вопросам информационного общества в Тунисе, на Конференции Организации Объединенных Наций по изменению климата (обе состоялись в 2005 году) и на проходящих в настоящее время переговорах по Конвенции Организации Объединенных Наций об инвалидности. </w:t>
      </w:r>
    </w:p>
    <w:p w:rsidR="00B44C11" w:rsidRDefault="00B44C11">
      <w:r>
        <w:t>128.</w:t>
      </w:r>
      <w:r>
        <w:tab/>
        <w:t>Новозеландские женщины также участвуют в работе ряда международных организаций и выполняют международные функции. Правительство, поддерживая выдвижение кандидатов от Новой Зеландии в международные органы, исходит из личных качеств конкретной кандидатуры, не допуская при этом дискриминации по признаку пола. В настоящее время пересматриваются процедуры выдвижения кандидатов в экспертные органы.</w:t>
      </w:r>
    </w:p>
    <w:p w:rsidR="00B44C11" w:rsidRDefault="00B44C11">
      <w:r>
        <w:t>129.</w:t>
      </w:r>
      <w:r>
        <w:tab/>
        <w:t xml:space="preserve">Женщины в Новой Зеландии, помимо участия в работе международных конференций </w:t>
      </w:r>
      <w:r>
        <w:br/>
        <w:t>в качестве руководителей, экспертов и консультантов, имеют возможность давать комментарии по ряду соответствующих международных вопросов в рамках широкого процесса консультаций правительства с гражданским обществом.</w:t>
      </w:r>
    </w:p>
    <w:p w:rsidR="00B44C11" w:rsidRDefault="00B44C11">
      <w:pPr>
        <w:pStyle w:val="Heading3"/>
      </w:pPr>
      <w:r>
        <w:t>Внешняя политика и женская проблематика</w:t>
      </w:r>
    </w:p>
    <w:p w:rsidR="00B44C11" w:rsidRDefault="00B44C11">
      <w:r>
        <w:t>130.</w:t>
      </w:r>
      <w:r>
        <w:tab/>
        <w:t>Новая Зеландия активно участвует в содействии осуществлению прав женщин во всем мире. Поощрение и защита прав женщин являются приоритетными областями международной правозащитной политики Новой Зеландии. Например:</w:t>
      </w:r>
    </w:p>
    <w:p w:rsidR="00B44C11" w:rsidRDefault="00B44C11">
      <w:pPr>
        <w:pStyle w:val="10-18"/>
      </w:pPr>
      <w:r>
        <w:sym w:font="Symbol" w:char="F0B7"/>
      </w:r>
      <w:r>
        <w:tab/>
        <w:t>Новая Зеландия принимает активное участие в работе ежегодных заседаний Комиссии по положению женщин и поддерживает принятие резолюций по женской и гендерной проблематике в Комиссии по правам человека и Третьем комитете Генеральной Ассамблеи Организации Объединенных Наций.</w:t>
      </w:r>
    </w:p>
    <w:p w:rsidR="00B44C11" w:rsidRDefault="00B44C11">
      <w:pPr>
        <w:pStyle w:val="10-18"/>
      </w:pPr>
      <w:r>
        <w:sym w:font="Symbol" w:char="F0B7"/>
      </w:r>
      <w:r>
        <w:tab/>
        <w:t xml:space="preserve">Новая Зеландия выступает в защиту прав женщин на сексуальное и репродуктивное здоровье на международных форумах и поддерживает позицию Фонда Организации Объединенных Наций в области народонаселения и работу Международного фонда планирования семьи </w:t>
      </w:r>
      <w:r>
        <w:br/>
        <w:t xml:space="preserve">по этим вопросам. </w:t>
      </w:r>
    </w:p>
    <w:p w:rsidR="00B44C11" w:rsidRDefault="00B44C11">
      <w:pPr>
        <w:pStyle w:val="10-18"/>
      </w:pPr>
      <w:r>
        <w:sym w:font="Symbol" w:char="F0B7"/>
      </w:r>
      <w:r>
        <w:tab/>
        <w:t>Новая Зеландия поддерживает резолюции о ликвидации насилия в отношении женщин и деятельность Специального докладчика Комиссии по правам человека по этой проблеме.</w:t>
      </w:r>
    </w:p>
    <w:p w:rsidR="00B44C11" w:rsidRDefault="00B44C11">
      <w:pPr>
        <w:pStyle w:val="10-18"/>
      </w:pPr>
      <w:r>
        <w:sym w:font="Symbol" w:char="F0B7"/>
      </w:r>
      <w:r>
        <w:tab/>
        <w:t xml:space="preserve">Новая Зеландия поддержала последующие меры по выполнению резолюции 1325 Совета Безопасности Организации Объединенных Наций о роли и участии женщин в поддержании мира и укреплении безопасности, касающейся важности повышения участия женщин </w:t>
      </w:r>
      <w:r>
        <w:br/>
        <w:t>в мирных процессах и воссоздании гражданского общества.</w:t>
      </w:r>
    </w:p>
    <w:p w:rsidR="00B44C11" w:rsidRDefault="00B44C11">
      <w:pPr>
        <w:pStyle w:val="10-18"/>
      </w:pPr>
      <w:r>
        <w:sym w:font="Symbol" w:char="F0B7"/>
      </w:r>
      <w:r>
        <w:tab/>
        <w:t xml:space="preserve">Правозащитная проблематика учитывается в двусторонней дипломатии Новой Зеландии. Сотрудники дипломатических представительств и загранучреждений Новой Зеландии регулярно поднимают проблемы прав человека перед правительствами принимающих стран. </w:t>
      </w:r>
    </w:p>
    <w:p w:rsidR="00B44C11" w:rsidRDefault="00B44C11">
      <w:pPr>
        <w:pStyle w:val="Heading3"/>
      </w:pPr>
      <w:r>
        <w:t>Помощь в целях развития</w:t>
      </w:r>
    </w:p>
    <w:p w:rsidR="00B44C11" w:rsidRDefault="00B44C11">
      <w:r>
        <w:t>131.</w:t>
      </w:r>
      <w:r>
        <w:tab/>
        <w:t xml:space="preserve">Новозеландское агентство по международному развитию:/Nga Hoe Tuputupu-mai-tawhiti (НЗАИД) было создано в июле 2002 года. НЗАИД – это учреждение, несущее ответственность за руководство предоставлением Новой Зеландией официальной помощи в целях развития. Основное внимание НЗАИД уделяет ликвидации нищеты в развивающихся странах через взаимодействие </w:t>
      </w:r>
      <w:r>
        <w:br/>
        <w:t xml:space="preserve">с партнерами по достижению устойчивого и справедливого развития, обращая при этом особое внимание на такой географический регион, как </w:t>
      </w:r>
      <w:r>
        <w:rPr>
          <w:caps/>
        </w:rPr>
        <w:t>т</w:t>
      </w:r>
      <w:r>
        <w:t>ихоокеанский.</w:t>
      </w:r>
    </w:p>
    <w:p w:rsidR="00B44C11" w:rsidRDefault="00B44C11">
      <w:r>
        <w:t>132.</w:t>
      </w:r>
      <w:r>
        <w:tab/>
        <w:t xml:space="preserve">НЗАИД стремится повысить общий уровень благосостояния людей путем развития и расширения потенциала, свобод и возможностей выбора женщин и мужчин, девочек и мальчиков, </w:t>
      </w:r>
      <w:r>
        <w:br/>
        <w:t>с тем чтобы они способствовали повышению качества собственной жизни и благосостояния своих семей, общин и обществ. НЗАИД пересматривает в соответствии с требованиями современности свою гендерную политику, чтобы она служила отражением этих целей.</w:t>
      </w:r>
    </w:p>
    <w:p w:rsidR="00B44C11" w:rsidRDefault="00B44C11">
      <w:r>
        <w:t>133.</w:t>
      </w:r>
      <w:r>
        <w:tab/>
        <w:t xml:space="preserve">НЗАИД содействует развитию и интеграции прав человека – гражданских, политических, экономических, социальных и культурных – во все направления своей работы. НЗАИД стремится обеспечить, чтобы международные обязательства Новой Зеландии, в том числе вытекающие из КЛДЖ, и обязательства, принятые в Пекине и Каире, а также связанные с принятием Декларации тысячелетия Организации Объединенных Наций и </w:t>
      </w:r>
      <w:r>
        <w:rPr>
          <w:caps/>
        </w:rPr>
        <w:t>ц</w:t>
      </w:r>
      <w:r>
        <w:t>елей в области развития, сформулированных в Декларации тысячелетия, лежали в основе международного развития и всей деятельности НЗАИД.</w:t>
      </w:r>
    </w:p>
    <w:p w:rsidR="00B44C11" w:rsidRDefault="00B44C11">
      <w:r>
        <w:t>134.</w:t>
      </w:r>
      <w:r>
        <w:tab/>
        <w:t>Стратегический подход НЗАИД заключается в обеспечении того, чтобы принцип расширения прав и возможностей женщин и достижения равноправия мужчин и женщин активно внедрялся во все программы развития и реализовывался через политическое взаимодействие и партнерские отношения с правительствами, а также на международных и региональных форумах. Ниже приводятся примеры поддержки Новой Зеландией предоставления помощи в целях развития для достижения равноправия мужчин и женщин и расширения прав и возможностей женщин:</w:t>
      </w:r>
    </w:p>
    <w:p w:rsidR="00B44C11" w:rsidRDefault="00B44C11">
      <w:pPr>
        <w:pStyle w:val="10-18"/>
      </w:pPr>
      <w:r>
        <w:sym w:font="Symbol" w:char="F0B7"/>
      </w:r>
      <w:r>
        <w:tab/>
        <w:t xml:space="preserve">Финансирование осуществления КЛДЖ в Тихоокеанском регионе посредством оказания содействия в укреплении потенциала правительствам-партнерам, например Островов Кука, </w:t>
      </w:r>
      <w:r>
        <w:br/>
        <w:t xml:space="preserve">и Тихоокеанского отделения Фонда Организации Объединенных Наций для развития </w:t>
      </w:r>
      <w:r>
        <w:br/>
        <w:t xml:space="preserve">в интересах женщин (ЮНИФЕМ). Программа ЮНИФЕМ нацелена на укрепление потенциала правительств в осуществлении КЛДЖ и поддержку усилий гражданского общества содействовать мониторингу и представлению докладов об осуществлении КЛДЖ. </w:t>
      </w:r>
    </w:p>
    <w:p w:rsidR="00B44C11" w:rsidRDefault="00B44C11">
      <w:pPr>
        <w:pStyle w:val="10-18"/>
      </w:pPr>
      <w:r>
        <w:sym w:font="Symbol" w:char="F0B7"/>
      </w:r>
      <w:r>
        <w:tab/>
        <w:t>Непрерывная поддержка деятельности по содействию и расширению понимания равенства между мужчинами и женщинами в Тихоокеанском регионе. Она включает поддержку Aia Maea Ainen Kiribati (АМАК), зонтичной организации, представляющей интересы женских НПО на Кирибати, и Ассоциации советников Кирибати.</w:t>
      </w:r>
    </w:p>
    <w:p w:rsidR="00B44C11" w:rsidRDefault="00B44C11">
      <w:pPr>
        <w:pStyle w:val="10-18"/>
      </w:pPr>
      <w:r>
        <w:sym w:font="Symbol" w:char="F0B7"/>
      </w:r>
      <w:r>
        <w:tab/>
        <w:t>Оказание помощи Женскому центру Вануату (VWC) в реализации разъяснительно-пропагандистской и учебной программы для мужчин. Она осуществляется при поддержке Женского кризисного центра Фиджи, который предоставляет Женскому центру Вануату финансовые средства для организации учебного курса, имеющего целью критически оценить и изменить представления мужчин о женщинах и их отношение к ним.</w:t>
      </w:r>
    </w:p>
    <w:p w:rsidR="00B44C11" w:rsidRDefault="00B44C11">
      <w:pPr>
        <w:pStyle w:val="10-18"/>
      </w:pPr>
      <w:r>
        <w:sym w:font="Symbol" w:char="F0B7"/>
      </w:r>
      <w:r>
        <w:tab/>
        <w:t>Начало осуществления в марте 2004 года в провинции Биньдинь, Вьетнам, проекта по охране здоровья матери и ребенка стоимостью 3 млн. долл. США, одного из крупнейших проектов, финансировавшихся НЗАИД за пределами Тихоокеанского региона. Этот проект осуществляется Фондом Организации Объединенных Наций в области народонаселения (ЮНФПА) и Департаментом здравоохранения провинции Биньдинь.</w:t>
      </w:r>
    </w:p>
    <w:p w:rsidR="00B44C11" w:rsidRDefault="00B44C11">
      <w:r>
        <w:t>135.</w:t>
      </w:r>
      <w:r>
        <w:tab/>
        <w:t xml:space="preserve">НЗАИД намеревается разработать план осуществления, направленный на введение </w:t>
      </w:r>
      <w:r>
        <w:br/>
        <w:t>в действие обновленной гендерной политики, и будет по-прежнему содействовать достижению равенства между мужчинами и женщинами и расширения прав и возможностей женщин во всех своих программах помощи в целях развития, в работе по взаимодействию с партнерами и проведении политического диалога.</w:t>
      </w:r>
    </w:p>
    <w:p w:rsidR="00B44C11" w:rsidRDefault="00B44C11">
      <w:pPr>
        <w:pStyle w:val="H1"/>
      </w:pPr>
      <w:bookmarkStart w:id="55" w:name="_Toc145842176"/>
      <w:r>
        <w:t>Статья 9</w:t>
      </w:r>
      <w:bookmarkEnd w:id="55"/>
    </w:p>
    <w:p w:rsidR="00B44C11" w:rsidRDefault="00B44C11">
      <w:pPr>
        <w:pStyle w:val="H1"/>
      </w:pPr>
      <w:bookmarkStart w:id="56" w:name="_Toc145841566"/>
      <w:bookmarkStart w:id="57" w:name="_Toc145842177"/>
      <w:r>
        <w:t>Гражданство</w:t>
      </w:r>
      <w:bookmarkEnd w:id="56"/>
      <w:bookmarkEnd w:id="57"/>
    </w:p>
    <w:p w:rsidR="00B44C11" w:rsidRDefault="00B44C11">
      <w:r>
        <w:rPr>
          <w:b/>
        </w:rPr>
        <w:t>Введение</w:t>
      </w:r>
    </w:p>
    <w:p w:rsidR="00B44C11" w:rsidRDefault="00B44C11">
      <w:r>
        <w:t>136.</w:t>
      </w:r>
      <w:r>
        <w:tab/>
        <w:t xml:space="preserve">Новозеландские женщины имеют равные с мужчинами права в отношении приобретения, изменения или сохранения их гражданства и равные с мужчинами права в отношении гражданства их детей. В прошлом году правительство внесло изменения в Закон о гражданстве 1977 года </w:t>
      </w:r>
      <w:r>
        <w:br/>
        <w:t xml:space="preserve">в целях признания ценности и значения новозеландского гражданства. Эти изменения предусматривают, что с 1 января 2006 года ни один человек не может въехать в Новую Зеландию по временному разрешению исключительно для того, чтобы родить ребенка и получить новозеландское гражданство для своего ребенка, рожденного в этой стране. Данный </w:t>
      </w:r>
      <w:r>
        <w:rPr>
          <w:caps/>
        </w:rPr>
        <w:t>з</w:t>
      </w:r>
      <w:r>
        <w:t>акон, ограничивая предоставление гражданства при рождении детьми граждан и постоянных жителей, содержит новые положения, согласно которым гражданство и право пользования его преимуществами предоставляется только людям, которые имеют подлинные и непрерывные связи с Новой Зеландией.</w:t>
      </w:r>
    </w:p>
    <w:p w:rsidR="00B44C11" w:rsidRDefault="00B44C11">
      <w:r>
        <w:t>137.</w:t>
      </w:r>
      <w:r>
        <w:tab/>
        <w:t>До конца 2005 года большинство детей, родившихся в Новой Зеландии (или на Островах Кука, Ниуэ или Токелау), автоматически становились гражданами Новой Зеландии при рождении (за редким исключением). С 1 января 2006 года дети, родившиеся на Новой Зеландии (или на Островах Кука, Ниуэ или Токелау), приобретают гражданство Новой Зеландии при рождении, если по крайней мере один из их родителей:</w:t>
      </w:r>
    </w:p>
    <w:p w:rsidR="00B44C11" w:rsidRDefault="00B44C11">
      <w:pPr>
        <w:pStyle w:val="10-18"/>
      </w:pPr>
      <w:r>
        <w:sym w:font="Symbol" w:char="F0B7"/>
      </w:r>
      <w:r>
        <w:tab/>
        <w:t>является гражданином Новой Зеландии, или</w:t>
      </w:r>
    </w:p>
    <w:p w:rsidR="00B44C11" w:rsidRDefault="00B44C11">
      <w:pPr>
        <w:pStyle w:val="10-18"/>
      </w:pPr>
      <w:r>
        <w:sym w:font="Symbol" w:char="F0B7"/>
      </w:r>
      <w:r>
        <w:tab/>
        <w:t xml:space="preserve">имеет право на пребывание в Новой Зеландии в течение неограниченного периода времени </w:t>
      </w:r>
      <w:r>
        <w:br/>
        <w:t>в контексте Закона об иммиграции 1987 года (то есть лицо, имеющее вид на жительство, или гражданин Австралии), или</w:t>
      </w:r>
    </w:p>
    <w:p w:rsidR="00B44C11" w:rsidRDefault="00B44C11">
      <w:pPr>
        <w:pStyle w:val="10-18"/>
      </w:pPr>
      <w:r>
        <w:sym w:font="Symbol" w:char="F0B7"/>
      </w:r>
      <w:r>
        <w:tab/>
        <w:t>имеет право на проживание в течение неограниченного времени на Островах Кука, Токелау или Ниуэ.</w:t>
      </w:r>
    </w:p>
    <w:p w:rsidR="00B44C11" w:rsidRDefault="00B44C11">
      <w:r>
        <w:t>138.</w:t>
      </w:r>
      <w:r>
        <w:tab/>
        <w:t xml:space="preserve">Изменения, внесенные в законодательство, не затронут большинство людей, дети которых родились в Новой Зеландии. По оценкам, из-за этих изменений от 100 до 600 новорожденных ежегодно (примерно 0,2–1 процент) будут лишены возможности стать гражданами Новой Зеландии. В таких случаях новорожденные становятся гражданами страны одного из родителей </w:t>
      </w:r>
      <w:r>
        <w:br/>
        <w:t xml:space="preserve">в соответствии с законами этой страны. </w:t>
      </w:r>
    </w:p>
    <w:p w:rsidR="00B44C11" w:rsidRDefault="00B44C11">
      <w:r>
        <w:t>139.</w:t>
      </w:r>
      <w:r>
        <w:tab/>
        <w:t xml:space="preserve">В Новой Зеландии "гражданство" является юридическим термином, не совпадающим </w:t>
      </w:r>
      <w:r>
        <w:br/>
        <w:t>по значению с понятием "иммиграционный статус". Иммиграция в Новую Зеландию осуществляется в соответствии с Новозеландской программой иммиграции (НЗИП) и подразделяется на три потока: квалифицированные работники/предприниматели (60 процентов от числа иммигрантов по программе НЗИП); семьи, получающие спонсорскую поддержку (30 процентов) и международные/гуманитарные иммигранты (10 процентов)</w:t>
      </w:r>
      <w:r>
        <w:rPr>
          <w:rStyle w:val="FootnoteReference"/>
        </w:rPr>
        <w:footnoteReference w:id="15"/>
      </w:r>
      <w:r>
        <w:t xml:space="preserve">. Мужчины и женщины имеют равные права с точки зрения их приемлемости, для того чтобы мигрировать </w:t>
      </w:r>
      <w:r>
        <w:br/>
        <w:t>в Новую Зеландию в составе этих трех потоков. Однако квота беженцев, выделяемая в рамках потока международных/гуманитарных иммигрантов, включает 75 мест, специально предназначенных для "женщин, подвергающихся риску"</w:t>
      </w:r>
      <w:r>
        <w:rPr>
          <w:rStyle w:val="FootnoteReference"/>
        </w:rPr>
        <w:footnoteReference w:id="16"/>
      </w:r>
      <w:r>
        <w:t>.</w:t>
      </w:r>
    </w:p>
    <w:p w:rsidR="00B44C11" w:rsidRDefault="00B44C11">
      <w:pPr>
        <w:pStyle w:val="H1"/>
      </w:pPr>
      <w:bookmarkStart w:id="58" w:name="_Toc145842178"/>
      <w:r>
        <w:t>Статья 10</w:t>
      </w:r>
      <w:bookmarkEnd w:id="58"/>
    </w:p>
    <w:p w:rsidR="00B44C11" w:rsidRDefault="00B44C11">
      <w:pPr>
        <w:pStyle w:val="H1"/>
      </w:pPr>
      <w:bookmarkStart w:id="59" w:name="_Toc145841568"/>
      <w:bookmarkStart w:id="60" w:name="_Toc145842179"/>
      <w:r>
        <w:t>Образование</w:t>
      </w:r>
      <w:bookmarkEnd w:id="59"/>
      <w:bookmarkEnd w:id="60"/>
    </w:p>
    <w:p w:rsidR="00B44C11" w:rsidRDefault="00B44C11">
      <w:pPr>
        <w:rPr>
          <w:b/>
        </w:rPr>
      </w:pPr>
      <w:r>
        <w:rPr>
          <w:b/>
        </w:rPr>
        <w:t>Введение</w:t>
      </w:r>
    </w:p>
    <w:p w:rsidR="00B44C11" w:rsidRDefault="00B44C11">
      <w:r>
        <w:t>140.</w:t>
      </w:r>
      <w:r>
        <w:tab/>
        <w:t>Правительство признает, что для достижения и поддержания приемлемого уровня жизни и обеспечения или оказания помощи в обеспечении будущего своих семей/вханау женщины должны иметь доступ к доходам, навыкам и знаниям надлежащего уровня, которые помогут им максимально увеличить свои финансовые ресурсы. Повышение женщинами своей квалификации расширяет их возможности для получения устойчивого трудоустройства.</w:t>
      </w:r>
    </w:p>
    <w:p w:rsidR="00B44C11" w:rsidRDefault="00B44C11">
      <w:pPr>
        <w:spacing w:after="220"/>
      </w:pPr>
      <w:r>
        <w:t>141.</w:t>
      </w:r>
      <w:r>
        <w:tab/>
        <w:t xml:space="preserve">Женщины имеют равные с мужчинами права на получение образования на всех уровнях. </w:t>
      </w:r>
      <w:r>
        <w:br/>
        <w:t xml:space="preserve">В общем, уровень квалификации у новозеландских женщин по-прежнему несколько ниже, чем у мужчин, что объясняется исторически сложившимися различиями между уровнями участия их </w:t>
      </w:r>
      <w:r>
        <w:br/>
        <w:t>в образовании</w:t>
      </w:r>
      <w:r>
        <w:rPr>
          <w:rStyle w:val="FootnoteReference"/>
        </w:rPr>
        <w:footnoteReference w:id="17"/>
      </w:r>
      <w:r>
        <w:t>. Однако за последние тридцать лет численность женщин среди учащихся выросла</w:t>
      </w:r>
      <w:r>
        <w:rPr>
          <w:rStyle w:val="FootnoteReference"/>
        </w:rPr>
        <w:footnoteReference w:id="18"/>
      </w:r>
      <w:r>
        <w:t>. Фактически женщины сегодня быстрее, чем мужчины, приобретают квалификацию, причем в более молодых возрастных группах, и женщины, имеющие высшее образование и соответствующую квалификацию, численно превосходят мужчин</w:t>
      </w:r>
      <w:r>
        <w:rPr>
          <w:rStyle w:val="FootnoteReference"/>
        </w:rPr>
        <w:footnoteReference w:id="19"/>
      </w:r>
      <w:r>
        <w:t>. Вместе с тем имеются различия в уровнях квалификации разных групп женщин.</w:t>
      </w:r>
    </w:p>
    <w:p w:rsidR="00B44C11" w:rsidRDefault="00B44C11">
      <w:pPr>
        <w:spacing w:after="220"/>
      </w:pPr>
      <w:r>
        <w:t>142.</w:t>
      </w:r>
      <w:r>
        <w:tab/>
        <w:t>Правительство после представления последнего доклада разработало ряд стратегий и направлений политики в целях увеличения доступа к образованию и расширения контингента учащихся на всех уровнях сектора образования. Хотя эти стратегии и направления политики являются нейтральными в гендерном плане, правительство принимает меры к тому, чтобы политика и подходы разрабатывались с учетом потребностей в области образования женщин и девочек, включая женщин и девочек – представительниц разных культур или инвалидов.</w:t>
      </w:r>
    </w:p>
    <w:p w:rsidR="00B44C11" w:rsidRDefault="00B44C11">
      <w:pPr>
        <w:spacing w:after="220"/>
      </w:pPr>
      <w:r>
        <w:t>143.</w:t>
      </w:r>
      <w:r>
        <w:tab/>
        <w:t>Правительство также отдает себе отчет в том, что политика в области образования не только влияет на способности женщин в плане получения устойчивого трудоустройства, но и служит им поддержкой в выполнении других функций в жизни. Например, выделение дополнительных средств на обучение в раннем детском возрасте сделало более доступным уход за детьми, что самым положительным образом сказалось на работающих матерях или матерях, которые хотели бы трудоустроиться.</w:t>
      </w:r>
    </w:p>
    <w:p w:rsidR="00B44C11" w:rsidRDefault="00B44C11">
      <w:pPr>
        <w:spacing w:after="220"/>
      </w:pPr>
      <w:r>
        <w:t>144.</w:t>
      </w:r>
      <w:r>
        <w:tab/>
        <w:t>Предоставление женщинам больше возможностей и вариантов выбора в сфере образования также имеет большое значение для решения проблемы профессиональной сегрегации в Новой Зеландии.</w:t>
      </w:r>
    </w:p>
    <w:p w:rsidR="00B44C11" w:rsidRDefault="00B44C11">
      <w:pPr>
        <w:pStyle w:val="Heading3"/>
        <w:spacing w:after="220"/>
      </w:pPr>
      <w:r>
        <w:t>Доступ и участие</w:t>
      </w:r>
    </w:p>
    <w:p w:rsidR="00B44C11" w:rsidRDefault="00B44C11">
      <w:pPr>
        <w:pStyle w:val="Heading4"/>
        <w:spacing w:after="220"/>
      </w:pPr>
      <w:r>
        <w:t>Обучение в раннем детском возрасте (ОРДВ)</w:t>
      </w:r>
    </w:p>
    <w:p w:rsidR="00B44C11" w:rsidRDefault="00B44C11">
      <w:pPr>
        <w:spacing w:after="220"/>
      </w:pPr>
      <w:r>
        <w:t>145.</w:t>
      </w:r>
      <w:r>
        <w:tab/>
        <w:t>Число детей, охваченных обучением в раннем детском возрасте, выросло с 91 процента детей, которые начали ходить в школу в 2001 году, до 94 процентов – в 2004 году. Увеличилось также число малолетних детей, принятых в детские дошкольные учреждения</w:t>
      </w:r>
      <w:r>
        <w:rPr>
          <w:rStyle w:val="FootnoteReference"/>
        </w:rPr>
        <w:footnoteReference w:id="20"/>
      </w:r>
      <w:r>
        <w:t xml:space="preserve">. </w:t>
      </w:r>
    </w:p>
    <w:p w:rsidR="00B44C11" w:rsidRDefault="00B44C11">
      <w:pPr>
        <w:spacing w:after="220"/>
      </w:pPr>
      <w:r>
        <w:t>146.</w:t>
      </w:r>
      <w:r>
        <w:tab/>
        <w:t>Существует незначительное различие в долях мальчиков и девочек, охваченных обучением в раннем возрасте. В общем числе детей, которые были охвачены обучением в раннем детском возрасте, в 2004 году доля мальчиков составила 51,1 процента, а доля девочек – 48,9 процента</w:t>
      </w:r>
      <w:r>
        <w:rPr>
          <w:rStyle w:val="FootnoteReference"/>
        </w:rPr>
        <w:footnoteReference w:id="21"/>
      </w:r>
      <w:r>
        <w:t xml:space="preserve">. </w:t>
      </w:r>
    </w:p>
    <w:p w:rsidR="00B44C11" w:rsidRDefault="00B44C11">
      <w:pPr>
        <w:spacing w:after="220"/>
      </w:pPr>
      <w:r>
        <w:t>147.</w:t>
      </w:r>
      <w:r>
        <w:tab/>
        <w:t>Правительство приняло на себя обязательство увеличить долю детей, обучающихся в раннем детском возрасте, повысить качество их обучения путем осуществления десятилетнего стратегического плана обучения детей в раннем возрасте: "</w:t>
      </w:r>
      <w:r>
        <w:rPr>
          <w:i/>
        </w:rPr>
        <w:t>Pathways to the Future: Nga Huarahi Arataki</w:t>
      </w:r>
      <w:r>
        <w:t xml:space="preserve">", которое было начато в октябре 2002 года. В бюджете 2005 года расходы на обучение в раннем детском возрасте увеличены настолько, что в 2008–2009 годах они составят 694 млн. долл. США. Относительно 1999–2000 годов этот рост составит 140 процентов. </w:t>
      </w:r>
    </w:p>
    <w:p w:rsidR="00B44C11" w:rsidRDefault="00B44C11">
      <w:r>
        <w:t>148.</w:t>
      </w:r>
      <w:r>
        <w:tab/>
        <w:t xml:space="preserve">Подобное увеличение финансирования даст непосредственную с финансовой точки зрения выгоду детям и их семьям. С 1 июля 2007 года дети в возрасте трех–четырех лет, которые посещают занятия, организованные службой образования дошкольников, получат право на посещение бесплатных учебных занятий, общей продолжительностью двадцать часов в неделю. Это является шагом вперед на пути реализации правительственной концепции дешевого обучения в раннем детском возрасте для всех детей. </w:t>
      </w:r>
    </w:p>
    <w:p w:rsidR="00B44C11" w:rsidRDefault="00B44C11">
      <w:pPr>
        <w:pStyle w:val="Heading4"/>
      </w:pPr>
      <w:r>
        <w:t>Начальное и среднее школьное образование</w:t>
      </w:r>
    </w:p>
    <w:p w:rsidR="00B44C11" w:rsidRDefault="00B44C11">
      <w:r>
        <w:t>149.</w:t>
      </w:r>
      <w:r>
        <w:tab/>
        <w:t>Соотношение мальчиков и девочек, посещающих школу, остается неизменным за последние несколько лет и составляет 51 процент к 49 процентам, соответственно</w:t>
      </w:r>
      <w:r>
        <w:rPr>
          <w:rStyle w:val="FootnoteReference"/>
        </w:rPr>
        <w:footnoteReference w:id="22"/>
      </w:r>
      <w:r>
        <w:t xml:space="preserve">. </w:t>
      </w:r>
    </w:p>
    <w:p w:rsidR="00B44C11" w:rsidRDefault="00B44C11">
      <w:r>
        <w:t>150.</w:t>
      </w:r>
      <w:r>
        <w:tab/>
        <w:t>Со времени представления последнего доклада никаких изменений в положениях, касающихся обязательного школьного образования и бесплатного обучения в Новой Зеландии, не произошло. Новая Зеландия также продолжает поддерживать работу в школах родительских групп, которые решают проблемы родителей подростков.</w:t>
      </w:r>
    </w:p>
    <w:p w:rsidR="00B44C11" w:rsidRDefault="00B44C11">
      <w:r>
        <w:t>151.</w:t>
      </w:r>
      <w:r>
        <w:tab/>
        <w:t xml:space="preserve">Поставленные правительством цели по расширению доступа к образованию и контингента учащихся в школах сформулированы в </w:t>
      </w:r>
      <w:r>
        <w:rPr>
          <w:i/>
        </w:rPr>
        <w:t>Стратегии школьного образования</w:t>
      </w:r>
      <w:r>
        <w:t xml:space="preserve">. Эта </w:t>
      </w:r>
      <w:r>
        <w:rPr>
          <w:i/>
          <w:caps/>
        </w:rPr>
        <w:t>с</w:t>
      </w:r>
      <w:r>
        <w:rPr>
          <w:i/>
        </w:rPr>
        <w:t>тратегия</w:t>
      </w:r>
      <w:r>
        <w:t xml:space="preserve"> будет определять направленность политики и деятельности на всех уровнях сектора школьного образования в период 2005–2010 годов. Она направлена на расширение социальных и образовательных возможностей для всех учащихся при уделении особого внимания тем факторам, которые имеют наибольшее значение для их обучения.</w:t>
      </w:r>
    </w:p>
    <w:p w:rsidR="00B44C11" w:rsidRDefault="00B44C11">
      <w:pPr>
        <w:pStyle w:val="Heading4"/>
      </w:pPr>
      <w:r>
        <w:t>Высшее образование</w:t>
      </w:r>
    </w:p>
    <w:p w:rsidR="00B44C11" w:rsidRDefault="00B44C11">
      <w:r>
        <w:t>152.</w:t>
      </w:r>
      <w:r>
        <w:tab/>
        <w:t>Сегодня доля женщин в высших учебных заведениях превышает долю мужчин (16 процентов женщин по сравнению с 12 процентами мужчин в 2004 году)</w:t>
      </w:r>
      <w:r>
        <w:rPr>
          <w:rStyle w:val="FootnoteReference"/>
        </w:rPr>
        <w:footnoteReference w:id="23"/>
      </w:r>
      <w:r>
        <w:t>. Особенно высока доля женщин народности маори в высших учебных заведениях, которая составляет 22,3 процента</w:t>
      </w:r>
      <w:r>
        <w:rPr>
          <w:rStyle w:val="FootnoteReference"/>
        </w:rPr>
        <w:footnoteReference w:id="24"/>
      </w:r>
      <w:r>
        <w:t>. За последние несколько лет доля женщин с тихоокеанских островов в высшем образовании также значительно выросла. В период между 1999 и 2003 годами охват высшим образованием женщин с тихоокеанских островов вырос на 84,3 процента, в то время как охват мужчин с тихоокеанских островов – на 59,2 процента</w:t>
      </w:r>
      <w:r>
        <w:rPr>
          <w:rStyle w:val="FootnoteReference"/>
        </w:rPr>
        <w:footnoteReference w:id="25"/>
      </w:r>
      <w:r>
        <w:t>. Вероятно, что открытие частных учебных заведений и "вананга"</w:t>
      </w:r>
      <w:r>
        <w:rPr>
          <w:rStyle w:val="FootnoteReference"/>
        </w:rPr>
        <w:footnoteReference w:id="26"/>
      </w:r>
      <w:r>
        <w:t xml:space="preserve"> способствовало росту их представленности в учебных заведениях подобного типа</w:t>
      </w:r>
      <w:r>
        <w:rPr>
          <w:rStyle w:val="FootnoteReference"/>
        </w:rPr>
        <w:footnoteReference w:id="27"/>
      </w:r>
      <w:r>
        <w:t xml:space="preserve">, где высока доля женщин народности маори и женщин с тихоокеанских островов. </w:t>
      </w:r>
    </w:p>
    <w:p w:rsidR="00B44C11" w:rsidRDefault="00B44C11">
      <w:r>
        <w:t>153.</w:t>
      </w:r>
      <w:r>
        <w:tab/>
        <w:t>Разница в представленности мужчин и женщин в высших учебных заведениях, куда они были приняты, незначительна. Из общего числа учащихся ВУЗов, принятых в 2004 году, 27 процентов студентов обоего пола были зачислены на курсы обучения для получения ученой степени и 6 процентов – в аспирантуру</w:t>
      </w:r>
      <w:r>
        <w:rPr>
          <w:rStyle w:val="FootnoteReference"/>
        </w:rPr>
        <w:footnoteReference w:id="28"/>
      </w:r>
      <w:r>
        <w:t>. Доля женщин среди студентов, готовящихся к получению ученой степени бакалавра, больше (29 процентов), чем доля мужчин (26 процентов), между тем на учебные курсы, готовящие к получению свидетельства 1–3 категорий, было зачислено 55 процентов мужчин по сравнению с 51 процентом женщин</w:t>
      </w:r>
      <w:r>
        <w:rPr>
          <w:rStyle w:val="FootnoteReference"/>
        </w:rPr>
        <w:footnoteReference w:id="29"/>
      </w:r>
      <w:r>
        <w:t xml:space="preserve">. </w:t>
      </w:r>
    </w:p>
    <w:p w:rsidR="00B44C11" w:rsidRDefault="00B44C11">
      <w:r>
        <w:t>154.</w:t>
      </w:r>
      <w:r>
        <w:tab/>
        <w:t xml:space="preserve">Стратегический подход правительства к высшему образованию по-прежнему основан </w:t>
      </w:r>
      <w:r>
        <w:br/>
        <w:t xml:space="preserve">на </w:t>
      </w:r>
      <w:r>
        <w:rPr>
          <w:i/>
        </w:rPr>
        <w:t>Стратегии развития высшего образования на период 2002–2007 годов</w:t>
      </w:r>
      <w:r>
        <w:t>.</w:t>
      </w:r>
    </w:p>
    <w:p w:rsidR="00B44C11" w:rsidRDefault="00B44C11">
      <w:pPr>
        <w:pStyle w:val="Heading4"/>
      </w:pPr>
      <w:r>
        <w:t>Профессиональная подготовка в промышленности и профессионально-техническое обучение</w:t>
      </w:r>
    </w:p>
    <w:p w:rsidR="00B44C11" w:rsidRDefault="00B44C11">
      <w:r>
        <w:t>155.</w:t>
      </w:r>
      <w:r>
        <w:tab/>
        <w:t>Доля женщин, проходящих профессиональную подготовку в промышленности и в системе современного профессионально-технического обучения, по-прежнему значительно ниже доли мужчин. В сентябре 2005 года 26 процентов проходящих подготовку в системе профессионального обучения в промышленности и 8 процентов обучающихся в системе современного профессионально-технического обучения составляли женщины</w:t>
      </w:r>
      <w:r>
        <w:rPr>
          <w:rStyle w:val="FootnoteReference"/>
        </w:rPr>
        <w:footnoteReference w:id="30"/>
      </w:r>
      <w:r>
        <w:t>. Женщины, получившие подготовку в системе профессионального обучения в промышленности, как правило, трудоустраиваются в сфере обслуживания и отраслях, связанных с предоставлением ухода, таких как гостиничное дело и общинные службы</w:t>
      </w:r>
      <w:r>
        <w:rPr>
          <w:rStyle w:val="FootnoteReference"/>
        </w:rPr>
        <w:footnoteReference w:id="31"/>
      </w:r>
      <w:r>
        <w:t>. Ряд профессий, в которых занято большое число женщин, таких как парикмахер, работник общинных служб оказания помощи и социальных служб, не включены в программу современного профессионально-технического обучения, чем и объясняется низкая доля представленности женщин в этой системе обучения.</w:t>
      </w:r>
    </w:p>
    <w:p w:rsidR="00B44C11" w:rsidRDefault="00B44C11">
      <w:r>
        <w:t>156.</w:t>
      </w:r>
      <w:r>
        <w:tab/>
        <w:t>В настоящее время в системе современного профессионального обучения насчитывается более 8 тыс. учеников. Правительство взяло на себя обязательство к концу 2008 года финансировать 14 тыс. мест в системе современного профессионально-технического обучения.</w:t>
      </w:r>
    </w:p>
    <w:p w:rsidR="00B44C11" w:rsidRDefault="00B44C11">
      <w:pPr>
        <w:pStyle w:val="Heading4"/>
      </w:pPr>
      <w:r>
        <w:t>Другие программы образования и подготовки после прохождения обязательного курса обучения</w:t>
      </w:r>
    </w:p>
    <w:p w:rsidR="00B44C11" w:rsidRDefault="00B44C11">
      <w:r>
        <w:t>157.</w:t>
      </w:r>
      <w:r>
        <w:tab/>
        <w:t>Правительство также поддерживает получение дальнейшего образования посредством:</w:t>
      </w:r>
    </w:p>
    <w:p w:rsidR="00B44C11" w:rsidRDefault="00B44C11">
      <w:pPr>
        <w:pStyle w:val="10-18"/>
      </w:pPr>
      <w:r>
        <w:sym w:font="Symbol" w:char="F0B7"/>
      </w:r>
      <w:r>
        <w:tab/>
        <w:t>развития трудовых навыков: программа развития трудовых навыков рассчитана на профессиональную подготовку молодых людей из числа маори и выходцев с тихоокеанских островов (народов пасифика), чтобы они могли в дальнейшем трудоустроиться или продолжить свое образование. Программа предназначена для молодых людей в возрасте от 16 лет до 21 года, но участвовать в ней могут также люди более старшего возраста;</w:t>
      </w:r>
    </w:p>
    <w:p w:rsidR="00B44C11" w:rsidRDefault="00B44C11">
      <w:pPr>
        <w:pStyle w:val="10-18"/>
      </w:pPr>
      <w:r>
        <w:sym w:font="Symbol" w:char="F0B7"/>
      </w:r>
      <w:r>
        <w:tab/>
        <w:t xml:space="preserve">создания возможностей для профессиональной подготовки: программа, обеспечивающая подготовку и получение основных трудовых и профессиональных навыков на уровнях 1–3 </w:t>
      </w:r>
      <w:r>
        <w:br/>
        <w:t>по Национальному квалификационному реестру. Предоставление права на участие в этой программе ограничено лицами, ищущими работу, которые не имеют основных трудовых навыков и рискуют на длительное время остаться безработными;</w:t>
      </w:r>
    </w:p>
    <w:p w:rsidR="00B44C11" w:rsidRDefault="00B44C11">
      <w:pPr>
        <w:pStyle w:val="10-18"/>
      </w:pPr>
      <w:r>
        <w:sym w:font="Symbol" w:char="F0B7"/>
      </w:r>
      <w:r>
        <w:tab/>
        <w:t>профессиональной подготовки молодежи: программа, имеющая целью предоставить обучение и подготовку в приобретении основных трудовых и профессиональных навыков на уровнях 1–3 по Национальному квалификационному реестру. Она предназначена для молодых людей, которые недавно бросили школу или имеют очень низкую квалификацию;</w:t>
      </w:r>
    </w:p>
    <w:p w:rsidR="00B44C11" w:rsidRDefault="00B44C11">
      <w:pPr>
        <w:pStyle w:val="10-18"/>
      </w:pPr>
      <w:r>
        <w:sym w:font="Symbol" w:char="F0B7"/>
      </w:r>
      <w:r>
        <w:tab/>
        <w:t>продолжения образования: сюда входят программы продолжения прерванного образования для взрослых, которые возвращаются в школы, а также программы общинного образования для взрослых, осуществляемые на базе школ или высших учебных заведений;</w:t>
      </w:r>
    </w:p>
    <w:p w:rsidR="00B44C11" w:rsidRDefault="00B44C11">
      <w:pPr>
        <w:pStyle w:val="10-18"/>
      </w:pPr>
      <w:r>
        <w:sym w:font="Symbol" w:char="F0B7"/>
      </w:r>
      <w:r>
        <w:tab/>
        <w:t xml:space="preserve">обучения основам знаний: правительство разрабатывает программы повышения показателей учебы лиц, которые нуждаются в овладении основами грамотности, то есть навыками чтения, правописания и математики. </w:t>
      </w:r>
    </w:p>
    <w:p w:rsidR="00B44C11" w:rsidRDefault="00B44C11">
      <w:r>
        <w:t>158.</w:t>
      </w:r>
      <w:r>
        <w:tab/>
        <w:t xml:space="preserve">Все вышеупомянутые программы в равной степени доступны мужчинам и женщинам. </w:t>
      </w:r>
      <w:r>
        <w:br/>
        <w:t xml:space="preserve">В отчетный период женщины участвовали во всех этих программах. Результаты участия женщин </w:t>
      </w:r>
      <w:r>
        <w:br/>
        <w:t xml:space="preserve">в программах "Развитие трудовых навыков", "Возможности для профессиональной подготовки" и "Профессиональная подготовка для молодежи" оказались положительными. Например, в 2003 году 46 процентов женщин, которые участвовали в программе "Возможности для профессиональной подготовки", были трудоустроены, а еще 19 процентов были дополнительно трудоустроены </w:t>
      </w:r>
      <w:r>
        <w:br/>
        <w:t>в течение двух месяцев после завершения ими обучения по программе</w:t>
      </w:r>
      <w:r>
        <w:rPr>
          <w:rStyle w:val="FootnoteReference"/>
        </w:rPr>
        <w:footnoteReference w:id="32"/>
      </w:r>
      <w:r>
        <w:t>.</w:t>
      </w:r>
    </w:p>
    <w:p w:rsidR="00B44C11" w:rsidRDefault="00B44C11">
      <w:pPr>
        <w:pStyle w:val="Heading4"/>
      </w:pPr>
      <w:r>
        <w:t>Стратегия расширения доступа и участия для особых групп учащихся</w:t>
      </w:r>
    </w:p>
    <w:p w:rsidR="00B44C11" w:rsidRDefault="00B44C11">
      <w:r>
        <w:t>159.</w:t>
      </w:r>
      <w:r>
        <w:tab/>
        <w:t xml:space="preserve">Правительство продолжает внедрять специальную стратегию удовлетворения потребностей </w:t>
      </w:r>
      <w:r>
        <w:br/>
        <w:t xml:space="preserve">в обучении учащихся-маори и с тихоокеанских островов. Правительство также реализует </w:t>
      </w:r>
      <w:r>
        <w:br/>
        <w:t xml:space="preserve">в некоторых школах программу среднего образования для маори и программу среднего образования для народов пасифика, а также школьное обучение исключительно на языке маори. </w:t>
      </w:r>
      <w:r>
        <w:br/>
        <w:t>В нижеследующих пунктах описываются стратегии, ориентированные на учащихся, имеющих специальные потребности и происходящих из неанглоязычной среды.</w:t>
      </w:r>
    </w:p>
    <w:p w:rsidR="00B44C11" w:rsidRDefault="00B44C11">
      <w:pPr>
        <w:pStyle w:val="Heading3"/>
      </w:pPr>
      <w:r>
        <w:t>Специальное образование</w:t>
      </w:r>
    </w:p>
    <w:p w:rsidR="00B44C11" w:rsidRDefault="00B44C11">
      <w:r>
        <w:t>160.</w:t>
      </w:r>
      <w:r>
        <w:tab/>
        <w:t xml:space="preserve">Специальное образование подразумевает предоставление дополнительной помощи, создание адаптированных программ или учебной среды, обеспечение специальным оборудованием или пособиями в целях оказания содействия маленьким детям и школьникам, чтобы они могли заниматься по учебной программе, приспособленной к ряду специфических ситуаций. Подобные услуги предоставляются через группу специального образования </w:t>
      </w:r>
      <w:r>
        <w:rPr>
          <w:caps/>
        </w:rPr>
        <w:t>м</w:t>
      </w:r>
      <w:r>
        <w:t xml:space="preserve">инистерства образования. </w:t>
      </w:r>
      <w:r>
        <w:br/>
        <w:t>В 2004 году девочки дошкольного возраста и учащиеся составляли приблизительно 30 процентов от общего числа детей и молодых людей, охваченных этими услугами. Такой же уровень обеспечения услугами был зарегистрирован в 2002 году</w:t>
      </w:r>
      <w:r>
        <w:rPr>
          <w:rStyle w:val="FootnoteReference"/>
        </w:rPr>
        <w:footnoteReference w:id="33"/>
      </w:r>
      <w:r>
        <w:t>. Необходимо иметь в виду, что к девочкам и мальчикам применялись одинаковые критерии доступа к услугам.</w:t>
      </w:r>
    </w:p>
    <w:p w:rsidR="00B44C11" w:rsidRDefault="00B44C11">
      <w:r>
        <w:t>161.</w:t>
      </w:r>
      <w:r>
        <w:tab/>
        <w:t>Управление по пересмотру системы образования провело оценку осуществления Новозеландской стратегии 2001 года по улучшению положения инвалидов в школах в период с сентября по декабрь 2002 года. Согласно оценке, в школах осуществляется ряд мер, направленных на удовлетворение потребностей в образовании учеников-инвалидов. Отвечая на вопросы, касающиеся доступности услуг для девочек, ученицы-инвалиды народности маори и народов пасифика указали, что в большинстве школ в той или иной степени используется дифференцированный подход. Руководство школ понимает, как важно иметь специально подготовленных людей, способных помогать в учебе ученикам-инвалидам, и насколько необходимо определить способы и методы общения и/или консультаций с общинами народности маори и народов пасифика.</w:t>
      </w:r>
    </w:p>
    <w:p w:rsidR="00B44C11" w:rsidRDefault="00B44C11">
      <w:pPr>
        <w:pStyle w:val="Heading4"/>
        <w:rPr>
          <w:b w:val="0"/>
        </w:rPr>
      </w:pPr>
      <w:r>
        <w:rPr>
          <w:b w:val="0"/>
        </w:rPr>
        <w:t>Беженцы, мигранты и другие лица, не говорящие по-английски</w:t>
      </w:r>
    </w:p>
    <w:p w:rsidR="00B44C11" w:rsidRDefault="00B44C11">
      <w:r>
        <w:t>162.</w:t>
      </w:r>
      <w:r>
        <w:tab/>
        <w:t xml:space="preserve">К числу учащихся, подвергающихся риску, относятся лица, которые вышли не из англоязычной среды. Наибольшему риску подвергаются те из них, кто является безграмотным на своем родном языке. </w:t>
      </w:r>
    </w:p>
    <w:p w:rsidR="00B44C11" w:rsidRDefault="00B44C11">
      <w:r>
        <w:t>163.</w:t>
      </w:r>
      <w:r>
        <w:tab/>
        <w:t>В целях удовлетворения потребностей таких учащихся правительство финансирует программу подготовки по изучению английского языка для лиц, говорящих на других языках (ЕСОЛ)</w:t>
      </w:r>
      <w:r>
        <w:rPr>
          <w:rStyle w:val="FootnoteReference"/>
        </w:rPr>
        <w:footnoteReference w:id="34"/>
      </w:r>
      <w:r>
        <w:t>. Правительство также привлекло к работе десять координаторов по вопросам образования беженцев и мигрантов, которые непосредственно взаимодействуют со школами, родителями и учащимися, являющимися выходцами не из англоязычной среды, с тем чтобы они содействовали приобщению и благополучной адаптации учеников из числа мигрантов и беженцев и их семей к школьным условиям. В ряде научных исследований нашла подтверждение положительная взаимосвязь между успешным участием семей и успеваемостью учеников.</w:t>
      </w:r>
    </w:p>
    <w:p w:rsidR="00B44C11" w:rsidRDefault="00B44C11">
      <w:r>
        <w:t>164.</w:t>
      </w:r>
      <w:r>
        <w:tab/>
        <w:t xml:space="preserve">Правительство также понимает, что ограниченное владение английским языком может служить препятствием для эффективного участия взрослых в жизни новозеландского общества. Ответной мерой правительства на это стало осуществление в 2003 году </w:t>
      </w:r>
      <w:r>
        <w:rPr>
          <w:i/>
        </w:rPr>
        <w:t>Стратегии ЕСОЛ для взрослых</w:t>
      </w:r>
      <w:r>
        <w:t xml:space="preserve">. Ключевыми областями, где необходимо принятие решений в рамках осуществления </w:t>
      </w:r>
      <w:r>
        <w:rPr>
          <w:i/>
        </w:rPr>
        <w:t>Стратегии ЕСОЛ для взрослых</w:t>
      </w:r>
      <w:r>
        <w:t>, являются:</w:t>
      </w:r>
    </w:p>
    <w:p w:rsidR="00B44C11" w:rsidRDefault="00B44C11">
      <w:pPr>
        <w:pStyle w:val="10-18"/>
      </w:pPr>
      <w:r>
        <w:sym w:font="Symbol" w:char="F0B7"/>
      </w:r>
      <w:r>
        <w:tab/>
        <w:t>совершенствование координации и сотрудничества;</w:t>
      </w:r>
    </w:p>
    <w:p w:rsidR="00B44C11" w:rsidRDefault="00B44C11">
      <w:pPr>
        <w:pStyle w:val="10-18"/>
      </w:pPr>
      <w:r>
        <w:sym w:font="Symbol" w:char="F0B7"/>
      </w:r>
      <w:r>
        <w:tab/>
        <w:t>расширение доступа и доступности;</w:t>
      </w:r>
    </w:p>
    <w:p w:rsidR="00B44C11" w:rsidRDefault="00B44C11">
      <w:pPr>
        <w:pStyle w:val="10-18"/>
      </w:pPr>
      <w:r>
        <w:sym w:font="Symbol" w:char="F0B7"/>
      </w:r>
      <w:r>
        <w:tab/>
        <w:t>расширение предоставления услуг и повышение качества;</w:t>
      </w:r>
    </w:p>
    <w:p w:rsidR="00B44C11" w:rsidRDefault="00B44C11">
      <w:pPr>
        <w:pStyle w:val="10-18"/>
      </w:pPr>
      <w:r>
        <w:sym w:font="Symbol" w:char="F0B7"/>
      </w:r>
      <w:r>
        <w:tab/>
        <w:t>обеспечение удовлетворения разнообразных потребностей учащихся путем предоставления надлежащих услуг.</w:t>
      </w:r>
    </w:p>
    <w:p w:rsidR="00B44C11" w:rsidRDefault="00B44C11">
      <w:r>
        <w:t>165.</w:t>
      </w:r>
      <w:r>
        <w:tab/>
        <w:t xml:space="preserve">Начальное финансирование первых этапов осуществления </w:t>
      </w:r>
      <w:r>
        <w:rPr>
          <w:i/>
        </w:rPr>
        <w:t xml:space="preserve">Стратегии </w:t>
      </w:r>
      <w:r>
        <w:t>направлялось главным образом на пособия на образование по линии ЕСОЛ, выделявшиеся беженцам и частично безработным мигрантам, имеющим квалификацию в приоритетных областях, на эффективное внедрение результатов исследований в практику, разработку информационных ресурсов на языках общин и укомплектование центров документации для мигрантов специалистами по ЕСОЛ. Это стало дополнением к полностью финансируемой помощи, которая уже предоставляется взрослым. В нее входит бесплатный прием (в качестве подготовленных учеников) в школы для беженцев; служба домашних учителей по ЕСОЛ (добровольная служба) и бесплатная помощь по ЕСОЛ для безработных мигрантов и беженцев.</w:t>
      </w:r>
    </w:p>
    <w:p w:rsidR="00B44C11" w:rsidRDefault="00B44C11">
      <w:r>
        <w:br w:type="page"/>
        <w:t>166.</w:t>
      </w:r>
      <w:r>
        <w:tab/>
        <w:t xml:space="preserve">Исследование, проведенное </w:t>
      </w:r>
      <w:r>
        <w:rPr>
          <w:caps/>
        </w:rPr>
        <w:t>м</w:t>
      </w:r>
      <w:r>
        <w:t>инистерством труда, по изучению опыта беженцев показало, что женщинам-беженцам труднее, чем мужчинам, получить доступ к изучению английского языка</w:t>
      </w:r>
      <w:r>
        <w:rPr>
          <w:rStyle w:val="FootnoteReference"/>
        </w:rPr>
        <w:footnoteReference w:id="35"/>
      </w:r>
      <w:r>
        <w:t xml:space="preserve">. В связи с этим улучшение доступа и ЕСОЛ и повышение доступности ее услуг в рамках осуществления </w:t>
      </w:r>
      <w:r>
        <w:rPr>
          <w:i/>
        </w:rPr>
        <w:t>Стратегии ЕСОЛ для взрослых</w:t>
      </w:r>
      <w:r>
        <w:t xml:space="preserve"> поможет женщинам-беженцам извлечь из этого большую экономическую и социальную выгоду. </w:t>
      </w:r>
    </w:p>
    <w:p w:rsidR="00B44C11" w:rsidRDefault="00B44C11">
      <w:pPr>
        <w:pStyle w:val="Heading3"/>
      </w:pPr>
      <w:r>
        <w:t>Учебная программа</w:t>
      </w:r>
    </w:p>
    <w:p w:rsidR="00B44C11" w:rsidRDefault="00B44C11">
      <w:r>
        <w:t>167.</w:t>
      </w:r>
      <w:r>
        <w:tab/>
        <w:t xml:space="preserve">Программа "Те варики", разработанная </w:t>
      </w:r>
      <w:r>
        <w:rPr>
          <w:caps/>
        </w:rPr>
        <w:t>м</w:t>
      </w:r>
      <w:r>
        <w:t xml:space="preserve">инистерством образования, продолжает оставаться учебной программой дошкольного воспитания на уровне политического заявления. В эту учебную программу, поддержанную </w:t>
      </w:r>
      <w:r>
        <w:rPr>
          <w:i/>
        </w:rPr>
        <w:t>Заявлением о поставленных задачах и желательной практике</w:t>
      </w:r>
      <w:r>
        <w:t xml:space="preserve">, включен ряд предметов, изучение которых малолетними детьми представляется весьма желательным. Кроме того, в заявлении подчеркивается необходимость принятия учебной программы, отвечающей интересам как мальчиков, так и девочек и располагающей надлежащими ресурсами, оборудованием, программами и образцами для подражания. </w:t>
      </w:r>
    </w:p>
    <w:p w:rsidR="00B44C11" w:rsidRDefault="00B44C11">
      <w:r>
        <w:t>168.</w:t>
      </w:r>
      <w:r>
        <w:tab/>
      </w:r>
      <w:r>
        <w:rPr>
          <w:i/>
        </w:rPr>
        <w:t>Структура учебной программы Новой Зеландии</w:t>
      </w:r>
      <w:r>
        <w:t xml:space="preserve"> устанавливает широкие основополагающие элементы обучения и преподавания в начальных и средних школах Новой Зеландии. В</w:t>
      </w:r>
      <w:r>
        <w:rPr>
          <w:i/>
        </w:rPr>
        <w:t xml:space="preserve"> Структуре</w:t>
      </w:r>
      <w:r>
        <w:t xml:space="preserve"> говорится, что программы обучения и преподавания будут предусматривать равенство полов, носить нерасистский и недискриминационный характер и будут направлены на развитие таких качеств у учащихся. </w:t>
      </w:r>
    </w:p>
    <w:p w:rsidR="00B44C11" w:rsidRDefault="00B44C11">
      <w:r>
        <w:t>169.</w:t>
      </w:r>
      <w:r>
        <w:tab/>
        <w:t>После выхода в 2003 году доклада с критической оценкой учебного плана новозеландская учебная программа подвергается пересмотру и переработке, с тем чтобы она лучше удовлетворяла разнообразные потребности учащихся новозеландских школ. Проект новой учебной программы появится в начале 2006 года.</w:t>
      </w:r>
    </w:p>
    <w:p w:rsidR="00B44C11" w:rsidRDefault="00B44C11">
      <w:pPr>
        <w:rPr>
          <w:i/>
        </w:rPr>
      </w:pPr>
      <w:r>
        <w:rPr>
          <w:i/>
        </w:rPr>
        <w:t>Медицинское просвещение и физическое воспитание (включая половое просвещение)</w:t>
      </w:r>
    </w:p>
    <w:p w:rsidR="00B44C11" w:rsidRDefault="00B44C11">
      <w:r>
        <w:t>170.</w:t>
      </w:r>
      <w:r>
        <w:tab/>
        <w:t xml:space="preserve">Со времени представления предыдущего доклада не претерпело никаких изменений требование, предъявляемое к государственным и полугосударственным школам в отношении обязательного медицинского просвещения и физического воспитания, включая проведение занятий по половому просвещению. В течение 2006 года проводится обзор программы полового просвещения для учащихся средних школ. Один из компонентов этого обзора будет посвящен оценке адекватности удовлетворения потребностей таких групп, как женщины народности маори, женщины с тихоокеанских островов и женщины-инвалиды с точки зрения содержания текущей программы по половому просвещению. </w:t>
      </w:r>
    </w:p>
    <w:p w:rsidR="00B44C11" w:rsidRDefault="00B44C11">
      <w:pPr>
        <w:pStyle w:val="Heading3"/>
      </w:pPr>
      <w:r>
        <w:t>Национальная система присвоения квалификации</w:t>
      </w:r>
    </w:p>
    <w:p w:rsidR="00B44C11" w:rsidRDefault="00B44C11">
      <w:r>
        <w:t>171.</w:t>
      </w:r>
      <w:r>
        <w:tab/>
        <w:t xml:space="preserve">На тех же условиях происходит присвоение квалификации всем учащимся Новой Зеландии. В последнее десятилетие был введен Национальный квалификационный реестр, который опирается на концепцию целостности учебного процесса, предусматривающей накопительную систему оценок в годы обучения в средней школе и в последующий период. Такая практика имеет положительные последствия для учебы в течение всей жизни и мобильности. Кроме того введение системы признания ранее полученного образования позволяет производить косвенную оценку имеющихся знаний и опыта без требования дополнительного обучения. Это также имеет положительные последствия для женщин и этнических групп. </w:t>
      </w:r>
    </w:p>
    <w:p w:rsidR="00B44C11" w:rsidRDefault="00B44C11">
      <w:r>
        <w:t>172.</w:t>
      </w:r>
      <w:r>
        <w:tab/>
        <w:t xml:space="preserve">Новая система присвоения квалификации, предусматривающая выдачу Национального свидетельства об образовании (НСО), введенная в 2002 году, заменила собой ранее действовавшую систему аттестации при получении среднего образования. Три уровня НСО соответствуют уровням 6, 7 и 8 национальной учебной программы и включают принятые в этой области оценки освоения учебного материала и успеваемости. </w:t>
      </w:r>
    </w:p>
    <w:p w:rsidR="00B44C11" w:rsidRDefault="00B44C11">
      <w:r>
        <w:t>173.</w:t>
      </w:r>
      <w:r>
        <w:tab/>
        <w:t>Нынешняя система присвоения квалификации регулярно анализируется с целью учета в системе образования последовательных этапов постоянной учебы в течение всей жизни. Поэтому Новозеландское управление по вопросам квалификации постоянно укрепляет свой потенциал для непрерывного отслеживания тенденций, оценки их последствий и разработки стратегий оперативного и адекватного реагирования на потребности новозеландского общества в квалифицированных кадрах. Эта постоянная аналитическая работа обеспечивает непрерывное удовлетворение социальных и экономических потребностей новозеландского общества.</w:t>
      </w:r>
    </w:p>
    <w:p w:rsidR="00B44C11" w:rsidRDefault="00B44C11">
      <w:pPr>
        <w:pStyle w:val="Heading3"/>
      </w:pPr>
      <w:r>
        <w:t>Уровень образования</w:t>
      </w:r>
    </w:p>
    <w:p w:rsidR="00B44C11" w:rsidRDefault="00B44C11">
      <w:r>
        <w:t>174.</w:t>
      </w:r>
      <w:r>
        <w:tab/>
        <w:t>Молодые женщины в среднем достигают более высоких, чем мужчины, уровней квалификации в системе среднего образования. В 2004 году 73 процента всех девушек – выпускниц школ имели квалификацию выше первого уровня НСО по сравнению с 65 процентами всех юношей – выпускников школ</w:t>
      </w:r>
      <w:r>
        <w:rPr>
          <w:rStyle w:val="FootnoteReference"/>
        </w:rPr>
        <w:footnoteReference w:id="36"/>
      </w:r>
      <w:r>
        <w:t>.</w:t>
      </w:r>
    </w:p>
    <w:p w:rsidR="00B44C11" w:rsidRDefault="00B44C11">
      <w:r>
        <w:t>175.</w:t>
      </w:r>
      <w:r>
        <w:tab/>
        <w:t>Доля учащихся народности маори и народов пасифика, которые имеют низкий уровень образования или вообще никакого формального образования, значительно сократилась за последнее десятилетие, хотя по-прежнему сохраняются существенные различия между учащимися-маори и учащимися, не относящимися к маори, а также между учащимися пасифика и учащимися, не относящимися к пасифика. В 2004 году молодые женщины-маори (50 процентов) и женщины пасифика (67 процентов) имели гораздо меньше шансов, чем европейские женщины (78 процентов), азиатские женщины (89 процентов) и женщины из других этнических групп (79 процентов) окончить школу, имея квалификацию выше первого уровня НСО</w:t>
      </w:r>
      <w:r>
        <w:rPr>
          <w:rStyle w:val="FootnoteReference"/>
        </w:rPr>
        <w:footnoteReference w:id="37"/>
      </w:r>
      <w:r>
        <w:t xml:space="preserve">. </w:t>
      </w:r>
    </w:p>
    <w:p w:rsidR="00B44C11" w:rsidRDefault="00B44C11">
      <w:r>
        <w:t>176.</w:t>
      </w:r>
      <w:r>
        <w:tab/>
        <w:t>Число молодых женщин, получающих дипломы о высшем образовании, чаще выше, чем число молодых мужчин. В 2004 году 22,8 процента женщин в возрастной группе 25–34 лет имели дипломы о высшем образовании (степень бакалавра и выше) по сравнению с 20 процентами мужчин</w:t>
      </w:r>
      <w:r>
        <w:rPr>
          <w:rStyle w:val="FootnoteReference"/>
        </w:rPr>
        <w:footnoteReference w:id="38"/>
      </w:r>
      <w:r>
        <w:t xml:space="preserve">. Напротив, с возрастом мужчины гораздо чаще, чем женщины, получают дипломы </w:t>
      </w:r>
      <w:r>
        <w:br/>
        <w:t>о высшем образовании.</w:t>
      </w:r>
    </w:p>
    <w:p w:rsidR="00B44C11" w:rsidRDefault="00B44C11">
      <w:r>
        <w:t>177.</w:t>
      </w:r>
      <w:r>
        <w:tab/>
        <w:t xml:space="preserve">Европейские женщины и женщины из азиатских стран или других этнических групп имеют больше шансов получить диплом о высшем образовании, чем женщины народности маори или женщины пасифика. Несмотря на это, имеется потенциал для сокращения разрыва в получении диплома о высшем образовании между различными группами женщин, так как в период с 1991 </w:t>
      </w:r>
      <w:r>
        <w:br/>
        <w:t>по 2001 год доля женщин-маори, имеющих какую-либо квалификацию, увеличилась с 45 процентов до 59 процентов. За тот же период доля женщин пасифика, имеющих квалификацию, выросла с 51 процента до 67 процентов</w:t>
      </w:r>
      <w:r>
        <w:rPr>
          <w:rStyle w:val="FootnoteReference"/>
        </w:rPr>
        <w:footnoteReference w:id="39"/>
      </w:r>
      <w:r>
        <w:t xml:space="preserve">. </w:t>
      </w:r>
    </w:p>
    <w:p w:rsidR="00B44C11" w:rsidRDefault="00B44C11">
      <w:pPr>
        <w:pStyle w:val="Heading3"/>
      </w:pPr>
      <w:r>
        <w:t>Гендерные различия в успеваемости по отдельным предметам и областям знаний</w:t>
      </w:r>
    </w:p>
    <w:p w:rsidR="00B44C11" w:rsidRDefault="00B44C11">
      <w:r>
        <w:t>178.</w:t>
      </w:r>
      <w:r>
        <w:tab/>
        <w:t xml:space="preserve">Статистика по контингенту учащихся, изучающих предметы по программе средней школы, по состоянию на 1 июля 2004 года свидетельствует о сохраняющихся различиях между мальчиками и девочками в выборе предметов в рамках учебной программы. Девочки отдают предпочтение (более 55 процентов) преимущественно изучению нескольких языков, большинства изобразительных искусств, большинства социальных наук, биологии/биологии человека и наук о Земле, технологии пищевых продуктов и текстильных материалов, работе над текстами и информацией и туризму. Мальчики предпочитают изучать математику, где можно делать вычисления, заниматься физикой, проектированием, компьютерным программированием и большинством технических предметов, овладевать спортивными дисциплинами, участвовать во внеклассном обучении, изучать рыболовство/сельское хозяйство/лесоводство и промышленные профессии. На долю мальчиков также приходится до 58 процентов учащихся, которых интересует развитие навыков общения, 56 процентов учеников, проходящих коррективный курс обучения </w:t>
      </w:r>
      <w:r>
        <w:br/>
        <w:t xml:space="preserve">по английскому языку, и 61 процент учеников, посещающих дополнительные занятия для отстающих. Эти различия в предметных предпочтениях мальчиков и девочек сохранялись и </w:t>
      </w:r>
      <w:r>
        <w:br/>
        <w:t>в 2005 году</w:t>
      </w:r>
      <w:r>
        <w:rPr>
          <w:rStyle w:val="FootnoteReference"/>
        </w:rPr>
        <w:footnoteReference w:id="40"/>
      </w:r>
      <w:r>
        <w:t xml:space="preserve">. </w:t>
      </w:r>
    </w:p>
    <w:p w:rsidR="00B44C11" w:rsidRDefault="00B44C11">
      <w:r>
        <w:t>179.</w:t>
      </w:r>
      <w:r>
        <w:tab/>
        <w:t>Эти различия в выборе предметов, как правило, совпадают с показателями успеваемости мальчиков и девочек. Исследование, проведенное в рамках ПИСА-2003 (Программа международной оценки учащихся)</w:t>
      </w:r>
      <w:r>
        <w:rPr>
          <w:rStyle w:val="FootnoteReference"/>
        </w:rPr>
        <w:footnoteReference w:id="41"/>
      </w:r>
      <w:r>
        <w:t xml:space="preserve">, показало, что среди 15-летних молодых людей во всех странах ОЭСР оценки мальчиков из Новой Зеландии по математике были в среднем на 14 пунктов выше, чем оценки их ровесниц девочек. Как и в случае исследования ПИСА-2000, девочки по-прежнему значительно опережали (на 28 пунктов) мальчиков по чтению. Между тем новозеландские мальчики по сравнению с девочками получали несколько более высокие оценки (на 6 пунктов) </w:t>
      </w:r>
      <w:r>
        <w:br/>
        <w:t xml:space="preserve">по естественным наукам. Новозеландские мальчики и девочки одинаково успешно справлялись </w:t>
      </w:r>
      <w:r>
        <w:br/>
        <w:t xml:space="preserve">с решением задач. </w:t>
      </w:r>
    </w:p>
    <w:p w:rsidR="00B44C11" w:rsidRDefault="00B44C11">
      <w:r>
        <w:t>180.</w:t>
      </w:r>
      <w:r>
        <w:tab/>
        <w:t>Однако если смотреть на успеваемость в рамках учебной программы в динамике по времени, то гендерные различия по предметам представляются менее заметными. Например, в 1991 году на долю девушек приходилось до 75 процентов всех учащихся, записавшихся на сдачу выпускного школьного экзамена по домоводству; к 2001 году всего 70 процентов желавших сдать экзамен, как он теперь называется, по продуктам питания и вопросам питания, составляли девушки. В 1991 году на долю девушек приходилось всего 14 процентов учащихся, записавшихся на сдачу выпускного школьного экзамена по черчению. К 2001 году 26 процентов кандидатов на сдачу выпускного экзамена по графике, как он теперь называется, составляли девушки</w:t>
      </w:r>
      <w:r>
        <w:rPr>
          <w:rStyle w:val="FootnoteReference"/>
        </w:rPr>
        <w:footnoteReference w:id="42"/>
      </w:r>
      <w:r>
        <w:t xml:space="preserve">. </w:t>
      </w:r>
    </w:p>
    <w:p w:rsidR="00B44C11" w:rsidRDefault="00B44C11">
      <w:r>
        <w:br w:type="page"/>
        <w:t>181.</w:t>
      </w:r>
      <w:r>
        <w:tab/>
        <w:t>На уровне высшего образования также имеются четко выраженные различия в выборе областей знания мужчинами и женщинами. Женщины более склонны, чем мужчины, изучать предметы, связанные со здравоохранением и образованием, в то время как мужчины отдают предпочтение изучению технических наук, сельского хозяйства, архитектуры и строительства</w:t>
      </w:r>
      <w:r>
        <w:rPr>
          <w:rStyle w:val="FootnoteReference"/>
        </w:rPr>
        <w:footnoteReference w:id="43"/>
      </w:r>
      <w:r>
        <w:t>.</w:t>
      </w:r>
    </w:p>
    <w:p w:rsidR="00B44C11" w:rsidRDefault="00B44C11">
      <w:r>
        <w:t>182.</w:t>
      </w:r>
      <w:r>
        <w:tab/>
        <w:t xml:space="preserve">Женщины и девушки имеют свободу выбора типов предметов, которые они намерены изучать. Вместе с тем, пока сохраняются гендерные различия в выборе предметов и областей знания, они будут оказывать влияние на выбор, который мужчины и женщины делают в отношении своей карьеры, чем до некоторой степени объясняется наличие профессиональной сегрегации </w:t>
      </w:r>
      <w:r>
        <w:br/>
        <w:t xml:space="preserve">в Новой Зеландии. </w:t>
      </w:r>
    </w:p>
    <w:p w:rsidR="00B44C11" w:rsidRDefault="00B44C11">
      <w:pPr>
        <w:pStyle w:val="Heading3"/>
      </w:pPr>
      <w:r>
        <w:t>Доступ к стипендиям и помощи на обучение</w:t>
      </w:r>
    </w:p>
    <w:p w:rsidR="00B44C11" w:rsidRDefault="00B44C11">
      <w:r>
        <w:t>183.</w:t>
      </w:r>
      <w:r>
        <w:tab/>
        <w:t>Женщины-студенты имеют такие же права, как мужчины-студенты, обратиться с просьбой о предоставлении финансируемых правительством стипендий. К ним относятся стипендии, назначаемые по результатам экзаменов, проводимых Новозеландским управлением по вопросам квалификации, а также другие пособия</w:t>
      </w:r>
      <w:r>
        <w:rPr>
          <w:rStyle w:val="FootnoteReference"/>
        </w:rPr>
        <w:footnoteReference w:id="44"/>
      </w:r>
      <w:r>
        <w:t>. Студентки также могут обратиться за получением стипендий, предоставляемых другими организациями, хотя право на получение такой стипендии может зависеть от того, изучением какой конкретной области знаний занимается студент, или от других критериев.</w:t>
      </w:r>
    </w:p>
    <w:p w:rsidR="00B44C11" w:rsidRDefault="00B44C11">
      <w:r>
        <w:t>184.</w:t>
      </w:r>
      <w:r>
        <w:tab/>
        <w:t>Женщины также имеют равные с мужчинами права на получение финансируемых правительством студенческих кредитов, и при принятии решения относительно их права на получение финансируемых правительством студенческих пособий к ним применяются такие же критерии, как и к мужчинам.</w:t>
      </w:r>
    </w:p>
    <w:p w:rsidR="00B44C11" w:rsidRDefault="00B44C11">
      <w:pPr>
        <w:pStyle w:val="Heading4"/>
      </w:pPr>
      <w:r>
        <w:t>Студенческие пособия</w:t>
      </w:r>
    </w:p>
    <w:p w:rsidR="00B44C11" w:rsidRDefault="00B44C11">
      <w:r>
        <w:t>185.</w:t>
      </w:r>
      <w:r>
        <w:tab/>
        <w:t xml:space="preserve">Со времени представления последнего доклада правительство внесло изменения в план предоставления студенческих пособий, который помог сократить число студентов, желающих участвовать в Плане кредитования студентов. С 1 января 2005 года был повышен порог бедности, определяемый на основе уровня доходов родителей и дающий право на получение студенческого пособия, а это значит, что теперь большее число студентов имеют право на получение пособия. Отныне порог бедности, определяемый с учетом доходов родителей, будет ежегодно пересматриваться, что позволит учитывать изменения в уровне средних доходов. Кроме того, </w:t>
      </w:r>
      <w:r>
        <w:br/>
        <w:t>с 1 января 2006 года увеличен размер денежной суммы, которую студенты могут заработать и превышение которой служит основанием для лишения их пособий. Дополнительная помощь также предоставляется студентам из семей, в которых двое и более детей учатся в высших учебных заведениях, и студентам, родители которых живут раздельно.</w:t>
      </w:r>
    </w:p>
    <w:p w:rsidR="00B44C11" w:rsidRDefault="00B44C11">
      <w:pPr>
        <w:pStyle w:val="Heading3"/>
      </w:pPr>
      <w:r>
        <w:t>Студенческие кредиты</w:t>
      </w:r>
    </w:p>
    <w:p w:rsidR="00B44C11" w:rsidRDefault="00B44C11">
      <w:r>
        <w:t>186.</w:t>
      </w:r>
      <w:r>
        <w:tab/>
        <w:t>В 2004 году 60 процентов лиц, получивших студенческие кредиты, составляли женщины</w:t>
      </w:r>
      <w:r>
        <w:rPr>
          <w:rStyle w:val="FootnoteReference"/>
        </w:rPr>
        <w:footnoteReference w:id="45"/>
      </w:r>
      <w:r>
        <w:t>. Разрыв в долях заемщиков-мужчин и заемщиков-женщин приблизительно соответствует гендерному балансу в студенческом контингенте (см. таблицу, ниже).</w:t>
      </w:r>
    </w:p>
    <w:p w:rsidR="00B44C11" w:rsidRDefault="00B44C11">
      <w:pPr>
        <w:pStyle w:val="-"/>
      </w:pPr>
      <w:r>
        <w:t>Распределение получателей студенческих кредитов в разбивке по полу, 2002–2004 годы</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28"/>
        <w:gridCol w:w="1247"/>
        <w:gridCol w:w="1247"/>
        <w:gridCol w:w="1247"/>
        <w:gridCol w:w="1247"/>
        <w:gridCol w:w="1247"/>
        <w:gridCol w:w="1247"/>
      </w:tblGrid>
      <w:tr w:rsidR="00B44C11">
        <w:tblPrEx>
          <w:tblCellMar>
            <w:top w:w="0" w:type="dxa"/>
            <w:bottom w:w="0" w:type="dxa"/>
          </w:tblCellMar>
        </w:tblPrEx>
        <w:trPr>
          <w:cantSplit/>
        </w:trPr>
        <w:tc>
          <w:tcPr>
            <w:tcW w:w="1928" w:type="dxa"/>
            <w:vMerge w:val="restart"/>
            <w:shd w:val="clear" w:color="auto" w:fill="C0C0C0"/>
          </w:tcPr>
          <w:p w:rsidR="00B44C11" w:rsidRDefault="00B44C11">
            <w:pPr>
              <w:pStyle w:val="a0"/>
              <w:rPr>
                <w:b/>
              </w:rPr>
            </w:pPr>
            <w:r>
              <w:rPr>
                <w:b/>
              </w:rPr>
              <w:t>В разбивке студентов по полу</w:t>
            </w:r>
          </w:p>
        </w:tc>
        <w:tc>
          <w:tcPr>
            <w:tcW w:w="7482" w:type="dxa"/>
            <w:gridSpan w:val="6"/>
            <w:shd w:val="clear" w:color="auto" w:fill="C0C0C0"/>
            <w:vAlign w:val="bottom"/>
          </w:tcPr>
          <w:p w:rsidR="00B44C11" w:rsidRDefault="00B44C11">
            <w:pPr>
              <w:pStyle w:val="a0"/>
              <w:ind w:right="170"/>
              <w:rPr>
                <w:b/>
                <w:color w:val="000000"/>
              </w:rPr>
            </w:pPr>
            <w:r>
              <w:rPr>
                <w:b/>
              </w:rPr>
              <w:t>Календарный год</w:t>
            </w:r>
          </w:p>
        </w:tc>
      </w:tr>
      <w:tr w:rsidR="00B44C11">
        <w:tblPrEx>
          <w:tblCellMar>
            <w:top w:w="0" w:type="dxa"/>
            <w:bottom w:w="0" w:type="dxa"/>
          </w:tblCellMar>
        </w:tblPrEx>
        <w:trPr>
          <w:cantSplit/>
        </w:trPr>
        <w:tc>
          <w:tcPr>
            <w:tcW w:w="1928" w:type="dxa"/>
            <w:vMerge/>
            <w:shd w:val="clear" w:color="auto" w:fill="C0C0C0"/>
          </w:tcPr>
          <w:p w:rsidR="00B44C11" w:rsidRDefault="00B44C11">
            <w:pPr>
              <w:pStyle w:val="a0"/>
              <w:jc w:val="left"/>
              <w:rPr>
                <w:b/>
              </w:rPr>
            </w:pPr>
          </w:p>
        </w:tc>
        <w:tc>
          <w:tcPr>
            <w:tcW w:w="2494" w:type="dxa"/>
            <w:gridSpan w:val="2"/>
            <w:shd w:val="clear" w:color="auto" w:fill="C0C0C0"/>
          </w:tcPr>
          <w:p w:rsidR="00B44C11" w:rsidRDefault="00B44C11">
            <w:pPr>
              <w:pStyle w:val="a0"/>
              <w:rPr>
                <w:b/>
              </w:rPr>
            </w:pPr>
            <w:r>
              <w:rPr>
                <w:b/>
              </w:rPr>
              <w:t>2002</w:t>
            </w:r>
          </w:p>
        </w:tc>
        <w:tc>
          <w:tcPr>
            <w:tcW w:w="2494" w:type="dxa"/>
            <w:gridSpan w:val="2"/>
            <w:shd w:val="clear" w:color="auto" w:fill="C0C0C0"/>
          </w:tcPr>
          <w:p w:rsidR="00B44C11" w:rsidRDefault="00B44C11">
            <w:pPr>
              <w:pStyle w:val="a0"/>
              <w:rPr>
                <w:b/>
              </w:rPr>
            </w:pPr>
            <w:r>
              <w:rPr>
                <w:b/>
              </w:rPr>
              <w:t>2003</w:t>
            </w:r>
          </w:p>
        </w:tc>
        <w:tc>
          <w:tcPr>
            <w:tcW w:w="2494" w:type="dxa"/>
            <w:gridSpan w:val="2"/>
            <w:shd w:val="clear" w:color="auto" w:fill="C0C0C0"/>
          </w:tcPr>
          <w:p w:rsidR="00B44C11" w:rsidRDefault="00B44C11">
            <w:pPr>
              <w:pStyle w:val="a0"/>
              <w:rPr>
                <w:b/>
              </w:rPr>
            </w:pPr>
            <w:r>
              <w:rPr>
                <w:b/>
              </w:rPr>
              <w:t>2004</w:t>
            </w:r>
          </w:p>
        </w:tc>
      </w:tr>
      <w:tr w:rsidR="00B44C11">
        <w:tblPrEx>
          <w:tblCellMar>
            <w:top w:w="0" w:type="dxa"/>
            <w:bottom w:w="0" w:type="dxa"/>
          </w:tblCellMar>
        </w:tblPrEx>
        <w:tc>
          <w:tcPr>
            <w:tcW w:w="1928" w:type="dxa"/>
          </w:tcPr>
          <w:p w:rsidR="00B44C11" w:rsidRDefault="00B44C11">
            <w:pPr>
              <w:pStyle w:val="a0"/>
              <w:jc w:val="left"/>
            </w:pPr>
            <w:r>
              <w:t>Женщины</w:t>
            </w:r>
          </w:p>
        </w:tc>
        <w:tc>
          <w:tcPr>
            <w:tcW w:w="1247" w:type="dxa"/>
            <w:vAlign w:val="bottom"/>
          </w:tcPr>
          <w:p w:rsidR="00B44C11" w:rsidRDefault="00B44C11">
            <w:pPr>
              <w:pStyle w:val="a0"/>
              <w:ind w:right="170"/>
              <w:jc w:val="right"/>
              <w:rPr>
                <w:color w:val="000000"/>
              </w:rPr>
            </w:pPr>
            <w:r>
              <w:rPr>
                <w:color w:val="000000"/>
              </w:rPr>
              <w:t>85 720</w:t>
            </w:r>
          </w:p>
        </w:tc>
        <w:tc>
          <w:tcPr>
            <w:tcW w:w="1247" w:type="dxa"/>
            <w:vAlign w:val="bottom"/>
          </w:tcPr>
          <w:p w:rsidR="00B44C11" w:rsidRDefault="00B44C11">
            <w:pPr>
              <w:pStyle w:val="a0"/>
              <w:ind w:right="170"/>
              <w:jc w:val="right"/>
              <w:rPr>
                <w:color w:val="000000"/>
              </w:rPr>
            </w:pPr>
            <w:r>
              <w:rPr>
                <w:color w:val="000000"/>
              </w:rPr>
              <w:t>56,9%</w:t>
            </w:r>
          </w:p>
        </w:tc>
        <w:tc>
          <w:tcPr>
            <w:tcW w:w="1247" w:type="dxa"/>
            <w:vAlign w:val="bottom"/>
          </w:tcPr>
          <w:p w:rsidR="00B44C11" w:rsidRDefault="00B44C11">
            <w:pPr>
              <w:pStyle w:val="a0"/>
              <w:ind w:right="170"/>
              <w:jc w:val="right"/>
              <w:rPr>
                <w:color w:val="000000"/>
              </w:rPr>
            </w:pPr>
            <w:r>
              <w:rPr>
                <w:color w:val="000000"/>
              </w:rPr>
              <w:t>91 151</w:t>
            </w:r>
          </w:p>
        </w:tc>
        <w:tc>
          <w:tcPr>
            <w:tcW w:w="1247" w:type="dxa"/>
            <w:vAlign w:val="bottom"/>
          </w:tcPr>
          <w:p w:rsidR="00B44C11" w:rsidRDefault="00B44C11">
            <w:pPr>
              <w:pStyle w:val="a0"/>
              <w:ind w:right="170"/>
              <w:jc w:val="right"/>
              <w:rPr>
                <w:color w:val="000000"/>
              </w:rPr>
            </w:pPr>
            <w:r>
              <w:rPr>
                <w:color w:val="000000"/>
              </w:rPr>
              <w:t>58,3%</w:t>
            </w:r>
          </w:p>
        </w:tc>
        <w:tc>
          <w:tcPr>
            <w:tcW w:w="1247" w:type="dxa"/>
            <w:vAlign w:val="bottom"/>
          </w:tcPr>
          <w:p w:rsidR="00B44C11" w:rsidRDefault="00B44C11">
            <w:pPr>
              <w:pStyle w:val="a0"/>
              <w:ind w:right="170"/>
              <w:jc w:val="right"/>
              <w:rPr>
                <w:color w:val="000000"/>
              </w:rPr>
            </w:pPr>
            <w:r>
              <w:rPr>
                <w:color w:val="000000"/>
              </w:rPr>
              <w:t>93 953</w:t>
            </w:r>
          </w:p>
        </w:tc>
        <w:tc>
          <w:tcPr>
            <w:tcW w:w="1247" w:type="dxa"/>
            <w:vAlign w:val="bottom"/>
          </w:tcPr>
          <w:p w:rsidR="00B44C11" w:rsidRDefault="00B44C11">
            <w:pPr>
              <w:pStyle w:val="a0"/>
              <w:ind w:right="170"/>
              <w:jc w:val="right"/>
              <w:rPr>
                <w:color w:val="000000"/>
              </w:rPr>
            </w:pPr>
            <w:r>
              <w:rPr>
                <w:color w:val="000000"/>
              </w:rPr>
              <w:t>59,8%</w:t>
            </w:r>
          </w:p>
        </w:tc>
      </w:tr>
      <w:tr w:rsidR="00B44C11">
        <w:tblPrEx>
          <w:tblCellMar>
            <w:top w:w="0" w:type="dxa"/>
            <w:bottom w:w="0" w:type="dxa"/>
          </w:tblCellMar>
        </w:tblPrEx>
        <w:tc>
          <w:tcPr>
            <w:tcW w:w="1928" w:type="dxa"/>
          </w:tcPr>
          <w:p w:rsidR="00B44C11" w:rsidRDefault="00B44C11">
            <w:pPr>
              <w:pStyle w:val="a0"/>
              <w:jc w:val="left"/>
            </w:pPr>
            <w:r>
              <w:t>Мужчины</w:t>
            </w:r>
          </w:p>
        </w:tc>
        <w:tc>
          <w:tcPr>
            <w:tcW w:w="1247" w:type="dxa"/>
            <w:vAlign w:val="bottom"/>
          </w:tcPr>
          <w:p w:rsidR="00B44C11" w:rsidRDefault="00B44C11">
            <w:pPr>
              <w:pStyle w:val="a0"/>
              <w:ind w:right="170"/>
              <w:jc w:val="right"/>
              <w:rPr>
                <w:color w:val="000000"/>
              </w:rPr>
            </w:pPr>
            <w:r>
              <w:rPr>
                <w:color w:val="000000"/>
              </w:rPr>
              <w:t>64 806</w:t>
            </w:r>
          </w:p>
        </w:tc>
        <w:tc>
          <w:tcPr>
            <w:tcW w:w="1247" w:type="dxa"/>
            <w:vAlign w:val="bottom"/>
          </w:tcPr>
          <w:p w:rsidR="00B44C11" w:rsidRDefault="00B44C11">
            <w:pPr>
              <w:pStyle w:val="a0"/>
              <w:ind w:right="170"/>
              <w:jc w:val="right"/>
              <w:rPr>
                <w:color w:val="000000"/>
              </w:rPr>
            </w:pPr>
            <w:r>
              <w:rPr>
                <w:color w:val="000000"/>
              </w:rPr>
              <w:t>43%</w:t>
            </w:r>
          </w:p>
        </w:tc>
        <w:tc>
          <w:tcPr>
            <w:tcW w:w="1247" w:type="dxa"/>
            <w:vAlign w:val="bottom"/>
          </w:tcPr>
          <w:p w:rsidR="00B44C11" w:rsidRDefault="00B44C11">
            <w:pPr>
              <w:pStyle w:val="a0"/>
              <w:ind w:right="170"/>
              <w:jc w:val="right"/>
              <w:rPr>
                <w:color w:val="000000"/>
              </w:rPr>
            </w:pPr>
            <w:r>
              <w:rPr>
                <w:color w:val="000000"/>
              </w:rPr>
              <w:t>65 099</w:t>
            </w:r>
          </w:p>
        </w:tc>
        <w:tc>
          <w:tcPr>
            <w:tcW w:w="1247" w:type="dxa"/>
            <w:vAlign w:val="bottom"/>
          </w:tcPr>
          <w:p w:rsidR="00B44C11" w:rsidRDefault="00B44C11">
            <w:pPr>
              <w:pStyle w:val="a0"/>
              <w:ind w:right="170"/>
              <w:jc w:val="right"/>
              <w:rPr>
                <w:color w:val="000000"/>
              </w:rPr>
            </w:pPr>
            <w:r>
              <w:rPr>
                <w:color w:val="000000"/>
              </w:rPr>
              <w:t>41,6%</w:t>
            </w:r>
          </w:p>
        </w:tc>
        <w:tc>
          <w:tcPr>
            <w:tcW w:w="1247" w:type="dxa"/>
            <w:vAlign w:val="bottom"/>
          </w:tcPr>
          <w:p w:rsidR="00B44C11" w:rsidRDefault="00B44C11">
            <w:pPr>
              <w:pStyle w:val="a0"/>
              <w:ind w:right="170"/>
              <w:jc w:val="right"/>
              <w:rPr>
                <w:color w:val="000000"/>
              </w:rPr>
            </w:pPr>
            <w:r>
              <w:rPr>
                <w:color w:val="000000"/>
              </w:rPr>
              <w:t>63 079</w:t>
            </w:r>
          </w:p>
        </w:tc>
        <w:tc>
          <w:tcPr>
            <w:tcW w:w="1247" w:type="dxa"/>
            <w:vAlign w:val="bottom"/>
          </w:tcPr>
          <w:p w:rsidR="00B44C11" w:rsidRDefault="00B44C11">
            <w:pPr>
              <w:pStyle w:val="a0"/>
              <w:ind w:right="170"/>
              <w:jc w:val="right"/>
              <w:rPr>
                <w:color w:val="000000"/>
              </w:rPr>
            </w:pPr>
            <w:r>
              <w:rPr>
                <w:color w:val="000000"/>
              </w:rPr>
              <w:t>40,1%</w:t>
            </w:r>
          </w:p>
        </w:tc>
      </w:tr>
      <w:tr w:rsidR="00B44C11">
        <w:tblPrEx>
          <w:tblCellMar>
            <w:top w:w="0" w:type="dxa"/>
            <w:bottom w:w="0" w:type="dxa"/>
          </w:tblCellMar>
        </w:tblPrEx>
        <w:tc>
          <w:tcPr>
            <w:tcW w:w="1928" w:type="dxa"/>
          </w:tcPr>
          <w:p w:rsidR="00B44C11" w:rsidRDefault="00B44C11">
            <w:pPr>
              <w:pStyle w:val="a0"/>
              <w:jc w:val="left"/>
              <w:rPr>
                <w:b/>
              </w:rPr>
            </w:pPr>
            <w:r>
              <w:rPr>
                <w:b/>
              </w:rPr>
              <w:t>Всего</w:t>
            </w:r>
          </w:p>
        </w:tc>
        <w:tc>
          <w:tcPr>
            <w:tcW w:w="1247" w:type="dxa"/>
            <w:vAlign w:val="bottom"/>
          </w:tcPr>
          <w:p w:rsidR="00B44C11" w:rsidRDefault="00B44C11">
            <w:pPr>
              <w:pStyle w:val="a0"/>
              <w:ind w:right="170"/>
              <w:jc w:val="right"/>
              <w:rPr>
                <w:color w:val="000000"/>
              </w:rPr>
            </w:pPr>
            <w:r>
              <w:rPr>
                <w:color w:val="000000"/>
              </w:rPr>
              <w:t>150 526</w:t>
            </w:r>
          </w:p>
        </w:tc>
        <w:tc>
          <w:tcPr>
            <w:tcW w:w="1247" w:type="dxa"/>
            <w:vAlign w:val="bottom"/>
          </w:tcPr>
          <w:p w:rsidR="00B44C11" w:rsidRDefault="00B44C11">
            <w:pPr>
              <w:pStyle w:val="a0"/>
              <w:ind w:right="170"/>
              <w:jc w:val="right"/>
              <w:rPr>
                <w:color w:val="000000"/>
              </w:rPr>
            </w:pPr>
            <w:r>
              <w:rPr>
                <w:color w:val="000000"/>
              </w:rPr>
              <w:t>100%</w:t>
            </w:r>
          </w:p>
        </w:tc>
        <w:tc>
          <w:tcPr>
            <w:tcW w:w="1247" w:type="dxa"/>
            <w:vAlign w:val="bottom"/>
          </w:tcPr>
          <w:p w:rsidR="00B44C11" w:rsidRDefault="00B44C11">
            <w:pPr>
              <w:pStyle w:val="a0"/>
              <w:ind w:right="170"/>
              <w:jc w:val="right"/>
              <w:rPr>
                <w:color w:val="000000"/>
              </w:rPr>
            </w:pPr>
            <w:r>
              <w:rPr>
                <w:color w:val="000000"/>
              </w:rPr>
              <w:t>156 250</w:t>
            </w:r>
          </w:p>
        </w:tc>
        <w:tc>
          <w:tcPr>
            <w:tcW w:w="1247" w:type="dxa"/>
            <w:vAlign w:val="bottom"/>
          </w:tcPr>
          <w:p w:rsidR="00B44C11" w:rsidRDefault="00B44C11">
            <w:pPr>
              <w:pStyle w:val="a0"/>
              <w:ind w:right="170"/>
              <w:jc w:val="right"/>
              <w:rPr>
                <w:color w:val="000000"/>
              </w:rPr>
            </w:pPr>
            <w:r>
              <w:rPr>
                <w:color w:val="000000"/>
              </w:rPr>
              <w:t>100%</w:t>
            </w:r>
          </w:p>
        </w:tc>
        <w:tc>
          <w:tcPr>
            <w:tcW w:w="1247" w:type="dxa"/>
            <w:vAlign w:val="bottom"/>
          </w:tcPr>
          <w:p w:rsidR="00B44C11" w:rsidRDefault="00B44C11">
            <w:pPr>
              <w:pStyle w:val="a0"/>
              <w:ind w:right="170"/>
              <w:jc w:val="right"/>
              <w:rPr>
                <w:color w:val="000000"/>
              </w:rPr>
            </w:pPr>
            <w:r>
              <w:rPr>
                <w:color w:val="000000"/>
              </w:rPr>
              <w:t>157 032</w:t>
            </w:r>
          </w:p>
        </w:tc>
        <w:tc>
          <w:tcPr>
            <w:tcW w:w="1247" w:type="dxa"/>
            <w:vAlign w:val="bottom"/>
          </w:tcPr>
          <w:p w:rsidR="00B44C11" w:rsidRDefault="00B44C11">
            <w:pPr>
              <w:pStyle w:val="a0"/>
              <w:ind w:right="170"/>
              <w:jc w:val="right"/>
              <w:rPr>
                <w:color w:val="000000"/>
              </w:rPr>
            </w:pPr>
            <w:r>
              <w:rPr>
                <w:color w:val="000000"/>
              </w:rPr>
              <w:t>100%</w:t>
            </w:r>
          </w:p>
        </w:tc>
      </w:tr>
    </w:tbl>
    <w:p w:rsidR="00B44C11" w:rsidRDefault="00B44C11">
      <w:r>
        <w:t>Источник: Study Link</w:t>
      </w:r>
    </w:p>
    <w:p w:rsidR="00B44C11" w:rsidRDefault="00B44C11">
      <w:r>
        <w:t>По состоянию на июнь 2005 года средний размер студенческого кредита составлял 10 404 новозеландских долл.</w:t>
      </w:r>
      <w:r>
        <w:rPr>
          <w:rStyle w:val="FootnoteReference"/>
        </w:rPr>
        <w:footnoteReference w:id="46"/>
      </w:r>
      <w:r>
        <w:t>. Эти данные не представлены в разбивке по полу, но средняя задолженность мужчин в 2001 году на 6 процентов превышала задолженность женщин</w:t>
      </w:r>
      <w:r>
        <w:rPr>
          <w:rStyle w:val="FootnoteReference"/>
        </w:rPr>
        <w:footnoteReference w:id="47"/>
      </w:r>
      <w:r>
        <w:t>.</w:t>
      </w:r>
    </w:p>
    <w:p w:rsidR="00B44C11" w:rsidRDefault="00B44C11">
      <w:r>
        <w:t>187.</w:t>
      </w:r>
      <w:r>
        <w:tab/>
        <w:t>Недавно проведенное исследование показало, что женщины, как правило, погашают кредиты за такой же период времени, что и мужчины</w:t>
      </w:r>
      <w:r>
        <w:rPr>
          <w:rStyle w:val="FootnoteReference"/>
        </w:rPr>
        <w:footnoteReference w:id="48"/>
      </w:r>
      <w:r>
        <w:t>. Хотя женщины в среднем зарабатывают меньше, они обычно больше зарабатывают, работая неполный рабочий день во время учебы, и с большей вероятностью заканчивают полный курс обучения и получают более высокую квалификацию, чем мужчины</w:t>
      </w:r>
      <w:r>
        <w:rPr>
          <w:rStyle w:val="FootnoteReference"/>
        </w:rPr>
        <w:footnoteReference w:id="49"/>
      </w:r>
      <w:r>
        <w:t>. Женщины также реже, чем мужчины, не успевают погасить кредит</w:t>
      </w:r>
      <w:r>
        <w:rPr>
          <w:rStyle w:val="FootnoteReference"/>
        </w:rPr>
        <w:footnoteReference w:id="50"/>
      </w:r>
      <w:r>
        <w:t>. Благодаря более высокой квалификации можно получать большие доходы, что сказывается на уровне задолженности. Исключением из тенденции, при которой женщины и мужчины погашают свои кредиты за одинаковый период времени, являются женщины, имеющие больший размер задолженности (более 25 тыс. новозеландских долл.), которым по сравнению с мужчинами времени требуется больше для погашения своих кредитов.</w:t>
      </w:r>
    </w:p>
    <w:p w:rsidR="00B44C11" w:rsidRDefault="00B44C11">
      <w:r>
        <w:t>188.</w:t>
      </w:r>
      <w:r>
        <w:tab/>
        <w:t>Комитет КЛДЖ в своих заключительных замечаниях выразил обеспокоенность теми потенциально неблагоприятными последствиями, которые План кредитования студентов может иметь для женщин, и рекомендовал правительству пересмотреть его. На национальном уровне Ассоциация студентов новозеландских университетов (НЗУСА) представила жалобу в новозеландскую Комиссию по правам человека, в которой заявляется, что План кредитования студентов устанавливает дискриминацию в отношении женщин. В процессе рассмотрения жалобы возникла потребность в посредничестве между правительственными чиновниками и НЗУСА. После этого правительство объявило о внесении изменений в План кредитования студентов, о чем подробно рассказывается ниже.</w:t>
      </w:r>
    </w:p>
    <w:p w:rsidR="00B44C11" w:rsidRDefault="00B44C11">
      <w:r>
        <w:t>189.</w:t>
      </w:r>
      <w:r>
        <w:tab/>
        <w:t>Чтобы сократить неблагоприятное воздействие студенческих кредитов на финансовое положение студентов, правительство объявило о внесении изменений в План кредитования студентов, которые вступят в силу с 1 апреля 2006 года. Согласно первому из этих изменений заемщики, живущие в Новой Зеландии, не будут платить проценты (или добавочные проценты) по своим кредитам. Второе изменение касается предоставления периода амнистии по штрафам для заемщиков, живущих за границей, которые имеют просроченные платежи. Предоставление беспроцентных студенческих кредитов, по всей вероятности, будет особенно выгодным для женщин, так как они составляют большинство заемщиков по линии студенческого кредитования, и отныне им больше не будет грозить оказаться в неблагоприятном положении из-за увеличения задолженности, связанной с получением студенческого кредита, если им придется оставить оплачиваемую работу в связи с рождением детей.</w:t>
      </w:r>
    </w:p>
    <w:p w:rsidR="00B44C11" w:rsidRDefault="00B44C11">
      <w:r>
        <w:t>190.</w:t>
      </w:r>
      <w:r>
        <w:tab/>
        <w:t xml:space="preserve">Достижение правительством цели по дальнейшему сокращению студенческой задолженности будет также обеспечено путем совершенствования и укрепления службы финансовой информации StudyLink, которая помогает студентам принимать оптимальные решения в отношении своих финансов. Реализация этой цели также будет поддержана введением новых стипендий и студенческих пособий. </w:t>
      </w:r>
    </w:p>
    <w:p w:rsidR="00B44C11" w:rsidRDefault="00B44C11">
      <w:pPr>
        <w:pStyle w:val="Heading3"/>
      </w:pPr>
      <w:r>
        <w:t>Структура занятости женщин в секторе образования</w:t>
      </w:r>
    </w:p>
    <w:p w:rsidR="00B44C11" w:rsidRDefault="00B44C11">
      <w:r>
        <w:t>191.</w:t>
      </w:r>
      <w:r>
        <w:tab/>
        <w:t>Женщины по-прежнему составляют большинство в секторе дошкольного образования, где на их долю приходится 99 процентов учителей. Условия оплаты труда учителей в дошкольных учреждениях улучшаются с принятием правительством на себя обязательства по постепенному внедрению к июню 2006 года равной с учителями начальной школы оплаты труда для учителей детских садов и увеличению финансирования системы обучения в раннем детском возрасте и услуг по уходу за детьми. В отношении школьных учителей, занятых в секторах начального и среднего образования, действует единая система оплаты труда и применяется одинаковая тарифная сетка. Минимальный и максимальный размер заработной платы учителей определяется уровнем их квалификации. Сегодня, чтобы преподавать в начальной и средней школе, надо иметь диплом об окончании высшего учебного заведения.</w:t>
      </w:r>
    </w:p>
    <w:p w:rsidR="00B44C11" w:rsidRDefault="00B44C11">
      <w:r>
        <w:t>192.</w:t>
      </w:r>
      <w:r>
        <w:tab/>
        <w:t xml:space="preserve">Женщины также составляют большинство учителей в школах. В апреле 2004 года женщины составляли 70,1 процента школьных учителей, в то время как мужчины – 29,9 процента. </w:t>
      </w:r>
      <w:r>
        <w:br/>
        <w:t>С 2000 года, когда на долю женщин приходилось 69,4 процента школьных учителей, эти показатели изменились весьма незначительно. Женщины составляют 80,5 процента учителей начальной школы по сравнению с 55,7 процента учителей средней школы</w:t>
      </w:r>
      <w:r>
        <w:rPr>
          <w:rStyle w:val="FootnoteReference"/>
        </w:rPr>
        <w:footnoteReference w:id="51"/>
      </w:r>
      <w:r>
        <w:t>.</w:t>
      </w:r>
    </w:p>
    <w:p w:rsidR="00B44C11" w:rsidRDefault="00B44C11">
      <w:r>
        <w:t>193.</w:t>
      </w:r>
      <w:r>
        <w:tab/>
        <w:t>Со времени представления последнего доклада увеличилось число женщин-руководителей и директоров школ. В апреле 2004 года доля женщин на руководящих должностях в школах достигала 61,7 процента по сравнению с 58 процентами в 2000 году, тогда же 41,2 процента женщин занимали должности директоров школ по сравнению с 35,2 процента в 2000 году. Женщины имеют больше шансов занять руководящие учительские должности или должности директоров в начальной школе по сравнению со средней школой</w:t>
      </w:r>
      <w:r>
        <w:rPr>
          <w:rStyle w:val="FootnoteReference"/>
        </w:rPr>
        <w:footnoteReference w:id="52"/>
      </w:r>
      <w:r>
        <w:t>.</w:t>
      </w:r>
    </w:p>
    <w:p w:rsidR="00B44C11" w:rsidRDefault="00B44C11">
      <w:r>
        <w:br w:type="page"/>
        <w:t>194.</w:t>
      </w:r>
      <w:r>
        <w:tab/>
        <w:t>В целом женщины-учителя получают более низкую среднюю заработную плату, чем их коллеги мужчины, хотя разрыв со временем постепенно сокращается. Отчасти это объясняется тем, что женщины-учителя недопредставлены на старших должностях и имеют меньше шансов получить квалификацию более высокого уровня, чем их коллеги мужчины.</w:t>
      </w:r>
    </w:p>
    <w:p w:rsidR="00B44C11" w:rsidRDefault="00B44C11">
      <w:r>
        <w:t>195.</w:t>
      </w:r>
      <w:r>
        <w:tab/>
        <w:t>В настоящее время успешно осуществляются инициативы по формированию корпуса директоров школ, начатые в 2002 году. В 2003 году 56 процентов новых директоров школ, участвовавших в программе введения в должность для начинающих директоров, составляли женщины. Ограниченное экспериментальное исследование, предназначенное для соискателей должности директоров школ, в 2004/05 году было ориентировано на школьных руководителей из числа женщин и маори и в нем уделялось особое внимание наставничеству с привлечением опытных директоров школ. Центры профессионального роста, предназначенные для опытных директоров, привлекают в основном женщин для работы в качестве наставников и участников.</w:t>
      </w:r>
    </w:p>
    <w:p w:rsidR="00B44C11" w:rsidRDefault="00B44C11">
      <w:r>
        <w:t>196.</w:t>
      </w:r>
      <w:r>
        <w:tab/>
        <w:t>Около 48 процентов преподавателей высших учебных заведений составляют женщины. В университетах доля женщин профессорско-преподавательского состава достигает 41 процента. В других субсекторах высшего образования женщины составляют большинство профессорско-преподавательского состава</w:t>
      </w:r>
      <w:r>
        <w:rPr>
          <w:rStyle w:val="FootnoteReference"/>
        </w:rPr>
        <w:footnoteReference w:id="53"/>
      </w:r>
      <w:r>
        <w:t xml:space="preserve">. Согласно новозеландскому обследованию участия женщин в управлении и трудовой деятельности ("New Zealand Census of Women’s Participation in Governance and Professional Life"), в 2003 году женщины занимали 15,8 процента старших профессорско-преподавательских должностей в восьми новозеландских университетах (исключая почетных профессоров). Университеты Южного острова обычно сравнивают с университетами Северного острова. В Оклендском университете, например, 77 женщин занимают старшие преподавательские должности (19,6 процента) в общей сложности из 393 имеющихся должностей. Вместе с тем </w:t>
      </w:r>
      <w:r>
        <w:br/>
        <w:t>в 2003 году университет Мэссей в Палмерстон-Норт стал первым университетом, который назначил женщину на должность вице-канцлера.</w:t>
      </w:r>
    </w:p>
    <w:p w:rsidR="00B44C11" w:rsidRDefault="00B44C11">
      <w:r>
        <w:t>197.</w:t>
      </w:r>
      <w:r>
        <w:tab/>
        <w:t>Правительство приняло к сведению заключительные замечания Комитета в том смысле, что он содействует принятию университетами политики, направленной на создание более благоприятного климата для достижения равенства между мужчинами и женщинами. Университеты независимы от правительства, но они должны соблюдать общие законы, которые запрещают дискриминацию в отношении женщин по признаку пола. Учебные заведения, такие как университеты, в соответствии с законодательством должны осуществлять положения о добросовестном работодателе, включая политику обеспечения равных возможностей в области трудоустройства.</w:t>
      </w:r>
    </w:p>
    <w:p w:rsidR="00B44C11" w:rsidRDefault="00B44C11">
      <w:pPr>
        <w:pStyle w:val="H1"/>
      </w:pPr>
      <w:bookmarkStart w:id="61" w:name="_Toc145842180"/>
      <w:r>
        <w:t>Статья 11</w:t>
      </w:r>
      <w:bookmarkEnd w:id="61"/>
    </w:p>
    <w:p w:rsidR="00B44C11" w:rsidRDefault="00B44C11">
      <w:pPr>
        <w:pStyle w:val="H1"/>
      </w:pPr>
      <w:bookmarkStart w:id="62" w:name="_Toc145841570"/>
      <w:bookmarkStart w:id="63" w:name="_Toc145842181"/>
      <w:r>
        <w:t>Занятость</w:t>
      </w:r>
      <w:bookmarkEnd w:id="62"/>
      <w:bookmarkEnd w:id="63"/>
    </w:p>
    <w:p w:rsidR="00B44C11" w:rsidRDefault="00B44C11">
      <w:pPr>
        <w:pStyle w:val="Heading3"/>
      </w:pPr>
      <w:r>
        <w:t>Введение</w:t>
      </w:r>
    </w:p>
    <w:p w:rsidR="00B44C11" w:rsidRDefault="00B44C11">
      <w:r>
        <w:t>198.</w:t>
      </w:r>
      <w:r>
        <w:tab/>
        <w:t xml:space="preserve">Доход является основным фактором, определяющим качество жизни. Если ограничивается способность женщин быть экономически независимыми, то это может ограничить имеющиеся у них и их семей возможности сделать свой выбор в жизни. Низкие уровни доходов, например, ограничивают способность погасить студенческие кредиты, купить дом или откладывать сбережения на случай выхода на пенсию. Участие в оплачиваемой трудовой деятельности является для женщин основным способом получения дохода и повышения их экономической независимости. Обеспечение женщинам возможности участвовать и прерывать участие </w:t>
      </w:r>
      <w:r>
        <w:br/>
        <w:t>в оплачиваемой трудовой деятельности, гармонично сочетать трудовую деятельность и семейную жизнь и получать справедливое вознаграждение за свои усилия поможет им обрести подобную независимость как в собственных интересах, так и в интересах своих семей.</w:t>
      </w:r>
    </w:p>
    <w:p w:rsidR="00B44C11" w:rsidRDefault="00B44C11">
      <w:r>
        <w:t>199.</w:t>
      </w:r>
      <w:r>
        <w:tab/>
        <w:t>Несмотря на то что Новая Зеландия имеет разумную правовую основу для содействия осуществлению и защите прав женщин на трудоустройство, занятость среди женщин характеризуется более низкими в сравнении с мужчинами показателями участия в рабочей силе и низкими средними доходами. Это особенно справедливо в отношении женщин народности маори.</w:t>
      </w:r>
    </w:p>
    <w:p w:rsidR="00B44C11" w:rsidRDefault="00B44C11">
      <w:r>
        <w:t>200.</w:t>
      </w:r>
      <w:r>
        <w:tab/>
        <w:t xml:space="preserve">Особое внимание в отчетный период правительство уделяло устранению барьеров, мешающих участию женщин в оплачиваемой трудовой деятельности, которые обусловлены широкими социальными функциями женщин, такими как материнство и необходимость заниматься домашними делами. Правительство также стремилось решить проблемы, связанные с разрывом </w:t>
      </w:r>
      <w:r>
        <w:br/>
        <w:t>в оплате труда мужчин и женщин, такие как виды работы и уровни должностей, занимаемых женщинами. В данный отчетный период правительство также повысило минимальную заработную плату.</w:t>
      </w:r>
    </w:p>
    <w:p w:rsidR="00B44C11" w:rsidRDefault="00B44C11">
      <w:pPr>
        <w:pStyle w:val="Heading3"/>
      </w:pPr>
      <w:r>
        <w:t>Правовая основа отношений в сфере занятости</w:t>
      </w:r>
    </w:p>
    <w:p w:rsidR="00B44C11" w:rsidRDefault="00B44C11">
      <w:r>
        <w:t>201.</w:t>
      </w:r>
      <w:r>
        <w:tab/>
        <w:t xml:space="preserve">Законодательная основа отношений в сфере занятости устанавливает стандарты отношений на рабочем месте, которые имеют большое значение для качества условий занятости. Эта основа включает Закон об отношениях в сфере занятости 2000 года, Закон о минимальной заработной плате 1983 года, Закон о выходных и праздничных днях 2003 года, Закон об отпуске по уходу за ребенком и защите занятости 1987 года и Закон о равной оплате труда 1972 года. Со времени представления последнего доклада единственными изменениями, связанными с осуществлением Конвенции в Новой Зеландии, стали изменения, внесенные в законы о трудовых отношениях </w:t>
      </w:r>
      <w:r>
        <w:br/>
        <w:t xml:space="preserve">в сфере занятости и об отпуске по уходу за ребенком и защите занятости (оплачиваемом отпуске </w:t>
      </w:r>
      <w:r>
        <w:br/>
        <w:t>по уходу за ребенком).</w:t>
      </w:r>
    </w:p>
    <w:p w:rsidR="00B44C11" w:rsidRDefault="00B44C11">
      <w:r>
        <w:t>202.</w:t>
      </w:r>
      <w:r>
        <w:tab/>
        <w:t xml:space="preserve">Закон об отношениях в сфере занятости 2000 года (Закон) регулирует отношения на рабочем месте и обеспечивает защиту от дискриминации. Со времени представления последнего доклада правительство внесло поправки в этот Закон в целях более эффективного осуществления предусмотренных </w:t>
      </w:r>
      <w:r>
        <w:rPr>
          <w:caps/>
        </w:rPr>
        <w:t>з</w:t>
      </w:r>
      <w:r>
        <w:t>аконом положений, направленных на поощрение отношений в сфере занятости, заключения коллективных договоров на добросовестной основе, а также эффективного разрешения проблем в сфере занятости. Добросовестность главным образом касается взаимоотношений сторон в сфере занятости, характеризующихся честностью, открытостью и недопущением обмана. Этот принцип требует от сторон активности и конструктивного подхода при установлении и поддержании продуктивных отношений. Поправки 2004 года разъясняют, что добросовестность требуется при ведении переговоров о заключении индивидуальных трудовых соглашений, а также при заключении коллективных договоров, и они предусматривают санкции за определенные нарушения принципа добросовестности.</w:t>
      </w:r>
    </w:p>
    <w:p w:rsidR="00B44C11" w:rsidRDefault="00B44C11">
      <w:r>
        <w:t>203.</w:t>
      </w:r>
      <w:r>
        <w:tab/>
        <w:t xml:space="preserve">Закон с внесенными в него поправками также предусматривает меры защиты (уязвимых) работников по найму в случае аннулирования контрактов, продажи и передачи предприятий. Суд по рассмотрению трудовых конфликтов недавно вынес решение о том, что </w:t>
      </w:r>
      <w:r>
        <w:rPr>
          <w:caps/>
        </w:rPr>
        <w:t>з</w:t>
      </w:r>
      <w:r>
        <w:t xml:space="preserve">акон с поправками </w:t>
      </w:r>
      <w:r>
        <w:br/>
        <w:t>не предоставляет уязвимым работникам по найму тот уровень защиты, который правительство намеревалось обеспечить в целях разрешения ситуаций с контрактами. В настоящее время на рассмотрении палаты представителей находится законопроект, который позволит осуществить первоначальный политический замысел правительства. Предусматриваемое им изменение может иметь последствия для тех отраслей, в которых существует практика аннулирования контрактов и передачи предприятий и в которых занято большое число женщин-работников (например, для уборки).</w:t>
      </w:r>
    </w:p>
    <w:p w:rsidR="00B44C11" w:rsidRDefault="00B44C11">
      <w:r>
        <w:t>204.</w:t>
      </w:r>
      <w:r>
        <w:tab/>
        <w:t>Хотя нынешняя законодательная основа обеспечивает значительные средства защиты, по-прежнему существуют группы женщин, которые имеют ограниченные возможности для повышения оплаты и улучшения условий своего труда. Правительство стремится свести к минимуму такое положение путем ежегодного повышения минимальной заработной платы и соблюдение других установленных законом условий труда, например предоставление ежегодного четырехнедельного отпуска. Правительственный подход к обеспечению равенства в сфере занятости более подробно рассматривается ниже в разделе, посвященном неравенству в сфере оплаты труда и занятости.</w:t>
      </w:r>
    </w:p>
    <w:p w:rsidR="00B44C11" w:rsidRDefault="00B44C11">
      <w:pPr>
        <w:pStyle w:val="Heading3"/>
      </w:pPr>
      <w:r>
        <w:t>Охрана труда и здоровья</w:t>
      </w:r>
    </w:p>
    <w:p w:rsidR="00B44C11" w:rsidRDefault="00B44C11">
      <w:r>
        <w:t>205.</w:t>
      </w:r>
      <w:r>
        <w:tab/>
        <w:t>Закон об охране труда и здоровья на производстве 1992 года устанавливает стандарты охраны труда и здоровья в сфере занятости и предусматривает средства защиты женщин от опасностей для репродуктивного здоровья. Министерство труда отдало распоряжение, в рамках закона об охране труда и здоровья, о создании условий для грудного вскармливания на рабочем месте. Работодатели должны выявить, оценить и взять под контроль факторы, представляющие опасность для кормящих грудью работниц и их детей. В случаях, когда грудное вскармливание младенца или маленького ребенка осуществляется на рабочем месте, министерство рекомендует, в качестве надлежащей практики наемного труда, дать возможность матери сделать это в подходящем месте (при условии, что рабочее место не представляет опасности для детей).</w:t>
      </w:r>
    </w:p>
    <w:p w:rsidR="00B44C11" w:rsidRDefault="00B44C11">
      <w:pPr>
        <w:pStyle w:val="Heading3"/>
      </w:pPr>
      <w:r>
        <w:t>Равные возможности в области занятости (РВЗ)</w:t>
      </w:r>
    </w:p>
    <w:p w:rsidR="00B44C11" w:rsidRDefault="00B44C11">
      <w:r>
        <w:t>206.</w:t>
      </w:r>
      <w:r>
        <w:tab/>
        <w:t>Статья 2 касается создания при Комиссии по правам человека консультативной группы по РВЗ в целях мониторинга обеспечения равных возможностей в области занятости в Новой Зеландии, включая рабочую силу. После представления последнего доклада не вносились никакие изменения в отношении требований РВЗ, касающихся государственного сектора, которые с тех пор были распространены на территории Короны в соответствии с Законом 2004 года о территориях Короны.</w:t>
      </w:r>
    </w:p>
    <w:p w:rsidR="00B44C11" w:rsidRDefault="00B44C11">
      <w:r>
        <w:t>207.</w:t>
      </w:r>
      <w:r>
        <w:tab/>
        <w:t xml:space="preserve">Трастовый фонд РВЗ продолжает предоставлять работодателям информацию и средства для обеспечения равных возможностей в области занятости и повышать их осведомленность по множеству проблем, которые существуют на рабочих местах в Новой Зеландии. В отчетный период это включало совместную работу с </w:t>
      </w:r>
      <w:r>
        <w:rPr>
          <w:caps/>
        </w:rPr>
        <w:t>м</w:t>
      </w:r>
      <w:r>
        <w:t>инистерством труда над выпуском публикации "People Power – Successful Diversity at Work", где содержится анализ ряда конкретных случаев, демонстрирующих преимущества набора более разнообразной рабочей силы, в том числе женщин, которым надо ухаживать за детьми, инвалидов, беженцев и мигрантов, а также пожилых людей</w:t>
      </w:r>
      <w:r>
        <w:rPr>
          <w:rStyle w:val="FootnoteReference"/>
        </w:rPr>
        <w:footnoteReference w:id="54"/>
      </w:r>
      <w:r>
        <w:t>.</w:t>
      </w:r>
    </w:p>
    <w:p w:rsidR="00B44C11" w:rsidRDefault="00B44C11">
      <w:pPr>
        <w:pStyle w:val="Heading3"/>
        <w:spacing w:after="200"/>
      </w:pPr>
      <w:r>
        <w:t>Защита от сексуального домогательства</w:t>
      </w:r>
    </w:p>
    <w:p w:rsidR="00B44C11" w:rsidRDefault="00B44C11">
      <w:pPr>
        <w:spacing w:after="200"/>
      </w:pPr>
      <w:r>
        <w:t>208.</w:t>
      </w:r>
      <w:r>
        <w:tab/>
        <w:t>Женщины защищены от сексуального домогательства на рабочем месте в соответствии с Законом об отношениях в сфере занятости 2000 года и Законом о правах человека 1993 года. Для знакомства со статистикой жалоб на сексуальные домогательства за отчетный период см. статью 2.</w:t>
      </w:r>
    </w:p>
    <w:p w:rsidR="00B44C11" w:rsidRDefault="00B44C11">
      <w:pPr>
        <w:spacing w:after="200"/>
      </w:pPr>
      <w:r>
        <w:t>209.</w:t>
      </w:r>
      <w:r>
        <w:tab/>
        <w:t>В заключительных замечаниях Комитета в отношении последнего доклада Новой Зеландии отмечена озабоченность в связи с тем, что женщины-работники, ставшие жертвами сексуального домогательства, должны иметь законное право сохранить свою работу. В соответствии с Законом об отношениях в сфере занятости, если работник считает, что был уволен неправомерно, например потому, что им подана жалоба на сексуальное домогательство, то он может подать личную жалобу на своего работодателя. Если личная жалоба удовлетворена, то средства судебной защиты могут включать восстановление истца в прежней должности и выплату ему денежной компенсации.</w:t>
      </w:r>
    </w:p>
    <w:p w:rsidR="00B44C11" w:rsidRDefault="00B44C11">
      <w:pPr>
        <w:pStyle w:val="Heading3"/>
        <w:spacing w:after="200"/>
      </w:pPr>
      <w:r>
        <w:t>Участие в рабочей силе</w:t>
      </w:r>
    </w:p>
    <w:p w:rsidR="00B44C11" w:rsidRDefault="00B44C11">
      <w:pPr>
        <w:spacing w:after="200"/>
      </w:pPr>
      <w:r>
        <w:t>210.</w:t>
      </w:r>
      <w:r>
        <w:tab/>
        <w:t>Законодательство Новой Зеландии предусматривает равное с мужчинами участие женщин в составе наемной рабочей силы. Вместе с тем, хотя за последние тридцать лет участие женщин в оплачиваемом наемном труде значительно выросло, доли их участия в наемном труде по сравнению с мужчинами ниже, и они гораздо чаще работают неполный рабочий день</w:t>
      </w:r>
      <w:r>
        <w:rPr>
          <w:rStyle w:val="FootnoteReference"/>
        </w:rPr>
        <w:footnoteReference w:id="55"/>
      </w:r>
      <w:r>
        <w:t>. Несмотря на то что в Новой Зеландии доли участия женщин в наемном труде в целом довольно высокие, показатели участия для матерей, имеющих маленьких детей, и родителей-одиночек ниже средних показателей по странам ОЭСР. Это отражает тенденцию, в соответствии с которой многие матери отказываются от участия в наемном труде, пока их дети маленькие. Правительство уделяет особое внимание улучшению системы поддержки женщин, делающих выбор в отношении своего участия на рынке труда, и дальнейшему расширению доступа к высококачественным, доступным и учитывающим интересы женщин услугам по уходу за детьми.</w:t>
      </w:r>
    </w:p>
    <w:p w:rsidR="00B44C11" w:rsidRDefault="00B44C11">
      <w:pPr>
        <w:pStyle w:val="-"/>
        <w:spacing w:after="200"/>
      </w:pPr>
      <w:r>
        <w:t>Показатели участия в рабочей силе в разбивке по возрастным группам и полу, 2004 год</w:t>
      </w:r>
      <w:r>
        <w:rPr>
          <w:rStyle w:val="FootnoteReference"/>
          <w:b w:val="0"/>
        </w:rPr>
        <w:footnoteReference w:id="56"/>
      </w:r>
    </w:p>
    <w:bookmarkStart w:id="64" w:name="_MON_1217675870"/>
    <w:bookmarkEnd w:id="64"/>
    <w:p w:rsidR="00B44C11" w:rsidRDefault="00B44C11">
      <w:pPr>
        <w:pStyle w:val="CommentText"/>
        <w:spacing w:after="120"/>
      </w:pPr>
      <w:r>
        <w:rPr>
          <w:sz w:val="24"/>
        </w:rPr>
        <w:object w:dxaOrig="5665" w:dyaOrig="3757">
          <v:shape id="_x0000_i1029" type="#_x0000_t75" style="width:329.25pt;height:218.25pt" o:ole="">
            <v:imagedata r:id="rId17" o:title=""/>
          </v:shape>
          <o:OLEObject Type="Embed" ProgID="Word.Picture.8" ShapeID="_x0000_i1029" DrawAspect="Content" ObjectID="_1395247787" r:id="rId18"/>
        </w:object>
      </w:r>
    </w:p>
    <w:p w:rsidR="00B44C11" w:rsidRDefault="00B44C11">
      <w:r>
        <w:t>211.</w:t>
      </w:r>
      <w:r>
        <w:tab/>
        <w:t>Женщины-маори (57,9 процента) и женщины с тихоокеанских островов (54,1 процента) имеют более низкие показатели участия в наемном труде, чем европейские женщины (61,4 процента)</w:t>
      </w:r>
      <w:r>
        <w:rPr>
          <w:rStyle w:val="FootnoteReference"/>
        </w:rPr>
        <w:footnoteReference w:id="57"/>
      </w:r>
      <w:r>
        <w:t>. Доля женщин-инвалидов (52 процента) в оплачиваемой рабочей силе гораздо ниже, чем доля мужчин-инвалидов (63 процента)</w:t>
      </w:r>
      <w:r>
        <w:rPr>
          <w:rStyle w:val="FootnoteReference"/>
        </w:rPr>
        <w:footnoteReference w:id="58"/>
      </w:r>
      <w:r>
        <w:t>.</w:t>
      </w:r>
    </w:p>
    <w:p w:rsidR="00B44C11" w:rsidRDefault="00B44C11">
      <w:pPr>
        <w:pStyle w:val="Heading3"/>
      </w:pPr>
      <w:r>
        <w:t>Безработица</w:t>
      </w:r>
    </w:p>
    <w:p w:rsidR="00B44C11" w:rsidRDefault="00B44C11">
      <w:pPr>
        <w:tabs>
          <w:tab w:val="clear" w:pos="1588"/>
          <w:tab w:val="left" w:pos="567"/>
          <w:tab w:val="left" w:pos="907"/>
          <w:tab w:val="left" w:pos="1247"/>
        </w:tabs>
      </w:pPr>
      <w:r>
        <w:t>212.</w:t>
      </w:r>
      <w:r>
        <w:tab/>
        <w:t>На начало марта 2006 года 62 процента всех лиц, получающих пособие для семейных целей, пособие по болезни или пособие по инвалидности и/или пособие по безработице, составляли женщины. Процент безработных среди женщин значительно снизился с 1990-х годов в соответствии с общей тенденцией в области безработицы</w:t>
      </w:r>
      <w:r>
        <w:rPr>
          <w:rStyle w:val="FootnoteReference"/>
        </w:rPr>
        <w:footnoteReference w:id="59"/>
      </w:r>
      <w:r>
        <w:t>. Однако вероятность безработицы гораздо выше среди женщин, чем среди мужчин. В 2004 году уровень безработицы среди женщин (4,9 процента) был незначительно, но выше, чем среди мужчин (4,1 процента)</w:t>
      </w:r>
      <w:r>
        <w:rPr>
          <w:rStyle w:val="FootnoteReference"/>
        </w:rPr>
        <w:footnoteReference w:id="60"/>
      </w:r>
      <w:r>
        <w:t xml:space="preserve">. </w:t>
      </w:r>
    </w:p>
    <w:p w:rsidR="00B44C11" w:rsidRDefault="00B44C11">
      <w:pPr>
        <w:tabs>
          <w:tab w:val="clear" w:pos="1588"/>
          <w:tab w:val="left" w:pos="567"/>
          <w:tab w:val="left" w:pos="907"/>
          <w:tab w:val="left" w:pos="1247"/>
        </w:tabs>
      </w:pPr>
      <w:r>
        <w:t>213.</w:t>
      </w:r>
      <w:r>
        <w:tab/>
        <w:t>Безработица имеет гораздо более широкое распространение среди женщин народности маори и женщин с тихоокеанских островов, уровни которой (11,1 процента и 8,5 процента, соответственно) заметно выше, чем среди мужчин-маори и мужчин с тихоокеанских островов (8,7 процента и 6,9 процента, соответственно)</w:t>
      </w:r>
      <w:r>
        <w:rPr>
          <w:rStyle w:val="FootnoteReference"/>
        </w:rPr>
        <w:footnoteReference w:id="61"/>
      </w:r>
      <w:r>
        <w:t xml:space="preserve">. Уровни безработицы среди девушек и молодых женщин (15–19 лет и 20–24 лет) гораздо выше (13,0 процента и 7,5 процента) по сравнению </w:t>
      </w:r>
      <w:r>
        <w:br/>
        <w:t>с женщинами более старших возрастных групп (25 лет и старше)</w:t>
      </w:r>
      <w:r>
        <w:rPr>
          <w:rStyle w:val="FootnoteReference"/>
        </w:rPr>
        <w:footnoteReference w:id="62"/>
      </w:r>
      <w:r>
        <w:t>.</w:t>
      </w:r>
    </w:p>
    <w:p w:rsidR="00B44C11" w:rsidRDefault="00B44C11">
      <w:pPr>
        <w:tabs>
          <w:tab w:val="clear" w:pos="1588"/>
          <w:tab w:val="left" w:pos="567"/>
          <w:tab w:val="left" w:pos="907"/>
          <w:tab w:val="left" w:pos="1247"/>
        </w:tabs>
      </w:pPr>
      <w:r>
        <w:t>214.</w:t>
      </w:r>
      <w:r>
        <w:tab/>
        <w:t xml:space="preserve">Безработные женщины имеют одинаковые с мужчинами права на получение пособия </w:t>
      </w:r>
      <w:r>
        <w:br/>
        <w:t xml:space="preserve">по безработице, хотя мужчины и женщины, не достигшие возраста 18 лет, не могут получать его, </w:t>
      </w:r>
      <w:r>
        <w:br/>
        <w:t>за исключением редких случаев. Как отмечается в материале, относящемся к Статье 10: Образование, правительство также осуществляет ряд инициатив в области профессиональной подготовки в целях оказания помощи безработным в приобретении навыков и квалификации, необходимых для получения устойчивого трудоустройства. Правительство также помогает безработным в трудоустройстве путем осуществления ряда инициатив в области занятости.</w:t>
      </w:r>
    </w:p>
    <w:p w:rsidR="00B44C11" w:rsidRDefault="00B44C11">
      <w:pPr>
        <w:tabs>
          <w:tab w:val="clear" w:pos="1588"/>
          <w:tab w:val="left" w:pos="567"/>
          <w:tab w:val="left" w:pos="907"/>
          <w:tab w:val="left" w:pos="1247"/>
        </w:tabs>
      </w:pPr>
      <w:r>
        <w:t>215.</w:t>
      </w:r>
      <w:r>
        <w:tab/>
        <w:t xml:space="preserve">Комплекс мер по ускоренному трудоустройству (Jobs Jolt), начатый в 2003 году, предназначен для увеличения доли занятости наемным трудом в контингенте рабочей силы, с тем чтобы помочь восполнить дефицит квалифицированных кадров и рабочей силы, с которым сталкивается Новая Зеландия. Данный комплекс мер по ускоренному трудоустройству включает десять конкретных инициатив, призванных помочь работодателям, испытывающим нехватку квалифицированных кадров; инвалидам; лицам, получающим пособия в связи с хроническими заболеваниями и </w:t>
      </w:r>
      <w:r>
        <w:br/>
        <w:t xml:space="preserve">по инвалидности; лицам, которые ищут работу в течение длительного времени; лицам, ищущим работу, которые страдают наркотической зависимостью; молодежи и лицам, уволенным в связи </w:t>
      </w:r>
      <w:r>
        <w:br/>
        <w:t>с сокращением штатов.</w:t>
      </w:r>
    </w:p>
    <w:p w:rsidR="00B44C11" w:rsidRDefault="00B44C11">
      <w:pPr>
        <w:tabs>
          <w:tab w:val="clear" w:pos="1588"/>
          <w:tab w:val="left" w:pos="567"/>
          <w:tab w:val="left" w:pos="907"/>
          <w:tab w:val="left" w:pos="1247"/>
        </w:tabs>
      </w:pPr>
      <w:r>
        <w:br w:type="page"/>
        <w:t>216.</w:t>
      </w:r>
      <w:r>
        <w:tab/>
        <w:t>В рамках инициативы содействия одиноким родителям в трудоустройстве, например, основное внимание уделяется оказанию помощи одиноким родителям в увеличении доли их участия и повышению активности в наемном труде. От реализации этой инициативы выигрывают главным образом женщины, так как на долю женщин приходится примерно 91 процент всех лиц, получающих семейные пособия.</w:t>
      </w:r>
    </w:p>
    <w:p w:rsidR="00B44C11" w:rsidRDefault="00B44C11">
      <w:pPr>
        <w:pStyle w:val="Heading3"/>
      </w:pPr>
      <w:r>
        <w:t xml:space="preserve">Неравенство в оплате и занятости </w:t>
      </w:r>
    </w:p>
    <w:p w:rsidR="00B44C11" w:rsidRDefault="00B44C11">
      <w:pPr>
        <w:tabs>
          <w:tab w:val="clear" w:pos="1588"/>
          <w:tab w:val="left" w:pos="567"/>
          <w:tab w:val="left" w:pos="907"/>
          <w:tab w:val="left" w:pos="1247"/>
        </w:tabs>
      </w:pPr>
      <w:r>
        <w:t>217.</w:t>
      </w:r>
      <w:r>
        <w:tab/>
        <w:t xml:space="preserve">В отчетный период разрыв в средней почасовой ставке заработной платы между мужчинами и женщинами оставался относительно устойчивым, за исключением периода 2004–2005 годов, когда он несколько увеличился. Сегодня средняя почасовая ставка заработной платы женщин </w:t>
      </w:r>
      <w:r>
        <w:br/>
        <w:t>на 14 процентов ниже по сравнению с мужчинами. В 2003 году обзор, проведенный комитетами по распределению выпускников при вице-канцлерах, показал, что непосредственно после окончания университета с одной и той же степенью бакалавра женщины зарабатывают в среднем 36 910 долл. США, в то время как мужчины – 39 260 долл. США</w:t>
      </w:r>
      <w:r>
        <w:rPr>
          <w:rStyle w:val="FootnoteReference"/>
        </w:rPr>
        <w:footnoteReference w:id="63"/>
      </w:r>
      <w:r>
        <w:t xml:space="preserve">. </w:t>
      </w:r>
    </w:p>
    <w:p w:rsidR="00B44C11" w:rsidRDefault="00B44C11">
      <w:pPr>
        <w:tabs>
          <w:tab w:val="clear" w:pos="1588"/>
          <w:tab w:val="left" w:pos="567"/>
          <w:tab w:val="left" w:pos="907"/>
          <w:tab w:val="left" w:pos="1247"/>
        </w:tabs>
      </w:pPr>
      <w:r>
        <w:t>218.</w:t>
      </w:r>
      <w:r>
        <w:tab/>
        <w:t>Наряду с этим некоторые группы женщин, например женщины-маори и женщины с тихоокеанских островов, также зарабатывают гораздо меньше, чем другие женщины. В июне 2005 года средние почасовые заработки женщин-маори и женщин пасифика составляли 13,68 и 12,60 долл. США, соответственно, что на 15,50 долл. США меньше, чем аналогичные заработки европейских женщин</w:t>
      </w:r>
      <w:r>
        <w:rPr>
          <w:rStyle w:val="FootnoteReference"/>
        </w:rPr>
        <w:footnoteReference w:id="64"/>
      </w:r>
      <w:r>
        <w:t>. Женщины-инвалиды, вероятнее всего, имеют также более низкие доходы, чем мужчины-инвалиды.</w:t>
      </w:r>
    </w:p>
    <w:p w:rsidR="00B44C11" w:rsidRDefault="00B44C11">
      <w:pPr>
        <w:tabs>
          <w:tab w:val="clear" w:pos="1588"/>
          <w:tab w:val="left" w:pos="567"/>
          <w:tab w:val="left" w:pos="907"/>
          <w:tab w:val="left" w:pos="1247"/>
        </w:tabs>
      </w:pPr>
      <w:r>
        <w:t>219.</w:t>
      </w:r>
      <w:r>
        <w:tab/>
        <w:t xml:space="preserve">С 2002 года рост минимальной заработной платы опережает рост средней заработной платы, благодаря чему сокращается разрыв между самыми низкооплачиваемыми и другими работниками. Минимальная заработная плата взрослого населения выплачивается работникам, достигшим возраста 18 лет. Молодежные минимальные ставки предназначены для лиц в возрасте 16–17 лет и составляют 80 процентов ставок заработной платы взрослого населения. С марта 2006 года почасовая ставка минимальной заработной платы взрослого населения будет повышена с 9,50 </w:t>
      </w:r>
      <w:r>
        <w:br/>
        <w:t>до 10,25 долл. США. До этого с 2002 года почасовая ставка минимальной заработной платы взрослого населения ежегодно повышалась на 50 центов. Цель правительства заключается в том, чтобы к 2008 году почасовая ставка минимальной заработной платы взрослого населения достигла 12 долл. США, если позволят экономические условия.</w:t>
      </w:r>
    </w:p>
    <w:p w:rsidR="00B44C11" w:rsidRDefault="00B44C11">
      <w:pPr>
        <w:pStyle w:val="Heading4"/>
      </w:pPr>
      <w:r>
        <w:t>Профессиональная сегрегация</w:t>
      </w:r>
    </w:p>
    <w:p w:rsidR="00B44C11" w:rsidRDefault="00B44C11">
      <w:pPr>
        <w:tabs>
          <w:tab w:val="clear" w:pos="1588"/>
          <w:tab w:val="left" w:pos="567"/>
          <w:tab w:val="left" w:pos="907"/>
          <w:tab w:val="left" w:pos="1247"/>
        </w:tabs>
      </w:pPr>
      <w:r>
        <w:t>220.</w:t>
      </w:r>
      <w:r>
        <w:tab/>
        <w:t>Профессиональная сегрегация определяется как фактор, способствующий разрыву в средних доходах между мужчинами и женщинами. Для рабочей силы Новой Зеландии по-прежнему характерны высокие уровни профессиональной сегрегации по признаку пола. В 2004 году почти 25 процентов женской рабочей силы были заняты по найму в сфере услуг и торговли. Более того, 75 процентов женщин работали по найму в четырех профессиональных группах (работники сферы услуг и торговли, конторские служащие, специалисты, техники и помощники специалистов)</w:t>
      </w:r>
      <w:r>
        <w:rPr>
          <w:rStyle w:val="FootnoteReference"/>
        </w:rPr>
        <w:footnoteReference w:id="65"/>
      </w:r>
      <w:r>
        <w:t xml:space="preserve">. </w:t>
      </w:r>
    </w:p>
    <w:p w:rsidR="00B44C11" w:rsidRDefault="00B44C11">
      <w:pPr>
        <w:tabs>
          <w:tab w:val="clear" w:pos="1588"/>
          <w:tab w:val="left" w:pos="567"/>
          <w:tab w:val="left" w:pos="907"/>
          <w:tab w:val="left" w:pos="1247"/>
        </w:tabs>
      </w:pPr>
      <w:r>
        <w:t>221.</w:t>
      </w:r>
      <w:r>
        <w:tab/>
        <w:t>Существуют некоторые этнические различия в распределении женщин по профессиональным группам. Европейские и азиатские женщины имеют больше шансов работать в законодательной, административной, управленческой сферах деятельности и в качестве специалистов, в то время как женщины-маори и женщины с тихоокеанских островов чаще занимаются профессиями, где требуется низкоквалифицированный ручной труд</w:t>
      </w:r>
      <w:r>
        <w:rPr>
          <w:rStyle w:val="FootnoteReference"/>
        </w:rPr>
        <w:footnoteReference w:id="66"/>
      </w:r>
      <w:r>
        <w:t xml:space="preserve">. </w:t>
      </w:r>
    </w:p>
    <w:p w:rsidR="00B44C11" w:rsidRDefault="00B44C11">
      <w:pPr>
        <w:tabs>
          <w:tab w:val="clear" w:pos="1588"/>
          <w:tab w:val="left" w:pos="567"/>
          <w:tab w:val="left" w:pos="907"/>
          <w:tab w:val="left" w:pos="1247"/>
        </w:tabs>
      </w:pPr>
      <w:r>
        <w:t>222.</w:t>
      </w:r>
      <w:r>
        <w:tab/>
        <w:t xml:space="preserve">Расширение возможностей для образования и профессиональной подготовки женщин является важнейшим средством сокращения масштабов профессиональной сегрегации. Служба по вопросам назначений при </w:t>
      </w:r>
      <w:r>
        <w:rPr>
          <w:caps/>
        </w:rPr>
        <w:t>м</w:t>
      </w:r>
      <w:r>
        <w:t xml:space="preserve">инистерстве по делам женщин также ориентирована на расширение участия женщин в процессах принятия решений. Для сокращения гендерного разрыва в оплате труда, связанного с профессиональной сегрегацией, требуется решить проблемы обеспечения равенства в сфере занятости, которые связаны с видом и уровнем работы, выполняемой женщинами, с тем, как работа сочетается с исполнением обязанностей по уходу, и престижностью сфер занятости, где доминируют женщины (см. разделы ниже). </w:t>
      </w:r>
    </w:p>
    <w:p w:rsidR="00B44C11" w:rsidRDefault="00B44C11">
      <w:pPr>
        <w:pStyle w:val="Heading3"/>
      </w:pPr>
      <w:r>
        <w:t>Меры поддержки участия женщин в качественном трудоустройстве</w:t>
      </w:r>
    </w:p>
    <w:p w:rsidR="00B44C11" w:rsidRDefault="00B44C11">
      <w:pPr>
        <w:tabs>
          <w:tab w:val="clear" w:pos="1588"/>
          <w:tab w:val="left" w:pos="567"/>
          <w:tab w:val="left" w:pos="907"/>
          <w:tab w:val="left" w:pos="1247"/>
        </w:tabs>
      </w:pPr>
      <w:r>
        <w:t>223.</w:t>
      </w:r>
      <w:r>
        <w:tab/>
        <w:t>Содействие трудоустройству женщин в значительной мере предполагает поощрения женщин в плане гармоничного сочетания трудовой деятельности с семейной жизнью и исполнением других обязанностей. Правительство осуществляет скоординированный подход к решению этой проблемы наряду с деятельностью в ряде областей. В связи с этим инициативы включают:</w:t>
      </w:r>
    </w:p>
    <w:p w:rsidR="00B44C11" w:rsidRDefault="00B44C11">
      <w:pPr>
        <w:pStyle w:val="10-18"/>
      </w:pPr>
      <w:r>
        <w:sym w:font="Symbol" w:char="F0B7"/>
      </w:r>
      <w:r>
        <w:tab/>
        <w:t>расширение доступа к оплачиваемому отпуску по уходу за ребенком;</w:t>
      </w:r>
    </w:p>
    <w:p w:rsidR="00B44C11" w:rsidRDefault="00B44C11">
      <w:pPr>
        <w:pStyle w:val="10-18"/>
      </w:pPr>
      <w:r>
        <w:sym w:font="Symbol" w:char="F0B7"/>
      </w:r>
      <w:r>
        <w:tab/>
        <w:t>повышение доступа, качества и доступности ухода за ребенком, включая обучение в раннем детском возрасте и программы внешкольного ухода за детьми;</w:t>
      </w:r>
    </w:p>
    <w:p w:rsidR="00B44C11" w:rsidRDefault="00B44C11">
      <w:pPr>
        <w:pStyle w:val="10-18"/>
      </w:pPr>
      <w:r>
        <w:sym w:font="Symbol" w:char="F0B7"/>
      </w:r>
      <w:r>
        <w:tab/>
        <w:t>изменения в предоставлении социальной помощи;</w:t>
      </w:r>
    </w:p>
    <w:p w:rsidR="00B44C11" w:rsidRDefault="00B44C11">
      <w:pPr>
        <w:pStyle w:val="10-18"/>
      </w:pPr>
      <w:r>
        <w:sym w:font="Symbol" w:char="F0B7"/>
      </w:r>
      <w:r>
        <w:tab/>
        <w:t>инициативы по обеспечению гармоничного сочетания трудовой деятельности и семейной жизни;</w:t>
      </w:r>
    </w:p>
    <w:p w:rsidR="00B44C11" w:rsidRDefault="00B44C11">
      <w:pPr>
        <w:pStyle w:val="10-18"/>
      </w:pPr>
      <w:r>
        <w:sym w:font="Symbol" w:char="F0B7"/>
      </w:r>
      <w:r>
        <w:tab/>
        <w:t>план действий по обеспечению равных возможностей в оплате труда и занятости.</w:t>
      </w:r>
    </w:p>
    <w:p w:rsidR="00B44C11" w:rsidRDefault="00B44C11">
      <w:pPr>
        <w:tabs>
          <w:tab w:val="clear" w:pos="1588"/>
          <w:tab w:val="left" w:pos="567"/>
          <w:tab w:val="left" w:pos="907"/>
          <w:tab w:val="left" w:pos="1247"/>
        </w:tabs>
      </w:pPr>
      <w:r>
        <w:t>224.</w:t>
      </w:r>
      <w:r>
        <w:tab/>
        <w:t>Существует также ряд инициатив, направленных на улучшение показателей трудоустройства женщин-инвалидов и других групп женщин.</w:t>
      </w:r>
    </w:p>
    <w:p w:rsidR="00B44C11" w:rsidRDefault="00B44C11">
      <w:pPr>
        <w:pStyle w:val="Heading3"/>
      </w:pPr>
      <w:r>
        <w:t>Расширение доступа к оплачиваемому отпуску по уходу за ребенком</w:t>
      </w:r>
    </w:p>
    <w:p w:rsidR="00B44C11" w:rsidRDefault="00B44C11">
      <w:pPr>
        <w:tabs>
          <w:tab w:val="clear" w:pos="1588"/>
          <w:tab w:val="left" w:pos="567"/>
          <w:tab w:val="left" w:pos="907"/>
          <w:tab w:val="left" w:pos="1247"/>
        </w:tabs>
      </w:pPr>
      <w:r>
        <w:t>225.</w:t>
      </w:r>
      <w:r>
        <w:tab/>
        <w:t>Возможность получить оплачиваемый отпуск по уходу за ребенком имеет самые благоприятные последствия для качества условий трудоустройства женщин. Она помогает женщинам более сбалансированно сочетать выполнение родительских функций с участием в оплачиваемой работе по найму. Такая возможность уменьшает эмоциональную нагрузку на родителей, связанную с потерей дохода, когда они вынуждены делать перерыв в оплачиваемой работе, чтобы заботиться о детях. Она также избавляет женщин от необходимости возвращаться на работу, давая им время оправиться после родов и выработать нормальный режим повседневного ухода за ребенком, включая грудное вскармливание.</w:t>
      </w:r>
    </w:p>
    <w:p w:rsidR="00B44C11" w:rsidRDefault="00B44C11">
      <w:pPr>
        <w:tabs>
          <w:tab w:val="clear" w:pos="1588"/>
          <w:tab w:val="left" w:pos="567"/>
          <w:tab w:val="left" w:pos="907"/>
          <w:tab w:val="left" w:pos="1247"/>
        </w:tabs>
      </w:pPr>
      <w:r>
        <w:t>226.</w:t>
      </w:r>
      <w:r>
        <w:tab/>
        <w:t>Положение об оплачиваемом правительством отпуске по уходу за ребенком, содержащееся в Законе об отпуске по уходу за ребенком и защите занятости (оплачиваемом отпуске по уходу за ребенком) 2002 года, было внесено на рассмотрение 30 марта 2002 года и вступило в силу 1 июля 2002 года. Первоначально этим законом предоставлялся 12</w:t>
      </w:r>
      <w:r>
        <w:noBreakHyphen/>
        <w:t>недельный оплачиваемый отпуск по уходу за ребенком, если работница намеревалась вернуться на работу и только если она проработала у одного и того же работодателя не менее одного года, трудясь по меньшей мере 10 часов в неделю. Сегодня все имеющие на это право женщины могут получить 14-недельный оплачиваемый отпуск по уходу за ребенком, если они намереваются вернуться на работу, при этом они должны проработать на одного и того же работодателя шесть предыдущих месяцев, трудясь в среднем не менее 10 часов в неделю. Матери могут также счесть необходимым передать право на весь отпуск или часть отпуска своим партнерам (в том числе партнерам того же пола), при условии что их партнер также имеет право на оплачиваемый отпуск по уходу за ребенком.</w:t>
      </w:r>
    </w:p>
    <w:p w:rsidR="00B44C11" w:rsidRDefault="00B44C11">
      <w:pPr>
        <w:tabs>
          <w:tab w:val="clear" w:pos="1588"/>
          <w:tab w:val="left" w:pos="567"/>
          <w:tab w:val="left" w:pos="907"/>
          <w:tab w:val="left" w:pos="1247"/>
        </w:tabs>
      </w:pPr>
      <w:r>
        <w:t>227.</w:t>
      </w:r>
      <w:r>
        <w:tab/>
        <w:t>Оплата отпуска по уходу за ребенком в максимальном размере покрывает заработную плату или жалованье работника. В настоящее время ее сумма составляет 357,30 новозеландского доллара в неделю, что приблизительно равно 60 процентам среднего еженедельного дохода в виде заработной платы или жалованья лиц, занятых на оплачиваемой работе по найму. Оплата отпуска, как и заработная плата, облагается налогом. Финансируемая работодателями оплата отпуска по уходу за ребенком не лишает работниц права на получение средств, финансируемых правительством. Женщины могут продолжать получать такие отпускные помимо средств, выплачиваемых правительством.</w:t>
      </w:r>
    </w:p>
    <w:p w:rsidR="00B44C11" w:rsidRDefault="00B44C11">
      <w:pPr>
        <w:tabs>
          <w:tab w:val="clear" w:pos="1588"/>
          <w:tab w:val="left" w:pos="567"/>
          <w:tab w:val="left" w:pos="907"/>
          <w:tab w:val="left" w:pos="1247"/>
        </w:tabs>
      </w:pPr>
      <w:r>
        <w:t>228.</w:t>
      </w:r>
      <w:r>
        <w:tab/>
        <w:t>Оценивая первый год действия системы оплачиваемого отпуска по уходу за ребенком</w:t>
      </w:r>
      <w:r>
        <w:rPr>
          <w:rStyle w:val="FootnoteReference"/>
        </w:rPr>
        <w:footnoteReference w:id="67"/>
      </w:r>
      <w:r>
        <w:t>, почти все женщины, получающие отпускные деньги, одобрили введение в действие этой системы. Почти все матери, которые получили оплачиваемый отпуск по уходу за ребенком (98 процентов), использовали его в полном объеме, то есть все 12 недель оплачиваемого отпуска. Матери, которые брали такой отпуск, преимуществом системы оплачиваемого отпуска по уходу за ребенком, упоминаемым чаще других, называли (по собственной инициативе) рост семейного дохода/больший размер наличных денег для оплаты счетов и покрытия других расходов (44 процента). Ряд работодателей также одобрили систему оплачиваемого отпуска по уходу за ребенком. Более трети работодателей (35 процентов) сообщили, что это положительным (27 процентов) или самым положительным (8 процентов) образом сказалось на их бизнесе.</w:t>
      </w:r>
    </w:p>
    <w:p w:rsidR="00B44C11" w:rsidRDefault="00B44C11">
      <w:pPr>
        <w:tabs>
          <w:tab w:val="clear" w:pos="1588"/>
          <w:tab w:val="left" w:pos="567"/>
          <w:tab w:val="left" w:pos="907"/>
          <w:tab w:val="left" w:pos="1247"/>
        </w:tabs>
      </w:pPr>
      <w:r>
        <w:t>229.</w:t>
      </w:r>
      <w:r>
        <w:tab/>
        <w:t>Эта оценка также включала анализ последствий расширения действия системы оплачиваемого отпуска по уходу за ребенком на женщин, которые в настоящее время не имеют на него права, включая лиц, занимающихся индивидуальной трудовой деятельностью. В результате этого 9 августа 2005 года был представлен Законопроект о внесении изменений в Закон об отпуске по уходу за рабенком и защите занятости (оплачиваемом отпуске по уходу за ребенком для лиц, занимающихся индивидуальной трудовой деятельностью), который в настоящее время находится на рассмотрении Комитета специального состава. Законопроект предусматривает введение с 1 июля 2006 года 14-недельного оплачиваемого отпуска по уходу за ребенком для матерей, занимающихся индивидуальной трудовой деятельностью и их партнеров, которые отработали положенный срок, трудясь требуемое количество часов в неделю (по меньшей мере шесть месяцев по десять часов в неделю). Этот законопроект также предусматривает, что период времени, который родители должны отработать, прежде чем взять второй или последующий оплачиваемый отпуск по уходу за ребенком, необходимо сократить с двенадцати до шести месяцев, так чтобы он соответствовал критериям приемлемости для родителей, которые берут отпуск впервые. Законопроект будет иметь особое значение для сельских женщин, которые часто занимаются индивидуальной трудовой деятельностью, работая на семейных фермах или владея собственным малым бизнесом.</w:t>
      </w:r>
    </w:p>
    <w:p w:rsidR="00B44C11" w:rsidRDefault="00B44C11">
      <w:pPr>
        <w:tabs>
          <w:tab w:val="clear" w:pos="1588"/>
          <w:tab w:val="left" w:pos="567"/>
          <w:tab w:val="left" w:pos="907"/>
          <w:tab w:val="left" w:pos="1247"/>
        </w:tabs>
      </w:pPr>
      <w:r>
        <w:t>230.</w:t>
      </w:r>
      <w:r>
        <w:tab/>
        <w:t>В настоящее время проводится всеобъемлющая оценка системы оплачиваемого отпуска по уходу за ребенком. В ходе оценки будет проанализировано то, в какой степени нынешние положения об оплачиваемом и неоплачиваемом отпуске по уходу за ребенком способствуют достижению целей этой системы, например в плане увеличения гендерного равенства на рынке труда и в семьях, а также получения семьями стабильного дохода. Более того, появится возможность для оценки обстоятельств лиц, на которых в настоящее время не распространяется действие положений закона об оплачиваемом отпуске по уходу за ребенком. Эта оценка должна быть завершена в 2006 году.</w:t>
      </w:r>
    </w:p>
    <w:p w:rsidR="00B44C11" w:rsidRDefault="00B44C11">
      <w:pPr>
        <w:pStyle w:val="Heading4"/>
      </w:pPr>
      <w:r>
        <w:t>Повышение доступности, качества и приемлемости ухода за детьми, включая обучение в</w:t>
      </w:r>
      <w:r>
        <w:rPr>
          <w:lang w:val="ru-RU"/>
        </w:rPr>
        <w:t> </w:t>
      </w:r>
      <w:r>
        <w:t>раннем детском возрасте и программы внешкольного ухода за детьми</w:t>
      </w:r>
    </w:p>
    <w:p w:rsidR="00B44C11" w:rsidRDefault="00B44C11">
      <w:pPr>
        <w:tabs>
          <w:tab w:val="clear" w:pos="1588"/>
          <w:tab w:val="left" w:pos="567"/>
          <w:tab w:val="left" w:pos="907"/>
          <w:tab w:val="left" w:pos="1247"/>
        </w:tabs>
      </w:pPr>
      <w:r>
        <w:t>231.</w:t>
      </w:r>
      <w:r>
        <w:tab/>
        <w:t>Женщины, как правило, несут основную ответственность за уход за детьми. В связи с этим наличие, доступность и качество услуг по уходу за детьми являются важнейшими факторами, которые влияют на их способность выбирать уровень участия в оплачиваемом труде, который устраивает их.</w:t>
      </w:r>
    </w:p>
    <w:p w:rsidR="00B44C11" w:rsidRDefault="00B44C11">
      <w:pPr>
        <w:tabs>
          <w:tab w:val="clear" w:pos="1588"/>
          <w:tab w:val="left" w:pos="567"/>
          <w:tab w:val="left" w:pos="907"/>
          <w:tab w:val="left" w:pos="1247"/>
        </w:tabs>
      </w:pPr>
      <w:r>
        <w:t>232.</w:t>
      </w:r>
      <w:r>
        <w:tab/>
        <w:t xml:space="preserve">Исследование позволяет предположить, что стоимость и доступность услуг по уходу за детьми по-прежнему влияют на выбор родителей. За отчетный период правительство существенно повысило уровень инвестиций в эту область. К 2008 году правительство увеличит объем инвестиций в систему дошкольного воспитания на 79 процентов по сравнению с 1999 годом. </w:t>
      </w:r>
    </w:p>
    <w:p w:rsidR="00B44C11" w:rsidRDefault="00B44C11">
      <w:pPr>
        <w:tabs>
          <w:tab w:val="clear" w:pos="1588"/>
          <w:tab w:val="left" w:pos="567"/>
          <w:tab w:val="left" w:pos="907"/>
          <w:tab w:val="left" w:pos="1247"/>
        </w:tabs>
      </w:pPr>
      <w:r>
        <w:t>233.</w:t>
      </w:r>
      <w:r>
        <w:tab/>
        <w:t xml:space="preserve">В пунктах 134–136 содержится подробная информация об усилиях правительства, направленных на расширение доступности услуг в области дошкольного воспитания для родителей, в частности путем увеличения финансирования на обучение детей в раннем детском возрасте. </w:t>
      </w:r>
    </w:p>
    <w:p w:rsidR="00B44C11" w:rsidRDefault="00B44C11">
      <w:pPr>
        <w:tabs>
          <w:tab w:val="clear" w:pos="1588"/>
          <w:tab w:val="left" w:pos="567"/>
          <w:tab w:val="left" w:pos="907"/>
          <w:tab w:val="left" w:pos="1247"/>
        </w:tabs>
      </w:pPr>
      <w:r>
        <w:t>234.</w:t>
      </w:r>
      <w:r>
        <w:tab/>
        <w:t>Правительство также продолжает содействовать осуществлению программ внешкольного ухода за детьми (ВУД) и досуга (программы работы с детьми в возрасте с 5 до 13 лет до школы, после школы и во время школьных каникул), при этом финансирование, выделяемое для поддержки этих программ, увеличится на 90 процентов в период 2002–2005 годов. Со времени представления последнего доклада нормы дотаций на уход за детьми и ВУД были увеличены на 20 процентов. Наряду с этим был повышен также максимальный предел для дохода, дающий право на получение дотаций, так что 60 процентов всех супружеских пар, имеющих детей, и 96 процентов одиноких родителей (в общей сложности 70 процентов всех семей) потенциально могут претендовать на финансовую помощь для покрытия расходов на услуги по уходу за детьми.</w:t>
      </w:r>
    </w:p>
    <w:p w:rsidR="00B44C11" w:rsidRDefault="00B44C11">
      <w:pPr>
        <w:pStyle w:val="Heading4"/>
      </w:pPr>
      <w:r>
        <w:t>Сбалансированное сочетание трудовой деятельности и семейной жизни</w:t>
      </w:r>
    </w:p>
    <w:p w:rsidR="00B44C11" w:rsidRDefault="00B44C11">
      <w:pPr>
        <w:tabs>
          <w:tab w:val="clear" w:pos="1588"/>
          <w:tab w:val="left" w:pos="567"/>
          <w:tab w:val="left" w:pos="907"/>
          <w:tab w:val="left" w:pos="1247"/>
        </w:tabs>
      </w:pPr>
      <w:r>
        <w:t>235.</w:t>
      </w:r>
      <w:r>
        <w:tab/>
        <w:t>Общепризнано, что сбалансированное сочетание трудовой деятельности и семейной жизни – это проблема как для мужчин, так и для женщин, которые пытаются гармонично сочетать выполнение ими своих функций в оплачиваемой трудовой деятельности с другими обязательствами и обязанностями. Необходимость достичь сбалансированного сочетания трудовой деятельности и семейной жизни четко обозначилась на этапе консультаций в связи с Планом действий в интересах новозеландских женщин. Женщины подчеркивали, что они должны иметь возможность и право выбора в отношении участия в оплачиваемом труде и выполнения других многочисленных функций, включая воспитание детей и/или находящихся на их иждивении пожилых родственников.</w:t>
      </w:r>
    </w:p>
    <w:p w:rsidR="00B44C11" w:rsidRDefault="00B44C11">
      <w:pPr>
        <w:tabs>
          <w:tab w:val="clear" w:pos="1588"/>
          <w:tab w:val="left" w:pos="567"/>
          <w:tab w:val="left" w:pos="907"/>
          <w:tab w:val="left" w:pos="1247"/>
        </w:tabs>
      </w:pPr>
      <w:r>
        <w:t>236.</w:t>
      </w:r>
      <w:r>
        <w:tab/>
        <w:t xml:space="preserve">Правительство создало в 2003 году Руководящую группу по проблеме сбалансированного сочетания трудовой деятельности и семейной жизни, возглавляемую </w:t>
      </w:r>
      <w:r>
        <w:rPr>
          <w:caps/>
        </w:rPr>
        <w:t>м</w:t>
      </w:r>
      <w:r>
        <w:t xml:space="preserve">инистерством труда, в целях разработки политики и практики, которые содействовали бы гармоничному сочетанию оплачиваемого труда и жизни вне работы. На основе результатов доклада Руководящей группы </w:t>
      </w:r>
      <w:r>
        <w:rPr>
          <w:caps/>
        </w:rPr>
        <w:t>м</w:t>
      </w:r>
      <w:r>
        <w:t xml:space="preserve">инистерство труда приступило к осуществлению трехлетней рабочей программы, включающей исследования, политику, аналитическую оценку, повышение осведомленности и разработку демонстрационного проекта – Проекта сбалансированного сочетания трудовой деятельности и семейной жизни, осуществляемого на рабочем месте. Этот проект напрямую ориентирован на установление партнерских отношений на рабочем месте в целях создания и использования специальных средств, способных помочь им в устранении установленных барьеров, мешающих гармоничному сочетанию трудовой деятельности и семейной жизни, а также выполнению служебных обязанностей. </w:t>
      </w:r>
    </w:p>
    <w:p w:rsidR="00B44C11" w:rsidRDefault="00B44C11">
      <w:pPr>
        <w:tabs>
          <w:tab w:val="clear" w:pos="1588"/>
          <w:tab w:val="left" w:pos="567"/>
          <w:tab w:val="left" w:pos="907"/>
          <w:tab w:val="left" w:pos="1247"/>
        </w:tabs>
      </w:pPr>
      <w:r>
        <w:t>237.</w:t>
      </w:r>
      <w:r>
        <w:tab/>
        <w:t xml:space="preserve">В марте 2006 года кабинет министров рассмотрит вопрос об усовершенствовании Программы сбалансированного сочетания трудовой деятельности и семейной жизни. Парламент также рассмотрит законопроект, внесенный одним из членов парламента, а именно Законопроект о внесении изменений в Закон об отношениях в сфере занятости (о гибком графике работы). </w:t>
      </w:r>
      <w:r>
        <w:br/>
        <w:t>В законопроекте предлагается, чтобы родители, имеющие детей в возрасте до пяти лет (и детей-инвалидов в возрасте до 18 лет) имели право просить установить для них гибкий график работы. Парламент направил законопроект в Комитет специального состава для всестороннего рассмотрения соответствующих вопросов.</w:t>
      </w:r>
    </w:p>
    <w:p w:rsidR="00B44C11" w:rsidRDefault="00B44C11">
      <w:pPr>
        <w:tabs>
          <w:tab w:val="clear" w:pos="1588"/>
          <w:tab w:val="left" w:pos="567"/>
          <w:tab w:val="left" w:pos="907"/>
          <w:tab w:val="left" w:pos="1247"/>
        </w:tabs>
      </w:pPr>
      <w:r>
        <w:t>238.</w:t>
      </w:r>
      <w:r>
        <w:tab/>
        <w:t xml:space="preserve">При рассмотрении вопроса о совершенствовании механизмов обеспечения гармоничного сочетания трудовой деятельности и семейной жизни должен быть принят во внимание вклад женщин в неоплачиваемую работу. Связанные с этим вопросы рассматриваются в материале, относящемся к статье 13: Экономическая и социальная жизнь. </w:t>
      </w:r>
    </w:p>
    <w:p w:rsidR="00B44C11" w:rsidRDefault="00B44C11">
      <w:pPr>
        <w:pStyle w:val="Heading4"/>
      </w:pPr>
      <w:r>
        <w:t>План действий по обеспечению удовлетворительной работой</w:t>
      </w:r>
    </w:p>
    <w:p w:rsidR="00B44C11" w:rsidRDefault="00B44C11">
      <w:pPr>
        <w:tabs>
          <w:tab w:val="clear" w:pos="1588"/>
          <w:tab w:val="left" w:pos="567"/>
          <w:tab w:val="left" w:pos="907"/>
          <w:tab w:val="left" w:pos="1247"/>
        </w:tabs>
      </w:pPr>
      <w:r>
        <w:t>239.</w:t>
      </w:r>
      <w:r>
        <w:tab/>
        <w:t>Один из выводов Регионального совещания азиатских стран Международной организации труда в 2001 году заключался в том, что государства-участники путем трехстороннего процесса определят национальный план действий по вопросу обеспечения удовлетворительной работой. Это предложение было выдвинуто министром труда Новой Зеландии и поддержано "Бизнес Нью-Зиланд" и Новозеландским советом профсоюзов.</w:t>
      </w:r>
    </w:p>
    <w:p w:rsidR="00B44C11" w:rsidRDefault="00B44C11">
      <w:pPr>
        <w:tabs>
          <w:tab w:val="clear" w:pos="1588"/>
          <w:tab w:val="left" w:pos="567"/>
          <w:tab w:val="left" w:pos="907"/>
          <w:tab w:val="left" w:pos="1247"/>
        </w:tabs>
      </w:pPr>
      <w:r>
        <w:t>240.</w:t>
      </w:r>
      <w:r>
        <w:tab/>
        <w:t xml:space="preserve">Министерство труда при консультации с "Бизнес Нью-Зиланд" и Новозеландским советом профсоюзов, неправительственными организациями и другими учреждениями разрабатывало проект "Удовлетворительная работа: Планирование действий". В настоящее время ведется подборка данных о мероприятиях в рамках проекта "Удовлетворительная работа" в Новой Зеландии с целью показать, каким образом каждое мероприятие вносит свой вклад в выполнение целей проекта "Удовлетворительная работа" в Новой Зеландии. Проводится рассмотрение гендерных вопросов. Документ, полученный по завершении этой работы, будет как бы моментальным снимком того этапа, которого достигла Новая Зеландия в реализации проекта "Удовлетворительная работа", – он будет опубликован и помещен на веб-сайте к концу 2006 года. </w:t>
      </w:r>
    </w:p>
    <w:p w:rsidR="00B44C11" w:rsidRDefault="00B44C11">
      <w:pPr>
        <w:pStyle w:val="Heading4"/>
        <w:spacing w:after="280"/>
      </w:pPr>
      <w:r>
        <w:t>Равенство в оплате труда и занятости</w:t>
      </w:r>
    </w:p>
    <w:p w:rsidR="00B44C11" w:rsidRDefault="00B44C11">
      <w:pPr>
        <w:tabs>
          <w:tab w:val="clear" w:pos="1588"/>
          <w:tab w:val="left" w:pos="567"/>
          <w:tab w:val="left" w:pos="907"/>
          <w:tab w:val="left" w:pos="1247"/>
        </w:tabs>
        <w:spacing w:after="280"/>
      </w:pPr>
      <w:r>
        <w:t>241.</w:t>
      </w:r>
      <w:r>
        <w:tab/>
        <w:t xml:space="preserve">Правительство разработало </w:t>
      </w:r>
      <w:r>
        <w:rPr>
          <w:i/>
        </w:rPr>
        <w:t>План действий по обеспечению равенства в оплате труда и занятости</w:t>
      </w:r>
      <w:r>
        <w:t xml:space="preserve">, рассчитанный на пять лет и нацеленный на решение проблемы разницы в оплате труда мужчин и женщин, а также на поддержку равной оплаты за равноценный труд в сфере общественных услуг и в секторах здравоохранения и образования. Отдел по обеспечению равенства в оплате труда и занятости при </w:t>
      </w:r>
      <w:r>
        <w:rPr>
          <w:caps/>
        </w:rPr>
        <w:t>м</w:t>
      </w:r>
      <w:r>
        <w:t xml:space="preserve">инистерстве труда, образованный в 2004 году, руководит выполнением этого Плана. Сюда входит работа на различных уровнях, включая работу на рабочих местах и в различных профессиональных группах. На последующих предлагаемых этапах правительство будет рассматривать необходимость действий для решения вопросов обеспечения равенства в оплате труда и занятости для сотрудников, работающих по контракту с государственным финансированием, на государственных предприятиях и в учреждениях Короны. </w:t>
      </w:r>
      <w:r>
        <w:br/>
        <w:t>В дальнейшем могут быть рассмотрены вопросы обеспечения равенства в оплате труда и занятости для других работников.</w:t>
      </w:r>
    </w:p>
    <w:p w:rsidR="00B44C11" w:rsidRDefault="00B44C11">
      <w:pPr>
        <w:tabs>
          <w:tab w:val="clear" w:pos="1588"/>
          <w:tab w:val="left" w:pos="567"/>
          <w:tab w:val="left" w:pos="907"/>
          <w:tab w:val="left" w:pos="1247"/>
        </w:tabs>
        <w:spacing w:after="280"/>
      </w:pPr>
      <w:r>
        <w:t>242.</w:t>
      </w:r>
      <w:r>
        <w:tab/>
        <w:t xml:space="preserve">Отдел по обеспечению равенства в оплате труда и занятости оказывает помощь организациям в сфере общественных услуг, а также в секторах государственного здравоохранения и государственного образования в оценке их деятельности в решении вопроса равенства полов и </w:t>
      </w:r>
      <w:r>
        <w:br/>
        <w:t xml:space="preserve">в том, как они могут обеспечить справедливые результаты для работников в настоящее время и </w:t>
      </w:r>
      <w:r>
        <w:br/>
        <w:t xml:space="preserve">в будущем. Отдел разработал метод оказания содействия учреждениям в оценке работы в сфере обеспечения равенства в оплате труда и занятости. В данном методе используется стратегия установления сотрудничества между работодателями и персоналом для выявления практики </w:t>
      </w:r>
      <w:r>
        <w:br/>
        <w:t xml:space="preserve">в сфере оплаты труда или занятости, которая приводит к различным гендерным проблемам, а также для изучения мер, нацеленных на разрешение проблем в случае выявления неравенства. Этот метод был испытан в ходе двух пилотных обзоров, которые проводились в 2005 году. </w:t>
      </w:r>
    </w:p>
    <w:p w:rsidR="00B44C11" w:rsidRDefault="00B44C11">
      <w:pPr>
        <w:tabs>
          <w:tab w:val="clear" w:pos="1588"/>
          <w:tab w:val="left" w:pos="567"/>
          <w:tab w:val="left" w:pos="907"/>
          <w:tab w:val="left" w:pos="1247"/>
        </w:tabs>
        <w:spacing w:after="280"/>
      </w:pPr>
      <w:r>
        <w:t>243.</w:t>
      </w:r>
      <w:r>
        <w:tab/>
        <w:t>В течение пяти лет осуществления Плана действий будет применяться плановый и регулируемый подход к проведению оценок обеспечения равенства в оплате труда и занятости во всех 35 учреждениях в сфере государственных услуг, трех парламентских организациях, в секторе государственного образования, в 22 окружных медико-санитарных комиссиях и в новозеландской службе переливания крови. После проведения оценки могут исследоваться меры для разрешения проблем в случае выявления неравенства.</w:t>
      </w:r>
    </w:p>
    <w:p w:rsidR="00B44C11" w:rsidRDefault="00B44C11">
      <w:pPr>
        <w:tabs>
          <w:tab w:val="clear" w:pos="1588"/>
          <w:tab w:val="left" w:pos="567"/>
          <w:tab w:val="left" w:pos="907"/>
          <w:tab w:val="left" w:pos="1247"/>
        </w:tabs>
        <w:spacing w:after="280"/>
      </w:pPr>
      <w:r>
        <w:t>244.</w:t>
      </w:r>
      <w:r>
        <w:tab/>
        <w:t>Сектор высшего образования включен в пятилетний правительственный План действий по обеспечению равенства в оплате труда и занятости. Учреждения сектора государственного образования проведут анализ своей практики в сфере оплаты труда и занятости для оценки осуществляемого в них гендерного равенства и определения методов его повышения.</w:t>
      </w:r>
    </w:p>
    <w:p w:rsidR="00B44C11" w:rsidRDefault="00B44C11">
      <w:pPr>
        <w:tabs>
          <w:tab w:val="clear" w:pos="1588"/>
          <w:tab w:val="left" w:pos="567"/>
          <w:tab w:val="left" w:pos="907"/>
          <w:tab w:val="left" w:pos="1247"/>
        </w:tabs>
        <w:spacing w:after="280"/>
      </w:pPr>
      <w:r>
        <w:t>245.</w:t>
      </w:r>
      <w:r>
        <w:tab/>
        <w:t xml:space="preserve">В настоящее время разрабатывается метод оценки видов работ безотносительно к полу работников, чтобы помочь организациям определить объем работ путем сравнению навыков, знаний, обязанностей и условий работы. Сравнение объемов работ и их оценка соответствующим образом будут способствовать установлению ставок заработной платы и структуры классификации должностей, которые не будут зависеть от пола работников. Медицинский факультет Оклендского технологического университета был одним из двух учреждений, где проводилось тестирование метода оценки равенства в оплате труда и занятости, который был разработан Отделом по обеспечению равенства в оплате труда и занятости </w:t>
      </w:r>
      <w:r>
        <w:rPr>
          <w:caps/>
        </w:rPr>
        <w:t>м</w:t>
      </w:r>
      <w:r>
        <w:t>инистерства труда.</w:t>
      </w:r>
    </w:p>
    <w:p w:rsidR="00B44C11" w:rsidRDefault="00B44C11">
      <w:pPr>
        <w:tabs>
          <w:tab w:val="clear" w:pos="1588"/>
          <w:tab w:val="left" w:pos="567"/>
          <w:tab w:val="left" w:pos="907"/>
          <w:tab w:val="left" w:pos="1247"/>
        </w:tabs>
      </w:pPr>
      <w:r>
        <w:t>246.</w:t>
      </w:r>
      <w:r>
        <w:tab/>
        <w:t xml:space="preserve">Отдел также оказывает поддержку развитию способностей и возможностей путем управления ежегодным конкурсным фондом в размере 1 млн. долл. США. Организации могут обратиться за финансированием работы по вопросам обеспечения равенства в оплате труда и занятости. </w:t>
      </w:r>
    </w:p>
    <w:p w:rsidR="00B44C11" w:rsidRDefault="00B44C11">
      <w:pPr>
        <w:tabs>
          <w:tab w:val="clear" w:pos="1588"/>
          <w:tab w:val="left" w:pos="567"/>
          <w:tab w:val="left" w:pos="907"/>
          <w:tab w:val="left" w:pos="1247"/>
        </w:tabs>
      </w:pPr>
      <w:r>
        <w:t>247.</w:t>
      </w:r>
      <w:r>
        <w:tab/>
        <w:t xml:space="preserve">Работа Отдела находится под контролем трехсторонней руководящей группы, состоящей из представителей профсоюза, работодателя и представителей трех секторов правительства для проведения мониторинга выполнения </w:t>
      </w:r>
      <w:r>
        <w:rPr>
          <w:i/>
        </w:rPr>
        <w:t>Плана действий</w:t>
      </w:r>
      <w:r>
        <w:t xml:space="preserve"> и руководства его дальнейшим развитием.</w:t>
      </w:r>
    </w:p>
    <w:p w:rsidR="00B44C11" w:rsidRDefault="00B44C11">
      <w:pPr>
        <w:pStyle w:val="Heading4"/>
      </w:pPr>
      <w:r>
        <w:t>Женщины-инвалиды</w:t>
      </w:r>
    </w:p>
    <w:p w:rsidR="00B44C11" w:rsidRDefault="00B44C11">
      <w:pPr>
        <w:tabs>
          <w:tab w:val="clear" w:pos="1588"/>
          <w:tab w:val="left" w:pos="567"/>
          <w:tab w:val="left" w:pos="907"/>
          <w:tab w:val="left" w:pos="1247"/>
        </w:tabs>
      </w:pPr>
      <w:r>
        <w:t>248.</w:t>
      </w:r>
      <w:r>
        <w:tab/>
        <w:t xml:space="preserve">Правительство оказывает поддержку участию женщин-инвалидов в трудоустройстве через реализацию </w:t>
      </w:r>
      <w:r>
        <w:rPr>
          <w:i/>
        </w:rPr>
        <w:t xml:space="preserve">Новозеландской стратегии в области инвалидности </w:t>
      </w:r>
      <w:r>
        <w:t xml:space="preserve">(НЗСИ), а также стратегии в области рынка труда и занятости </w:t>
      </w:r>
      <w:r>
        <w:rPr>
          <w:caps/>
        </w:rPr>
        <w:t>м</w:t>
      </w:r>
      <w:r>
        <w:t>инистерства труда, озаглавленной "</w:t>
      </w:r>
      <w:r>
        <w:rPr>
          <w:i/>
        </w:rPr>
        <w:t>Лучше работа, работая лучше</w:t>
      </w:r>
      <w:r>
        <w:t>". Был разработан ряд инициатив в поддержку этих стратегий, примеры которых приведены ниже.</w:t>
      </w:r>
    </w:p>
    <w:p w:rsidR="00B44C11" w:rsidRDefault="00B44C11">
      <w:pPr>
        <w:tabs>
          <w:tab w:val="clear" w:pos="1588"/>
          <w:tab w:val="left" w:pos="567"/>
          <w:tab w:val="left" w:pos="907"/>
          <w:tab w:val="left" w:pos="1247"/>
        </w:tabs>
      </w:pPr>
      <w:r>
        <w:t>249.</w:t>
      </w:r>
      <w:r>
        <w:tab/>
      </w:r>
      <w:r>
        <w:rPr>
          <w:i/>
        </w:rPr>
        <w:t>Стратегия реализации направлений</w:t>
      </w:r>
      <w:r>
        <w:t xml:space="preserve">, которая начала действовать в 2001 году, нацелена на повышение качества возможности занятости для инвалидов. Она способствует смещению акцента в некоторых видах профессиональных услуг от системы обеспечения рабочих мест для инвалидов </w:t>
      </w:r>
      <w:r>
        <w:br/>
        <w:t xml:space="preserve">в специальных мастерских или на производственных участках предприятия и повседневной деятельности к поддержке целенаправленного участия инвалидов в жизни общин и получения настоящей работы (хотя обеспечение рабочих мест для инвалидов в специальных мастерских или на производственных участках предприятия при некоторых обстоятельствах остается одним </w:t>
      </w:r>
      <w:r>
        <w:br/>
        <w:t>из вариантов). В 2004–2005 годах эта инициатива помогла 1100 инвалидам получить работу на открытом рынке труда.</w:t>
      </w:r>
    </w:p>
    <w:p w:rsidR="00B44C11" w:rsidRDefault="00B44C11">
      <w:pPr>
        <w:tabs>
          <w:tab w:val="clear" w:pos="1588"/>
          <w:tab w:val="left" w:pos="567"/>
          <w:tab w:val="left" w:pos="907"/>
          <w:tab w:val="left" w:pos="1247"/>
        </w:tabs>
      </w:pPr>
      <w:r>
        <w:t>250.</w:t>
      </w:r>
      <w:r>
        <w:tab/>
        <w:t xml:space="preserve">Важным элементом </w:t>
      </w:r>
      <w:r>
        <w:rPr>
          <w:i/>
        </w:rPr>
        <w:t>Стратегии реализации направлений</w:t>
      </w:r>
      <w:r>
        <w:t xml:space="preserve"> явились отмена Закона о содействии трудоустройству инвалидов 1960 года. Политика в области отмены предусматривает переходный период (с 2001 года до июня 2007 года) для тех, кто обеспечивает рабочие места для инвалидов в специальных мастерских или на производственных участках предприятия. Будучи участниками этого процесса, должностные лица </w:t>
      </w:r>
      <w:r>
        <w:rPr>
          <w:caps/>
        </w:rPr>
        <w:t>м</w:t>
      </w:r>
      <w:r>
        <w:t>инистерства труда приняли участие в ряде семинаров, презентаций, конференций, консультаций и обсуждений с группами правозащитников и инвалидов.</w:t>
      </w:r>
    </w:p>
    <w:p w:rsidR="00B44C11" w:rsidRDefault="00B44C11">
      <w:pPr>
        <w:tabs>
          <w:tab w:val="clear" w:pos="1588"/>
          <w:tab w:val="left" w:pos="567"/>
          <w:tab w:val="left" w:pos="907"/>
          <w:tab w:val="left" w:pos="1247"/>
        </w:tabs>
      </w:pPr>
      <w:r>
        <w:t>251.</w:t>
      </w:r>
      <w:r>
        <w:tab/>
        <w:t xml:space="preserve">Министерство социального развития также обеспечивает общую поддержку для инвалидов </w:t>
      </w:r>
      <w:r>
        <w:br/>
        <w:t>в преодолении трудностей и получении устойчивой занятости. Также продолжается работа по созданию новой службы по оказанию помощи лицам, получающим пособия по болезни и инвалидности. Инициативы включают:</w:t>
      </w:r>
    </w:p>
    <w:p w:rsidR="00B44C11" w:rsidRDefault="00B44C11">
      <w:pPr>
        <w:pStyle w:val="10-18"/>
      </w:pPr>
      <w:r>
        <w:sym w:font="Symbol" w:char="F0B7"/>
      </w:r>
      <w:r>
        <w:tab/>
        <w:t>поддержку работодателей, с тем чтобы они могли принимать на работу людей со слабым здоровьем или инвалидов;</w:t>
      </w:r>
    </w:p>
    <w:p w:rsidR="00B44C11" w:rsidRDefault="00B44C11">
      <w:pPr>
        <w:pStyle w:val="10-18"/>
      </w:pPr>
      <w:r>
        <w:sym w:font="Symbol" w:char="F0B7"/>
      </w:r>
      <w:r>
        <w:tab/>
        <w:t>изменения правил о 15 часах и уступок для облегчения поступления на работу лиц, получающих пособие по инвалидности;</w:t>
      </w:r>
    </w:p>
    <w:p w:rsidR="00B44C11" w:rsidRDefault="00B44C11">
      <w:pPr>
        <w:pStyle w:val="10-18"/>
      </w:pPr>
      <w:r>
        <w:sym w:font="Symbol" w:char="F0B7"/>
      </w:r>
      <w:r>
        <w:tab/>
        <w:t xml:space="preserve">обновление и улучшение модели управления делами; </w:t>
      </w:r>
    </w:p>
    <w:p w:rsidR="00B44C11" w:rsidRDefault="00B44C11">
      <w:pPr>
        <w:pStyle w:val="10-18"/>
      </w:pPr>
      <w:r>
        <w:sym w:font="Symbol" w:char="F0B7"/>
      </w:r>
      <w:r>
        <w:tab/>
        <w:t>расширение объемов фондов поддержки обеспечения занятости для инвалидов (управляемых через Уоркбридж), которые сейчас имеются для работников государственного сектора.</w:t>
      </w:r>
    </w:p>
    <w:p w:rsidR="00B44C11" w:rsidRDefault="00B44C11">
      <w:pPr>
        <w:pStyle w:val="Heading4"/>
      </w:pPr>
      <w:r>
        <w:t>Другие группы женщин</w:t>
      </w:r>
    </w:p>
    <w:p w:rsidR="00B44C11" w:rsidRDefault="00B44C11">
      <w:pPr>
        <w:tabs>
          <w:tab w:val="clear" w:pos="1588"/>
          <w:tab w:val="left" w:pos="567"/>
          <w:tab w:val="left" w:pos="907"/>
          <w:tab w:val="left" w:pos="1247"/>
        </w:tabs>
      </w:pPr>
      <w:r>
        <w:t>252.</w:t>
      </w:r>
      <w:r>
        <w:tab/>
        <w:t xml:space="preserve">В пунктах 48–49 описана </w:t>
      </w:r>
      <w:r>
        <w:rPr>
          <w:i/>
        </w:rPr>
        <w:t>Новозеландская стратегия ассимиляции</w:t>
      </w:r>
      <w:r>
        <w:t xml:space="preserve">, направленная на поддержку обеспечения занятости для беженцев и мигрантов. Существуют также инициативы </w:t>
      </w:r>
      <w:r>
        <w:br/>
        <w:t xml:space="preserve">по увеличению занятости среди женщин-маори и женщин тихоокеанских народностей, включая инициативу </w:t>
      </w:r>
      <w:r>
        <w:rPr>
          <w:i/>
        </w:rPr>
        <w:t>Хуи Таумата</w:t>
      </w:r>
      <w:r>
        <w:t xml:space="preserve"> женщин-маори, направленную на подъем их социального, экономического и культурного уровня жизни, а также </w:t>
      </w:r>
      <w:r>
        <w:rPr>
          <w:i/>
        </w:rPr>
        <w:t>Стратегию развития рабочей силы тихоокеанских народностей</w:t>
      </w:r>
      <w:r>
        <w:t xml:space="preserve">. Ключевой вопрос, выделенный в </w:t>
      </w:r>
      <w:r>
        <w:rPr>
          <w:i/>
        </w:rPr>
        <w:t>Стратегии</w:t>
      </w:r>
      <w:r>
        <w:t>, заключается в необходимости решения проблемы неравенства участия женщин тихоокеанских народностей на рынке труда.</w:t>
      </w:r>
    </w:p>
    <w:p w:rsidR="00B44C11" w:rsidRDefault="00B44C11">
      <w:pPr>
        <w:pStyle w:val="Heading3"/>
      </w:pPr>
      <w:r>
        <w:t>Женщины, работающие не по найму</w:t>
      </w:r>
    </w:p>
    <w:p w:rsidR="00B44C11" w:rsidRDefault="00B44C11">
      <w:pPr>
        <w:tabs>
          <w:tab w:val="clear" w:pos="1588"/>
          <w:tab w:val="left" w:pos="567"/>
          <w:tab w:val="left" w:pos="907"/>
          <w:tab w:val="left" w:pos="1247"/>
        </w:tabs>
      </w:pPr>
      <w:r>
        <w:t>253.</w:t>
      </w:r>
      <w:r>
        <w:tab/>
        <w:t>Число женщин, ведущих предпринимательскую деятельность в Новой Зеландии увеличивается. В 2001 году приблизительно 14 процентов всех трудовых ресурсов из числа женщин, работающих полный рабочий день, идентифицировали себя как работающих не по найму, по сравнению с 25 процентами работающих мужчин</w:t>
      </w:r>
      <w:r>
        <w:rPr>
          <w:rStyle w:val="FootnoteReference"/>
        </w:rPr>
        <w:footnoteReference w:id="68"/>
      </w:r>
      <w:r>
        <w:t>. Однако число женщин, работающих не по найму, увеличивается в два раза быстрее по сравнению с мужчинами: эта тенденция наблюдается также и во многих других подобных странах</w:t>
      </w:r>
      <w:r>
        <w:rPr>
          <w:rStyle w:val="FootnoteReference"/>
        </w:rPr>
        <w:footnoteReference w:id="69"/>
      </w:r>
      <w:r>
        <w:t xml:space="preserve">. </w:t>
      </w:r>
    </w:p>
    <w:p w:rsidR="00B44C11" w:rsidRDefault="00B44C11">
      <w:pPr>
        <w:tabs>
          <w:tab w:val="clear" w:pos="1588"/>
          <w:tab w:val="left" w:pos="567"/>
          <w:tab w:val="left" w:pos="907"/>
          <w:tab w:val="left" w:pos="1247"/>
        </w:tabs>
      </w:pPr>
      <w:r>
        <w:t>254.</w:t>
      </w:r>
      <w:r>
        <w:tab/>
        <w:t>Помимо этого, отмечается значительный рост числа женщин-маори в бизнесе. С 1991 года число женщин-маори, работающих не по найму, увеличилось на 106 процентов, тогда как число мужчин-маори, работающих не по найму, увеличилось только на 54 процента</w:t>
      </w:r>
      <w:r>
        <w:rPr>
          <w:rStyle w:val="FootnoteReference"/>
        </w:rPr>
        <w:footnoteReference w:id="70"/>
      </w:r>
      <w:r>
        <w:t>. Однако в целом европейские и азиатские женщины имеют большую вероятность работать не по найму по сравнению с женщинами-маори или женщинами тихоокеанских народностей.</w:t>
      </w:r>
    </w:p>
    <w:p w:rsidR="00B44C11" w:rsidRDefault="00B44C11">
      <w:pPr>
        <w:tabs>
          <w:tab w:val="clear" w:pos="1588"/>
          <w:tab w:val="left" w:pos="567"/>
          <w:tab w:val="left" w:pos="907"/>
          <w:tab w:val="left" w:pos="1247"/>
        </w:tabs>
      </w:pPr>
      <w:r>
        <w:t>255.</w:t>
      </w:r>
      <w:r>
        <w:tab/>
        <w:t>Существует ряд услуг для оказания поддержки женщинам, которые владеют малым бизнесом или работают в нем. Например, "Торговля и предпринимательство Новой Зеландии" предоставляет услуги по наставничеству, обучению и консультации специалистов для ведения бизнеса. Некоторые из этих услуг предназначены специально для женщин, включая проект "Женщины в технической сфере", в соответствии с которым обеспечивается поддержка, наставничество и помощь женщинам, работающим в сфере информационных технологий и связи, или ищущих работу в этой сфере; проводится неделя под лозунгом "Женщины страны в бизнесе", нацеленная на развитие связей, навыков ведения бизнеса и расширение знаний.</w:t>
      </w:r>
    </w:p>
    <w:p w:rsidR="00B44C11" w:rsidRDefault="00B44C11">
      <w:pPr>
        <w:tabs>
          <w:tab w:val="clear" w:pos="1588"/>
          <w:tab w:val="left" w:pos="567"/>
          <w:tab w:val="left" w:pos="907"/>
          <w:tab w:val="left" w:pos="1247"/>
        </w:tabs>
      </w:pPr>
      <w:r>
        <w:t>256.</w:t>
      </w:r>
      <w:r>
        <w:tab/>
        <w:t>Существуют также программы, ориентированные на конкретные группы женщин. Например, Фонд развития женщин-маори предоставляет займы женщинам-маори в целях основания бизнеса, расширения существующего бизнеса, обеспечивает консультирование по финансовым вопросам и предоставляет наставнические услуги. Фонд бизнеса тихоокеанских островов предназначен для увеличения объема собственности бизнеса и участия народов тихоокеанских островов в экономике Новой Зеландии, а также оказывает поддержку бизнесу и предоставляет консультации малому предпринимательству.</w:t>
      </w:r>
    </w:p>
    <w:p w:rsidR="00B44C11" w:rsidRDefault="00B44C11">
      <w:pPr>
        <w:pStyle w:val="H1"/>
      </w:pPr>
      <w:bookmarkStart w:id="65" w:name="_Toc145842182"/>
      <w:r>
        <w:t>Статья 12</w:t>
      </w:r>
      <w:bookmarkEnd w:id="65"/>
      <w:r>
        <w:t xml:space="preserve"> </w:t>
      </w:r>
    </w:p>
    <w:p w:rsidR="00B44C11" w:rsidRDefault="00B44C11">
      <w:pPr>
        <w:pStyle w:val="H1"/>
      </w:pPr>
      <w:bookmarkStart w:id="66" w:name="_Toc145842183"/>
      <w:r>
        <w:t>Здравоохранение</w:t>
      </w:r>
      <w:bookmarkEnd w:id="66"/>
    </w:p>
    <w:p w:rsidR="00B44C11" w:rsidRDefault="00B44C11">
      <w:pPr>
        <w:pStyle w:val="Heading3"/>
      </w:pPr>
      <w:r>
        <w:t>Введение</w:t>
      </w:r>
    </w:p>
    <w:p w:rsidR="00B44C11" w:rsidRDefault="00B44C11">
      <w:pPr>
        <w:tabs>
          <w:tab w:val="clear" w:pos="1588"/>
          <w:tab w:val="left" w:pos="567"/>
          <w:tab w:val="left" w:pos="907"/>
          <w:tab w:val="left" w:pos="1247"/>
        </w:tabs>
      </w:pPr>
      <w:r>
        <w:t>257.</w:t>
      </w:r>
      <w:r>
        <w:tab/>
        <w:t xml:space="preserve">Грандиозные цели правительства в сфере здравоохранения и помощи инвалидам направлены на улучшение здоровья всего населения Новой Зеландии и снижение уровня неравенства в системе здравоохранения, то есть не просто на увеличение продолжительности жизни, а увеличение продолжительности жизни без болезни или инвалидности. Правительство разработало ряд общих стратегий, направленных на укрепление здоровья населения Новой Зеландии. Многие их этих стратегий, в частности, касаются женщин, такие как в области сексуального и репродуктивного здоровья, а также психического здоровья. Правительство также продолжает предоставлять ряд услуг в сфере здравоохранения, конкретно касающихся женщин, а именно, бесплатное рентгенологическое обследование на предмет выявления рака молочной железы и шейки матки, </w:t>
      </w:r>
      <w:r>
        <w:br/>
        <w:t>а также бесплатный уход за роженицами.</w:t>
      </w:r>
    </w:p>
    <w:p w:rsidR="00B44C11" w:rsidRDefault="00B44C11">
      <w:pPr>
        <w:tabs>
          <w:tab w:val="clear" w:pos="1588"/>
          <w:tab w:val="left" w:pos="567"/>
          <w:tab w:val="left" w:pos="907"/>
          <w:tab w:val="left" w:pos="1247"/>
        </w:tabs>
      </w:pPr>
      <w:r>
        <w:t>258.</w:t>
      </w:r>
      <w:r>
        <w:tab/>
        <w:t>Правительство привержено улучшению здоровья женщин и будет продолжать проводить мониторинг и совершенствовать услуги в сфере здравоохранения и стратегии для достижения этой цели.</w:t>
      </w:r>
    </w:p>
    <w:p w:rsidR="00B44C11" w:rsidRDefault="00B44C11">
      <w:pPr>
        <w:tabs>
          <w:tab w:val="clear" w:pos="1588"/>
          <w:tab w:val="left" w:pos="567"/>
          <w:tab w:val="left" w:pos="907"/>
          <w:tab w:val="left" w:pos="1247"/>
        </w:tabs>
      </w:pPr>
      <w:r>
        <w:t>259.</w:t>
      </w:r>
      <w:r>
        <w:tab/>
        <w:t>Продолжительность жизни у женщин по-прежнему выше по сравнению с мужчинами, однако существуют различия в ожидаемой продолжительности жизни у различных этнических групп. Существуют также гендерные и этнические различия в факторах болезни и образа жизни, которые воздействуют на заболеваемость и смертность. Такие заболевания, как рак и диабет, продолжают оказывать воздействие на жизнь женщин. Женщины-маори имеют более высокий уровень заболеваемости и смертности от некоторых форм рака, чем женщины других этнических групп. Женщины также имеют более сильную склонность к депрессии, чем мужчины.</w:t>
      </w:r>
    </w:p>
    <w:p w:rsidR="00B44C11" w:rsidRDefault="00B44C11">
      <w:pPr>
        <w:pStyle w:val="Heading3"/>
      </w:pPr>
      <w:r>
        <w:t>Система здравоохранения Новой Зеландии</w:t>
      </w:r>
    </w:p>
    <w:p w:rsidR="00B44C11" w:rsidRDefault="00B44C11">
      <w:pPr>
        <w:tabs>
          <w:tab w:val="clear" w:pos="1588"/>
          <w:tab w:val="left" w:pos="567"/>
          <w:tab w:val="left" w:pos="907"/>
          <w:tab w:val="left" w:pos="1247"/>
        </w:tabs>
      </w:pPr>
      <w:r>
        <w:t>260.</w:t>
      </w:r>
      <w:r>
        <w:tab/>
        <w:t xml:space="preserve">Необходимо сделать ссылку на предыдущий доклад (см. статью 12), в котором описывались характерные особенности системы здравоохранения Новой Зеландии, включая государственное финансирование большинства услуг сферы здравоохранения и развитие окружных медико-санитарных комиссий (ОМСК), ответственных за оказание медико-санитарных услуг населению </w:t>
      </w:r>
      <w:r>
        <w:br/>
        <w:t xml:space="preserve">в четко определенных географических районах (см. статью 7 настоящего доклада, где представлены статистические данные об участии женщин в ОМСК). Необходимо также сделать ссылку на статью 12 и статью 3 предыдущего доклада, где описывались </w:t>
      </w:r>
      <w:r>
        <w:rPr>
          <w:i/>
        </w:rPr>
        <w:t>Новозеландская стратегия в области здравоохранения, Стратегия в области первичной медико-санитарной помощи</w:t>
      </w:r>
      <w:r>
        <w:t xml:space="preserve"> и </w:t>
      </w:r>
      <w:r>
        <w:rPr>
          <w:i/>
        </w:rPr>
        <w:t>Стратегия Новой Зеландии по улучшению положения инвалидов,</w:t>
      </w:r>
      <w:r>
        <w:t xml:space="preserve"> которые образуют общее стратегическое направление в секторе здравоохранения и инвалидности в Новой Зеландии. </w:t>
      </w:r>
    </w:p>
    <w:p w:rsidR="00B44C11" w:rsidRDefault="00B44C11">
      <w:pPr>
        <w:tabs>
          <w:tab w:val="clear" w:pos="1588"/>
          <w:tab w:val="left" w:pos="567"/>
          <w:tab w:val="left" w:pos="907"/>
          <w:tab w:val="left" w:pos="1247"/>
        </w:tabs>
      </w:pPr>
      <w:r>
        <w:t>261.</w:t>
      </w:r>
      <w:r>
        <w:tab/>
        <w:t xml:space="preserve">Со времени представления предыдущего доклада в соответствии со </w:t>
      </w:r>
      <w:r>
        <w:rPr>
          <w:i/>
        </w:rPr>
        <w:t>Стратегией в области первичной медико-санитарной помощи</w:t>
      </w:r>
      <w:r>
        <w:t xml:space="preserve"> было создано 77 первичных учреждений здравоохранения (ПУЗ) для оказания первичной медико-санитарной помощи обслуживаемому ими населению. Правительство также обеспечило финансирование первичных учреждений здравоохранения для оказания первичной медико-санитарной помощи, что привело к снижению затрат на медицинские услуги для определенных целевых групп, обслуживаемых первичными учреждениями здравоохранения. Первоначально целевые группы включали население в возрасте до 18 лет и старше 65 лет, обслуживаемое ПУЗ. Затем с 1 июля 2005 года финансированием было охвачено население в возрасте 18–24 лет, обслуживаемое ПУЗ. В июле 2006 года дополнительные средства будут выделяться населению в возрасте 45–64 лет, обслуживаемому ПУЗ, а с июля 2007 года будет предоставляться финансовая помощь всему остальному населению Новой Зеландии, обслуживаемому ПУЗ. Ввод в действие этой системы был ускорен для ПУЗ, ориентированных на обеспечение доступа к медицинскому обслуживанию (тех ПУЗ, в которых по меньшей мере половина обслуживаемого ими населения составляют группы с исторически сложившимся низким уровнем доступа к медицинскому обслуживанию и с высоким уровнем потребности в получении медицинских услуг). Женщины пользуются теми же правами, что и мужчины в получении доступа к менее затратным медицинским услугам путем зачисления в ПУЗ.</w:t>
      </w:r>
    </w:p>
    <w:p w:rsidR="00B44C11" w:rsidRDefault="00B44C11">
      <w:pPr>
        <w:tabs>
          <w:tab w:val="clear" w:pos="1588"/>
          <w:tab w:val="left" w:pos="567"/>
          <w:tab w:val="left" w:pos="907"/>
          <w:tab w:val="left" w:pos="1247"/>
        </w:tabs>
      </w:pPr>
      <w:r>
        <w:t>262.</w:t>
      </w:r>
      <w:r>
        <w:tab/>
        <w:t>Новозеландская корпорация по компенсации в связи с несчастными случаями (НЗККНС) также продолжает обеспечивать реабилитацию и компенсацию всем жителям Новой Зеландии за определенные травмы.</w:t>
      </w:r>
    </w:p>
    <w:p w:rsidR="00B44C11" w:rsidRDefault="00B44C11">
      <w:pPr>
        <w:pStyle w:val="Heading3"/>
      </w:pPr>
      <w:r>
        <w:t>Стратегии, относящиеся к конкретным вопросам здравоохранения или группам населения</w:t>
      </w:r>
    </w:p>
    <w:p w:rsidR="00B44C11" w:rsidRDefault="00B44C11">
      <w:pPr>
        <w:tabs>
          <w:tab w:val="clear" w:pos="1588"/>
          <w:tab w:val="left" w:pos="567"/>
          <w:tab w:val="left" w:pos="907"/>
          <w:tab w:val="left" w:pos="1247"/>
        </w:tabs>
      </w:pPr>
      <w:r>
        <w:t>263.</w:t>
      </w:r>
      <w:r>
        <w:tab/>
        <w:t xml:space="preserve">Как указывалось в предыдущем докладе, </w:t>
      </w:r>
      <w:r>
        <w:rPr>
          <w:i/>
        </w:rPr>
        <w:t>Новозеландская стратегия в области здравоохранения, Стратегия в области первичной медико-санитарной помощи</w:t>
      </w:r>
      <w:r>
        <w:t xml:space="preserve"> и </w:t>
      </w:r>
      <w:r>
        <w:rPr>
          <w:i/>
        </w:rPr>
        <w:t>Стратегия Новой Зеландии по улучшению положения инвалидов</w:t>
      </w:r>
      <w:r>
        <w:t xml:space="preserve"> подкрепляются рядом специальных стратегий, направленных на разрешение конкретных вопросов здравоохранения или удовлетворение потребностей конкретных групп населения. Эти стратегии включают </w:t>
      </w:r>
      <w:r>
        <w:rPr>
          <w:i/>
        </w:rPr>
        <w:t>Стратегию в области укрепления здоровья маори, План действий в области укрепления здоровья тихоокеанских народностей и улучшения положения инвалидов, Стратегию в области улучшения состояния здоровья пожилых людей, Стратегию в области сексуального и репродуктивного здоровья</w:t>
      </w:r>
      <w:r>
        <w:t xml:space="preserve"> и </w:t>
      </w:r>
      <w:r>
        <w:rPr>
          <w:i/>
        </w:rPr>
        <w:t>Стратегию в области психического здоровья</w:t>
      </w:r>
      <w:r>
        <w:t>, которые являются особенно актуальными для состояния здоровья женщин.</w:t>
      </w:r>
    </w:p>
    <w:p w:rsidR="00B44C11" w:rsidRDefault="00B44C11">
      <w:pPr>
        <w:pStyle w:val="Heading4"/>
      </w:pPr>
      <w:r>
        <w:t>Стратегия в области укрепления здоровья маори</w:t>
      </w:r>
    </w:p>
    <w:p w:rsidR="00B44C11" w:rsidRDefault="00B44C11">
      <w:pPr>
        <w:tabs>
          <w:tab w:val="clear" w:pos="1588"/>
          <w:tab w:val="left" w:pos="567"/>
          <w:tab w:val="left" w:pos="907"/>
          <w:tab w:val="left" w:pos="1247"/>
        </w:tabs>
      </w:pPr>
      <w:r>
        <w:t>264.</w:t>
      </w:r>
      <w:r>
        <w:tab/>
        <w:t xml:space="preserve">Сохраняются различия в состоянии здоровья мужчин и женщин маори по сравнению с европейскими мужчинами и женщинами. </w:t>
      </w:r>
      <w:r>
        <w:rPr>
          <w:i/>
        </w:rPr>
        <w:t>Хе коровай оранга – Стратегия в области укрепления здоровья маори</w:t>
      </w:r>
      <w:r>
        <w:t xml:space="preserve"> намечает направление укрепления здоровья маори на десятилетний период и дает рекомендации на стратегическом уровне относительно путей улучшения состояния здоровья маори и решения проблем неравенства в сфере здравоохранения. Основная цель </w:t>
      </w:r>
      <w:r>
        <w:rPr>
          <w:i/>
        </w:rPr>
        <w:t xml:space="preserve">Хе коровай оранга </w:t>
      </w:r>
      <w:r>
        <w:t>заключается в "ванау ора": поддержка семей маори для достижения ими максимально высокого уровня состояния здоровья и благосостояния.</w:t>
      </w:r>
    </w:p>
    <w:p w:rsidR="00B44C11" w:rsidRDefault="00B44C11">
      <w:pPr>
        <w:tabs>
          <w:tab w:val="clear" w:pos="1588"/>
          <w:tab w:val="left" w:pos="567"/>
          <w:tab w:val="left" w:pos="907"/>
          <w:tab w:val="left" w:pos="1247"/>
        </w:tabs>
      </w:pPr>
      <w:r>
        <w:t>265.</w:t>
      </w:r>
      <w:r>
        <w:tab/>
      </w:r>
      <w:r>
        <w:rPr>
          <w:i/>
        </w:rPr>
        <w:t>Вакататака: В Плане действий в области укрепления здоровья маори на период 2002–2005 годов</w:t>
      </w:r>
      <w:r>
        <w:t xml:space="preserve">, принятом в ноябре 2002 года, намечаются в общих чертах методы реализации правительством </w:t>
      </w:r>
      <w:r>
        <w:rPr>
          <w:i/>
        </w:rPr>
        <w:t>Хе коровай оранга. Вакататака</w:t>
      </w:r>
      <w:r>
        <w:t xml:space="preserve"> содержит три ключевых направления:</w:t>
      </w:r>
    </w:p>
    <w:p w:rsidR="00B44C11" w:rsidRDefault="00B44C11">
      <w:pPr>
        <w:pStyle w:val="10-18"/>
      </w:pPr>
      <w:r>
        <w:sym w:font="Symbol" w:char="F0B7"/>
      </w:r>
      <w:r>
        <w:tab/>
        <w:t>признание устремлений маори к рангатиратанга (контролю) над своими жизнями;</w:t>
      </w:r>
    </w:p>
    <w:p w:rsidR="00B44C11" w:rsidRDefault="00B44C11">
      <w:pPr>
        <w:pStyle w:val="10-18"/>
      </w:pPr>
      <w:r>
        <w:sym w:font="Symbol" w:char="F0B7"/>
      </w:r>
      <w:r>
        <w:tab/>
        <w:t>поддержание и укрепление достижений в улучшении состояния здоровья маори;</w:t>
      </w:r>
    </w:p>
    <w:p w:rsidR="00B44C11" w:rsidRDefault="00B44C11">
      <w:pPr>
        <w:pStyle w:val="10-18"/>
      </w:pPr>
      <w:r>
        <w:sym w:font="Symbol" w:char="F0B7"/>
      </w:r>
      <w:r>
        <w:tab/>
        <w:t>сокращение существующего в настоящее время неравенства в состоянии здоровья и благосостоянии маори и других групп населения.</w:t>
      </w:r>
    </w:p>
    <w:p w:rsidR="00B44C11" w:rsidRDefault="00B44C11">
      <w:pPr>
        <w:tabs>
          <w:tab w:val="clear" w:pos="1588"/>
          <w:tab w:val="left" w:pos="567"/>
          <w:tab w:val="left" w:pos="907"/>
          <w:tab w:val="left" w:pos="1247"/>
        </w:tabs>
      </w:pPr>
      <w:r>
        <w:t>266.</w:t>
      </w:r>
      <w:r>
        <w:tab/>
        <w:t xml:space="preserve">Многие из целей </w:t>
      </w:r>
      <w:r>
        <w:rPr>
          <w:i/>
        </w:rPr>
        <w:t>Вакататака</w:t>
      </w:r>
      <w:r>
        <w:t xml:space="preserve"> включены в программы работы </w:t>
      </w:r>
      <w:r>
        <w:rPr>
          <w:caps/>
        </w:rPr>
        <w:t>м</w:t>
      </w:r>
      <w:r>
        <w:t>инистерства здравоохранения, а также в ежегодные и стратегические планы окружных медико-санитарных комиссий (ОМСК).</w:t>
      </w:r>
    </w:p>
    <w:p w:rsidR="00B44C11" w:rsidRDefault="00B44C11">
      <w:pPr>
        <w:tabs>
          <w:tab w:val="clear" w:pos="1588"/>
          <w:tab w:val="left" w:pos="567"/>
          <w:tab w:val="left" w:pos="907"/>
          <w:tab w:val="left" w:pos="1247"/>
        </w:tabs>
      </w:pPr>
      <w:r>
        <w:t>267.</w:t>
      </w:r>
      <w:r>
        <w:tab/>
        <w:t>Разрабатывается Вакататака Туаруа на 2006–2011 годы, следующий План действий в области укрепления здоровья маори. В предлагаемом плане сохраняются четыре направления и уже выполненные рабочие программы и работа строится на основе этих достижений путем сосредоточения внимания на четырех приоритетных сферах этих направлений: создание данных качества и проведение мониторинга состояния здоровья маори, разработка моделей ванау ора, расширение участия маори на всех уровнях здравоохранения и в секторе улучшения положения инвалидов, а также развитие первичной медико-санитарной помощи.</w:t>
      </w:r>
    </w:p>
    <w:p w:rsidR="00B44C11" w:rsidRDefault="00B44C11">
      <w:pPr>
        <w:pStyle w:val="Heading4"/>
      </w:pPr>
      <w:r>
        <w:t>Стратегия в области укрепления здоровья тихоокеанских народностей</w:t>
      </w:r>
    </w:p>
    <w:p w:rsidR="00B44C11" w:rsidRDefault="00B44C11">
      <w:pPr>
        <w:tabs>
          <w:tab w:val="clear" w:pos="1588"/>
          <w:tab w:val="left" w:pos="567"/>
          <w:tab w:val="left" w:pos="907"/>
          <w:tab w:val="left" w:pos="1247"/>
        </w:tabs>
      </w:pPr>
      <w:r>
        <w:t>268.</w:t>
      </w:r>
      <w:r>
        <w:tab/>
        <w:t xml:space="preserve">Тихоокеанские народности Новой Зеландии также имеют определенные проблемы с состоянием здоровья. Для решения этих проблем в феврале 2002 года был принят </w:t>
      </w:r>
      <w:r>
        <w:rPr>
          <w:i/>
        </w:rPr>
        <w:t>План действий в области укрепления здоровья тихоокеанских народностей и улучшения положения инвалидов.</w:t>
      </w:r>
      <w:r>
        <w:t xml:space="preserve"> План имеет шесть приоритетных направлений: укрепление здоровья детей и молодежи тихоокеанских народностей, содействие здоровому образу жизни и благополучию тихоокеанских народностей, развитие первичной медико-санитарной помощи и профилактических услуг для тихоокеанских народностей, развитие служб поставщиков медицинских услуг для тихоокеанских народностей и развитие рабочей силы при поддержке участия инвалидов тихоокеанских народностей в трудовой деятельности, а также предоставление информации и проведение исследований в области состояния здоровья и инвалидности тихоокеанских народностей.</w:t>
      </w:r>
    </w:p>
    <w:p w:rsidR="00B44C11" w:rsidRDefault="00B44C11">
      <w:pPr>
        <w:pStyle w:val="Heading4"/>
      </w:pPr>
      <w:r>
        <w:t>Беженцы и мигранты</w:t>
      </w:r>
    </w:p>
    <w:p w:rsidR="00B44C11" w:rsidRDefault="00B44C11">
      <w:pPr>
        <w:tabs>
          <w:tab w:val="clear" w:pos="1588"/>
          <w:tab w:val="left" w:pos="567"/>
          <w:tab w:val="left" w:pos="907"/>
          <w:tab w:val="left" w:pos="1247"/>
        </w:tabs>
      </w:pPr>
      <w:r>
        <w:t>269.</w:t>
      </w:r>
      <w:r>
        <w:tab/>
        <w:t xml:space="preserve">Мигранты, прибывающие в Новую Зеландию, должны иметь вид на жительство или визу с разрешением на работу, которые позволяют проживать в стране в течение двух и более лет и получать право на финансируемые государством услуги здравоохранения и услуги, связанные с инвалидностью, на том же основании, что и граждане страны. В соответствии с Директивой о предоставлении прав 1997 года подтверждается право беженцев на получение этих услуг наряду с гражданами страны. Основные проблемы с состоянием здоровья беженцев как группы связаны с туберкулезом, гепатитом В и с болезнями, передающимися половым путем. Многие беженцы, особенно женщины, также страдают от депрессии и посттравматического стресса. Медицинское обследование беженцев, прибывающих в соответствии с квотой, включает оказание им первой медицинской помощи и направление к врачам-специалистам. Предоставляются специфические для беженцев консультации по психическому здоровью для переживших пытки и травмы </w:t>
      </w:r>
      <w:r>
        <w:br/>
        <w:t>и осуществляется финансирование некоторых программ медико-санитарного просвещения в общинах беженцев (например, по таким болезням, как туберкулез, ВИЧ/СПИД). Основной проблемой для психического здоровья семей беженцев является разлука с членами семьи.</w:t>
      </w:r>
    </w:p>
    <w:p w:rsidR="00B44C11" w:rsidRDefault="00B44C11">
      <w:pPr>
        <w:tabs>
          <w:tab w:val="clear" w:pos="1588"/>
          <w:tab w:val="left" w:pos="567"/>
          <w:tab w:val="left" w:pos="907"/>
          <w:tab w:val="left" w:pos="1247"/>
        </w:tabs>
      </w:pPr>
      <w:r>
        <w:t>270.</w:t>
      </w:r>
      <w:r>
        <w:tab/>
        <w:t>Как указано в статье 12 предыдущего доклада, руководство для работников здравоохранения под названием "</w:t>
      </w:r>
      <w:r>
        <w:rPr>
          <w:i/>
        </w:rPr>
        <w:t>Охрана здоровья беженцев</w:t>
      </w:r>
      <w:r>
        <w:t xml:space="preserve">" появилось в конце 2001 года для улучшения реагирования на потребности беженцев. В дополнение к этому </w:t>
      </w:r>
      <w:r>
        <w:rPr>
          <w:caps/>
        </w:rPr>
        <w:t>м</w:t>
      </w:r>
      <w:r>
        <w:t xml:space="preserve">инистерство здравоохранения </w:t>
      </w:r>
      <w:r>
        <w:br/>
        <w:t xml:space="preserve">в настоящее время разрабатывает стратегические принципы мероприятий и реагирования на этнические потребности в медицинском обслуживании, которые будут служить средством для оказания помощи </w:t>
      </w:r>
      <w:r>
        <w:rPr>
          <w:caps/>
        </w:rPr>
        <w:t>м</w:t>
      </w:r>
      <w:r>
        <w:t xml:space="preserve">инистерству по делам женщин в руководстве разработкой всеобъемлющей политики, финансировании, предоставлении услуг и установлении потребностей в рабочей силе, </w:t>
      </w:r>
      <w:r>
        <w:br/>
        <w:t>в проведении мониторинга и оценки инициатив в интересах этнических групп населения (определенных в данном контексте как не относящихся к маори, тихоокеанским и европейским народностям) в сфере здравоохранения в Новой Зеландии.</w:t>
      </w:r>
    </w:p>
    <w:p w:rsidR="00B44C11" w:rsidRDefault="00B44C11">
      <w:pPr>
        <w:pStyle w:val="Heading4"/>
      </w:pPr>
      <w:r>
        <w:t>Инвалиды</w:t>
      </w:r>
    </w:p>
    <w:p w:rsidR="00B44C11" w:rsidRDefault="00B44C11">
      <w:pPr>
        <w:tabs>
          <w:tab w:val="clear" w:pos="1588"/>
          <w:tab w:val="left" w:pos="567"/>
          <w:tab w:val="left" w:pos="907"/>
          <w:tab w:val="left" w:pos="1247"/>
        </w:tabs>
      </w:pPr>
      <w:r>
        <w:t>271.</w:t>
      </w:r>
      <w:r>
        <w:tab/>
        <w:t xml:space="preserve">Последовательное осуществление </w:t>
      </w:r>
      <w:r>
        <w:rPr>
          <w:i/>
        </w:rPr>
        <w:t>Стратегии Новой Зеландии в области инвалидности</w:t>
      </w:r>
      <w:r>
        <w:t xml:space="preserve"> привело к расширению оказания медицинских услуг престарелым (многие из которых с инвалидностями) и инвалидам вообще.</w:t>
      </w:r>
    </w:p>
    <w:p w:rsidR="00B44C11" w:rsidRDefault="00B44C11">
      <w:pPr>
        <w:tabs>
          <w:tab w:val="clear" w:pos="1588"/>
          <w:tab w:val="left" w:pos="567"/>
          <w:tab w:val="left" w:pos="907"/>
          <w:tab w:val="left" w:pos="1247"/>
        </w:tabs>
      </w:pPr>
      <w:r>
        <w:t>272.</w:t>
      </w:r>
      <w:r>
        <w:tab/>
        <w:t xml:space="preserve">Последовательная реализация </w:t>
      </w:r>
      <w:r>
        <w:rPr>
          <w:i/>
        </w:rPr>
        <w:t>Стратегии Новой Зеландии в области инвалидности</w:t>
      </w:r>
      <w:r>
        <w:t xml:space="preserve"> привела к увеличению финансирования услуг по оказанию помощи инвалидам, как правило, в возрасте </w:t>
      </w:r>
      <w:r>
        <w:br/>
        <w:t xml:space="preserve">до 65 лет с физическими, сенсорными или умственными недостатками или с сочетанием этих видов недостатков. В бюджете 2005 года было дополнительно выделено 71,2 млн. новозеландских долл. </w:t>
      </w:r>
      <w:r>
        <w:rPr>
          <w:caps/>
        </w:rPr>
        <w:t>м</w:t>
      </w:r>
      <w:r>
        <w:t>инистерству здравоохранения на оказание помощи инвалидам из числа более молодых людей. Так же, как и финансирование с учетом демографического роста, сюда включено дополнительное финансирование на оказание помощи на дому (6,2 млн. новозеландских долл.), на учреждения для инвалидов (8,4 млн. новозеландских долл.), финансирование для развития услуг по оценке потребностей и координации обслуживания (6,6 млн. новозеландских долл. – необходимо прежде всего провести оценку потребностей всех людей, которым оказывается помощь по инвалидности, и провести планирование и координацию услуг) и для проекта Центра Кимберли (Центр Кимберли является последним учреждением в Новой Зеландии для людей с умственными недостатками, который должен быть закрыт, а все пациенты переведены на проживание в общины).</w:t>
      </w:r>
    </w:p>
    <w:p w:rsidR="00B44C11" w:rsidRDefault="00B44C11">
      <w:pPr>
        <w:pStyle w:val="Heading4"/>
      </w:pPr>
      <w:r>
        <w:t>Пожилые люди</w:t>
      </w:r>
    </w:p>
    <w:p w:rsidR="00B44C11" w:rsidRDefault="00B44C11">
      <w:pPr>
        <w:tabs>
          <w:tab w:val="clear" w:pos="1588"/>
          <w:tab w:val="left" w:pos="567"/>
          <w:tab w:val="left" w:pos="907"/>
          <w:tab w:val="left" w:pos="1247"/>
        </w:tabs>
      </w:pPr>
      <w:r>
        <w:t>273.</w:t>
      </w:r>
      <w:r>
        <w:tab/>
        <w:t xml:space="preserve">Была также дополнительно выделена сумма в 71 млн. новозеландских долл. для окружных медико-санитарных комиссий, прежде всего для оказания помощи пожилым людям в учреждениях для престарелых и на дому. Помимо этого, значительное увеличение порога при оценке финансового положения для помещения пожилых людей в учреждения для престарелых с государственным финансированием и оценочные затраты государства в сумме 93 млн. новозеландских долл. в 2005/06 финансовом году позволят увеличить число пожилых людей, которые будут иметь возможность получить финансовую поддержку государства в оказании им помощи в оплате за уход (для получения более подробной информации см. ниже </w:t>
      </w:r>
      <w:r>
        <w:rPr>
          <w:i/>
        </w:rPr>
        <w:t xml:space="preserve">Стратегия </w:t>
      </w:r>
      <w:r>
        <w:rPr>
          <w:i/>
        </w:rPr>
        <w:br/>
        <w:t>в области улучшения состояния здоровья пожилых людей</w:t>
      </w:r>
      <w:r>
        <w:t xml:space="preserve">). </w:t>
      </w:r>
    </w:p>
    <w:p w:rsidR="00B44C11" w:rsidRDefault="00B44C11">
      <w:pPr>
        <w:tabs>
          <w:tab w:val="clear" w:pos="1588"/>
          <w:tab w:val="left" w:pos="567"/>
          <w:tab w:val="left" w:pos="907"/>
          <w:tab w:val="left" w:pos="1247"/>
        </w:tabs>
      </w:pPr>
      <w:r>
        <w:rPr>
          <w:i/>
        </w:rPr>
        <w:t xml:space="preserve">Стратегия в области улучшения состояния здоровья пожилых людей: меры, которые будут приняты в секторе здравоохранения к 2010 году в целях поддержки позитивного старения </w:t>
      </w:r>
      <w:r>
        <w:t>по прежнему служит основой для подхода сектора здравоохранения к вопросам здоровья пожилых людей. В число проектов, предпринятых для достижения целей стратегии после начала ее реализации в 2002 году, входят следующие:</w:t>
      </w:r>
    </w:p>
    <w:p w:rsidR="00B44C11" w:rsidRDefault="00B44C11">
      <w:pPr>
        <w:pStyle w:val="10-18"/>
      </w:pPr>
      <w:r>
        <w:sym w:font="Symbol" w:char="F0B7"/>
      </w:r>
      <w:r>
        <w:tab/>
        <w:t xml:space="preserve">Достижение прогресса на пути к аннулированию оценки финансового положения престарелых при долгосрочном уходе за ними путем принятия Закона о внесении поправок (долгосрочное пребывание в учреждении для престарелых) в области социального обеспечения 2004 года, который вступил в силу 1 июля 2005 года. В соответствии с этими изменениями будут постепенно отменены дискриминационные положения об оценке финансового положения, благодаря чему пожилые люди, которым требуется долгосрочный уход в учреждениях для престарелых, получат возможность сохранить в значительной мере бóльшую часть своих доходов, в то же время имея право на получение финансовой помощи государства на оплату затрат за такой уход. </w:t>
      </w:r>
    </w:p>
    <w:p w:rsidR="00B44C11" w:rsidRDefault="00B44C11">
      <w:pPr>
        <w:pStyle w:val="10-18"/>
      </w:pPr>
      <w:r>
        <w:sym w:font="Symbol" w:char="F0B7"/>
      </w:r>
      <w:r>
        <w:tab/>
        <w:t>Разработка руководящих принципов для всеобъемлющей комплексной оценки потребностей пожилых людей (ключевая задача в сфере здравоохранения Новозеландской стратегии улучшения положения престарелых). В задачу данного проекта входит разработка фактически обоснованных руководящих принципов в отношении наиболее эффективных методах оценки состояния здоровья и благосостояния людей старше 65 лет при различных условиях: обслуживание на дому, уход с помощью общины и уход в учреждениях для престарелых, а также в реабилитационных учреждениях на базе больниц. Эти руководящие принципы помогут окружным медико-санитарным комиссиям провести более достоверную оценку финансирования и предоставления финансируемых государством услуг пожилым людям.</w:t>
      </w:r>
    </w:p>
    <w:p w:rsidR="00B44C11" w:rsidRDefault="00B44C11">
      <w:pPr>
        <w:pStyle w:val="Heading4"/>
      </w:pPr>
      <w:r>
        <w:t>Стратегия в области сексуального и репродуктивного здоровья</w:t>
      </w:r>
    </w:p>
    <w:p w:rsidR="00B44C11" w:rsidRDefault="00B44C11">
      <w:pPr>
        <w:tabs>
          <w:tab w:val="clear" w:pos="1588"/>
          <w:tab w:val="left" w:pos="567"/>
          <w:tab w:val="left" w:pos="907"/>
          <w:tab w:val="left" w:pos="1247"/>
        </w:tabs>
      </w:pPr>
      <w:r>
        <w:t>274.</w:t>
      </w:r>
      <w:r>
        <w:tab/>
        <w:t xml:space="preserve">В </w:t>
      </w:r>
      <w:r>
        <w:rPr>
          <w:i/>
        </w:rPr>
        <w:t>Стратегии в области сексуального и репродуктивного здоровья</w:t>
      </w:r>
      <w:r>
        <w:t xml:space="preserve"> поставлена общая задача – достижение позитивных и высоких результатов в области сексуального здоровья в Новой Зеландии (см. страницу 142 предыдущего доклада). В данном отчетном периоде основное внимание уделялось реализации второго этапа стратегии, а именно, разработке плана действий для снижения числа случаев заболеваний, передающихся половым путем, включая ВИЧ/СПИД, а также нежелательной/непредусмотренной беременности с уделением основного внимания улучшению состояния здоровья молодежи, а также маори и жителей тихоокеанских островов.</w:t>
      </w:r>
    </w:p>
    <w:p w:rsidR="00B44C11" w:rsidRDefault="00B44C11">
      <w:pPr>
        <w:tabs>
          <w:tab w:val="clear" w:pos="1588"/>
          <w:tab w:val="left" w:pos="567"/>
          <w:tab w:val="left" w:pos="907"/>
          <w:tab w:val="left" w:pos="1247"/>
        </w:tabs>
      </w:pPr>
      <w:r>
        <w:t>275.</w:t>
      </w:r>
      <w:r>
        <w:tab/>
        <w:t xml:space="preserve">Ключевым проектом являлось проведение </w:t>
      </w:r>
      <w:r>
        <w:rPr>
          <w:caps/>
        </w:rPr>
        <w:t>м</w:t>
      </w:r>
      <w:r>
        <w:t>инистерством здравоохранения кампании в 2004–2005 годах по вопросам молодежи и сексуального здоровья, которая началась в ноябре 2004 года с использованием средств массовой информации в качестве компонента кампании и закончилась в феврале 2005 года. Цель кампании заключалась в повышении информированности в отношении заболеваний, передающихся половым путем, и в стимулировании использования презервативов сексуально активной молодежью, уделяя особое внимание молодежи маори и тихоокеанских народностей.</w:t>
      </w:r>
    </w:p>
    <w:p w:rsidR="00B44C11" w:rsidRDefault="00B44C11">
      <w:pPr>
        <w:tabs>
          <w:tab w:val="clear" w:pos="1588"/>
          <w:tab w:val="left" w:pos="567"/>
          <w:tab w:val="left" w:pos="907"/>
          <w:tab w:val="left" w:pos="1247"/>
        </w:tabs>
      </w:pPr>
      <w:r>
        <w:t>276.</w:t>
      </w:r>
      <w:r>
        <w:tab/>
        <w:t xml:space="preserve">В дополнение к этому правительство опубликовало в 2003 году </w:t>
      </w:r>
      <w:r>
        <w:rPr>
          <w:i/>
        </w:rPr>
        <w:t>План действий в области ВИЧ/СПИДа</w:t>
      </w:r>
      <w:r>
        <w:t>. В плане излагается ряд действий, направленных на обеспечение правительством принятия всеобъемлющих и эффективных мер по борьбе с ВИЧ/СПИДом в Новой Зеландии. Наряду с руководящими принципами в плане содержится информация относительно эпидемиологии ВИЧ/СПИДа наиболее уязвимых групп, последствий для других групп населения новозеландского общества и относительно использования наилучших методов международной практики в борьбе с этой эпидемией.</w:t>
      </w:r>
    </w:p>
    <w:p w:rsidR="00B44C11" w:rsidRDefault="00B44C11">
      <w:pPr>
        <w:tabs>
          <w:tab w:val="clear" w:pos="1588"/>
          <w:tab w:val="left" w:pos="567"/>
          <w:tab w:val="left" w:pos="907"/>
          <w:tab w:val="left" w:pos="1247"/>
        </w:tabs>
      </w:pPr>
      <w:r>
        <w:t>277.</w:t>
      </w:r>
      <w:r>
        <w:tab/>
        <w:t xml:space="preserve">В 2003 году </w:t>
      </w:r>
      <w:r>
        <w:rPr>
          <w:caps/>
        </w:rPr>
        <w:t>м</w:t>
      </w:r>
      <w:r>
        <w:t xml:space="preserve">инистерство здравоохранения опубликовало </w:t>
      </w:r>
      <w:r>
        <w:rPr>
          <w:i/>
        </w:rPr>
        <w:t>Сборник для новозеландских организаций, оказывающих медико-санитарную помощь: Сексуальное и репродуктивное здоровье</w:t>
      </w:r>
      <w:r>
        <w:t>. Сборник содержит руководящие принципы для окружных медико-санитарных комиссий относительно того, как можно включать в их работу вопросы сексуального и репродуктивного здоровья, включая проведение медицинского обследования на предмет сексуального и репродуктивного здоровья в качестве обычной части установившейся практики медико-санитарного обслуживания. Другие финансируемые инициативы включают разработку ЗУ на компакт-диске организацией "Независимая практика медицинских сестер в Нельсоне", где предоставляется информация о заболеваниях, передающихся половым путем, и методах контрацепции, взаимоотношениях, а также проводится эффективный обмен информацией. Сюда включена информация, получаемая от молодых людей. Медицинская информация тщательно документируется, а обсуждения о взаимоотношениях между людьми основываются на собственных представлениях молодых людей.</w:t>
      </w:r>
    </w:p>
    <w:p w:rsidR="00B44C11" w:rsidRDefault="00B44C11">
      <w:pPr>
        <w:tabs>
          <w:tab w:val="clear" w:pos="1588"/>
          <w:tab w:val="left" w:pos="567"/>
          <w:tab w:val="left" w:pos="907"/>
          <w:tab w:val="left" w:pos="1247"/>
        </w:tabs>
      </w:pPr>
      <w:r>
        <w:t>278.</w:t>
      </w:r>
      <w:r>
        <w:tab/>
        <w:t>Министерство по делам женщин осуществляет координацию подготовки обзора полового просвещения в средних школах Новой Зеландии, который будет проводиться под руководством Управления по обзору системы образования и будет завершен в 2006 году. Обзор представит информацию в масштабе страны о том, как осуществляется половое просвещение в школах. Эта информация будет использоваться для определения политики и внесения изменений в политику в целях дальнейшего улучшения сексуального здоровья молодых жителей Новой Зеландии.</w:t>
      </w:r>
    </w:p>
    <w:p w:rsidR="00B44C11" w:rsidRDefault="00B44C11">
      <w:pPr>
        <w:pStyle w:val="Heading4"/>
      </w:pPr>
      <w:r>
        <w:t>Стратегия в области психического здоровья</w:t>
      </w:r>
    </w:p>
    <w:p w:rsidR="00B44C11" w:rsidRDefault="00B44C11">
      <w:pPr>
        <w:tabs>
          <w:tab w:val="clear" w:pos="1588"/>
          <w:tab w:val="left" w:pos="567"/>
          <w:tab w:val="left" w:pos="907"/>
          <w:tab w:val="left" w:pos="1247"/>
        </w:tabs>
      </w:pPr>
      <w:r>
        <w:t>279.</w:t>
      </w:r>
      <w:r>
        <w:tab/>
      </w:r>
      <w:r>
        <w:rPr>
          <w:i/>
        </w:rPr>
        <w:t>Стратегия "Те Тахуху" – Улучшение психического здоровья</w:t>
      </w:r>
      <w:r>
        <w:t xml:space="preserve"> лежит в основе государственной политики и приоритетов в области психического здоровья и борьбы с пагубными привычками </w:t>
      </w:r>
      <w:r>
        <w:br/>
        <w:t xml:space="preserve">на период с 2005 по 2015 год; в ней также предусматриваются общие направления для инвестиций в сферу охраны психического здоровья и борьбы с пагубными привычками. Она основана на существующей </w:t>
      </w:r>
      <w:r>
        <w:rPr>
          <w:i/>
        </w:rPr>
        <w:t>Стратегии в области психического здоровья</w:t>
      </w:r>
      <w:r>
        <w:t>, содержащейся в документах "</w:t>
      </w:r>
      <w:r>
        <w:rPr>
          <w:i/>
        </w:rPr>
        <w:t>Смотреть в будущее</w:t>
      </w:r>
      <w:r>
        <w:t>" (1994 год) и "</w:t>
      </w:r>
      <w:r>
        <w:rPr>
          <w:i/>
        </w:rPr>
        <w:t>Двигаться вперед</w:t>
      </w:r>
      <w:r>
        <w:t xml:space="preserve">" (1997 год), а также в </w:t>
      </w:r>
      <w:r>
        <w:rPr>
          <w:i/>
        </w:rPr>
        <w:t xml:space="preserve">Проекте </w:t>
      </w:r>
      <w:r>
        <w:rPr>
          <w:i/>
          <w:caps/>
        </w:rPr>
        <w:t>к</w:t>
      </w:r>
      <w:r>
        <w:rPr>
          <w:i/>
        </w:rPr>
        <w:t>омиссии по психическому здоровью по предоставлению услуг в области психического здоровья</w:t>
      </w:r>
      <w:r>
        <w:t xml:space="preserve"> (1998 год). Наряду со </w:t>
      </w:r>
      <w:r>
        <w:rPr>
          <w:i/>
        </w:rPr>
        <w:t xml:space="preserve">Стратегией в области психического здоровья </w:t>
      </w:r>
      <w:r>
        <w:t xml:space="preserve">имеется ряд других государственных стратегий. В настоящее время разрабатывается </w:t>
      </w:r>
      <w:r>
        <w:rPr>
          <w:i/>
        </w:rPr>
        <w:t>Новозеландская стратегия по предотвращению самоубийства</w:t>
      </w:r>
      <w:r>
        <w:t xml:space="preserve"> (см. ниже раздел по вопросам самоубийств), а также планируемая для осуществления в ближайшем будущем программа по борьбе с депрессией, которые представляют собой примеры для оказания непосредственного воздействия на психическое здоровье; однако помимо этого, воздействие могут также оказать стратегии в области обеспечения жильем, работой и оказания помощи в получении дохода.</w:t>
      </w:r>
    </w:p>
    <w:p w:rsidR="00B44C11" w:rsidRDefault="00B44C11">
      <w:pPr>
        <w:tabs>
          <w:tab w:val="clear" w:pos="1588"/>
          <w:tab w:val="left" w:pos="567"/>
          <w:tab w:val="left" w:pos="907"/>
          <w:tab w:val="left" w:pos="1247"/>
        </w:tabs>
      </w:pPr>
      <w:r>
        <w:t>280.</w:t>
      </w:r>
      <w:r>
        <w:tab/>
      </w:r>
      <w:r>
        <w:rPr>
          <w:i/>
        </w:rPr>
        <w:t>Стратегия "Те Тахуху" – Улучшение психического здоровья</w:t>
      </w:r>
      <w:r>
        <w:t xml:space="preserve"> – основана на достигнутых результатах, и в ней излагается десять основных задач, которые необходимо решить для достижения планируемых правительством результатов в области психического здоровья и борьбе </w:t>
      </w:r>
      <w:r>
        <w:br/>
        <w:t>с пагубными привычками. Эти задачи включают:</w:t>
      </w:r>
    </w:p>
    <w:p w:rsidR="00B44C11" w:rsidRDefault="00B44C11">
      <w:pPr>
        <w:pStyle w:val="10-18"/>
      </w:pPr>
      <w:r>
        <w:sym w:font="Symbol" w:char="F0B7"/>
      </w:r>
      <w:r>
        <w:tab/>
        <w:t xml:space="preserve">способствовать поддержанию психического здоровья и благосостояния и предотвращать психические заболевания и пагубные привычки; </w:t>
      </w:r>
    </w:p>
    <w:p w:rsidR="00B44C11" w:rsidRDefault="00B44C11">
      <w:pPr>
        <w:pStyle w:val="10-18"/>
      </w:pPr>
      <w:r>
        <w:sym w:font="Symbol" w:char="F0B7"/>
      </w:r>
      <w:r>
        <w:tab/>
        <w:t xml:space="preserve">создавать и расширять диапазон и выбор услуг и методов поддержки, которые финансируются для людей с тяжелыми психическими заболеваниями; </w:t>
      </w:r>
    </w:p>
    <w:p w:rsidR="00B44C11" w:rsidRDefault="00B44C11">
      <w:pPr>
        <w:pStyle w:val="10-18"/>
      </w:pPr>
      <w:r>
        <w:sym w:font="Symbol" w:char="F0B7"/>
      </w:r>
      <w:r>
        <w:tab/>
        <w:t>создать штат сотрудников для работы в области психического здоровья и борьбы с пагубными привычками – воспитывая при этом культуру тех, кто оказывает помощь, – чья деятельность будет направлена на выздоровление, ориентирована на человека; сотрудники должны обладать культурными навыками и проявлять постоянную приверженность делу обеспечения и улучшения качества услуг для людей;</w:t>
      </w:r>
    </w:p>
    <w:p w:rsidR="00B44C11" w:rsidRDefault="00B44C11">
      <w:pPr>
        <w:pStyle w:val="10-18"/>
      </w:pPr>
      <w:r>
        <w:sym w:font="Symbol" w:char="F0B7"/>
      </w:r>
      <w:r>
        <w:tab/>
        <w:t xml:space="preserve">создавать и укреплять потенциал сектора первичной медико-санитарной помощи для обеспечения психического здоровья и благосостояния и удовлетворения потребностей людей, имеющих психические заболевания и пагубные привычки. </w:t>
      </w:r>
    </w:p>
    <w:p w:rsidR="00B44C11" w:rsidRDefault="00B44C11">
      <w:pPr>
        <w:tabs>
          <w:tab w:val="clear" w:pos="1588"/>
          <w:tab w:val="left" w:pos="567"/>
          <w:tab w:val="left" w:pos="907"/>
          <w:tab w:val="left" w:pos="1247"/>
        </w:tabs>
        <w:rPr>
          <w:i/>
        </w:rPr>
      </w:pPr>
      <w:r>
        <w:t>281.</w:t>
      </w:r>
      <w:r>
        <w:tab/>
        <w:t xml:space="preserve">Министерство здравоохранения и окружные медико-санитарные комиссии в настоящее время работают над разработкой Плана действий по реализации </w:t>
      </w:r>
      <w:r>
        <w:rPr>
          <w:i/>
        </w:rPr>
        <w:t xml:space="preserve">Стратегии Те Тахуху. </w:t>
      </w:r>
    </w:p>
    <w:p w:rsidR="00B44C11" w:rsidRDefault="00B44C11">
      <w:pPr>
        <w:pStyle w:val="Heading3"/>
      </w:pPr>
      <w:r>
        <w:t>Ключевые вопросы здравоохранения для женщин</w:t>
      </w:r>
    </w:p>
    <w:p w:rsidR="00B44C11" w:rsidRDefault="00B44C11">
      <w:pPr>
        <w:tabs>
          <w:tab w:val="clear" w:pos="1588"/>
          <w:tab w:val="left" w:pos="567"/>
          <w:tab w:val="left" w:pos="907"/>
          <w:tab w:val="left" w:pos="1247"/>
        </w:tabs>
      </w:pPr>
      <w:r>
        <w:t>282.</w:t>
      </w:r>
      <w:r>
        <w:tab/>
        <w:t xml:space="preserve">Необходимо сделать ссылку на Основной документ Новой Зеландии относительно информации о показателях состояния здоровья новозеландских женщин, включая ожидаемую продолжительность жизни, фертильность, младенческую и материнскую смертность. Основными проблемами для здоровья женщин являются рак, диабет и ожирение, самоубийство, курение и психические заболевания. Среди женщин растет также число абортов и заболеваний, передающихся половым путем. Для молодых женщин особую проблему представляет алкоголизм. Улучшение состояния здоровья женщин требует эффективного решения этих основных проблем здоровья женщин. </w:t>
      </w:r>
    </w:p>
    <w:p w:rsidR="00B44C11" w:rsidRDefault="00B44C11">
      <w:pPr>
        <w:pStyle w:val="Heading4"/>
      </w:pPr>
      <w:r>
        <w:t>Рак</w:t>
      </w:r>
    </w:p>
    <w:p w:rsidR="00B44C11" w:rsidRDefault="00B44C11">
      <w:pPr>
        <w:tabs>
          <w:tab w:val="clear" w:pos="1588"/>
          <w:tab w:val="left" w:pos="567"/>
          <w:tab w:val="left" w:pos="907"/>
          <w:tab w:val="left" w:pos="1247"/>
        </w:tabs>
      </w:pPr>
      <w:r>
        <w:t>283.</w:t>
      </w:r>
      <w:r>
        <w:tab/>
        <w:t>В Новой Зеландии рак является основной причиной смертности и заболеваемости. На некоторых этапах жизни женщины имеют больше шансов на выявление рака, чем мужчины</w:t>
      </w:r>
      <w:r>
        <w:rPr>
          <w:rStyle w:val="FootnoteReference"/>
        </w:rPr>
        <w:footnoteReference w:id="71"/>
      </w:r>
      <w:r>
        <w:t>. Среди женщин-маори отмечается более высокий уровень заболеваемости некоторыми формами рака, такими как рак шейки матки и рак трахеи, бронхов и легких (последнее, возможно, вызвано тем, что женщины-маори больше курят – см. раздел о курении, ниже). Программы обследований на предмет выявления рака являются основным средством снижения смертности, вызванной онкологическими заболеваниями.</w:t>
      </w:r>
    </w:p>
    <w:p w:rsidR="00B44C11" w:rsidRDefault="00B44C11">
      <w:pPr>
        <w:tabs>
          <w:tab w:val="clear" w:pos="1588"/>
          <w:tab w:val="left" w:pos="567"/>
          <w:tab w:val="left" w:pos="907"/>
          <w:tab w:val="left" w:pos="1247"/>
        </w:tabs>
      </w:pPr>
      <w:r>
        <w:t>284.</w:t>
      </w:r>
      <w:r>
        <w:tab/>
        <w:t>В настоящее время правительство финансирует обследования на предмет выявления двух типов рака: обследование на выявление рака шейки матки у женщин в возрасте 20–69 лет и рака молочной железы у женщин в возрасте 45–70 лет. Со времени представления предыдущего доклада произошли перемены в сторону расширения программы обследования на выявление рака шейки матки и расширения возможностей для проведения обследования на выявление рака молочной железы:</w:t>
      </w:r>
    </w:p>
    <w:p w:rsidR="00B44C11" w:rsidRDefault="00B44C11">
      <w:pPr>
        <w:pStyle w:val="10-18"/>
      </w:pPr>
      <w:r>
        <w:sym w:font="Symbol" w:char="F0B7"/>
      </w:r>
      <w:r>
        <w:tab/>
        <w:t xml:space="preserve">Эффективность Национальной программы цервикальных обследований (НПЦО) была усилена благодаря принятию Закона о внесении поправки (Национальная программа цервикальных обследований) в области здравоохранения 2004 года, который вступил в силу 7 марта 2005 года. Закон предназначен для организации и разъяснения функционирования и задач НПЦО. Он также позволит специалистам (называемым исследователями) оценить функционирование и безопасность Программы путем обеспечения для них доступа </w:t>
      </w:r>
      <w:r>
        <w:br/>
        <w:t xml:space="preserve">к ключевой информации. Эти изменения были внесены в исполнение рекомендаций, сделанных в результате проведения в 1999 году министерством расследования, связанного </w:t>
      </w:r>
      <w:r>
        <w:br/>
        <w:t>с неполным представлением данных о нарушениях, которые были выявлены в цервикальных обследованиях в регионе Гисборна.</w:t>
      </w:r>
    </w:p>
    <w:p w:rsidR="00B44C11" w:rsidRDefault="00B44C11">
      <w:pPr>
        <w:pStyle w:val="10-18"/>
      </w:pPr>
      <w:r>
        <w:sym w:font="Symbol" w:char="F0B7"/>
      </w:r>
      <w:r>
        <w:tab/>
        <w:t>Первоначально Программа обследования на предмет выявления рака молочной железы "БрестСкрин Аотеароа" была предназначена для женщин в возрасте 50–64 лет, но с 1 июля 2004 года право на участие в этой программе получили также женщины в возрасте 45–70 лет.</w:t>
      </w:r>
    </w:p>
    <w:p w:rsidR="00B44C11" w:rsidRDefault="00B44C11">
      <w:pPr>
        <w:pStyle w:val="Heading4"/>
      </w:pPr>
      <w:r>
        <w:t>Диабет и ожирение</w:t>
      </w:r>
    </w:p>
    <w:p w:rsidR="00B44C11" w:rsidRDefault="00B44C11">
      <w:pPr>
        <w:tabs>
          <w:tab w:val="clear" w:pos="1588"/>
          <w:tab w:val="left" w:pos="567"/>
          <w:tab w:val="left" w:pos="907"/>
          <w:tab w:val="left" w:pos="1247"/>
        </w:tabs>
      </w:pPr>
      <w:r>
        <w:t>285.</w:t>
      </w:r>
      <w:r>
        <w:tab/>
        <w:t>Согласно текущим статистическим данным, коэффициенты заболеваемости диабетом одинаковы у мужчин и женщин. Коэффициенты смертности от диабета женщин-маори почти в шесть раз выше, чем у женщин других народностей</w:t>
      </w:r>
      <w:r>
        <w:rPr>
          <w:rStyle w:val="FootnoteReference"/>
        </w:rPr>
        <w:footnoteReference w:id="72"/>
      </w:r>
      <w:r>
        <w:t>. Это отчасти вызвано тем, что ожирение больше распространено у тихоокеанских народностей и маори, чем у других этнических групп. Среди женщин тихоокеанских островов, в частности, отмечается более высокая доля лиц, страдающих от ожирения – 48 процентов, по сравнению с 20 процентами женщин европейского происхождения</w:t>
      </w:r>
      <w:r>
        <w:rPr>
          <w:rStyle w:val="FootnoteReference"/>
        </w:rPr>
        <w:footnoteReference w:id="73"/>
      </w:r>
      <w:r>
        <w:t>.</w:t>
      </w:r>
    </w:p>
    <w:p w:rsidR="00B44C11" w:rsidRDefault="00B44C11">
      <w:pPr>
        <w:tabs>
          <w:tab w:val="clear" w:pos="1588"/>
          <w:tab w:val="left" w:pos="567"/>
          <w:tab w:val="left" w:pos="907"/>
          <w:tab w:val="left" w:pos="1247"/>
        </w:tabs>
      </w:pPr>
      <w:r>
        <w:t>286.</w:t>
      </w:r>
      <w:r>
        <w:tab/>
        <w:t xml:space="preserve">Правительство решает проблему с диабетом и ожирением через реализацию инициативы </w:t>
      </w:r>
      <w:r>
        <w:rPr>
          <w:i/>
        </w:rPr>
        <w:t>Здоровое питание: здоровое поведение (ЗПЗП</w:t>
      </w:r>
      <w:r>
        <w:t xml:space="preserve">). Инициатива ЗПЗП, осуществление которой было начато в 2003 году, представляет собой стратегический подход </w:t>
      </w:r>
      <w:r>
        <w:rPr>
          <w:caps/>
        </w:rPr>
        <w:t>м</w:t>
      </w:r>
      <w:r>
        <w:t xml:space="preserve">инистерства здравоохранения </w:t>
      </w:r>
      <w:r>
        <w:br/>
        <w:t xml:space="preserve">к улучшению питания, увеличению физической активности и обеспечению здоровой пищи для всех жителей Новой Зеландии. </w:t>
      </w:r>
    </w:p>
    <w:p w:rsidR="00B44C11" w:rsidRDefault="00B44C11">
      <w:pPr>
        <w:pStyle w:val="Heading3"/>
      </w:pPr>
      <w:r>
        <w:t>Самоубийство</w:t>
      </w:r>
    </w:p>
    <w:p w:rsidR="00B44C11" w:rsidRDefault="00B44C11">
      <w:pPr>
        <w:tabs>
          <w:tab w:val="clear" w:pos="1588"/>
          <w:tab w:val="left" w:pos="567"/>
          <w:tab w:val="left" w:pos="907"/>
          <w:tab w:val="left" w:pos="1247"/>
        </w:tabs>
      </w:pPr>
      <w:r>
        <w:t>287.</w:t>
      </w:r>
      <w:r>
        <w:tab/>
        <w:t xml:space="preserve">Самоубийство и суицидальное поведение являются основной социальной проблемой и проблемой здравоохранения Новой Зеландии. Число самоубийств среди женщин значительно ниже, чем среди мужчин. Число самоубийств среди женщин является относительно стабильным </w:t>
      </w:r>
      <w:r>
        <w:br/>
        <w:t>с 1980</w:t>
      </w:r>
      <w:r>
        <w:noBreakHyphen/>
        <w:t>х годов, не считая некоторого роста числа самоубийств в период с 1996 по 1999 год и снижения их числа в 2000 году</w:t>
      </w:r>
      <w:r>
        <w:rPr>
          <w:rStyle w:val="FootnoteReference"/>
        </w:rPr>
        <w:footnoteReference w:id="74"/>
      </w:r>
      <w:r>
        <w:t>. Однако число женщин, госпитализированных в результате попытки самоубийства в два раза выше по сравнению с мужчинами. В результате обследования 13 стран ОЭСР, проведенного в 1999–2003 годах, было выявлено, что в Новой Зеландии наихудшая ситуация в отношении числа самоубийств среди молодых женщин по сравнению с другими странами ОЭСР, охваченными этим обследованием</w:t>
      </w:r>
      <w:r>
        <w:rPr>
          <w:rStyle w:val="FootnoteReference"/>
        </w:rPr>
        <w:footnoteReference w:id="75"/>
      </w:r>
      <w:r>
        <w:t>.</w:t>
      </w:r>
    </w:p>
    <w:p w:rsidR="00B44C11" w:rsidRDefault="00B44C11">
      <w:pPr>
        <w:tabs>
          <w:tab w:val="clear" w:pos="1588"/>
          <w:tab w:val="left" w:pos="567"/>
          <w:tab w:val="left" w:pos="907"/>
          <w:tab w:val="left" w:pos="1247"/>
        </w:tabs>
      </w:pPr>
      <w:r>
        <w:t>288.</w:t>
      </w:r>
      <w:r>
        <w:tab/>
        <w:t xml:space="preserve">В настоящее время </w:t>
      </w:r>
      <w:r>
        <w:rPr>
          <w:caps/>
        </w:rPr>
        <w:t>м</w:t>
      </w:r>
      <w:r>
        <w:t xml:space="preserve">инистерство здравоохранения в сотрудничестве с другими учреждениями и общественностью разрабатывает новую </w:t>
      </w:r>
      <w:r>
        <w:rPr>
          <w:i/>
        </w:rPr>
        <w:t>Стратегию Новой Зеландии по предотвращению самоубийств</w:t>
      </w:r>
      <w:r>
        <w:t>, в соответствии с которой будет осуществляться профилактическая работа по предотвращению самоубийств во всех возрастных группах.</w:t>
      </w:r>
    </w:p>
    <w:p w:rsidR="00B44C11" w:rsidRDefault="00B44C11">
      <w:pPr>
        <w:pStyle w:val="Heading4"/>
      </w:pPr>
      <w:r>
        <w:t>Курение</w:t>
      </w:r>
    </w:p>
    <w:p w:rsidR="00B44C11" w:rsidRDefault="00B44C11">
      <w:pPr>
        <w:tabs>
          <w:tab w:val="clear" w:pos="1588"/>
          <w:tab w:val="left" w:pos="567"/>
          <w:tab w:val="left" w:pos="907"/>
          <w:tab w:val="left" w:pos="1247"/>
        </w:tabs>
      </w:pPr>
      <w:r>
        <w:t>289.</w:t>
      </w:r>
      <w:r>
        <w:tab/>
        <w:t xml:space="preserve">Курение представляет собой серьезную проблему для здоровья женщин, особенно молодых, женщин-маори и женщин тихоокеанских островов. </w:t>
      </w:r>
      <w:r>
        <w:rPr>
          <w:i/>
        </w:rPr>
        <w:t>Исследование здравоохранения Новой Зеландии 2002–2003 годов</w:t>
      </w:r>
      <w:r>
        <w:t xml:space="preserve"> показало, что самая высокая распространенность курения в настоящее время наблюдается среди женщин-маори, за ними следуют мужчины-маори, мужчины и женщины тихоокеанских островов</w:t>
      </w:r>
      <w:r>
        <w:rPr>
          <w:rStyle w:val="FootnoteReference"/>
        </w:rPr>
        <w:footnoteReference w:id="76"/>
      </w:r>
      <w:r>
        <w:t>.</w:t>
      </w:r>
    </w:p>
    <w:p w:rsidR="00B44C11" w:rsidRDefault="00B44C11">
      <w:pPr>
        <w:tabs>
          <w:tab w:val="clear" w:pos="1588"/>
          <w:tab w:val="left" w:pos="567"/>
          <w:tab w:val="left" w:pos="907"/>
          <w:tab w:val="left" w:pos="1247"/>
        </w:tabs>
      </w:pPr>
      <w:r>
        <w:br w:type="page"/>
        <w:t>290.</w:t>
      </w:r>
      <w:r>
        <w:tab/>
        <w:t xml:space="preserve">В целях борьбы с курением правительство продолжает осуществлять программу "Аукати Каи Пайпа", рассчитанную на женщин-маори и их ванау, а также программы по борьбе с курением беременных женщин. В дополнение к этому в 2004 году правительство опубликовало </w:t>
      </w:r>
      <w:r>
        <w:rPr>
          <w:i/>
        </w:rPr>
        <w:t xml:space="preserve">Пятилетний план по борьбе с курением в Новой Зеландии на 2004–2009 годы: Жизнь без курения. </w:t>
      </w:r>
      <w:r>
        <w:t>В плане жизни без курения предусматриваются четыре цели:</w:t>
      </w:r>
    </w:p>
    <w:p w:rsidR="00B44C11" w:rsidRDefault="00B44C11">
      <w:pPr>
        <w:pStyle w:val="10-18"/>
      </w:pPr>
      <w:r>
        <w:sym w:font="Symbol" w:char="F0B7"/>
      </w:r>
      <w:r>
        <w:tab/>
        <w:t>значительно снизить уровни потребления табака и распространенности курения;</w:t>
      </w:r>
    </w:p>
    <w:p w:rsidR="00B44C11" w:rsidRDefault="00B44C11">
      <w:pPr>
        <w:pStyle w:val="10-18"/>
      </w:pPr>
      <w:r>
        <w:sym w:font="Symbol" w:char="F0B7"/>
      </w:r>
      <w:r>
        <w:tab/>
        <w:t>снизить неравенство в результатах мероприятий по охране здоровья;</w:t>
      </w:r>
    </w:p>
    <w:p w:rsidR="00B44C11" w:rsidRDefault="00B44C11">
      <w:pPr>
        <w:pStyle w:val="10-18"/>
      </w:pPr>
      <w:r>
        <w:sym w:font="Symbol" w:char="F0B7"/>
      </w:r>
      <w:r>
        <w:tab/>
        <w:t>уменьшить распространенность курения среди маори по крайней мере до уровня других этнических групп;</w:t>
      </w:r>
    </w:p>
    <w:p w:rsidR="00B44C11" w:rsidRDefault="00B44C11">
      <w:pPr>
        <w:pStyle w:val="10-18"/>
      </w:pPr>
      <w:r>
        <w:sym w:font="Symbol" w:char="F0B7"/>
      </w:r>
      <w:r>
        <w:tab/>
        <w:t>снизить незащищенность всего населения Новой Зеландии от пассивного курения.</w:t>
      </w:r>
    </w:p>
    <w:p w:rsidR="00B44C11" w:rsidRDefault="00B44C11">
      <w:pPr>
        <w:tabs>
          <w:tab w:val="clear" w:pos="1588"/>
          <w:tab w:val="left" w:pos="567"/>
          <w:tab w:val="left" w:pos="907"/>
          <w:tab w:val="left" w:pos="1247"/>
        </w:tabs>
      </w:pPr>
      <w:r>
        <w:t>291.</w:t>
      </w:r>
      <w:r>
        <w:tab/>
        <w:t>В рамках этого плана 10 декабря 2004 года курение было запрещено на всех рабочих местах внутри помещения, включая рестораны, бары, клубы и казино. Это в значительной степени будет способствовать улучшению здоровья работающего населения Новой Зеландии.</w:t>
      </w:r>
    </w:p>
    <w:p w:rsidR="00B44C11" w:rsidRDefault="00B44C11">
      <w:pPr>
        <w:pStyle w:val="Heading4"/>
      </w:pPr>
      <w:r>
        <w:t>Потребление алкоголя</w:t>
      </w:r>
    </w:p>
    <w:p w:rsidR="00B44C11" w:rsidRDefault="00B44C11">
      <w:pPr>
        <w:tabs>
          <w:tab w:val="clear" w:pos="1588"/>
          <w:tab w:val="left" w:pos="567"/>
          <w:tab w:val="left" w:pos="907"/>
          <w:tab w:val="left" w:pos="1247"/>
        </w:tabs>
      </w:pPr>
      <w:r>
        <w:t>292.</w:t>
      </w:r>
      <w:r>
        <w:tab/>
        <w:t xml:space="preserve">По данным </w:t>
      </w:r>
      <w:r>
        <w:rPr>
          <w:i/>
        </w:rPr>
        <w:t>обследования</w:t>
      </w:r>
      <w:r>
        <w:t xml:space="preserve"> в области здравоохранения Новой Зеландии, проведенного </w:t>
      </w:r>
      <w:r>
        <w:br/>
        <w:t>в 2002–2003 годах, молодые мужчины и женщины имеют потенциально более сильную склонность к алкоголизму, чем другие возрастные группы</w:t>
      </w:r>
      <w:r>
        <w:rPr>
          <w:rStyle w:val="FootnoteReference"/>
        </w:rPr>
        <w:footnoteReference w:id="77"/>
      </w:r>
      <w:r>
        <w:t xml:space="preserve">, в результате чего эти группы людей подвергаются более высокому риску аварий и травм, связанных с потреблением алкоголя. Усилия правительства, направленные на снижение потребления алкоголя, включают повышение акцизного сбора </w:t>
      </w:r>
      <w:r>
        <w:br/>
        <w:t xml:space="preserve">с алкогольных напитков, организацию кампаний по изменению культуры потребления алкоголя </w:t>
      </w:r>
      <w:r>
        <w:br/>
        <w:t xml:space="preserve">в Новой Зеландии под руководством Консультативного совета по вопросам алкоголя, меры по контролю рекламы алкогольной продукции, разработку программ поощрения здорового образа жизни и законодательства в области контроля за продажей и поставкой алкогольных напитков. </w:t>
      </w:r>
      <w:r>
        <w:br/>
        <w:t xml:space="preserve">В настоящее время проводится обсуждение вопроса о необходимости вновь увеличить установленный законом возраст, при достижении которого молодые люди могут покупать алкогольные напитки, до 20 лет, после того как в 1999 году этот возраст был снижен до 18 лет. </w:t>
      </w:r>
    </w:p>
    <w:p w:rsidR="00B44C11" w:rsidRDefault="00B44C11">
      <w:pPr>
        <w:pStyle w:val="Heading4"/>
      </w:pPr>
      <w:r>
        <w:t>Аборты</w:t>
      </w:r>
    </w:p>
    <w:p w:rsidR="00B44C11" w:rsidRDefault="00B44C11">
      <w:pPr>
        <w:tabs>
          <w:tab w:val="clear" w:pos="1588"/>
          <w:tab w:val="left" w:pos="567"/>
          <w:tab w:val="left" w:pos="907"/>
          <w:tab w:val="left" w:pos="1247"/>
        </w:tabs>
      </w:pPr>
      <w:r>
        <w:t>293.</w:t>
      </w:r>
      <w:r>
        <w:tab/>
        <w:t xml:space="preserve">В 2004 году число абортов, сделанных в Новой Зеландии, впервые уменьшилось с 1998 года. В декабре 2004 года в Новой Зеландии было произведено 18 210 искусственных прерываний беременности, что на 300 (1,6 процента) меньше по сравнению с 2003 годом (18 510). Это снижение последовало после роста на 6,5 процента, отмечавшегося в 2003 году, и на 5,9 процента </w:t>
      </w:r>
      <w:r>
        <w:br/>
        <w:t>в 2002 году. Однако общий показатель абортов был все же несколько выше по сравнению с данными по состоянию на время представления предыдущего доклада. Общий показатель абортов составил 20,5 на 1000 женщин в возрасте 15–44 лет в 2004 году</w:t>
      </w:r>
      <w:r>
        <w:rPr>
          <w:rStyle w:val="FootnoteReference"/>
        </w:rPr>
        <w:footnoteReference w:id="78"/>
      </w:r>
      <w:r>
        <w:t xml:space="preserve"> по сравнению с 19,1 в 2001 году</w:t>
      </w:r>
      <w:r>
        <w:rPr>
          <w:rStyle w:val="FootnoteReference"/>
        </w:rPr>
        <w:footnoteReference w:id="79"/>
      </w:r>
      <w:r>
        <w:t>.</w:t>
      </w:r>
    </w:p>
    <w:p w:rsidR="00B44C11" w:rsidRDefault="00B44C11">
      <w:pPr>
        <w:tabs>
          <w:tab w:val="clear" w:pos="1588"/>
          <w:tab w:val="left" w:pos="567"/>
          <w:tab w:val="left" w:pos="907"/>
          <w:tab w:val="left" w:pos="1247"/>
        </w:tabs>
        <w:spacing w:after="200"/>
        <w:rPr>
          <w:i/>
        </w:rPr>
      </w:pPr>
      <w:r>
        <w:t>294.</w:t>
      </w:r>
      <w:r>
        <w:tab/>
        <w:t xml:space="preserve">Законодательство Новой Зеландии относительно абортов не изменялось в течение рассматриваемого периода. Усилия правительства, направленные на снижение числа незапланированных беременностей, рассматриваются в разделе, озаглавленном </w:t>
      </w:r>
      <w:r>
        <w:rPr>
          <w:i/>
        </w:rPr>
        <w:t>Стратегии в области сексуального и репродуктивного здоровья.</w:t>
      </w:r>
    </w:p>
    <w:p w:rsidR="00B44C11" w:rsidRDefault="00B44C11">
      <w:pPr>
        <w:pStyle w:val="Heading4"/>
        <w:spacing w:after="200"/>
      </w:pPr>
      <w:r>
        <w:t>Болезни, передающиеся половым путем</w:t>
      </w:r>
    </w:p>
    <w:p w:rsidR="00B44C11" w:rsidRDefault="00B44C11">
      <w:pPr>
        <w:tabs>
          <w:tab w:val="clear" w:pos="1588"/>
          <w:tab w:val="left" w:pos="567"/>
          <w:tab w:val="left" w:pos="907"/>
          <w:tab w:val="left" w:pos="1247"/>
        </w:tabs>
        <w:spacing w:after="200"/>
      </w:pPr>
      <w:r>
        <w:t>295.</w:t>
      </w:r>
      <w:r>
        <w:tab/>
        <w:t>Хотя имеющиеся данные являются неполными, в течение последних пяти лет наблюдалось значительное увеличение числа подтвержденных и вероятных случаев болезней, передающихся половым путем. Например, в течение последних пяти лет число подтвержденных случаев заражения хламидией и гонореей, диагностированных в клиниках, занимающихся вопросами сексуального здоровья, увеличилось, соответственно, на 28,2 и 44,4 процента</w:t>
      </w:r>
      <w:r>
        <w:rPr>
          <w:rStyle w:val="FootnoteReference"/>
        </w:rPr>
        <w:footnoteReference w:id="80"/>
      </w:r>
      <w:r>
        <w:t>. Сохраняется высокий уровень риска заражения болезнями, передающимися половым путем, у молодых людей, причем самое большое число случаев заболевания хламидией, гонореей, генитальным герпесом и кондиломой выявлялись в клиниках, занимающихся вопросами сексуального здоровья, у групп людей в возрасте до 24 лет</w:t>
      </w:r>
      <w:r>
        <w:rPr>
          <w:rStyle w:val="FootnoteReference"/>
        </w:rPr>
        <w:footnoteReference w:id="81"/>
      </w:r>
      <w:r>
        <w:t>. В Новой Зеландии в 2004 году хламидия являлась наиболее часто диагностируемым заболеванием, передающимся половым путем</w:t>
      </w:r>
      <w:r>
        <w:rPr>
          <w:rStyle w:val="FootnoteReference"/>
        </w:rPr>
        <w:footnoteReference w:id="82"/>
      </w:r>
      <w:r>
        <w:t>. Число заболеваний хламидией среди маори и жителей тихоокеанских островов в четыре раза выше по сравнению с числом заболеваний в других этнических группах. Число заболеваний, передающихся половым путем, является особенно высоким в таких районах, как Хокс-Бей, Бей-оф-Пленти, Ваикато, Саут-Окленд и Нортленд.</w:t>
      </w:r>
    </w:p>
    <w:p w:rsidR="00B44C11" w:rsidRDefault="00B44C11">
      <w:pPr>
        <w:tabs>
          <w:tab w:val="clear" w:pos="1588"/>
          <w:tab w:val="left" w:pos="567"/>
          <w:tab w:val="left" w:pos="907"/>
          <w:tab w:val="left" w:pos="1247"/>
        </w:tabs>
        <w:spacing w:after="200"/>
      </w:pPr>
      <w:r>
        <w:t>296.</w:t>
      </w:r>
      <w:r>
        <w:tab/>
        <w:t>Усилия правительства, направленные на снижение числа заболеваний, передающихся половым путем, рассматриваются в разделе, озаглавленном</w:t>
      </w:r>
      <w:r>
        <w:rPr>
          <w:i/>
        </w:rPr>
        <w:t xml:space="preserve"> Стратегии в области сексуального и репродуктивного здоровья. </w:t>
      </w:r>
      <w:r>
        <w:t xml:space="preserve">Кроме того, в настоящее время национальный отдел по обследованию населения </w:t>
      </w:r>
      <w:r>
        <w:rPr>
          <w:caps/>
        </w:rPr>
        <w:t>м</w:t>
      </w:r>
      <w:r>
        <w:t>инистерства здравоохранения проводит оценку данных, полученных в ходе осуществления программы обследования на предмет выявления заболевания хламидией в Новой Зеландии. Планируется, что национальный отдел по обследованию населения представит материалы обследования на предмет выявления хламидии министру здравоохранения к марту 2006 года.</w:t>
      </w:r>
    </w:p>
    <w:p w:rsidR="00B44C11" w:rsidRDefault="00B44C11">
      <w:pPr>
        <w:pStyle w:val="Heading4"/>
        <w:spacing w:after="200"/>
      </w:pPr>
      <w:r>
        <w:t>Психические заболевания</w:t>
      </w:r>
    </w:p>
    <w:p w:rsidR="00B44C11" w:rsidRDefault="00B44C11">
      <w:pPr>
        <w:tabs>
          <w:tab w:val="clear" w:pos="1588"/>
          <w:tab w:val="left" w:pos="567"/>
          <w:tab w:val="left" w:pos="907"/>
          <w:tab w:val="left" w:pos="1247"/>
        </w:tabs>
        <w:spacing w:after="200"/>
      </w:pPr>
      <w:r>
        <w:t>297.</w:t>
      </w:r>
      <w:r>
        <w:tab/>
        <w:t>Около 20 процентов населения будут подвержены психическим заболеваниям на определенных этапах своей жизни. Приблизительно для трех процентов населения в какой-то момент возникнет потребность в услугах специалиста по психическим заболеваниям</w:t>
      </w:r>
      <w:r>
        <w:rPr>
          <w:rStyle w:val="FootnoteReference"/>
        </w:rPr>
        <w:footnoteReference w:id="83"/>
      </w:r>
      <w:r>
        <w:t>. Женщины, видимо, больше подвержены депрессии по сравнению с мужчинами</w:t>
      </w:r>
      <w:r>
        <w:rPr>
          <w:rStyle w:val="FootnoteReference"/>
        </w:rPr>
        <w:footnoteReference w:id="84"/>
      </w:r>
      <w:r>
        <w:t>. Психические заболевания также являются основной проблемой состояния здоровья женщин из числа мигрантов и беженцев.</w:t>
      </w:r>
    </w:p>
    <w:p w:rsidR="00B44C11" w:rsidRDefault="00B44C11">
      <w:pPr>
        <w:tabs>
          <w:tab w:val="clear" w:pos="1588"/>
          <w:tab w:val="left" w:pos="567"/>
          <w:tab w:val="left" w:pos="907"/>
          <w:tab w:val="left" w:pos="1247"/>
        </w:tabs>
      </w:pPr>
      <w:r>
        <w:t>298.</w:t>
      </w:r>
      <w:r>
        <w:tab/>
        <w:t xml:space="preserve">Усилия правительства по решению проблем, касающихся психического здоровья, отражены </w:t>
      </w:r>
      <w:r>
        <w:br/>
        <w:t xml:space="preserve">в пунктах 258–259 </w:t>
      </w:r>
      <w:r>
        <w:rPr>
          <w:i/>
        </w:rPr>
        <w:t>Стратегии в области психического здоровья</w:t>
      </w:r>
      <w:r>
        <w:t xml:space="preserve">, а в отношении женщин из числа беженцев и мигрантов – в Статье 12 предыдущего доклада и в разделах настоящего доклада по вопросам здоровья беженцев и мигрантов. </w:t>
      </w:r>
    </w:p>
    <w:p w:rsidR="00B44C11" w:rsidRDefault="00B44C11">
      <w:pPr>
        <w:pStyle w:val="Heading4"/>
      </w:pPr>
      <w:r>
        <w:t>Услуги, связанные с беременностью и родами</w:t>
      </w:r>
    </w:p>
    <w:p w:rsidR="00B44C11" w:rsidRDefault="00B44C11">
      <w:pPr>
        <w:tabs>
          <w:tab w:val="clear" w:pos="1588"/>
          <w:tab w:val="left" w:pos="567"/>
          <w:tab w:val="left" w:pos="907"/>
          <w:tab w:val="left" w:pos="1247"/>
        </w:tabs>
      </w:pPr>
      <w:r>
        <w:t>299.</w:t>
      </w:r>
      <w:r>
        <w:tab/>
        <w:t xml:space="preserve">Все женщины Новой Зеландии, включая женщин из числа беженцев и претендентов на статус беженцев, имеют право на получение финансируемых государством услуг в связи с беременностью и родами. Брошюра </w:t>
      </w:r>
      <w:r>
        <w:rPr>
          <w:caps/>
        </w:rPr>
        <w:t>м</w:t>
      </w:r>
      <w:r>
        <w:t>инистерства здравоохранения, изданная в ноябре 2002 года и озаглавленная "</w:t>
      </w:r>
      <w:r>
        <w:rPr>
          <w:i/>
        </w:rPr>
        <w:t>Ваша беременность: То Хапутанга</w:t>
      </w:r>
      <w:r>
        <w:t xml:space="preserve">", содержит информацию о типе предродовых и послеродовых услуг, которые предоставляются женщинам. Эти услуги включают консультирование относительно роли и ответственности беременных женщин, предоставленное ведущим учреждением по оказанию помощи в связи с беременностью и родами. Женщины могут также получить информацию о таких услугах по бесплатным телефонным линиям </w:t>
      </w:r>
      <w:r>
        <w:rPr>
          <w:caps/>
        </w:rPr>
        <w:t>м</w:t>
      </w:r>
      <w:r>
        <w:t>инистерства здравоохранения.</w:t>
      </w:r>
    </w:p>
    <w:p w:rsidR="00B44C11" w:rsidRDefault="00B44C11">
      <w:pPr>
        <w:tabs>
          <w:tab w:val="clear" w:pos="1588"/>
          <w:tab w:val="left" w:pos="567"/>
          <w:tab w:val="left" w:pos="907"/>
          <w:tab w:val="left" w:pos="1247"/>
        </w:tabs>
      </w:pPr>
      <w:r>
        <w:t>300.</w:t>
      </w:r>
      <w:r>
        <w:tab/>
        <w:t xml:space="preserve">Как указано в </w:t>
      </w:r>
      <w:r>
        <w:rPr>
          <w:caps/>
        </w:rPr>
        <w:t>с</w:t>
      </w:r>
      <w:r>
        <w:t xml:space="preserve">татье 1, правительство приняло Закон о поправке к закону о гражданстве 2005 года и впоследствии начиная с 1 января 2006 года дети, рожденные в Новой Зеландии, получат гражданство Новой Зеландии при рождении только в том случае, если по крайней мере один из родителей ребенка имеет право на постоянное жительство в Новой Зеландии. В настоящее время женщины, не являющиеся гражданками Новой Зеландии, не имеют права на получение финансируемого государством медико-санитарного обслуживания, и с них могут взыскать плату </w:t>
      </w:r>
      <w:r>
        <w:br/>
        <w:t>за предоставленные им и их детям предродовые, родовые и послеродовые услуги.</w:t>
      </w:r>
    </w:p>
    <w:p w:rsidR="00B44C11" w:rsidRDefault="00B44C11">
      <w:pPr>
        <w:pStyle w:val="Heading4"/>
        <w:rPr>
          <w:b w:val="0"/>
        </w:rPr>
      </w:pPr>
      <w:r>
        <w:rPr>
          <w:b w:val="0"/>
        </w:rPr>
        <w:t>Грудное вскармливание</w:t>
      </w:r>
    </w:p>
    <w:p w:rsidR="00B44C11" w:rsidRDefault="00B44C11">
      <w:pPr>
        <w:tabs>
          <w:tab w:val="clear" w:pos="1588"/>
          <w:tab w:val="left" w:pos="567"/>
          <w:tab w:val="left" w:pos="907"/>
          <w:tab w:val="left" w:pos="1247"/>
        </w:tabs>
      </w:pPr>
      <w:r>
        <w:t>301.</w:t>
      </w:r>
      <w:r>
        <w:tab/>
        <w:t xml:space="preserve">Как намечалось в предыдущем докладе, </w:t>
      </w:r>
      <w:r>
        <w:rPr>
          <w:caps/>
        </w:rPr>
        <w:t>м</w:t>
      </w:r>
      <w:r>
        <w:t xml:space="preserve">инистерство здравоохранения разработало план действий по грудному вскармливанию: </w:t>
      </w:r>
      <w:r>
        <w:rPr>
          <w:i/>
        </w:rPr>
        <w:t>Грудное вскармливание: Руководство к действию</w:t>
      </w:r>
      <w:r>
        <w:t xml:space="preserve">, который был опубликован в ноябре 2002 года. За последние 6–8 лет был разработан ряд инициатив, направленных на стимулирование и поддержку грудного вскармливания в Новой Зеландии, некоторые из которых предназначены специально для женщин маори и тихоокеанских народностей. </w:t>
      </w:r>
      <w:r>
        <w:rPr>
          <w:i/>
        </w:rPr>
        <w:t>План действий по грудному вскармливанию</w:t>
      </w:r>
      <w:r>
        <w:t xml:space="preserve"> предусматривает постоянный мониторинг и укрепление всех этих инициатив и, в частности, необходимость предоставления соответствующей обновленной информации о грудном вскармливании, концентрацию усилий </w:t>
      </w:r>
      <w:r>
        <w:br/>
        <w:t xml:space="preserve">в масштабах всей страны на достижение больницами официального статуса больниц с благоприятными условиями для новорожденных. Ожидаемый результат реализации </w:t>
      </w:r>
      <w:r>
        <w:rPr>
          <w:i/>
        </w:rPr>
        <w:t xml:space="preserve">Плана действий по грудному вскармливанию </w:t>
      </w:r>
      <w:r>
        <w:t xml:space="preserve">будет заключаться в общем увеличении доли женщин-маори и тихоокеанских народностей, прибегающих к грудному вскармливанию, и общее увеличение доли других жителей Новой Зеландии, прибегающих к грудному вскармливанию. Комиссия по правам человека также выпустила брошюры на четырех языках относительно прав кормящих матерей. </w:t>
      </w:r>
    </w:p>
    <w:p w:rsidR="00B44C11" w:rsidRDefault="00B44C11">
      <w:pPr>
        <w:tabs>
          <w:tab w:val="clear" w:pos="1588"/>
          <w:tab w:val="left" w:pos="567"/>
          <w:tab w:val="left" w:pos="907"/>
          <w:tab w:val="left" w:pos="1247"/>
        </w:tabs>
      </w:pPr>
      <w:r>
        <w:t>302.</w:t>
      </w:r>
      <w:r>
        <w:tab/>
        <w:t xml:space="preserve">В отчетный период проводилось также обсуждение вопроса о "праве женщин на грудное вскармливание", вызванное сообщениями женщин о том, что их просят не кормить детей грудью </w:t>
      </w:r>
      <w:r>
        <w:br/>
        <w:t xml:space="preserve">в некоторых кафе и ресторанах. В августе 2005 года правительство подготовило ответ на доклад Комитета по вопросам здравоохранения относительно Петиции 2002/139, которая была подписана почти 9000 жителями, и касалась прав женщин и детей на грудное вскармливание. В ответе правительства подчеркивалось, что оно будет рассматривать вопрос о том, является ли законодательство наиболее подходящим средством для защиты прав женщин и детей на грудное вскармливание, а также возможность применения методов, не связанных с законодательством, которые могут привести к желаемым результатам. Например, </w:t>
      </w:r>
      <w:r>
        <w:rPr>
          <w:caps/>
        </w:rPr>
        <w:t>м</w:t>
      </w:r>
      <w:r>
        <w:t>инистерство труда выпустило брошюру, в которой содержатся инструкции для работодателей по поддержке грудного вскармливания на рабочем месте.</w:t>
      </w:r>
    </w:p>
    <w:p w:rsidR="00B44C11" w:rsidRDefault="00B44C11">
      <w:pPr>
        <w:pStyle w:val="Heading3"/>
      </w:pPr>
      <w:r>
        <w:t xml:space="preserve">Женщины, работающие в системе здравоохранения </w:t>
      </w:r>
    </w:p>
    <w:p w:rsidR="00B44C11" w:rsidRDefault="00B44C11">
      <w:pPr>
        <w:tabs>
          <w:tab w:val="clear" w:pos="1588"/>
          <w:tab w:val="left" w:pos="567"/>
          <w:tab w:val="left" w:pos="907"/>
          <w:tab w:val="left" w:pos="1247"/>
        </w:tabs>
      </w:pPr>
      <w:r>
        <w:t>303.</w:t>
      </w:r>
      <w:r>
        <w:tab/>
        <w:t>Число женщин среди практикующих врачей неуклонно увеличивалось в течение последних 20 лет. В 1984 году женщины составляли только 19,7 процента от общего числа практикующих врачей, тогда как в 2001 году они составляли 32,6 процента, а в 2003 году – 34,5 процента</w:t>
      </w:r>
      <w:r>
        <w:rPr>
          <w:rStyle w:val="FootnoteReference"/>
        </w:rPr>
        <w:footnoteReference w:id="85"/>
      </w:r>
      <w:r>
        <w:t>. Большая часть практикующих врачей работает как врачи общей практики. В 2003 году женщины составляли 39,1 процента от общего числа врачей общей практики по сравнению с 16,1 процента в 1984 году и 36,9 процента в 2001 году</w:t>
      </w:r>
      <w:r>
        <w:rPr>
          <w:rStyle w:val="FootnoteReference"/>
        </w:rPr>
        <w:footnoteReference w:id="86"/>
      </w:r>
      <w:r>
        <w:t>. Число женщин специалистов-медиков также продолжало увеличиваться. В 2003 году 21 процент специалистов-медиков составляли женщины по сравнению с 9,8 процента в 1984 году и 19,2 процента в 2001 году</w:t>
      </w:r>
      <w:r>
        <w:rPr>
          <w:rStyle w:val="FootnoteReference"/>
        </w:rPr>
        <w:footnoteReference w:id="87"/>
      </w:r>
      <w:r>
        <w:t>.</w:t>
      </w:r>
    </w:p>
    <w:p w:rsidR="00B44C11" w:rsidRDefault="00B44C11">
      <w:pPr>
        <w:tabs>
          <w:tab w:val="clear" w:pos="1588"/>
          <w:tab w:val="left" w:pos="567"/>
          <w:tab w:val="left" w:pos="907"/>
          <w:tab w:val="left" w:pos="1247"/>
        </w:tabs>
      </w:pPr>
      <w:r>
        <w:t>304.</w:t>
      </w:r>
      <w:r>
        <w:tab/>
        <w:t>Медицинские сестры и акушерки по-прежнему составляют подавляющее число женщин, работающих в системе здравоохранения. В 2004 году доля женщин составила 90,9 процента медицинских сестер и акушерок</w:t>
      </w:r>
      <w:r>
        <w:rPr>
          <w:rStyle w:val="FootnoteReference"/>
        </w:rPr>
        <w:footnoteReference w:id="88"/>
      </w:r>
      <w:r>
        <w:t>. В 2004 году на основе переговоров было достигнуто соглашение, согласно которому медицинские сестры, работающие в окружных медико-санитарных комиссиях, получают заработную плату по единой тарифной сетке, которая увеличивается более, чем на 20 процентов. Проводятся также переговоры относительно оплаты труда медицинских сестер, работающих в системе первичной медико-санитарной помощи, которая включает поставщиков услуг для народностей маори и иви, организации здравоохранения для жителей тихоокеанских островов, Ассоциацию по планированию размера семьи, а также центры по вопросам сексуального здоровья и здравоохранения для молодежи. Постоянно проводимая работа будет ориентирована на предоставление льгот по линии государственной пенсионной системы работникам здравоохранения государственного сектора.</w:t>
      </w:r>
    </w:p>
    <w:p w:rsidR="00B44C11" w:rsidRDefault="00B44C11">
      <w:pPr>
        <w:pStyle w:val="Heading4"/>
      </w:pPr>
      <w:r>
        <w:t>Законоположения в отношении практикующих медицинских работников</w:t>
      </w:r>
    </w:p>
    <w:p w:rsidR="00B44C11" w:rsidRDefault="00B44C11">
      <w:pPr>
        <w:tabs>
          <w:tab w:val="clear" w:pos="1588"/>
          <w:tab w:val="left" w:pos="567"/>
          <w:tab w:val="left" w:pos="907"/>
          <w:tab w:val="left" w:pos="1247"/>
        </w:tabs>
      </w:pPr>
      <w:r>
        <w:t>305.</w:t>
      </w:r>
      <w:r>
        <w:tab/>
        <w:t xml:space="preserve">Как отмечалось в предыдущем докладе, в настоящее время работа практикующих медицинских работников регулируется Законом о гарантии компетентности практикующих медицинских работников 2003 года, который вступил в силу в 2004 году. В Законе о гарантии компетентности практикующих медицинских работников подчеркивается основная цель – охрана здоровья и безопасности населения – и в него включены положения, касающиеся механизмов обеспечения компетентности практикующих медицинских работников и их способности заниматься этой профессиональной деятельностью в течение всего срока своей трудовой жизни. </w:t>
      </w:r>
    </w:p>
    <w:p w:rsidR="00B44C11" w:rsidRDefault="00B44C11">
      <w:pPr>
        <w:pStyle w:val="Heading3"/>
      </w:pPr>
      <w:r>
        <w:t>Прочее</w:t>
      </w:r>
    </w:p>
    <w:p w:rsidR="00B44C11" w:rsidRDefault="00B44C11">
      <w:pPr>
        <w:tabs>
          <w:tab w:val="clear" w:pos="1588"/>
          <w:tab w:val="left" w:pos="567"/>
          <w:tab w:val="left" w:pos="907"/>
          <w:tab w:val="left" w:pos="1247"/>
        </w:tabs>
      </w:pPr>
      <w:r>
        <w:t>306.</w:t>
      </w:r>
      <w:r>
        <w:tab/>
        <w:t xml:space="preserve">Для получения информации о насилии в семье, включая плохое обращение с пожилыми людьми, а также о медицинском обследовании на предмет выявления насилия в семье </w:t>
      </w:r>
      <w:r>
        <w:br/>
        <w:t>см. Статью 16: Брак и семейная жизнь.</w:t>
      </w:r>
    </w:p>
    <w:p w:rsidR="00B44C11" w:rsidRDefault="00B44C11">
      <w:pPr>
        <w:pStyle w:val="H1"/>
        <w:spacing w:after="280"/>
      </w:pPr>
      <w:bookmarkStart w:id="67" w:name="_Toc145842184"/>
      <w:r>
        <w:t>Статья 13</w:t>
      </w:r>
      <w:bookmarkEnd w:id="67"/>
    </w:p>
    <w:p w:rsidR="00B44C11" w:rsidRDefault="00B44C11">
      <w:pPr>
        <w:pStyle w:val="H1"/>
        <w:spacing w:after="280"/>
      </w:pPr>
      <w:bookmarkStart w:id="68" w:name="_Toc145842185"/>
      <w:r>
        <w:t>Экономическая и социальная жизнь</w:t>
      </w:r>
      <w:bookmarkEnd w:id="68"/>
    </w:p>
    <w:p w:rsidR="00B44C11" w:rsidRDefault="00B44C11">
      <w:pPr>
        <w:pStyle w:val="Heading3"/>
        <w:spacing w:after="280"/>
      </w:pPr>
      <w:r>
        <w:t>Введение</w:t>
      </w:r>
    </w:p>
    <w:p w:rsidR="00B44C11" w:rsidRDefault="00B44C11">
      <w:pPr>
        <w:tabs>
          <w:tab w:val="clear" w:pos="1588"/>
          <w:tab w:val="left" w:pos="567"/>
          <w:tab w:val="left" w:pos="907"/>
          <w:tab w:val="left" w:pos="1247"/>
        </w:tabs>
        <w:spacing w:after="280"/>
      </w:pPr>
      <w:r>
        <w:t>307.</w:t>
      </w:r>
      <w:r>
        <w:tab/>
        <w:t>Совершеннолетние женщины так же, как и мужчины пользуются полными правами юридических лиц и связанными с этим правами, обеспечивающими их равноправное участие в экономической и социальной жизни, включая культурные и оздоровительные мероприятия. Руководящие принципы политики концентрируют внимание на содействии целенаправленному выбору и признании разностороннего вклада женщин в жизнь общества. Сюда включается признание вклада женщин в неоплачиваемый труд и нахождение способов поддержки женщин, которые обеспечивают благосостояние своих семей/ванау.</w:t>
      </w:r>
    </w:p>
    <w:p w:rsidR="00B44C11" w:rsidRDefault="00B44C11">
      <w:pPr>
        <w:pStyle w:val="Heading3"/>
        <w:spacing w:after="280"/>
      </w:pPr>
      <w:r>
        <w:t>Участие в неоплачиваемой работе</w:t>
      </w:r>
    </w:p>
    <w:p w:rsidR="00B44C11" w:rsidRDefault="00B44C11">
      <w:pPr>
        <w:tabs>
          <w:tab w:val="clear" w:pos="1588"/>
          <w:tab w:val="left" w:pos="567"/>
          <w:tab w:val="left" w:pos="907"/>
          <w:tab w:val="left" w:pos="1247"/>
        </w:tabs>
        <w:spacing w:after="280"/>
      </w:pPr>
      <w:r>
        <w:t>308.</w:t>
      </w:r>
      <w:r>
        <w:tab/>
        <w:t xml:space="preserve">Как отмечалось в предыдущем докладе, в результате </w:t>
      </w:r>
      <w:r>
        <w:rPr>
          <w:i/>
        </w:rPr>
        <w:t>Обследования использования времени 1999 года</w:t>
      </w:r>
      <w:r>
        <w:t xml:space="preserve"> было выявлено, что женщины тратят больше времени на неоплачиваемую работу, чем мужчины. Почти 70 процентов женского труда были не оплачены по сравнению с 40 процентами труда мужчин</w:t>
      </w:r>
      <w:r>
        <w:rPr>
          <w:rStyle w:val="FootnoteReference"/>
        </w:rPr>
        <w:footnoteReference w:id="89"/>
      </w:r>
      <w:r>
        <w:t xml:space="preserve">. Большая часть работы, выполняемой женщинами, особенно в сельской местности, является неоплачиваемым трудом. </w:t>
      </w:r>
    </w:p>
    <w:p w:rsidR="00B44C11" w:rsidRDefault="00B44C11">
      <w:pPr>
        <w:tabs>
          <w:tab w:val="clear" w:pos="1588"/>
          <w:tab w:val="left" w:pos="567"/>
          <w:tab w:val="left" w:pos="907"/>
          <w:tab w:val="left" w:pos="1247"/>
        </w:tabs>
      </w:pPr>
      <w:r>
        <w:t>309.</w:t>
      </w:r>
      <w:r>
        <w:tab/>
        <w:t xml:space="preserve">Вклад женщин в неоплачиваемый труд представляет собой не только работу по дому. Многие женщины занимаются общественной и культурной деятельностью вне домохозяйства (см. таблицу, ниже). Среди различных этнических групп женщины-маори вносят самый большой вклад </w:t>
      </w:r>
      <w:r>
        <w:br/>
        <w:t>в неоплачиваемую работу вне домохозяйства. Эта работа включает заботу о ребенке, проживающем отдельно от семьи, а также иной труд по оказанию помощи и добровольную работу. Такая работа обычно включает выполнение обязанностей, связанных с соблюдением культурных традиций, таких как участие и оказание помощи в танги (похоронах)</w:t>
      </w:r>
      <w:r>
        <w:rPr>
          <w:rStyle w:val="FootnoteReference"/>
        </w:rPr>
        <w:footnoteReference w:id="90"/>
      </w:r>
      <w:r>
        <w:t xml:space="preserve">. То же относится и к тихоокеанским народностям, которые выполняют большой объем неоплачиваемой работы в связи со своими обязанностями, а также в форме проявления родственной любви и взаимной привязанности и </w:t>
      </w:r>
      <w:r>
        <w:br/>
        <w:t>в рамках культурного протокола</w:t>
      </w:r>
      <w:r>
        <w:rPr>
          <w:rStyle w:val="FootnoteReference"/>
        </w:rPr>
        <w:footnoteReference w:id="91"/>
      </w:r>
      <w:r>
        <w:t>.</w:t>
      </w:r>
    </w:p>
    <w:p w:rsidR="00B44C11" w:rsidRDefault="00B44C11">
      <w:pPr>
        <w:pStyle w:val="Heading3"/>
        <w:spacing w:after="200"/>
      </w:pPr>
      <w:r>
        <w:br w:type="page"/>
        <w:t>Участие женщин в неоплачиваемой работе</w:t>
      </w:r>
    </w:p>
    <w:p w:rsidR="00B44C11" w:rsidRDefault="00B44C11">
      <w:pPr>
        <w:pStyle w:val="-"/>
        <w:spacing w:after="200"/>
      </w:pPr>
      <w:r>
        <w:t>В разбивке по этническим группам</w:t>
      </w:r>
    </w:p>
    <w:p w:rsidR="00B44C11" w:rsidRDefault="00B44C11">
      <w:pPr>
        <w:pStyle w:val="-"/>
        <w:spacing w:after="200"/>
      </w:pPr>
      <w:r>
        <w:t>2001 год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3232"/>
        <w:gridCol w:w="1348"/>
        <w:gridCol w:w="1010"/>
        <w:gridCol w:w="1701"/>
        <w:gridCol w:w="1134"/>
        <w:gridCol w:w="992"/>
      </w:tblGrid>
      <w:tr w:rsidR="00B44C11">
        <w:tblPrEx>
          <w:tblCellMar>
            <w:top w:w="0" w:type="dxa"/>
            <w:bottom w:w="0" w:type="dxa"/>
          </w:tblCellMar>
        </w:tblPrEx>
        <w:trPr>
          <w:cantSplit/>
          <w:trHeight w:val="135"/>
        </w:trPr>
        <w:tc>
          <w:tcPr>
            <w:tcW w:w="3232" w:type="dxa"/>
            <w:vMerge w:val="restart"/>
            <w:shd w:val="clear" w:color="auto" w:fill="C0C0C0"/>
          </w:tcPr>
          <w:p w:rsidR="00B44C11" w:rsidRDefault="00B44C11">
            <w:pPr>
              <w:pStyle w:val="a1"/>
            </w:pPr>
            <w:r>
              <w:t>Неоплачиваемый труд</w:t>
            </w:r>
          </w:p>
        </w:tc>
        <w:tc>
          <w:tcPr>
            <w:tcW w:w="6185" w:type="dxa"/>
            <w:gridSpan w:val="5"/>
            <w:shd w:val="clear" w:color="auto" w:fill="C0C0C0"/>
          </w:tcPr>
          <w:p w:rsidR="00B44C11" w:rsidRDefault="00B44C11">
            <w:pPr>
              <w:pStyle w:val="a1"/>
            </w:pPr>
            <w:r>
              <w:t>Этническая группа</w:t>
            </w:r>
          </w:p>
        </w:tc>
      </w:tr>
      <w:tr w:rsidR="00B44C11">
        <w:tblPrEx>
          <w:tblCellMar>
            <w:top w:w="0" w:type="dxa"/>
            <w:bottom w:w="0" w:type="dxa"/>
          </w:tblCellMar>
        </w:tblPrEx>
        <w:trPr>
          <w:cantSplit/>
          <w:trHeight w:val="135"/>
        </w:trPr>
        <w:tc>
          <w:tcPr>
            <w:tcW w:w="3232" w:type="dxa"/>
            <w:vMerge/>
            <w:shd w:val="clear" w:color="auto" w:fill="C0C0C0"/>
          </w:tcPr>
          <w:p w:rsidR="00B44C11" w:rsidRDefault="00B44C11">
            <w:pPr>
              <w:pStyle w:val="a1"/>
            </w:pPr>
          </w:p>
        </w:tc>
        <w:tc>
          <w:tcPr>
            <w:tcW w:w="1348" w:type="dxa"/>
            <w:shd w:val="clear" w:color="auto" w:fill="C0C0C0"/>
          </w:tcPr>
          <w:p w:rsidR="00B44C11" w:rsidRDefault="00B44C11">
            <w:pPr>
              <w:pStyle w:val="a1"/>
            </w:pPr>
            <w:r>
              <w:t>Европейская</w:t>
            </w:r>
          </w:p>
        </w:tc>
        <w:tc>
          <w:tcPr>
            <w:tcW w:w="1010" w:type="dxa"/>
            <w:shd w:val="clear" w:color="auto" w:fill="C0C0C0"/>
          </w:tcPr>
          <w:p w:rsidR="00B44C11" w:rsidRDefault="00B44C11">
            <w:pPr>
              <w:pStyle w:val="a1"/>
            </w:pPr>
            <w:r>
              <w:t>Маори</w:t>
            </w:r>
          </w:p>
        </w:tc>
        <w:tc>
          <w:tcPr>
            <w:tcW w:w="1701" w:type="dxa"/>
            <w:shd w:val="clear" w:color="auto" w:fill="C0C0C0"/>
          </w:tcPr>
          <w:p w:rsidR="00B44C11" w:rsidRDefault="00B44C11">
            <w:pPr>
              <w:pStyle w:val="a1"/>
            </w:pPr>
            <w:r>
              <w:t>Тихоокеанские народности</w:t>
            </w:r>
          </w:p>
        </w:tc>
        <w:tc>
          <w:tcPr>
            <w:tcW w:w="1134" w:type="dxa"/>
            <w:shd w:val="clear" w:color="auto" w:fill="C0C0C0"/>
          </w:tcPr>
          <w:p w:rsidR="00B44C11" w:rsidRDefault="00B44C11">
            <w:pPr>
              <w:pStyle w:val="a1"/>
            </w:pPr>
            <w:r>
              <w:t>Азиатская</w:t>
            </w:r>
          </w:p>
        </w:tc>
        <w:tc>
          <w:tcPr>
            <w:tcW w:w="992" w:type="dxa"/>
            <w:shd w:val="clear" w:color="auto" w:fill="C0C0C0"/>
          </w:tcPr>
          <w:p w:rsidR="00B44C11" w:rsidRDefault="00B44C11">
            <w:pPr>
              <w:pStyle w:val="a1"/>
            </w:pPr>
            <w:r>
              <w:t>Другие</w:t>
            </w:r>
          </w:p>
        </w:tc>
      </w:tr>
      <w:tr w:rsidR="00B44C11">
        <w:tblPrEx>
          <w:tblCellMar>
            <w:top w:w="0" w:type="dxa"/>
            <w:bottom w:w="0" w:type="dxa"/>
          </w:tblCellMar>
        </w:tblPrEx>
        <w:trPr>
          <w:trHeight w:val="135"/>
        </w:trPr>
        <w:tc>
          <w:tcPr>
            <w:tcW w:w="3232" w:type="dxa"/>
          </w:tcPr>
          <w:p w:rsidR="00B44C11" w:rsidRDefault="00B44C11">
            <w:pPr>
              <w:pStyle w:val="a0"/>
              <w:ind w:left="228" w:hanging="228"/>
              <w:jc w:val="left"/>
            </w:pPr>
            <w:r>
              <w:t>Отсутствие неоплачиваемого труда</w:t>
            </w:r>
          </w:p>
        </w:tc>
        <w:tc>
          <w:tcPr>
            <w:tcW w:w="1348" w:type="dxa"/>
          </w:tcPr>
          <w:p w:rsidR="00B44C11" w:rsidRDefault="00B44C11">
            <w:pPr>
              <w:pStyle w:val="a0"/>
            </w:pPr>
            <w:r>
              <w:t>6,6</w:t>
            </w:r>
          </w:p>
        </w:tc>
        <w:tc>
          <w:tcPr>
            <w:tcW w:w="1010" w:type="dxa"/>
          </w:tcPr>
          <w:p w:rsidR="00B44C11" w:rsidRDefault="00B44C11">
            <w:pPr>
              <w:pStyle w:val="a0"/>
            </w:pPr>
            <w:r>
              <w:t>6,6</w:t>
            </w:r>
          </w:p>
        </w:tc>
        <w:tc>
          <w:tcPr>
            <w:tcW w:w="1701" w:type="dxa"/>
          </w:tcPr>
          <w:p w:rsidR="00B44C11" w:rsidRDefault="00B44C11">
            <w:pPr>
              <w:pStyle w:val="a0"/>
            </w:pPr>
            <w:r>
              <w:t>9,7</w:t>
            </w:r>
          </w:p>
        </w:tc>
        <w:tc>
          <w:tcPr>
            <w:tcW w:w="1134" w:type="dxa"/>
          </w:tcPr>
          <w:p w:rsidR="00B44C11" w:rsidRDefault="00B44C11">
            <w:pPr>
              <w:pStyle w:val="a0"/>
            </w:pPr>
            <w:r>
              <w:t>9,8</w:t>
            </w:r>
          </w:p>
        </w:tc>
        <w:tc>
          <w:tcPr>
            <w:tcW w:w="992" w:type="dxa"/>
          </w:tcPr>
          <w:p w:rsidR="00B44C11" w:rsidRDefault="00B44C11">
            <w:pPr>
              <w:pStyle w:val="a0"/>
            </w:pPr>
            <w:r>
              <w:t>10,5</w:t>
            </w:r>
          </w:p>
        </w:tc>
      </w:tr>
      <w:tr w:rsidR="00B44C11">
        <w:tblPrEx>
          <w:tblCellMar>
            <w:top w:w="0" w:type="dxa"/>
            <w:bottom w:w="0" w:type="dxa"/>
          </w:tblCellMar>
        </w:tblPrEx>
        <w:trPr>
          <w:trHeight w:val="135"/>
        </w:trPr>
        <w:tc>
          <w:tcPr>
            <w:tcW w:w="3232" w:type="dxa"/>
          </w:tcPr>
          <w:p w:rsidR="00B44C11" w:rsidRDefault="00B44C11">
            <w:pPr>
              <w:pStyle w:val="a0"/>
              <w:ind w:left="228" w:hanging="228"/>
              <w:jc w:val="left"/>
            </w:pPr>
            <w:r>
              <w:t>Работа по дому, приготовление пищи, ремонт, работа в саду и</w:t>
            </w:r>
            <w:r>
              <w:rPr>
                <w:lang w:val="en-US"/>
              </w:rPr>
              <w:t> </w:t>
            </w:r>
            <w:r>
              <w:t>т. д. для своего домохозяйства</w:t>
            </w:r>
          </w:p>
        </w:tc>
        <w:tc>
          <w:tcPr>
            <w:tcW w:w="1348" w:type="dxa"/>
          </w:tcPr>
          <w:p w:rsidR="00B44C11" w:rsidRDefault="00B44C11">
            <w:pPr>
              <w:pStyle w:val="a0"/>
            </w:pPr>
            <w:r>
              <w:t>90,4</w:t>
            </w:r>
          </w:p>
        </w:tc>
        <w:tc>
          <w:tcPr>
            <w:tcW w:w="1010" w:type="dxa"/>
          </w:tcPr>
          <w:p w:rsidR="00B44C11" w:rsidRDefault="00B44C11">
            <w:pPr>
              <w:pStyle w:val="a0"/>
            </w:pPr>
            <w:r>
              <w:t>88,6</w:t>
            </w:r>
          </w:p>
        </w:tc>
        <w:tc>
          <w:tcPr>
            <w:tcW w:w="1701" w:type="dxa"/>
          </w:tcPr>
          <w:p w:rsidR="00B44C11" w:rsidRDefault="00B44C11">
            <w:pPr>
              <w:pStyle w:val="a0"/>
            </w:pPr>
            <w:r>
              <w:t>84,0</w:t>
            </w:r>
          </w:p>
        </w:tc>
        <w:tc>
          <w:tcPr>
            <w:tcW w:w="1134" w:type="dxa"/>
          </w:tcPr>
          <w:p w:rsidR="00B44C11" w:rsidRDefault="00B44C11">
            <w:pPr>
              <w:pStyle w:val="a0"/>
            </w:pPr>
            <w:r>
              <w:t>80,4</w:t>
            </w:r>
          </w:p>
        </w:tc>
        <w:tc>
          <w:tcPr>
            <w:tcW w:w="992" w:type="dxa"/>
          </w:tcPr>
          <w:p w:rsidR="00B44C11" w:rsidRDefault="00B44C11">
            <w:pPr>
              <w:pStyle w:val="a0"/>
            </w:pPr>
            <w:r>
              <w:t>79,2</w:t>
            </w:r>
          </w:p>
        </w:tc>
      </w:tr>
      <w:tr w:rsidR="00B44C11">
        <w:tblPrEx>
          <w:tblCellMar>
            <w:top w:w="0" w:type="dxa"/>
            <w:bottom w:w="0" w:type="dxa"/>
          </w:tblCellMar>
        </w:tblPrEx>
        <w:trPr>
          <w:trHeight w:val="135"/>
        </w:trPr>
        <w:tc>
          <w:tcPr>
            <w:tcW w:w="3232" w:type="dxa"/>
          </w:tcPr>
          <w:p w:rsidR="00B44C11" w:rsidRDefault="00B44C11">
            <w:pPr>
              <w:pStyle w:val="a0"/>
              <w:ind w:left="228" w:hanging="228"/>
              <w:jc w:val="left"/>
            </w:pPr>
            <w:r>
              <w:t>Забота о ребенке, являющемся членом своего домохозяйства</w:t>
            </w:r>
          </w:p>
        </w:tc>
        <w:tc>
          <w:tcPr>
            <w:tcW w:w="1348" w:type="dxa"/>
          </w:tcPr>
          <w:p w:rsidR="00B44C11" w:rsidRDefault="00B44C11">
            <w:pPr>
              <w:pStyle w:val="a0"/>
            </w:pPr>
            <w:r>
              <w:t>33,6</w:t>
            </w:r>
          </w:p>
        </w:tc>
        <w:tc>
          <w:tcPr>
            <w:tcW w:w="1010" w:type="dxa"/>
          </w:tcPr>
          <w:p w:rsidR="00B44C11" w:rsidRDefault="00B44C11">
            <w:pPr>
              <w:pStyle w:val="a0"/>
            </w:pPr>
            <w:r>
              <w:t>51,4</w:t>
            </w:r>
          </w:p>
        </w:tc>
        <w:tc>
          <w:tcPr>
            <w:tcW w:w="1701" w:type="dxa"/>
          </w:tcPr>
          <w:p w:rsidR="00B44C11" w:rsidRDefault="00B44C11">
            <w:pPr>
              <w:pStyle w:val="a0"/>
            </w:pPr>
            <w:r>
              <w:t>48,2</w:t>
            </w:r>
          </w:p>
        </w:tc>
        <w:tc>
          <w:tcPr>
            <w:tcW w:w="1134" w:type="dxa"/>
          </w:tcPr>
          <w:p w:rsidR="00B44C11" w:rsidRDefault="00B44C11">
            <w:pPr>
              <w:pStyle w:val="a0"/>
            </w:pPr>
            <w:r>
              <w:t>35,6</w:t>
            </w:r>
          </w:p>
        </w:tc>
        <w:tc>
          <w:tcPr>
            <w:tcW w:w="992" w:type="dxa"/>
          </w:tcPr>
          <w:p w:rsidR="00B44C11" w:rsidRDefault="00B44C11">
            <w:pPr>
              <w:pStyle w:val="a0"/>
            </w:pPr>
            <w:r>
              <w:t>39,3</w:t>
            </w:r>
          </w:p>
        </w:tc>
      </w:tr>
      <w:tr w:rsidR="00B44C11">
        <w:tblPrEx>
          <w:tblCellMar>
            <w:top w:w="0" w:type="dxa"/>
            <w:bottom w:w="0" w:type="dxa"/>
          </w:tblCellMar>
        </w:tblPrEx>
        <w:trPr>
          <w:trHeight w:val="135"/>
        </w:trPr>
        <w:tc>
          <w:tcPr>
            <w:tcW w:w="3232" w:type="dxa"/>
          </w:tcPr>
          <w:p w:rsidR="00B44C11" w:rsidRDefault="00B44C11">
            <w:pPr>
              <w:pStyle w:val="a0"/>
              <w:ind w:left="228" w:hanging="228"/>
              <w:jc w:val="left"/>
            </w:pPr>
            <w:r>
              <w:t>Забота о заболевшем члене своего домохозяйства или члене семьи с инвалидностью</w:t>
            </w:r>
          </w:p>
        </w:tc>
        <w:tc>
          <w:tcPr>
            <w:tcW w:w="1348" w:type="dxa"/>
          </w:tcPr>
          <w:p w:rsidR="00B44C11" w:rsidRDefault="00B44C11">
            <w:pPr>
              <w:pStyle w:val="a0"/>
            </w:pPr>
            <w:r>
              <w:t>8,1</w:t>
            </w:r>
          </w:p>
        </w:tc>
        <w:tc>
          <w:tcPr>
            <w:tcW w:w="1010" w:type="dxa"/>
          </w:tcPr>
          <w:p w:rsidR="00B44C11" w:rsidRDefault="00B44C11">
            <w:pPr>
              <w:pStyle w:val="a0"/>
            </w:pPr>
            <w:r>
              <w:t>14,3</w:t>
            </w:r>
          </w:p>
        </w:tc>
        <w:tc>
          <w:tcPr>
            <w:tcW w:w="1701" w:type="dxa"/>
          </w:tcPr>
          <w:p w:rsidR="00B44C11" w:rsidRDefault="00B44C11">
            <w:pPr>
              <w:pStyle w:val="a0"/>
            </w:pPr>
            <w:r>
              <w:t>14,6</w:t>
            </w:r>
          </w:p>
        </w:tc>
        <w:tc>
          <w:tcPr>
            <w:tcW w:w="1134" w:type="dxa"/>
          </w:tcPr>
          <w:p w:rsidR="00B44C11" w:rsidRDefault="00B44C11">
            <w:pPr>
              <w:pStyle w:val="a0"/>
            </w:pPr>
            <w:r>
              <w:t>5,5</w:t>
            </w:r>
          </w:p>
        </w:tc>
        <w:tc>
          <w:tcPr>
            <w:tcW w:w="992" w:type="dxa"/>
          </w:tcPr>
          <w:p w:rsidR="00B44C11" w:rsidRDefault="00B44C11">
            <w:pPr>
              <w:pStyle w:val="a0"/>
            </w:pPr>
            <w:r>
              <w:t>8,5</w:t>
            </w:r>
          </w:p>
        </w:tc>
      </w:tr>
      <w:tr w:rsidR="00B44C11">
        <w:tblPrEx>
          <w:tblCellMar>
            <w:top w:w="0" w:type="dxa"/>
            <w:bottom w:w="0" w:type="dxa"/>
          </w:tblCellMar>
        </w:tblPrEx>
        <w:trPr>
          <w:trHeight w:val="135"/>
        </w:trPr>
        <w:tc>
          <w:tcPr>
            <w:tcW w:w="3232" w:type="dxa"/>
          </w:tcPr>
          <w:p w:rsidR="00B44C11" w:rsidRDefault="00B44C11">
            <w:pPr>
              <w:pStyle w:val="a0"/>
              <w:ind w:left="228" w:hanging="228"/>
              <w:jc w:val="left"/>
            </w:pPr>
            <w:r>
              <w:t>Забота о ребенке, не проживающем в своем домохозяйстве</w:t>
            </w:r>
          </w:p>
        </w:tc>
        <w:tc>
          <w:tcPr>
            <w:tcW w:w="1348" w:type="dxa"/>
          </w:tcPr>
          <w:p w:rsidR="00B44C11" w:rsidRDefault="00B44C11">
            <w:pPr>
              <w:pStyle w:val="a0"/>
            </w:pPr>
            <w:r>
              <w:t>20,2</w:t>
            </w:r>
          </w:p>
        </w:tc>
        <w:tc>
          <w:tcPr>
            <w:tcW w:w="1010" w:type="dxa"/>
          </w:tcPr>
          <w:p w:rsidR="00B44C11" w:rsidRDefault="00B44C11">
            <w:pPr>
              <w:pStyle w:val="a0"/>
            </w:pPr>
            <w:r>
              <w:t>29,1</w:t>
            </w:r>
          </w:p>
        </w:tc>
        <w:tc>
          <w:tcPr>
            <w:tcW w:w="1701" w:type="dxa"/>
          </w:tcPr>
          <w:p w:rsidR="00B44C11" w:rsidRDefault="00B44C11">
            <w:pPr>
              <w:pStyle w:val="a0"/>
            </w:pPr>
            <w:r>
              <w:t>21,5</w:t>
            </w:r>
          </w:p>
        </w:tc>
        <w:tc>
          <w:tcPr>
            <w:tcW w:w="1134" w:type="dxa"/>
          </w:tcPr>
          <w:p w:rsidR="00B44C11" w:rsidRDefault="00B44C11">
            <w:pPr>
              <w:pStyle w:val="a0"/>
            </w:pPr>
            <w:r>
              <w:t>6,6</w:t>
            </w:r>
          </w:p>
        </w:tc>
        <w:tc>
          <w:tcPr>
            <w:tcW w:w="992" w:type="dxa"/>
          </w:tcPr>
          <w:p w:rsidR="00B44C11" w:rsidRDefault="00B44C11">
            <w:pPr>
              <w:pStyle w:val="a0"/>
            </w:pPr>
            <w:r>
              <w:t>10,6</w:t>
            </w:r>
          </w:p>
        </w:tc>
      </w:tr>
      <w:tr w:rsidR="00B44C11">
        <w:tblPrEx>
          <w:tblCellMar>
            <w:top w:w="0" w:type="dxa"/>
            <w:bottom w:w="0" w:type="dxa"/>
          </w:tblCellMar>
        </w:tblPrEx>
        <w:trPr>
          <w:trHeight w:val="135"/>
        </w:trPr>
        <w:tc>
          <w:tcPr>
            <w:tcW w:w="3232" w:type="dxa"/>
          </w:tcPr>
          <w:p w:rsidR="00B44C11" w:rsidRDefault="00B44C11">
            <w:pPr>
              <w:pStyle w:val="a0"/>
              <w:ind w:left="228" w:hanging="228"/>
              <w:jc w:val="left"/>
            </w:pPr>
            <w:r>
              <w:t>Помощь заболевшему или инвалиду, не живущему в своем домохозяйстве</w:t>
            </w:r>
          </w:p>
        </w:tc>
        <w:tc>
          <w:tcPr>
            <w:tcW w:w="1348" w:type="dxa"/>
          </w:tcPr>
          <w:p w:rsidR="00B44C11" w:rsidRDefault="00B44C11">
            <w:pPr>
              <w:pStyle w:val="a0"/>
            </w:pPr>
            <w:r>
              <w:t>10,9</w:t>
            </w:r>
          </w:p>
        </w:tc>
        <w:tc>
          <w:tcPr>
            <w:tcW w:w="1010" w:type="dxa"/>
          </w:tcPr>
          <w:p w:rsidR="00B44C11" w:rsidRDefault="00B44C11">
            <w:pPr>
              <w:pStyle w:val="a0"/>
            </w:pPr>
            <w:r>
              <w:t>13,1</w:t>
            </w:r>
          </w:p>
        </w:tc>
        <w:tc>
          <w:tcPr>
            <w:tcW w:w="1701" w:type="dxa"/>
          </w:tcPr>
          <w:p w:rsidR="00B44C11" w:rsidRDefault="00B44C11">
            <w:pPr>
              <w:pStyle w:val="a0"/>
            </w:pPr>
            <w:r>
              <w:t>9,2</w:t>
            </w:r>
          </w:p>
        </w:tc>
        <w:tc>
          <w:tcPr>
            <w:tcW w:w="1134" w:type="dxa"/>
          </w:tcPr>
          <w:p w:rsidR="00B44C11" w:rsidRDefault="00B44C11">
            <w:pPr>
              <w:pStyle w:val="a0"/>
            </w:pPr>
            <w:r>
              <w:t>3,6</w:t>
            </w:r>
          </w:p>
        </w:tc>
        <w:tc>
          <w:tcPr>
            <w:tcW w:w="992" w:type="dxa"/>
          </w:tcPr>
          <w:p w:rsidR="00B44C11" w:rsidRDefault="00B44C11">
            <w:pPr>
              <w:pStyle w:val="a0"/>
            </w:pPr>
            <w:r>
              <w:t>6,0</w:t>
            </w:r>
          </w:p>
        </w:tc>
      </w:tr>
      <w:tr w:rsidR="00B44C11">
        <w:tblPrEx>
          <w:tblCellMar>
            <w:top w:w="0" w:type="dxa"/>
            <w:bottom w:w="0" w:type="dxa"/>
          </w:tblCellMar>
        </w:tblPrEx>
        <w:trPr>
          <w:trHeight w:val="135"/>
        </w:trPr>
        <w:tc>
          <w:tcPr>
            <w:tcW w:w="3232" w:type="dxa"/>
          </w:tcPr>
          <w:p w:rsidR="00B44C11" w:rsidRDefault="00B44C11">
            <w:pPr>
              <w:pStyle w:val="a0"/>
              <w:ind w:left="228" w:hanging="228"/>
              <w:jc w:val="left"/>
            </w:pPr>
            <w:r>
              <w:t>Другой вид помощи или добровольной работы для или через какую-либо организацию, группу или марае</w:t>
            </w:r>
          </w:p>
        </w:tc>
        <w:tc>
          <w:tcPr>
            <w:tcW w:w="1348" w:type="dxa"/>
          </w:tcPr>
          <w:p w:rsidR="00B44C11" w:rsidRDefault="00B44C11">
            <w:pPr>
              <w:pStyle w:val="a0"/>
            </w:pPr>
            <w:r>
              <w:t>18,1</w:t>
            </w:r>
          </w:p>
        </w:tc>
        <w:tc>
          <w:tcPr>
            <w:tcW w:w="1010" w:type="dxa"/>
          </w:tcPr>
          <w:p w:rsidR="00B44C11" w:rsidRDefault="00B44C11">
            <w:pPr>
              <w:pStyle w:val="a0"/>
            </w:pPr>
            <w:r>
              <w:t>23,2</w:t>
            </w:r>
          </w:p>
        </w:tc>
        <w:tc>
          <w:tcPr>
            <w:tcW w:w="1701" w:type="dxa"/>
          </w:tcPr>
          <w:p w:rsidR="00B44C11" w:rsidRDefault="00B44C11">
            <w:pPr>
              <w:pStyle w:val="a0"/>
            </w:pPr>
            <w:r>
              <w:t>14,5</w:t>
            </w:r>
          </w:p>
        </w:tc>
        <w:tc>
          <w:tcPr>
            <w:tcW w:w="1134" w:type="dxa"/>
          </w:tcPr>
          <w:p w:rsidR="00B44C11" w:rsidRDefault="00B44C11">
            <w:pPr>
              <w:pStyle w:val="a0"/>
            </w:pPr>
            <w:r>
              <w:t>8,3</w:t>
            </w:r>
          </w:p>
        </w:tc>
        <w:tc>
          <w:tcPr>
            <w:tcW w:w="992" w:type="dxa"/>
          </w:tcPr>
          <w:p w:rsidR="00B44C11" w:rsidRDefault="00B44C11">
            <w:pPr>
              <w:pStyle w:val="a0"/>
            </w:pPr>
            <w:r>
              <w:t>12,8</w:t>
            </w:r>
          </w:p>
        </w:tc>
      </w:tr>
    </w:tbl>
    <w:p w:rsidR="00B44C11" w:rsidRDefault="00B44C11">
      <w:pPr>
        <w:tabs>
          <w:tab w:val="clear" w:pos="1588"/>
          <w:tab w:val="left" w:pos="567"/>
          <w:tab w:val="left" w:pos="907"/>
          <w:tab w:val="left" w:pos="1247"/>
        </w:tabs>
      </w:pPr>
      <w:r>
        <w:t>Источник: Статистические данные по Новой Зеландии, Сосредоточение внимания на вопросах женщин (2005).</w:t>
      </w:r>
    </w:p>
    <w:p w:rsidR="00B44C11" w:rsidRDefault="00B44C11">
      <w:pPr>
        <w:tabs>
          <w:tab w:val="clear" w:pos="1588"/>
          <w:tab w:val="left" w:pos="567"/>
          <w:tab w:val="left" w:pos="907"/>
          <w:tab w:val="left" w:pos="1247"/>
        </w:tabs>
        <w:spacing w:after="200"/>
      </w:pPr>
      <w:r>
        <w:t>310.</w:t>
      </w:r>
      <w:r>
        <w:tab/>
        <w:t xml:space="preserve">В сельской местности вследствие более высокой стоимости оказания услуг небольшим и рассредоточенным общинам больше полагаются на добровольных работников для обеспечения многих услуг. Вследствие такого роста нагрузки существует озабоченность относительно истощения физических сил добровольных работников в сельской местности. Эти и иные вопросы добровольного труда были рассмотрены в </w:t>
      </w:r>
      <w:r>
        <w:rPr>
          <w:i/>
        </w:rPr>
        <w:t>Проекте политики в отношении добровольцев и добровольного труда 2002 года</w:t>
      </w:r>
      <w:r>
        <w:t xml:space="preserve">, в результате чего разрабатываются подходы для обеспечения надлежащей поддержки добровольцев, с тем чтобы они знали, что их участие ценится, в том числе путем создания Управления по вопросам общинной деятельности и Сектора добровольной работы. </w:t>
      </w:r>
    </w:p>
    <w:p w:rsidR="00B44C11" w:rsidRDefault="00B44C11">
      <w:pPr>
        <w:tabs>
          <w:tab w:val="clear" w:pos="1588"/>
          <w:tab w:val="left" w:pos="567"/>
          <w:tab w:val="left" w:pos="907"/>
          <w:tab w:val="left" w:pos="1247"/>
        </w:tabs>
      </w:pPr>
      <w:r>
        <w:t>311.</w:t>
      </w:r>
      <w:r>
        <w:tab/>
        <w:t xml:space="preserve">Чтобы дать представление о доле неоплачиваемой работы в экономике, включая добровольную работу, правительство продолжает проводить </w:t>
      </w:r>
      <w:r>
        <w:rPr>
          <w:i/>
        </w:rPr>
        <w:t>Обследование использования времени</w:t>
      </w:r>
      <w:r>
        <w:t xml:space="preserve"> и расчеты для сбора относящихся к делу данных. Данные будут подбираться с помощью </w:t>
      </w:r>
      <w:r>
        <w:rPr>
          <w:i/>
        </w:rPr>
        <w:t>Обследования использования времени</w:t>
      </w:r>
      <w:r>
        <w:t>, для того чтобы выявить и понять тенденции использования своего времени женщинами Новой Зеландии, в частности женщинами-маори, женщинами тихоокеанских народностей и этнических групп, которые, как указано выше, вносят значительный вклад в добровольную работу и выполнение культурных обязательств. Будет разработана система вспомогательных счетов для домохозяйств и некоммерческих организаций, чтобы обеспечить понимание ценности неоплачиваемого и добровольного труда.</w:t>
      </w:r>
    </w:p>
    <w:p w:rsidR="00B44C11" w:rsidRDefault="00B44C11">
      <w:pPr>
        <w:pStyle w:val="Heading3"/>
      </w:pPr>
      <w:r>
        <w:t>Участие в культурных мероприятиях</w:t>
      </w:r>
    </w:p>
    <w:p w:rsidR="00B44C11" w:rsidRDefault="00B44C11">
      <w:pPr>
        <w:tabs>
          <w:tab w:val="clear" w:pos="1588"/>
          <w:tab w:val="left" w:pos="567"/>
          <w:tab w:val="left" w:pos="907"/>
          <w:tab w:val="left" w:pos="1247"/>
        </w:tabs>
      </w:pPr>
      <w:r>
        <w:t>312.</w:t>
      </w:r>
      <w:r>
        <w:tab/>
      </w:r>
      <w:r>
        <w:rPr>
          <w:i/>
        </w:rPr>
        <w:t>Обзор культурных мероприятий 2002 года</w:t>
      </w:r>
      <w:r>
        <w:t xml:space="preserve"> выявил, что женщины (95 процентов) несколько более склонны по сравнению с мужчинами (92 процента) участвовать в одном или нескольких культурных мероприятиях, включенных в обзор. Популярные культурные мероприятия для женщин включают</w:t>
      </w:r>
      <w:r>
        <w:rPr>
          <w:lang/>
        </w:rPr>
        <w:t>:</w:t>
      </w:r>
      <w:r>
        <w:t xml:space="preserve"> театральные и музыкальные представления, посещение марае</w:t>
      </w:r>
      <w:r>
        <w:rPr>
          <w:rStyle w:val="FootnoteReference"/>
        </w:rPr>
        <w:footnoteReference w:id="92"/>
      </w:r>
      <w:r>
        <w:t xml:space="preserve"> и/или участие в этнических/культурных мероприятиях</w:t>
      </w:r>
      <w:r>
        <w:rPr>
          <w:rStyle w:val="FootnoteReference"/>
        </w:rPr>
        <w:footnoteReference w:id="93"/>
      </w:r>
      <w:r>
        <w:t>.</w:t>
      </w:r>
    </w:p>
    <w:p w:rsidR="00B44C11" w:rsidRDefault="00B44C11">
      <w:pPr>
        <w:tabs>
          <w:tab w:val="clear" w:pos="1588"/>
          <w:tab w:val="left" w:pos="567"/>
          <w:tab w:val="left" w:pos="907"/>
          <w:tab w:val="left" w:pos="1247"/>
        </w:tabs>
      </w:pPr>
      <w:r>
        <w:t>313.</w:t>
      </w:r>
      <w:r>
        <w:tab/>
        <w:t>В соответствии с переписью 2001 года женщины составляют 58 процентов лиц, работающих в области культуры, что на 2 процента выше по сравнению с данными переписи 1996 года</w:t>
      </w:r>
      <w:r>
        <w:rPr>
          <w:rStyle w:val="FootnoteReference"/>
        </w:rPr>
        <w:footnoteReference w:id="94"/>
      </w:r>
      <w:r>
        <w:t xml:space="preserve">. Однако как и женщины, работающие в других секторах, женщины, занятые в области культуры, сталкиваются с трудностями сочетания своих обязанностей по дому и уходу со своей профессиональной деятельностью. В ходе обследования </w:t>
      </w:r>
      <w:r>
        <w:rPr>
          <w:i/>
        </w:rPr>
        <w:t>"Портрет художника: обследование деятельности профессиональных художников в Новой Зеландии"</w:t>
      </w:r>
      <w:r>
        <w:rPr>
          <w:rStyle w:val="FootnoteReference"/>
        </w:rPr>
        <w:footnoteReference w:id="95"/>
      </w:r>
      <w:r>
        <w:t xml:space="preserve"> было выявлено, что:</w:t>
      </w:r>
    </w:p>
    <w:p w:rsidR="00B44C11" w:rsidRDefault="00B44C11">
      <w:pPr>
        <w:pStyle w:val="10-18"/>
      </w:pPr>
      <w:r>
        <w:sym w:font="Symbol" w:char="F0B7"/>
      </w:r>
      <w:r>
        <w:tab/>
        <w:t xml:space="preserve">Женщины-художницы по сравнению с мужчинами более склонны указывать на нехватку времени для использования возможностей профессионального развития из-за необходимости выполнять домашние обязанности (46 процентов по сравнению с 27 процентами) </w:t>
      </w:r>
    </w:p>
    <w:p w:rsidR="00B44C11" w:rsidRDefault="00B44C11">
      <w:pPr>
        <w:pStyle w:val="10-18"/>
      </w:pPr>
      <w:r>
        <w:sym w:font="Symbol" w:char="F0B7"/>
      </w:r>
      <w:r>
        <w:tab/>
        <w:t xml:space="preserve">Женщины-художницы имеют меньше шансов, чем мужчины, тратить больше времени на творческую работу по своей основной профессии из-за выполнения домашних обязанностей (45 процентов по сравнению с 31 процентом) </w:t>
      </w:r>
    </w:p>
    <w:p w:rsidR="00B44C11" w:rsidRDefault="00B44C11">
      <w:pPr>
        <w:pStyle w:val="10-18"/>
      </w:pPr>
      <w:r>
        <w:sym w:font="Symbol" w:char="F0B7"/>
      </w:r>
      <w:r>
        <w:tab/>
        <w:t>Средний доход мужчин-художников, получаемый из всех источников, более чем в два раза выше по сравнению с доходами женщин-художниц (31 500 новозеландских долл. по сравнению с 15 100 новозеландских долл.). Доход мужчин-художников, получаемый от их основной профессии, в три раза выше дохода женщин.</w:t>
      </w:r>
    </w:p>
    <w:p w:rsidR="00B44C11" w:rsidRDefault="00B44C11">
      <w:pPr>
        <w:tabs>
          <w:tab w:val="clear" w:pos="1588"/>
          <w:tab w:val="left" w:pos="567"/>
          <w:tab w:val="left" w:pos="907"/>
          <w:tab w:val="left" w:pos="1247"/>
        </w:tabs>
      </w:pPr>
      <w:r>
        <w:t>314.</w:t>
      </w:r>
      <w:r>
        <w:tab/>
        <w:t xml:space="preserve">Инициатива правительства, озаглавленная "Путь к занятости в области искусства и культуры", предпринятая в 2001 году, нацелена на оказание поддержки лицам, ищущим работу </w:t>
      </w:r>
      <w:r>
        <w:br/>
        <w:t>в сфере искусства и творческих отраслях, в получении доступа к грантам, предназначенным для финансирования творчества, а также к финансируемым правительством пособиям для поддержания дохода, включая пособия по уходу за ребенком.</w:t>
      </w:r>
    </w:p>
    <w:p w:rsidR="00B44C11" w:rsidRDefault="00B44C11">
      <w:pPr>
        <w:pStyle w:val="Heading3"/>
      </w:pPr>
      <w:r>
        <w:t>Участие в оздоровительных и спортивных мероприятиях</w:t>
      </w:r>
    </w:p>
    <w:p w:rsidR="00B44C11" w:rsidRDefault="00B44C11">
      <w:pPr>
        <w:tabs>
          <w:tab w:val="clear" w:pos="1588"/>
          <w:tab w:val="left" w:pos="567"/>
          <w:tab w:val="left" w:pos="907"/>
          <w:tab w:val="left" w:pos="1247"/>
        </w:tabs>
      </w:pPr>
      <w:r>
        <w:t>315.</w:t>
      </w:r>
      <w:r>
        <w:tab/>
        <w:t xml:space="preserve">Женщины в Новой Зеландии могут участвовать в самых разных оздоровительных и спортивных мероприятиях. Однако женщины и девочки, как правило, проявляют меньшую физическую активность по сравнению с мужчинами и мальчиками. По данным </w:t>
      </w:r>
      <w:r>
        <w:rPr>
          <w:i/>
        </w:rPr>
        <w:t>Обзора здравоохранения Новой Зеландии 2002–2003 годов</w:t>
      </w:r>
      <w:r>
        <w:rPr>
          <w:rStyle w:val="FootnoteReference"/>
        </w:rPr>
        <w:footnoteReference w:id="96"/>
      </w:r>
      <w:r>
        <w:t>, женщины по сравнению с мужчинами менее склонны к физической активности: 69,9 из 100 женщин и 78,4 из 100 мужчин можно назвать физически активными. По сравнению с мужчинами женщины несколько более склонны к сидячей работе: соотношение составляет 13,6 из 100 женщин и 10,9 из 100 мужчин, соответственно. Женщины азиатского происхождения (26,7 из 100) и тихоокеанских народностей (23,9 из 100) более склонны к сидячему образу жизни, чем женщины европейского происхождения и других этнических групп (12,0 из 100).</w:t>
      </w:r>
    </w:p>
    <w:p w:rsidR="00B44C11" w:rsidRDefault="00B44C11">
      <w:pPr>
        <w:tabs>
          <w:tab w:val="clear" w:pos="1588"/>
          <w:tab w:val="left" w:pos="567"/>
          <w:tab w:val="left" w:pos="907"/>
          <w:tab w:val="left" w:pos="1247"/>
        </w:tabs>
      </w:pPr>
      <w:r>
        <w:t>316.</w:t>
      </w:r>
      <w:r>
        <w:tab/>
      </w:r>
      <w:r>
        <w:rPr>
          <w:i/>
        </w:rPr>
        <w:t>Обследования занятия спортом и физической активности в Новой Зеландии</w:t>
      </w:r>
      <w:r>
        <w:rPr>
          <w:rStyle w:val="FootnoteReference"/>
        </w:rPr>
        <w:footnoteReference w:id="97"/>
      </w:r>
      <w:r>
        <w:t xml:space="preserve">, проведенные среди женщин и девочек, проявляющих физическую активность, показали, что наиболее популярными видами активности для девочек являются плавание, физические упражнения, игры на открытом воздухе и нетбол. Среди взрослых женщин наибольшей популярностью пользуются нетбол, за которым следуют гольф, теннис, конный спорт и регби. Пешие прогулки (в которых участвует 81 процент женщин) и работа в саду (67 процентов) являются двумя наиболее популярными активными видами отдыха среди женщин. </w:t>
      </w:r>
    </w:p>
    <w:p w:rsidR="00B44C11" w:rsidRDefault="00B44C11">
      <w:pPr>
        <w:tabs>
          <w:tab w:val="clear" w:pos="1588"/>
          <w:tab w:val="left" w:pos="567"/>
          <w:tab w:val="left" w:pos="907"/>
          <w:tab w:val="left" w:pos="1247"/>
        </w:tabs>
      </w:pPr>
      <w:r>
        <w:t>317.</w:t>
      </w:r>
      <w:r>
        <w:tab/>
        <w:t xml:space="preserve">В Новозеландской программе занятия спортом и активными видами отдыха содержится призыв к проявлению физической активности путем участия в национальной кампании "Пуш плей", которая призывает посвятить 30 минут в день физической активности (в рамках </w:t>
      </w:r>
      <w:r>
        <w:rPr>
          <w:i/>
        </w:rPr>
        <w:t>Стратегии: здоровое питание; полезные для здоровья действия</w:t>
      </w:r>
      <w:r>
        <w:t xml:space="preserve">). В соответствии с указанной программой также продолжалось изучение способов помочь новозеландцам стать физически более активными, в том числе через посредство </w:t>
      </w:r>
      <w:r>
        <w:rPr>
          <w:i/>
        </w:rPr>
        <w:t>Исследования препятствий к действию</w:t>
      </w:r>
      <w:r>
        <w:rPr>
          <w:rStyle w:val="FootnoteReference"/>
        </w:rPr>
        <w:footnoteReference w:id="98"/>
      </w:r>
      <w:r>
        <w:t>, проведенного в 2003 году, которое изучило мотивационные факторы и препятствия на пути проявления физической активности. Осознание таких мотивационных факторов даст возможность разрабатывать в рамках программы эффективные целевые стратегии, направленные на оказание помощи жителям Новой Зеландии в повышении их физической активности, улучшении здоровья и самооценкой.</w:t>
      </w:r>
    </w:p>
    <w:p w:rsidR="00B44C11" w:rsidRDefault="00B44C11">
      <w:pPr>
        <w:pStyle w:val="Heading4"/>
      </w:pPr>
      <w:r>
        <w:t>Элита спортсменок</w:t>
      </w:r>
    </w:p>
    <w:p w:rsidR="00B44C11" w:rsidRDefault="00B44C11">
      <w:pPr>
        <w:tabs>
          <w:tab w:val="clear" w:pos="1588"/>
          <w:tab w:val="left" w:pos="567"/>
          <w:tab w:val="left" w:pos="907"/>
          <w:tab w:val="left" w:pos="1247"/>
        </w:tabs>
      </w:pPr>
      <w:r>
        <w:t>318.</w:t>
      </w:r>
      <w:r>
        <w:tab/>
        <w:t>Улучшению образа новозеландских спортсменок способствовал успех спортсменок Новой Зеландии в международных соревнованиях. Женщины завоевали три из четырех золотых медалей, завоеванных на Олимпийских Играх в Афинах в 2004 году. Женские спортивные команды Новой Зеландии также продолжают успешно выступать на мировых чемпионатах.</w:t>
      </w:r>
    </w:p>
    <w:p w:rsidR="00B44C11" w:rsidRDefault="00B44C11">
      <w:pPr>
        <w:tabs>
          <w:tab w:val="clear" w:pos="1588"/>
          <w:tab w:val="left" w:pos="567"/>
          <w:tab w:val="left" w:pos="907"/>
          <w:tab w:val="left" w:pos="1247"/>
        </w:tabs>
      </w:pPr>
      <w:r>
        <w:t>319.</w:t>
      </w:r>
      <w:r>
        <w:tab/>
        <w:t xml:space="preserve">В течение последних четырех лет правительство оказывало поддержку развитию элитного спорта через Новозеландскую спортивную академию и путем инвестирования в национальные спортивные организации. В настоящее время академия предоставляет поддержку двадцати результативным видам спорта, включая два вида спорта для женщин: женский гольф и нетбол; </w:t>
      </w:r>
      <w:r>
        <w:br/>
        <w:t>а также видам спорта, в которых женщины выступают успешно, таким как велосипедный спорт, гребля и атлетика.</w:t>
      </w:r>
    </w:p>
    <w:p w:rsidR="00B44C11" w:rsidRDefault="00B44C11">
      <w:pPr>
        <w:tabs>
          <w:tab w:val="clear" w:pos="1588"/>
          <w:tab w:val="left" w:pos="567"/>
          <w:tab w:val="left" w:pos="907"/>
          <w:tab w:val="left" w:pos="1247"/>
        </w:tabs>
      </w:pPr>
      <w:r>
        <w:t>320.</w:t>
      </w:r>
      <w:r>
        <w:tab/>
        <w:t>Национальное соревнование по нетболу является единственным соревнованием по женскому виду спорта в Новой Зеландии, которое регулярно транслируется по телевидению. В уставе государственной телевещательной компании ТВНЗ отсутствуют конкретные требования в отношении трансляции мужских или женских видов спорта. Однако устав ТВНЗ требует, помимо прочего, показывать программы, которые соответствуют интересам различных зрителей, информационным потребностям и требованиям различных возрастных групп общества Новой Зеландии.</w:t>
      </w:r>
    </w:p>
    <w:p w:rsidR="00B44C11" w:rsidRDefault="00B44C11">
      <w:pPr>
        <w:pStyle w:val="Heading3"/>
      </w:pPr>
      <w:r>
        <w:t>Социальное и экономическое развитие</w:t>
      </w:r>
    </w:p>
    <w:p w:rsidR="00B44C11" w:rsidRDefault="00B44C11">
      <w:pPr>
        <w:tabs>
          <w:tab w:val="clear" w:pos="1588"/>
          <w:tab w:val="left" w:pos="567"/>
          <w:tab w:val="left" w:pos="907"/>
          <w:tab w:val="left" w:pos="1247"/>
        </w:tabs>
      </w:pPr>
      <w:r>
        <w:t>321.</w:t>
      </w:r>
      <w:r>
        <w:tab/>
        <w:t xml:space="preserve">Тема "социальной ответственности" рассматривалась при реализации проектов с 1999 года. Под социальной ответственностью правительство Новой Зеландии подразумевает, что содействие социальному благосостоянию, которое оценивается по ряду параметров, является таким же важным, как и разумное управление финансовыми средствами. В </w:t>
      </w:r>
      <w:r>
        <w:rPr>
          <w:i/>
        </w:rPr>
        <w:t>Докладе о социальном развитии</w:t>
      </w:r>
      <w:r>
        <w:t>, впервые опубликованном в 2001 году и ежегодно публикуемом начиная с 2003 года, проводится мониторинг тенденций в ряде показателей в десяти областях, включающих здравоохранение, оплачиваемую работу, самобытность культуры и общественные связи. По возможности представляются дезагрегированные данные с разбивкой по полу и этнической принадлежности.</w:t>
      </w:r>
    </w:p>
    <w:p w:rsidR="00B44C11" w:rsidRDefault="00B44C11">
      <w:pPr>
        <w:pStyle w:val="Heading4"/>
      </w:pPr>
      <w:r>
        <w:t>Социальная помощь</w:t>
      </w:r>
    </w:p>
    <w:p w:rsidR="00B44C11" w:rsidRDefault="00B44C11">
      <w:pPr>
        <w:tabs>
          <w:tab w:val="clear" w:pos="1588"/>
          <w:tab w:val="left" w:pos="567"/>
          <w:tab w:val="left" w:pos="907"/>
          <w:tab w:val="left" w:pos="1247"/>
        </w:tabs>
      </w:pPr>
      <w:r>
        <w:t>322.</w:t>
      </w:r>
      <w:r>
        <w:tab/>
        <w:t>Женщины пользуются теми же правами, что и мужчины, при получении государственных пособий, включая пособия по безработице, пособия на семейные цели, взносы в пенсионный фонд Новой Зеландии</w:t>
      </w:r>
      <w:r>
        <w:rPr>
          <w:rStyle w:val="FootnoteReference"/>
        </w:rPr>
        <w:footnoteReference w:id="99"/>
      </w:r>
      <w:r>
        <w:t>. Существует два вида пособий, которые выдаются только женщинам. Это пособие для вдов, которые потеряли своих мужей или партнеров, и пособие на семейные цели: пособие только для женщин, которое предоставляется для некоторых одиноких женщин старше 50 лет. Лица, не имеющие права на получение таких пособий, могут обратиться за пособием в связи с чрезвычайной ситуацией, если они испытывают лишения.</w:t>
      </w:r>
    </w:p>
    <w:p w:rsidR="00B44C11" w:rsidRDefault="00B44C11">
      <w:pPr>
        <w:tabs>
          <w:tab w:val="clear" w:pos="1588"/>
          <w:tab w:val="left" w:pos="567"/>
          <w:tab w:val="left" w:pos="907"/>
          <w:tab w:val="left" w:pos="1247"/>
        </w:tabs>
      </w:pPr>
      <w:r>
        <w:t>323.</w:t>
      </w:r>
      <w:r>
        <w:tab/>
        <w:t xml:space="preserve">Начиная с 2001 года </w:t>
      </w:r>
      <w:r>
        <w:rPr>
          <w:caps/>
        </w:rPr>
        <w:t>м</w:t>
      </w:r>
      <w:r>
        <w:t>инистерство социального развития проводит работу по осуществлению реформы системы социальной помощи, называемой проектом будущих направлений. Первый этап проекта будущих направлений включает пакет помощи семьям (для получения более подробных данных см. Статью 16: Брак и семейная жизнь). Второй этап проекта будущих направлений, объявленный в феврале 2005 года, будет включать разработку единого основного пособия наряду с усовершенствованной службой занятости для замены ряда существующих в настоящее время пособий, правил и прав на получение социальной помощи. Это изменение нацелено на дальнейшую разработку системы, ориентированной на работу, которая по возможности предоставит больше перспектив для лиц, ищущих работу.</w:t>
      </w:r>
    </w:p>
    <w:p w:rsidR="00B44C11" w:rsidRDefault="00B44C11">
      <w:pPr>
        <w:pStyle w:val="Heading3"/>
      </w:pPr>
      <w:r>
        <w:t>Финансовая консультация</w:t>
      </w:r>
    </w:p>
    <w:p w:rsidR="00B44C11" w:rsidRDefault="00B44C11">
      <w:pPr>
        <w:tabs>
          <w:tab w:val="clear" w:pos="1588"/>
          <w:tab w:val="left" w:pos="567"/>
          <w:tab w:val="left" w:pos="907"/>
          <w:tab w:val="left" w:pos="1247"/>
        </w:tabs>
      </w:pPr>
      <w:r>
        <w:t>324.</w:t>
      </w:r>
      <w:r>
        <w:tab/>
        <w:t>Женщины, особенно женщины-маори, сообщают о трудностях в получении финансовых кредитов. В отношении ссуды коммерческим предприятиям в настоящее время проводится работа по обеспечению лучшего понимания вопроса различными группами женщин.</w:t>
      </w:r>
    </w:p>
    <w:p w:rsidR="00B44C11" w:rsidRDefault="00B44C11">
      <w:pPr>
        <w:tabs>
          <w:tab w:val="clear" w:pos="1588"/>
          <w:tab w:val="left" w:pos="567"/>
          <w:tab w:val="left" w:pos="907"/>
          <w:tab w:val="left" w:pos="1247"/>
        </w:tabs>
      </w:pPr>
      <w:r>
        <w:t>325.</w:t>
      </w:r>
      <w:r>
        <w:tab/>
        <w:t>Для женщин, стремящихся достичь экономической независимости, важно получить необходимые средства и знания для управления своими финансами. У Пенсионной комиссии имеется ряд инициатив, направленных на повышение качества предоставляемых финансовых консультаций женщинам и на содействие лучшему пониманию ими пенсионных сберегательных проектов, чтобы помочь женщинам обеспечить их будущее, а также будущее их семей/ванау.</w:t>
      </w:r>
    </w:p>
    <w:p w:rsidR="00B44C11" w:rsidRDefault="00B44C11">
      <w:pPr>
        <w:pStyle w:val="Heading3"/>
      </w:pPr>
      <w:r>
        <w:t>Обеспечение жильем</w:t>
      </w:r>
    </w:p>
    <w:p w:rsidR="00B44C11" w:rsidRDefault="00B44C11">
      <w:pPr>
        <w:tabs>
          <w:tab w:val="clear" w:pos="1588"/>
          <w:tab w:val="left" w:pos="567"/>
          <w:tab w:val="left" w:pos="907"/>
          <w:tab w:val="left" w:pos="1247"/>
        </w:tabs>
      </w:pPr>
      <w:r>
        <w:t>326.</w:t>
      </w:r>
      <w:r>
        <w:tab/>
        <w:t xml:space="preserve">Правительство оказывает помощь в получении жилья для жителей Новой Зеландии </w:t>
      </w:r>
      <w:r>
        <w:br/>
        <w:t>с низкими доходами путем предоставления квартирных пособий, государственного жилья и жилищных кредитов.</w:t>
      </w:r>
    </w:p>
    <w:p w:rsidR="00B44C11" w:rsidRDefault="00B44C11">
      <w:pPr>
        <w:tabs>
          <w:tab w:val="clear" w:pos="1588"/>
          <w:tab w:val="left" w:pos="567"/>
          <w:tab w:val="left" w:pos="907"/>
          <w:tab w:val="left" w:pos="1247"/>
        </w:tabs>
      </w:pPr>
      <w:r>
        <w:t>327.</w:t>
      </w:r>
      <w:r>
        <w:tab/>
      </w:r>
      <w:r>
        <w:rPr>
          <w:i/>
        </w:rPr>
        <w:t>Стратегия Новой Зеландии по обеспечению жильем</w:t>
      </w:r>
      <w:r>
        <w:t xml:space="preserve">, реализация которой была начата в мае 2005 года, нацелена на обеспечение того, чтобы Новая Зеландия продолжала иметь жилье приемлемого качества, удовлетворяющее потребности всех новозеландцев. В одном  из семи направлений действия </w:t>
      </w:r>
      <w:r>
        <w:rPr>
          <w:i/>
        </w:rPr>
        <w:t>Стратегии</w:t>
      </w:r>
      <w:r>
        <w:t xml:space="preserve">: "Удовлетворение различных потребностей" уделяется особое внимание потребностям женщин. В соответствии с этим направлением </w:t>
      </w:r>
      <w:r>
        <w:rPr>
          <w:i/>
        </w:rPr>
        <w:t xml:space="preserve">Стратегии </w:t>
      </w:r>
      <w:r>
        <w:t xml:space="preserve">будут разрабатываться программы обеспечения жильем групп населения, потребности которых </w:t>
      </w:r>
      <w:r>
        <w:br/>
        <w:t xml:space="preserve">в социальной области, здравоохранении и в сфере услуг не всегда удовлетворяются при имеющемся рынке жилья. В эти группы входят пожилые люди, женщины, дети и молодые люди, </w:t>
      </w:r>
      <w:r>
        <w:br/>
        <w:t xml:space="preserve">а также инвалиды, маори, жители тихоокеанских островов и этнические общины. </w:t>
      </w:r>
      <w:r>
        <w:rPr>
          <w:i/>
        </w:rPr>
        <w:t>Стратегия</w:t>
      </w:r>
      <w:r>
        <w:t xml:space="preserve"> также содержит инициативы, направленные на улучшение жилищных условий в сельской местности. </w:t>
      </w:r>
    </w:p>
    <w:p w:rsidR="00B44C11" w:rsidRDefault="00B44C11">
      <w:pPr>
        <w:pStyle w:val="H1"/>
      </w:pPr>
      <w:bookmarkStart w:id="69" w:name="_Toc145842186"/>
      <w:r>
        <w:t>Статья 14</w:t>
      </w:r>
      <w:bookmarkEnd w:id="69"/>
    </w:p>
    <w:p w:rsidR="00B44C11" w:rsidRDefault="00B44C11">
      <w:pPr>
        <w:pStyle w:val="H1"/>
      </w:pPr>
      <w:bookmarkStart w:id="70" w:name="_Toc145842187"/>
      <w:r>
        <w:t>Женщины, проживающие в сельской местности</w:t>
      </w:r>
      <w:bookmarkEnd w:id="70"/>
    </w:p>
    <w:p w:rsidR="00B44C11" w:rsidRDefault="00B44C11">
      <w:pPr>
        <w:pStyle w:val="Heading3"/>
      </w:pPr>
      <w:r>
        <w:t>Введение</w:t>
      </w:r>
    </w:p>
    <w:p w:rsidR="00B44C11" w:rsidRDefault="00B44C11">
      <w:pPr>
        <w:tabs>
          <w:tab w:val="clear" w:pos="1588"/>
          <w:tab w:val="left" w:pos="567"/>
          <w:tab w:val="left" w:pos="907"/>
          <w:tab w:val="left" w:pos="1247"/>
        </w:tabs>
      </w:pPr>
      <w:r>
        <w:t>328.</w:t>
      </w:r>
      <w:r>
        <w:tab/>
        <w:t>Население Новой Зеландии является крайне урбанизированным: лишь 15 процентов мужского и 13 процентов женского населения страны живут в сельской местности</w:t>
      </w:r>
      <w:r>
        <w:rPr>
          <w:rStyle w:val="FootnoteReference"/>
        </w:rPr>
        <w:footnoteReference w:id="100"/>
      </w:r>
      <w:r>
        <w:t>. Начиная с 1996 года наблюдается незначительное перемещение как женщин, так и мужчин из менее населенных районов в основные городские районы. Эта тенденция прослеживается у всех этнических групп</w:t>
      </w:r>
      <w:r>
        <w:rPr>
          <w:rStyle w:val="FootnoteReference"/>
        </w:rPr>
        <w:footnoteReference w:id="101"/>
      </w:r>
      <w:r>
        <w:t>. Единственным противовесом этой тенденции является специфическая тенденция миграции пожилых женщин-маори (старше 60 лет) в сельские местности, предполагающая иметь опору в дальнейшей жизни на крепкие родственные связи и родовые корни</w:t>
      </w:r>
      <w:r>
        <w:rPr>
          <w:rStyle w:val="FootnoteReference"/>
        </w:rPr>
        <w:footnoteReference w:id="102"/>
      </w:r>
      <w:r>
        <w:t>. Среди групп пожилых женщин европейского происхождения и в меньшей степени – тихоокеанских народностей наблюдается тенденция к концентрации в городских районах. Возможно, это вызвано желанием быть ближе к семье, удобствам и услугам или к учреждениям для престарелых, которые располагаются главным образом в городских районах</w:t>
      </w:r>
      <w:r>
        <w:rPr>
          <w:rStyle w:val="FootnoteReference"/>
        </w:rPr>
        <w:footnoteReference w:id="103"/>
      </w:r>
      <w:r>
        <w:t>.</w:t>
      </w:r>
    </w:p>
    <w:p w:rsidR="00B44C11" w:rsidRDefault="00B44C11">
      <w:pPr>
        <w:tabs>
          <w:tab w:val="clear" w:pos="1588"/>
          <w:tab w:val="left" w:pos="567"/>
          <w:tab w:val="left" w:pos="907"/>
          <w:tab w:val="left" w:pos="1247"/>
        </w:tabs>
      </w:pPr>
      <w:r>
        <w:t>329.</w:t>
      </w:r>
      <w:r>
        <w:tab/>
        <w:t>Характер сельской жизни в Новой Зеландии меняется. Хотя сельское хозяйство традиционно является основой сельской экономики, сельские районы Новой Зеландии охватывают многие другие отрасли. В сельской местности наблюдается расширение различных видов деятельности, поэтому все больше сельских женщин живут не на фермах и не на доходы от фермерских хозяйств. Сокращение численности сельского населения и появление новых нетрадиционных видов бизнеса и отраслей также привносят изменения в провинциальные и сельские общины.</w:t>
      </w:r>
    </w:p>
    <w:p w:rsidR="00B44C11" w:rsidRDefault="00B44C11">
      <w:pPr>
        <w:tabs>
          <w:tab w:val="clear" w:pos="1588"/>
          <w:tab w:val="left" w:pos="567"/>
          <w:tab w:val="left" w:pos="907"/>
          <w:tab w:val="left" w:pos="1247"/>
        </w:tabs>
      </w:pPr>
      <w:r>
        <w:t>330.</w:t>
      </w:r>
      <w:r>
        <w:tab/>
        <w:t>Женщины, проживающие в сельской местности, пользуются теми же правами, что и сельские мужчины, и так же, как и женщины и мужчины, проживающие в городских районах, получают доступ к государственным услугам, включая социальную помощь, образование и медицинское обслуживание. Таким образом, политика правительства, упоминавшаяся в соответствии с другими статьями по улучшению положения женщин, в равной мере применима и к женщинам, проживающим в сельской местности. Однако существуют области, в которых сельские женщины испытывают трудности в отличие от других женщин, например в доступе к услугам, а также испытывают чувство изолированности, отсюда вытекает необходимость разработки политических мер и инициатив специально для женщин, проживающих в сельской местности.</w:t>
      </w:r>
    </w:p>
    <w:p w:rsidR="00B44C11" w:rsidRDefault="00B44C11">
      <w:pPr>
        <w:pStyle w:val="Heading3"/>
      </w:pPr>
      <w:r>
        <w:t>Доступ к услугам</w:t>
      </w:r>
    </w:p>
    <w:p w:rsidR="00B44C11" w:rsidRDefault="00B44C11">
      <w:pPr>
        <w:tabs>
          <w:tab w:val="clear" w:pos="1588"/>
          <w:tab w:val="left" w:pos="567"/>
          <w:tab w:val="left" w:pos="907"/>
          <w:tab w:val="left" w:pos="1247"/>
        </w:tabs>
      </w:pPr>
      <w:r>
        <w:t>331.</w:t>
      </w:r>
      <w:r>
        <w:tab/>
        <w:t xml:space="preserve">Женщины в сельских и отдаленных районах, могут столкнуться с ограниченным доступом </w:t>
      </w:r>
      <w:r>
        <w:br/>
        <w:t xml:space="preserve">к таким услугам, как здравоохранение, образование и телекоммуникационное обслуживание. Это происходит из-за высоких государственных и промышленных затрат, требуемых на обеспечение этих услуг в районах с относительно малочисленным населением, несмотря на потребность в таких услугах. </w:t>
      </w:r>
    </w:p>
    <w:p w:rsidR="00B44C11" w:rsidRDefault="00B44C11">
      <w:pPr>
        <w:pStyle w:val="Heading4"/>
      </w:pPr>
      <w:r>
        <w:t>Услуги "Хартленд"</w:t>
      </w:r>
    </w:p>
    <w:p w:rsidR="00B44C11" w:rsidRDefault="00B44C11">
      <w:pPr>
        <w:tabs>
          <w:tab w:val="clear" w:pos="1588"/>
          <w:tab w:val="left" w:pos="567"/>
          <w:tab w:val="left" w:pos="907"/>
          <w:tab w:val="left" w:pos="1247"/>
        </w:tabs>
      </w:pPr>
      <w:r>
        <w:t>332.</w:t>
      </w:r>
      <w:r>
        <w:tab/>
        <w:t>Как отмечалось в предыдущем докладе, признавая особые трудности, с которыми сталкиваются новозеландцы, проживающие в сельских или отдаленных районах, правительство реализовало инициативу "Хартленд" по предоставлению услуг, в соответствии с которой:</w:t>
      </w:r>
    </w:p>
    <w:p w:rsidR="00B44C11" w:rsidRDefault="00B44C11">
      <w:pPr>
        <w:pStyle w:val="10-18"/>
      </w:pPr>
      <w:r>
        <w:sym w:font="Symbol" w:char="F0B7"/>
      </w:r>
      <w:r>
        <w:tab/>
        <w:t>улучшается доступ лиц, проживающих в сельской местности, к государственным услугам;</w:t>
      </w:r>
    </w:p>
    <w:p w:rsidR="00B44C11" w:rsidRDefault="00B44C11">
      <w:pPr>
        <w:pStyle w:val="10-18"/>
      </w:pPr>
      <w:r>
        <w:sym w:font="Symbol" w:char="F0B7"/>
      </w:r>
      <w:r>
        <w:tab/>
        <w:t xml:space="preserve">улучшается сотрудничество между учреждениями в интересах сельских жителей; </w:t>
      </w:r>
    </w:p>
    <w:p w:rsidR="00B44C11" w:rsidRDefault="00B44C11">
      <w:pPr>
        <w:pStyle w:val="10-18"/>
      </w:pPr>
      <w:r>
        <w:sym w:font="Symbol" w:char="F0B7"/>
      </w:r>
      <w:r>
        <w:tab/>
        <w:t>оказывается поддержка общинным/добровольным учреждениям в сельской местности.</w:t>
      </w:r>
    </w:p>
    <w:p w:rsidR="00B44C11" w:rsidRDefault="00B44C11">
      <w:pPr>
        <w:tabs>
          <w:tab w:val="clear" w:pos="1588"/>
          <w:tab w:val="left" w:pos="567"/>
          <w:tab w:val="left" w:pos="907"/>
          <w:tab w:val="left" w:pos="1247"/>
        </w:tabs>
      </w:pPr>
      <w:r>
        <w:t>333.</w:t>
      </w:r>
      <w:r>
        <w:tab/>
        <w:t xml:space="preserve">Центры услуг "Хартленд" обеспечивают комплексное обслуживание в сельской местности, где местные жители могут получить доступ к различным государственным и иным соответствующим услугам, включая услуги социальной поддержки, услуги в области здравоохранения, обеспечение жильем, работой, юридические, банковские и почтовые услуги. Услуги "Хартленд" начали предоставляться в 2001 году, и в настоящее время существует 33 сельских центра на всей территории Новой Зеландии. Инициатива "Хартленд" также включает программу предоставления информационно-пропагандистских услуг, которые осуществляются </w:t>
      </w:r>
      <w:r>
        <w:br/>
        <w:t>в форме координированных поездок представителей ряда учреждений в отдаленные общины один или два раза в месяц для предоставления индивидуальных услуг сельским потребителям.</w:t>
      </w:r>
    </w:p>
    <w:p w:rsidR="00B44C11" w:rsidRDefault="00B44C11">
      <w:pPr>
        <w:tabs>
          <w:tab w:val="clear" w:pos="1588"/>
          <w:tab w:val="left" w:pos="567"/>
          <w:tab w:val="left" w:pos="907"/>
          <w:tab w:val="left" w:pos="1247"/>
        </w:tabs>
      </w:pPr>
      <w:r>
        <w:t>334.</w:t>
      </w:r>
      <w:r>
        <w:tab/>
        <w:t>В 2003 году проводилась оценка реализации услуг инициативы "Хартленд". Результаты оценки показывают хорошую реализацию инициативы, а также улучшение доступа новозеландских сельских жителей к услугам благодаря улучшению сотрудничества между различными учреждениями и вследствие приверженности в своей работе и гибкости местных координаторов.</w:t>
      </w:r>
    </w:p>
    <w:p w:rsidR="00B44C11" w:rsidRDefault="00B44C11">
      <w:pPr>
        <w:pStyle w:val="Heading4"/>
        <w:spacing w:after="200"/>
      </w:pPr>
      <w:r>
        <w:br w:type="page"/>
        <w:t xml:space="preserve">Здравоохранение </w:t>
      </w:r>
    </w:p>
    <w:p w:rsidR="00B44C11" w:rsidRDefault="00B44C11">
      <w:pPr>
        <w:tabs>
          <w:tab w:val="clear" w:pos="1588"/>
          <w:tab w:val="left" w:pos="567"/>
          <w:tab w:val="left" w:pos="907"/>
          <w:tab w:val="left" w:pos="1247"/>
        </w:tabs>
        <w:spacing w:after="200"/>
      </w:pPr>
      <w:r>
        <w:t>335.</w:t>
      </w:r>
      <w:r>
        <w:tab/>
        <w:t xml:space="preserve">В ходе осуществления новозеландской </w:t>
      </w:r>
      <w:r>
        <w:rPr>
          <w:i/>
        </w:rPr>
        <w:t>Стратегии в области первичной медико-санитарной помощи</w:t>
      </w:r>
      <w:r>
        <w:t xml:space="preserve"> было выявлено, что проблемы здравоохранения в сельской местности, включая сохранение соответствующих трудовых ресурсов в области здравоохранения, требуют особого внимания. Дополнительными трудностями, с которыми сталкиваются женщины, проживающие в сельской местности, является ограниченный доступ к таким услугам, как услуги в связи с беременностью и родами, услуги по оказанию помощи находящимся на иждивении членам семьи и возможности для профессиональной подготовки сельских медицинских работников.</w:t>
      </w:r>
    </w:p>
    <w:p w:rsidR="00B44C11" w:rsidRDefault="00B44C11">
      <w:pPr>
        <w:tabs>
          <w:tab w:val="clear" w:pos="1588"/>
          <w:tab w:val="left" w:pos="567"/>
          <w:tab w:val="left" w:pos="907"/>
          <w:tab w:val="left" w:pos="1247"/>
        </w:tabs>
        <w:spacing w:after="200"/>
      </w:pPr>
      <w:r>
        <w:t>336.</w:t>
      </w:r>
      <w:r>
        <w:tab/>
        <w:t xml:space="preserve">С целью улучшения доступа проживающих в сельской местности женщин и девочек к услугам медико-санитарной помощи правительство (через сельскую консультативную группу экспертов </w:t>
      </w:r>
      <w:r>
        <w:rPr>
          <w:caps/>
        </w:rPr>
        <w:t>м</w:t>
      </w:r>
      <w:r>
        <w:t>инистерства здравоохранения) разработало план обеспечения доступных и адекватных услуг первичной медико-санитарной помощи для жителей, проживающих в сельской местности Новой Зеландии. Выполнение плана будет обеспечиваться следующим образом:</w:t>
      </w:r>
    </w:p>
    <w:p w:rsidR="00B44C11" w:rsidRDefault="00B44C11">
      <w:pPr>
        <w:pStyle w:val="10-18"/>
        <w:spacing w:after="200"/>
      </w:pPr>
      <w:r>
        <w:sym w:font="Symbol" w:char="F0B7"/>
      </w:r>
      <w:r>
        <w:tab/>
        <w:t>создание условий для реализации возможностей и поддержки разработанных на местном уровне решений вопросов первичного медико-санитарного обслуживания;</w:t>
      </w:r>
    </w:p>
    <w:p w:rsidR="00B44C11" w:rsidRDefault="00B44C11">
      <w:pPr>
        <w:pStyle w:val="10-18"/>
        <w:spacing w:after="200"/>
      </w:pPr>
      <w:r>
        <w:sym w:font="Symbol" w:char="F0B7"/>
      </w:r>
      <w:r>
        <w:tab/>
        <w:t>обеспечение равноправного и эффективного доступа к ряду соответствующих качественных услуг первичной медико-санитарной помощи, предоставляемых в рамках сельской общины или на приемлемом расстоянии от места проживания с точки зрения времени;</w:t>
      </w:r>
    </w:p>
    <w:p w:rsidR="00B44C11" w:rsidRDefault="00B44C11">
      <w:pPr>
        <w:pStyle w:val="10-18"/>
        <w:spacing w:after="200"/>
      </w:pPr>
      <w:r>
        <w:sym w:font="Symbol" w:char="F0B7"/>
      </w:r>
      <w:r>
        <w:tab/>
        <w:t xml:space="preserve">подготовка, поддержание и набор квалифицированных многопрофильных сельских медицинских работников, работающих в атмосфере сотрудничества, координации работы и взаимопомощи. </w:t>
      </w:r>
    </w:p>
    <w:p w:rsidR="00B44C11" w:rsidRDefault="00B44C11">
      <w:pPr>
        <w:tabs>
          <w:tab w:val="clear" w:pos="1588"/>
          <w:tab w:val="left" w:pos="567"/>
          <w:tab w:val="left" w:pos="907"/>
          <w:tab w:val="left" w:pos="1247"/>
        </w:tabs>
        <w:spacing w:after="200"/>
      </w:pPr>
      <w:r>
        <w:t>337.</w:t>
      </w:r>
      <w:r>
        <w:tab/>
        <w:t xml:space="preserve">Цели плана будут реализованы с помощью первичных учреждений здравоохранения (ПУЗ), созданных в соответствии со </w:t>
      </w:r>
      <w:r>
        <w:rPr>
          <w:i/>
        </w:rPr>
        <w:t>Стратегией в области первичной медико-санитарной помощи</w:t>
      </w:r>
      <w:r>
        <w:t>.</w:t>
      </w:r>
    </w:p>
    <w:p w:rsidR="00B44C11" w:rsidRDefault="00B44C11">
      <w:pPr>
        <w:tabs>
          <w:tab w:val="clear" w:pos="1588"/>
          <w:tab w:val="left" w:pos="567"/>
          <w:tab w:val="left" w:pos="907"/>
          <w:tab w:val="left" w:pos="1247"/>
        </w:tabs>
        <w:spacing w:after="200"/>
      </w:pPr>
      <w:r>
        <w:t>338.</w:t>
      </w:r>
      <w:r>
        <w:tab/>
        <w:t>Правительство осуществило также другие мероприятия в области здравоохранения в сельской местности, в том числе:</w:t>
      </w:r>
    </w:p>
    <w:p w:rsidR="00B44C11" w:rsidRDefault="00B44C11">
      <w:pPr>
        <w:pStyle w:val="10-18"/>
        <w:spacing w:after="200"/>
      </w:pPr>
      <w:r>
        <w:sym w:font="Symbol" w:char="F0B7"/>
      </w:r>
      <w:r>
        <w:tab/>
        <w:t>введение "сельского поправочного коэффициента" в формулу финансирования, применяемую для окружных медико-санитарных комиссий, с тем чтобы обеспечить компенсацию окружным медико-санитарным комиссиям за более высокие затраты, которые они несут при предоставлении услуг медико-санитарной помощи сельскому населению;</w:t>
      </w:r>
    </w:p>
    <w:p w:rsidR="00B44C11" w:rsidRDefault="00B44C11">
      <w:pPr>
        <w:pStyle w:val="10-18"/>
        <w:spacing w:after="200"/>
      </w:pPr>
      <w:r>
        <w:sym w:font="Symbol" w:char="F0B7"/>
      </w:r>
      <w:r>
        <w:tab/>
        <w:t>предоставление субсидий для поездок по стране и проживания для лиц, которым приходится покрывать большие расстояния, требующие больших затрат, для частого посещения специалистов, а также для лиц, у которых возникают трудности с доступом к услугам медицинских специалистов в связи с низким доходом;</w:t>
      </w:r>
    </w:p>
    <w:p w:rsidR="00B44C11" w:rsidRDefault="00B44C11">
      <w:pPr>
        <w:pStyle w:val="10-18"/>
        <w:spacing w:after="200"/>
      </w:pPr>
      <w:r>
        <w:sym w:font="Symbol" w:char="F0B7"/>
      </w:r>
      <w:r>
        <w:tab/>
        <w:t xml:space="preserve">временный проект поддержки для сельской местности и проект поддержки медицинской практики в сельской местности для приема на работу и поддержки практикующих врачей и медицинских сестер как на краткосрочной, так и долгосрочной основе; </w:t>
      </w:r>
    </w:p>
    <w:p w:rsidR="00B44C11" w:rsidRDefault="00B44C11">
      <w:pPr>
        <w:pStyle w:val="10-18"/>
      </w:pPr>
      <w:r>
        <w:sym w:font="Symbol" w:char="F0B7"/>
      </w:r>
      <w:r>
        <w:tab/>
        <w:t xml:space="preserve">предоставление стипендий практикующим медицинским сестрам в сельской местности для реализации программы усовершенствования медицинских сестер и финансирование дополнительных мест в высших учебных заведениях для студентов медицинских факультетов из сельской местности; </w:t>
      </w:r>
    </w:p>
    <w:p w:rsidR="00B44C11" w:rsidRDefault="00B44C11">
      <w:pPr>
        <w:pStyle w:val="10-18"/>
      </w:pPr>
      <w:r>
        <w:sym w:font="Symbol" w:char="F0B7"/>
      </w:r>
      <w:r>
        <w:tab/>
        <w:t>постоянное финансирование для совершенствования систем питьевой воды и для улучшения проведения санитарных работ в небольших новозеландских общинах;</w:t>
      </w:r>
    </w:p>
    <w:p w:rsidR="00B44C11" w:rsidRDefault="00B44C11">
      <w:pPr>
        <w:pStyle w:val="10-18"/>
      </w:pPr>
      <w:r>
        <w:sym w:font="Symbol" w:char="F0B7"/>
      </w:r>
      <w:r>
        <w:tab/>
        <w:t xml:space="preserve">протяжение горячей линии по медицинским вопросам – бесплатной круглосуточной телефонной медицинской консультативной службы для большинства сельских местностей; </w:t>
      </w:r>
    </w:p>
    <w:p w:rsidR="00B44C11" w:rsidRDefault="00B44C11">
      <w:pPr>
        <w:pStyle w:val="10-18"/>
      </w:pPr>
      <w:r>
        <w:sym w:font="Symbol" w:char="F0B7"/>
      </w:r>
      <w:r>
        <w:tab/>
        <w:t>организация мобильной хирургической помощи – автобуса для предоставления ряда крайне необходимых медицинских услуг сельским общинам;</w:t>
      </w:r>
    </w:p>
    <w:p w:rsidR="00B44C11" w:rsidRDefault="00B44C11">
      <w:pPr>
        <w:pStyle w:val="10-18"/>
      </w:pPr>
      <w:r>
        <w:sym w:font="Symbol" w:char="F0B7"/>
      </w:r>
      <w:r>
        <w:tab/>
        <w:t>дополнительное финансирование услуг по уходу на дому;</w:t>
      </w:r>
    </w:p>
    <w:p w:rsidR="00B44C11" w:rsidRDefault="00B44C11">
      <w:pPr>
        <w:pStyle w:val="10-18"/>
      </w:pPr>
      <w:r>
        <w:sym w:font="Symbol" w:char="F0B7"/>
      </w:r>
      <w:r>
        <w:tab/>
        <w:t>финансирование национального плана профессиональной подготовки в сфере скорой первичной медицинской помощи, который позволит всем сельским врачам и медицинским сестрам получить доступ к подготовке в сфере неотложной медицинской помощи, с тем чтобы они могли работать совместно со службой скорой медицинской помощи по улучшению реагирования на чрезвычайные ситуации в сельских местностях Новой Зеландии;</w:t>
      </w:r>
    </w:p>
    <w:p w:rsidR="00B44C11" w:rsidRDefault="00B44C11">
      <w:pPr>
        <w:pStyle w:val="10-18"/>
      </w:pPr>
      <w:r>
        <w:sym w:font="Symbol" w:char="F0B7"/>
      </w:r>
      <w:r>
        <w:tab/>
        <w:t xml:space="preserve">создание в </w:t>
      </w:r>
      <w:r>
        <w:rPr>
          <w:caps/>
        </w:rPr>
        <w:t>м</w:t>
      </w:r>
      <w:r>
        <w:t>инистерстве здравоохранения целевой группы по вопросам здравоохранения в сельской местности.</w:t>
      </w:r>
    </w:p>
    <w:p w:rsidR="00B44C11" w:rsidRDefault="00B44C11">
      <w:pPr>
        <w:pStyle w:val="Heading4"/>
      </w:pPr>
      <w:r>
        <w:t>Образование</w:t>
      </w:r>
    </w:p>
    <w:p w:rsidR="00B44C11" w:rsidRDefault="00B44C11">
      <w:pPr>
        <w:tabs>
          <w:tab w:val="clear" w:pos="1588"/>
          <w:tab w:val="left" w:pos="567"/>
          <w:tab w:val="left" w:pos="907"/>
          <w:tab w:val="left" w:pos="1247"/>
        </w:tabs>
      </w:pPr>
      <w:r>
        <w:t>339.</w:t>
      </w:r>
      <w:r>
        <w:tab/>
        <w:t>С целью улучшения доступа к профессиональной подготовке, образованию и расширения возможностей для женщин и девочек, живущих в сельской местности, правительство приняло следующие меры:</w:t>
      </w:r>
    </w:p>
    <w:p w:rsidR="00B44C11" w:rsidRDefault="00B44C11">
      <w:pPr>
        <w:pStyle w:val="10-18"/>
      </w:pPr>
      <w:r>
        <w:sym w:font="Symbol" w:char="F0B7"/>
      </w:r>
      <w:r>
        <w:tab/>
        <w:t>ввело целевое финансирование в связи с изолированностью, благодаря которому предоставляются дополнительные средства для оперативных нужд школ в изолированных районах, при этом учитываются дополнительные издержки, связанные с предоставлением товаров и услуг, требуемых для работы школ и выполнения учебного плана;</w:t>
      </w:r>
    </w:p>
    <w:p w:rsidR="00B44C11" w:rsidRDefault="00B44C11">
      <w:pPr>
        <w:pStyle w:val="10-18"/>
      </w:pPr>
      <w:r>
        <w:sym w:font="Symbol" w:char="F0B7"/>
      </w:r>
      <w:r>
        <w:tab/>
        <w:t>организовало в масштабе всей страны 13 программ сельских образовательных мероприятий, покрывающих в полном объеме весь спектр жизни общины: от раннего детства, начальной и средней школы до постоянного обучения взрослых членов общины;</w:t>
      </w:r>
    </w:p>
    <w:p w:rsidR="00B44C11" w:rsidRDefault="00B44C11">
      <w:pPr>
        <w:pStyle w:val="10-18"/>
      </w:pPr>
      <w:r>
        <w:sym w:font="Symbol" w:char="F0B7"/>
      </w:r>
      <w:r>
        <w:tab/>
        <w:t>реализовало ряд стратегий по найму на работу и сохранению учителей для сельских школ;</w:t>
      </w:r>
    </w:p>
    <w:p w:rsidR="00B44C11" w:rsidRDefault="00B44C11">
      <w:pPr>
        <w:pStyle w:val="10-18"/>
      </w:pPr>
      <w:r>
        <w:sym w:font="Symbol" w:char="F0B7"/>
      </w:r>
      <w:r>
        <w:tab/>
        <w:t>образовало группы поддержки дирекции школ для оказания помощи небольшим школам, главным образом в изолированных местностях, для совместной работы в целях повышения эффективности административного руководства;</w:t>
      </w:r>
    </w:p>
    <w:p w:rsidR="00B44C11" w:rsidRDefault="00B44C11">
      <w:pPr>
        <w:pStyle w:val="10-18"/>
      </w:pPr>
      <w:r>
        <w:sym w:font="Symbol" w:char="F0B7"/>
      </w:r>
      <w:r>
        <w:tab/>
        <w:t xml:space="preserve">обеспечило быстрый доступ в Интернет для сельских школ с помощью проекта </w:t>
      </w:r>
      <w:r>
        <w:rPr>
          <w:lang w:val="en-US"/>
        </w:rPr>
        <w:t>PROBE</w:t>
      </w:r>
      <w:r>
        <w:t xml:space="preserve"> (периферийного широкополосного расширения);</w:t>
      </w:r>
    </w:p>
    <w:p w:rsidR="00B44C11" w:rsidRDefault="00B44C11">
      <w:pPr>
        <w:pStyle w:val="10-18"/>
      </w:pPr>
      <w:r>
        <w:sym w:font="Symbol" w:char="F0B7"/>
      </w:r>
      <w:r>
        <w:tab/>
        <w:t>предоставило бесплатную услугу по организации видеоконференций для всех школ, чтобы сельские школы могли сотрудничать со школами в других районах, обмениваясь учителями и ресурсами;</w:t>
      </w:r>
    </w:p>
    <w:p w:rsidR="00B44C11" w:rsidRDefault="00B44C11">
      <w:pPr>
        <w:pStyle w:val="10-18"/>
      </w:pPr>
      <w:r>
        <w:sym w:font="Symbol" w:char="F0B7"/>
      </w:r>
      <w:r>
        <w:tab/>
        <w:t xml:space="preserve">ввело программу использования компактных портативных компьютеров для учителей </w:t>
      </w:r>
      <w:r>
        <w:br/>
        <w:t>с выплатой субсидий учителям на покрытие расходов на компьютеры;</w:t>
      </w:r>
    </w:p>
    <w:p w:rsidR="00B44C11" w:rsidRDefault="00B44C11">
      <w:pPr>
        <w:pStyle w:val="10-18"/>
      </w:pPr>
      <w:r>
        <w:sym w:font="Symbol" w:char="F0B7"/>
      </w:r>
      <w:r>
        <w:tab/>
        <w:t>внедрило новую систему дополнительных услуг для небольших дошкольных учреждений как на основе общины, так и на частной основе для поддержания доступа к качественным услугам для родителей в сельских изолированных местностях;</w:t>
      </w:r>
    </w:p>
    <w:p w:rsidR="00B44C11" w:rsidRDefault="00B44C11">
      <w:pPr>
        <w:pStyle w:val="10-18"/>
      </w:pPr>
      <w:r>
        <w:sym w:font="Symbol" w:char="F0B7"/>
      </w:r>
      <w:r>
        <w:tab/>
        <w:t>увеличило стипендии в школах-интернатах, чтобы помочь сельским жителям Новой Зеландии получить доступ к тем же возможностям в области образования, которые имеются у их городских сверстников; и</w:t>
      </w:r>
    </w:p>
    <w:p w:rsidR="00B44C11" w:rsidRDefault="00B44C11">
      <w:pPr>
        <w:pStyle w:val="10-18"/>
      </w:pPr>
      <w:r>
        <w:sym w:font="Symbol" w:char="F0B7"/>
      </w:r>
      <w:r>
        <w:tab/>
        <w:t>расширило сеть центров высшего образования для обучения и оценки в сельской местности и городских районах, где это было необходимо.</w:t>
      </w:r>
    </w:p>
    <w:p w:rsidR="00B44C11" w:rsidRDefault="00B44C11">
      <w:pPr>
        <w:tabs>
          <w:tab w:val="clear" w:pos="1588"/>
          <w:tab w:val="left" w:pos="567"/>
          <w:tab w:val="left" w:pos="907"/>
          <w:tab w:val="left" w:pos="1247"/>
        </w:tabs>
        <w:rPr>
          <w:b/>
          <w:i/>
        </w:rPr>
      </w:pPr>
      <w:r>
        <w:rPr>
          <w:b/>
          <w:i/>
        </w:rPr>
        <w:t>Услуги электросвязи</w:t>
      </w:r>
    </w:p>
    <w:p w:rsidR="00B44C11" w:rsidRDefault="00B44C11">
      <w:pPr>
        <w:tabs>
          <w:tab w:val="clear" w:pos="1588"/>
          <w:tab w:val="left" w:pos="567"/>
          <w:tab w:val="left" w:pos="907"/>
          <w:tab w:val="left" w:pos="1247"/>
        </w:tabs>
      </w:pPr>
      <w:r>
        <w:t>340.</w:t>
      </w:r>
      <w:r>
        <w:tab/>
        <w:t>Доступ к интернету и телефонной связи для жителей сельской местности является основным средством связи с остальными районами Новой Зеландии и способствует ослаблению чувства изолированности. Согласно данным переписи 2001 года, показатели доступа в интернет небольших сельских поселений (менее 300 жителей) и сельских центров (300–999 жителей) составили 37 процентов и 26 процентов, соответственно, по сравнению со средним показателем 37 процентов по стране. Показатели доступа к телефонной связи в сельских центрах (94 процента) и в небольших сельских районах (96 процентов) были сопоставлены с показателями в городских районах (96 процентов). Хотя за период, прошедший со времени представления предыдущего доклада, ситуация в отношении зоны покрытия мобильной связи в Новой Зеландии улучшилась, ряд сельских районов все еще не входит в зону покрытия мобильной связи.</w:t>
      </w:r>
    </w:p>
    <w:p w:rsidR="00B44C11" w:rsidRDefault="00B44C11">
      <w:pPr>
        <w:tabs>
          <w:tab w:val="clear" w:pos="1588"/>
          <w:tab w:val="left" w:pos="567"/>
          <w:tab w:val="left" w:pos="907"/>
          <w:tab w:val="left" w:pos="1247"/>
        </w:tabs>
      </w:pPr>
      <w:r>
        <w:t>341.</w:t>
      </w:r>
      <w:r>
        <w:tab/>
        <w:t>Правительство разработало инициативы для улучшения доступа к услугам электросвязи для сельского населения Новой Зеландии и расширения доступа к услугам государственных органов путем использования информационно-коммуникационных технологий. В число этих инициатив входят следующие:</w:t>
      </w:r>
    </w:p>
    <w:p w:rsidR="00B44C11" w:rsidRDefault="00B44C11">
      <w:pPr>
        <w:pStyle w:val="10-18"/>
      </w:pPr>
      <w:r>
        <w:sym w:font="Symbol" w:char="F0B7"/>
      </w:r>
      <w:r>
        <w:tab/>
        <w:t xml:space="preserve">Начало осуществления инициатив в области электронного доступа в органы управления и торговли для расширения возможностей связи всех жителей Новой Зеландии с органами управления. По данным обзора, проведенного в 2004 году в сфере электронного доступа </w:t>
      </w:r>
      <w:r>
        <w:br/>
        <w:t>в органы управления, женщины и мужчины, проживающие в сельской местности, отметили, что замена технических средств, плохая связь и высокая стоимость подключения по телефонной линии к провайдеру услуг интернета могут сделать доступ проблематичным. Но они все-таки считали удобным иметь возможность контактировать с органами управления таким образом, что является альтернативой использованию бесплатной услуги связи с органами управления</w:t>
      </w:r>
      <w:r>
        <w:rPr>
          <w:rStyle w:val="FootnoteReference"/>
        </w:rPr>
        <w:footnoteReference w:id="104"/>
      </w:r>
      <w:r>
        <w:t xml:space="preserve">. </w:t>
      </w:r>
    </w:p>
    <w:p w:rsidR="00B44C11" w:rsidRDefault="00B44C11">
      <w:pPr>
        <w:pStyle w:val="10-18"/>
      </w:pPr>
      <w:r>
        <w:sym w:font="Symbol" w:char="F0B7"/>
      </w:r>
      <w:r>
        <w:tab/>
        <w:t>Реализация проекта PROBE (периферийного широкополосного расширения) в 2002 году для обеспечения высокоскоростного доступа в интернет для всех школ и общин. В рамках проекта PROBE будет также обеспечено более высокое качество телефонных услуг для сельских и отдаленных общин.</w:t>
      </w:r>
    </w:p>
    <w:p w:rsidR="00B44C11" w:rsidRDefault="00B44C11">
      <w:pPr>
        <w:pStyle w:val="10-18"/>
      </w:pPr>
      <w:r>
        <w:sym w:font="Symbol" w:char="F0B7"/>
      </w:r>
      <w:r>
        <w:tab/>
        <w:t xml:space="preserve">Начало реализации в 2005 году правительственной стратегии цифровой связи. Указанная стратегия предусматривает пятилетний план создания цифровой сети для всех жителей Новой Зеландии с использованием возможностей информационно-коммуникационных технологий. Благодаря стратегии цифровой связи будет улучшен доступ населения сельских местностей к услугам здравоохранения и образования; будет осуществляться профессиональная подготовка и оказываться помощь сельским и отдаленным общинам в обеспечении работы школьных компьютеров и сетей; действие проекта PROBE будет распространено на общинные центры и сельскую предпринимательскую деятельность. </w:t>
      </w:r>
    </w:p>
    <w:p w:rsidR="00B44C11" w:rsidRDefault="00B44C11">
      <w:pPr>
        <w:pStyle w:val="Heading3"/>
      </w:pPr>
      <w:r>
        <w:t>Доступ к коммунальным услугам</w:t>
      </w:r>
    </w:p>
    <w:p w:rsidR="00B44C11" w:rsidRDefault="00B44C11">
      <w:pPr>
        <w:tabs>
          <w:tab w:val="clear" w:pos="1588"/>
          <w:tab w:val="left" w:pos="567"/>
          <w:tab w:val="left" w:pos="907"/>
          <w:tab w:val="left" w:pos="1247"/>
        </w:tabs>
      </w:pPr>
      <w:r>
        <w:t>342.</w:t>
      </w:r>
      <w:r>
        <w:tab/>
        <w:t xml:space="preserve">Сельские местные органы власти несут ответственность за обеспечение инфраструктуры, включающей дороги с защитным покрытием, электроснабжение, снабжение безопасной питьевой водой и обеспечение системы канализации в сельских районах Новой Зеландии. Проблемы, </w:t>
      </w:r>
      <w:r>
        <w:br/>
        <w:t>с которыми сталкиваются местные органы власти, различаются в масштабах всей страны, включая трудности с покрытием затрат на ввод в действие инфраструктуры в Ист-Кост, а также отсутствие доступа к канализационным системам, системам водоснабжения и электроснабжения в сельской местности Нортленд. На региональном уровне можно отметить три территориальных органа власти, которые отличаются тем, что испытывают особые трудности: Фар-Норт, Гисборн и Буллер</w:t>
      </w:r>
      <w:r>
        <w:rPr>
          <w:rStyle w:val="FootnoteReference"/>
        </w:rPr>
        <w:footnoteReference w:id="105"/>
      </w:r>
      <w:r>
        <w:t>.</w:t>
      </w:r>
    </w:p>
    <w:p w:rsidR="00B44C11" w:rsidRDefault="00B44C11">
      <w:pPr>
        <w:tabs>
          <w:tab w:val="clear" w:pos="1588"/>
          <w:tab w:val="left" w:pos="567"/>
          <w:tab w:val="left" w:pos="907"/>
          <w:tab w:val="left" w:pos="1247"/>
        </w:tabs>
      </w:pPr>
      <w:r>
        <w:t>343.</w:t>
      </w:r>
      <w:r>
        <w:tab/>
        <w:t xml:space="preserve">Как отмечено в предыдущем докладе, Закон 1992 года об энергоснабжении требует от всех компаний, занимающихся распределением электроэнергии, поддерживать существующий уровень до 2013 года. Это требование обеспечивает продолжение деятельности компаний в "нерентабельных" сельских районах. Принимая во внимание важность этого вопроса для сельских общин, в 2007 году будет проведен пересмотр этого требования для принятия решения о том, нужно ли продлять действие этого обязательства после 2013 года или срок его действия истечет в соответствии с положениями существующего </w:t>
      </w:r>
      <w:r>
        <w:rPr>
          <w:caps/>
        </w:rPr>
        <w:t>з</w:t>
      </w:r>
      <w:r>
        <w:t>акона.</w:t>
      </w:r>
    </w:p>
    <w:p w:rsidR="00B44C11" w:rsidRDefault="00B44C11">
      <w:pPr>
        <w:pStyle w:val="Heading3"/>
      </w:pPr>
      <w:r>
        <w:t>Развитие сельского предпринимательства и общин</w:t>
      </w:r>
    </w:p>
    <w:p w:rsidR="00B44C11" w:rsidRDefault="00B44C11">
      <w:pPr>
        <w:tabs>
          <w:tab w:val="clear" w:pos="1588"/>
          <w:tab w:val="left" w:pos="567"/>
          <w:tab w:val="left" w:pos="907"/>
          <w:tab w:val="left" w:pos="1247"/>
        </w:tabs>
      </w:pPr>
      <w:r>
        <w:t>344.</w:t>
      </w:r>
      <w:r>
        <w:tab/>
        <w:t>Женщины, проживающие в сельской местности, имеют те же права, что и мужчины, на участие в сельских программах развития и на получение финансирования по этим программам для проектов развития предпринимательства и общин.</w:t>
      </w:r>
    </w:p>
    <w:p w:rsidR="00B44C11" w:rsidRDefault="00B44C11">
      <w:pPr>
        <w:pStyle w:val="10-18"/>
      </w:pPr>
      <w:r>
        <w:sym w:font="Symbol" w:char="F0B7"/>
      </w:r>
      <w:r>
        <w:tab/>
        <w:t>Программы развития сельского предпринимательства, поддерживаемые правительством, включают Программу регионального партнерства, нацеленную на поддержку стратегий устойчивого экономического развития, и Фонд устойчивого сельского хозяйства, выделяющий до 9,5 млн. новозеландских долл. ежегодно на проекты, способствующие устойчивому экономическому, социальному и экологическому благосостоянию основных производителей Новой Зеландии. Проекты, имеющие целевую направленность на женщин, или проекты, инициированные женщинами, в рамках Фонда устойчивого сельского хозяйства включают следующие:</w:t>
      </w:r>
    </w:p>
    <w:p w:rsidR="00B44C11" w:rsidRDefault="00B44C11">
      <w:pPr>
        <w:pStyle w:val="10-18"/>
        <w:ind w:left="1021" w:hanging="454"/>
      </w:pPr>
      <w:r>
        <w:t>–</w:t>
      </w:r>
      <w:r>
        <w:tab/>
        <w:t>организация товарищества женщин, занимающихся пахотным земледелием;</w:t>
      </w:r>
    </w:p>
    <w:p w:rsidR="00B44C11" w:rsidRDefault="00B44C11">
      <w:pPr>
        <w:pStyle w:val="10-18"/>
        <w:ind w:left="1021" w:hanging="454"/>
      </w:pPr>
      <w:r>
        <w:t>–</w:t>
      </w:r>
      <w:r>
        <w:tab/>
        <w:t>образование группы "Женщины в сельском хозяйстве", ориентированной на эту сферу деятельности, являющейся сообществом дискуссионных групп для женщин, работающих на овцеводческих и скотоводческих фермах;</w:t>
      </w:r>
    </w:p>
    <w:p w:rsidR="00B44C11" w:rsidRDefault="00B44C11">
      <w:pPr>
        <w:pStyle w:val="10-18"/>
        <w:ind w:left="1021" w:hanging="454"/>
      </w:pPr>
      <w:r>
        <w:t>–</w:t>
      </w:r>
      <w:r>
        <w:tab/>
        <w:t>поддержка женщин-маори и ванау</w:t>
      </w:r>
      <w:r>
        <w:rPr>
          <w:rStyle w:val="FootnoteReference"/>
        </w:rPr>
        <w:footnoteReference w:id="106"/>
      </w:r>
      <w:r>
        <w:t xml:space="preserve"> в целях укрепления их роли как землевладельцев и лиц, принимающих решения, для улучшения использования земель маори.</w:t>
      </w:r>
    </w:p>
    <w:p w:rsidR="00B44C11" w:rsidRDefault="00B44C11">
      <w:pPr>
        <w:tabs>
          <w:tab w:val="clear" w:pos="1588"/>
          <w:tab w:val="left" w:pos="567"/>
          <w:tab w:val="left" w:pos="907"/>
          <w:tab w:val="left" w:pos="1247"/>
        </w:tabs>
      </w:pPr>
      <w:r>
        <w:t>345.</w:t>
      </w:r>
      <w:r>
        <w:tab/>
        <w:t xml:space="preserve">Проекты развития общин включают Программу предпринимательских сообществ, которые помогают общинам создавать возможности местной занятости и решать вопросы, связанные </w:t>
      </w:r>
      <w:r>
        <w:br/>
        <w:t xml:space="preserve">с профессиональными знаниями, путем развития бизнеса, владельцем которого является община, </w:t>
      </w:r>
      <w:r>
        <w:br/>
        <w:t>а также программу обучения и подготовки молодых специалистов на уровне общин, пилотная фаза которой обсуждалась в предыдущем докладе. Программа направлена на обмен профессиональными знаниями и наращивание потенциала. Она предоставляет гранты профессионально подготовленным специалистам с опытом работы из государственного, частного сектора, из числа членов общин и добровольцев для участия в краткосрочной и среднесрочной практической работе с организациями общин.</w:t>
      </w:r>
    </w:p>
    <w:p w:rsidR="00B44C11" w:rsidRDefault="00B44C11">
      <w:pPr>
        <w:pStyle w:val="H1"/>
      </w:pPr>
      <w:bookmarkStart w:id="71" w:name="_Toc145842188"/>
      <w:r>
        <w:t>Статья 15</w:t>
      </w:r>
      <w:bookmarkEnd w:id="71"/>
      <w:r>
        <w:t xml:space="preserve"> </w:t>
      </w:r>
    </w:p>
    <w:p w:rsidR="00B44C11" w:rsidRDefault="00B44C11">
      <w:pPr>
        <w:pStyle w:val="H1"/>
      </w:pPr>
      <w:bookmarkStart w:id="72" w:name="_Toc145842189"/>
      <w:r>
        <w:t>Равенство перед законом и в гражданских делах</w:t>
      </w:r>
      <w:bookmarkEnd w:id="72"/>
    </w:p>
    <w:p w:rsidR="00B44C11" w:rsidRDefault="00B44C11">
      <w:pPr>
        <w:pStyle w:val="Heading3"/>
      </w:pPr>
      <w:r>
        <w:t>Введение</w:t>
      </w:r>
    </w:p>
    <w:p w:rsidR="00B44C11" w:rsidRDefault="00B44C11">
      <w:pPr>
        <w:tabs>
          <w:tab w:val="clear" w:pos="1588"/>
          <w:tab w:val="left" w:pos="567"/>
          <w:tab w:val="left" w:pos="907"/>
          <w:tab w:val="left" w:pos="1247"/>
        </w:tabs>
      </w:pPr>
      <w:r>
        <w:t>346.</w:t>
      </w:r>
      <w:r>
        <w:tab/>
        <w:t>Женщины имеют полное равенство перед законом, правосубъектность и возможность осуществлять в полном объеме свои личные юридические права.</w:t>
      </w:r>
    </w:p>
    <w:p w:rsidR="00B44C11" w:rsidRDefault="00B44C11">
      <w:pPr>
        <w:tabs>
          <w:tab w:val="clear" w:pos="1588"/>
          <w:tab w:val="left" w:pos="567"/>
          <w:tab w:val="left" w:pos="907"/>
          <w:tab w:val="left" w:pos="1247"/>
        </w:tabs>
      </w:pPr>
      <w:r>
        <w:t>347.</w:t>
      </w:r>
      <w:r>
        <w:tab/>
        <w:t>Со времени представления предыдущего доклада правительство внесло изменения для улучшения доступа к правовой помощи, а также внесло поправки в законы, касающиеся половых преступлений, с тем чтобы они рассматривались без учета гендерного признака. Правительство оставило в силе специальные положения относительно женщин, содержащихся под стражей, особенно женщин с детьми.</w:t>
      </w:r>
    </w:p>
    <w:p w:rsidR="00B44C11" w:rsidRDefault="00B44C11">
      <w:pPr>
        <w:tabs>
          <w:tab w:val="clear" w:pos="1588"/>
          <w:tab w:val="left" w:pos="567"/>
          <w:tab w:val="left" w:pos="907"/>
          <w:tab w:val="left" w:pos="1247"/>
        </w:tabs>
      </w:pPr>
      <w:r>
        <w:t>348.</w:t>
      </w:r>
      <w:r>
        <w:tab/>
        <w:t>Женщины пользуются на практике теми же правами, что и мужчины, относительно, зачисления в вооруженные силы и другие оперативные подразделения, однако все еще требуется внесение изменения в законодательство для снятия оговорки Новой Зеландии к Конвенции о женщинах в вооруженных силах.</w:t>
      </w:r>
    </w:p>
    <w:p w:rsidR="00B44C11" w:rsidRDefault="00B44C11">
      <w:pPr>
        <w:pStyle w:val="Heading3"/>
      </w:pPr>
      <w:r>
        <w:t>Доступ к правовой помощи</w:t>
      </w:r>
    </w:p>
    <w:p w:rsidR="00B44C11" w:rsidRDefault="00B44C11">
      <w:pPr>
        <w:tabs>
          <w:tab w:val="clear" w:pos="1588"/>
          <w:tab w:val="left" w:pos="567"/>
          <w:tab w:val="left" w:pos="907"/>
          <w:tab w:val="left" w:pos="1247"/>
        </w:tabs>
      </w:pPr>
      <w:r>
        <w:t>349.</w:t>
      </w:r>
      <w:r>
        <w:tab/>
        <w:t>Возможность доступа к правовой помощи очень важна для женщин, чтобы они могли осуществлять свои юридические права и защищать свои интересы. Существуют различные проекты правовой помощи, а именно по уголовным и семейным делам, по вопросам трибунала Вайтанги, а также по общим гражданским вопросам. В основном женщины, как правило, имеют доступ к правовой помощи по вопросам семьи: в 2003–2004 годах доля женщин составила 75 процентов получателей правовой помощи по вопросам семьи</w:t>
      </w:r>
      <w:r>
        <w:rPr>
          <w:rStyle w:val="FootnoteReference"/>
        </w:rPr>
        <w:footnoteReference w:id="107"/>
      </w:r>
      <w:r>
        <w:t>. Правовая помощь по вопросам семьи главным образом касается вопросов ежедневного ухода за детьми-иждивенцами и/или организации контакта с ними после разрыва отношений между родителями, а также вопросов насилия в семье.</w:t>
      </w:r>
    </w:p>
    <w:p w:rsidR="00B44C11" w:rsidRDefault="00B44C11">
      <w:pPr>
        <w:tabs>
          <w:tab w:val="clear" w:pos="1588"/>
          <w:tab w:val="left" w:pos="567"/>
          <w:tab w:val="left" w:pos="907"/>
          <w:tab w:val="left" w:pos="1247"/>
        </w:tabs>
      </w:pPr>
      <w:r>
        <w:t>350.</w:t>
      </w:r>
      <w:r>
        <w:tab/>
        <w:t xml:space="preserve">В Новой Зеландии оказание правовой помощи находится в ведении Агентства юридических услуг – государственного учреждения, созданного на основании Закона о юридических услугах 2000 года. Задача Агентства заключается в обеспечении доступа к правосудию путем оказания юридических услуг, включая правовую помощь людям, которые нуждаются в них больше всего и не имеют возможности оплатить их. Агентство также финансирует исследовательскую программу в целях выявления неудовлетворенных правовых потребностей, а также выявления соответствующих изменений в обслуживании и установления первоочередных задач для устранения недостатков. Наряду с этническими и социально-экономическими вопросами гендерные факторы являются одним из ключевых направлений в этом исследовании. </w:t>
      </w:r>
    </w:p>
    <w:p w:rsidR="00B44C11" w:rsidRDefault="00B44C11">
      <w:pPr>
        <w:pStyle w:val="Heading4"/>
      </w:pPr>
      <w:r>
        <w:t>Обзор права на использование правовой помощи</w:t>
      </w:r>
    </w:p>
    <w:p w:rsidR="00B44C11" w:rsidRDefault="00B44C11">
      <w:pPr>
        <w:tabs>
          <w:tab w:val="clear" w:pos="1588"/>
          <w:tab w:val="left" w:pos="567"/>
          <w:tab w:val="left" w:pos="907"/>
          <w:tab w:val="left" w:pos="1247"/>
        </w:tabs>
      </w:pPr>
      <w:r>
        <w:t>351.</w:t>
      </w:r>
      <w:r>
        <w:tab/>
        <w:t xml:space="preserve">После представления предыдущего доклада правительство провело обзор по вопросу о праве на использование правовой помощи. Результатом этого обзора было внесение в парламент 17 мая 2005 года Законопроекта № 2 о внесении поправок в Закон о юридических услугах. </w:t>
      </w:r>
    </w:p>
    <w:p w:rsidR="00B44C11" w:rsidRDefault="00B44C11">
      <w:pPr>
        <w:tabs>
          <w:tab w:val="clear" w:pos="1588"/>
          <w:tab w:val="left" w:pos="567"/>
          <w:tab w:val="left" w:pos="907"/>
          <w:tab w:val="left" w:pos="1247"/>
        </w:tabs>
      </w:pPr>
      <w:r>
        <w:t>352.</w:t>
      </w:r>
      <w:r>
        <w:tab/>
        <w:t>Изменения, которые будут внесены в соответствии с Законопроектом, приведут к увеличению числа новозеландцев, потенциально имеющих право на получение правовой помощи: с 765 тысяч в настоящее время до 1,2 миллиона человек. Ожидается, что число грантов на получение правовой помощи увеличится на 25 тыс. и составит 85 тыс. Кроме того, пороговые величины дохода для предоставления правовой помощи по гражданским делам будут основываться на общем доходе и корректироваться в зависимости от размера семьи. Например, семья из двух взрослых и одного ребенка будет удовлетворять критериям по доходам до 36 371 новозеландского долл. В настоящее время эквивалентный уровень составляет 19 060 новозеландских долл. В будущем будет также проводиться индексация пороговых величин дохода в зависимости от инфляции.</w:t>
      </w:r>
    </w:p>
    <w:p w:rsidR="00B44C11" w:rsidRDefault="00B44C11">
      <w:pPr>
        <w:tabs>
          <w:tab w:val="clear" w:pos="1588"/>
          <w:tab w:val="left" w:pos="567"/>
          <w:tab w:val="left" w:pos="907"/>
          <w:tab w:val="left" w:pos="1247"/>
        </w:tabs>
      </w:pPr>
      <w:r>
        <w:t>353.</w:t>
      </w:r>
      <w:r>
        <w:tab/>
        <w:t>В вышеупомянутых изменениях принимаются во внимание озабоченности, отмеченные в докладе "</w:t>
      </w:r>
      <w:r>
        <w:rPr>
          <w:i/>
        </w:rPr>
        <w:t>Доступ женщин к правосудию</w:t>
      </w:r>
      <w:r>
        <w:t>", где выделен тип юридических услуг и критерии для получения права на правовую помощь в гражданских делах, которые препятствуют доступу к ним женщин с низким доходом</w:t>
      </w:r>
      <w:r>
        <w:rPr>
          <w:rStyle w:val="FootnoteReference"/>
        </w:rPr>
        <w:footnoteReference w:id="108"/>
      </w:r>
      <w:r>
        <w:t>. Предлагаемые изменения в пороговые величины дохода затронут существующий разрыв между теми, кто имеет право на получение правовой помощи, и теми, кто может себе позволить заплатить в частном порядке за юридическую консультацию. Благодаря внесению поправки будет отменен взнос в размере 50 новозеландских долл., который должны были платить обращавшиеся за правовой помощью в гражданских делах.</w:t>
      </w:r>
    </w:p>
    <w:p w:rsidR="00B44C11" w:rsidRDefault="00B44C11">
      <w:pPr>
        <w:tabs>
          <w:tab w:val="clear" w:pos="1588"/>
          <w:tab w:val="left" w:pos="567"/>
          <w:tab w:val="left" w:pos="907"/>
          <w:tab w:val="left" w:pos="1247"/>
        </w:tabs>
      </w:pPr>
      <w:r>
        <w:t>354.</w:t>
      </w:r>
      <w:r>
        <w:tab/>
        <w:t xml:space="preserve">Правовая помощь может быть предоставлена в форме займа или гранта в зависимости от обстоятельств заявителя. Это положение останется без изменений после внесения предложенных поправок. Изменения в законе дадут возможность лицам, обращающимся за помощью, рассчитать максимальный размер погашения на момент обращения и иметь более четкие положения относительно списания задолженности за юридическую помощь. Правительство заботится о том, чтобы требование о возмещении затрат не ограничивало доступа к обоснованным действиям и </w:t>
      </w:r>
      <w:r>
        <w:br/>
        <w:t>к правосудию и не вызывало серьезных финансовых трудностей.</w:t>
      </w:r>
    </w:p>
    <w:p w:rsidR="00B44C11" w:rsidRDefault="00B44C11">
      <w:pPr>
        <w:pStyle w:val="Heading3"/>
      </w:pPr>
      <w:r>
        <w:t>Женщины в уголовном судопроизводстве</w:t>
      </w:r>
    </w:p>
    <w:p w:rsidR="00B44C11" w:rsidRDefault="00B44C11">
      <w:pPr>
        <w:pStyle w:val="Heading4"/>
      </w:pPr>
      <w:r>
        <w:t>Женщины-заключенные</w:t>
      </w:r>
    </w:p>
    <w:p w:rsidR="00B44C11" w:rsidRDefault="00B44C11">
      <w:pPr>
        <w:tabs>
          <w:tab w:val="clear" w:pos="1588"/>
          <w:tab w:val="left" w:pos="567"/>
          <w:tab w:val="left" w:pos="907"/>
          <w:tab w:val="left" w:pos="1247"/>
        </w:tabs>
      </w:pPr>
      <w:r>
        <w:t>355.</w:t>
      </w:r>
      <w:r>
        <w:tab/>
        <w:t>По данным на 24 января 2006 года, женщины-заключенные составляли 461 человек из 7477 заключенных правонарушителей в Новой Зеландии, что составляет приблизительно 6 процентов от общего числа заключенных. Хотя эта величина является небольшой, за последние шесть лет число женщин заключенных увеличилось вдвое.</w:t>
      </w:r>
    </w:p>
    <w:p w:rsidR="00B44C11" w:rsidRDefault="00B44C11">
      <w:pPr>
        <w:tabs>
          <w:tab w:val="clear" w:pos="1588"/>
          <w:tab w:val="left" w:pos="567"/>
          <w:tab w:val="left" w:pos="907"/>
          <w:tab w:val="left" w:pos="1247"/>
        </w:tabs>
      </w:pPr>
      <w:r>
        <w:t>356.</w:t>
      </w:r>
      <w:r>
        <w:tab/>
        <w:t>По данным на 24 января 2006 года, из 461 женщины, содержавшейся под стражей, 371 были приговорены к тюремному заключению, 86 содержались в предварительном заключении и 4 женщины-правонарушителя временно содержались в камерах полицейского участка. Анализ этнических данных по 371 женщине, приговоренным к заключению, показал, что 55 процентов осужденных идентифицировали себя как маори, 34 процента – как европейцы, 9 процентов – как жители тихоокеанских островов и 2 процента – как лица азиатского происхождения.</w:t>
      </w:r>
    </w:p>
    <w:p w:rsidR="00B44C11" w:rsidRDefault="00B44C11">
      <w:pPr>
        <w:tabs>
          <w:tab w:val="clear" w:pos="1588"/>
          <w:tab w:val="left" w:pos="567"/>
          <w:tab w:val="left" w:pos="907"/>
          <w:tab w:val="left" w:pos="1247"/>
        </w:tabs>
      </w:pPr>
      <w:r>
        <w:t>357.</w:t>
      </w:r>
      <w:r>
        <w:tab/>
        <w:t>Контингент женщин-заключенных в Новой Зеландии можно вкратце охарактеризовать как преимущественно состоящий из молодых женщин (моложе 30 лет), не имеющих хорошего образования, осужденных главным образом за совершение насильственных преступлений, имущественных преступлений и преступлений, связанных с наркотиками. Показатель случаев повторного заключения женщин в тюрьму ниже по сравнению с показателем мужчин</w:t>
      </w:r>
      <w:r>
        <w:rPr>
          <w:rStyle w:val="FootnoteReference"/>
        </w:rPr>
        <w:footnoteReference w:id="109"/>
      </w:r>
      <w:r>
        <w:t>.</w:t>
      </w:r>
    </w:p>
    <w:p w:rsidR="00B44C11" w:rsidRDefault="00B44C11">
      <w:pPr>
        <w:tabs>
          <w:tab w:val="clear" w:pos="1588"/>
          <w:tab w:val="left" w:pos="567"/>
          <w:tab w:val="left" w:pos="907"/>
          <w:tab w:val="left" w:pos="1247"/>
        </w:tabs>
      </w:pPr>
      <w:r>
        <w:t>358.</w:t>
      </w:r>
      <w:r>
        <w:tab/>
        <w:t>Женщины содержатся в трех тюрьмах отдельно от мужчин, содержащихся в 17 тюрьмах. Заключенные обоего пола содержатся только в одной тюрьме Вайкерия, где временно содержится 80 женщин заключенных отдельно от мужчин, число которых достигает 840.</w:t>
      </w:r>
    </w:p>
    <w:p w:rsidR="00B44C11" w:rsidRDefault="00B44C11">
      <w:pPr>
        <w:tabs>
          <w:tab w:val="clear" w:pos="1588"/>
          <w:tab w:val="left" w:pos="567"/>
          <w:tab w:val="left" w:pos="907"/>
          <w:tab w:val="left" w:pos="1247"/>
        </w:tabs>
      </w:pPr>
      <w:r>
        <w:t>359.</w:t>
      </w:r>
      <w:r>
        <w:tab/>
        <w:t xml:space="preserve">Вследствие относительно небольшого числа женщин-заключенных их размещение и планирование соответствующих программ являются более сложными по сравнению с мужчинами. Например, расположение трех женских тюрем таково, что около двух третей женщин отбывают срок далеко от своих семей. </w:t>
      </w:r>
    </w:p>
    <w:p w:rsidR="00B44C11" w:rsidRDefault="00B44C11">
      <w:pPr>
        <w:tabs>
          <w:tab w:val="clear" w:pos="1588"/>
          <w:tab w:val="left" w:pos="567"/>
          <w:tab w:val="left" w:pos="907"/>
          <w:tab w:val="left" w:pos="1247"/>
        </w:tabs>
      </w:pPr>
      <w:r>
        <w:t>360.</w:t>
      </w:r>
      <w:r>
        <w:tab/>
        <w:t>Нехватка мест в женских тюрьмах в северной части острова Северный будет уменьшена с середины 2006 года, когда откроется новая полностью оборудованная женская тюрьма в районе Южного Окленда. Она рассчитана на 286 мест и даст возможность большему числу женщин отбывать срок ближе к своим семьям.</w:t>
      </w:r>
    </w:p>
    <w:p w:rsidR="00B44C11" w:rsidRDefault="00B44C11">
      <w:pPr>
        <w:tabs>
          <w:tab w:val="clear" w:pos="1588"/>
          <w:tab w:val="left" w:pos="567"/>
          <w:tab w:val="left" w:pos="907"/>
          <w:tab w:val="left" w:pos="1247"/>
        </w:tabs>
        <w:rPr>
          <w:i/>
        </w:rPr>
      </w:pPr>
      <w:r>
        <w:rPr>
          <w:i/>
        </w:rPr>
        <w:t>Обращение с женщинами в настоящее время</w:t>
      </w:r>
    </w:p>
    <w:p w:rsidR="00B44C11" w:rsidRDefault="00B44C11">
      <w:pPr>
        <w:tabs>
          <w:tab w:val="clear" w:pos="1588"/>
          <w:tab w:val="left" w:pos="567"/>
          <w:tab w:val="left" w:pos="907"/>
          <w:tab w:val="left" w:pos="1247"/>
        </w:tabs>
      </w:pPr>
      <w:r>
        <w:t>361.</w:t>
      </w:r>
      <w:r>
        <w:tab/>
        <w:t>Политика в области уголовного правосудия предусматривает такое обращение с женщинами, чтобы обеспечивалось уважение к ним как к взрослым людям, чтобы учитывались их особые потребности как женщин и принимались во внимание их семейные обстоятельства и истории жизни. Включение в число сотрудников тюрем лиц разного пола и возраста преследует цель – дать женщинам-заключенным примеры позитивной роли обоих полов. Однако некоторые действия, такие как, например, обыски, могут производиться только женщинами, и это влияет на общее соотношение мужчин и женщин среди персонала. Правительство признает, что потребности женщин-заключенных отличаются от потребностей мужчин-заключенных, и привлекает значительные ресурсы для обеспечения удовлетворения этих потребностей в тюрьмах с помощью соответствующих мер.</w:t>
      </w:r>
    </w:p>
    <w:p w:rsidR="00B44C11" w:rsidRDefault="00B44C11">
      <w:pPr>
        <w:tabs>
          <w:tab w:val="clear" w:pos="1588"/>
          <w:tab w:val="left" w:pos="567"/>
          <w:tab w:val="left" w:pos="907"/>
          <w:tab w:val="left" w:pos="1247"/>
        </w:tabs>
      </w:pPr>
      <w:r>
        <w:t>362.</w:t>
      </w:r>
      <w:r>
        <w:tab/>
        <w:t>В последние годы правительство реализовало ряд инициатив, направленных непосредственно на женщин-заключенных, которые оказали значительное воздействие на методы обращения с женщинами. В число этих инициатив входят:</w:t>
      </w:r>
    </w:p>
    <w:p w:rsidR="00B44C11" w:rsidRDefault="00B44C11">
      <w:pPr>
        <w:pStyle w:val="10-18"/>
      </w:pPr>
      <w:r>
        <w:sym w:font="Symbol" w:char="F0B7"/>
      </w:r>
      <w:r>
        <w:tab/>
        <w:t>разработка и опробование криминогенной программы для женщин-правонарушителей, которая специально подготовлена для рассмотрения многочисленных потребностей женщин-правонарушителей и их особой восприимчивости к проблемам, с которыми они, по</w:t>
      </w:r>
      <w:r>
        <w:noBreakHyphen/>
        <w:t>видимому, сталкиваются (например, разобщенность и продолжающееся воздействие плохого отношения), социальной и культурной среды женщин-правонарушителей, а также взаимосвязи между их криминогенными потребностями, реабилитацией и вопросами реинтеграции;</w:t>
      </w:r>
    </w:p>
    <w:p w:rsidR="00B44C11" w:rsidRDefault="00B44C11">
      <w:pPr>
        <w:pStyle w:val="10-18"/>
      </w:pPr>
      <w:r>
        <w:sym w:font="Symbol" w:char="F0B7"/>
      </w:r>
      <w:r>
        <w:tab/>
        <w:t>определение роли помощника генерального менеджера по делам женщин и услуг специалистов в государственной тюремной службе в обеспечении успешного продолжения осуществления инициатив, предназначенных для женщин-заключенных;</w:t>
      </w:r>
    </w:p>
    <w:p w:rsidR="00B44C11" w:rsidRDefault="00B44C11">
      <w:pPr>
        <w:pStyle w:val="10-18"/>
      </w:pPr>
      <w:r>
        <w:sym w:font="Symbol" w:char="F0B7"/>
      </w:r>
      <w:r>
        <w:tab/>
        <w:t xml:space="preserve">оценка и удовлетворение культурных потребностей женщин-заключенных маори. Это включает продолжение реализации пилотного проекта по оценке специальных культурных потребностей маори, что предусматривает представление более углубленной информации </w:t>
      </w:r>
      <w:r>
        <w:br/>
        <w:t xml:space="preserve">о культурных особенностях для планирования меры наказания, а также пилотного проекта осуществления контроля за соблюдением культурных особенностей, предусматривающего функцию поддержки, которая дает возможность персоналу, занимающемуся планированием меры наказания, размышлять и усиливать свое взаимодействие с правонарушителями маори. Была также реализована программа А Тиканга Маори для женщин-правонарушителей; </w:t>
      </w:r>
    </w:p>
    <w:p w:rsidR="00B44C11" w:rsidRDefault="00B44C11">
      <w:pPr>
        <w:pStyle w:val="10-18"/>
      </w:pPr>
      <w:r>
        <w:sym w:font="Symbol" w:char="F0B7"/>
      </w:r>
      <w:r>
        <w:tab/>
        <w:t>разработка "критерия наибольшей заинтересованности" для размещения молодых женщин-заключенных, возвращенных под стражу или приговоренных к тюремному заключению. Это обеспечит более объективное и открытое принятие решения о размещении заключенных.</w:t>
      </w:r>
    </w:p>
    <w:p w:rsidR="00B44C11" w:rsidRDefault="00B44C11">
      <w:pPr>
        <w:tabs>
          <w:tab w:val="clear" w:pos="1588"/>
          <w:tab w:val="left" w:pos="567"/>
          <w:tab w:val="left" w:pos="907"/>
          <w:tab w:val="left" w:pos="1247"/>
        </w:tabs>
        <w:rPr>
          <w:i/>
        </w:rPr>
      </w:pPr>
      <w:r>
        <w:rPr>
          <w:i/>
        </w:rPr>
        <w:t>Женщины-заключенные, имеющие на своем иждивении детей</w:t>
      </w:r>
    </w:p>
    <w:p w:rsidR="00B44C11" w:rsidRDefault="00B44C11">
      <w:pPr>
        <w:tabs>
          <w:tab w:val="clear" w:pos="1588"/>
          <w:tab w:val="left" w:pos="567"/>
          <w:tab w:val="left" w:pos="907"/>
          <w:tab w:val="left" w:pos="1247"/>
        </w:tabs>
      </w:pPr>
      <w:r>
        <w:t>363.</w:t>
      </w:r>
      <w:r>
        <w:tab/>
        <w:t>Политика в области уголовного правосудия предусматривает внимательное отношение к женщинам-заключенным, которые являются беременными или имеют детей в возрасте до шести месяцев, с тем чтобы учитывать их особые риски и потребности и обеспечивать нормальное содержание ребенка.</w:t>
      </w:r>
    </w:p>
    <w:p w:rsidR="00B44C11" w:rsidRDefault="00B44C11">
      <w:pPr>
        <w:tabs>
          <w:tab w:val="clear" w:pos="1588"/>
          <w:tab w:val="left" w:pos="567"/>
          <w:tab w:val="left" w:pos="907"/>
          <w:tab w:val="left" w:pos="1247"/>
        </w:tabs>
      </w:pPr>
      <w:r>
        <w:t>364.</w:t>
      </w:r>
      <w:r>
        <w:tab/>
        <w:t>Общая практика в отношении заключенных, которые готовятся к родам во время отбытия срока тюремного заключения и хотят оставить ребенка, заключается в том, что мать и ребенок не должны содержаться раздельно, если только это не вызвано крайней необходимостью. Закон об условно-досрочном освобождении 2002 года дает право министру по делам исправительных учреждений досрочно освободить женщину-заключенную, которая рождает ребенка во время отбытия назначенного в приговоре срока тюремного заключения.</w:t>
      </w:r>
    </w:p>
    <w:p w:rsidR="00B44C11" w:rsidRDefault="00B44C11">
      <w:pPr>
        <w:tabs>
          <w:tab w:val="clear" w:pos="1588"/>
          <w:tab w:val="left" w:pos="567"/>
          <w:tab w:val="left" w:pos="907"/>
          <w:tab w:val="left" w:pos="1247"/>
        </w:tabs>
        <w:spacing w:after="220"/>
      </w:pPr>
      <w:r>
        <w:t>365.</w:t>
      </w:r>
      <w:r>
        <w:tab/>
        <w:t xml:space="preserve">Политика департамента исправительных учреждений по отношению к женщинам-заключенным, имеющим на своем иждивении детей, направлена на оказание помощи находящимся в заключении матерям в выполнении своих родительских обязанностей. Это привело к созданию специальных помещений для кормления и перепеленания детей, чтобы их можно было приносить </w:t>
      </w:r>
      <w:r>
        <w:br/>
        <w:t xml:space="preserve">в тюрьму ежедневно для кормления и перепеленания в отдельном помещении. Это также привело </w:t>
      </w:r>
      <w:r>
        <w:br/>
        <w:t>к созданию помещений для отделений самостоятельного ухода, что позволяет детям в возрасте до шести месяцев жить круглосуточно вместе с матерью-заключенной.</w:t>
      </w:r>
    </w:p>
    <w:p w:rsidR="00B44C11" w:rsidRDefault="00B44C11">
      <w:pPr>
        <w:tabs>
          <w:tab w:val="clear" w:pos="1588"/>
          <w:tab w:val="left" w:pos="567"/>
          <w:tab w:val="left" w:pos="907"/>
          <w:tab w:val="left" w:pos="1247"/>
        </w:tabs>
        <w:spacing w:after="220"/>
      </w:pPr>
      <w:r>
        <w:t>366.</w:t>
      </w:r>
      <w:r>
        <w:tab/>
        <w:t xml:space="preserve">Ниже приводятся новые инициативы, которые направлены на оказание помощи женщинам-заключенным, имеющим детей, выполнять свои родительские обязанности и укреплять связи </w:t>
      </w:r>
      <w:r>
        <w:br/>
        <w:t>со своими детьми, а именно:</w:t>
      </w:r>
    </w:p>
    <w:p w:rsidR="00B44C11" w:rsidRDefault="00B44C11">
      <w:pPr>
        <w:pStyle w:val="10-18"/>
        <w:spacing w:after="220"/>
      </w:pPr>
      <w:r>
        <w:sym w:font="Symbol" w:char="F0B7"/>
      </w:r>
      <w:r>
        <w:tab/>
        <w:t>осуществление программ родительского ухода, утвержденных в рамках комплексного регулирования обращения с правонарушителями;</w:t>
      </w:r>
    </w:p>
    <w:p w:rsidR="00B44C11" w:rsidRDefault="00B44C11">
      <w:pPr>
        <w:pStyle w:val="10-18"/>
        <w:spacing w:after="220"/>
      </w:pPr>
      <w:r>
        <w:sym w:font="Symbol" w:char="F0B7"/>
      </w:r>
      <w:r>
        <w:tab/>
        <w:t>предоставление родителям более широких возможностей для контактов со своими детьми, включая посещения в присутствии имеющих специальную подготовку помощников по уходу за детьми, а также посещения в дневное и ночное время;</w:t>
      </w:r>
    </w:p>
    <w:p w:rsidR="00B44C11" w:rsidRDefault="00B44C11">
      <w:pPr>
        <w:pStyle w:val="10-18"/>
        <w:spacing w:after="220"/>
      </w:pPr>
      <w:r>
        <w:sym w:font="Symbol" w:char="F0B7"/>
      </w:r>
      <w:r>
        <w:tab/>
        <w:t>выделение имеющих соответствующую подготовку сотрудников для выполнения функций по поддержанию связей с семьями;</w:t>
      </w:r>
    </w:p>
    <w:p w:rsidR="00B44C11" w:rsidRDefault="00B44C11">
      <w:pPr>
        <w:pStyle w:val="10-18"/>
        <w:spacing w:after="220"/>
      </w:pPr>
      <w:r>
        <w:sym w:font="Symbol" w:char="F0B7"/>
      </w:r>
      <w:r>
        <w:tab/>
        <w:t>исполнение межсекторального соглашения об оказании финансовой помощи, с тем чтобы дети могли посещать своих родителей, находящихся в заключении.</w:t>
      </w:r>
    </w:p>
    <w:p w:rsidR="00B44C11" w:rsidRDefault="00B44C11">
      <w:pPr>
        <w:tabs>
          <w:tab w:val="clear" w:pos="1588"/>
          <w:tab w:val="left" w:pos="567"/>
          <w:tab w:val="left" w:pos="907"/>
          <w:tab w:val="left" w:pos="1247"/>
        </w:tabs>
        <w:spacing w:after="220"/>
        <w:rPr>
          <w:b/>
          <w:i/>
        </w:rPr>
      </w:pPr>
      <w:r>
        <w:rPr>
          <w:b/>
          <w:i/>
        </w:rPr>
        <w:t>Преступления на сексуальной почве</w:t>
      </w:r>
    </w:p>
    <w:p w:rsidR="00B44C11" w:rsidRDefault="00B44C11">
      <w:pPr>
        <w:tabs>
          <w:tab w:val="clear" w:pos="1588"/>
          <w:tab w:val="left" w:pos="567"/>
          <w:tab w:val="left" w:pos="907"/>
          <w:tab w:val="left" w:pos="1247"/>
        </w:tabs>
        <w:spacing w:after="220"/>
      </w:pPr>
      <w:r>
        <w:t>367.</w:t>
      </w:r>
      <w:r>
        <w:tab/>
        <w:t>В 2005 году был принят Законопроект № 2 о внесении поправки в Закон о преступности. Законодательство ужесточает наказание за преступления на сексуальной почве, усиливает защиту против таких преступников, не классифицирует преступления на сексуальной почве по гендерному признаку, обеспечивая равенство перед законом в отношении таких преступлений. Рассмотрение преступлений на сексуальной почве без учета гендерных различий означает, что женщины могут преследоваться по закону за сексуальные отношения с несовершеннолетними мальчиками.</w:t>
      </w:r>
    </w:p>
    <w:p w:rsidR="00B44C11" w:rsidRDefault="00B44C11">
      <w:pPr>
        <w:tabs>
          <w:tab w:val="clear" w:pos="1588"/>
          <w:tab w:val="left" w:pos="567"/>
          <w:tab w:val="left" w:pos="907"/>
          <w:tab w:val="left" w:pos="1247"/>
        </w:tabs>
        <w:spacing w:after="220"/>
      </w:pPr>
      <w:r>
        <w:t>368.</w:t>
      </w:r>
      <w:r>
        <w:tab/>
        <w:t xml:space="preserve">В законодательстве расширяется толкование преступлений, относящихся в настоящее время </w:t>
      </w:r>
      <w:r>
        <w:br/>
        <w:t>к половому акту, на все формы половых сношений. Согласно законодательству считается противозаконной "подготовка" молодых людей к определенному виду деятельности с сексуальными преступниками. Это положение защищает молодых людей от сексуальных насильников благодаря включению в законодательство ситуаций, при которых какое-либо лицо вступает в контакт или организует встречу с ребенком с намерением осуществить половой акт, независимо от того, имело место изнасилование или нет.</w:t>
      </w:r>
    </w:p>
    <w:p w:rsidR="00B44C11" w:rsidRDefault="00B44C11">
      <w:pPr>
        <w:pStyle w:val="Heading3"/>
        <w:spacing w:after="220"/>
      </w:pPr>
      <w:r>
        <w:t>Женщины в вооруженных силах</w:t>
      </w:r>
    </w:p>
    <w:p w:rsidR="00B44C11" w:rsidRDefault="00B44C11">
      <w:pPr>
        <w:tabs>
          <w:tab w:val="clear" w:pos="1588"/>
          <w:tab w:val="left" w:pos="567"/>
          <w:tab w:val="left" w:pos="907"/>
          <w:tab w:val="left" w:pos="1247"/>
        </w:tabs>
        <w:spacing w:after="220"/>
      </w:pPr>
      <w:r>
        <w:t>369.</w:t>
      </w:r>
      <w:r>
        <w:tab/>
        <w:t xml:space="preserve">В настоящее время женщины могут находиться в вооруженных силах иных оперативных подразделениях. Однако необходимо внести поправки в раздел 33 Закона о правах человека </w:t>
      </w:r>
      <w:r>
        <w:br/>
        <w:t>1993 года, чтобы Новая Зеландия сняла свою оговорку к Конвенции о женщинах в вооруженных силах. В настоящее время правительство рассматривает соответствующий законодательный механизм для внесения поправки, что позволит снять оговорку.</w:t>
      </w:r>
    </w:p>
    <w:p w:rsidR="00B44C11" w:rsidRDefault="00B44C11">
      <w:pPr>
        <w:tabs>
          <w:tab w:val="clear" w:pos="1588"/>
          <w:tab w:val="left" w:pos="567"/>
          <w:tab w:val="left" w:pos="907"/>
          <w:tab w:val="left" w:pos="1247"/>
        </w:tabs>
      </w:pPr>
      <w:r>
        <w:t>370.</w:t>
      </w:r>
      <w:r>
        <w:tab/>
        <w:t>Положение женщин в силах обороны продолжает улучшаться. 29 ноября 2005 года звание бригадного генерала было присвоено женщине – это первый случай, когда женщина достигла высшего эшелона в вооруженных силах. По состоянию на 1 июля 2005 года женщины составляли 16 процентов от общей численности регулярных вооруженных сил. Самый высокий процент женских регулярных сил отмечается в военно-морском флоте (женщины составляют 21 процент от общей численности регулярных вооруженных сил), затем следуют военно-воздушные силы (17 процентов) и сухопутные войска (14 процентов)</w:t>
      </w:r>
      <w:r>
        <w:rPr>
          <w:rStyle w:val="FootnoteReference"/>
        </w:rPr>
        <w:footnoteReference w:id="110"/>
      </w:r>
      <w:r>
        <w:t>.</w:t>
      </w:r>
    </w:p>
    <w:p w:rsidR="00B44C11" w:rsidRDefault="00B44C11">
      <w:pPr>
        <w:pStyle w:val="Heading3"/>
      </w:pPr>
      <w:r>
        <w:t>Другие вопросы</w:t>
      </w:r>
    </w:p>
    <w:p w:rsidR="00B44C11" w:rsidRDefault="00B44C11">
      <w:pPr>
        <w:tabs>
          <w:tab w:val="clear" w:pos="1588"/>
          <w:tab w:val="left" w:pos="567"/>
          <w:tab w:val="left" w:pos="907"/>
          <w:tab w:val="left" w:pos="1247"/>
        </w:tabs>
      </w:pPr>
      <w:r>
        <w:t>371.</w:t>
      </w:r>
      <w:r>
        <w:tab/>
        <w:t xml:space="preserve">Для получения информации о женщинах в судебной системе см. </w:t>
      </w:r>
      <w:r>
        <w:rPr>
          <w:caps/>
        </w:rPr>
        <w:t>с</w:t>
      </w:r>
      <w:r>
        <w:t>татью 7.</w:t>
      </w:r>
    </w:p>
    <w:p w:rsidR="00B44C11" w:rsidRDefault="00B44C11">
      <w:pPr>
        <w:pStyle w:val="H1"/>
      </w:pPr>
      <w:bookmarkStart w:id="73" w:name="_Toc145842190"/>
      <w:r>
        <w:t>Статья 16</w:t>
      </w:r>
      <w:bookmarkEnd w:id="73"/>
    </w:p>
    <w:p w:rsidR="00B44C11" w:rsidRDefault="00B44C11">
      <w:pPr>
        <w:pStyle w:val="H1"/>
      </w:pPr>
      <w:bookmarkStart w:id="74" w:name="_Toc145842191"/>
      <w:r>
        <w:t>Брак и семейная жизнь</w:t>
      </w:r>
      <w:bookmarkEnd w:id="74"/>
    </w:p>
    <w:p w:rsidR="00B44C11" w:rsidRDefault="00B44C11">
      <w:pPr>
        <w:pStyle w:val="Heading3"/>
      </w:pPr>
      <w:r>
        <w:t>Введение</w:t>
      </w:r>
    </w:p>
    <w:p w:rsidR="00B44C11" w:rsidRDefault="00B44C11">
      <w:pPr>
        <w:tabs>
          <w:tab w:val="clear" w:pos="1588"/>
          <w:tab w:val="left" w:pos="567"/>
          <w:tab w:val="left" w:pos="907"/>
          <w:tab w:val="left" w:pos="1247"/>
        </w:tabs>
      </w:pPr>
      <w:r>
        <w:t>372.</w:t>
      </w:r>
      <w:r>
        <w:tab/>
        <w:t>Женщины продолжают пользоваться полным равноправием в отношении брака и семейного положения. В настоящее время брак не является единственным вариантом для женщины, желающей заключить законный союз с партнером. Закон о гражданском союзе</w:t>
      </w:r>
      <w:r>
        <w:rPr>
          <w:color w:val="FF0000"/>
        </w:rPr>
        <w:t xml:space="preserve"> </w:t>
      </w:r>
      <w:r>
        <w:t>2004 года позволяет женщинам вступать в признаваемый законом гражданский союз с мужчиной, а также разрешает вступать в гражданский союз с партнером одного пола.</w:t>
      </w:r>
    </w:p>
    <w:p w:rsidR="00B44C11" w:rsidRDefault="00B44C11">
      <w:pPr>
        <w:tabs>
          <w:tab w:val="clear" w:pos="1588"/>
          <w:tab w:val="left" w:pos="567"/>
          <w:tab w:val="left" w:pos="907"/>
          <w:tab w:val="left" w:pos="1247"/>
        </w:tabs>
      </w:pPr>
      <w:r>
        <w:t>373.</w:t>
      </w:r>
      <w:r>
        <w:tab/>
        <w:t xml:space="preserve">В правовой и политической системе Новой Зеландии признается широкий диапазон существующих в стране соглашений о семейном разделе имущества и обеспечивается одинаковый юридический статус для них. Прежде всего это было достигнуто путем принятия Закона о семейных правах (ссылки на законоположения) 2005 года, который внес поправки в положения законов и постановлений, где не признавался или трактовался различным образом ряд соглашений о семейном разделе имущества, который Новая Зеландия признает в настоящее время. </w:t>
      </w:r>
    </w:p>
    <w:p w:rsidR="00B44C11" w:rsidRDefault="00B44C11">
      <w:pPr>
        <w:tabs>
          <w:tab w:val="clear" w:pos="1588"/>
          <w:tab w:val="left" w:pos="567"/>
          <w:tab w:val="left" w:pos="907"/>
          <w:tab w:val="left" w:pos="1247"/>
        </w:tabs>
      </w:pPr>
      <w:r>
        <w:t>374.</w:t>
      </w:r>
      <w:r>
        <w:tab/>
        <w:t>В рассматриваемый период происходили также изменения в вопросе о родительских правах после принятия Закона по уходу за детьми 2004 года, разработанного в результате пересмотра закона об опекунстве. Закон по уходу за детьми ставит интересы ребенка превыше всего и учитывает признание расширения диапазона выполнения родительских обязанностей и соглашений о семейном разделе имущества.</w:t>
      </w:r>
    </w:p>
    <w:p w:rsidR="00B44C11" w:rsidRDefault="00B44C11">
      <w:pPr>
        <w:tabs>
          <w:tab w:val="clear" w:pos="1588"/>
          <w:tab w:val="left" w:pos="567"/>
          <w:tab w:val="left" w:pos="907"/>
          <w:tab w:val="left" w:pos="1247"/>
        </w:tabs>
      </w:pPr>
      <w:r>
        <w:t>375.</w:t>
      </w:r>
      <w:r>
        <w:tab/>
        <w:t>Для данного отчетного периода характерно увеличение поддержки семей со стороны государства. В 2003 году правительство создало комиссию по вопросам семьи для защиты интересов семей путем проведения анализа политики, исследований, вовлечения общин и информирования общественности. Правительство также предоставило пакет социальной помощи семьям, названный "Работая для семей", целью которого является дальнейшее улучшение уровня жизни семей.</w:t>
      </w:r>
    </w:p>
    <w:p w:rsidR="00B44C11" w:rsidRDefault="00B44C11">
      <w:pPr>
        <w:tabs>
          <w:tab w:val="clear" w:pos="1588"/>
          <w:tab w:val="left" w:pos="567"/>
          <w:tab w:val="left" w:pos="907"/>
          <w:tab w:val="left" w:pos="1247"/>
        </w:tabs>
      </w:pPr>
      <w:r>
        <w:t>376.</w:t>
      </w:r>
      <w:r>
        <w:tab/>
        <w:t xml:space="preserve">Ликвидация насилия в отношении женщин продолжает оставаться приоритетной задачей для правительства. Правительство учредило группу министерского уровня для осуществления руководства над выполнением этой задачи в государственном секторе. В рамках этой общегосударственной задачи был осуществлен ряд мер, нацеленных на ликвидацию насилия </w:t>
      </w:r>
      <w:r>
        <w:br/>
        <w:t>в отношении женщин.</w:t>
      </w:r>
    </w:p>
    <w:p w:rsidR="00B44C11" w:rsidRDefault="00B44C11">
      <w:pPr>
        <w:pStyle w:val="Heading3"/>
        <w:spacing w:after="220"/>
      </w:pPr>
      <w:r>
        <w:t>Взаимоотношения в Новой Зеландии</w:t>
      </w:r>
    </w:p>
    <w:p w:rsidR="00B44C11" w:rsidRDefault="00B44C11">
      <w:pPr>
        <w:tabs>
          <w:tab w:val="clear" w:pos="1588"/>
          <w:tab w:val="left" w:pos="567"/>
          <w:tab w:val="left" w:pos="907"/>
          <w:tab w:val="left" w:pos="1247"/>
        </w:tabs>
        <w:spacing w:after="220"/>
      </w:pPr>
      <w:r>
        <w:t>377.</w:t>
      </w:r>
      <w:r>
        <w:tab/>
        <w:t>Происходят изменения в семейной жизни в Новой Зеландии. Семейные пары все менее склонны к оформлению своих отношений по сравнению с прошлым. Родители заводят детей в более позднем возрасте, и женщины рожают меньше детей. Раздельное жительство супругов и повторное соединение пар становятся все более общим явлением, что приводит к тому, что все больше детей воспитываются одинокими родителями или в смешанных семьях-домохозяйствах.</w:t>
      </w:r>
    </w:p>
    <w:p w:rsidR="00B44C11" w:rsidRDefault="00B44C11">
      <w:pPr>
        <w:tabs>
          <w:tab w:val="clear" w:pos="1588"/>
          <w:tab w:val="left" w:pos="567"/>
          <w:tab w:val="left" w:pos="907"/>
          <w:tab w:val="left" w:pos="1247"/>
        </w:tabs>
        <w:spacing w:after="220"/>
      </w:pPr>
      <w:r>
        <w:t>378.</w:t>
      </w:r>
      <w:r>
        <w:tab/>
        <w:t>Со времени представления предыдущего доклада процент браков в Новой Зеландии снизился. Общий процент браков (число браков на 1000 не состоящих в браке мужчин и женщин в возрасте от 16 лет и старше) составлял 14,7 процента на 1000 в течение 2001–2003 годов, затем снизился до 13,9 процента в 2004 году. Снижение процента браков было вызвано многими факторами, включая общую тенденцию к отсрочке свадеб, рост числа пар, живущих вместе de facto, и увеличение числа одиноких новозеландцев.</w:t>
      </w:r>
    </w:p>
    <w:p w:rsidR="00B44C11" w:rsidRDefault="00B44C11">
      <w:pPr>
        <w:tabs>
          <w:tab w:val="clear" w:pos="1588"/>
          <w:tab w:val="left" w:pos="567"/>
          <w:tab w:val="left" w:pos="907"/>
          <w:tab w:val="left" w:pos="1247"/>
        </w:tabs>
        <w:spacing w:after="220"/>
      </w:pPr>
      <w:r>
        <w:t>379.</w:t>
      </w:r>
      <w:r>
        <w:tab/>
        <w:t xml:space="preserve">Женщины, живущие с партнерами-мужчинами, сохраняют право принимать решение о вступлении в законный брак в соответствии с Законом о браке 1955 года. Женщины или мужчины, создающие однополые союзы, не имеют права вступать в законный брак в Новой Зеландии. Однако в соответствии с Законом о гражданском союзе 2004 года, который вступил в силу 26 апреля 2005 года, однополые и разнополые пары могут оформить свои отношения, вступив в гражданский союз. В Новой Зеландии гражданские союзы имеют такой же юридический статус, какой имеют официальные браки. Таким образом, Закон о гражданском союзе дает однополым и разнополым парам юридически эквивалентную альтернативу браку. </w:t>
      </w:r>
    </w:p>
    <w:p w:rsidR="00B44C11" w:rsidRDefault="00B44C11">
      <w:pPr>
        <w:tabs>
          <w:tab w:val="clear" w:pos="1588"/>
          <w:tab w:val="left" w:pos="567"/>
          <w:tab w:val="left" w:pos="907"/>
          <w:tab w:val="left" w:pos="1247"/>
        </w:tabs>
        <w:spacing w:after="220"/>
      </w:pPr>
      <w:r>
        <w:t>380.</w:t>
      </w:r>
      <w:r>
        <w:tab/>
        <w:t>В целях обеспечения признания разных типов взаимоотношений в соответствии с различными законами и постановлениями парламент в марте 2005 года принял Закон о семейных правах собственности (ссылки на законоположения). Этот Закон внес поправки в большое число законоположений в целях обеспечения общего признания гражданских союзов. Однако указанный Закон не внес поправки в положения, которые являлись частью уже пересматриваемых положений или для которых существовали альтернативные законодательные средства. Предполагается, что большая часть этих пересмотров завершится к концу 2006 года.</w:t>
      </w:r>
    </w:p>
    <w:p w:rsidR="00B44C11" w:rsidRDefault="00B44C11">
      <w:pPr>
        <w:pStyle w:val="Heading4"/>
        <w:spacing w:after="220"/>
      </w:pPr>
      <w:r>
        <w:t>Прекращение взаимоотношений</w:t>
      </w:r>
    </w:p>
    <w:p w:rsidR="00B44C11" w:rsidRDefault="00B44C11">
      <w:pPr>
        <w:tabs>
          <w:tab w:val="clear" w:pos="1588"/>
          <w:tab w:val="left" w:pos="567"/>
          <w:tab w:val="left" w:pos="907"/>
          <w:tab w:val="left" w:pos="1247"/>
        </w:tabs>
        <w:spacing w:after="220"/>
      </w:pPr>
      <w:r>
        <w:t>381.</w:t>
      </w:r>
      <w:r>
        <w:tab/>
        <w:t>Закон 1976 года о семейных правах собственности продолжает регулировать вопрос о разделе имущества после прекращения взаимоотношений, будь то гражданские союзы, de facto сложившиеся пары или законные браки. Министерство юстиции продолжает осуществлять мониторинг прецедентного права и академических документов относительно действия законодательства.</w:t>
      </w:r>
    </w:p>
    <w:p w:rsidR="00B44C11" w:rsidRDefault="00B44C11">
      <w:pPr>
        <w:pStyle w:val="Heading3"/>
        <w:spacing w:after="220"/>
      </w:pPr>
      <w:r>
        <w:t>Дети</w:t>
      </w:r>
    </w:p>
    <w:p w:rsidR="00B44C11" w:rsidRDefault="00B44C11">
      <w:pPr>
        <w:tabs>
          <w:tab w:val="clear" w:pos="1588"/>
          <w:tab w:val="left" w:pos="567"/>
          <w:tab w:val="left" w:pos="907"/>
          <w:tab w:val="left" w:pos="1247"/>
        </w:tabs>
        <w:spacing w:after="220"/>
      </w:pPr>
      <w:r>
        <w:t>382.</w:t>
      </w:r>
      <w:r>
        <w:tab/>
        <w:t>Не вносилось никаких изменений в положения об определении и регистрации имени и фамилии ребенка. Кроме того, не отмечалось значительного прогресса в пересмотре Закона об усыновлении.</w:t>
      </w:r>
    </w:p>
    <w:p w:rsidR="00B44C11" w:rsidRDefault="00B44C11">
      <w:pPr>
        <w:pStyle w:val="Heading4"/>
        <w:spacing w:after="220"/>
      </w:pPr>
      <w:r>
        <w:t>Права и обязанности родителей</w:t>
      </w:r>
    </w:p>
    <w:p w:rsidR="00B44C11" w:rsidRDefault="00B44C11">
      <w:pPr>
        <w:tabs>
          <w:tab w:val="clear" w:pos="1588"/>
          <w:tab w:val="left" w:pos="567"/>
          <w:tab w:val="left" w:pos="907"/>
          <w:tab w:val="left" w:pos="1247"/>
        </w:tabs>
        <w:spacing w:after="220"/>
      </w:pPr>
      <w:r>
        <w:t>383.</w:t>
      </w:r>
      <w:r>
        <w:tab/>
        <w:t>В статье 16 предыдущего доклада отмечалось, что Закон об опекунстве 1968 года находился в стадии пересмотра. В результате этого пересмотра был принят Закон об уходе за детьми 2004 года, который вступил в силу 1 июля 2005 года. В настоящее время указанный Закон обеспечивает основу для принятия решений об опекунстве и заботе о детях. Важным аспектом нового Закона являются содержащиеся в нем руководящие принципы, подчеркивающие необходимость того, чтобы все лица, вовлеченные в заботу о детях, придерживались совещательного и скоординированного подхода; чтобы обеспечивалась безопасность ребенка, особенно защита от применения насилия; и чтобы сохранялись и укреплялись взаимоотношения с семьей и личность ребенка.</w:t>
      </w:r>
    </w:p>
    <w:p w:rsidR="00B44C11" w:rsidRDefault="00B44C11">
      <w:pPr>
        <w:tabs>
          <w:tab w:val="clear" w:pos="1588"/>
          <w:tab w:val="left" w:pos="567"/>
          <w:tab w:val="left" w:pos="907"/>
          <w:tab w:val="left" w:pos="1247"/>
        </w:tabs>
      </w:pPr>
      <w:r>
        <w:t>384.</w:t>
      </w:r>
      <w:r>
        <w:tab/>
        <w:t>Закон поможет родителям, семьям и детям следующим образом:</w:t>
      </w:r>
    </w:p>
    <w:p w:rsidR="00B44C11" w:rsidRDefault="00B44C11">
      <w:pPr>
        <w:pStyle w:val="10-18"/>
      </w:pPr>
      <w:r>
        <w:sym w:font="Symbol" w:char="F0B7"/>
      </w:r>
      <w:r>
        <w:tab/>
        <w:t>обеспечение того, чтобы в законодательстве уделялось больше внимания правам и мнению ребенка;</w:t>
      </w:r>
    </w:p>
    <w:p w:rsidR="00B44C11" w:rsidRDefault="00B44C11">
      <w:pPr>
        <w:pStyle w:val="10-18"/>
      </w:pPr>
      <w:r>
        <w:sym w:font="Symbol" w:char="F0B7"/>
      </w:r>
      <w:r>
        <w:tab/>
        <w:t>развитие скоординированного подхода к воспитанию детей;</w:t>
      </w:r>
    </w:p>
    <w:p w:rsidR="00B44C11" w:rsidRDefault="00B44C11">
      <w:pPr>
        <w:pStyle w:val="10-18"/>
      </w:pPr>
      <w:r>
        <w:sym w:font="Symbol" w:char="F0B7"/>
      </w:r>
      <w:r>
        <w:tab/>
        <w:t>аннулирование дискриминационных положений, представляющих помехи для семей;</w:t>
      </w:r>
    </w:p>
    <w:p w:rsidR="00B44C11" w:rsidRDefault="00B44C11">
      <w:pPr>
        <w:pStyle w:val="10-18"/>
      </w:pPr>
      <w:r>
        <w:sym w:font="Symbol" w:char="F0B7"/>
      </w:r>
      <w:r>
        <w:tab/>
        <w:t>признание существующего разнообразия соглашений о семейном разделе имущества в целях заботы о детях;</w:t>
      </w:r>
    </w:p>
    <w:p w:rsidR="00B44C11" w:rsidRDefault="00B44C11">
      <w:pPr>
        <w:pStyle w:val="10-18"/>
      </w:pPr>
      <w:r>
        <w:sym w:font="Symbol" w:char="F0B7"/>
      </w:r>
      <w:r>
        <w:tab/>
        <w:t>обеспечение представительных судебных процедур для рассмотрения в суде вопроса об опекунстве.</w:t>
      </w:r>
    </w:p>
    <w:p w:rsidR="00B44C11" w:rsidRDefault="00B44C11">
      <w:pPr>
        <w:tabs>
          <w:tab w:val="clear" w:pos="1588"/>
          <w:tab w:val="left" w:pos="567"/>
          <w:tab w:val="left" w:pos="907"/>
          <w:tab w:val="left" w:pos="1247"/>
        </w:tabs>
      </w:pPr>
      <w:r>
        <w:t>385.</w:t>
      </w:r>
      <w:r>
        <w:tab/>
        <w:t xml:space="preserve">Раздел "Женщины-инвалиды" Закона об опекунстве перенесен в Закон об уходе за детьми. </w:t>
      </w:r>
      <w:r>
        <w:br/>
        <w:t>В разделе о бабушках и дедушках подраздел "Разногласия в отношении контактов с детьми" больше не имеет отношения к делу, поскольку согласно Закону об уходе за детьми бабушка и дедушка имеют право обратиться за предписанием об установлении опекунства.</w:t>
      </w:r>
    </w:p>
    <w:p w:rsidR="00B44C11" w:rsidRDefault="00B44C11">
      <w:pPr>
        <w:tabs>
          <w:tab w:val="clear" w:pos="1588"/>
          <w:tab w:val="left" w:pos="567"/>
          <w:tab w:val="left" w:pos="907"/>
          <w:tab w:val="left" w:pos="1247"/>
        </w:tabs>
      </w:pPr>
      <w:r>
        <w:t>386.</w:t>
      </w:r>
      <w:r>
        <w:tab/>
        <w:t xml:space="preserve">Для того чтобы идти в ногу с изменяющимися структурами семьи Министерство юстиции в настоящее время пересматривает ряд аспектов действий судов по семейным делам. Министерство по делам женщин также осуществляет координацию ответных мер правительства на доклад правовой </w:t>
      </w:r>
      <w:r>
        <w:rPr>
          <w:caps/>
        </w:rPr>
        <w:t>к</w:t>
      </w:r>
      <w:r>
        <w:t>омиссии "</w:t>
      </w:r>
      <w:r>
        <w:rPr>
          <w:i/>
        </w:rPr>
        <w:t>Новые вопросы в юридическом статусе родителей</w:t>
      </w:r>
      <w:r>
        <w:t>", который образует основу для любых будущих реформ правовых норм, определяющих статус родителей.</w:t>
      </w:r>
    </w:p>
    <w:p w:rsidR="00B44C11" w:rsidRDefault="00B44C11">
      <w:pPr>
        <w:pStyle w:val="Heading4"/>
      </w:pPr>
      <w:r>
        <w:t>Репродуктивные технологии с участием человека</w:t>
      </w:r>
    </w:p>
    <w:p w:rsidR="00B44C11" w:rsidRDefault="00B44C11">
      <w:pPr>
        <w:tabs>
          <w:tab w:val="clear" w:pos="1588"/>
          <w:tab w:val="left" w:pos="567"/>
          <w:tab w:val="left" w:pos="907"/>
          <w:tab w:val="left" w:pos="1247"/>
        </w:tabs>
      </w:pPr>
      <w:r>
        <w:t>387.</w:t>
      </w:r>
      <w:r>
        <w:tab/>
        <w:t>В рамки законодательства, введенного в действие за отчетный период, входил Закон 2004 года о репродуктивных технологиях с участием человека. Этот Закон регулирует использование репродуктивных технологий с участием человека в Новой Зеландии. Его цели заключаются в сохранении преимуществ репродуктивных процедур, а также в защите и укреплении здоровья, безопасности и прав всех индивидуумов, особенно женщин и детей, в использовании этих процедур и исследований. Он запрещает определенные процедуры и коммерческие сделки, связанные с воспроизводством человека, определяет рамки для регулирования, требует одобрения комитетом по этике некоторых процедур и устанавливает режим всесторонней информированности для обеспечения того, чтобы люди, рожденные из донорского эмбриона или донорских клеток, могли выяснить свое генетическое происхождение.</w:t>
      </w:r>
    </w:p>
    <w:p w:rsidR="00B44C11" w:rsidRDefault="00B44C11">
      <w:pPr>
        <w:tabs>
          <w:tab w:val="clear" w:pos="1588"/>
          <w:tab w:val="left" w:pos="567"/>
          <w:tab w:val="left" w:pos="907"/>
          <w:tab w:val="left" w:pos="1247"/>
        </w:tabs>
      </w:pPr>
      <w:r>
        <w:t>388.</w:t>
      </w:r>
      <w:r>
        <w:tab/>
        <w:t>Правительство оказывает поддержку женщинам, которые испытывают трудности с зачатием ребенка, с помощью терапии искусственного оплодотворения. Обычно финансирование предоставлялось только для одного цикла терапии искусственного оплодотворения. Однако, с 1 октября 2004 года пары, проходящие курс лечения бесплодия и отвечающие определенным критериям, могут получить государственное финансирование для второго цикла искусственного оплодотворения. Предполагается, что около 90 процентов пациентов, безуспешно прошедших один цикл лечения, изъявят желание пройти второй курс терапии.</w:t>
      </w:r>
    </w:p>
    <w:p w:rsidR="00B44C11" w:rsidRDefault="00B44C11">
      <w:pPr>
        <w:pStyle w:val="Heading4"/>
      </w:pPr>
      <w:r>
        <w:t>Комиссии по семейным вопросам</w:t>
      </w:r>
    </w:p>
    <w:p w:rsidR="00B44C11" w:rsidRDefault="00B44C11">
      <w:pPr>
        <w:tabs>
          <w:tab w:val="clear" w:pos="1588"/>
          <w:tab w:val="left" w:pos="567"/>
          <w:tab w:val="left" w:pos="907"/>
          <w:tab w:val="left" w:pos="1247"/>
        </w:tabs>
      </w:pPr>
      <w:r>
        <w:t>389.</w:t>
      </w:r>
      <w:r>
        <w:tab/>
        <w:t>Обширный объем данных и исследований показывает, что функции и обстоятельства семей оказывают значительное воздействие на жизненные возможности отдельных членов семей и на успешное функционирование общества и экономики. Поэтому в 2003 году была создана Комиссия по семейным вопросам, с тем чтобы помочь правительству улучшить удовлетворение потребностей семей путем принятия мер в области экономических и социальных вопросов.</w:t>
      </w:r>
    </w:p>
    <w:p w:rsidR="00B44C11" w:rsidRDefault="00B44C11">
      <w:pPr>
        <w:tabs>
          <w:tab w:val="clear" w:pos="1588"/>
          <w:tab w:val="left" w:pos="567"/>
          <w:tab w:val="left" w:pos="907"/>
          <w:tab w:val="left" w:pos="1247"/>
        </w:tabs>
      </w:pPr>
      <w:r>
        <w:t>390.</w:t>
      </w:r>
      <w:r>
        <w:tab/>
        <w:t>Комиссия по семейным вопросам работает в соответствии с Законом 2003 года о комиссии по семейным вопросам в целях защиты интересов семей путем анализа политики проведения исследований, взаимодействия с общинами и информирования общественности. За время своей работы, начатой с 1 июля 2004 года, Комиссия осуществила ряд проектов и исследований с целью улучшения понимания правительством различных типов семей в Новой Зеландии и способа принятия во внимание потребностей семей при разработке политики. В число завершенных исследовательских проектов входит проведение обзора основных программ, касающихся воспитания детей в Новой Зеландии. Среди завершенных работ будут, например, обзор современного осознания насилия в семье и изучение методов оценки воздействия принимаемых правительством мер на семьи. Комиссия также проведет изучение таких вопросов, как гармоничное сочетание работы с заботой о семье, а также представит статистические данные относительно тенденций в развитии различных типов семей.</w:t>
      </w:r>
    </w:p>
    <w:p w:rsidR="00B44C11" w:rsidRDefault="00B44C11">
      <w:pPr>
        <w:pStyle w:val="Heading4"/>
      </w:pPr>
      <w:r>
        <w:t>Работая для семей</w:t>
      </w:r>
    </w:p>
    <w:p w:rsidR="00B44C11" w:rsidRDefault="00B44C11">
      <w:pPr>
        <w:tabs>
          <w:tab w:val="clear" w:pos="1588"/>
          <w:tab w:val="left" w:pos="567"/>
          <w:tab w:val="left" w:pos="907"/>
          <w:tab w:val="left" w:pos="1247"/>
        </w:tabs>
      </w:pPr>
      <w:r>
        <w:t>391.</w:t>
      </w:r>
      <w:r>
        <w:tab/>
        <w:t>Пакет инициатив "Работая для семей", реализация которого была начата в 2004 году и будет полностью завершена к 2007 году, является основным пакетом социальной помощи правительства, предназначенным для семей. Пакет инициатив "Работая для семей" усилит ряд реализуемых мер социальной помощи в целях обеспечения более высоких темпов оказания помощи и расширения прав на получение помощи, а также обеспечит, чтобы все семьи имели достаточные доходы для воспитания своих детей и приличный уровень жизни и чтобы семьи с низким доходом стали более обеспеченными в финансовом отношении, чем при получении государственной поддержки. В число трех основных мер социальной поддержки входят следующие:</w:t>
      </w:r>
    </w:p>
    <w:p w:rsidR="00B44C11" w:rsidRDefault="00B44C11">
      <w:pPr>
        <w:pStyle w:val="10-18"/>
      </w:pPr>
      <w:r>
        <w:sym w:font="Symbol" w:char="F0B7"/>
      </w:r>
      <w:r>
        <w:tab/>
        <w:t>помощь семьям: эта помощь является дополнительной финансовой поддержкой, предоставляемой семьям с целью покрыть расходы, связанные с воспитанием детей. Она включает четыре типа платежей – поддержка семьи, налоговые скидки на детей, налоговые скидки на семью (с 1 апреля 2006 года будут заменены на выплаты по месту работы) и налоговые скидки на родителей. Семьи могут быть квалифицированы на получение одного или более из этих платежей в зависимости от их конкретной ситуации;</w:t>
      </w:r>
    </w:p>
    <w:p w:rsidR="00B44C11" w:rsidRDefault="00B44C11">
      <w:pPr>
        <w:pStyle w:val="10-18"/>
      </w:pPr>
      <w:r>
        <w:sym w:font="Symbol" w:char="F0B7"/>
      </w:r>
      <w:r>
        <w:tab/>
        <w:t>дотация на жилье: дотация на жилье помогает семьям с низкими и средними доходами оплатить издержки, связанные с арендой жилья или выплатой по ипотечному кредиту;</w:t>
      </w:r>
    </w:p>
    <w:p w:rsidR="00B44C11" w:rsidRDefault="00B44C11">
      <w:pPr>
        <w:pStyle w:val="10-18"/>
      </w:pPr>
      <w:r>
        <w:sym w:font="Symbol" w:char="F0B7"/>
      </w:r>
      <w:r>
        <w:tab/>
        <w:t>средства на уход за детьми и субсидии на внешкольный уход за детьми.</w:t>
      </w:r>
    </w:p>
    <w:p w:rsidR="00B44C11" w:rsidRDefault="00B44C11">
      <w:pPr>
        <w:tabs>
          <w:tab w:val="clear" w:pos="1588"/>
          <w:tab w:val="left" w:pos="567"/>
          <w:tab w:val="left" w:pos="907"/>
          <w:tab w:val="left" w:pos="1247"/>
        </w:tabs>
      </w:pPr>
      <w:r>
        <w:t>392.</w:t>
      </w:r>
      <w:r>
        <w:tab/>
        <w:t>Новые платежи по месту работы и увеличение помощи по уходу за детьми создадут особенно сильный стимул к работе для одиноких родителей, которые будут работать лучше для получения дополнительных выплат.</w:t>
      </w:r>
    </w:p>
    <w:p w:rsidR="00B44C11" w:rsidRDefault="00B44C11">
      <w:pPr>
        <w:tabs>
          <w:tab w:val="clear" w:pos="1588"/>
          <w:tab w:val="left" w:pos="567"/>
          <w:tab w:val="left" w:pos="907"/>
          <w:tab w:val="left" w:pos="1247"/>
        </w:tabs>
      </w:pPr>
      <w:r>
        <w:t>393.</w:t>
      </w:r>
      <w:r>
        <w:tab/>
        <w:t>Семьи, не имеющие права на получение помощи в рамках пакета инициатив "Работая для семей" или на получение каких-либо иных государственных субсидий, могут обратиться за получением пособия в связи с чрезвычайными обстоятельствами в случае, если они испытывают лишения.</w:t>
      </w:r>
    </w:p>
    <w:p w:rsidR="00B44C11" w:rsidRDefault="00B44C11">
      <w:pPr>
        <w:pStyle w:val="Heading3"/>
      </w:pPr>
      <w:r>
        <w:t>Насилие в отношении женщин</w:t>
      </w:r>
    </w:p>
    <w:p w:rsidR="00B44C11" w:rsidRDefault="00B44C11">
      <w:pPr>
        <w:pStyle w:val="Heading4"/>
      </w:pPr>
      <w:r>
        <w:t>Насилие в семье</w:t>
      </w:r>
    </w:p>
    <w:p w:rsidR="00B44C11" w:rsidRDefault="00B44C11">
      <w:pPr>
        <w:tabs>
          <w:tab w:val="clear" w:pos="1588"/>
          <w:tab w:val="left" w:pos="567"/>
          <w:tab w:val="left" w:pos="907"/>
          <w:tab w:val="left" w:pos="1247"/>
        </w:tabs>
      </w:pPr>
      <w:r>
        <w:t>394.</w:t>
      </w:r>
      <w:r>
        <w:tab/>
        <w:t xml:space="preserve">Насилие в семье является серьезной социальной и экономической проблемой, возникающей между людьми, имеющими близкие личные отношения, например, между партнерами, партнерами и детьми, родными братьями и сестрами, и другие личные отношения, например между пожилыми людьми и лицами, осуществляющими уход за ними и не являющимися членами их домохозяйства. </w:t>
      </w:r>
    </w:p>
    <w:p w:rsidR="00B44C11" w:rsidRDefault="00B44C11">
      <w:pPr>
        <w:tabs>
          <w:tab w:val="clear" w:pos="1588"/>
          <w:tab w:val="left" w:pos="567"/>
          <w:tab w:val="left" w:pos="907"/>
          <w:tab w:val="left" w:pos="1247"/>
        </w:tabs>
      </w:pPr>
      <w:r>
        <w:t>395.</w:t>
      </w:r>
      <w:r>
        <w:tab/>
        <w:t xml:space="preserve">Трудно получить правдивую картину уровня насилия в отношении женщин в Новой Зеландии, так как в большинстве случаев о них не сообщается. Тем не менее последнее </w:t>
      </w:r>
      <w:r>
        <w:rPr>
          <w:i/>
        </w:rPr>
        <w:t>Обследование в масштабе страны относительно жертв преступлений в Новой Зеландии</w:t>
      </w:r>
      <w:r>
        <w:t>, проведенное в 2001 году</w:t>
      </w:r>
      <w:r>
        <w:rPr>
          <w:rStyle w:val="FootnoteReference"/>
        </w:rPr>
        <w:footnoteReference w:id="111"/>
      </w:r>
      <w:r>
        <w:t>, показало, что в каждой этнической группе самым распространенным во всех возрастных группах среди разнополых партнеров был более высокий уровень насилия в отношении женщин (26 процентов) по сравнению с мужчинами (18 процентов), более высокий уровень насилия в отношении женщин-маори (49 процентов) по сравнению с женщинами европейского происхождения (26 процентов). Обзор содержит информацию как о сообщенных, так и не сообщенных преступлениях с применением насилия.</w:t>
      </w:r>
    </w:p>
    <w:p w:rsidR="00B44C11" w:rsidRDefault="00B44C11">
      <w:pPr>
        <w:tabs>
          <w:tab w:val="clear" w:pos="1588"/>
          <w:tab w:val="left" w:pos="567"/>
          <w:tab w:val="left" w:pos="907"/>
          <w:tab w:val="left" w:pos="1247"/>
        </w:tabs>
      </w:pPr>
      <w:r>
        <w:t>396.</w:t>
      </w:r>
      <w:r>
        <w:tab/>
        <w:t>Согласно данным более позднего исследования, опубликованного в 2004 году, 33 процента женщин в Окленде и 39 процентов женщин в Вайкато в течение жизни хотя бы один раз подвергались физическому и/или сексуальному насилию со стороны партнеров противоположного пола</w:t>
      </w:r>
      <w:r>
        <w:rPr>
          <w:rStyle w:val="FootnoteReference"/>
        </w:rPr>
        <w:footnoteReference w:id="112"/>
      </w:r>
      <w:r>
        <w:t xml:space="preserve">. </w:t>
      </w:r>
    </w:p>
    <w:p w:rsidR="00B44C11" w:rsidRDefault="00B44C11">
      <w:pPr>
        <w:tabs>
          <w:tab w:val="clear" w:pos="1588"/>
          <w:tab w:val="left" w:pos="567"/>
          <w:tab w:val="left" w:pos="907"/>
          <w:tab w:val="left" w:pos="1247"/>
        </w:tabs>
      </w:pPr>
      <w:r>
        <w:t>397.</w:t>
      </w:r>
      <w:r>
        <w:tab/>
        <w:t>В 2004–2005 годах департамент по вопросам обслуживания детей, молодежи и семьи получил 53 097 уведомлений о возможных случаях плохого обращения или пренебрежения; что на 23% выше по сравнению с 2003–2004 годами</w:t>
      </w:r>
      <w:r>
        <w:rPr>
          <w:rStyle w:val="FootnoteReference"/>
        </w:rPr>
        <w:footnoteReference w:id="113"/>
      </w:r>
      <w:r>
        <w:t>. Это соответствует общей тенденции, наблюдаемой как в Новой Зеландии, так и на международном уровне в отношении увеличения числа уведомлений, что частично объясняется возросшим уровнем информированности, относительно плохого обращения или пренебрежения детьми</w:t>
      </w:r>
      <w:r>
        <w:rPr>
          <w:rStyle w:val="FootnoteReference"/>
        </w:rPr>
        <w:footnoteReference w:id="114"/>
      </w:r>
      <w:r>
        <w:t>. Было выявлено, что в 30–60 процентах семей, отличающихся плохим обращением с детьми, имеет место также плохое обращение с партнером</w:t>
      </w:r>
      <w:r>
        <w:rPr>
          <w:rStyle w:val="FootnoteReference"/>
        </w:rPr>
        <w:footnoteReference w:id="115"/>
      </w:r>
      <w:r>
        <w:t>.</w:t>
      </w:r>
    </w:p>
    <w:p w:rsidR="00B44C11" w:rsidRDefault="00B44C11">
      <w:pPr>
        <w:tabs>
          <w:tab w:val="clear" w:pos="1588"/>
          <w:tab w:val="left" w:pos="567"/>
          <w:tab w:val="left" w:pos="907"/>
          <w:tab w:val="left" w:pos="1247"/>
        </w:tabs>
      </w:pPr>
      <w:r>
        <w:t>398.</w:t>
      </w:r>
      <w:r>
        <w:tab/>
        <w:t>Женщины продолжают оставаться основными жертвами плохого обращения и/или пренебрежения к пожилым людям. В период 2002–2004 годов женщины составляли 70 процентов из 884 индивидуальных клиентов, обратившихся в новозеландскую организацию "Забота о престарелых" в связи со случаями плохого обращения и/или пренебрежения</w:t>
      </w:r>
      <w:r>
        <w:rPr>
          <w:rStyle w:val="FootnoteReference"/>
        </w:rPr>
        <w:footnoteReference w:id="116"/>
      </w:r>
      <w:r>
        <w:t>. Из общего числа случаев плохого обращения и/или пренебрежения 12 процентов составляют случаи физического насилия и 2 процента – сексуального насилия</w:t>
      </w:r>
      <w:r>
        <w:rPr>
          <w:rStyle w:val="FootnoteReference"/>
        </w:rPr>
        <w:footnoteReference w:id="117"/>
      </w:r>
      <w:r>
        <w:t>. Сообщается не обо всех случаях плохого обращения. Согласно оценкам, 3–10 процентов пожилых людей (в возрасте 65 лет и старше) являются жертвами плохого обращения с пожилыми людьми</w:t>
      </w:r>
      <w:r>
        <w:rPr>
          <w:rStyle w:val="FootnoteReference"/>
        </w:rPr>
        <w:footnoteReference w:id="118"/>
      </w:r>
      <w:r>
        <w:t xml:space="preserve">. </w:t>
      </w:r>
    </w:p>
    <w:p w:rsidR="00B44C11" w:rsidRDefault="00B44C11">
      <w:pPr>
        <w:tabs>
          <w:tab w:val="clear" w:pos="1588"/>
          <w:tab w:val="left" w:pos="567"/>
          <w:tab w:val="left" w:pos="907"/>
          <w:tab w:val="left" w:pos="1247"/>
        </w:tabs>
      </w:pPr>
      <w:r>
        <w:t>399.</w:t>
      </w:r>
      <w:r>
        <w:tab/>
        <w:t>В настоящее время отсутствуют данные относительно уровня насилия в отношении однополых партнеров и в отношении женщин-инвалидов, а данные относительно насилия в семье в более широком смысле являются очень ограниченными. Для уточнения данных о случаях насилия в семье разрабатывается исследовательский проект для документирования знаний о масштабе и характере насилия в новозеландской семье и представления рекомендаций относительно возможностей совершенствования сбора данных.</w:t>
      </w:r>
    </w:p>
    <w:p w:rsidR="00B44C11" w:rsidRDefault="00B44C11">
      <w:pPr>
        <w:tabs>
          <w:tab w:val="clear" w:pos="1588"/>
          <w:tab w:val="left" w:pos="567"/>
          <w:tab w:val="left" w:pos="907"/>
          <w:tab w:val="left" w:pos="1247"/>
        </w:tabs>
      </w:pPr>
      <w:r>
        <w:t>400.</w:t>
      </w:r>
      <w:r>
        <w:tab/>
        <w:t xml:space="preserve">В будущем можно будет также проводить мониторинг случаев насилия в семье путем более частого проведения общих обследований, касающихся жертв преступлений. Начиная с 2006 года </w:t>
      </w:r>
      <w:r>
        <w:rPr>
          <w:i/>
        </w:rPr>
        <w:t>Обследование в масштабе страны жертв преступлений</w:t>
      </w:r>
      <w:r>
        <w:t xml:space="preserve"> в Новой Зеландии будет проводиться раз в два года. Со временем это позволит проводить более регулярный анализ отчетов и тенденций.</w:t>
      </w:r>
    </w:p>
    <w:p w:rsidR="00B44C11" w:rsidRDefault="00B44C11">
      <w:pPr>
        <w:tabs>
          <w:tab w:val="clear" w:pos="1588"/>
          <w:tab w:val="left" w:pos="567"/>
          <w:tab w:val="left" w:pos="907"/>
          <w:tab w:val="left" w:pos="1247"/>
        </w:tabs>
      </w:pPr>
      <w:r>
        <w:t>401.</w:t>
      </w:r>
      <w:r>
        <w:tab/>
        <w:t>Насилие в семье представляет собой сложную проблему. Оценки эффективности как местных, так и международных мер в настоящее время являются в значительной мере недостаточными, однако они выявили аспекты, которые оказали позитивное воздействие на число случаев насилия в семье.</w:t>
      </w:r>
    </w:p>
    <w:p w:rsidR="00B44C11" w:rsidRDefault="00B44C11">
      <w:pPr>
        <w:tabs>
          <w:tab w:val="clear" w:pos="1588"/>
          <w:tab w:val="left" w:pos="567"/>
          <w:tab w:val="left" w:pos="907"/>
          <w:tab w:val="left" w:pos="1247"/>
        </w:tabs>
      </w:pPr>
      <w:r>
        <w:t>402.</w:t>
      </w:r>
      <w:r>
        <w:tab/>
        <w:t>В марте 2005 года парламентская группа по вопросам населения и развития Новой Зеландии провела открытые слушания относительно насилия в отношении женщин и детей</w:t>
      </w:r>
      <w:r>
        <w:rPr>
          <w:rStyle w:val="FootnoteReference"/>
        </w:rPr>
        <w:footnoteReference w:id="119"/>
      </w:r>
      <w:r>
        <w:t>. Открытые слушания дали возможность рассмотреть ряд вопросов с позиции неправительственных организаций, предоставляющих социальные услуги, и государственных учреждений. Отчет и рекомендации также внесли свой вклад в реализацию текущей стратегии правительства по вопросам семьи и насилия в семье.</w:t>
      </w:r>
    </w:p>
    <w:p w:rsidR="00B44C11" w:rsidRDefault="00B44C11">
      <w:pPr>
        <w:tabs>
          <w:tab w:val="clear" w:pos="1588"/>
          <w:tab w:val="left" w:pos="567"/>
          <w:tab w:val="left" w:pos="907"/>
          <w:tab w:val="left" w:pos="1247"/>
        </w:tabs>
      </w:pPr>
      <w:r>
        <w:t>403.</w:t>
      </w:r>
      <w:r>
        <w:tab/>
        <w:t xml:space="preserve">Правительство Новой Зеландии реагировало на проблемы насилия в семье в рамках различных стратегий, включая </w:t>
      </w:r>
      <w:r>
        <w:rPr>
          <w:i/>
        </w:rPr>
        <w:t>Стратегию сокращения масштабов преступности</w:t>
      </w:r>
      <w:r>
        <w:rPr>
          <w:rStyle w:val="FootnoteReference"/>
        </w:rPr>
        <w:footnoteReference w:id="120"/>
      </w:r>
      <w:r>
        <w:rPr>
          <w:i/>
        </w:rPr>
        <w:t>,</w:t>
      </w:r>
      <w:r>
        <w:t xml:space="preserve"> </w:t>
      </w:r>
      <w:r>
        <w:rPr>
          <w:i/>
        </w:rPr>
        <w:t>Те Рито: новозеландскую стратегию предотвращения насилия в семье</w:t>
      </w:r>
      <w:r>
        <w:t xml:space="preserve">, </w:t>
      </w:r>
      <w:r>
        <w:rPr>
          <w:i/>
        </w:rPr>
        <w:t>Возможности для всех новозеландцев</w:t>
      </w:r>
      <w:r>
        <w:t xml:space="preserve">, которые идентифицируют насилие в семье как один из пяти критически важных социальных вопросов для Новой Зеландии, а также </w:t>
      </w:r>
      <w:r>
        <w:rPr>
          <w:i/>
        </w:rPr>
        <w:t>Новозеландскую стратегию в области здравоохранения</w:t>
      </w:r>
      <w:r>
        <w:t>, которая считает снижение уровня межличностного насилия приоритетным вопросом для населения в области здравоохранения.</w:t>
      </w:r>
    </w:p>
    <w:p w:rsidR="00B44C11" w:rsidRDefault="00B44C11">
      <w:pPr>
        <w:tabs>
          <w:tab w:val="clear" w:pos="1588"/>
          <w:tab w:val="left" w:pos="567"/>
          <w:tab w:val="left" w:pos="907"/>
          <w:tab w:val="left" w:pos="1247"/>
        </w:tabs>
        <w:spacing w:after="200"/>
      </w:pPr>
      <w:r>
        <w:t>404.</w:t>
      </w:r>
      <w:r>
        <w:tab/>
        <w:t xml:space="preserve">Стратегия </w:t>
      </w:r>
      <w:r>
        <w:rPr>
          <w:i/>
        </w:rPr>
        <w:t xml:space="preserve">Те Рито </w:t>
      </w:r>
      <w:r>
        <w:t>предусматривает 18 областей действий, которые необходимо осуществить в течение пятилетнего периода. Область действий 8 включает программу исследования и оценки, в которой подчеркивается необходимость механизма координации, сбора и распространения информации о насилии в семье. С этой целью в 2005 году правительство финансировало центр обмена информацией по вопросам насилия в семье в Новой Зеландии. Центр обмена информацией разрабатывается консорциумом организаций, сочетающих академический интерес и высшее образование со знанием и опытом неправительственных организаций, работающих в сфере предотвращения насилия в семье и принятия мер в этом направлении.</w:t>
      </w:r>
    </w:p>
    <w:p w:rsidR="00B44C11" w:rsidRDefault="00B44C11">
      <w:pPr>
        <w:tabs>
          <w:tab w:val="clear" w:pos="1588"/>
          <w:tab w:val="left" w:pos="567"/>
          <w:tab w:val="left" w:pos="907"/>
          <w:tab w:val="left" w:pos="1247"/>
        </w:tabs>
        <w:spacing w:after="200"/>
      </w:pPr>
      <w:r>
        <w:t>405.</w:t>
      </w:r>
      <w:r>
        <w:tab/>
        <w:t>Правительственная группа, включающая министров по делам женщин, внутренних дел, юстиции, социального развития и занятости, образования и здравоохранения, а также помощника министра по вопросам социального развития и занятости (департамента по вопросам обслуживания детей, молодежи и семьи), была также образована с целью осуществления руководства во всем государственном секторе по вопросам ликвидации насилия в отношении женщин.</w:t>
      </w:r>
    </w:p>
    <w:p w:rsidR="00B44C11" w:rsidRDefault="00B44C11">
      <w:pPr>
        <w:tabs>
          <w:tab w:val="clear" w:pos="1588"/>
          <w:tab w:val="left" w:pos="567"/>
          <w:tab w:val="left" w:pos="907"/>
          <w:tab w:val="left" w:pos="1247"/>
        </w:tabs>
        <w:spacing w:after="200"/>
      </w:pPr>
      <w:r>
        <w:t>406.</w:t>
      </w:r>
      <w:r>
        <w:tab/>
        <w:t>В настоящее время правительство провело ряд мероприятий на местах или они осуществляются в целях ликвидации насилия в отношении женщин:</w:t>
      </w:r>
    </w:p>
    <w:p w:rsidR="00B44C11" w:rsidRDefault="00B44C11">
      <w:pPr>
        <w:pStyle w:val="10-18"/>
        <w:spacing w:after="200"/>
      </w:pPr>
      <w:r>
        <w:sym w:font="Symbol" w:char="F0B7"/>
      </w:r>
      <w:r>
        <w:tab/>
        <w:t>Целевая рабочая группа по вопросам насилия в семье – руководители старшего звена ключевых государственных учреждений, представители неправительственных организаций, члены судебной власти, уполномоченный по вопросам детей и старший уполномоченный по вопросам семьи работают в сотрудничестве друг с другом по вопросам реагирования на насилие в семье и к июлю 2006 года подготовят рекомендации министрам;</w:t>
      </w:r>
    </w:p>
    <w:p w:rsidR="00B44C11" w:rsidRDefault="00B44C11">
      <w:pPr>
        <w:pStyle w:val="10-18"/>
        <w:spacing w:after="200"/>
      </w:pPr>
      <w:r>
        <w:sym w:font="Symbol" w:char="F0B7"/>
      </w:r>
      <w:r>
        <w:tab/>
        <w:t>Национальная целевая рабочая группа по вопросам снижения уровня насилия в общинах – образована в соответствии с Планом действий 2004 года для обеспечения безопасности общин путем снижения уровня насилия в общинах и сексуального насилия;</w:t>
      </w:r>
    </w:p>
    <w:p w:rsidR="00B44C11" w:rsidRDefault="00B44C11">
      <w:pPr>
        <w:pStyle w:val="10-18"/>
        <w:spacing w:after="200"/>
      </w:pPr>
      <w:r>
        <w:sym w:font="Symbol" w:char="F0B7"/>
      </w:r>
      <w:r>
        <w:tab/>
        <w:t>Проект Мауриора – укрепление потенциала практикующих специалистов маори для проведения приемлемых с точки зрения культуры мероприятий;</w:t>
      </w:r>
    </w:p>
    <w:p w:rsidR="00B44C11" w:rsidRDefault="00B44C11">
      <w:pPr>
        <w:pStyle w:val="10-18"/>
        <w:spacing w:after="200"/>
      </w:pPr>
      <w:r>
        <w:sym w:font="Symbol" w:char="F0B7"/>
      </w:r>
      <w:r>
        <w:tab/>
        <w:t>Стратегия предотвращения насилия в семье тихоокеанских народностей – расширение образования и информированности по вопросам насилия в семье в общинах тихоокеанских народностей и изменение позиции;</w:t>
      </w:r>
    </w:p>
    <w:p w:rsidR="00B44C11" w:rsidRDefault="00B44C11">
      <w:pPr>
        <w:pStyle w:val="10-18"/>
        <w:spacing w:after="200"/>
      </w:pPr>
      <w:r>
        <w:sym w:font="Symbol" w:char="F0B7"/>
      </w:r>
      <w:r>
        <w:tab/>
        <w:t>Группы реагирования на насилие в семье – пилотная программа, состоящая из четырех многофункциональных групп, включающих полицейских следователей, адвокатов детей, принятых на работу общиной, адвокатов жертв, принятых на работу общиной и (в двух группах) адвокатов детей департамента по вопросам обслуживания детей, молодежи и семьи, работающих в сотрудничестве друг с другом для решения ряда проблем, с которыми сталкиваются семьи, страдающие от насилия;</w:t>
      </w:r>
    </w:p>
    <w:p w:rsidR="00B44C11" w:rsidRDefault="00B44C11">
      <w:pPr>
        <w:pStyle w:val="10-18"/>
        <w:spacing w:after="200"/>
      </w:pPr>
      <w:r>
        <w:sym w:font="Symbol" w:char="F0B7"/>
      </w:r>
      <w:r>
        <w:tab/>
        <w:t>Инициатива по финансированию предотвращения насилия в семье – инициатива совместного финансирования, направленная на облегчение работы организаций, представляющих услуги для общин;</w:t>
      </w:r>
    </w:p>
    <w:p w:rsidR="00B44C11" w:rsidRDefault="00B44C11">
      <w:pPr>
        <w:pStyle w:val="10-18"/>
        <w:spacing w:after="200"/>
      </w:pPr>
      <w:r>
        <w:sym w:font="Symbol" w:char="F0B7"/>
      </w:r>
      <w:r>
        <w:tab/>
        <w:t>Программа мер по предотвращению насилия в семье – направлена на улучшение реагирования в плане работы и прибыли для клиентов, страдающих от насилия в семье;</w:t>
      </w:r>
    </w:p>
    <w:p w:rsidR="00B44C11" w:rsidRDefault="00B44C11">
      <w:pPr>
        <w:pStyle w:val="10-18"/>
      </w:pPr>
      <w:r>
        <w:sym w:font="Symbol" w:char="F0B7"/>
      </w:r>
      <w:r>
        <w:tab/>
        <w:t>Проведение многолетней кампании, направленной на изменение позиции и поведения.</w:t>
      </w:r>
    </w:p>
    <w:p w:rsidR="00B44C11" w:rsidRDefault="00B44C11">
      <w:pPr>
        <w:tabs>
          <w:tab w:val="clear" w:pos="1588"/>
          <w:tab w:val="left" w:pos="567"/>
          <w:tab w:val="left" w:pos="907"/>
          <w:tab w:val="left" w:pos="1247"/>
        </w:tabs>
        <w:spacing w:after="220"/>
        <w:rPr>
          <w:i/>
        </w:rPr>
      </w:pPr>
      <w:r>
        <w:rPr>
          <w:i/>
        </w:rPr>
        <w:t>Медицинское обследование, связанное с насилием в семье</w:t>
      </w:r>
    </w:p>
    <w:p w:rsidR="00B44C11" w:rsidRDefault="00B44C11">
      <w:pPr>
        <w:tabs>
          <w:tab w:val="clear" w:pos="1588"/>
          <w:tab w:val="left" w:pos="567"/>
          <w:tab w:val="left" w:pos="907"/>
          <w:tab w:val="left" w:pos="1247"/>
        </w:tabs>
        <w:spacing w:after="220"/>
      </w:pPr>
      <w:r>
        <w:t>407.</w:t>
      </w:r>
      <w:r>
        <w:tab/>
        <w:t xml:space="preserve">Правительство разработало в рамках сектора здравоохранения меры реагирования, направленные на комплексное искоренение насилия в отношении женщин. Одной из 13 задач системы здравоохранения в соответствии с </w:t>
      </w:r>
      <w:r>
        <w:rPr>
          <w:i/>
        </w:rPr>
        <w:t>Новозеландской стратегией в области здравоохранения</w:t>
      </w:r>
      <w:r>
        <w:t xml:space="preserve"> является снижение уровня насилия в межличностных отношениях, в семьях, школах и общинах. В целях снижения уровня насилия в этих сферах специалисты системы здравоохранения и организации, предоставляющие услуги, требуют обучения и осуществления протоколов, касающихся выявления жертв насилия и плохого обращения в семье. Очень важную роль играют также кампании, проводимые государством в области здравоохранения.</w:t>
      </w:r>
    </w:p>
    <w:p w:rsidR="00B44C11" w:rsidRDefault="00B44C11">
      <w:pPr>
        <w:tabs>
          <w:tab w:val="clear" w:pos="1588"/>
          <w:tab w:val="left" w:pos="567"/>
          <w:tab w:val="left" w:pos="907"/>
          <w:tab w:val="left" w:pos="1247"/>
        </w:tabs>
        <w:spacing w:after="220"/>
      </w:pPr>
      <w:r>
        <w:t>408.</w:t>
      </w:r>
      <w:r>
        <w:tab/>
        <w:t>В 2002 году правительство выпустило руководство по мероприятиям с целью предотвращения насилия в семье. Руководство является практическим средством, призванным помочь организациям, предоставляющим услуги в области здравоохранения, осуществлять безопасные и эффективные мероприятия для оказания помощи жертвам насилия и плохого обращения. Руководство было составлено в виде типичной инструкции для специалистов в области здравоохранения, устанавливающей принципы мероприятий, которые будут применимы к ряду медицинских профессий и к клинической практике. Ожидается, что с течением времени по отдельным медицинским профессиям могут быть сформулированы собственные специфические для них инструкции для работы со случаями плохого обращения с детьми или со стороны партнера.</w:t>
      </w:r>
    </w:p>
    <w:p w:rsidR="00B44C11" w:rsidRDefault="00B44C11">
      <w:pPr>
        <w:tabs>
          <w:tab w:val="clear" w:pos="1588"/>
          <w:tab w:val="left" w:pos="567"/>
          <w:tab w:val="left" w:pos="907"/>
          <w:tab w:val="left" w:pos="1247"/>
        </w:tabs>
        <w:spacing w:after="220"/>
      </w:pPr>
      <w:r>
        <w:t>409.</w:t>
      </w:r>
      <w:r>
        <w:tab/>
        <w:t xml:space="preserve">Руководство предназначено для использования в сочетании с профессиональным обучением в области здравоохранения, предлагаемым в рамках проекта </w:t>
      </w:r>
      <w:r>
        <w:rPr>
          <w:caps/>
        </w:rPr>
        <w:t>м</w:t>
      </w:r>
      <w:r>
        <w:t>инистерства здравоохранения по борьбе с насилием в семье на период 2001–2004 годов. Колледжи и организации, одобряющие это руководство, участвовали в разработке проекта и будут продолжать участвовать в разработке программ обучения по проведению мероприятий, направленных на искоренение плохого обращения с детьми и партнерами. Например, новозеландский акушерский колледж в 2002 году провел семинар-практикум по вопросам насилия в семье для подготовки акушерок к проведению обследования и выявлению признаков насилия в семье, что составит часть их заботы о беременных женщинах.</w:t>
      </w:r>
    </w:p>
    <w:p w:rsidR="00B44C11" w:rsidRDefault="00B44C11">
      <w:pPr>
        <w:tabs>
          <w:tab w:val="clear" w:pos="1588"/>
          <w:tab w:val="left" w:pos="567"/>
          <w:tab w:val="left" w:pos="907"/>
          <w:tab w:val="left" w:pos="1247"/>
        </w:tabs>
        <w:spacing w:after="220"/>
      </w:pPr>
      <w:r>
        <w:t>410.</w:t>
      </w:r>
      <w:r>
        <w:tab/>
        <w:t xml:space="preserve">Министерство здравоохранения и Совет по исследованиям в области здравоохранения Новой Зеландии выделили средства на исследование для оценки проектов профессионального обучения </w:t>
      </w:r>
      <w:r>
        <w:br/>
        <w:t>в области здравоохранения с целью:</w:t>
      </w:r>
    </w:p>
    <w:p w:rsidR="00B44C11" w:rsidRDefault="00B44C11">
      <w:pPr>
        <w:pStyle w:val="10-18"/>
        <w:spacing w:after="220"/>
      </w:pPr>
      <w:r>
        <w:sym w:font="Symbol" w:char="F0B7"/>
      </w:r>
      <w:r>
        <w:tab/>
        <w:t>увеличить доступ к обучению и установить процедуры передовой практики для оказания помощи жертвам насилия в семье, и</w:t>
      </w:r>
    </w:p>
    <w:p w:rsidR="00B44C11" w:rsidRDefault="00B44C11">
      <w:pPr>
        <w:pStyle w:val="10-18"/>
        <w:spacing w:after="220"/>
      </w:pPr>
      <w:r>
        <w:sym w:font="Symbol" w:char="F0B7"/>
      </w:r>
      <w:r>
        <w:tab/>
        <w:t xml:space="preserve">повысить эффективность проектов обучения для улучшения реагирования медико-санитарных работников на оказание помощи жертвам насилия в семье. </w:t>
      </w:r>
    </w:p>
    <w:p w:rsidR="00B44C11" w:rsidRDefault="00B44C11">
      <w:pPr>
        <w:tabs>
          <w:tab w:val="clear" w:pos="1588"/>
          <w:tab w:val="left" w:pos="567"/>
          <w:tab w:val="left" w:pos="907"/>
          <w:tab w:val="left" w:pos="1247"/>
        </w:tabs>
        <w:spacing w:after="220"/>
      </w:pPr>
      <w:r>
        <w:t>411.</w:t>
      </w:r>
      <w:r>
        <w:tab/>
        <w:t>Министерство здравоохранения также финансирует ряд проектов в области государственного образования в целях решения проблемы искоренения насилия в семье в Новой Зеландии. Эти проекты включают следующее:</w:t>
      </w:r>
    </w:p>
    <w:p w:rsidR="00B44C11" w:rsidRDefault="00B44C11">
      <w:pPr>
        <w:pStyle w:val="10-18"/>
        <w:spacing w:after="220"/>
      </w:pPr>
      <w:r>
        <w:sym w:font="Symbol" w:char="F0B7"/>
      </w:r>
      <w:r>
        <w:tab/>
        <w:t>хапу без насилия – применение подходов эффективного предотвращения насилия и раннего реагирования, которые традиционно используются в общинах маори;</w:t>
      </w:r>
    </w:p>
    <w:p w:rsidR="00B44C11" w:rsidRDefault="00B44C11">
      <w:pPr>
        <w:pStyle w:val="10-18"/>
      </w:pPr>
      <w:r>
        <w:sym w:font="Symbol" w:char="F0B7"/>
      </w:r>
      <w:r>
        <w:tab/>
        <w:t>марае без насилия/развитие трудовых ресурсов маори – обучение организаций, предоставляющих социальные услуги маори, методам искоренения насилия в семье;</w:t>
      </w:r>
    </w:p>
    <w:p w:rsidR="00B44C11" w:rsidRDefault="00B44C11">
      <w:pPr>
        <w:pStyle w:val="10-18"/>
      </w:pPr>
      <w:r>
        <w:sym w:font="Symbol" w:char="F0B7"/>
      </w:r>
      <w:r>
        <w:tab/>
        <w:t xml:space="preserve">без насилия в семье: реагирование нанимателя на насилие в семье – создание здоровой атмосферы на рабочих местах путем оказания поддержки жертвам насилия и воспитания персонала; </w:t>
      </w:r>
    </w:p>
    <w:p w:rsidR="00B44C11" w:rsidRDefault="00B44C11">
      <w:pPr>
        <w:pStyle w:val="10-18"/>
      </w:pPr>
      <w:r>
        <w:sym w:font="Symbol" w:char="F0B7"/>
      </w:r>
      <w:r>
        <w:tab/>
        <w:t xml:space="preserve">создание стимулов для поведения молодежи без применения насилия и развития здоровых гендерных отношений – выступления мужчин против насилия в средствах массовой информации, работа со спортивными и образовательными организациями в целях поощрения поведения молодежи без применения насилия. </w:t>
      </w:r>
    </w:p>
    <w:p w:rsidR="00B44C11" w:rsidRDefault="00B44C11">
      <w:pPr>
        <w:tabs>
          <w:tab w:val="clear" w:pos="1588"/>
          <w:tab w:val="left" w:pos="567"/>
          <w:tab w:val="left" w:pos="907"/>
          <w:tab w:val="left" w:pos="1247"/>
        </w:tabs>
      </w:pPr>
      <w:r>
        <w:t>412.</w:t>
      </w:r>
      <w:r>
        <w:tab/>
        <w:t>Неправительственные организации также играют важную роль в предоставлении помощи и поддержки женщинам и детям в семьях, где применяется насилие. Например, Национальное общество независимых женских приютов является широкой организацией, объединяющей 50 женских приютов по всей Новой Зеландии. Приюты обеспечивают круглосуточную помощь, защиту и проживание для женщин и их детей, страдающих от насилия в семье. Национальное общество независимых женских приютов является независимой общинной организацией, которой руководят женщины в интересах женщин и детей и которая предоставляет правительству ценные консультативные услуги, касающиеся мероприятий и программ, направленных на оказание помощи женщинам и детям, подвергающимся насилию в семье.</w:t>
      </w:r>
    </w:p>
    <w:p w:rsidR="00B44C11" w:rsidRDefault="00B44C11">
      <w:pPr>
        <w:tabs>
          <w:tab w:val="clear" w:pos="1588"/>
          <w:tab w:val="left" w:pos="567"/>
          <w:tab w:val="left" w:pos="907"/>
          <w:tab w:val="left" w:pos="1247"/>
        </w:tabs>
      </w:pPr>
      <w:r>
        <w:t>413.</w:t>
      </w:r>
      <w:r>
        <w:tab/>
        <w:t>Королевское общество Новой Зеландии "Планкет" (Планкет) установило связь с другими учреждениями в области здравоохранения, а также в секторах образования и социального обеспечения с целью получения доступа семей к услугам, в которых они нуждаются. Услугами Планкета также пользуются многие родители для проведения финансируемого государством медицинского обследования детей на дому. Это обеспечило Планкету доступ во многие дома, что способствует особенно эффективной работе данной организации в выявлении насилия в семье и принятии мер по ликвидации его.</w:t>
      </w:r>
    </w:p>
    <w:p w:rsidR="00B44C11" w:rsidRDefault="00B44C11">
      <w:pPr>
        <w:tabs>
          <w:tab w:val="clear" w:pos="1588"/>
          <w:tab w:val="left" w:pos="567"/>
          <w:tab w:val="left" w:pos="907"/>
          <w:tab w:val="left" w:pos="1247"/>
        </w:tabs>
      </w:pPr>
      <w:r>
        <w:t>414.</w:t>
      </w:r>
      <w:r>
        <w:tab/>
        <w:t>Ассоциация планирования семьи (АПС) также играет ключевую роль в предоставлении помощи и оказании поддержки женщинам, страдающим от насилия. АПС финансируется правительством в целях предоставления конкретных образовательных и медицинских услуг в клинике, направленных на улучшение сексуального и репродуктивного здоровья. Медицинский персонал клиники АПС проводит регулярное обследование пациентов на предмет выявления насилия в семье. Помимо этого, образовательные услуги АПС включают оказание помощи молодым людям в распознавании опасных симптомов насилия во взаимоотношениях и в предоставлении информации о том, куда обращаться за помощью.</w:t>
      </w:r>
    </w:p>
    <w:p w:rsidR="00B44C11" w:rsidRDefault="00B44C11">
      <w:pPr>
        <w:pStyle w:val="Heading4"/>
      </w:pPr>
      <w:r>
        <w:t>Другие виды насилия в отношении женщин</w:t>
      </w:r>
    </w:p>
    <w:p w:rsidR="00B44C11" w:rsidRDefault="00B44C11">
      <w:pPr>
        <w:tabs>
          <w:tab w:val="clear" w:pos="1588"/>
          <w:tab w:val="left" w:pos="567"/>
          <w:tab w:val="left" w:pos="907"/>
          <w:tab w:val="left" w:pos="1247"/>
        </w:tabs>
      </w:pPr>
      <w:r>
        <w:t>415.</w:t>
      </w:r>
      <w:r>
        <w:tab/>
        <w:t xml:space="preserve">Как обсуждалось выше, отсутствуют абсолютные цифры относительно уровня насилия, которому подвергаются женщины в Новой Зеландии как в семье, так и в общественных местах. Однако существуют данные, которые могут пролить свет на масштабы этой проблемы. Наиболее часто используются статистические данные о случаях насилия, о которых сообщают в полицию, </w:t>
      </w:r>
      <w:r>
        <w:br/>
        <w:t xml:space="preserve">а также данные обследований, в ходе которых опрашивают людей о том, сталкивались ли они </w:t>
      </w:r>
      <w:r>
        <w:br/>
        <w:t>с различными случаями насилия и преступлений.</w:t>
      </w:r>
    </w:p>
    <w:p w:rsidR="00B44C11" w:rsidRDefault="00B44C11">
      <w:pPr>
        <w:tabs>
          <w:tab w:val="clear" w:pos="1588"/>
          <w:tab w:val="left" w:pos="567"/>
          <w:tab w:val="left" w:pos="907"/>
          <w:tab w:val="left" w:pos="1247"/>
        </w:tabs>
      </w:pPr>
      <w:r>
        <w:t>416.</w:t>
      </w:r>
      <w:r>
        <w:tab/>
        <w:t xml:space="preserve">Насилие в отношении женщин преследуется в судебном порядке в соответствии с Законом </w:t>
      </w:r>
      <w:r>
        <w:br/>
        <w:t xml:space="preserve">о преступлениях 1961 года и Законом о насилии в семье 1995 года. В таблице, представленной ниже, показан общий зарегистрированный уровень насильственных нападений, насилия в семье </w:t>
      </w:r>
      <w:r>
        <w:br/>
        <w:t xml:space="preserve">и нападений сексуального характера в расчете на 10 000 человек. Статистические данные </w:t>
      </w:r>
      <w:r>
        <w:br/>
        <w:t>о нападениях сексуального характера включают нападения незнакомых людей с целью совершения изнасилования, похищения для сексуальных целей, похищения для заключения брака или сексуальных целей, развратные действия, сексуальное изнасилование, нападения сексуального характера на детей, причем жертва может быть мужского пола.</w:t>
      </w:r>
    </w:p>
    <w:bookmarkStart w:id="75" w:name="_MON_1219578732"/>
    <w:bookmarkStart w:id="76" w:name="_MON_1219579113"/>
    <w:bookmarkStart w:id="77" w:name="_MON_1219580980"/>
    <w:bookmarkEnd w:id="75"/>
    <w:bookmarkEnd w:id="76"/>
    <w:bookmarkEnd w:id="77"/>
    <w:p w:rsidR="00B44C11" w:rsidRDefault="00B44C11">
      <w:pPr>
        <w:tabs>
          <w:tab w:val="clear" w:pos="1588"/>
          <w:tab w:val="left" w:pos="567"/>
          <w:tab w:val="left" w:pos="907"/>
          <w:tab w:val="left" w:pos="1247"/>
        </w:tabs>
      </w:pPr>
      <w:r>
        <w:object w:dxaOrig="7205" w:dyaOrig="4738">
          <v:shape id="_x0000_i1030" type="#_x0000_t75" style="width:5in;height:237pt" o:ole="">
            <v:imagedata r:id="rId19" o:title=""/>
          </v:shape>
          <o:OLEObject Type="Embed" ProgID="Word.Picture.8" ShapeID="_x0000_i1030" DrawAspect="Content" ObjectID="_1395247788" r:id="rId20"/>
        </w:object>
      </w:r>
    </w:p>
    <w:p w:rsidR="00B44C11" w:rsidRDefault="00B44C11">
      <w:pPr>
        <w:tabs>
          <w:tab w:val="clear" w:pos="1588"/>
          <w:tab w:val="left" w:pos="567"/>
          <w:tab w:val="left" w:pos="907"/>
          <w:tab w:val="left" w:pos="1247"/>
        </w:tabs>
      </w:pPr>
      <w:r>
        <w:t>417.</w:t>
      </w:r>
      <w:r>
        <w:tab/>
        <w:t>Информация об осуждении за насилие в отношении женщин в настоящее время отсутствует, хотя правонарушения носят многочисленный и разнообразный характер. Данные об осуждениях не были представлены в форме, которая бы дала возможность указать пол жертв и правонарушителя. В связи с необходимостью получения надежных и подробных данных относительно насилия в отношении женщин и общих последствий насилия требуется в срочном порядке улучшить сбор данных.</w:t>
      </w:r>
    </w:p>
    <w:p w:rsidR="00B44C11" w:rsidRDefault="00B44C11">
      <w:pPr>
        <w:tabs>
          <w:tab w:val="clear" w:pos="1588"/>
          <w:tab w:val="left" w:pos="567"/>
          <w:tab w:val="left" w:pos="907"/>
          <w:tab w:val="left" w:pos="1247"/>
        </w:tabs>
      </w:pPr>
      <w:r>
        <w:t>418.</w:t>
      </w:r>
      <w:r>
        <w:tab/>
        <w:t xml:space="preserve">Необходимо отметить, что согласно данным </w:t>
      </w:r>
      <w:r>
        <w:rPr>
          <w:i/>
        </w:rPr>
        <w:t>Обследования в масштабе страны относительно жертв насилия в 2001 году</w:t>
      </w:r>
      <w:r>
        <w:t>, проведенного в Новой Зеландии число зарегистрированных правонарушений, о которых было заявлено в полицию, составляет только 15 процентов от общего числа случаев виктимизации.</w:t>
      </w:r>
    </w:p>
    <w:p w:rsidR="00B44C11" w:rsidRDefault="00B44C11">
      <w:pPr>
        <w:tabs>
          <w:tab w:val="clear" w:pos="1588"/>
          <w:tab w:val="left" w:pos="567"/>
          <w:tab w:val="left" w:pos="907"/>
          <w:tab w:val="left" w:pos="1247"/>
        </w:tabs>
      </w:pPr>
      <w:r>
        <w:t>419.</w:t>
      </w:r>
      <w:r>
        <w:tab/>
        <w:t xml:space="preserve">В ходе обследования было выявлено, что широко распространенным является насилие сексуального характера и что женщины подвергались сексуальному вмешательству или нападению значительно чаще, чем мужчины. Около 20 процентов опрошенных женщин сказали, что они подвергались нападениям сексуального характера в тот или иной период жизни по сравнению </w:t>
      </w:r>
      <w:r>
        <w:br/>
        <w:t xml:space="preserve">с 5 процентами опрошенных мужчин. Уровень виктимизации молодых женщин (26 процентов) и женщин-маори (23 процента) был также выше по сравнению с другими группами населения. </w:t>
      </w:r>
    </w:p>
    <w:p w:rsidR="00B44C11" w:rsidRDefault="00B44C11">
      <w:pPr>
        <w:tabs>
          <w:tab w:val="clear" w:pos="1588"/>
          <w:tab w:val="left" w:pos="567"/>
          <w:tab w:val="left" w:pos="907"/>
          <w:tab w:val="left" w:pos="1247"/>
        </w:tabs>
      </w:pPr>
      <w:r>
        <w:t>420.</w:t>
      </w:r>
      <w:r>
        <w:tab/>
        <w:t xml:space="preserve">В 2004 году правительство реализовало </w:t>
      </w:r>
      <w:r>
        <w:rPr>
          <w:i/>
        </w:rPr>
        <w:t xml:space="preserve">План действий по снижению уровня насилия </w:t>
      </w:r>
      <w:r>
        <w:rPr>
          <w:i/>
        </w:rPr>
        <w:br/>
        <w:t>в общинах и сексуального насилия</w:t>
      </w:r>
      <w:r>
        <w:t xml:space="preserve">. План связан с разрабатываемой правительственной </w:t>
      </w:r>
      <w:r>
        <w:rPr>
          <w:i/>
        </w:rPr>
        <w:t>Стратегией сокращения масштабов преступности</w:t>
      </w:r>
      <w:r>
        <w:t xml:space="preserve"> и дополняет другие стратегии правительства по предотвращению насилия, в частности </w:t>
      </w:r>
      <w:r>
        <w:rPr>
          <w:i/>
        </w:rPr>
        <w:t>Те Рито: Стратегия предотвращения насилия в семье,</w:t>
      </w:r>
      <w:r>
        <w:t xml:space="preserve"> формирует более комплексный подход к решению проблемы насилия в Новой Зеландии. </w:t>
      </w:r>
    </w:p>
    <w:p w:rsidR="00B44C11" w:rsidRDefault="00B44C11">
      <w:pPr>
        <w:tabs>
          <w:tab w:val="clear" w:pos="1588"/>
          <w:tab w:val="left" w:pos="567"/>
          <w:tab w:val="left" w:pos="907"/>
          <w:tab w:val="left" w:pos="1247"/>
        </w:tabs>
      </w:pPr>
      <w:r>
        <w:t>421.</w:t>
      </w:r>
      <w:r>
        <w:tab/>
      </w:r>
      <w:r>
        <w:rPr>
          <w:i/>
        </w:rPr>
        <w:t>План</w:t>
      </w:r>
      <w:r>
        <w:t xml:space="preserve"> имеет целью внести свой вклад в снижение уровня насилия в общине и сексуального насилия в Новой Зеландии путем решения проблемы насилия, связанного с потреблением алкоголя, насилия в публичных местах, сексуального насилия, а также отношения и правил культуры в отношении насилия. Он объединяет действия центрального правительства, местных органов власти и организаций общин, работающих в сотрудничестве друг с другом. Реализацией </w:t>
      </w:r>
      <w:r>
        <w:rPr>
          <w:i/>
        </w:rPr>
        <w:t>Плана</w:t>
      </w:r>
      <w:r>
        <w:t xml:space="preserve"> будут руководить три координирующие группы:</w:t>
      </w:r>
    </w:p>
    <w:p w:rsidR="00B44C11" w:rsidRDefault="00B44C11">
      <w:pPr>
        <w:pStyle w:val="10-18"/>
      </w:pPr>
      <w:r>
        <w:sym w:font="Symbol" w:char="F0B7"/>
      </w:r>
      <w:r>
        <w:tab/>
        <w:t>Межучрежденческая группа управления программой – занимается развитием долгосрочного, интегрированного и скоординированного государственного образования и программы распространения информации в целях снижения уровня насилия;</w:t>
      </w:r>
    </w:p>
    <w:p w:rsidR="00B44C11" w:rsidRDefault="00B44C11">
      <w:pPr>
        <w:pStyle w:val="10-18"/>
      </w:pPr>
      <w:r>
        <w:sym w:font="Symbol" w:char="F0B7"/>
      </w:r>
      <w:r>
        <w:tab/>
        <w:t>Национальная целевая рабочая группа для борьбы с насилием – осуществляет скоординированные действия в сфере насилия, связанного с потреблением алкоголя и насилия в общественных местах;</w:t>
      </w:r>
    </w:p>
    <w:p w:rsidR="00B44C11" w:rsidRDefault="00B44C11">
      <w:pPr>
        <w:pStyle w:val="10-18"/>
      </w:pPr>
      <w:r>
        <w:sym w:font="Symbol" w:char="F0B7"/>
      </w:r>
      <w:r>
        <w:tab/>
        <w:t>Межучрежденческая руководящая группа по вопросам сексуального насилия – занимается разработкой, реализацией, мониторингом и исследованием координированного подхода к вопросам сексуального насилия, от предотвращения виктимизации до управления правонарушителями.</w:t>
      </w:r>
    </w:p>
    <w:p w:rsidR="00B44C11" w:rsidRDefault="00B44C11">
      <w:pPr>
        <w:pStyle w:val="Heading4"/>
      </w:pPr>
      <w:r>
        <w:t>Насилие в отношении женщин из числа беженцев и мигрантов</w:t>
      </w:r>
    </w:p>
    <w:p w:rsidR="00B44C11" w:rsidRDefault="00B44C11">
      <w:pPr>
        <w:tabs>
          <w:tab w:val="clear" w:pos="1588"/>
          <w:tab w:val="left" w:pos="567"/>
          <w:tab w:val="left" w:pos="907"/>
          <w:tab w:val="left" w:pos="1247"/>
        </w:tabs>
      </w:pPr>
      <w:r>
        <w:t>422.</w:t>
      </w:r>
      <w:r>
        <w:tab/>
        <w:t xml:space="preserve">Женщины-мигранты, вынужденные уйти от своего партнера или мужа, подвергавших их насилию или жестокому обращению, и прибывшие в Новую Зеландию по туристической или студенческой визе (то есть не имеющие разрешения на постоянное местожительство), могут оказаться в уязвимом положении. Возвращение на родину для них может оказаться невозможным в том случае, если после отказа от сожительства их семьи не намерены принимать их обратно. </w:t>
      </w:r>
      <w:r>
        <w:br/>
        <w:t>В результате женщины, ставшие жертвами насилия в семье, могут получить разрешение на работу сроком на три месяца. В конце этого периода женщины могут обратиться за получением постоянного вида на жительство согласно специальным правилам выдачи разрешений на жительство жертвам насилия в семье.</w:t>
      </w:r>
    </w:p>
    <w:p w:rsidR="00B44C11" w:rsidRDefault="00B44C11">
      <w:pPr>
        <w:tabs>
          <w:tab w:val="clear" w:pos="1588"/>
          <w:tab w:val="left" w:pos="567"/>
          <w:tab w:val="left" w:pos="907"/>
          <w:tab w:val="left" w:pos="1247"/>
        </w:tabs>
      </w:pPr>
      <w:r>
        <w:t>423.</w:t>
      </w:r>
      <w:r>
        <w:tab/>
        <w:t xml:space="preserve">В соответствии с программой предоставления безвозмездной помощи на специальные нужды женщинам может выплачиваться еженедельное безвозмездное пособие, эквивалентное пособию по безработице по причине лишений в том случае, если женщина: </w:t>
      </w:r>
    </w:p>
    <w:p w:rsidR="00B44C11" w:rsidRDefault="00B44C11">
      <w:pPr>
        <w:pStyle w:val="10-18"/>
      </w:pPr>
      <w:r>
        <w:sym w:font="Symbol" w:char="F0B7"/>
      </w:r>
      <w:r>
        <w:tab/>
        <w:t>прибыла в Новую Зеландию с целью замужества, вступления в гражданский союз или в de facto стабильную связь, включая однополую связь, с гражданином или постоянным жителем Новой Зеландии; и/или</w:t>
      </w:r>
    </w:p>
    <w:p w:rsidR="00B44C11" w:rsidRDefault="00B44C11">
      <w:pPr>
        <w:pStyle w:val="10-18"/>
      </w:pPr>
      <w:r>
        <w:sym w:font="Symbol" w:char="F0B7"/>
      </w:r>
      <w:r>
        <w:tab/>
        <w:t xml:space="preserve">подала заявление на получение вида на жительство в соответствии с политикой относительно партнера семейной категории; </w:t>
      </w:r>
    </w:p>
    <w:p w:rsidR="00B44C11" w:rsidRDefault="00B44C11">
      <w:pPr>
        <w:pStyle w:val="10-18"/>
      </w:pPr>
      <w:r>
        <w:sym w:font="Symbol" w:char="F0B7"/>
      </w:r>
      <w:r>
        <w:tab/>
        <w:t xml:space="preserve">прекратила свои взаимоотношения с партнером исключительно или главным образом </w:t>
      </w:r>
      <w:r>
        <w:br/>
        <w:t>по причине насилия в семье;</w:t>
      </w:r>
    </w:p>
    <w:p w:rsidR="00B44C11" w:rsidRDefault="00B44C11">
      <w:pPr>
        <w:pStyle w:val="10-18"/>
      </w:pPr>
      <w:r>
        <w:sym w:font="Symbol" w:char="F0B7"/>
      </w:r>
      <w:r>
        <w:tab/>
        <w:t>живет отдельно от партнера и не получает финансовой поддержки партнера; и</w:t>
      </w:r>
    </w:p>
    <w:p w:rsidR="00B44C11" w:rsidRDefault="00B44C11">
      <w:pPr>
        <w:pStyle w:val="10-18"/>
      </w:pPr>
      <w:r>
        <w:sym w:font="Symbol" w:char="F0B7"/>
      </w:r>
      <w:r>
        <w:tab/>
        <w:t>имеет временное разрешение на работу.</w:t>
      </w:r>
    </w:p>
    <w:p w:rsidR="00B44C11" w:rsidRDefault="00B44C11">
      <w:pPr>
        <w:pStyle w:val="H1"/>
      </w:pPr>
      <w:bookmarkStart w:id="78" w:name="_Toc145842192"/>
      <w:r>
        <w:t>Библиография</w:t>
      </w:r>
      <w:bookmarkEnd w:id="78"/>
    </w:p>
    <w:p w:rsidR="00B44C11" w:rsidRDefault="00B44C11">
      <w:pPr>
        <w:tabs>
          <w:tab w:val="clear" w:pos="1588"/>
          <w:tab w:val="left" w:pos="567"/>
          <w:tab w:val="left" w:pos="907"/>
          <w:tab w:val="left" w:pos="1247"/>
        </w:tabs>
        <w:rPr>
          <w:b/>
          <w:u w:val="single"/>
        </w:rPr>
      </w:pPr>
      <w:r>
        <w:rPr>
          <w:b/>
          <w:u w:val="single"/>
        </w:rPr>
        <w:t>Документы организации объединенных наций</w:t>
      </w:r>
    </w:p>
    <w:p w:rsidR="00B44C11" w:rsidRDefault="00B44C11">
      <w:pPr>
        <w:tabs>
          <w:tab w:val="clear" w:pos="567"/>
          <w:tab w:val="clear" w:pos="907"/>
          <w:tab w:val="clear" w:pos="1247"/>
          <w:tab w:val="clear" w:pos="1588"/>
          <w:tab w:val="left" w:pos="2268"/>
        </w:tabs>
        <w:ind w:left="2268" w:hanging="2268"/>
      </w:pPr>
      <w:r>
        <w:t>CEDAW/C/NZL/5</w:t>
      </w:r>
      <w:r>
        <w:tab/>
        <w:t>Пятый периодический доклад Новой Зеландии, представленный по Конвенции Организации Объединенных Наций о ликвидации всех форм дискриминации в отношении женщин</w:t>
      </w:r>
    </w:p>
    <w:p w:rsidR="00B44C11" w:rsidRDefault="00B44C11">
      <w:pPr>
        <w:tabs>
          <w:tab w:val="clear" w:pos="567"/>
          <w:tab w:val="clear" w:pos="907"/>
          <w:tab w:val="clear" w:pos="1247"/>
          <w:tab w:val="clear" w:pos="1588"/>
          <w:tab w:val="left" w:pos="2268"/>
        </w:tabs>
        <w:ind w:left="2268" w:hanging="2268"/>
      </w:pPr>
      <w:r>
        <w:t>CCPR/C/64/ADD.10</w:t>
      </w:r>
      <w:r>
        <w:tab/>
        <w:t xml:space="preserve">Третий периодический доклад Новой Зеландии, представленный </w:t>
      </w:r>
      <w:r>
        <w:br/>
        <w:t>в соответствии со статьей 40 Международного пакта о гражданских и политических правах</w:t>
      </w:r>
    </w:p>
    <w:p w:rsidR="00B44C11" w:rsidRDefault="00B44C11">
      <w:pPr>
        <w:tabs>
          <w:tab w:val="clear" w:pos="567"/>
          <w:tab w:val="clear" w:pos="907"/>
          <w:tab w:val="clear" w:pos="1247"/>
          <w:tab w:val="clear" w:pos="1588"/>
          <w:tab w:val="left" w:pos="2268"/>
        </w:tabs>
        <w:ind w:left="2268" w:hanging="2268"/>
      </w:pPr>
      <w:r>
        <w:t>CCPR/C/NZL/2001/4</w:t>
      </w:r>
      <w:r>
        <w:tab/>
        <w:t xml:space="preserve">Четвертый периодический доклад Новой Зеландии, представленный </w:t>
      </w:r>
      <w:r>
        <w:br/>
        <w:t>в соответствии со статьей 40 Международного пакта о гражданских и политических правах</w:t>
      </w:r>
    </w:p>
    <w:p w:rsidR="00B44C11" w:rsidRDefault="00B44C11">
      <w:pPr>
        <w:tabs>
          <w:tab w:val="clear" w:pos="567"/>
          <w:tab w:val="clear" w:pos="907"/>
          <w:tab w:val="clear" w:pos="1247"/>
          <w:tab w:val="clear" w:pos="1588"/>
          <w:tab w:val="left" w:pos="2268"/>
        </w:tabs>
        <w:ind w:left="2268" w:hanging="2268"/>
      </w:pPr>
      <w:r>
        <w:t>E/1990/6/Add.33</w:t>
      </w:r>
      <w:r>
        <w:tab/>
        <w:t>Осуществление Международного пакта об экономических, социальных и культурных правах. Второй периодический доклад, представленный государствами-участниками в соответствии со статьями 16 и 17 Пакта. Новая Зеландия</w:t>
      </w:r>
    </w:p>
    <w:p w:rsidR="00B44C11" w:rsidRDefault="00B44C11">
      <w:pPr>
        <w:tabs>
          <w:tab w:val="clear" w:pos="567"/>
          <w:tab w:val="clear" w:pos="907"/>
          <w:tab w:val="clear" w:pos="1247"/>
          <w:tab w:val="clear" w:pos="1588"/>
          <w:tab w:val="left" w:pos="2268"/>
        </w:tabs>
        <w:ind w:left="2268" w:hanging="2268"/>
      </w:pPr>
      <w:r>
        <w:t>Без номера</w:t>
      </w:r>
      <w:r>
        <w:tab/>
        <w:t>15-й, 16-й и 17-й сводный периодический доклад Новой Зеландии Комитету по ликвидации расовой дискриминации</w:t>
      </w:r>
    </w:p>
    <w:p w:rsidR="00B44C11" w:rsidRDefault="00B44C11">
      <w:pPr>
        <w:tabs>
          <w:tab w:val="clear" w:pos="567"/>
          <w:tab w:val="clear" w:pos="907"/>
          <w:tab w:val="clear" w:pos="1247"/>
          <w:tab w:val="clear" w:pos="1588"/>
          <w:tab w:val="left" w:pos="2268"/>
        </w:tabs>
        <w:ind w:left="2268" w:hanging="2268"/>
      </w:pPr>
      <w:r>
        <w:t>Без номера</w:t>
      </w:r>
      <w:r>
        <w:tab/>
        <w:t>Базовый документ: Новая Зеландия</w:t>
      </w:r>
    </w:p>
    <w:p w:rsidR="00B44C11" w:rsidRDefault="00B44C11">
      <w:pPr>
        <w:tabs>
          <w:tab w:val="clear" w:pos="1588"/>
          <w:tab w:val="left" w:pos="567"/>
          <w:tab w:val="left" w:pos="907"/>
          <w:tab w:val="left" w:pos="1247"/>
        </w:tabs>
        <w:rPr>
          <w:b/>
        </w:rPr>
      </w:pPr>
    </w:p>
    <w:p w:rsidR="00B44C11" w:rsidRDefault="00B44C11">
      <w:pPr>
        <w:tabs>
          <w:tab w:val="clear" w:pos="1588"/>
          <w:tab w:val="left" w:pos="567"/>
          <w:tab w:val="left" w:pos="907"/>
          <w:tab w:val="left" w:pos="1247"/>
        </w:tabs>
        <w:rPr>
          <w:b/>
          <w:lang w:val="en-US"/>
        </w:rPr>
      </w:pPr>
      <w:r>
        <w:rPr>
          <w:b/>
        </w:rPr>
        <w:t>Библиография</w:t>
      </w:r>
    </w:p>
    <w:p w:rsidR="00B44C11" w:rsidRDefault="00B44C11">
      <w:pPr>
        <w:tabs>
          <w:tab w:val="clear" w:pos="1588"/>
          <w:tab w:val="left" w:pos="567"/>
          <w:tab w:val="left" w:pos="907"/>
          <w:tab w:val="left" w:pos="1247"/>
        </w:tabs>
        <w:rPr>
          <w:lang w:val="en-US"/>
        </w:rPr>
      </w:pPr>
      <w:r>
        <w:rPr>
          <w:lang w:val="en-US"/>
        </w:rPr>
        <w:t xml:space="preserve">Age Concern New Zealand (2005) </w:t>
      </w:r>
      <w:r>
        <w:rPr>
          <w:i/>
          <w:lang w:val="en-US"/>
        </w:rPr>
        <w:t>Age Concern Elder Abuse and Neglect Prevention Services: An analysis of referrals for the period: 1 July 2002 to 30 June 2004</w:t>
      </w:r>
      <w:r>
        <w:rPr>
          <w:lang w:val="en-US"/>
        </w:rPr>
        <w:t>. Wellington: Age Concern New Zealand.</w:t>
      </w:r>
    </w:p>
    <w:p w:rsidR="00B44C11" w:rsidRDefault="00B44C11">
      <w:pPr>
        <w:tabs>
          <w:tab w:val="clear" w:pos="1588"/>
          <w:tab w:val="left" w:pos="567"/>
          <w:tab w:val="left" w:pos="907"/>
          <w:tab w:val="left" w:pos="1247"/>
        </w:tabs>
        <w:rPr>
          <w:lang w:val="en-US"/>
        </w:rPr>
      </w:pPr>
      <w:r>
        <w:rPr>
          <w:lang w:val="en-US"/>
        </w:rPr>
        <w:t xml:space="preserve">Child, Youth and Family (2005) </w:t>
      </w:r>
      <w:r>
        <w:rPr>
          <w:i/>
          <w:lang w:val="en-US"/>
        </w:rPr>
        <w:t>Briefing for the Incoming Minister</w:t>
      </w:r>
      <w:r>
        <w:rPr>
          <w:lang w:val="en-US"/>
        </w:rPr>
        <w:t>. Wellington: Child, Youth and Family.</w:t>
      </w:r>
    </w:p>
    <w:p w:rsidR="00B44C11" w:rsidRDefault="00B44C11">
      <w:pPr>
        <w:tabs>
          <w:tab w:val="clear" w:pos="1588"/>
          <w:tab w:val="left" w:pos="567"/>
          <w:tab w:val="left" w:pos="907"/>
          <w:tab w:val="left" w:pos="1247"/>
        </w:tabs>
      </w:pPr>
      <w:r>
        <w:rPr>
          <w:lang w:val="en-US"/>
        </w:rPr>
        <w:t xml:space="preserve">DOL (2005) </w:t>
      </w:r>
      <w:r>
        <w:rPr>
          <w:i/>
          <w:lang w:val="en-US"/>
        </w:rPr>
        <w:t>Briefing for Incoming Ministers</w:t>
      </w:r>
      <w:r>
        <w:rPr>
          <w:lang w:val="en-US"/>
        </w:rPr>
        <w:t>. Wellington: DOL</w:t>
      </w:r>
      <w:r>
        <w:t>.</w:t>
      </w:r>
    </w:p>
    <w:p w:rsidR="00B44C11" w:rsidRDefault="00B44C11">
      <w:pPr>
        <w:tabs>
          <w:tab w:val="clear" w:pos="1588"/>
          <w:tab w:val="left" w:pos="567"/>
          <w:tab w:val="left" w:pos="907"/>
          <w:tab w:val="left" w:pos="1247"/>
        </w:tabs>
      </w:pPr>
      <w:r>
        <w:rPr>
          <w:lang w:val="en-US"/>
        </w:rPr>
        <w:t xml:space="preserve">DOL (2005) </w:t>
      </w:r>
      <w:r>
        <w:rPr>
          <w:i/>
          <w:lang w:val="en-US"/>
        </w:rPr>
        <w:t>Employment Strategy: Better Work, Working Better</w:t>
      </w:r>
      <w:r>
        <w:rPr>
          <w:lang w:val="en-US"/>
        </w:rPr>
        <w:t>. Wellington: DOL</w:t>
      </w:r>
      <w:r>
        <w:t>.</w:t>
      </w:r>
    </w:p>
    <w:p w:rsidR="00B44C11" w:rsidRDefault="00B44C11">
      <w:pPr>
        <w:tabs>
          <w:tab w:val="clear" w:pos="1588"/>
          <w:tab w:val="left" w:pos="567"/>
          <w:tab w:val="left" w:pos="907"/>
          <w:tab w:val="left" w:pos="1247"/>
        </w:tabs>
      </w:pPr>
      <w:r>
        <w:rPr>
          <w:lang w:val="en-US"/>
        </w:rPr>
        <w:t xml:space="preserve">DOL (2004) </w:t>
      </w:r>
      <w:r>
        <w:rPr>
          <w:i/>
          <w:lang w:val="en-US"/>
        </w:rPr>
        <w:t>New Zealand Settlement Strategy</w:t>
      </w:r>
      <w:r>
        <w:rPr>
          <w:lang w:val="en-US"/>
        </w:rPr>
        <w:t>. Wellington: DOL</w:t>
      </w:r>
      <w:r>
        <w:t>.</w:t>
      </w:r>
    </w:p>
    <w:p w:rsidR="00B44C11" w:rsidRDefault="00B44C11">
      <w:pPr>
        <w:tabs>
          <w:tab w:val="clear" w:pos="1588"/>
          <w:tab w:val="left" w:pos="567"/>
          <w:tab w:val="left" w:pos="907"/>
          <w:tab w:val="left" w:pos="1247"/>
        </w:tabs>
      </w:pPr>
      <w:r>
        <w:rPr>
          <w:lang w:val="en-US"/>
        </w:rPr>
        <w:t xml:space="preserve">DOL (2004) </w:t>
      </w:r>
      <w:r>
        <w:rPr>
          <w:i/>
          <w:lang w:val="en-US"/>
        </w:rPr>
        <w:t>Pay and Employment Equity Plan of Action</w:t>
      </w:r>
      <w:r>
        <w:rPr>
          <w:lang w:val="en-US"/>
        </w:rPr>
        <w:t>. Wellington: DOL</w:t>
      </w:r>
      <w:r>
        <w:t>.</w:t>
      </w:r>
    </w:p>
    <w:p w:rsidR="00B44C11" w:rsidRDefault="00B44C11">
      <w:pPr>
        <w:tabs>
          <w:tab w:val="clear" w:pos="1588"/>
          <w:tab w:val="left" w:pos="567"/>
          <w:tab w:val="left" w:pos="907"/>
          <w:tab w:val="left" w:pos="1247"/>
        </w:tabs>
        <w:rPr>
          <w:lang w:val="en-US"/>
        </w:rPr>
      </w:pPr>
      <w:r>
        <w:rPr>
          <w:lang w:val="en-US"/>
        </w:rPr>
        <w:t xml:space="preserve">DOL (2004) </w:t>
      </w:r>
      <w:r>
        <w:rPr>
          <w:i/>
          <w:lang w:val="en-US"/>
        </w:rPr>
        <w:t>People Power – Successful Diversity at Work</w:t>
      </w:r>
      <w:r>
        <w:rPr>
          <w:lang w:val="en-US"/>
        </w:rPr>
        <w:t xml:space="preserve">. </w:t>
      </w:r>
      <w:hyperlink r:id="rId21" w:history="1">
        <w:r>
          <w:rPr>
            <w:rStyle w:val="Hyperlink"/>
            <w:color w:val="auto"/>
            <w:lang w:val="en-US"/>
          </w:rPr>
          <w:t>http://www.dol.govt.nz/publications/general/</w:t>
        </w:r>
        <w:r>
          <w:rPr>
            <w:rStyle w:val="Hyperlink"/>
            <w:color w:val="auto"/>
            <w:lang w:val="en-US"/>
          </w:rPr>
          <w:br/>
          <w:t>gen-peoplepower.asp</w:t>
        </w:r>
      </w:hyperlink>
      <w:r>
        <w:rPr>
          <w:lang w:val="en-US"/>
        </w:rPr>
        <w:t>.</w:t>
      </w:r>
    </w:p>
    <w:p w:rsidR="00B44C11" w:rsidRDefault="00B44C11">
      <w:pPr>
        <w:tabs>
          <w:tab w:val="clear" w:pos="1588"/>
          <w:tab w:val="left" w:pos="567"/>
          <w:tab w:val="left" w:pos="907"/>
          <w:tab w:val="left" w:pos="1247"/>
        </w:tabs>
        <w:rPr>
          <w:lang w:val="en-US"/>
        </w:rPr>
      </w:pPr>
      <w:r>
        <w:rPr>
          <w:lang w:val="en-US"/>
        </w:rPr>
        <w:t xml:space="preserve">Education Review Office (2003) </w:t>
      </w:r>
      <w:r>
        <w:rPr>
          <w:i/>
          <w:lang w:val="en-US"/>
        </w:rPr>
        <w:t>The New Zealand Disability Strategy in Schools</w:t>
      </w:r>
      <w:r>
        <w:rPr>
          <w:lang w:val="en-US"/>
        </w:rPr>
        <w:t>. Wellington: Education Review Office.</w:t>
      </w:r>
    </w:p>
    <w:p w:rsidR="00B44C11" w:rsidRDefault="00B44C11">
      <w:pPr>
        <w:tabs>
          <w:tab w:val="clear" w:pos="1588"/>
          <w:tab w:val="left" w:pos="567"/>
          <w:tab w:val="left" w:pos="907"/>
          <w:tab w:val="left" w:pos="1247"/>
        </w:tabs>
        <w:rPr>
          <w:lang w:val="en-US"/>
        </w:rPr>
      </w:pPr>
      <w:r>
        <w:rPr>
          <w:lang w:val="en-US"/>
        </w:rPr>
        <w:t xml:space="preserve">Families Commission (2005) </w:t>
      </w:r>
      <w:r>
        <w:rPr>
          <w:i/>
          <w:lang w:val="en-US"/>
        </w:rPr>
        <w:t>Briefing for Incoming Minister</w:t>
      </w:r>
      <w:r>
        <w:rPr>
          <w:lang w:val="en-US"/>
        </w:rPr>
        <w:t>. Wellington: Families Commission.</w:t>
      </w:r>
    </w:p>
    <w:p w:rsidR="00B44C11" w:rsidRDefault="00B44C11">
      <w:pPr>
        <w:tabs>
          <w:tab w:val="clear" w:pos="1588"/>
          <w:tab w:val="left" w:pos="567"/>
          <w:tab w:val="left" w:pos="907"/>
          <w:tab w:val="left" w:pos="1247"/>
        </w:tabs>
        <w:spacing w:after="220"/>
      </w:pPr>
      <w:r>
        <w:rPr>
          <w:lang w:val="en-US"/>
        </w:rPr>
        <w:t xml:space="preserve">Gravitas Research and Strategy Limited (August 2003) </w:t>
      </w:r>
      <w:r>
        <w:rPr>
          <w:i/>
          <w:lang w:val="en-US"/>
        </w:rPr>
        <w:t>Evaluation of the Implementation of Paid Parental Leave</w:t>
      </w:r>
      <w:r>
        <w:rPr>
          <w:lang w:val="en-US"/>
        </w:rPr>
        <w:t xml:space="preserve">. </w:t>
      </w:r>
      <w:hyperlink r:id="rId22" w:history="1">
        <w:r>
          <w:rPr>
            <w:rStyle w:val="Hyperlink"/>
            <w:color w:val="auto"/>
          </w:rPr>
          <w:t>http://www.ers.dol.govt.nz/perentalleave/evaluation.html</w:t>
        </w:r>
      </w:hyperlink>
      <w:r>
        <w:t>.</w:t>
      </w:r>
    </w:p>
    <w:p w:rsidR="00B44C11" w:rsidRDefault="00B44C11">
      <w:pPr>
        <w:tabs>
          <w:tab w:val="clear" w:pos="1588"/>
          <w:tab w:val="left" w:pos="567"/>
          <w:tab w:val="left" w:pos="907"/>
          <w:tab w:val="left" w:pos="1247"/>
        </w:tabs>
        <w:spacing w:after="220"/>
        <w:rPr>
          <w:lang w:val="en-US"/>
        </w:rPr>
      </w:pPr>
      <w:r>
        <w:rPr>
          <w:lang w:val="en-US"/>
        </w:rPr>
        <w:t xml:space="preserve">Housing New Zealand Corporation (2005) </w:t>
      </w:r>
      <w:r>
        <w:rPr>
          <w:i/>
          <w:lang w:val="en-US"/>
        </w:rPr>
        <w:t>The New Zealand Housing Strategy</w:t>
      </w:r>
      <w:r>
        <w:rPr>
          <w:lang w:val="en-US"/>
        </w:rPr>
        <w:t>. Wellington: Housing New Zealand Corporation.</w:t>
      </w:r>
    </w:p>
    <w:p w:rsidR="00B44C11" w:rsidRDefault="00B44C11">
      <w:pPr>
        <w:tabs>
          <w:tab w:val="clear" w:pos="1588"/>
          <w:tab w:val="left" w:pos="567"/>
          <w:tab w:val="left" w:pos="907"/>
          <w:tab w:val="left" w:pos="1247"/>
        </w:tabs>
        <w:spacing w:after="220"/>
        <w:rPr>
          <w:lang w:val="en-US"/>
        </w:rPr>
      </w:pPr>
      <w:r>
        <w:rPr>
          <w:lang w:val="en-US"/>
        </w:rPr>
        <w:t xml:space="preserve">Human Rights Commission (2004) </w:t>
      </w:r>
      <w:r>
        <w:rPr>
          <w:i/>
          <w:lang w:val="en-US"/>
        </w:rPr>
        <w:t>Framework for the Future: Equal Employment Opportunities in New Zealand</w:t>
      </w:r>
      <w:r>
        <w:rPr>
          <w:lang w:val="en-US"/>
        </w:rPr>
        <w:t>. Wellington: Human Rights Commission.</w:t>
      </w:r>
    </w:p>
    <w:p w:rsidR="00B44C11" w:rsidRDefault="00B44C11">
      <w:pPr>
        <w:tabs>
          <w:tab w:val="clear" w:pos="1588"/>
          <w:tab w:val="left" w:pos="567"/>
          <w:tab w:val="left" w:pos="907"/>
          <w:tab w:val="left" w:pos="1247"/>
        </w:tabs>
        <w:spacing w:after="220"/>
        <w:rPr>
          <w:lang w:val="en-US"/>
        </w:rPr>
      </w:pPr>
      <w:r>
        <w:rPr>
          <w:lang w:val="en-US"/>
        </w:rPr>
        <w:t xml:space="preserve">Human Rights Commission (2004) </w:t>
      </w:r>
      <w:r>
        <w:rPr>
          <w:i/>
          <w:lang w:val="en-US"/>
        </w:rPr>
        <w:t>Human Rights</w:t>
      </w:r>
      <w:r>
        <w:rPr>
          <w:lang w:val="en-US"/>
        </w:rPr>
        <w:t xml:space="preserve"> </w:t>
      </w:r>
      <w:r>
        <w:rPr>
          <w:i/>
          <w:lang w:val="en-US"/>
        </w:rPr>
        <w:t>in New Zealand Today</w:t>
      </w:r>
      <w:r>
        <w:rPr>
          <w:lang w:val="en-US"/>
        </w:rPr>
        <w:t>. Wellington: Human Rights Commission.</w:t>
      </w:r>
    </w:p>
    <w:p w:rsidR="00B44C11" w:rsidRDefault="00B44C11">
      <w:pPr>
        <w:tabs>
          <w:tab w:val="clear" w:pos="1588"/>
          <w:tab w:val="left" w:pos="567"/>
          <w:tab w:val="left" w:pos="907"/>
          <w:tab w:val="left" w:pos="1247"/>
        </w:tabs>
        <w:spacing w:after="220"/>
        <w:rPr>
          <w:lang w:val="en-US"/>
        </w:rPr>
      </w:pPr>
      <w:r>
        <w:rPr>
          <w:lang w:val="en-US"/>
        </w:rPr>
        <w:t xml:space="preserve">Human Rights Commission (2005) </w:t>
      </w:r>
      <w:r>
        <w:rPr>
          <w:i/>
          <w:lang w:val="en-US"/>
        </w:rPr>
        <w:t>New Zealand Action Plan for Human Rights</w:t>
      </w:r>
      <w:r>
        <w:rPr>
          <w:lang w:val="en-US"/>
        </w:rPr>
        <w:t>. Wellington: Human Rights Commission.</w:t>
      </w:r>
    </w:p>
    <w:p w:rsidR="00B44C11" w:rsidRDefault="00B44C11">
      <w:pPr>
        <w:tabs>
          <w:tab w:val="clear" w:pos="1588"/>
          <w:tab w:val="left" w:pos="567"/>
          <w:tab w:val="left" w:pos="907"/>
          <w:tab w:val="left" w:pos="1247"/>
        </w:tabs>
        <w:spacing w:after="220"/>
        <w:rPr>
          <w:lang w:val="en-US"/>
        </w:rPr>
      </w:pPr>
      <w:r>
        <w:rPr>
          <w:lang w:val="en-US"/>
        </w:rPr>
        <w:t xml:space="preserve">Human Rights Commission (2004) </w:t>
      </w:r>
      <w:r>
        <w:rPr>
          <w:i/>
          <w:lang w:val="en-US"/>
        </w:rPr>
        <w:t>New Zealand Census of Women’s Participation in Governance and Professional Life.</w:t>
      </w:r>
      <w:r>
        <w:rPr>
          <w:lang w:val="en-US"/>
        </w:rPr>
        <w:t>. Wellington: Human Rights Commission.</w:t>
      </w:r>
    </w:p>
    <w:p w:rsidR="00B44C11" w:rsidRDefault="00B44C11">
      <w:pPr>
        <w:tabs>
          <w:tab w:val="clear" w:pos="1588"/>
          <w:tab w:val="left" w:pos="567"/>
          <w:tab w:val="left" w:pos="907"/>
          <w:tab w:val="left" w:pos="1247"/>
        </w:tabs>
        <w:spacing w:after="220"/>
        <w:rPr>
          <w:lang w:val="en-US"/>
        </w:rPr>
      </w:pPr>
      <w:r>
        <w:rPr>
          <w:lang w:val="en-US"/>
        </w:rPr>
        <w:t xml:space="preserve">Human Rights Commission (2005) </w:t>
      </w:r>
      <w:r>
        <w:rPr>
          <w:i/>
          <w:lang w:val="en-US"/>
        </w:rPr>
        <w:t>The Right to Breastfeed Report</w:t>
      </w:r>
      <w:r>
        <w:rPr>
          <w:lang w:val="en-US"/>
        </w:rPr>
        <w:t>. Wellington: Human Rights Commission.</w:t>
      </w:r>
    </w:p>
    <w:p w:rsidR="00B44C11" w:rsidRDefault="00B44C11">
      <w:pPr>
        <w:tabs>
          <w:tab w:val="clear" w:pos="1588"/>
          <w:tab w:val="left" w:pos="567"/>
          <w:tab w:val="left" w:pos="907"/>
          <w:tab w:val="left" w:pos="1247"/>
        </w:tabs>
        <w:spacing w:after="220"/>
        <w:rPr>
          <w:lang w:val="en-US"/>
        </w:rPr>
      </w:pPr>
      <w:r>
        <w:rPr>
          <w:lang w:val="en-US"/>
        </w:rPr>
        <w:t xml:space="preserve">Māori Tertiary Reference Group (2003) </w:t>
      </w:r>
      <w:r>
        <w:rPr>
          <w:i/>
          <w:lang w:val="en-US"/>
        </w:rPr>
        <w:t>Māori Tertiary Education Framework</w:t>
      </w:r>
      <w:r>
        <w:rPr>
          <w:lang w:val="en-US"/>
        </w:rPr>
        <w:t>. Wellington: Ministry of Education.</w:t>
      </w:r>
    </w:p>
    <w:p w:rsidR="00B44C11" w:rsidRDefault="00B44C11">
      <w:pPr>
        <w:tabs>
          <w:tab w:val="clear" w:pos="1588"/>
          <w:tab w:val="left" w:pos="567"/>
          <w:tab w:val="left" w:pos="907"/>
          <w:tab w:val="left" w:pos="1247"/>
        </w:tabs>
        <w:spacing w:after="220"/>
        <w:rPr>
          <w:lang w:val="en-US"/>
        </w:rPr>
      </w:pPr>
      <w:r>
        <w:rPr>
          <w:lang w:val="en-US"/>
        </w:rPr>
        <w:t xml:space="preserve">Mental Health Commission (2005) </w:t>
      </w:r>
      <w:r>
        <w:rPr>
          <w:i/>
          <w:lang w:val="en-US"/>
        </w:rPr>
        <w:t>Briefing for Incoming Minister of Health</w:t>
      </w:r>
      <w:r>
        <w:rPr>
          <w:lang w:val="en-US"/>
        </w:rPr>
        <w:t>. Wellington: Mental Health Commission</w:t>
      </w:r>
    </w:p>
    <w:p w:rsidR="00B44C11" w:rsidRDefault="00B44C11">
      <w:pPr>
        <w:tabs>
          <w:tab w:val="clear" w:pos="1588"/>
          <w:tab w:val="left" w:pos="567"/>
          <w:tab w:val="left" w:pos="907"/>
          <w:tab w:val="left" w:pos="1247"/>
        </w:tabs>
        <w:spacing w:after="220"/>
        <w:rPr>
          <w:lang w:val="en-US"/>
        </w:rPr>
      </w:pPr>
      <w:r>
        <w:rPr>
          <w:lang w:val="en-US"/>
        </w:rPr>
        <w:t xml:space="preserve">Ministry for Culture and Heritage and Statistics New Zealand (2005) </w:t>
      </w:r>
      <w:r>
        <w:rPr>
          <w:i/>
          <w:lang w:val="en-US"/>
        </w:rPr>
        <w:t>Employment in the Cultural Sector 2005.</w:t>
      </w:r>
      <w:r>
        <w:rPr>
          <w:lang w:val="en-US"/>
        </w:rPr>
        <w:t xml:space="preserve"> Wellington: Ministry for Culture and Heritage and Statistics New Zealand.</w:t>
      </w:r>
    </w:p>
    <w:p w:rsidR="00B44C11" w:rsidRDefault="00B44C11">
      <w:pPr>
        <w:tabs>
          <w:tab w:val="clear" w:pos="1588"/>
          <w:tab w:val="left" w:pos="567"/>
          <w:tab w:val="left" w:pos="907"/>
          <w:tab w:val="left" w:pos="1247"/>
        </w:tabs>
        <w:spacing w:after="220"/>
      </w:pPr>
      <w:r>
        <w:rPr>
          <w:lang w:val="en-US"/>
        </w:rPr>
        <w:t>Ministry of Economic Development (2005) Digital Strategy.</w:t>
      </w:r>
      <w:hyperlink r:id="rId23" w:history="1">
        <w:r>
          <w:rPr>
            <w:rStyle w:val="Hyperlink"/>
            <w:color w:val="auto"/>
          </w:rPr>
          <w:t>http://www</w:t>
        </w:r>
      </w:hyperlink>
      <w:r>
        <w:t>.digitalstrategy.govt.nz.</w:t>
      </w:r>
    </w:p>
    <w:p w:rsidR="00B44C11" w:rsidRDefault="00B44C11">
      <w:pPr>
        <w:tabs>
          <w:tab w:val="clear" w:pos="1588"/>
          <w:tab w:val="left" w:pos="567"/>
          <w:tab w:val="left" w:pos="907"/>
          <w:tab w:val="left" w:pos="1247"/>
        </w:tabs>
        <w:spacing w:after="220"/>
        <w:rPr>
          <w:lang w:val="en-US"/>
        </w:rPr>
      </w:pPr>
      <w:r>
        <w:rPr>
          <w:lang w:val="en-US"/>
        </w:rPr>
        <w:t xml:space="preserve">Ministry of Education (2003) </w:t>
      </w:r>
      <w:r>
        <w:rPr>
          <w:i/>
          <w:lang w:val="en-US"/>
        </w:rPr>
        <w:t>Adult ESOL Strategy</w:t>
      </w:r>
      <w:r>
        <w:rPr>
          <w:lang w:val="en-US"/>
        </w:rPr>
        <w:t>. Wellington: Ministry of Education.</w:t>
      </w:r>
    </w:p>
    <w:p w:rsidR="00B44C11" w:rsidRDefault="00B44C11">
      <w:pPr>
        <w:tabs>
          <w:tab w:val="clear" w:pos="1588"/>
          <w:tab w:val="left" w:pos="567"/>
          <w:tab w:val="left" w:pos="907"/>
          <w:tab w:val="left" w:pos="1247"/>
        </w:tabs>
        <w:spacing w:after="220"/>
        <w:rPr>
          <w:lang w:val="en-US"/>
        </w:rPr>
      </w:pPr>
      <w:r>
        <w:rPr>
          <w:lang w:val="en-US"/>
        </w:rPr>
        <w:t xml:space="preserve">Ministry of Education (2005) </w:t>
      </w:r>
      <w:r>
        <w:rPr>
          <w:i/>
          <w:lang w:val="en-US"/>
        </w:rPr>
        <w:t>Briefing for the Incoming Minister of Education</w:t>
      </w:r>
      <w:r>
        <w:rPr>
          <w:lang w:val="en-US"/>
        </w:rPr>
        <w:t>. Wellington: Ministry of Education.</w:t>
      </w:r>
    </w:p>
    <w:p w:rsidR="00B44C11" w:rsidRDefault="00B44C11">
      <w:pPr>
        <w:tabs>
          <w:tab w:val="clear" w:pos="1588"/>
          <w:tab w:val="left" w:pos="567"/>
          <w:tab w:val="left" w:pos="907"/>
          <w:tab w:val="left" w:pos="1247"/>
        </w:tabs>
        <w:spacing w:after="220"/>
        <w:rPr>
          <w:lang w:val="en-US"/>
        </w:rPr>
      </w:pPr>
      <w:r>
        <w:rPr>
          <w:lang w:val="en-US"/>
        </w:rPr>
        <w:t xml:space="preserve">Ministry of Education (1999) </w:t>
      </w:r>
      <w:r>
        <w:rPr>
          <w:i/>
          <w:lang w:val="en-US"/>
        </w:rPr>
        <w:t>Māori Education Strategy: Whakaaro Mātauranga.</w:t>
      </w:r>
      <w:r>
        <w:rPr>
          <w:lang w:val="en-US"/>
        </w:rPr>
        <w:t>. Wellington: Ministry of Education.</w:t>
      </w:r>
    </w:p>
    <w:p w:rsidR="00B44C11" w:rsidRDefault="00B44C11">
      <w:pPr>
        <w:tabs>
          <w:tab w:val="clear" w:pos="1588"/>
          <w:tab w:val="left" w:pos="567"/>
          <w:tab w:val="left" w:pos="907"/>
          <w:tab w:val="left" w:pos="1247"/>
        </w:tabs>
        <w:spacing w:after="220"/>
        <w:rPr>
          <w:lang w:val="en-US"/>
        </w:rPr>
      </w:pPr>
      <w:r>
        <w:rPr>
          <w:lang w:val="en-US"/>
        </w:rPr>
        <w:t xml:space="preserve">Ministry of Education (2001) </w:t>
      </w:r>
      <w:r>
        <w:rPr>
          <w:i/>
          <w:lang w:val="en-US"/>
        </w:rPr>
        <w:t>Pasifika Education Plan</w:t>
      </w:r>
      <w:r>
        <w:rPr>
          <w:lang w:val="en-US"/>
        </w:rPr>
        <w:t>. Wellington: Ministry of Education.</w:t>
      </w:r>
    </w:p>
    <w:p w:rsidR="00B44C11" w:rsidRDefault="00B44C11">
      <w:pPr>
        <w:tabs>
          <w:tab w:val="clear" w:pos="1588"/>
          <w:tab w:val="left" w:pos="567"/>
          <w:tab w:val="left" w:pos="907"/>
          <w:tab w:val="left" w:pos="1247"/>
        </w:tabs>
        <w:spacing w:after="220"/>
        <w:rPr>
          <w:lang w:val="en-US"/>
        </w:rPr>
      </w:pPr>
      <w:r>
        <w:rPr>
          <w:lang w:val="en-US"/>
        </w:rPr>
        <w:t xml:space="preserve">Ministry of Education (2002) </w:t>
      </w:r>
      <w:r>
        <w:rPr>
          <w:i/>
          <w:lang w:val="en-US"/>
        </w:rPr>
        <w:t>Pathways to the Future: Nga Huarahi Arataki</w:t>
      </w:r>
      <w:r>
        <w:rPr>
          <w:lang w:val="en-US"/>
        </w:rPr>
        <w:t>. Wellington: Ministry of Education.</w:t>
      </w:r>
    </w:p>
    <w:p w:rsidR="00B44C11" w:rsidRDefault="00B44C11">
      <w:pPr>
        <w:tabs>
          <w:tab w:val="clear" w:pos="1588"/>
          <w:tab w:val="left" w:pos="567"/>
          <w:tab w:val="left" w:pos="907"/>
          <w:tab w:val="left" w:pos="1247"/>
        </w:tabs>
        <w:spacing w:after="220"/>
        <w:rPr>
          <w:lang w:val="en-US"/>
        </w:rPr>
      </w:pPr>
      <w:r>
        <w:rPr>
          <w:lang w:val="en-US"/>
        </w:rPr>
        <w:t xml:space="preserve">Ministry of Education (2005) </w:t>
      </w:r>
      <w:r>
        <w:rPr>
          <w:i/>
          <w:lang w:val="en-US"/>
        </w:rPr>
        <w:t>Schooling Strategy</w:t>
      </w:r>
      <w:r>
        <w:rPr>
          <w:lang w:val="en-US"/>
        </w:rPr>
        <w:t>. Wellington: Ministry of Education.</w:t>
      </w:r>
    </w:p>
    <w:p w:rsidR="00B44C11" w:rsidRDefault="00B44C11">
      <w:pPr>
        <w:tabs>
          <w:tab w:val="clear" w:pos="1588"/>
          <w:tab w:val="left" w:pos="567"/>
          <w:tab w:val="left" w:pos="907"/>
          <w:tab w:val="left" w:pos="1247"/>
        </w:tabs>
        <w:spacing w:after="220"/>
        <w:rPr>
          <w:lang w:val="en-US"/>
        </w:rPr>
      </w:pPr>
      <w:r>
        <w:rPr>
          <w:lang w:val="en-US"/>
        </w:rPr>
        <w:t xml:space="preserve">Ministry of Education (2002) </w:t>
      </w:r>
      <w:r>
        <w:rPr>
          <w:i/>
          <w:lang w:val="en-US"/>
        </w:rPr>
        <w:t>Tertiary Education Strategy</w:t>
      </w:r>
      <w:r>
        <w:rPr>
          <w:lang w:val="en-US"/>
        </w:rPr>
        <w:t>. Wellington: Ministry of Education.</w:t>
      </w:r>
    </w:p>
    <w:p w:rsidR="00B44C11" w:rsidRDefault="00B44C11">
      <w:pPr>
        <w:tabs>
          <w:tab w:val="clear" w:pos="1588"/>
          <w:tab w:val="left" w:pos="567"/>
          <w:tab w:val="left" w:pos="907"/>
          <w:tab w:val="left" w:pos="1247"/>
        </w:tabs>
        <w:rPr>
          <w:lang w:val="en-US"/>
        </w:rPr>
      </w:pPr>
      <w:r>
        <w:rPr>
          <w:lang w:val="en-US"/>
        </w:rPr>
        <w:t xml:space="preserve">Ministry of Health (2004) </w:t>
      </w:r>
      <w:r>
        <w:rPr>
          <w:i/>
          <w:lang w:val="en-US"/>
        </w:rPr>
        <w:t>Clearing the Smoke: A five-year plan for tobacco control in New Zealand 2004-2009</w:t>
      </w:r>
      <w:r>
        <w:rPr>
          <w:lang w:val="en-US"/>
        </w:rPr>
        <w:t>. Wellington: Ministry of Health.</w:t>
      </w:r>
    </w:p>
    <w:p w:rsidR="00B44C11" w:rsidRDefault="00B44C11">
      <w:pPr>
        <w:tabs>
          <w:tab w:val="clear" w:pos="1588"/>
          <w:tab w:val="left" w:pos="567"/>
          <w:tab w:val="left" w:pos="907"/>
          <w:tab w:val="left" w:pos="1247"/>
        </w:tabs>
        <w:rPr>
          <w:lang w:val="en-US"/>
        </w:rPr>
      </w:pPr>
      <w:r>
        <w:rPr>
          <w:lang w:val="en-US"/>
        </w:rPr>
        <w:t xml:space="preserve">Ministry of Health (2002) </w:t>
      </w:r>
      <w:r>
        <w:rPr>
          <w:i/>
          <w:lang w:val="en-US"/>
        </w:rPr>
        <w:t>Health of Older People Strategy: Health Sector Action to 2010 to Support Positive Ageing</w:t>
      </w:r>
      <w:r>
        <w:rPr>
          <w:lang w:val="en-US"/>
        </w:rPr>
        <w:t>. Wellington: Ministry of Health.</w:t>
      </w:r>
    </w:p>
    <w:p w:rsidR="00B44C11" w:rsidRDefault="00B44C11">
      <w:pPr>
        <w:tabs>
          <w:tab w:val="clear" w:pos="1588"/>
          <w:tab w:val="left" w:pos="567"/>
          <w:tab w:val="left" w:pos="907"/>
          <w:tab w:val="left" w:pos="1247"/>
        </w:tabs>
        <w:rPr>
          <w:lang w:val="en-US"/>
        </w:rPr>
      </w:pPr>
      <w:r>
        <w:rPr>
          <w:lang w:val="en-US"/>
        </w:rPr>
        <w:t xml:space="preserve">Ministry of Health (2002) </w:t>
      </w:r>
      <w:r>
        <w:rPr>
          <w:i/>
          <w:lang w:val="en-US"/>
        </w:rPr>
        <w:t>He Korowai Oranga: Māori Health Strategy.</w:t>
      </w:r>
      <w:r>
        <w:rPr>
          <w:lang w:val="en-US"/>
        </w:rPr>
        <w:t xml:space="preserve"> Wellington: Ministry of Health.</w:t>
      </w:r>
    </w:p>
    <w:p w:rsidR="00B44C11" w:rsidRDefault="00B44C11">
      <w:pPr>
        <w:tabs>
          <w:tab w:val="clear" w:pos="1588"/>
          <w:tab w:val="left" w:pos="567"/>
          <w:tab w:val="left" w:pos="907"/>
          <w:tab w:val="left" w:pos="1247"/>
        </w:tabs>
        <w:rPr>
          <w:lang w:val="en-US"/>
        </w:rPr>
      </w:pPr>
      <w:r>
        <w:rPr>
          <w:lang w:val="en-US"/>
        </w:rPr>
        <w:t xml:space="preserve">Ministry of Health (1994) </w:t>
      </w:r>
      <w:r>
        <w:rPr>
          <w:i/>
          <w:lang w:val="en-US"/>
        </w:rPr>
        <w:t>Mental Health Strategy</w:t>
      </w:r>
      <w:r>
        <w:rPr>
          <w:lang w:val="en-US"/>
        </w:rPr>
        <w:t>. Wellington: Ministry of Health.</w:t>
      </w:r>
    </w:p>
    <w:p w:rsidR="00B44C11" w:rsidRDefault="00B44C11">
      <w:pPr>
        <w:tabs>
          <w:tab w:val="clear" w:pos="1588"/>
          <w:tab w:val="left" w:pos="567"/>
          <w:tab w:val="left" w:pos="907"/>
          <w:tab w:val="left" w:pos="1247"/>
        </w:tabs>
        <w:rPr>
          <w:lang w:val="en-US"/>
        </w:rPr>
      </w:pPr>
      <w:r>
        <w:rPr>
          <w:lang w:val="en-US"/>
        </w:rPr>
        <w:t xml:space="preserve">Ministry of Health (2002) </w:t>
      </w:r>
      <w:r>
        <w:rPr>
          <w:i/>
          <w:lang w:val="en-US"/>
        </w:rPr>
        <w:t>Pacific Health and Disability Action Plan</w:t>
      </w:r>
      <w:r>
        <w:rPr>
          <w:lang w:val="en-US"/>
        </w:rPr>
        <w:t>. Wellington: Ministry of Health.</w:t>
      </w:r>
    </w:p>
    <w:p w:rsidR="00B44C11" w:rsidRDefault="00B44C11">
      <w:pPr>
        <w:tabs>
          <w:tab w:val="clear" w:pos="1588"/>
          <w:tab w:val="left" w:pos="567"/>
          <w:tab w:val="left" w:pos="907"/>
          <w:tab w:val="left" w:pos="1247"/>
        </w:tabs>
        <w:rPr>
          <w:lang w:val="en-US"/>
        </w:rPr>
      </w:pPr>
      <w:r>
        <w:rPr>
          <w:lang w:val="en-US"/>
        </w:rPr>
        <w:t xml:space="preserve">Ministry of Health (2000) </w:t>
      </w:r>
      <w:r>
        <w:rPr>
          <w:i/>
          <w:lang w:val="en-US"/>
        </w:rPr>
        <w:t>Primary Health Care Strategy</w:t>
      </w:r>
      <w:r>
        <w:rPr>
          <w:lang w:val="en-US"/>
        </w:rPr>
        <w:t>. Wellington: Ministry of Health.</w:t>
      </w:r>
    </w:p>
    <w:p w:rsidR="00B44C11" w:rsidRDefault="00B44C11">
      <w:pPr>
        <w:tabs>
          <w:tab w:val="clear" w:pos="1588"/>
          <w:tab w:val="left" w:pos="567"/>
          <w:tab w:val="left" w:pos="907"/>
          <w:tab w:val="left" w:pos="1247"/>
        </w:tabs>
        <w:rPr>
          <w:lang w:val="en-US"/>
        </w:rPr>
      </w:pPr>
      <w:r>
        <w:rPr>
          <w:lang w:val="en-US"/>
        </w:rPr>
        <w:t xml:space="preserve">Ministry of Health (2001) </w:t>
      </w:r>
      <w:r>
        <w:rPr>
          <w:i/>
          <w:lang w:val="en-US"/>
        </w:rPr>
        <w:t>Sexual and Reproductive Health Strategy</w:t>
      </w:r>
      <w:r>
        <w:rPr>
          <w:lang w:val="en-US"/>
        </w:rPr>
        <w:t>. Wellington: Ministry of Health.</w:t>
      </w:r>
    </w:p>
    <w:p w:rsidR="00B44C11" w:rsidRDefault="00B44C11">
      <w:pPr>
        <w:tabs>
          <w:tab w:val="clear" w:pos="1588"/>
          <w:tab w:val="left" w:pos="567"/>
          <w:tab w:val="left" w:pos="907"/>
          <w:tab w:val="left" w:pos="1247"/>
        </w:tabs>
        <w:rPr>
          <w:lang w:val="en-US"/>
        </w:rPr>
      </w:pPr>
      <w:r>
        <w:rPr>
          <w:lang w:val="en-US"/>
        </w:rPr>
        <w:t xml:space="preserve">Ministry of Health (2001) </w:t>
      </w:r>
      <w:r>
        <w:rPr>
          <w:i/>
          <w:lang w:val="en-US"/>
        </w:rPr>
        <w:t>The New Zealand Disability Strategy, Making a World of Difference: Whakanui Oranga</w:t>
      </w:r>
      <w:r>
        <w:rPr>
          <w:lang w:val="en-US"/>
        </w:rPr>
        <w:t>. Wellington: Ministry of Health.</w:t>
      </w:r>
    </w:p>
    <w:p w:rsidR="00B44C11" w:rsidRDefault="00B44C11">
      <w:pPr>
        <w:tabs>
          <w:tab w:val="clear" w:pos="1588"/>
          <w:tab w:val="left" w:pos="567"/>
          <w:tab w:val="left" w:pos="907"/>
          <w:tab w:val="left" w:pos="1247"/>
        </w:tabs>
        <w:rPr>
          <w:lang w:val="en-US"/>
        </w:rPr>
      </w:pPr>
      <w:r>
        <w:rPr>
          <w:lang w:val="en-US"/>
        </w:rPr>
        <w:t xml:space="preserve">Ministry of Health (2000) </w:t>
      </w:r>
      <w:r>
        <w:rPr>
          <w:i/>
          <w:lang w:val="en-US"/>
        </w:rPr>
        <w:t>The New Zealand Health Strategy</w:t>
      </w:r>
      <w:r>
        <w:rPr>
          <w:lang w:val="en-US"/>
        </w:rPr>
        <w:t>. Wellington: Ministry of Health.</w:t>
      </w:r>
    </w:p>
    <w:p w:rsidR="00B44C11" w:rsidRDefault="00B44C11">
      <w:pPr>
        <w:tabs>
          <w:tab w:val="clear" w:pos="1588"/>
          <w:tab w:val="left" w:pos="567"/>
          <w:tab w:val="left" w:pos="907"/>
          <w:tab w:val="left" w:pos="1247"/>
        </w:tabs>
        <w:rPr>
          <w:lang w:val="en-US"/>
        </w:rPr>
      </w:pPr>
      <w:r>
        <w:rPr>
          <w:lang w:val="en-US"/>
        </w:rPr>
        <w:t xml:space="preserve">Ministry of Health (2002) </w:t>
      </w:r>
      <w:r>
        <w:rPr>
          <w:i/>
          <w:lang w:val="en-US"/>
        </w:rPr>
        <w:t>Whakatataka: The Māori Health Action Plan 2002-2005.</w:t>
      </w:r>
      <w:r>
        <w:rPr>
          <w:lang w:val="en-US"/>
        </w:rPr>
        <w:t xml:space="preserve"> Wellington: Ministry of Health.</w:t>
      </w:r>
    </w:p>
    <w:p w:rsidR="00B44C11" w:rsidRDefault="00B44C11">
      <w:pPr>
        <w:tabs>
          <w:tab w:val="clear" w:pos="1588"/>
          <w:tab w:val="left" w:pos="567"/>
          <w:tab w:val="left" w:pos="907"/>
          <w:tab w:val="left" w:pos="1247"/>
        </w:tabs>
        <w:rPr>
          <w:lang w:val="en-US"/>
        </w:rPr>
      </w:pPr>
      <w:r>
        <w:rPr>
          <w:lang w:val="en-US"/>
        </w:rPr>
        <w:t xml:space="preserve">Ministry of Justice (2004) </w:t>
      </w:r>
      <w:r>
        <w:rPr>
          <w:i/>
          <w:lang w:val="en-US"/>
        </w:rPr>
        <w:t>Action Plan to Prevent Community Violence and Sexual Violence</w:t>
      </w:r>
      <w:r>
        <w:rPr>
          <w:lang w:val="en-US"/>
        </w:rPr>
        <w:t>. Wellington: Ministry of Justice.</w:t>
      </w:r>
    </w:p>
    <w:p w:rsidR="00B44C11" w:rsidRDefault="00B44C11">
      <w:pPr>
        <w:tabs>
          <w:tab w:val="clear" w:pos="1588"/>
          <w:tab w:val="left" w:pos="567"/>
          <w:tab w:val="left" w:pos="907"/>
          <w:tab w:val="left" w:pos="1247"/>
        </w:tabs>
        <w:rPr>
          <w:lang w:val="en-US"/>
        </w:rPr>
      </w:pPr>
      <w:r>
        <w:rPr>
          <w:lang w:val="en-US"/>
        </w:rPr>
        <w:t xml:space="preserve">Ministry of Justice (2002) </w:t>
      </w:r>
      <w:r>
        <w:rPr>
          <w:i/>
          <w:lang w:val="en-US"/>
        </w:rPr>
        <w:t>Crime Reduction Strategy. http://www.justice.govt.nz/crime-reduction/</w:t>
      </w:r>
      <w:r>
        <w:rPr>
          <w:lang w:val="en-US"/>
        </w:rPr>
        <w:t>.</w:t>
      </w:r>
    </w:p>
    <w:p w:rsidR="00B44C11" w:rsidRDefault="00B44C11">
      <w:pPr>
        <w:tabs>
          <w:tab w:val="clear" w:pos="1588"/>
          <w:tab w:val="left" w:pos="567"/>
          <w:tab w:val="left" w:pos="907"/>
          <w:tab w:val="left" w:pos="1247"/>
        </w:tabs>
        <w:rPr>
          <w:lang w:val="en-US"/>
        </w:rPr>
      </w:pPr>
      <w:r>
        <w:rPr>
          <w:lang w:val="en-US"/>
        </w:rPr>
        <w:t xml:space="preserve">Ministry of Justice (2001) </w:t>
      </w:r>
      <w:r>
        <w:rPr>
          <w:i/>
          <w:lang w:val="en-US"/>
        </w:rPr>
        <w:t xml:space="preserve">Protecting Our Innocence. </w:t>
      </w:r>
      <w:r>
        <w:rPr>
          <w:lang w:val="en-US"/>
        </w:rPr>
        <w:t>Wellington: Ministry of Justice.</w:t>
      </w:r>
    </w:p>
    <w:p w:rsidR="00B44C11" w:rsidRDefault="00B44C11">
      <w:pPr>
        <w:tabs>
          <w:tab w:val="clear" w:pos="1588"/>
          <w:tab w:val="left" w:pos="567"/>
          <w:tab w:val="left" w:pos="907"/>
          <w:tab w:val="left" w:pos="1247"/>
        </w:tabs>
      </w:pPr>
      <w:r>
        <w:rPr>
          <w:lang w:val="en-US"/>
        </w:rPr>
        <w:t xml:space="preserve">MSD (2005) </w:t>
      </w:r>
      <w:r>
        <w:rPr>
          <w:i/>
          <w:lang w:val="en-US"/>
        </w:rPr>
        <w:t>Social Report 2005</w:t>
      </w:r>
      <w:r>
        <w:rPr>
          <w:lang w:val="en-US"/>
        </w:rPr>
        <w:t>. Wellington: MSD</w:t>
      </w:r>
      <w:r>
        <w:t>.</w:t>
      </w:r>
    </w:p>
    <w:p w:rsidR="00B44C11" w:rsidRDefault="00B44C11">
      <w:pPr>
        <w:tabs>
          <w:tab w:val="clear" w:pos="1588"/>
          <w:tab w:val="left" w:pos="567"/>
          <w:tab w:val="left" w:pos="907"/>
          <w:tab w:val="left" w:pos="1247"/>
        </w:tabs>
        <w:rPr>
          <w:lang w:val="en-US"/>
        </w:rPr>
      </w:pPr>
      <w:r>
        <w:rPr>
          <w:lang w:val="en-US"/>
        </w:rPr>
        <w:t xml:space="preserve">Ministry of Women’s Affairs (2004) </w:t>
      </w:r>
      <w:r>
        <w:rPr>
          <w:i/>
          <w:lang w:val="en-US"/>
        </w:rPr>
        <w:t>The Action Plan for New Zealand Women</w:t>
      </w:r>
      <w:r>
        <w:rPr>
          <w:lang w:val="en-US"/>
        </w:rPr>
        <w:t>. Wellington: Ministry of Women’s Affairs.</w:t>
      </w:r>
    </w:p>
    <w:p w:rsidR="00B44C11" w:rsidRDefault="00B44C11">
      <w:pPr>
        <w:tabs>
          <w:tab w:val="clear" w:pos="1588"/>
          <w:tab w:val="left" w:pos="567"/>
          <w:tab w:val="left" w:pos="907"/>
          <w:tab w:val="left" w:pos="1247"/>
        </w:tabs>
        <w:rPr>
          <w:lang w:val="en-US"/>
        </w:rPr>
      </w:pPr>
      <w:r>
        <w:rPr>
          <w:lang w:val="en-US"/>
        </w:rPr>
        <w:t xml:space="preserve">New Zealand Agency for International Development (NZAID) (2005) </w:t>
      </w:r>
      <w:r>
        <w:rPr>
          <w:i/>
          <w:lang w:val="en-US"/>
        </w:rPr>
        <w:t>New Zealand’s Contribution to the Global Partnership for Development: The Millennium Development Goals</w:t>
      </w:r>
      <w:r>
        <w:rPr>
          <w:lang w:val="en-US"/>
        </w:rPr>
        <w:t>. Wellington: NZAID.</w:t>
      </w:r>
    </w:p>
    <w:p w:rsidR="00B44C11" w:rsidRDefault="00B44C11">
      <w:pPr>
        <w:tabs>
          <w:tab w:val="clear" w:pos="1588"/>
          <w:tab w:val="left" w:pos="567"/>
          <w:tab w:val="left" w:pos="907"/>
          <w:tab w:val="left" w:pos="1247"/>
        </w:tabs>
        <w:rPr>
          <w:lang w:val="en-US"/>
        </w:rPr>
      </w:pPr>
      <w:r>
        <w:rPr>
          <w:lang w:val="en-US"/>
        </w:rPr>
        <w:t xml:space="preserve">Office for Disability Issues (2005) Work in Progress 2004-2005: </w:t>
      </w:r>
      <w:r>
        <w:rPr>
          <w:i/>
          <w:lang w:val="en-US"/>
        </w:rPr>
        <w:t>Fifth annual report from the Minister for Disability Issues to the House of Representatives on implementing the New Zealand Disability Strategy</w:t>
      </w:r>
      <w:r>
        <w:rPr>
          <w:lang w:val="en-US"/>
        </w:rPr>
        <w:t>. Wellington: Office of Disability Issues.</w:t>
      </w:r>
    </w:p>
    <w:p w:rsidR="00B44C11" w:rsidRDefault="00B44C11">
      <w:pPr>
        <w:tabs>
          <w:tab w:val="clear" w:pos="1588"/>
          <w:tab w:val="left" w:pos="567"/>
          <w:tab w:val="left" w:pos="907"/>
          <w:tab w:val="left" w:pos="1247"/>
        </w:tabs>
        <w:rPr>
          <w:lang w:val="en-US"/>
        </w:rPr>
      </w:pPr>
      <w:r>
        <w:rPr>
          <w:lang w:val="en-US"/>
        </w:rPr>
        <w:t xml:space="preserve">Office of Ethnic Affairs (2003) </w:t>
      </w:r>
      <w:r>
        <w:rPr>
          <w:i/>
          <w:lang w:val="en-US"/>
        </w:rPr>
        <w:t xml:space="preserve">Ethnic Perspectives in Policy: government’s policy framework for the ethnic sector. </w:t>
      </w:r>
      <w:r>
        <w:rPr>
          <w:lang w:val="en-US"/>
        </w:rPr>
        <w:t>Wellington: Office of Ethnic Affairs.</w:t>
      </w:r>
    </w:p>
    <w:p w:rsidR="00B44C11" w:rsidRDefault="00B44C11">
      <w:pPr>
        <w:tabs>
          <w:tab w:val="clear" w:pos="1588"/>
          <w:tab w:val="left" w:pos="567"/>
          <w:tab w:val="left" w:pos="907"/>
          <w:tab w:val="left" w:pos="1247"/>
        </w:tabs>
        <w:rPr>
          <w:lang w:val="en-US"/>
        </w:rPr>
      </w:pPr>
      <w:r>
        <w:rPr>
          <w:lang w:val="en-US"/>
        </w:rPr>
        <w:t xml:space="preserve">Office of the Minister for Social Development and Employment (2004) </w:t>
      </w:r>
      <w:r>
        <w:rPr>
          <w:i/>
          <w:lang w:val="en-US"/>
        </w:rPr>
        <w:t>Opportunity for All New Zealanders</w:t>
      </w:r>
      <w:r>
        <w:rPr>
          <w:lang w:val="en-US"/>
        </w:rPr>
        <w:t>. Wellington: Office of the Minister for Social Development and Employment.</w:t>
      </w:r>
    </w:p>
    <w:p w:rsidR="00B44C11" w:rsidRDefault="00B44C11">
      <w:pPr>
        <w:tabs>
          <w:tab w:val="clear" w:pos="1588"/>
          <w:tab w:val="left" w:pos="567"/>
          <w:tab w:val="left" w:pos="907"/>
          <w:tab w:val="left" w:pos="1247"/>
        </w:tabs>
        <w:rPr>
          <w:lang w:val="en-US"/>
        </w:rPr>
      </w:pPr>
      <w:r>
        <w:rPr>
          <w:lang w:val="en-US"/>
        </w:rPr>
        <w:t xml:space="preserve">Prostitution Law Review Committee (2005) </w:t>
      </w:r>
      <w:r>
        <w:rPr>
          <w:i/>
          <w:lang w:val="en-US"/>
        </w:rPr>
        <w:t>The Nature and Extent of the Sex Industry in New Zealand: An Estimation</w:t>
      </w:r>
      <w:r>
        <w:rPr>
          <w:lang w:val="en-US"/>
        </w:rPr>
        <w:t>. Wellington: Ministry of Justice.</w:t>
      </w:r>
    </w:p>
    <w:p w:rsidR="00B44C11" w:rsidRDefault="00B44C11">
      <w:pPr>
        <w:tabs>
          <w:tab w:val="clear" w:pos="1588"/>
          <w:tab w:val="left" w:pos="567"/>
          <w:tab w:val="left" w:pos="907"/>
          <w:tab w:val="left" w:pos="1247"/>
        </w:tabs>
        <w:rPr>
          <w:lang w:val="en-US"/>
        </w:rPr>
      </w:pPr>
      <w:r>
        <w:rPr>
          <w:lang w:val="en-US"/>
        </w:rPr>
        <w:t>Statistics New Zealand (2005): Focusing on Women 2005. Wellington: Statistics New Zealand.</w:t>
      </w:r>
    </w:p>
    <w:p w:rsidR="00B44C11" w:rsidRDefault="00B44C11">
      <w:pPr>
        <w:tabs>
          <w:tab w:val="clear" w:pos="1588"/>
          <w:tab w:val="left" w:pos="567"/>
          <w:tab w:val="left" w:pos="907"/>
          <w:tab w:val="left" w:pos="1247"/>
        </w:tabs>
        <w:rPr>
          <w:b/>
        </w:rPr>
      </w:pPr>
      <w:r>
        <w:rPr>
          <w:b/>
        </w:rPr>
        <w:t xml:space="preserve">Договоры и законы </w:t>
      </w:r>
      <w:r>
        <w:rPr>
          <w:b/>
          <w:caps/>
        </w:rPr>
        <w:t>н</w:t>
      </w:r>
      <w:r>
        <w:rPr>
          <w:b/>
        </w:rPr>
        <w:t xml:space="preserve">овой </w:t>
      </w:r>
      <w:r>
        <w:rPr>
          <w:b/>
          <w:caps/>
        </w:rPr>
        <w:t>з</w:t>
      </w:r>
      <w:r>
        <w:rPr>
          <w:b/>
        </w:rPr>
        <w:t>еландии</w:t>
      </w:r>
    </w:p>
    <w:p w:rsidR="00B44C11" w:rsidRDefault="00B44C11">
      <w:pPr>
        <w:tabs>
          <w:tab w:val="clear" w:pos="1588"/>
          <w:tab w:val="left" w:pos="567"/>
          <w:tab w:val="left" w:pos="907"/>
          <w:tab w:val="left" w:pos="1247"/>
        </w:tabs>
      </w:pPr>
      <w:r>
        <w:t>Закон о толковании законов 1924 года (Закон о толковании законов 1999 года)</w:t>
      </w:r>
    </w:p>
    <w:p w:rsidR="00B44C11" w:rsidRDefault="00B44C11">
      <w:pPr>
        <w:tabs>
          <w:tab w:val="clear" w:pos="1588"/>
          <w:tab w:val="left" w:pos="567"/>
          <w:tab w:val="left" w:pos="907"/>
          <w:tab w:val="left" w:pos="1247"/>
        </w:tabs>
      </w:pPr>
      <w:r>
        <w:t>Закон о вещании 1989 года</w:t>
      </w:r>
    </w:p>
    <w:p w:rsidR="00B44C11" w:rsidRDefault="00B44C11">
      <w:pPr>
        <w:tabs>
          <w:tab w:val="clear" w:pos="1588"/>
          <w:tab w:val="left" w:pos="567"/>
          <w:tab w:val="left" w:pos="907"/>
          <w:tab w:val="left" w:pos="1247"/>
        </w:tabs>
      </w:pPr>
      <w:r>
        <w:t>Закон об уходе за детьми 2004 года</w:t>
      </w:r>
    </w:p>
    <w:p w:rsidR="00B44C11" w:rsidRDefault="00B44C11">
      <w:pPr>
        <w:tabs>
          <w:tab w:val="clear" w:pos="1588"/>
          <w:tab w:val="left" w:pos="567"/>
          <w:tab w:val="left" w:pos="907"/>
          <w:tab w:val="left" w:pos="1247"/>
        </w:tabs>
      </w:pPr>
      <w:r>
        <w:t>Закон о детях, молодых людях и их семьях 1989 года</w:t>
      </w:r>
    </w:p>
    <w:p w:rsidR="00B44C11" w:rsidRDefault="00B44C11">
      <w:pPr>
        <w:tabs>
          <w:tab w:val="clear" w:pos="1588"/>
          <w:tab w:val="left" w:pos="567"/>
          <w:tab w:val="left" w:pos="907"/>
          <w:tab w:val="left" w:pos="1247"/>
        </w:tabs>
      </w:pPr>
      <w:r>
        <w:t>Закон о гражданском союзе 2004 года</w:t>
      </w:r>
    </w:p>
    <w:p w:rsidR="00B44C11" w:rsidRDefault="00B44C11">
      <w:pPr>
        <w:tabs>
          <w:tab w:val="clear" w:pos="1588"/>
          <w:tab w:val="left" w:pos="567"/>
          <w:tab w:val="left" w:pos="907"/>
          <w:tab w:val="left" w:pos="1247"/>
        </w:tabs>
      </w:pPr>
      <w:r>
        <w:t>Закон о преступлениях 1961 года</w:t>
      </w:r>
    </w:p>
    <w:p w:rsidR="00B44C11" w:rsidRDefault="00B44C11">
      <w:pPr>
        <w:tabs>
          <w:tab w:val="clear" w:pos="1588"/>
          <w:tab w:val="left" w:pos="567"/>
          <w:tab w:val="left" w:pos="907"/>
          <w:tab w:val="left" w:pos="1247"/>
        </w:tabs>
      </w:pPr>
      <w:r>
        <w:t>Закон о внесении поправок в Закон о преступлениях 2001 года</w:t>
      </w:r>
    </w:p>
    <w:p w:rsidR="00B44C11" w:rsidRDefault="00B44C11">
      <w:pPr>
        <w:tabs>
          <w:tab w:val="clear" w:pos="1588"/>
          <w:tab w:val="left" w:pos="567"/>
          <w:tab w:val="left" w:pos="907"/>
          <w:tab w:val="left" w:pos="1247"/>
        </w:tabs>
      </w:pPr>
      <w:r>
        <w:t>Закон о государственных образованиях 1994 года</w:t>
      </w:r>
    </w:p>
    <w:p w:rsidR="00B44C11" w:rsidRDefault="00B44C11">
      <w:pPr>
        <w:tabs>
          <w:tab w:val="clear" w:pos="1588"/>
          <w:tab w:val="left" w:pos="567"/>
          <w:tab w:val="left" w:pos="907"/>
          <w:tab w:val="left" w:pos="1247"/>
        </w:tabs>
      </w:pPr>
      <w:r>
        <w:t>Закон о насилии в семье 1995 года</w:t>
      </w:r>
    </w:p>
    <w:p w:rsidR="00B44C11" w:rsidRDefault="00B44C11">
      <w:pPr>
        <w:tabs>
          <w:tab w:val="clear" w:pos="1588"/>
          <w:tab w:val="left" w:pos="567"/>
          <w:tab w:val="left" w:pos="907"/>
          <w:tab w:val="left" w:pos="1247"/>
        </w:tabs>
      </w:pPr>
      <w:r>
        <w:t>Закон о выборах 1993 года</w:t>
      </w:r>
    </w:p>
    <w:p w:rsidR="00B44C11" w:rsidRDefault="00B44C11">
      <w:pPr>
        <w:tabs>
          <w:tab w:val="clear" w:pos="1588"/>
          <w:tab w:val="left" w:pos="567"/>
          <w:tab w:val="left" w:pos="907"/>
          <w:tab w:val="left" w:pos="1247"/>
        </w:tabs>
      </w:pPr>
      <w:r>
        <w:t>Закон об электроснабжении 1992 года</w:t>
      </w:r>
    </w:p>
    <w:p w:rsidR="00B44C11" w:rsidRDefault="00B44C11">
      <w:pPr>
        <w:tabs>
          <w:tab w:val="clear" w:pos="1588"/>
          <w:tab w:val="left" w:pos="567"/>
          <w:tab w:val="left" w:pos="907"/>
          <w:tab w:val="left" w:pos="1247"/>
        </w:tabs>
      </w:pPr>
      <w:r>
        <w:t>Закон об отношениях в сфере занятости 2000 года</w:t>
      </w:r>
    </w:p>
    <w:p w:rsidR="00B44C11" w:rsidRDefault="00B44C11">
      <w:pPr>
        <w:tabs>
          <w:tab w:val="clear" w:pos="1588"/>
          <w:tab w:val="left" w:pos="567"/>
          <w:tab w:val="left" w:pos="907"/>
          <w:tab w:val="left" w:pos="1247"/>
        </w:tabs>
      </w:pPr>
      <w:r>
        <w:t>Закон о равной оплате труда 1972 года</w:t>
      </w:r>
    </w:p>
    <w:p w:rsidR="00B44C11" w:rsidRDefault="00B44C11">
      <w:pPr>
        <w:tabs>
          <w:tab w:val="clear" w:pos="1588"/>
          <w:tab w:val="left" w:pos="567"/>
          <w:tab w:val="left" w:pos="907"/>
          <w:tab w:val="left" w:pos="1247"/>
        </w:tabs>
      </w:pPr>
      <w:r>
        <w:t>Закон о комиссии по вопросам семьи 2003 года</w:t>
      </w:r>
    </w:p>
    <w:p w:rsidR="00B44C11" w:rsidRDefault="00B44C11">
      <w:pPr>
        <w:tabs>
          <w:tab w:val="clear" w:pos="1588"/>
          <w:tab w:val="left" w:pos="567"/>
          <w:tab w:val="left" w:pos="907"/>
          <w:tab w:val="left" w:pos="1247"/>
        </w:tabs>
      </w:pPr>
      <w:r>
        <w:t>Закон о классификации кинофильмов, видеозаписей и публикаций 1993 года</w:t>
      </w:r>
    </w:p>
    <w:p w:rsidR="00B44C11" w:rsidRDefault="00B44C11">
      <w:pPr>
        <w:tabs>
          <w:tab w:val="clear" w:pos="1588"/>
          <w:tab w:val="left" w:pos="567"/>
          <w:tab w:val="left" w:pos="907"/>
          <w:tab w:val="left" w:pos="1247"/>
        </w:tabs>
      </w:pPr>
      <w:r>
        <w:t>Закон об охране труда и здоровья на производстве 1992 года</w:t>
      </w:r>
    </w:p>
    <w:p w:rsidR="00B44C11" w:rsidRDefault="00B44C11">
      <w:pPr>
        <w:tabs>
          <w:tab w:val="clear" w:pos="1588"/>
          <w:tab w:val="left" w:pos="567"/>
          <w:tab w:val="left" w:pos="907"/>
          <w:tab w:val="left" w:pos="1247"/>
        </w:tabs>
      </w:pPr>
      <w:r>
        <w:t>Закон о внесении поправки в Закон в области здравоохранения 2004 года (Национальная программа цервикальных обследований)</w:t>
      </w:r>
    </w:p>
    <w:p w:rsidR="00B44C11" w:rsidRDefault="00B44C11">
      <w:pPr>
        <w:tabs>
          <w:tab w:val="clear" w:pos="1588"/>
          <w:tab w:val="left" w:pos="567"/>
          <w:tab w:val="left" w:pos="907"/>
          <w:tab w:val="left" w:pos="1247"/>
        </w:tabs>
      </w:pPr>
      <w:r>
        <w:t>Закон о гарантии компетентности медицинских работников 2003 года</w:t>
      </w:r>
    </w:p>
    <w:p w:rsidR="00B44C11" w:rsidRDefault="00B44C11">
      <w:pPr>
        <w:tabs>
          <w:tab w:val="clear" w:pos="1588"/>
          <w:tab w:val="left" w:pos="567"/>
          <w:tab w:val="left" w:pos="907"/>
          <w:tab w:val="left" w:pos="1247"/>
        </w:tabs>
      </w:pPr>
      <w:r>
        <w:t>Закон о праздничных и выходных днях 2003 года</w:t>
      </w:r>
    </w:p>
    <w:p w:rsidR="00B44C11" w:rsidRDefault="00B44C11">
      <w:pPr>
        <w:tabs>
          <w:tab w:val="clear" w:pos="1588"/>
          <w:tab w:val="left" w:pos="567"/>
          <w:tab w:val="left" w:pos="907"/>
          <w:tab w:val="left" w:pos="1247"/>
        </w:tabs>
      </w:pPr>
      <w:r>
        <w:t>Закон о правах человека 1993 года (замещающий Закон о межрасовых отношениях 1971 года и Закон о Комиссии по правам человека 1977 года)</w:t>
      </w:r>
    </w:p>
    <w:p w:rsidR="00B44C11" w:rsidRDefault="00B44C11">
      <w:pPr>
        <w:tabs>
          <w:tab w:val="clear" w:pos="1588"/>
          <w:tab w:val="left" w:pos="567"/>
          <w:tab w:val="left" w:pos="907"/>
          <w:tab w:val="left" w:pos="1247"/>
        </w:tabs>
      </w:pPr>
      <w:r>
        <w:t>Закон о внесении поправок в Закон о правах человека 1999 года</w:t>
      </w:r>
    </w:p>
    <w:p w:rsidR="00B44C11" w:rsidRDefault="00B44C11">
      <w:pPr>
        <w:tabs>
          <w:tab w:val="clear" w:pos="1588"/>
          <w:tab w:val="left" w:pos="567"/>
          <w:tab w:val="left" w:pos="907"/>
          <w:tab w:val="left" w:pos="1247"/>
        </w:tabs>
      </w:pPr>
      <w:r>
        <w:t>Закон о внесении поправок в Закон о правах человека 2001 года</w:t>
      </w:r>
    </w:p>
    <w:p w:rsidR="00B44C11" w:rsidRDefault="00B44C11">
      <w:pPr>
        <w:tabs>
          <w:tab w:val="clear" w:pos="1588"/>
          <w:tab w:val="left" w:pos="567"/>
          <w:tab w:val="left" w:pos="907"/>
          <w:tab w:val="left" w:pos="1247"/>
        </w:tabs>
      </w:pPr>
      <w:r>
        <w:t>Закон об иммиграции 1987 года</w:t>
      </w:r>
    </w:p>
    <w:p w:rsidR="00B44C11" w:rsidRDefault="00B44C11">
      <w:pPr>
        <w:tabs>
          <w:tab w:val="clear" w:pos="1588"/>
          <w:tab w:val="left" w:pos="567"/>
          <w:tab w:val="left" w:pos="907"/>
          <w:tab w:val="left" w:pos="1247"/>
        </w:tabs>
      </w:pPr>
      <w:r>
        <w:t>Закон о юридических услугах 2000 года</w:t>
      </w:r>
    </w:p>
    <w:p w:rsidR="00B44C11" w:rsidRDefault="00B44C11">
      <w:pPr>
        <w:tabs>
          <w:tab w:val="clear" w:pos="1588"/>
          <w:tab w:val="left" w:pos="567"/>
          <w:tab w:val="left" w:pos="907"/>
          <w:tab w:val="left" w:pos="1247"/>
        </w:tabs>
      </w:pPr>
      <w:r>
        <w:t>Закон о выборах в органы местного самоуправления 2001 года</w:t>
      </w:r>
    </w:p>
    <w:p w:rsidR="00B44C11" w:rsidRDefault="00B44C11">
      <w:pPr>
        <w:tabs>
          <w:tab w:val="clear" w:pos="1588"/>
          <w:tab w:val="left" w:pos="567"/>
          <w:tab w:val="left" w:pos="907"/>
          <w:tab w:val="left" w:pos="1247"/>
        </w:tabs>
      </w:pPr>
      <w:r>
        <w:t>Закон о местном самоуправлении 2002 года</w:t>
      </w:r>
    </w:p>
    <w:p w:rsidR="00B44C11" w:rsidRDefault="00B44C11">
      <w:pPr>
        <w:tabs>
          <w:tab w:val="clear" w:pos="1588"/>
          <w:tab w:val="left" w:pos="567"/>
          <w:tab w:val="left" w:pos="907"/>
          <w:tab w:val="left" w:pos="1247"/>
        </w:tabs>
      </w:pPr>
      <w:r>
        <w:t>Закон о браке 1955 года</w:t>
      </w:r>
    </w:p>
    <w:p w:rsidR="00B44C11" w:rsidRDefault="00B44C11">
      <w:pPr>
        <w:tabs>
          <w:tab w:val="clear" w:pos="1588"/>
          <w:tab w:val="left" w:pos="567"/>
          <w:tab w:val="left" w:pos="907"/>
          <w:tab w:val="left" w:pos="1247"/>
        </w:tabs>
      </w:pPr>
      <w:r>
        <w:t>Закон о минимальной заработной плате 1983 года</w:t>
      </w:r>
    </w:p>
    <w:p w:rsidR="00B44C11" w:rsidRDefault="00B44C11">
      <w:pPr>
        <w:tabs>
          <w:tab w:val="clear" w:pos="1588"/>
          <w:tab w:val="left" w:pos="567"/>
          <w:tab w:val="left" w:pos="907"/>
          <w:tab w:val="left" w:pos="1247"/>
        </w:tabs>
      </w:pPr>
      <w:r>
        <w:t>Билль о правах Новой Зеландии 1990 года</w:t>
      </w:r>
    </w:p>
    <w:p w:rsidR="00B44C11" w:rsidRDefault="00B44C11">
      <w:pPr>
        <w:tabs>
          <w:tab w:val="clear" w:pos="1588"/>
          <w:tab w:val="left" w:pos="567"/>
          <w:tab w:val="left" w:pos="907"/>
          <w:tab w:val="left" w:pos="1247"/>
        </w:tabs>
      </w:pPr>
      <w:r>
        <w:t>Закон Новой Зеландии о государственном здравоохранении и инвалидности 2000 года</w:t>
      </w:r>
    </w:p>
    <w:p w:rsidR="00B44C11" w:rsidRDefault="00B44C11">
      <w:pPr>
        <w:tabs>
          <w:tab w:val="clear" w:pos="1588"/>
          <w:tab w:val="left" w:pos="567"/>
          <w:tab w:val="left" w:pos="907"/>
          <w:tab w:val="left" w:pos="1247"/>
        </w:tabs>
      </w:pPr>
      <w:r>
        <w:t>Закон об отпуске по уходу за ребенком и защите занятости 1987 года</w:t>
      </w:r>
    </w:p>
    <w:p w:rsidR="00B44C11" w:rsidRDefault="00B44C11">
      <w:pPr>
        <w:tabs>
          <w:tab w:val="clear" w:pos="1588"/>
          <w:tab w:val="left" w:pos="567"/>
          <w:tab w:val="left" w:pos="907"/>
          <w:tab w:val="left" w:pos="1247"/>
        </w:tabs>
      </w:pPr>
      <w:r>
        <w:t>Закон об отпуске по уходу за ребенком и защите занятости (оплачиваемом отпуске по уходу за ребенком) 2002 года</w:t>
      </w:r>
    </w:p>
    <w:p w:rsidR="00B44C11" w:rsidRDefault="00B44C11">
      <w:pPr>
        <w:tabs>
          <w:tab w:val="clear" w:pos="1588"/>
          <w:tab w:val="left" w:pos="567"/>
          <w:tab w:val="left" w:pos="907"/>
          <w:tab w:val="left" w:pos="1247"/>
        </w:tabs>
      </w:pPr>
      <w:r>
        <w:t>Закон о семейных правах собственности 1976 года</w:t>
      </w:r>
    </w:p>
    <w:p w:rsidR="00B44C11" w:rsidRDefault="00B44C11">
      <w:pPr>
        <w:tabs>
          <w:tab w:val="clear" w:pos="1588"/>
          <w:tab w:val="left" w:pos="567"/>
          <w:tab w:val="left" w:pos="907"/>
          <w:tab w:val="left" w:pos="1247"/>
        </w:tabs>
      </w:pPr>
      <w:r>
        <w:t>Закон о реформировании сферы сексуальных услуг 2003 года</w:t>
      </w:r>
    </w:p>
    <w:p w:rsidR="00B44C11" w:rsidRDefault="00B44C11">
      <w:pPr>
        <w:tabs>
          <w:tab w:val="clear" w:pos="1588"/>
          <w:tab w:val="left" w:pos="567"/>
          <w:tab w:val="left" w:pos="907"/>
          <w:tab w:val="left" w:pos="1247"/>
        </w:tabs>
      </w:pPr>
      <w:r>
        <w:t>Закон о семейных правах собственности (ссылки на законоположения) 2005 года</w:t>
      </w:r>
    </w:p>
    <w:p w:rsidR="00B44C11" w:rsidRDefault="00B44C11">
      <w:pPr>
        <w:tabs>
          <w:tab w:val="clear" w:pos="1588"/>
          <w:tab w:val="left" w:pos="567"/>
          <w:tab w:val="left" w:pos="907"/>
          <w:tab w:val="left" w:pos="1247"/>
        </w:tabs>
      </w:pPr>
      <w:r>
        <w:t xml:space="preserve">Законопроект о внесении поправок (долгосрочное пребывание в учреждении для престарелых) </w:t>
      </w:r>
      <w:r>
        <w:br/>
        <w:t>в области социального обеспечения</w:t>
      </w:r>
    </w:p>
    <w:p w:rsidR="00B44C11" w:rsidRDefault="00B44C11">
      <w:pPr>
        <w:tabs>
          <w:tab w:val="clear" w:pos="1588"/>
          <w:tab w:val="left" w:pos="567"/>
          <w:tab w:val="left" w:pos="907"/>
          <w:tab w:val="left" w:pos="1247"/>
        </w:tabs>
      </w:pPr>
      <w:r>
        <w:t>Закон о государственном секторе 1988 года</w:t>
      </w:r>
    </w:p>
    <w:p w:rsidR="00B44C11" w:rsidRDefault="00B44C11">
      <w:pPr>
        <w:tabs>
          <w:tab w:val="clear" w:pos="1588"/>
          <w:tab w:val="left" w:pos="567"/>
          <w:tab w:val="left" w:pos="907"/>
          <w:tab w:val="left" w:pos="1247"/>
        </w:tabs>
      </w:pPr>
      <w:r>
        <w:t xml:space="preserve">Закон № 2 2004 года о внесении поправок в Закон о государственном секторе </w:t>
      </w:r>
    </w:p>
    <w:p w:rsidR="00B44C11" w:rsidRDefault="00B44C11">
      <w:pPr>
        <w:tabs>
          <w:tab w:val="clear" w:pos="1588"/>
          <w:tab w:val="left" w:pos="567"/>
          <w:tab w:val="left" w:pos="907"/>
          <w:tab w:val="left" w:pos="1247"/>
        </w:tabs>
      </w:pPr>
      <w:r>
        <w:t>Договор Вайтанги 1840 года</w:t>
      </w:r>
    </w:p>
    <w:p w:rsidR="00B44C11" w:rsidRDefault="00B44C11">
      <w:pPr>
        <w:tabs>
          <w:tab w:val="clear" w:pos="1588"/>
          <w:tab w:val="left" w:pos="567"/>
          <w:tab w:val="left" w:pos="907"/>
          <w:tab w:val="left" w:pos="1247"/>
        </w:tabs>
      </w:pPr>
      <w:r>
        <w:t>Закон о Договоре Вайтанги 1975 года</w:t>
      </w:r>
    </w:p>
    <w:p w:rsidR="00B44C11" w:rsidRDefault="00B44C11">
      <w:pPr>
        <w:tabs>
          <w:tab w:val="clear" w:pos="1588"/>
          <w:tab w:val="left" w:pos="567"/>
          <w:tab w:val="left" w:pos="907"/>
          <w:tab w:val="left" w:pos="1247"/>
        </w:tabs>
      </w:pPr>
      <w:r>
        <w:t>Закон о внесении поправок в Договор Вайтанги 1977 года</w:t>
      </w:r>
    </w:p>
    <w:p w:rsidR="00B44C11" w:rsidRDefault="00B44C11">
      <w:pPr>
        <w:pStyle w:val="H1"/>
      </w:pPr>
      <w:r>
        <w:br w:type="page"/>
      </w:r>
      <w:bookmarkStart w:id="79" w:name="_Toc145842193"/>
      <w:r>
        <w:t>Список приложений</w:t>
      </w:r>
      <w:bookmarkEnd w:id="79"/>
    </w:p>
    <w:p w:rsidR="00B44C11" w:rsidRDefault="00B44C11">
      <w:pPr>
        <w:tabs>
          <w:tab w:val="clear" w:pos="567"/>
          <w:tab w:val="clear" w:pos="907"/>
          <w:tab w:val="clear" w:pos="1247"/>
          <w:tab w:val="clear" w:pos="1588"/>
          <w:tab w:val="left" w:pos="1701"/>
        </w:tabs>
        <w:ind w:left="1701" w:hanging="1701"/>
      </w:pPr>
      <w:r>
        <w:t>Приложение 1:</w:t>
      </w:r>
      <w:r>
        <w:tab/>
        <w:t>Подробные ответы на заключительные замечания Комитета в пятом периодическом докладе, представленном Новой Зеландией относительно обеспечения выполнения Конвенции Организации Объединенных Наций о ликвидации всех форм дискриминации в отношении женщин</w:t>
      </w:r>
    </w:p>
    <w:p w:rsidR="00B44C11" w:rsidRDefault="00B44C11">
      <w:pPr>
        <w:tabs>
          <w:tab w:val="clear" w:pos="567"/>
          <w:tab w:val="clear" w:pos="907"/>
          <w:tab w:val="clear" w:pos="1247"/>
          <w:tab w:val="clear" w:pos="1588"/>
          <w:tab w:val="left" w:pos="1701"/>
        </w:tabs>
        <w:ind w:left="1701" w:hanging="1701"/>
      </w:pPr>
      <w:r>
        <w:t>Приложение 2:</w:t>
      </w:r>
      <w:r>
        <w:tab/>
        <w:t>Мнения женщин Новой Зеландии</w:t>
      </w:r>
    </w:p>
    <w:p w:rsidR="00B44C11" w:rsidRDefault="00B44C11">
      <w:pPr>
        <w:tabs>
          <w:tab w:val="clear" w:pos="567"/>
          <w:tab w:val="clear" w:pos="907"/>
          <w:tab w:val="clear" w:pos="1247"/>
          <w:tab w:val="clear" w:pos="1588"/>
          <w:tab w:val="left" w:pos="1701"/>
        </w:tabs>
        <w:ind w:left="1701" w:hanging="1701"/>
      </w:pPr>
      <w:r>
        <w:t>Приложение 3:</w:t>
      </w:r>
      <w:r>
        <w:tab/>
        <w:t>Токелау</w:t>
      </w:r>
    </w:p>
    <w:p w:rsidR="00B44C11" w:rsidRDefault="00B44C11">
      <w:pPr>
        <w:tabs>
          <w:tab w:val="clear" w:pos="567"/>
          <w:tab w:val="clear" w:pos="907"/>
          <w:tab w:val="clear" w:pos="1247"/>
          <w:tab w:val="clear" w:pos="1588"/>
          <w:tab w:val="left" w:pos="1701"/>
        </w:tabs>
        <w:ind w:left="1701" w:hanging="1701"/>
      </w:pPr>
      <w:r>
        <w:t>Приложение 4:</w:t>
      </w:r>
      <w:r>
        <w:tab/>
        <w:t>Взаимосвязь между Планом действий в интересах женщин Новой Зеландии и Конвенцией Организации Объединенных Наций о ликвидации всех форм дискриминации в отношении женщин</w:t>
      </w:r>
    </w:p>
    <w:p w:rsidR="00B44C11" w:rsidRDefault="00B44C11">
      <w:pPr>
        <w:pStyle w:val="CommentText"/>
        <w:sectPr w:rsidR="00B44C11">
          <w:headerReference w:type="even" r:id="rId24"/>
          <w:headerReference w:type="default" r:id="rId25"/>
          <w:endnotePr>
            <w:numFmt w:val="decimal"/>
          </w:endnotePr>
          <w:pgSz w:w="12242" w:h="15842" w:code="1"/>
          <w:pgMar w:top="1418" w:right="1418" w:bottom="1701" w:left="1418" w:header="0" w:footer="851" w:gutter="0"/>
          <w:cols w:space="708"/>
          <w:docGrid w:linePitch="360"/>
        </w:sectPr>
      </w:pPr>
    </w:p>
    <w:p w:rsidR="00B44C11" w:rsidRDefault="00B44C11">
      <w:pPr>
        <w:rPr>
          <w:b/>
        </w:rPr>
      </w:pPr>
      <w:r>
        <w:rPr>
          <w:b/>
        </w:rPr>
        <w:t>Приложение 1</w:t>
      </w:r>
    </w:p>
    <w:p w:rsidR="00B44C11" w:rsidRDefault="00B44C11">
      <w:pPr>
        <w:rPr>
          <w:b/>
        </w:rPr>
      </w:pPr>
      <w:r>
        <w:rPr>
          <w:b/>
        </w:rPr>
        <w:t>Подробные ответы на заключительные замечания Комитета в пятом периодическом докладе, представленном Новой Зеландией относительно обеспечения выполнения Конвенции Организации Объединенных Наций о ликвидации всех форм дискриминации в отношении женщин</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8930"/>
      </w:tblGrid>
      <w:tr w:rsidR="00B44C11">
        <w:tblPrEx>
          <w:tblCellMar>
            <w:top w:w="0" w:type="dxa"/>
            <w:bottom w:w="0" w:type="dxa"/>
          </w:tblCellMar>
        </w:tblPrEx>
        <w:trPr>
          <w:tblHeader/>
        </w:trPr>
        <w:tc>
          <w:tcPr>
            <w:tcW w:w="3828" w:type="dxa"/>
            <w:shd w:val="clear" w:color="auto" w:fill="C0C0C0"/>
          </w:tcPr>
          <w:p w:rsidR="00B44C11" w:rsidRDefault="00B44C11">
            <w:pPr>
              <w:pStyle w:val="a0"/>
              <w:jc w:val="left"/>
              <w:rPr>
                <w:b/>
              </w:rPr>
            </w:pPr>
            <w:r>
              <w:rPr>
                <w:b/>
              </w:rPr>
              <w:t>Рекомендация</w:t>
            </w:r>
          </w:p>
        </w:tc>
        <w:tc>
          <w:tcPr>
            <w:tcW w:w="8930" w:type="dxa"/>
            <w:shd w:val="clear" w:color="auto" w:fill="C0C0C0"/>
          </w:tcPr>
          <w:p w:rsidR="00B44C11" w:rsidRDefault="00B44C11">
            <w:pPr>
              <w:pStyle w:val="a0"/>
              <w:jc w:val="left"/>
              <w:rPr>
                <w:b/>
              </w:rPr>
            </w:pPr>
            <w:r>
              <w:rPr>
                <w:b/>
              </w:rPr>
              <w:t>Ответ</w:t>
            </w:r>
          </w:p>
        </w:tc>
      </w:tr>
      <w:tr w:rsidR="00B44C11">
        <w:tblPrEx>
          <w:tblCellMar>
            <w:top w:w="0" w:type="dxa"/>
            <w:bottom w:w="0" w:type="dxa"/>
          </w:tblCellMar>
        </w:tblPrEx>
        <w:tc>
          <w:tcPr>
            <w:tcW w:w="3828" w:type="dxa"/>
          </w:tcPr>
          <w:p w:rsidR="00B44C11" w:rsidRDefault="00B44C11">
            <w:pPr>
              <w:pStyle w:val="a0"/>
              <w:spacing w:before="120" w:after="80"/>
              <w:jc w:val="left"/>
            </w:pPr>
            <w:r>
              <w:t>Государство-участник принимает соответствующие меры для включения всех положений Конвенции в национальное законодательство (пункт 406)</w:t>
            </w:r>
          </w:p>
        </w:tc>
        <w:tc>
          <w:tcPr>
            <w:tcW w:w="8930" w:type="dxa"/>
          </w:tcPr>
          <w:p w:rsidR="00B44C11" w:rsidRDefault="00B44C11">
            <w:pPr>
              <w:pStyle w:val="a0"/>
              <w:spacing w:before="120" w:after="80"/>
              <w:jc w:val="left"/>
            </w:pPr>
            <w:r>
              <w:t xml:space="preserve">Прежде чем ратифицировать международный документ правительство Новой Зеландии обеспечивает, чтобы законодательство, политика и административная практика страны находились </w:t>
            </w:r>
            <w:r>
              <w:br/>
              <w:t xml:space="preserve">в полном соответствии с обязательствами, содержащимися в этом документе. Таким образом, хотя Новая Зеландия не имеет конкретных положений в законодательстве, касающихся выполнения Конвенции, обязательства правительства в отношении Конвенции были исполнены рядом других законодательных актов, сосредоточивающих внимание на вопросах прав человека, таких как Билль о правах Новой Зеландии 1990 года и Закон о правах человека 1993 года. </w:t>
            </w:r>
          </w:p>
        </w:tc>
      </w:tr>
      <w:tr w:rsidR="00B44C11">
        <w:tblPrEx>
          <w:tblCellMar>
            <w:top w:w="0" w:type="dxa"/>
            <w:bottom w:w="0" w:type="dxa"/>
          </w:tblCellMar>
        </w:tblPrEx>
        <w:tc>
          <w:tcPr>
            <w:tcW w:w="3828" w:type="dxa"/>
          </w:tcPr>
          <w:p w:rsidR="00B44C11" w:rsidRDefault="00B44C11">
            <w:pPr>
              <w:pStyle w:val="a0"/>
              <w:spacing w:before="80" w:after="80"/>
              <w:jc w:val="left"/>
            </w:pPr>
            <w:r>
              <w:t>Государство-участник обращает внимание всех политических партий на их обязанность обеспечить равенство между женщинами и мужчинами в политической жизни (пункт 408)</w:t>
            </w:r>
          </w:p>
        </w:tc>
        <w:tc>
          <w:tcPr>
            <w:tcW w:w="8930" w:type="dxa"/>
          </w:tcPr>
          <w:p w:rsidR="00B44C11" w:rsidRDefault="00B44C11">
            <w:pPr>
              <w:pStyle w:val="a0"/>
              <w:spacing w:before="80" w:after="80"/>
              <w:jc w:val="left"/>
            </w:pPr>
            <w:r>
              <w:t xml:space="preserve">Все политические партии являются независимыми и подчиняются законам Новой Зеландии. Кандидаты на политический пост должны отвечать определенным критериям, установленным Законом о выборах 1993 года. Каждая партия разрабатывает свои правила по выбору кандидатов в парламент. Однако зарегистрированная политическая партия должна иметь демократические правила выбора кандидатов. </w:t>
            </w:r>
          </w:p>
        </w:tc>
      </w:tr>
      <w:tr w:rsidR="00B44C11">
        <w:tblPrEx>
          <w:tblCellMar>
            <w:top w:w="0" w:type="dxa"/>
            <w:bottom w:w="0" w:type="dxa"/>
          </w:tblCellMar>
        </w:tblPrEx>
        <w:tc>
          <w:tcPr>
            <w:tcW w:w="3828" w:type="dxa"/>
          </w:tcPr>
          <w:p w:rsidR="00B44C11" w:rsidRDefault="00B44C11">
            <w:pPr>
              <w:pStyle w:val="a0"/>
              <w:spacing w:before="80" w:after="80"/>
              <w:jc w:val="left"/>
            </w:pPr>
            <w:r>
              <w:t>Государство-участник принимает всеобъемлющую стратегию в целях увеличения числа женщин на должностях, связанных с разработкой политики и принятием решений в государственном секторе, и усиливать свою политику в поддержку действий частного сектора (пункт 408)</w:t>
            </w:r>
          </w:p>
        </w:tc>
        <w:tc>
          <w:tcPr>
            <w:tcW w:w="8930" w:type="dxa"/>
          </w:tcPr>
          <w:p w:rsidR="00B44C11" w:rsidRDefault="00B44C11">
            <w:pPr>
              <w:pStyle w:val="a0"/>
              <w:spacing w:before="80" w:after="80"/>
              <w:jc w:val="left"/>
            </w:pPr>
            <w:r>
              <w:t xml:space="preserve">Правительство поставило задачу достижения 50-процентного представительства женщин в правительственных органах к 2010 году. Служба по вопросам назначений </w:t>
            </w:r>
            <w:r>
              <w:rPr>
                <w:caps/>
              </w:rPr>
              <w:t>м</w:t>
            </w:r>
            <w:r>
              <w:t xml:space="preserve">инистерства по делам женщин собирает информации о женщинах, которые могут быть подходящими кандидатами на посты в правительственные органы. </w:t>
            </w:r>
          </w:p>
          <w:p w:rsidR="00B44C11" w:rsidRDefault="00B44C11">
            <w:pPr>
              <w:pStyle w:val="a0"/>
              <w:spacing w:before="80" w:after="80"/>
              <w:jc w:val="left"/>
            </w:pPr>
            <w:r>
              <w:rPr>
                <w:i/>
              </w:rPr>
              <w:t>Правительственный План действий по обеспечению равенства в оплате труда и занятости</w:t>
            </w:r>
            <w:r>
              <w:t xml:space="preserve"> представляет собой всеобъемлющую стратегию, направленную на обеспечение женщинам равных с мужчинами возможностей работать в государственном секторе и выдвигаться на должности, связанные с принятием решений. План действий может быть расширен для охвата частного сектора. </w:t>
            </w:r>
          </w:p>
        </w:tc>
      </w:tr>
      <w:tr w:rsidR="00B44C11">
        <w:tblPrEx>
          <w:tblCellMar>
            <w:top w:w="0" w:type="dxa"/>
            <w:bottom w:w="0" w:type="dxa"/>
          </w:tblCellMar>
        </w:tblPrEx>
        <w:tc>
          <w:tcPr>
            <w:tcW w:w="3828" w:type="dxa"/>
          </w:tcPr>
          <w:p w:rsidR="00B44C11" w:rsidRDefault="00B44C11">
            <w:pPr>
              <w:pStyle w:val="a0"/>
              <w:spacing w:before="80" w:after="120"/>
              <w:jc w:val="left"/>
            </w:pPr>
            <w:r>
              <w:t>Государство-участник добивается проведения в университетах курса, направленного на создание более благоприятных условий для женщин в целях обеспечении равенства, и государству-участнику пересмотреть план кредитования студентов (пункт 410)</w:t>
            </w:r>
          </w:p>
        </w:tc>
        <w:tc>
          <w:tcPr>
            <w:tcW w:w="8930" w:type="dxa"/>
          </w:tcPr>
          <w:p w:rsidR="00B44C11" w:rsidRDefault="00B44C11">
            <w:pPr>
              <w:pStyle w:val="a0"/>
              <w:spacing w:before="80" w:after="80"/>
              <w:jc w:val="left"/>
            </w:pPr>
            <w:r>
              <w:t>Учебные заведения, такие как университеты, в соответствии с законодательством должны выполнять положения о найме, включая проведение политики равных возможностей в области занятости.</w:t>
            </w:r>
          </w:p>
          <w:p w:rsidR="00B44C11" w:rsidRDefault="00B44C11">
            <w:pPr>
              <w:pStyle w:val="a0"/>
              <w:spacing w:before="0" w:after="0"/>
              <w:jc w:val="left"/>
            </w:pPr>
            <w:r>
              <w:t>С 1 апреля 2006 года правительство введет беспроцентные кредиты для студентов. Это, вероятно, окажет положительное воздействие на женщин, так как им больше не придется сталкиваться с увеличением процентов по кредитам в случае, если они захотят взять отпуск в связи с рождением ребенка или по иным причинам.</w:t>
            </w:r>
          </w:p>
        </w:tc>
      </w:tr>
      <w:tr w:rsidR="00B44C11">
        <w:tblPrEx>
          <w:tblCellMar>
            <w:top w:w="0" w:type="dxa"/>
            <w:bottom w:w="0" w:type="dxa"/>
          </w:tblCellMar>
        </w:tblPrEx>
        <w:tc>
          <w:tcPr>
            <w:tcW w:w="3828" w:type="dxa"/>
          </w:tcPr>
          <w:p w:rsidR="00B44C11" w:rsidRDefault="00B44C11">
            <w:pPr>
              <w:pStyle w:val="a0"/>
              <w:pageBreakBefore/>
              <w:spacing w:after="20"/>
              <w:jc w:val="left"/>
            </w:pPr>
            <w:r>
              <w:t>Государство-участник обеспечивает женщинам и мужчинам равные возможности в государственном и частном секторах, а также государство-участник разрабатывает и осуществляет программы профессиональной подготовки для различных групп безработных женщин (пункт 412)</w:t>
            </w:r>
          </w:p>
        </w:tc>
        <w:tc>
          <w:tcPr>
            <w:tcW w:w="8930" w:type="dxa"/>
          </w:tcPr>
          <w:p w:rsidR="00B44C11" w:rsidRDefault="00B44C11">
            <w:pPr>
              <w:pStyle w:val="a0"/>
              <w:spacing w:after="20"/>
              <w:jc w:val="left"/>
            </w:pPr>
            <w:r>
              <w:t>Правительство продолжает осуществлять меры, направленные на обеспечение равных возможностей в области занятости (РВЗ) в государственном секторе. Комиссия по вопросам государственной службы (КГС) проводит мониторинг РВЗ и представляет доклады, чтобы помочь департаментам государственного сектора определить, где могут потребоваться меры для улучшения обеспечения РВЗ. Правительство также поддерживает усилия по созданию трастового фонда РВЗ, с тем чтобы увеличить РВЗ в частном секторе, в том числе через посредство распространения докладов и тематических исследований в отношении преимуществ найма рабочей силы из различных групп населения, например женщин, выполняющих обязанности по уходу, и пожилые люди.</w:t>
            </w:r>
          </w:p>
          <w:p w:rsidR="00B44C11" w:rsidRDefault="00B44C11">
            <w:pPr>
              <w:pStyle w:val="a0"/>
              <w:spacing w:after="20"/>
              <w:jc w:val="left"/>
            </w:pPr>
            <w:r>
              <w:t>План действий в интересах новозеландских женщин нацелен на расширение участия женщин в занятости, в том числе путем улучшения доступа к уходу за детьми, продления оплачиваемого отпуска по беременности и родам, а также путем осуществления инициативы по увеличению возможностей выбора для родителей и прочих попечителей. Указанная инициатива предназначена для улучшения вариантов выбора работы, предоставляемых родителям, с тем чтобы помочь им сделать выбор, который приведет к наилучшим результатам для них, их детей, бизнеса и общины.</w:t>
            </w:r>
          </w:p>
          <w:p w:rsidR="00B44C11" w:rsidRDefault="00B44C11">
            <w:pPr>
              <w:pStyle w:val="a0"/>
              <w:spacing w:after="120"/>
              <w:jc w:val="left"/>
            </w:pPr>
            <w:r>
              <w:t>Правительство также поддерживает женщин, улучшающих свой выбор в области занятости путем повышения квалификации и профессиональной подготовки. Ряд программ в области подготовки и профессионально-технического обучения ориентированы на оказание помощи безработным женщинам в поисках работы, включая программы "возможности подготовки", разработанные специально для тех, кто ищет работу. Правительственный пакет Job Jolts также предназначен для оказания помощи безработным в нахождении оплачиваемой работы.</w:t>
            </w:r>
          </w:p>
        </w:tc>
      </w:tr>
      <w:tr w:rsidR="00B44C11">
        <w:tblPrEx>
          <w:tblCellMar>
            <w:top w:w="0" w:type="dxa"/>
            <w:bottom w:w="0" w:type="dxa"/>
          </w:tblCellMar>
        </w:tblPrEx>
        <w:tc>
          <w:tcPr>
            <w:tcW w:w="3828" w:type="dxa"/>
          </w:tcPr>
          <w:p w:rsidR="00B44C11" w:rsidRDefault="00B44C11">
            <w:pPr>
              <w:pStyle w:val="a0"/>
              <w:spacing w:after="20"/>
              <w:jc w:val="left"/>
            </w:pPr>
            <w:r>
              <w:t>Государство-участник прилагает усилия для ликвидации профессиональной сегрегации с помощью образования и профессиональной подготовки, применения принципа равной оплаты за труд равной и сопоставимой ценности и добиваться дополнительного увеличения заработной платы в тех сферах занятости, где преобладают женщины (пункт 412).</w:t>
            </w:r>
          </w:p>
        </w:tc>
        <w:tc>
          <w:tcPr>
            <w:tcW w:w="8930" w:type="dxa"/>
          </w:tcPr>
          <w:p w:rsidR="00B44C11" w:rsidRDefault="00B44C11">
            <w:pPr>
              <w:pStyle w:val="a0"/>
              <w:spacing w:after="20"/>
              <w:jc w:val="left"/>
            </w:pPr>
            <w:r>
              <w:t xml:space="preserve">Правительство решает проблему профессиональной сегрегации, возникшую вследствие различий в образовании и профессиональной подготовке путем оказания поддержки женщинам и девушкам в обучении в течение всей жизни, в том числе, путем предоставления более значительной финансовой поддержки студентам высших учебных заведений, внеся изменения в проекты предоставления пособий студентам и студенческих кредитов. Гендерные различия в оплате труда, связанные с профессиональной сегрегацией, решаются путем осуществления </w:t>
            </w:r>
            <w:r>
              <w:rPr>
                <w:i/>
              </w:rPr>
              <w:t>Плана</w:t>
            </w:r>
            <w:r>
              <w:t xml:space="preserve"> </w:t>
            </w:r>
            <w:r>
              <w:rPr>
                <w:i/>
              </w:rPr>
              <w:t>действий по обеспечению равных возможностей в оплате труда и занятости</w:t>
            </w:r>
            <w:r>
              <w:t xml:space="preserve"> и обеспечения равных возможностей в области занятости (РВЗ).</w:t>
            </w:r>
          </w:p>
          <w:p w:rsidR="00B44C11" w:rsidRDefault="00B44C11">
            <w:pPr>
              <w:pStyle w:val="a0"/>
              <w:spacing w:after="120"/>
              <w:jc w:val="left"/>
            </w:pPr>
            <w:r>
              <w:t>Принцип равной оплаты за труд равной ценности по-прежнему включен в законодательство. Ежегодные пересмотры минимальной заработной платы после представления предыдущего доклада привели к увеличению минимальной почасовой оплаты для всех работников. В отчетный период переговоры по вопросам трудовых договоров привели к росту заработной платы для некоторых профессий, в которых преимущественно работают женщины, например для учителей детских дошкольных учреждений.</w:t>
            </w:r>
          </w:p>
        </w:tc>
      </w:tr>
      <w:tr w:rsidR="00B44C11">
        <w:tblPrEx>
          <w:tblCellMar>
            <w:top w:w="0" w:type="dxa"/>
            <w:bottom w:w="0" w:type="dxa"/>
          </w:tblCellMar>
        </w:tblPrEx>
        <w:tc>
          <w:tcPr>
            <w:tcW w:w="3828" w:type="dxa"/>
          </w:tcPr>
          <w:p w:rsidR="00B44C11" w:rsidRDefault="00B44C11">
            <w:pPr>
              <w:pStyle w:val="a0"/>
              <w:pageBreakBefore/>
              <w:spacing w:before="60" w:after="120"/>
              <w:jc w:val="left"/>
            </w:pPr>
            <w:r>
              <w:t xml:space="preserve">Государство-участник дополнительно рассматривает вопрос о внесении поправок в Закон об отпуске по уходу за ребенком и защите занятости (оплачиваемый отпуск по уходу за ребенком) для обеспечения того, чтобы беременность ни при каких обстоятельствах не становилась препятствием для выхода женщин на рынок рабочей силы и чтобы ликвидировать конкретные сроки, необходимые для получения права на оплачиваемый отпуск по уходу за ребенком, и чтобы увеличить льготы, с тем чтобы поощрять мужчин брать отпуск по уходу за ребенком (пункт 412) </w:t>
            </w:r>
          </w:p>
        </w:tc>
        <w:tc>
          <w:tcPr>
            <w:tcW w:w="8930" w:type="dxa"/>
          </w:tcPr>
          <w:p w:rsidR="00B44C11" w:rsidRDefault="00B44C11">
            <w:pPr>
              <w:pStyle w:val="a0"/>
              <w:pageBreakBefore/>
              <w:spacing w:before="60" w:after="120"/>
              <w:jc w:val="left"/>
            </w:pPr>
            <w:r>
              <w:t xml:space="preserve">Правительство улучшило доступ к оплачиваемому отпуску по уходу за ребенком путем увеличения периода оплачиваемого отпуска по уходу за ребенком с 12 до 14 недель и сокращения периода занятости, зачитываемого для начисления пособия, с 12 до 6 месяцев. В соответствии </w:t>
            </w:r>
            <w:r>
              <w:br/>
              <w:t xml:space="preserve">с законопроектом, рассматриваемым в настоящее время Комитетом специального состава, оплачиваемый отпуск по уходу за ребенком с 1 июля 2006 года будет продлен для лиц, работающих не по найму. В Законопроекте также предлагается снизить период, зачитываемый для предоставления родителям второго или последующего отпуска по уходу за ребенком </w:t>
            </w:r>
            <w:r>
              <w:br/>
              <w:t xml:space="preserve">с 12 до 6 месяцев. </w:t>
            </w:r>
          </w:p>
        </w:tc>
      </w:tr>
      <w:tr w:rsidR="00B44C11">
        <w:tblPrEx>
          <w:tblCellMar>
            <w:top w:w="0" w:type="dxa"/>
            <w:bottom w:w="0" w:type="dxa"/>
          </w:tblCellMar>
        </w:tblPrEx>
        <w:tc>
          <w:tcPr>
            <w:tcW w:w="3828" w:type="dxa"/>
          </w:tcPr>
          <w:p w:rsidR="00B44C11" w:rsidRDefault="00B44C11">
            <w:pPr>
              <w:pStyle w:val="a0"/>
              <w:tabs>
                <w:tab w:val="clear" w:pos="567"/>
                <w:tab w:val="left" w:pos="318"/>
              </w:tabs>
              <w:spacing w:before="60" w:after="120"/>
              <w:ind w:left="318" w:hanging="318"/>
              <w:jc w:val="left"/>
            </w:pPr>
            <w:r>
              <w:t>Государство-участник (пункт 414):</w:t>
            </w:r>
          </w:p>
          <w:p w:rsidR="00B44C11" w:rsidRDefault="00B44C11">
            <w:pPr>
              <w:pStyle w:val="a0"/>
              <w:tabs>
                <w:tab w:val="clear" w:pos="567"/>
                <w:tab w:val="left" w:pos="318"/>
              </w:tabs>
              <w:spacing w:before="60" w:after="120"/>
              <w:ind w:left="318" w:hanging="318"/>
              <w:jc w:val="left"/>
            </w:pPr>
            <w:r>
              <w:sym w:font="Symbol" w:char="F0B7"/>
            </w:r>
            <w:r>
              <w:t xml:space="preserve"> </w:t>
            </w:r>
            <w:r>
              <w:tab/>
              <w:t xml:space="preserve">осуществляет мониторинг выполнения Закона о реформировании сферы сексуальных услуг 2003 года и </w:t>
            </w:r>
            <w:r>
              <w:rPr>
                <w:i/>
              </w:rPr>
              <w:t>представить в его следующем докладе</w:t>
            </w:r>
            <w:r>
              <w:t xml:space="preserve"> оценку воздействия этого закона, в частности на тех женщин, которые занимаются проституцией и у которых нет разрешения на жительство, статистическую информацию;</w:t>
            </w:r>
          </w:p>
          <w:p w:rsidR="00B44C11" w:rsidRDefault="00B44C11">
            <w:pPr>
              <w:pStyle w:val="a0"/>
              <w:tabs>
                <w:tab w:val="clear" w:pos="567"/>
                <w:tab w:val="left" w:pos="318"/>
              </w:tabs>
              <w:spacing w:before="60" w:after="120"/>
              <w:ind w:left="318" w:hanging="318"/>
              <w:jc w:val="left"/>
            </w:pPr>
            <w:r>
              <w:sym w:font="Symbol" w:char="F0B7"/>
            </w:r>
            <w:r>
              <w:t xml:space="preserve"> </w:t>
            </w:r>
            <w:r>
              <w:tab/>
              <w:t xml:space="preserve">активизировать усилия, направленные на осуществление профессиональной подготовки и обучение женщин, занимающихся проституцией, с тем чтобы они могли найти альтернативные методы зарабатывать средства к существованию.  </w:t>
            </w:r>
          </w:p>
        </w:tc>
        <w:tc>
          <w:tcPr>
            <w:tcW w:w="8930" w:type="dxa"/>
          </w:tcPr>
          <w:p w:rsidR="00B44C11" w:rsidRDefault="00B44C11">
            <w:pPr>
              <w:pStyle w:val="a0"/>
              <w:spacing w:before="60" w:after="120"/>
              <w:jc w:val="left"/>
            </w:pPr>
            <w:r>
              <w:t xml:space="preserve">Как указано в ответе Новой Зеландии по </w:t>
            </w:r>
            <w:r>
              <w:rPr>
                <w:caps/>
              </w:rPr>
              <w:t>с</w:t>
            </w:r>
            <w:r>
              <w:t xml:space="preserve">татье 6, перед Комитетом по рассмотрению закона о проституции поставлена задача проведения мониторинга и контроля за осуществлением Закона о реформирования сферы сексуальных услуг 2003 года. Это включает представление доклада по вопросу о сфере сексуальных услуг в Новой Зеландии, в том числе о ситуации с женщинами, не имеющими разрешения на жительство. Во втором докладе Комитета будут рассмотрены результаты воздействия закона. Осуществляются также меры для предотвращения ситуации, при которой иммигранты в Новой Зеландии вовлекаются в занятие проституцией. Правительство также предусматривает обучение, с тем чтобы помочь женщинам сферы сексуальных услуг найти себе работу в другой области деятельности. После принятия закона о реформирования сферы сексуальных услуг </w:t>
            </w:r>
            <w:r>
              <w:rPr>
                <w:caps/>
              </w:rPr>
              <w:t>м</w:t>
            </w:r>
            <w:r>
              <w:t>инистерство труда выпустило Справочник о гигиене и охране труда в сфере сексуальных услуг в Новой Зеландии, в котором представлена доступная информация о технике безопасности в этом секторе.</w:t>
            </w:r>
          </w:p>
        </w:tc>
      </w:tr>
      <w:tr w:rsidR="00B44C11">
        <w:tblPrEx>
          <w:tblCellMar>
            <w:top w:w="0" w:type="dxa"/>
            <w:bottom w:w="0" w:type="dxa"/>
          </w:tblCellMar>
        </w:tblPrEx>
        <w:tc>
          <w:tcPr>
            <w:tcW w:w="3828" w:type="dxa"/>
          </w:tcPr>
          <w:p w:rsidR="00B44C11" w:rsidRDefault="00B44C11">
            <w:pPr>
              <w:pStyle w:val="a0"/>
              <w:spacing w:before="120"/>
              <w:jc w:val="left"/>
            </w:pPr>
            <w:r>
              <w:t>Государству-участнику (пункт 416):</w:t>
            </w:r>
          </w:p>
          <w:p w:rsidR="00B44C11" w:rsidRDefault="00B44C11">
            <w:pPr>
              <w:pStyle w:val="a0"/>
              <w:tabs>
                <w:tab w:val="clear" w:pos="567"/>
                <w:tab w:val="left" w:pos="318"/>
              </w:tabs>
              <w:ind w:left="318" w:hanging="318"/>
              <w:jc w:val="left"/>
            </w:pPr>
            <w:r>
              <w:sym w:font="Symbol" w:char="F0B7"/>
            </w:r>
            <w:r>
              <w:tab/>
              <w:t>разработать систему для систематизированного сбора данных о всех формах насилия в отношении женщин;</w:t>
            </w:r>
          </w:p>
          <w:p w:rsidR="00B44C11" w:rsidRDefault="00B44C11">
            <w:pPr>
              <w:pStyle w:val="a0"/>
              <w:tabs>
                <w:tab w:val="clear" w:pos="567"/>
                <w:tab w:val="left" w:pos="318"/>
              </w:tabs>
              <w:ind w:left="318" w:hanging="318"/>
              <w:jc w:val="left"/>
            </w:pPr>
            <w:r>
              <w:sym w:font="Symbol" w:char="F0B7"/>
            </w:r>
            <w:r>
              <w:tab/>
              <w:t>обеспечить судебное преследование за все акты насилия в отношении женщин и наказание за них;</w:t>
            </w:r>
          </w:p>
          <w:p w:rsidR="00B44C11" w:rsidRDefault="00B44C11">
            <w:pPr>
              <w:pStyle w:val="a0"/>
              <w:tabs>
                <w:tab w:val="clear" w:pos="567"/>
                <w:tab w:val="left" w:pos="318"/>
              </w:tabs>
              <w:ind w:left="318" w:hanging="318"/>
              <w:jc w:val="left"/>
            </w:pPr>
            <w:r>
              <w:sym w:font="Symbol" w:char="F0B7"/>
            </w:r>
            <w:r>
              <w:tab/>
              <w:t>представить в его следующем докладе информацию о числе случаев насилия, о которых сообщалось в полицию и другие соответствующие органы, а также о числе вынесенных обвинительных приговоров;</w:t>
            </w:r>
          </w:p>
          <w:p w:rsidR="00B44C11" w:rsidRDefault="00B44C11">
            <w:pPr>
              <w:pStyle w:val="a0"/>
              <w:tabs>
                <w:tab w:val="clear" w:pos="567"/>
                <w:tab w:val="left" w:pos="318"/>
              </w:tabs>
              <w:ind w:left="318" w:hanging="318"/>
              <w:jc w:val="left"/>
            </w:pPr>
            <w:r>
              <w:sym w:font="Symbol" w:char="F0B7"/>
            </w:r>
            <w:r>
              <w:t xml:space="preserve"> </w:t>
            </w:r>
            <w:r>
              <w:tab/>
              <w:t>увеличить число приютов для женщин, ставших жертвами насилия;</w:t>
            </w:r>
          </w:p>
          <w:p w:rsidR="00B44C11" w:rsidRDefault="00B44C11">
            <w:pPr>
              <w:pStyle w:val="a0"/>
              <w:tabs>
                <w:tab w:val="clear" w:pos="567"/>
                <w:tab w:val="left" w:pos="318"/>
              </w:tabs>
              <w:ind w:left="318" w:hanging="318"/>
              <w:jc w:val="left"/>
            </w:pPr>
            <w:r>
              <w:sym w:font="Symbol" w:char="F0B7"/>
            </w:r>
            <w:r>
              <w:tab/>
              <w:t>добиваться, чтобы государственные должностные лица самым внимательным образом относились ко всем формам насилия в отношении женщин;</w:t>
            </w:r>
          </w:p>
          <w:p w:rsidR="00B44C11" w:rsidRDefault="00B44C11">
            <w:pPr>
              <w:pStyle w:val="a0"/>
              <w:tabs>
                <w:tab w:val="clear" w:pos="567"/>
                <w:tab w:val="left" w:pos="318"/>
              </w:tabs>
              <w:spacing w:after="120"/>
              <w:ind w:left="318" w:hanging="318"/>
              <w:jc w:val="left"/>
            </w:pPr>
            <w:r>
              <w:sym w:font="Symbol" w:char="F0B7"/>
            </w:r>
            <w:r>
              <w:tab/>
              <w:t xml:space="preserve">распространять в обществе информацию о насилии в отношении женщин как посягательстве на человека женщин, которое имеет серьезные социальные последствия для всего общества. </w:t>
            </w:r>
          </w:p>
        </w:tc>
        <w:tc>
          <w:tcPr>
            <w:tcW w:w="8930" w:type="dxa"/>
          </w:tcPr>
          <w:p w:rsidR="00B44C11" w:rsidRDefault="00B44C11">
            <w:pPr>
              <w:pStyle w:val="a0"/>
              <w:spacing w:before="120"/>
              <w:jc w:val="left"/>
            </w:pPr>
            <w:r>
              <w:t xml:space="preserve">Насилие в отношении женщин преследуется в судебном порядке в соответствии с Законом о преступлениях 1961 года и Законом о насилии в семье 1995 года. Статистические данные о случаях насилия в отношении женщин представлены по Статье 16: Брак и семейная жизнь. </w:t>
            </w:r>
          </w:p>
          <w:p w:rsidR="00B44C11" w:rsidRDefault="00B44C11">
            <w:pPr>
              <w:pStyle w:val="a0"/>
              <w:jc w:val="left"/>
            </w:pPr>
            <w:r>
              <w:t xml:space="preserve">Правительство создало группу на уровне министров для осуществления руководства в государственном секторе в деле ликвидации насилия в отношении женщин. Усилия, направленные на искоренение насилия в отношении женщин, осуществляются в рамках двух стратегий: </w:t>
            </w:r>
            <w:r>
              <w:rPr>
                <w:i/>
              </w:rPr>
              <w:t>Те Рито: Стратегия предотвращения насилия в семье</w:t>
            </w:r>
            <w:r>
              <w:t xml:space="preserve"> и </w:t>
            </w:r>
            <w:r>
              <w:rPr>
                <w:i/>
              </w:rPr>
              <w:t>Стратегия сокращения масштабов преступности</w:t>
            </w:r>
            <w:r>
              <w:t xml:space="preserve">. Эти механизмы подкрепляются двумя планами действий: </w:t>
            </w:r>
            <w:r>
              <w:rPr>
                <w:i/>
              </w:rPr>
              <w:t>План действий против насилия в семье</w:t>
            </w:r>
            <w:r>
              <w:t xml:space="preserve"> и </w:t>
            </w:r>
            <w:r>
              <w:rPr>
                <w:i/>
              </w:rPr>
              <w:t>План действий по снижению уровня насилия в общинах и сексуального насилия</w:t>
            </w:r>
            <w:r>
              <w:t>. Помимо прочего, эти планы обеспечивают систематический сбор данных о насилии в отношении женщин и включают действия по повышению информированности общественности относительно необходимости ликвидации насилия в отношении женщин. Программа мер по предотвращению насилия в семье направлена на то, чтобы государственные должностные лица внимательно относились ко всем формам насилия в отношении женщин.</w:t>
            </w:r>
          </w:p>
        </w:tc>
      </w:tr>
      <w:tr w:rsidR="00B44C11">
        <w:tblPrEx>
          <w:tblCellMar>
            <w:top w:w="0" w:type="dxa"/>
            <w:bottom w:w="0" w:type="dxa"/>
          </w:tblCellMar>
        </w:tblPrEx>
        <w:tc>
          <w:tcPr>
            <w:tcW w:w="3828" w:type="dxa"/>
            <w:tcBorders>
              <w:bottom w:val="single" w:sz="4" w:space="0" w:color="auto"/>
            </w:tcBorders>
          </w:tcPr>
          <w:p w:rsidR="00B44C11" w:rsidRDefault="00B44C11">
            <w:pPr>
              <w:pStyle w:val="a0"/>
              <w:spacing w:before="120" w:after="120"/>
              <w:jc w:val="left"/>
            </w:pPr>
            <w:r>
              <w:t>Государству-участнику принять меры для обеспечения того, чтобы женщины, которые подают жалобы на сексуальные домогательства, имели юридическое право сохранить свою работу (пункт 418)</w:t>
            </w:r>
          </w:p>
        </w:tc>
        <w:tc>
          <w:tcPr>
            <w:tcW w:w="8930" w:type="dxa"/>
            <w:tcBorders>
              <w:bottom w:val="single" w:sz="4" w:space="0" w:color="auto"/>
            </w:tcBorders>
          </w:tcPr>
          <w:p w:rsidR="00B44C11" w:rsidRDefault="00B44C11">
            <w:pPr>
              <w:pStyle w:val="a0"/>
              <w:spacing w:before="120" w:after="120"/>
              <w:jc w:val="left"/>
            </w:pPr>
            <w:r>
              <w:t xml:space="preserve">В соответствии с Законом об отношениях в сфере занятости 2000 года в случае, если работники полагают, что они были несправедливо уволены, например, по причине подачи жалобы на сексуальные домогательства, они могут подать иск в суд против нанимателя по причине вреда для личности. В случае удовлетворения иска по причине вреда для личности, средства судебной защиты могут включать восстановление на прежнем месте работы и финансовую компенсацию. </w:t>
            </w:r>
          </w:p>
        </w:tc>
      </w:tr>
      <w:tr w:rsidR="00B44C11">
        <w:tblPrEx>
          <w:tblCellMar>
            <w:top w:w="0" w:type="dxa"/>
            <w:bottom w:w="0" w:type="dxa"/>
          </w:tblCellMar>
        </w:tblPrEx>
        <w:tc>
          <w:tcPr>
            <w:tcW w:w="3828" w:type="dxa"/>
            <w:tcBorders>
              <w:bottom w:val="nil"/>
            </w:tcBorders>
          </w:tcPr>
          <w:p w:rsidR="00B44C11" w:rsidRDefault="00B44C11">
            <w:pPr>
              <w:pStyle w:val="a0"/>
              <w:pageBreakBefore/>
              <w:spacing w:before="120"/>
              <w:jc w:val="left"/>
            </w:pPr>
            <w:r>
              <w:t>Государство-участник принимает меры к снижению для женщин порога доступа к юридическим услугам, в частности путем создания соответствующей системы правовой помощи (пункт 420)</w:t>
            </w:r>
          </w:p>
        </w:tc>
        <w:tc>
          <w:tcPr>
            <w:tcW w:w="8930" w:type="dxa"/>
            <w:tcBorders>
              <w:bottom w:val="nil"/>
            </w:tcBorders>
          </w:tcPr>
          <w:p w:rsidR="00B44C11" w:rsidRDefault="00B44C11">
            <w:pPr>
              <w:pStyle w:val="a0"/>
              <w:spacing w:before="120" w:after="120"/>
              <w:jc w:val="left"/>
            </w:pPr>
            <w:r>
              <w:t xml:space="preserve">В Новой Зеландии оказание правовой помощи находится в ведении Агентства юридических услуг – государственного учреждения, созданного на основании Закона о юридических услугах 2000 года. Агентство содействует доступу к правосудию путем оказания юридических услуг, включая правовую помощь людям, которые больше всего нуждаются в них и у которых нет достаточных средств для оплаты этих услуг. </w:t>
            </w:r>
          </w:p>
        </w:tc>
      </w:tr>
      <w:tr w:rsidR="00B44C11">
        <w:tblPrEx>
          <w:tblCellMar>
            <w:top w:w="0" w:type="dxa"/>
            <w:bottom w:w="0" w:type="dxa"/>
          </w:tblCellMar>
        </w:tblPrEx>
        <w:tc>
          <w:tcPr>
            <w:tcW w:w="3828" w:type="dxa"/>
            <w:tcBorders>
              <w:top w:val="nil"/>
            </w:tcBorders>
          </w:tcPr>
          <w:p w:rsidR="00B44C11" w:rsidRDefault="00B44C11">
            <w:pPr>
              <w:pStyle w:val="a0"/>
              <w:spacing w:before="120"/>
              <w:jc w:val="left"/>
            </w:pPr>
          </w:p>
        </w:tc>
        <w:tc>
          <w:tcPr>
            <w:tcW w:w="8930" w:type="dxa"/>
            <w:tcBorders>
              <w:top w:val="nil"/>
            </w:tcBorders>
          </w:tcPr>
          <w:p w:rsidR="00B44C11" w:rsidRDefault="00B44C11">
            <w:pPr>
              <w:pStyle w:val="a0"/>
              <w:spacing w:before="0"/>
              <w:jc w:val="left"/>
            </w:pPr>
            <w:r>
              <w:t>Правительство будет улучшать доступность к правовой помощи в соответствии с Законопроектом № 2 о внесении поправок в Закон о юридических услугах. Внесение изменений в законопроект, включая увеличение максимального предела дохода для получения права на правовую помощь, увеличит число новозеландцев, потенциально имеющих право на получение правовой помощи: с 765 тыс. в настоящее до 1,2 млн. человек.</w:t>
            </w:r>
          </w:p>
        </w:tc>
      </w:tr>
      <w:tr w:rsidR="00B44C11">
        <w:tblPrEx>
          <w:tblCellMar>
            <w:top w:w="0" w:type="dxa"/>
            <w:bottom w:w="0" w:type="dxa"/>
          </w:tblCellMar>
        </w:tblPrEx>
        <w:tc>
          <w:tcPr>
            <w:tcW w:w="3828" w:type="dxa"/>
          </w:tcPr>
          <w:p w:rsidR="00B44C11" w:rsidRDefault="00B44C11">
            <w:pPr>
              <w:pStyle w:val="a0"/>
              <w:tabs>
                <w:tab w:val="clear" w:pos="567"/>
                <w:tab w:val="left" w:pos="318"/>
              </w:tabs>
              <w:spacing w:before="120"/>
              <w:jc w:val="left"/>
            </w:pPr>
            <w:r>
              <w:t>Государство-участник (пункт 422):</w:t>
            </w:r>
          </w:p>
          <w:p w:rsidR="00B44C11" w:rsidRDefault="00B44C11">
            <w:pPr>
              <w:pStyle w:val="a0"/>
              <w:tabs>
                <w:tab w:val="clear" w:pos="567"/>
                <w:tab w:val="left" w:pos="318"/>
              </w:tabs>
              <w:ind w:left="318" w:hanging="318"/>
              <w:jc w:val="left"/>
            </w:pPr>
            <w:r>
              <w:sym w:font="Symbol" w:char="F0B7"/>
            </w:r>
            <w:r>
              <w:tab/>
              <w:t>предпринимает надлежащие меры для обеспечения того, чтобы женщины-инвалиды не страдали от дискриминации, в частности в области занятости и получения медико-санитарной помощи и кредитов;</w:t>
            </w:r>
          </w:p>
          <w:p w:rsidR="00B44C11" w:rsidRDefault="00B44C11">
            <w:pPr>
              <w:pStyle w:val="a0"/>
              <w:tabs>
                <w:tab w:val="clear" w:pos="567"/>
                <w:tab w:val="left" w:pos="318"/>
              </w:tabs>
              <w:ind w:left="318" w:hanging="318"/>
              <w:jc w:val="left"/>
            </w:pPr>
            <w:r>
              <w:sym w:font="Symbol" w:char="F0B7"/>
            </w:r>
            <w:r>
              <w:tab/>
              <w:t>обращает внимание на положение замужних женщин-инвалидов, с тем чтобы обеспечить их экономическую независимость.</w:t>
            </w:r>
          </w:p>
        </w:tc>
        <w:tc>
          <w:tcPr>
            <w:tcW w:w="8930" w:type="dxa"/>
          </w:tcPr>
          <w:p w:rsidR="00B44C11" w:rsidRDefault="00B44C11">
            <w:pPr>
              <w:pStyle w:val="a0"/>
              <w:pageBreakBefore/>
              <w:spacing w:before="120"/>
              <w:jc w:val="left"/>
            </w:pPr>
            <w:r>
              <w:t>Закон о правах человека 1993 года запрещает дискриминацию на основе инвалидности за исключением ограниченного числа обстоятельств, которые могут повлечь риск причинения вреда. Однако даже в случае существования ограниченного числа обстоятельств дискриминация может считаться противоречащей закону, если бы могли быть предприняты разумные шаги или меры с учетом инвалидности определенного лица.</w:t>
            </w:r>
          </w:p>
          <w:p w:rsidR="00B44C11" w:rsidRDefault="00B44C11">
            <w:pPr>
              <w:pStyle w:val="a0"/>
              <w:spacing w:after="120"/>
              <w:jc w:val="left"/>
            </w:pPr>
            <w:r>
              <w:t xml:space="preserve">Министерство по делам женщин совместно с Управлением по вопросам инвалидности принимает меры для поддержки участия женщин-инвалидов во всех сферах жизни, в том числе путем снятия препятствий к такому участию. Эта работа основывается на </w:t>
            </w:r>
            <w:r>
              <w:rPr>
                <w:i/>
              </w:rPr>
              <w:t>Стратегии Новой Зеландии в области инвалидности</w:t>
            </w:r>
            <w:r>
              <w:t xml:space="preserve">. Со времени представления последнего доклада в рамках указанной стратегии были внесены инициативы, направленные на расширение участия инвалидов в занятости, высшем образовании и доступе к услугам в области здравоохранения. Правительство также создает новую службу для получателей пособий по болезни и инвалидности, направленную на оказание помощи инвалидам в устройстве на работу. Так же, как и для всех женщин, возможность получить оплачиваемую работу окажет положительное воздействие на экономическую независимость женщин-инвалидов.  </w:t>
            </w:r>
          </w:p>
        </w:tc>
      </w:tr>
    </w:tbl>
    <w:p w:rsidR="00B44C11" w:rsidRDefault="00B44C11">
      <w:pPr>
        <w:pStyle w:val="RightPar1a"/>
        <w:widowControl/>
        <w:tabs>
          <w:tab w:val="clear" w:pos="-720"/>
          <w:tab w:val="clear" w:pos="0"/>
          <w:tab w:val="clear" w:pos="288"/>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567"/>
          <w:tab w:val="left" w:pos="907"/>
          <w:tab w:val="left" w:pos="1247"/>
          <w:tab w:val="left" w:pos="1588"/>
        </w:tabs>
        <w:suppressAutoHyphens w:val="0"/>
        <w:autoSpaceDE/>
        <w:autoSpaceDN/>
        <w:adjustRightInd/>
        <w:spacing w:after="240" w:line="240" w:lineRule="auto"/>
        <w:rPr>
          <w:kern w:val="14"/>
          <w:lang w:val="ru-RU" w:eastAsia="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8930"/>
      </w:tblGrid>
      <w:tr w:rsidR="00B44C11">
        <w:tblPrEx>
          <w:tblCellMar>
            <w:top w:w="0" w:type="dxa"/>
            <w:bottom w:w="0" w:type="dxa"/>
          </w:tblCellMar>
        </w:tblPrEx>
        <w:trPr>
          <w:tblHeader/>
        </w:trPr>
        <w:tc>
          <w:tcPr>
            <w:tcW w:w="3828" w:type="dxa"/>
            <w:shd w:val="clear" w:color="auto" w:fill="C0C0C0"/>
          </w:tcPr>
          <w:p w:rsidR="00B44C11" w:rsidRDefault="00B44C11">
            <w:pPr>
              <w:pStyle w:val="a0"/>
              <w:pageBreakBefore/>
              <w:jc w:val="left"/>
              <w:rPr>
                <w:b/>
              </w:rPr>
            </w:pPr>
            <w:r>
              <w:rPr>
                <w:b/>
              </w:rPr>
              <w:t>Рекомендация</w:t>
            </w:r>
          </w:p>
        </w:tc>
        <w:tc>
          <w:tcPr>
            <w:tcW w:w="8930" w:type="dxa"/>
            <w:shd w:val="clear" w:color="auto" w:fill="C0C0C0"/>
          </w:tcPr>
          <w:p w:rsidR="00B44C11" w:rsidRDefault="00B44C11">
            <w:pPr>
              <w:pStyle w:val="a0"/>
              <w:pageBreakBefore/>
              <w:jc w:val="left"/>
              <w:rPr>
                <w:b/>
              </w:rPr>
            </w:pPr>
            <w:r>
              <w:rPr>
                <w:b/>
              </w:rPr>
              <w:t>Ответ</w:t>
            </w:r>
          </w:p>
        </w:tc>
      </w:tr>
      <w:tr w:rsidR="00B44C11">
        <w:tblPrEx>
          <w:tblCellMar>
            <w:top w:w="0" w:type="dxa"/>
            <w:bottom w:w="0" w:type="dxa"/>
          </w:tblCellMar>
        </w:tblPrEx>
        <w:tc>
          <w:tcPr>
            <w:tcW w:w="3828" w:type="dxa"/>
          </w:tcPr>
          <w:p w:rsidR="00B44C11" w:rsidRDefault="00B44C11">
            <w:pPr>
              <w:pStyle w:val="a0"/>
              <w:tabs>
                <w:tab w:val="clear" w:pos="567"/>
                <w:tab w:val="left" w:pos="318"/>
              </w:tabs>
              <w:spacing w:before="120"/>
              <w:ind w:left="318" w:hanging="318"/>
              <w:jc w:val="left"/>
            </w:pPr>
            <w:r>
              <w:t xml:space="preserve">Государство-участник (пункт 424): </w:t>
            </w:r>
          </w:p>
          <w:p w:rsidR="00B44C11" w:rsidRDefault="00B44C11">
            <w:pPr>
              <w:pStyle w:val="a0"/>
              <w:tabs>
                <w:tab w:val="clear" w:pos="567"/>
                <w:tab w:val="left" w:pos="318"/>
              </w:tabs>
              <w:ind w:left="318" w:hanging="318"/>
              <w:jc w:val="left"/>
            </w:pPr>
            <w:r>
              <w:sym w:font="Symbol" w:char="F0B7"/>
            </w:r>
            <w:r>
              <w:tab/>
              <w:t xml:space="preserve">настоятельно призывается продолжать осуществление "Договора Вайтанги" и следить за воздействием мер, принимаемых в рамках программы "Сокращение неравенства", в частности в социальной, экономической и политической областях и в сфере уголовного правосудия; </w:t>
            </w:r>
          </w:p>
          <w:p w:rsidR="00B44C11" w:rsidRDefault="00B44C11">
            <w:pPr>
              <w:pStyle w:val="a0"/>
              <w:tabs>
                <w:tab w:val="clear" w:pos="567"/>
                <w:tab w:val="left" w:pos="318"/>
              </w:tabs>
              <w:spacing w:after="120"/>
              <w:ind w:left="318" w:hanging="318"/>
              <w:jc w:val="left"/>
            </w:pPr>
            <w:r>
              <w:sym w:font="Symbol" w:char="F0B7"/>
            </w:r>
            <w:r>
              <w:tab/>
              <w:t>Государство-участник принимает целенаправленные меры в ответ на потребности женщин и девочек из числа маори и тихоокеанских народностей и продолжает инвестировать средства в эти группы с учетом их лингвистических и культурных интересов.</w:t>
            </w:r>
          </w:p>
        </w:tc>
        <w:tc>
          <w:tcPr>
            <w:tcW w:w="8930" w:type="dxa"/>
          </w:tcPr>
          <w:p w:rsidR="00B44C11" w:rsidRDefault="00B44C11">
            <w:pPr>
              <w:pStyle w:val="a0"/>
              <w:spacing w:before="120"/>
              <w:jc w:val="left"/>
            </w:pPr>
            <w:r>
              <w:t>Правительство берет на себя обязательства по улучшению положения маори и тихоокеанских народностей Новой Зеландии. Те Пуни Кокири (</w:t>
            </w:r>
            <w:r>
              <w:rPr>
                <w:caps/>
              </w:rPr>
              <w:t>м</w:t>
            </w:r>
            <w:r>
              <w:t xml:space="preserve">инистерство по вопросам развития маори) и </w:t>
            </w:r>
            <w:r>
              <w:rPr>
                <w:caps/>
              </w:rPr>
              <w:t>м</w:t>
            </w:r>
            <w:r>
              <w:t>инистерство по делам тихоокеанских островов уделяют особое внимание продвижению в области социального и экономического развития маори и тихоокеанских народностей, соответственно. Помимо этого, в ряде секторов, включая здравоохранение и образование, отличаются конкретные стратегии, направленные на улучшение результатов, касающихся положения маори и тихоокеанских народностей. Договор Вайтанги продолжает оставаться важным документом, способствующим развитию маори.</w:t>
            </w:r>
          </w:p>
          <w:p w:rsidR="00B44C11" w:rsidRDefault="00B44C11">
            <w:pPr>
              <w:pStyle w:val="a0"/>
              <w:jc w:val="left"/>
            </w:pPr>
            <w:r>
              <w:t xml:space="preserve">В </w:t>
            </w:r>
            <w:r>
              <w:rPr>
                <w:i/>
              </w:rPr>
              <w:t>Докладе о социальном положении</w:t>
            </w:r>
            <w:r>
              <w:t>, публикуемом ежегодно с 2002 года, проводится мониторинг ряда показателей социального благосостояния и обеспечивается основа для определения правительством, насколько хорошо оно работает в целях улучшения жизни людей и снижения уровня неравенства. Многие показатели, в том числе в сфере образования, занятости и здравоохранения, дезагрегированы по этническому признаку, что позволяет проводить мониторинг, в частности по маори и тихоокеанским народностям.</w:t>
            </w:r>
          </w:p>
          <w:p w:rsidR="00B44C11" w:rsidRDefault="00B44C11">
            <w:pPr>
              <w:pStyle w:val="a0"/>
              <w:spacing w:after="120"/>
              <w:jc w:val="left"/>
            </w:pPr>
            <w:r>
              <w:t xml:space="preserve">Недавно правительство рассмотрело применение целенаправленных мер для развития и защиты определенных этнических групп. Может быть продолжено принятие мер, предназначенных для этнических групп, при соблюдении определенных условий, включая наличие определяемой потребности и этнической принадлежности как индикатора этой потребности. </w:t>
            </w:r>
          </w:p>
        </w:tc>
      </w:tr>
    </w:tbl>
    <w:p w:rsidR="00B44C11" w:rsidRDefault="00B44C11">
      <w:pPr>
        <w:jc w:val="lef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8222"/>
      </w:tblGrid>
      <w:tr w:rsidR="00B44C11">
        <w:tblPrEx>
          <w:tblCellMar>
            <w:top w:w="0" w:type="dxa"/>
            <w:bottom w:w="0" w:type="dxa"/>
          </w:tblCellMar>
        </w:tblPrEx>
        <w:trPr>
          <w:tblHeader/>
        </w:trPr>
        <w:tc>
          <w:tcPr>
            <w:tcW w:w="4536" w:type="dxa"/>
            <w:shd w:val="clear" w:color="auto" w:fill="C0C0C0"/>
          </w:tcPr>
          <w:p w:rsidR="00B44C11" w:rsidRDefault="00B44C11">
            <w:pPr>
              <w:pStyle w:val="a0"/>
              <w:pageBreakBefore/>
              <w:jc w:val="left"/>
              <w:rPr>
                <w:b/>
              </w:rPr>
            </w:pPr>
            <w:r>
              <w:rPr>
                <w:b/>
              </w:rPr>
              <w:t>Рекомендация</w:t>
            </w:r>
          </w:p>
        </w:tc>
        <w:tc>
          <w:tcPr>
            <w:tcW w:w="8222" w:type="dxa"/>
            <w:shd w:val="clear" w:color="auto" w:fill="C0C0C0"/>
          </w:tcPr>
          <w:p w:rsidR="00B44C11" w:rsidRDefault="00B44C11">
            <w:pPr>
              <w:pStyle w:val="a0"/>
              <w:pageBreakBefore/>
              <w:jc w:val="left"/>
              <w:rPr>
                <w:b/>
              </w:rPr>
            </w:pPr>
            <w:r>
              <w:rPr>
                <w:b/>
              </w:rPr>
              <w:t>Ответ</w:t>
            </w:r>
          </w:p>
        </w:tc>
      </w:tr>
      <w:tr w:rsidR="00B44C11">
        <w:tblPrEx>
          <w:tblCellMar>
            <w:top w:w="0" w:type="dxa"/>
            <w:bottom w:w="0" w:type="dxa"/>
          </w:tblCellMar>
        </w:tblPrEx>
        <w:tc>
          <w:tcPr>
            <w:tcW w:w="4536" w:type="dxa"/>
          </w:tcPr>
          <w:p w:rsidR="00B44C11" w:rsidRDefault="00B44C11">
            <w:pPr>
              <w:pStyle w:val="a0"/>
              <w:jc w:val="left"/>
            </w:pPr>
            <w:r>
              <w:t xml:space="preserve">Государство-участник (пункт 426): </w:t>
            </w:r>
          </w:p>
          <w:p w:rsidR="00B44C11" w:rsidRDefault="00B44C11">
            <w:pPr>
              <w:pStyle w:val="a0"/>
              <w:tabs>
                <w:tab w:val="clear" w:pos="567"/>
                <w:tab w:val="left" w:pos="318"/>
              </w:tabs>
              <w:ind w:left="318" w:hanging="318"/>
              <w:jc w:val="left"/>
            </w:pPr>
            <w:r>
              <w:sym w:font="Symbol" w:char="F0B7"/>
            </w:r>
            <w:r>
              <w:tab/>
              <w:t>принимает эффективные меры для ликвидации дискриминации в отношении женщин и девочек из числа беженцев, мигрантов и меньшинств;</w:t>
            </w:r>
          </w:p>
          <w:p w:rsidR="00B44C11" w:rsidRDefault="00B44C11">
            <w:pPr>
              <w:pStyle w:val="a0"/>
              <w:tabs>
                <w:tab w:val="clear" w:pos="567"/>
                <w:tab w:val="left" w:pos="318"/>
              </w:tabs>
              <w:ind w:left="318" w:hanging="318"/>
              <w:jc w:val="left"/>
            </w:pPr>
            <w:r>
              <w:sym w:font="Symbol" w:char="F0B7"/>
            </w:r>
            <w:r>
              <w:tab/>
              <w:t>активизирует его усилия по борьбе с ксенофобией и расизмом в Новой Зеландии;</w:t>
            </w:r>
          </w:p>
          <w:p w:rsidR="00B44C11" w:rsidRDefault="00B44C11">
            <w:pPr>
              <w:pStyle w:val="a0"/>
              <w:tabs>
                <w:tab w:val="clear" w:pos="567"/>
                <w:tab w:val="left" w:pos="318"/>
              </w:tabs>
              <w:spacing w:after="120"/>
              <w:ind w:left="318" w:hanging="318"/>
              <w:jc w:val="left"/>
            </w:pPr>
            <w:r>
              <w:sym w:font="Symbol" w:char="F0B7"/>
            </w:r>
            <w:r>
              <w:tab/>
              <w:t xml:space="preserve">придерживается более инициативного подхода в его мерах по предупреждению дискриминации в отношении таких женщин и девочек в их общинах и в обществе в целом, борется с насилием в отношении них и повышает их информированность о наличии социальных услуг и средств правовой защиты, а также учитывает их потребности в том, что касается образования, занятости и медико-санитарного обслуживания. Государству-участнику рекомендуется также представить в своем следующем докладе более конкретную и аналитическую информацию, а также дезагрегированные данные по этим вопросам. </w:t>
            </w:r>
          </w:p>
        </w:tc>
        <w:tc>
          <w:tcPr>
            <w:tcW w:w="8222" w:type="dxa"/>
          </w:tcPr>
          <w:p w:rsidR="00B44C11" w:rsidRDefault="00B44C11">
            <w:pPr>
              <w:pStyle w:val="a0"/>
              <w:jc w:val="left"/>
            </w:pPr>
            <w:r>
              <w:t>Меры, направленные на ликвидацию расовой дискриминации и ксенофобии, обсуждались в докладах, представленных правительством Новой Зеландии Комитету Организации Объединенных Наций по ликвидации расовой дискриминации.</w:t>
            </w:r>
          </w:p>
          <w:p w:rsidR="00B44C11" w:rsidRDefault="00B44C11">
            <w:pPr>
              <w:pStyle w:val="a0"/>
              <w:jc w:val="left"/>
            </w:pPr>
            <w:r>
              <w:t>Правительство принимает на себя обязательства по удовлетворению особенных потребностей беженцев и мигрантов. Управление по делам этнических групп работает со всеми этническими группами, включая мигрантов и беженцев, с целью улучшения понимания правительством, а также его реагирования на вопросы, вызывающие озабоченность этнических групп. Управление также повышает информированность беженцев и мигрантов о предоставляемых им государственных услугах.</w:t>
            </w:r>
          </w:p>
          <w:p w:rsidR="00B44C11" w:rsidRDefault="00B44C11">
            <w:pPr>
              <w:pStyle w:val="a0"/>
              <w:jc w:val="left"/>
            </w:pPr>
            <w:r>
              <w:t xml:space="preserve">Правительство также поддерживает интегрирование беженцев и мигрантов в новозеландское общество путем реализации </w:t>
            </w:r>
            <w:r>
              <w:rPr>
                <w:i/>
              </w:rPr>
              <w:t>Новозеландской стратегии ассимиляции</w:t>
            </w:r>
            <w:r>
              <w:t>. Стратегия направлена на достижение успешных результатов ассимиляции беженцев, мигрантов и их семей в ряде районов, включая обеспечение занятости, обучения английскому языку и доступа к информации и услугам. Правительство будет собирать данные об опыте ассимиляции беженцев путем проведения продольного иммиграционного обследования в Новой Зеландии и будет использовать результаты этого обследования для улучшения политики в области ассимиляции.</w:t>
            </w:r>
          </w:p>
        </w:tc>
      </w:tr>
      <w:tr w:rsidR="00B44C11">
        <w:tblPrEx>
          <w:tblCellMar>
            <w:top w:w="0" w:type="dxa"/>
            <w:bottom w:w="0" w:type="dxa"/>
          </w:tblCellMar>
        </w:tblPrEx>
        <w:tc>
          <w:tcPr>
            <w:tcW w:w="4536" w:type="dxa"/>
          </w:tcPr>
          <w:p w:rsidR="00B44C11" w:rsidRDefault="00B44C11">
            <w:pPr>
              <w:pStyle w:val="a0"/>
              <w:spacing w:before="120" w:after="120"/>
              <w:jc w:val="left"/>
            </w:pPr>
            <w:r>
              <w:t>Государство-участник настоятельно призывается установить контакт с правительством Островов Кука в связи с обязательством государств-участников по статье 18 Конвенции относительно представления первоначальных и периодических докладов об осуществлении Конвенции (пункт 427)</w:t>
            </w:r>
          </w:p>
        </w:tc>
        <w:tc>
          <w:tcPr>
            <w:tcW w:w="8222" w:type="dxa"/>
          </w:tcPr>
          <w:p w:rsidR="00B44C11" w:rsidRDefault="00B44C11">
            <w:pPr>
              <w:pStyle w:val="a0"/>
              <w:spacing w:before="120"/>
              <w:jc w:val="left"/>
            </w:pPr>
            <w:r>
              <w:t>В рамках своей двусторонней программы содействия развитию Новая Зеландия оказывала помощь Островам Кука в отношении выполнения ими обязательств по представлению докладов о выполнении Конвенции.</w:t>
            </w:r>
          </w:p>
          <w:p w:rsidR="00B44C11" w:rsidRDefault="00B44C11">
            <w:pPr>
              <w:pStyle w:val="a0"/>
              <w:spacing w:after="120"/>
              <w:jc w:val="left"/>
            </w:pPr>
            <w:r>
              <w:t xml:space="preserve">Первоначальный доклад Островов Кука подготовлен и в настоящее время проходит процедуру утверждения правительством Островов Кука. </w:t>
            </w:r>
          </w:p>
        </w:tc>
      </w:tr>
      <w:tr w:rsidR="00B44C11">
        <w:tblPrEx>
          <w:tblCellMar>
            <w:top w:w="0" w:type="dxa"/>
            <w:bottom w:w="0" w:type="dxa"/>
          </w:tblCellMar>
        </w:tblPrEx>
        <w:tc>
          <w:tcPr>
            <w:tcW w:w="4536" w:type="dxa"/>
          </w:tcPr>
          <w:p w:rsidR="00B44C11" w:rsidRDefault="00B44C11">
            <w:pPr>
              <w:pStyle w:val="a0"/>
              <w:spacing w:before="120" w:after="120"/>
              <w:jc w:val="left"/>
            </w:pPr>
            <w:r>
              <w:t xml:space="preserve">Государство-участник настоятельно призывается ускорить принятие мер, необходимых для снятия его сохраняющейся оговорки в отношении Конвенции (пункт 428) </w:t>
            </w:r>
          </w:p>
        </w:tc>
        <w:tc>
          <w:tcPr>
            <w:tcW w:w="8222" w:type="dxa"/>
          </w:tcPr>
          <w:p w:rsidR="00B44C11" w:rsidRDefault="00B44C11">
            <w:pPr>
              <w:pStyle w:val="a0"/>
              <w:spacing w:before="120" w:after="120"/>
              <w:jc w:val="left"/>
            </w:pPr>
            <w:r>
              <w:t xml:space="preserve">В настоящее время женщины могут находиться в вооруженных силах и иных оперативных подразделениях. Правительство рассматривает соответствующее законодательный механизм для внесения поправки в раздел 33 Закона о правах человека 1993 года, для того чтобы снять оговорку к Конвенции. </w:t>
            </w:r>
          </w:p>
        </w:tc>
      </w:tr>
    </w:tbl>
    <w:p w:rsidR="00B44C11" w:rsidRDefault="00B44C11">
      <w:pPr>
        <w:pStyle w:val="CommentText"/>
        <w:spacing w:after="0"/>
        <w:rPr>
          <w:sz w:val="16"/>
        </w:rPr>
      </w:pPr>
    </w:p>
    <w:p w:rsidR="00B44C11" w:rsidRDefault="00B44C11">
      <w:pPr>
        <w:pStyle w:val="CommentText"/>
        <w:spacing w:after="0"/>
        <w:rPr>
          <w:sz w:val="16"/>
        </w:rPr>
        <w:sectPr w:rsidR="00B44C11">
          <w:footerReference w:type="default" r:id="rId26"/>
          <w:endnotePr>
            <w:numFmt w:val="decimal"/>
          </w:endnotePr>
          <w:pgSz w:w="15842" w:h="12242" w:orient="landscape" w:code="1"/>
          <w:pgMar w:top="1418" w:right="1418" w:bottom="1418" w:left="1701" w:header="0" w:footer="851" w:gutter="0"/>
          <w:cols w:space="708"/>
          <w:docGrid w:linePitch="360"/>
        </w:sectPr>
      </w:pPr>
    </w:p>
    <w:p w:rsidR="00B44C11" w:rsidRDefault="00B44C11">
      <w:pPr>
        <w:rPr>
          <w:b/>
        </w:rPr>
      </w:pPr>
      <w:r>
        <w:rPr>
          <w:b/>
        </w:rPr>
        <w:t>Приложение 2: Мнения женщин Новой Зеландии</w:t>
      </w:r>
    </w:p>
    <w:p w:rsidR="00B44C11" w:rsidRDefault="00B44C11">
      <w:pPr>
        <w:rPr>
          <w:b/>
        </w:rPr>
      </w:pPr>
      <w:r>
        <w:rPr>
          <w:b/>
        </w:rPr>
        <w:t>Методология</w:t>
      </w:r>
    </w:p>
    <w:p w:rsidR="00B44C11" w:rsidRDefault="00B44C11">
      <w:r>
        <w:t xml:space="preserve">В декабре 2002 года </w:t>
      </w:r>
      <w:r>
        <w:rPr>
          <w:caps/>
        </w:rPr>
        <w:t>м</w:t>
      </w:r>
      <w:r>
        <w:t>инистерство по делам женщин обнародовало документ, озаглавленный "</w:t>
      </w:r>
      <w:r>
        <w:rPr>
          <w:i/>
        </w:rPr>
        <w:t>Навстречу Плану действий в интересах женщин Новой Зеландии".</w:t>
      </w:r>
      <w:r>
        <w:t xml:space="preserve"> Для стимулирования процесса сбора мнений женщин при разработке плана действий министр по делам женщин в сотрудничестве с Национальным советом женщин Новой Зеландии, Лигой обеспечения благосостояния женщин-маори и ПАСИФИКА организовали ряд консультативных встреч по всей территории новой Зеландии. Было оказано содействие в организации двадцати официальных встреч, о которых было открыто объявлено общественности. Всего было проведено двадцать официальных консультативных встреч, десять неофициальных консультативных встреч, шесть встреч фокус-групп и рассмотрено 267 представленных документов.</w:t>
      </w:r>
    </w:p>
    <w:p w:rsidR="00B44C11" w:rsidRDefault="00B44C11">
      <w:pPr>
        <w:rPr>
          <w:i/>
        </w:rPr>
      </w:pPr>
      <w:r>
        <w:t xml:space="preserve">Анализ мнений и информация, собранная </w:t>
      </w:r>
      <w:r>
        <w:rPr>
          <w:caps/>
        </w:rPr>
        <w:t>м</w:t>
      </w:r>
      <w:r>
        <w:t xml:space="preserve">инистерством по делам женщин, составили основу для разработки </w:t>
      </w:r>
      <w:r>
        <w:rPr>
          <w:i/>
        </w:rPr>
        <w:t>Плана действий в интересах женщин Новой Зеландии.</w:t>
      </w:r>
    </w:p>
    <w:p w:rsidR="00B44C11" w:rsidRDefault="00B44C11">
      <w:r>
        <w:t xml:space="preserve">В конце 2004 года руководитель старшего звена </w:t>
      </w:r>
      <w:r>
        <w:rPr>
          <w:caps/>
        </w:rPr>
        <w:t>м</w:t>
      </w:r>
      <w:r>
        <w:t xml:space="preserve">инистерства по делам женщин провел </w:t>
      </w:r>
      <w:r>
        <w:br/>
        <w:t xml:space="preserve">17 региональных встреч для информирования общин о </w:t>
      </w:r>
      <w:r>
        <w:rPr>
          <w:i/>
        </w:rPr>
        <w:t xml:space="preserve">Плане действий. </w:t>
      </w:r>
      <w:r>
        <w:t>Программа встреч была разработана совместно с Национальным советом женщин Новой Зеландии. Министерство по делам женщин установило партнерские отношения с рядом других организаций, включая Лигу обеспечения благосостояния женщин-маори, ПАСИФИКА и Женщины в сельской местности Новой Зеландии, для проведения специальных встреч.</w:t>
      </w:r>
    </w:p>
    <w:p w:rsidR="00B44C11" w:rsidRDefault="00B44C11">
      <w:r>
        <w:t>Руководитель старшего звена и другие сотрудники министерства регулярно представляют и получают информацию по вопросам, касающимся женщин Новой Зеландии, путем постоянного проведения обсуждений с неправительственными организациями и женщинами, выпуска информационного бюллетеня МДЖ, Пануи, и представления новейшей информации по электронной почте. Кроме того, сотрудники МДЖ посещают конференции и семинары, проводимые НПО и группами общин, и проводят мониторинг резолюций, принятых на этих совещаниях.</w:t>
      </w:r>
    </w:p>
    <w:p w:rsidR="00B44C11" w:rsidRDefault="00B44C11">
      <w:r>
        <w:t>Принимая во внимание широкие консультации, которые уже проводились с НПО и женщинами, и тот факт, что, по мнению этих групп, консультаций было более чем достаточно, содержание настоящего раздела составлено на основе анализа представленных документов и информации, полученных в результате вышеуказанных процессов, а также в результате дискуссии групп заинтересованной общественности, таких как Совещание МДЖ по международным вопросам, касающимся женщин. При подготовке данного доклада НПО и женщины регулярно получали обновленные данные о ходе работы и приглашались внести свой вклад в раздел "Мнения женщин Новой Зеландии". Таким образом, данный раздел представляет собой резюме мнений неправительственных организаций и женщин, участвовавших в консультативных процессах. Настоящий раздел не претендует на представление мнений всех женщин Новой Зеландии, так как не все женщины участвовали в вышеупомянутых процессах.</w:t>
      </w:r>
    </w:p>
    <w:p w:rsidR="00B44C11" w:rsidRDefault="00B44C11">
      <w:pPr>
        <w:rPr>
          <w:b/>
        </w:rPr>
      </w:pPr>
      <w:r>
        <w:rPr>
          <w:b/>
        </w:rPr>
        <w:br w:type="page"/>
        <w:t>Краткий обзор ключевых тем и вопросов, поднятых женщинами Новой Зеландии</w:t>
      </w:r>
    </w:p>
    <w:p w:rsidR="00B44C11" w:rsidRDefault="00B44C11">
      <w:pPr>
        <w:rPr>
          <w:i/>
        </w:rPr>
      </w:pPr>
      <w:r>
        <w:rPr>
          <w:i/>
        </w:rPr>
        <w:t>Устойчивое развитие экономики</w:t>
      </w:r>
    </w:p>
    <w:p w:rsidR="00B44C11" w:rsidRDefault="00B44C11">
      <w:r>
        <w:t>В число вопросов входили следующие:</w:t>
      </w:r>
    </w:p>
    <w:p w:rsidR="00B44C11" w:rsidRDefault="00B44C11">
      <w:pPr>
        <w:pStyle w:val="10-18"/>
      </w:pPr>
      <w:r>
        <w:t>–</w:t>
      </w:r>
      <w:r>
        <w:tab/>
        <w:t>возможности для организации бизнеса</w:t>
      </w:r>
    </w:p>
    <w:p w:rsidR="00B44C11" w:rsidRDefault="00B44C11">
      <w:pPr>
        <w:pStyle w:val="10-18"/>
      </w:pPr>
      <w:r>
        <w:t>–</w:t>
      </w:r>
      <w:r>
        <w:tab/>
        <w:t>сохранение неравенства в оплате труда и занятости</w:t>
      </w:r>
    </w:p>
    <w:p w:rsidR="00B44C11" w:rsidRDefault="00B44C11">
      <w:pPr>
        <w:pStyle w:val="10-18"/>
      </w:pPr>
      <w:r>
        <w:t>–</w:t>
      </w:r>
      <w:r>
        <w:tab/>
        <w:t>низкие доходы одиноких родителей и экономическое выживание</w:t>
      </w:r>
    </w:p>
    <w:p w:rsidR="00B44C11" w:rsidRDefault="00B44C11">
      <w:pPr>
        <w:pStyle w:val="10-18"/>
      </w:pPr>
      <w:r>
        <w:t>–</w:t>
      </w:r>
      <w:r>
        <w:tab/>
        <w:t>более доступное обучение, необходимое для женщин, возвращающихся в сферу оплачиваемой занятости</w:t>
      </w:r>
    </w:p>
    <w:p w:rsidR="00B44C11" w:rsidRDefault="00B44C11">
      <w:pPr>
        <w:pStyle w:val="10-18"/>
      </w:pPr>
      <w:r>
        <w:t>–</w:t>
      </w:r>
      <w:r>
        <w:tab/>
        <w:t>необходимость продления оплачиваемого отпуска по уходу за ребенком для лиц, работающих не по найму, и фермеров, работающих без оплачиваемой занятости</w:t>
      </w:r>
    </w:p>
    <w:p w:rsidR="00B44C11" w:rsidRDefault="00B44C11">
      <w:pPr>
        <w:pStyle w:val="10-18"/>
      </w:pPr>
      <w:r>
        <w:t>–</w:t>
      </w:r>
      <w:r>
        <w:tab/>
        <w:t>необходимость поддержки выбора матерей и лиц, осуществляющих уход, в отношении участия на рынке труда, когда их дети достигнут дошкольного возраста</w:t>
      </w:r>
    </w:p>
    <w:p w:rsidR="00B44C11" w:rsidRDefault="00B44C11">
      <w:pPr>
        <w:pStyle w:val="10-18"/>
      </w:pPr>
      <w:r>
        <w:t>–</w:t>
      </w:r>
      <w:r>
        <w:tab/>
        <w:t>будет ли предпочтителен законодательный или добровольный подход в отношении права потребовать гибкий график работы</w:t>
      </w:r>
    </w:p>
    <w:p w:rsidR="00B44C11" w:rsidRDefault="00B44C11">
      <w:pPr>
        <w:pStyle w:val="10-18"/>
      </w:pPr>
      <w:r>
        <w:t>–</w:t>
      </w:r>
      <w:r>
        <w:tab/>
        <w:t>необходимость оценить потенциально негативное воздействие Закона о семейных правах собственности 1976 года на женщин, особенно в случае de facto сложившихся взаимоотношений</w:t>
      </w:r>
    </w:p>
    <w:p w:rsidR="00B44C11" w:rsidRDefault="00B44C11">
      <w:pPr>
        <w:pStyle w:val="10-18"/>
      </w:pPr>
      <w:r>
        <w:t>–</w:t>
      </w:r>
      <w:r>
        <w:tab/>
        <w:t>обеспокоенность относительно ухудшения условий при переходе с постоянной на временную работу и при работе по договору – слабое обеспечение гарантий занятости, высокая текучесть кадров, низкая заработная плата, отсутствие профессиональной подготовки.</w:t>
      </w:r>
    </w:p>
    <w:p w:rsidR="00B44C11" w:rsidRDefault="00B44C11">
      <w:pPr>
        <w:rPr>
          <w:i/>
        </w:rPr>
      </w:pPr>
      <w:r>
        <w:rPr>
          <w:i/>
        </w:rPr>
        <w:t>Благосостояние</w:t>
      </w:r>
    </w:p>
    <w:p w:rsidR="00B44C11" w:rsidRDefault="00B44C11">
      <w:r>
        <w:t xml:space="preserve">В число вопросов входили следующие: </w:t>
      </w:r>
    </w:p>
    <w:p w:rsidR="00B44C11" w:rsidRDefault="00B44C11">
      <w:pPr>
        <w:pStyle w:val="10-18"/>
      </w:pPr>
      <w:r>
        <w:t>–</w:t>
      </w:r>
      <w:r>
        <w:tab/>
        <w:t>насилие в отношении женщин является серьезной социальной проблемой во всех секторах новозеландского общества, которую необходимо решить</w:t>
      </w:r>
    </w:p>
    <w:p w:rsidR="00B44C11" w:rsidRDefault="00B44C11">
      <w:pPr>
        <w:pStyle w:val="10-18"/>
      </w:pPr>
      <w:r>
        <w:t>–</w:t>
      </w:r>
      <w:r>
        <w:tab/>
        <w:t>отсутствует скоординированный систематический сбор данных о насилии в отношении женщин и детей в Новой Зеландии и, следовательно, невозможно получить или представить комплексный и точный обзор ситуации с насилием в отношении женщин и детей</w:t>
      </w:r>
    </w:p>
    <w:p w:rsidR="00B44C11" w:rsidRDefault="00B44C11">
      <w:pPr>
        <w:pStyle w:val="10-18"/>
      </w:pPr>
      <w:r>
        <w:t>–</w:t>
      </w:r>
      <w:r>
        <w:tab/>
        <w:t>положительное воздействие перехода от преследования к защите лиц, работающих в сфере сексуальных услуг, в соответствии с Законом о реформировании сферы сексуальных услуг</w:t>
      </w:r>
    </w:p>
    <w:p w:rsidR="00B44C11" w:rsidRDefault="00B44C11">
      <w:pPr>
        <w:pStyle w:val="10-18"/>
      </w:pPr>
      <w:r>
        <w:t>–</w:t>
      </w:r>
      <w:r>
        <w:tab/>
        <w:t>необходимость увеличения финансирования для реализации стратегий в области сексуального и репродуктивного здоровья, в том числе в сельских и провинциальных районах</w:t>
      </w:r>
    </w:p>
    <w:p w:rsidR="00B44C11" w:rsidRDefault="00B44C11">
      <w:pPr>
        <w:pStyle w:val="10-18"/>
      </w:pPr>
      <w:r>
        <w:t>–</w:t>
      </w:r>
      <w:r>
        <w:tab/>
        <w:t>необходимость прекратить клеймить позором людей, страдающих от болезней, передающихся половым путем, и обеспечить, таким образом, женщинам доступ к лечению и помощи, а также профилактику дальнейшего распространения заболеваний и инвалидности</w:t>
      </w:r>
    </w:p>
    <w:p w:rsidR="00B44C11" w:rsidRDefault="00B44C11">
      <w:pPr>
        <w:pStyle w:val="10-18"/>
      </w:pPr>
      <w:r>
        <w:t>–</w:t>
      </w:r>
      <w:r>
        <w:tab/>
        <w:t>необходимость директивного указания в отношении обследования населения в общенациональном масштабе на предмет выявления хламидии</w:t>
      </w:r>
    </w:p>
    <w:p w:rsidR="00B44C11" w:rsidRDefault="00B44C11">
      <w:pPr>
        <w:pStyle w:val="10-18"/>
      </w:pPr>
      <w:r>
        <w:t>–</w:t>
      </w:r>
      <w:r>
        <w:tab/>
        <w:t>число школ для родителей-подростков увеличилось, однако существует необходимость дальнейшего увеличения их числа</w:t>
      </w:r>
    </w:p>
    <w:p w:rsidR="00B44C11" w:rsidRDefault="00B44C11">
      <w:pPr>
        <w:pStyle w:val="10-18"/>
      </w:pPr>
      <w:r>
        <w:t>–</w:t>
      </w:r>
      <w:r>
        <w:tab/>
        <w:t>необходимость лучшего понимания обстоятельств, принуждающих женщин из числа мигрантов работать незаконно в сфере сексуальных услуг и риски репатриации, с которыми они могут столкнуться.</w:t>
      </w:r>
    </w:p>
    <w:p w:rsidR="00B44C11" w:rsidRDefault="00B44C11">
      <w:pPr>
        <w:rPr>
          <w:i/>
        </w:rPr>
      </w:pPr>
      <w:r>
        <w:rPr>
          <w:i/>
        </w:rPr>
        <w:t>Уход/роль добровольцев</w:t>
      </w:r>
    </w:p>
    <w:p w:rsidR="00B44C11" w:rsidRDefault="00B44C11">
      <w:r>
        <w:t>В число вопросов входили следующие:</w:t>
      </w:r>
    </w:p>
    <w:p w:rsidR="00B44C11" w:rsidRDefault="00B44C11">
      <w:pPr>
        <w:pStyle w:val="10-18"/>
      </w:pPr>
      <w:r>
        <w:t>–</w:t>
      </w:r>
      <w:r>
        <w:tab/>
        <w:t>осознаваемая недооценка роли выполнения родительских обязанностей и другой неоплачиваемой работы</w:t>
      </w:r>
    </w:p>
    <w:p w:rsidR="00B44C11" w:rsidRDefault="00B44C11">
      <w:pPr>
        <w:pStyle w:val="10-18"/>
      </w:pPr>
      <w:r>
        <w:t>–</w:t>
      </w:r>
      <w:r>
        <w:tab/>
        <w:t>женщины-маори выражали озабоченность относительно принятия традиционных и современных обычаев</w:t>
      </w:r>
    </w:p>
    <w:p w:rsidR="00B44C11" w:rsidRDefault="00B44C11">
      <w:pPr>
        <w:pStyle w:val="10-18"/>
      </w:pPr>
      <w:r>
        <w:t>–</w:t>
      </w:r>
      <w:r>
        <w:tab/>
        <w:t xml:space="preserve">истощение источника добровольных трудовых ресурсов, так как молодые женщины все </w:t>
      </w:r>
      <w:r>
        <w:br/>
        <w:t>в большей степени заняты оплачиваемым трудом</w:t>
      </w:r>
    </w:p>
    <w:p w:rsidR="00B44C11" w:rsidRDefault="00B44C11">
      <w:pPr>
        <w:pStyle w:val="10-18"/>
      </w:pPr>
      <w:r>
        <w:t>–</w:t>
      </w:r>
      <w:r>
        <w:tab/>
        <w:t>озабоченность в связи с тем, что работа по уходу продолжает оставаться одной из самых низкооплачиваемых</w:t>
      </w:r>
    </w:p>
    <w:p w:rsidR="00B44C11" w:rsidRDefault="00B44C11">
      <w:pPr>
        <w:pStyle w:val="10-18"/>
      </w:pPr>
      <w:r>
        <w:t>–</w:t>
      </w:r>
      <w:r>
        <w:tab/>
        <w:t>необходимость в большей степени привлекать мужчин к воспитанию детей для достижения сбалансированности сочетания работы женщин и их заботы о семье</w:t>
      </w:r>
    </w:p>
    <w:p w:rsidR="00B44C11" w:rsidRDefault="00B44C11">
      <w:pPr>
        <w:pStyle w:val="10-18"/>
      </w:pPr>
      <w:r>
        <w:t>–</w:t>
      </w:r>
      <w:r>
        <w:tab/>
        <w:t xml:space="preserve">обеспечение сбалансированности между оплачиваемой и неоплачиваемой занятостью и управление ожиданиями общин на поддержку ряда культурных и общинных мероприятий, например комитеты марае, доверительные советы, спортивные организации, коханга рео </w:t>
      </w:r>
      <w:r>
        <w:br/>
        <w:t>и кура каупапа маори.</w:t>
      </w:r>
    </w:p>
    <w:p w:rsidR="00B44C11" w:rsidRDefault="00B44C11">
      <w:pPr>
        <w:rPr>
          <w:i/>
        </w:rPr>
      </w:pPr>
      <w:r>
        <w:rPr>
          <w:i/>
        </w:rPr>
        <w:t>Доступ к услугам</w:t>
      </w:r>
    </w:p>
    <w:p w:rsidR="00B44C11" w:rsidRDefault="00B44C11">
      <w:r>
        <w:t>В число вопросов входили следующие:</w:t>
      </w:r>
    </w:p>
    <w:p w:rsidR="00B44C11" w:rsidRDefault="00B44C11">
      <w:pPr>
        <w:pStyle w:val="10-18"/>
      </w:pPr>
      <w:r>
        <w:t>–</w:t>
      </w:r>
      <w:r>
        <w:tab/>
        <w:t>постоянная озабоченность в отношении доступа к услугам сельских женщин</w:t>
      </w:r>
    </w:p>
    <w:p w:rsidR="00B44C11" w:rsidRDefault="00B44C11">
      <w:pPr>
        <w:pStyle w:val="10-18"/>
      </w:pPr>
      <w:r>
        <w:t>–</w:t>
      </w:r>
      <w:r>
        <w:tab/>
        <w:t xml:space="preserve">озабоченность уровнем финансирования работников, предоставляющих услуги по уходу </w:t>
      </w:r>
      <w:r>
        <w:br/>
        <w:t>на дому, связанные с заработной платой, обучением и передвижением</w:t>
      </w:r>
    </w:p>
    <w:p w:rsidR="00B44C11" w:rsidRDefault="00B44C11">
      <w:pPr>
        <w:pStyle w:val="10-18"/>
      </w:pPr>
      <w:r>
        <w:t>–</w:t>
      </w:r>
      <w:r>
        <w:tab/>
        <w:t>трудности в отношении доступа к услугам широкополосной связи в отдаленных районах Новой Зеландии</w:t>
      </w:r>
    </w:p>
    <w:p w:rsidR="00B44C11" w:rsidRDefault="00B44C11">
      <w:pPr>
        <w:pStyle w:val="10-18"/>
      </w:pPr>
      <w:r>
        <w:t>–</w:t>
      </w:r>
      <w:r>
        <w:tab/>
        <w:t>озабоченность в связи с доступом к коммунальным услугам в сельской местности, включая услуги электроснабжения</w:t>
      </w:r>
    </w:p>
    <w:p w:rsidR="00B44C11" w:rsidRDefault="00B44C11">
      <w:pPr>
        <w:pStyle w:val="10-18"/>
      </w:pPr>
      <w:r>
        <w:t>–</w:t>
      </w:r>
      <w:r>
        <w:tab/>
        <w:t xml:space="preserve">необходимость в услугах в области поддержки, занятости и обучения для молодежи, работающей в сфере сексуальных услуг, особенно в создании для них возможностей найти работу в других сферах деятельности </w:t>
      </w:r>
    </w:p>
    <w:p w:rsidR="00B44C11" w:rsidRDefault="00B44C11">
      <w:pPr>
        <w:rPr>
          <w:i/>
        </w:rPr>
      </w:pPr>
      <w:r>
        <w:rPr>
          <w:i/>
        </w:rPr>
        <w:t>Озабоченности, связанные с ходом выполнения Плана действий в интересах женщин Новой Зеландии</w:t>
      </w:r>
    </w:p>
    <w:p w:rsidR="00B44C11" w:rsidRDefault="00B44C11">
      <w:r>
        <w:t>Предметом озабоченности являются:</w:t>
      </w:r>
    </w:p>
    <w:p w:rsidR="00B44C11" w:rsidRDefault="00B44C11">
      <w:pPr>
        <w:pStyle w:val="10-18"/>
      </w:pPr>
      <w:r>
        <w:t>–</w:t>
      </w:r>
      <w:r>
        <w:tab/>
        <w:t xml:space="preserve">сохранение неравенства между женщинами-маори и женщинами других этнических групп, </w:t>
      </w:r>
      <w:r>
        <w:br/>
        <w:t>а также неравенства между женщинами-маори и мужчинами-маори</w:t>
      </w:r>
    </w:p>
    <w:p w:rsidR="00B44C11" w:rsidRDefault="00B44C11">
      <w:pPr>
        <w:pStyle w:val="10-18"/>
      </w:pPr>
      <w:r>
        <w:t>–</w:t>
      </w:r>
      <w:r>
        <w:tab/>
        <w:t xml:space="preserve">студенческие ссуды в целом, которые особенно тяжелым бременем ложатся на плечи женщин, а также их воздействие на желание иметь детей </w:t>
      </w:r>
    </w:p>
    <w:p w:rsidR="00B44C11" w:rsidRDefault="00B44C11">
      <w:pPr>
        <w:pStyle w:val="10-18"/>
      </w:pPr>
      <w:r>
        <w:t>–</w:t>
      </w:r>
      <w:r>
        <w:tab/>
        <w:t>воздействие разницы в оплате труда по гендерному признаку на возможность женщин погашать студенческие ссуды и на недостаточное представительство женщин в аспирантуре</w:t>
      </w:r>
    </w:p>
    <w:p w:rsidR="00B44C11" w:rsidRDefault="00B44C11">
      <w:pPr>
        <w:pStyle w:val="10-18"/>
      </w:pPr>
      <w:r>
        <w:t>–</w:t>
      </w:r>
      <w:r>
        <w:tab/>
        <w:t>проекты отраслевого профессионального и современного обучения и их доступность для женщин и воздействие на женщин</w:t>
      </w:r>
    </w:p>
    <w:p w:rsidR="00B44C11" w:rsidRDefault="00B44C11">
      <w:pPr>
        <w:pStyle w:val="10-18"/>
      </w:pPr>
      <w:r>
        <w:t>–</w:t>
      </w:r>
      <w:r>
        <w:tab/>
        <w:t xml:space="preserve">устойчиво низкая заработная плата женщин, главным образом работающих в сфере ухода, </w:t>
      </w:r>
      <w:r>
        <w:br/>
        <w:t>а также растущая необходимость ухода за семьей и в общественной деятельности, особенно для женщин-маори и женщин тихоокеанских островов.</w:t>
      </w:r>
    </w:p>
    <w:p w:rsidR="00B44C11" w:rsidRDefault="00B44C11">
      <w:pPr>
        <w:rPr>
          <w:b/>
        </w:rPr>
      </w:pPr>
      <w:r>
        <w:rPr>
          <w:b/>
        </w:rPr>
        <w:t>Правительственные мероприятия</w:t>
      </w:r>
    </w:p>
    <w:p w:rsidR="00B44C11" w:rsidRDefault="00B44C11">
      <w:r>
        <w:t xml:space="preserve">Как отмечено в докладе, многие из вышеупомянутых вопросов и проблем решаются правительством путем принятия ряда стратегий, мер и инициатив, которые уже осуществляются или будут реализованы в ближайшем будущем. Правительство привержено продолжению работы с неправительственными организациями и женщинами в общинах с целью реагирования на вопросы, вызывающие обеспокоенность женщин Новой Зеландии, и, следовательно, улучшить общее положение женщин в Новой Зеландии. </w:t>
      </w:r>
    </w:p>
    <w:p w:rsidR="00B44C11" w:rsidRDefault="00B44C11">
      <w:pPr>
        <w:rPr>
          <w:b/>
        </w:rPr>
      </w:pPr>
      <w:r>
        <w:rPr>
          <w:b/>
        </w:rPr>
        <w:t>Приложение 3: Токелау</w:t>
      </w:r>
    </w:p>
    <w:p w:rsidR="00B44C11" w:rsidRDefault="00B44C11">
      <w:r>
        <w:t>Основная справочная информация о Токелау изложена в предыдущих периодических докладах Новой Зеландии (особый интерес представляют сведения, содержащиеся в докладе за 1998 год. Комитету предлагается также обратить внимание на посвященные Токелау разделы четвертого периодического доклада Новой Зеландии, представленного в соответствии с Международным пактом о гражданских и политических правах (CCPR/C/NZL/2001/4), а также в докладе, который был представлен в соответствии с Международным пактом об экономических, социальных и культурных правах (E/1990/6/Add.33) и в Рабочем документе 2005 года Специального комитета Организации Объединенных Наций по деколонизации (A/AC.109/2005/3).</w:t>
      </w:r>
    </w:p>
    <w:p w:rsidR="00B44C11" w:rsidRDefault="00B44C11">
      <w:pPr>
        <w:pStyle w:val="Heading3"/>
        <w:rPr>
          <w:kern w:val="14"/>
          <w:lang w:val="ru-RU" w:eastAsia="ru-RU"/>
        </w:rPr>
      </w:pPr>
      <w:r>
        <w:rPr>
          <w:kern w:val="14"/>
          <w:lang w:val="ru-RU" w:eastAsia="ru-RU"/>
        </w:rPr>
        <w:t>Общие сведения</w:t>
      </w:r>
    </w:p>
    <w:p w:rsidR="00B44C11" w:rsidRDefault="00B44C11">
      <w:r>
        <w:t xml:space="preserve">В состав Токелау входит три деревни, которые в течение столетий вели в значительной степени обособленное существование, поскольку находятся на расположенных далеко друг от друга атоллах примерно в 500 км от Самоа. Общая численность их населения составляет приблизительно 1500 человек. Управление в Токелау по традиции осуществляется в каждой деревне по-своему. </w:t>
      </w:r>
      <w:r>
        <w:br/>
        <w:t>В основе системы лежит обычай. Из поколения в поколение ведется натуральное хозяйство в условиях неустойчивой окружающей среды. Площадь территории составляет 12 кв. км, ширина суши редко превышает 200 метров, а максимальная высота над уровнем моря достигает 5 метров. Население имеет устоявшуюся социальную структуру, основанную на семье и принципе совместного использования благ, который подкрепляется системой принятия решений на основе достижения согласия. Такая система опирается на иерархическую структуру мужского населения.</w:t>
      </w:r>
    </w:p>
    <w:p w:rsidR="00B44C11" w:rsidRDefault="00B44C11">
      <w:r>
        <w:t>Согласно Уставу Организации Объединенных Наций, Токелау является несамоуправляющейся территорией. С учетом вышеприведенных данных Токелау представляет собой нетипичный пример в контексте деколонизации. Новая Зеландия несет ответственность в общенациональном масштабе за всю страну, и это мало сказывается на повседневной жизни населения. Новая Зеландия никогда не имела на Токелау какого-либо постоянного административного присутствия. Однако на передний план в настоящее время выходят вопросы национального управления. Вследствие расширения контактов с внешним миром жизнь на Токелау и материальные запросы населения изменились. Традиционные виды деятельности стали утрачивать свое значение из-за введения денег и возможности получения работы в государственном секторе. На основе договоренностей, достигнутых с Токелау в начале 1990-х годов, Новая Зеландия оказывает Токелау помощь в проводимых этой страной мероприятиях по развитию национального потенциала государственного управления.</w:t>
      </w:r>
    </w:p>
    <w:p w:rsidR="00B44C11" w:rsidRDefault="00B44C11">
      <w:r>
        <w:t xml:space="preserve">В феврале 2006 года в Токелау под наблюдением Организации Объединенных Наций было проведено голосование по вопросу о получении статуса самоуправляющейся территории в свободной ассоциации с Новой Зеландией. Шестьдесят процентов зарегистрированных участников голосования высказались за самоуправление, однако голосование не обеспечило большинства, составляющего две трети, то есть уровня, установленного Национальной ассамблеей Токелау. Следовательно, изменение в статусе Токелау не произойдет в ближайшем будущем, однако ожидается, что когда-нибудь Токелау вновь вернется к вопросу о самоуправлении. Стремясь к хорошей сбалансированности традиционных и привнесенных извне элементов, Токелау предстоит решить ключевые вопросы обычаев и права. В настоящее время наблюдается укрепление связи между обычаями и законами; и Токелау пытается осознать свое положение, поскольку все большую актуальность приобретает вопрос о переходе от применения свода правил и практики, свойственных культурным особенностям страны, к своду правил и практики, которые признаются соответствующими условиям жизни в международном сообществе. </w:t>
      </w:r>
    </w:p>
    <w:p w:rsidR="00B44C11" w:rsidRDefault="00B44C11">
      <w:r>
        <w:t>Проект конституции в настоящее время включает следующие положения: положение о том, что применительно ко всему народу Токелау индивидуальные права человека провозглашены во Всеобщей декларации прав человека и закреплены в Международном пакте о гражданских и политических правах; о том, что права отдельных лиц должны осуществляться с должным учетом обязанностей других лиц, а также их обязанностей перед общиной, к которой они принадлежат. Эти положения свидетельствуют о необходимости надлежащей подготовки Токелау к решению вопроса о том, каким образом после достижения самоопределения страна будет обеспечивать принятые на себя обязательства в области прав человека.</w:t>
      </w:r>
    </w:p>
    <w:p w:rsidR="00B44C11" w:rsidRDefault="00B44C11">
      <w:r>
        <w:t xml:space="preserve">Текст Конвенции о ликвидации всех форм дискриминации в отношении женщин был включен </w:t>
      </w:r>
      <w:r>
        <w:br/>
        <w:t xml:space="preserve">в брошюру о правах человека, опубликованную на английском языке и языке Токелау в 1990 году. </w:t>
      </w:r>
    </w:p>
    <w:p w:rsidR="00B44C11" w:rsidRDefault="00B44C11">
      <w:pPr>
        <w:rPr>
          <w:b/>
        </w:rPr>
      </w:pPr>
      <w:r>
        <w:rPr>
          <w:b/>
        </w:rPr>
        <w:t>Права женщин</w:t>
      </w:r>
    </w:p>
    <w:p w:rsidR="00B44C11" w:rsidRDefault="00B44C11">
      <w:r>
        <w:t xml:space="preserve">Общее направление развития Токелау в последние годы оказало существенное влияние на женщин. В культуре Токелау проводится четкая грань между ролью мужчины и женщины. В то же время в рамках традиционной социальной системы женщины обладают относительно высоким статусом, базирующимся на их праве занимать дома, принадлежащие родственным группам, и осуществлять управление домашним хозяйством: мужья переезжают в дома жен после брака. Хотя в соответствии с культурными установками Токелау первостепенное значение придается благосостоянию слабых членов общества и справедливому распределению экономических ресурсов, в контексте сегодняшнего экономического режима с его денежной составляющей лица, не имеющие какой-либо оплачиваемой работы, могут рассматриваться как находящиеся в относительно неблагоприятном положении. </w:t>
      </w:r>
    </w:p>
    <w:p w:rsidR="00B44C11" w:rsidRDefault="00B44C11">
      <w:r>
        <w:t xml:space="preserve">Почти все жители Токелау, которые имеют оплачиваемую работу в течение полного рабочего дня, заняты в государственном секторе, и, как указывалось ранее, в нем в значительной степени обеспечивается равенство полов. Ничто в законах Токелау не предусматривает какой-либо дискриминации в отношении женщин, и женщины в целом пользуются теми же экономическими, социальными и культурными правами наравне с мужчинами. В 2001 году на государственной службе состояли 59 женщин и 73 мужчины. Женщины широко представлены в системах образования (22 против 13), здравоохранения (15 против 1) и финансов (9 против 3). </w:t>
      </w:r>
    </w:p>
    <w:p w:rsidR="00B44C11" w:rsidRDefault="00B44C11">
      <w:r>
        <w:t>Предпринимаются целенаправленные попытки определить, какие меры в области развития отвечают потребностям мужчин и женщин; такой подход соответствует местным культурным нормам и является приемлемым для обеих групп населения. С учетом прочности культуры Токелау и большого значения сохранения ее целостности, это соображение является исключительно важным. В то же время очевидно, что традиционное разграничение ролей мужчины и женщины становится все менее отчетливым. Из 21 делегата Генерального фоно в настоящее время четыре являются женщинами.</w:t>
      </w:r>
    </w:p>
    <w:p w:rsidR="00B44C11" w:rsidRDefault="00B44C11">
      <w:r>
        <w:t>В целом на Токелау предпринимаются сознательные попытки увязать экономические и социальные вопросы с процессом развития местных органов государственного управления.</w:t>
      </w:r>
    </w:p>
    <w:p w:rsidR="00B44C11" w:rsidRDefault="00B44C11">
      <w:r>
        <w:t>В третьем периодическом докладе обсуждается роль "Фатупаепае", то есть женского комитета. Это одна из основных организаций в каждой деревне, и к тому же существует национальный совет женщин (хотя его деятельность в значительной степени сдерживается нехваткой ресурсов).</w:t>
      </w:r>
    </w:p>
    <w:p w:rsidR="00B44C11" w:rsidRDefault="00B44C11">
      <w:r>
        <w:t>Все более важным событием для женщин Токелау становятся проводимые раз в три года конференции женщин Тихоокеанского региона (организуемые женским бюро Секретариата Тихоокеанского сообщества). Делегация Токелау участвовала в конференции 1988 года и ее доклад Генеральному фоно в 1999 году включал план действий по выполнению Токелау Конвенции о ликвидации дискриминации в отношении женщин. В докладе намечалась программа более широкого участия женщин в политической жизни и экономическом развитии.</w:t>
      </w:r>
    </w:p>
    <w:p w:rsidR="00B44C11" w:rsidRDefault="00B44C11">
      <w:pPr>
        <w:pStyle w:val="CommentText"/>
        <w:sectPr w:rsidR="00B44C11">
          <w:footerReference w:type="default" r:id="rId27"/>
          <w:endnotePr>
            <w:numFmt w:val="decimal"/>
          </w:endnotePr>
          <w:pgSz w:w="12242" w:h="15842" w:code="1"/>
          <w:pgMar w:top="1418" w:right="1418" w:bottom="1701" w:left="1418" w:header="0" w:footer="851" w:gutter="0"/>
          <w:cols w:space="708"/>
          <w:docGrid w:linePitch="360"/>
        </w:sectPr>
      </w:pPr>
    </w:p>
    <w:p w:rsidR="00B44C11" w:rsidRDefault="00B44C11">
      <w:pPr>
        <w:jc w:val="left"/>
        <w:rPr>
          <w:b/>
        </w:rPr>
      </w:pPr>
      <w:r>
        <w:rPr>
          <w:b/>
        </w:rPr>
        <w:t>Приложение 4:</w:t>
      </w:r>
      <w:r>
        <w:rPr>
          <w:b/>
        </w:rPr>
        <w:tab/>
        <w:t>Взаимосвязь между Планом действий в интересах женщин Новой Зеландии и Конвенцией Организации Объединенных Наций о ликвидации всех форм дискриминации в отношении женщин</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0"/>
        <w:gridCol w:w="4146"/>
        <w:gridCol w:w="5812"/>
      </w:tblGrid>
      <w:tr w:rsidR="00B44C11">
        <w:tblPrEx>
          <w:tblCellMar>
            <w:top w:w="0" w:type="dxa"/>
            <w:bottom w:w="0" w:type="dxa"/>
          </w:tblCellMar>
        </w:tblPrEx>
        <w:trPr>
          <w:tblHeader/>
        </w:trPr>
        <w:tc>
          <w:tcPr>
            <w:tcW w:w="2800" w:type="dxa"/>
            <w:shd w:val="clear" w:color="auto" w:fill="C0C0C0"/>
          </w:tcPr>
          <w:p w:rsidR="00B44C11" w:rsidRDefault="00B44C11">
            <w:pPr>
              <w:pStyle w:val="a0"/>
              <w:jc w:val="left"/>
              <w:rPr>
                <w:b/>
              </w:rPr>
            </w:pPr>
            <w:r>
              <w:rPr>
                <w:b/>
              </w:rPr>
              <w:t>Ожидаемые результаты</w:t>
            </w:r>
          </w:p>
        </w:tc>
        <w:tc>
          <w:tcPr>
            <w:tcW w:w="4146" w:type="dxa"/>
            <w:shd w:val="clear" w:color="auto" w:fill="C0C0C0"/>
          </w:tcPr>
          <w:p w:rsidR="00B44C11" w:rsidRDefault="00B44C11">
            <w:pPr>
              <w:pStyle w:val="a0"/>
              <w:jc w:val="left"/>
              <w:rPr>
                <w:b/>
              </w:rPr>
            </w:pPr>
            <w:r>
              <w:rPr>
                <w:b/>
              </w:rPr>
              <w:t>Цели</w:t>
            </w:r>
          </w:p>
        </w:tc>
        <w:tc>
          <w:tcPr>
            <w:tcW w:w="5812" w:type="dxa"/>
            <w:shd w:val="clear" w:color="auto" w:fill="C0C0C0"/>
          </w:tcPr>
          <w:p w:rsidR="00B44C11" w:rsidRDefault="00B44C11">
            <w:pPr>
              <w:pStyle w:val="a0"/>
              <w:jc w:val="left"/>
              <w:rPr>
                <w:b/>
              </w:rPr>
            </w:pPr>
            <w:r>
              <w:rPr>
                <w:b/>
              </w:rPr>
              <w:t>Соответствующие статьи (и примеры инициатив, связанных с Планом действий)</w:t>
            </w:r>
          </w:p>
        </w:tc>
      </w:tr>
      <w:tr w:rsidR="00B44C11">
        <w:tblPrEx>
          <w:tblCellMar>
            <w:top w:w="0" w:type="dxa"/>
            <w:bottom w:w="0" w:type="dxa"/>
          </w:tblCellMar>
        </w:tblPrEx>
        <w:trPr>
          <w:cantSplit/>
        </w:trPr>
        <w:tc>
          <w:tcPr>
            <w:tcW w:w="2800" w:type="dxa"/>
            <w:vMerge w:val="restart"/>
          </w:tcPr>
          <w:p w:rsidR="00B44C11" w:rsidRDefault="00B44C11">
            <w:pPr>
              <w:pStyle w:val="a0"/>
              <w:spacing w:before="120" w:after="120"/>
              <w:jc w:val="left"/>
              <w:rPr>
                <w:b/>
              </w:rPr>
            </w:pPr>
            <w:r>
              <w:rPr>
                <w:b/>
              </w:rPr>
              <w:t xml:space="preserve">Укрепится экономическая независимость женщин Новой Зеландии </w:t>
            </w:r>
          </w:p>
        </w:tc>
        <w:tc>
          <w:tcPr>
            <w:tcW w:w="4146" w:type="dxa"/>
            <w:vMerge w:val="restart"/>
          </w:tcPr>
          <w:p w:rsidR="00B44C11" w:rsidRDefault="00B44C11">
            <w:pPr>
              <w:pStyle w:val="a0"/>
              <w:spacing w:before="120" w:after="120"/>
              <w:jc w:val="left"/>
            </w:pPr>
            <w:r>
              <w:t>Увеличить долю участия женщин в занятости, повысить доходы и качество занятости</w:t>
            </w:r>
          </w:p>
        </w:tc>
        <w:tc>
          <w:tcPr>
            <w:tcW w:w="5812" w:type="dxa"/>
          </w:tcPr>
          <w:p w:rsidR="00B44C11" w:rsidRDefault="00B44C11">
            <w:pPr>
              <w:pStyle w:val="a0"/>
              <w:spacing w:before="120"/>
              <w:jc w:val="left"/>
              <w:rPr>
                <w:i/>
              </w:rPr>
            </w:pPr>
            <w:r>
              <w:rPr>
                <w:i/>
              </w:rPr>
              <w:t>Статья 10: Образование</w:t>
            </w:r>
          </w:p>
          <w:p w:rsidR="00B44C11" w:rsidRDefault="00B44C11">
            <w:pPr>
              <w:pStyle w:val="a0"/>
              <w:jc w:val="left"/>
            </w:pPr>
            <w:r>
              <w:t>Изменения в проекте современного профессионального обучения.</w:t>
            </w:r>
          </w:p>
          <w:p w:rsidR="00B44C11" w:rsidRDefault="00B44C11">
            <w:pPr>
              <w:pStyle w:val="a0"/>
              <w:jc w:val="left"/>
            </w:pPr>
            <w:r>
              <w:t>Реализация Стратегии обучения английскому языку взрослых, говорящих на других языках (ЕСОЛ)</w:t>
            </w:r>
          </w:p>
        </w:tc>
      </w:tr>
      <w:tr w:rsidR="00B44C11">
        <w:tblPrEx>
          <w:tblCellMar>
            <w:top w:w="0" w:type="dxa"/>
            <w:bottom w:w="0" w:type="dxa"/>
          </w:tblCellMar>
        </w:tblPrEx>
        <w:trPr>
          <w:cantSplit/>
        </w:trPr>
        <w:tc>
          <w:tcPr>
            <w:tcW w:w="2800" w:type="dxa"/>
            <w:vMerge/>
          </w:tcPr>
          <w:p w:rsidR="00B44C11" w:rsidRDefault="00B44C11">
            <w:pPr>
              <w:pStyle w:val="a0"/>
              <w:jc w:val="left"/>
            </w:pPr>
          </w:p>
        </w:tc>
        <w:tc>
          <w:tcPr>
            <w:tcW w:w="4146" w:type="dxa"/>
            <w:vMerge/>
          </w:tcPr>
          <w:p w:rsidR="00B44C11" w:rsidRDefault="00B44C11">
            <w:pPr>
              <w:pStyle w:val="a0"/>
              <w:jc w:val="left"/>
            </w:pPr>
          </w:p>
        </w:tc>
        <w:tc>
          <w:tcPr>
            <w:tcW w:w="5812" w:type="dxa"/>
          </w:tcPr>
          <w:p w:rsidR="00B44C11" w:rsidRDefault="00B44C11">
            <w:pPr>
              <w:pStyle w:val="a0"/>
              <w:jc w:val="left"/>
              <w:rPr>
                <w:i/>
              </w:rPr>
            </w:pPr>
            <w:r>
              <w:rPr>
                <w:i/>
              </w:rPr>
              <w:t>Статья 11: Занятость</w:t>
            </w:r>
          </w:p>
          <w:p w:rsidR="00B44C11" w:rsidRDefault="00B44C11">
            <w:pPr>
              <w:pStyle w:val="a0"/>
              <w:jc w:val="left"/>
            </w:pPr>
            <w:r>
              <w:t>План действий по обеспечению равных возможностей в оплате труда и занятости.</w:t>
            </w:r>
          </w:p>
          <w:p w:rsidR="00B44C11" w:rsidRDefault="00B44C11">
            <w:pPr>
              <w:pStyle w:val="a0"/>
              <w:jc w:val="left"/>
            </w:pPr>
            <w:r>
              <w:t xml:space="preserve">План действий по обеспечению удовлетворительной работой. </w:t>
            </w:r>
          </w:p>
        </w:tc>
      </w:tr>
      <w:tr w:rsidR="00B44C11">
        <w:tblPrEx>
          <w:tblCellMar>
            <w:top w:w="0" w:type="dxa"/>
            <w:bottom w:w="0" w:type="dxa"/>
          </w:tblCellMar>
        </w:tblPrEx>
        <w:trPr>
          <w:cantSplit/>
        </w:trPr>
        <w:tc>
          <w:tcPr>
            <w:tcW w:w="2800" w:type="dxa"/>
            <w:vMerge/>
          </w:tcPr>
          <w:p w:rsidR="00B44C11" w:rsidRDefault="00B44C11">
            <w:pPr>
              <w:pStyle w:val="a0"/>
              <w:jc w:val="left"/>
            </w:pPr>
          </w:p>
        </w:tc>
        <w:tc>
          <w:tcPr>
            <w:tcW w:w="4146" w:type="dxa"/>
            <w:vMerge w:val="restart"/>
          </w:tcPr>
          <w:p w:rsidR="00B44C11" w:rsidRDefault="00B44C11">
            <w:pPr>
              <w:pStyle w:val="a0"/>
              <w:jc w:val="left"/>
            </w:pPr>
            <w:r>
              <w:t>Улучшить экономическое благосостояние женщин.</w:t>
            </w:r>
          </w:p>
        </w:tc>
        <w:tc>
          <w:tcPr>
            <w:tcW w:w="5812" w:type="dxa"/>
          </w:tcPr>
          <w:p w:rsidR="00B44C11" w:rsidRDefault="00B44C11">
            <w:pPr>
              <w:pStyle w:val="a0"/>
              <w:jc w:val="left"/>
              <w:rPr>
                <w:i/>
              </w:rPr>
            </w:pPr>
            <w:r>
              <w:rPr>
                <w:i/>
              </w:rPr>
              <w:t>Статья 10: Образование</w:t>
            </w:r>
          </w:p>
          <w:p w:rsidR="00B44C11" w:rsidRDefault="00B44C11">
            <w:pPr>
              <w:pStyle w:val="a0"/>
              <w:jc w:val="left"/>
            </w:pPr>
            <w:r>
              <w:t>Поддержка студентов высших учебных заведений, включая предоставление беспроцентных студенческих ссуд.</w:t>
            </w:r>
          </w:p>
        </w:tc>
      </w:tr>
      <w:tr w:rsidR="00B44C11">
        <w:tblPrEx>
          <w:tblCellMar>
            <w:top w:w="0" w:type="dxa"/>
            <w:bottom w:w="0" w:type="dxa"/>
          </w:tblCellMar>
        </w:tblPrEx>
        <w:trPr>
          <w:cantSplit/>
        </w:trPr>
        <w:tc>
          <w:tcPr>
            <w:tcW w:w="2800" w:type="dxa"/>
            <w:vMerge/>
          </w:tcPr>
          <w:p w:rsidR="00B44C11" w:rsidRDefault="00B44C11">
            <w:pPr>
              <w:pStyle w:val="a0"/>
              <w:jc w:val="left"/>
            </w:pPr>
          </w:p>
        </w:tc>
        <w:tc>
          <w:tcPr>
            <w:tcW w:w="4146" w:type="dxa"/>
            <w:vMerge/>
          </w:tcPr>
          <w:p w:rsidR="00B44C11" w:rsidRDefault="00B44C11">
            <w:pPr>
              <w:pStyle w:val="a0"/>
              <w:jc w:val="left"/>
            </w:pPr>
          </w:p>
        </w:tc>
        <w:tc>
          <w:tcPr>
            <w:tcW w:w="5812" w:type="dxa"/>
          </w:tcPr>
          <w:p w:rsidR="00B44C11" w:rsidRDefault="00B44C11">
            <w:pPr>
              <w:pStyle w:val="a0"/>
              <w:jc w:val="left"/>
              <w:rPr>
                <w:i/>
              </w:rPr>
            </w:pPr>
            <w:r>
              <w:rPr>
                <w:i/>
              </w:rPr>
              <w:t>Статья 13: Экономическая и социальная жизнь</w:t>
            </w:r>
          </w:p>
          <w:p w:rsidR="00B44C11" w:rsidRDefault="00B44C11">
            <w:pPr>
              <w:pStyle w:val="a0"/>
              <w:jc w:val="left"/>
            </w:pPr>
            <w:r>
              <w:t>Консультирование по финансовым вопросам с целью помочь женщинам обеспечить себя средствами для выхода на пенсию.</w:t>
            </w:r>
          </w:p>
        </w:tc>
      </w:tr>
      <w:tr w:rsidR="00B44C11">
        <w:tblPrEx>
          <w:tblCellMar>
            <w:top w:w="0" w:type="dxa"/>
            <w:bottom w:w="0" w:type="dxa"/>
          </w:tblCellMar>
        </w:tblPrEx>
        <w:trPr>
          <w:cantSplit/>
        </w:trPr>
        <w:tc>
          <w:tcPr>
            <w:tcW w:w="2800" w:type="dxa"/>
            <w:vMerge/>
          </w:tcPr>
          <w:p w:rsidR="00B44C11" w:rsidRDefault="00B44C11">
            <w:pPr>
              <w:pStyle w:val="a0"/>
              <w:jc w:val="left"/>
            </w:pPr>
          </w:p>
        </w:tc>
        <w:tc>
          <w:tcPr>
            <w:tcW w:w="4146" w:type="dxa"/>
            <w:vMerge/>
          </w:tcPr>
          <w:p w:rsidR="00B44C11" w:rsidRDefault="00B44C11">
            <w:pPr>
              <w:pStyle w:val="a0"/>
              <w:jc w:val="left"/>
            </w:pPr>
          </w:p>
        </w:tc>
        <w:tc>
          <w:tcPr>
            <w:tcW w:w="5812" w:type="dxa"/>
          </w:tcPr>
          <w:p w:rsidR="00B44C11" w:rsidRDefault="00B44C11">
            <w:pPr>
              <w:pStyle w:val="a0"/>
              <w:jc w:val="left"/>
              <w:rPr>
                <w:i/>
              </w:rPr>
            </w:pPr>
            <w:r>
              <w:rPr>
                <w:i/>
              </w:rPr>
              <w:t>Статья 16: Брак и семейная жизнь</w:t>
            </w:r>
          </w:p>
          <w:p w:rsidR="00B44C11" w:rsidRDefault="00B44C11">
            <w:pPr>
              <w:pStyle w:val="a0"/>
              <w:jc w:val="left"/>
            </w:pPr>
            <w:r>
              <w:t>Введение пакета услуг "Работая для семей"</w:t>
            </w:r>
          </w:p>
        </w:tc>
      </w:tr>
      <w:tr w:rsidR="00B44C11">
        <w:tblPrEx>
          <w:tblCellMar>
            <w:top w:w="0" w:type="dxa"/>
            <w:bottom w:w="0" w:type="dxa"/>
          </w:tblCellMar>
        </w:tblPrEx>
        <w:trPr>
          <w:cantSplit/>
        </w:trPr>
        <w:tc>
          <w:tcPr>
            <w:tcW w:w="2800" w:type="dxa"/>
            <w:vMerge/>
          </w:tcPr>
          <w:p w:rsidR="00B44C11" w:rsidRDefault="00B44C11">
            <w:pPr>
              <w:pStyle w:val="a0"/>
              <w:jc w:val="left"/>
            </w:pPr>
          </w:p>
        </w:tc>
        <w:tc>
          <w:tcPr>
            <w:tcW w:w="4146" w:type="dxa"/>
          </w:tcPr>
          <w:p w:rsidR="00B44C11" w:rsidRDefault="00B44C11">
            <w:pPr>
              <w:pStyle w:val="a0"/>
              <w:jc w:val="left"/>
            </w:pPr>
            <w:r>
              <w:t>Повышать достижения женщин, особенно женщин-маори, в предпринимательской деятельности.</w:t>
            </w:r>
          </w:p>
        </w:tc>
        <w:tc>
          <w:tcPr>
            <w:tcW w:w="5812" w:type="dxa"/>
          </w:tcPr>
          <w:p w:rsidR="00B44C11" w:rsidRDefault="00B44C11">
            <w:pPr>
              <w:pStyle w:val="a0"/>
              <w:jc w:val="left"/>
              <w:rPr>
                <w:i/>
              </w:rPr>
            </w:pPr>
            <w:r>
              <w:rPr>
                <w:i/>
              </w:rPr>
              <w:t>Статья 11: Занятость</w:t>
            </w:r>
          </w:p>
          <w:p w:rsidR="00B44C11" w:rsidRDefault="00B44C11">
            <w:pPr>
              <w:pStyle w:val="a0"/>
              <w:jc w:val="left"/>
            </w:pPr>
            <w:r>
              <w:t>Создание руководящей группы женщин, занимающихся предпринимательской деятельностью.</w:t>
            </w:r>
          </w:p>
        </w:tc>
      </w:tr>
      <w:tr w:rsidR="00B44C11">
        <w:tblPrEx>
          <w:tblCellMar>
            <w:top w:w="0" w:type="dxa"/>
            <w:bottom w:w="0" w:type="dxa"/>
          </w:tblCellMar>
        </w:tblPrEx>
        <w:trPr>
          <w:cantSplit/>
        </w:trPr>
        <w:tc>
          <w:tcPr>
            <w:tcW w:w="2800" w:type="dxa"/>
            <w:vMerge/>
          </w:tcPr>
          <w:p w:rsidR="00B44C11" w:rsidRDefault="00B44C11">
            <w:pPr>
              <w:pStyle w:val="a0"/>
              <w:jc w:val="left"/>
            </w:pPr>
          </w:p>
        </w:tc>
        <w:tc>
          <w:tcPr>
            <w:tcW w:w="4146" w:type="dxa"/>
            <w:vMerge w:val="restart"/>
          </w:tcPr>
          <w:p w:rsidR="00B44C11" w:rsidRDefault="00B44C11">
            <w:pPr>
              <w:pStyle w:val="a0"/>
              <w:jc w:val="left"/>
            </w:pPr>
            <w:r>
              <w:t>Расширить участие женщин в руководстве и принятии решений в экономическом секторе.</w:t>
            </w:r>
          </w:p>
        </w:tc>
        <w:tc>
          <w:tcPr>
            <w:tcW w:w="5812" w:type="dxa"/>
          </w:tcPr>
          <w:p w:rsidR="00B44C11" w:rsidRDefault="00B44C11">
            <w:pPr>
              <w:pStyle w:val="a0"/>
              <w:jc w:val="left"/>
              <w:rPr>
                <w:i/>
              </w:rPr>
            </w:pPr>
            <w:r>
              <w:rPr>
                <w:i/>
              </w:rPr>
              <w:t>Статья 7: Политическая и общественная жизнь</w:t>
            </w:r>
          </w:p>
          <w:p w:rsidR="00B44C11" w:rsidRDefault="00B44C11">
            <w:pPr>
              <w:pStyle w:val="a0"/>
              <w:jc w:val="left"/>
            </w:pPr>
            <w:r>
              <w:t>Служба по вопросам назначений Министерства по делам женщин. Политики равных возможностей занятости.</w:t>
            </w:r>
          </w:p>
        </w:tc>
      </w:tr>
      <w:tr w:rsidR="00B44C11">
        <w:tblPrEx>
          <w:tblCellMar>
            <w:top w:w="0" w:type="dxa"/>
            <w:bottom w:w="0" w:type="dxa"/>
          </w:tblCellMar>
        </w:tblPrEx>
        <w:trPr>
          <w:cantSplit/>
        </w:trPr>
        <w:tc>
          <w:tcPr>
            <w:tcW w:w="2800" w:type="dxa"/>
            <w:vMerge/>
          </w:tcPr>
          <w:p w:rsidR="00B44C11" w:rsidRDefault="00B44C11">
            <w:pPr>
              <w:pStyle w:val="a0"/>
              <w:jc w:val="left"/>
            </w:pPr>
          </w:p>
        </w:tc>
        <w:tc>
          <w:tcPr>
            <w:tcW w:w="4146" w:type="dxa"/>
            <w:vMerge/>
          </w:tcPr>
          <w:p w:rsidR="00B44C11" w:rsidRDefault="00B44C11">
            <w:pPr>
              <w:pStyle w:val="a0"/>
              <w:jc w:val="left"/>
            </w:pPr>
          </w:p>
        </w:tc>
        <w:tc>
          <w:tcPr>
            <w:tcW w:w="5812" w:type="dxa"/>
          </w:tcPr>
          <w:p w:rsidR="00B44C11" w:rsidRDefault="00B44C11">
            <w:pPr>
              <w:pStyle w:val="a0"/>
              <w:jc w:val="left"/>
              <w:rPr>
                <w:i/>
              </w:rPr>
            </w:pPr>
            <w:r>
              <w:rPr>
                <w:i/>
              </w:rPr>
              <w:t>Статья 11: Занятость</w:t>
            </w:r>
          </w:p>
          <w:p w:rsidR="00B44C11" w:rsidRDefault="00B44C11">
            <w:pPr>
              <w:pStyle w:val="a0"/>
              <w:spacing w:after="120"/>
              <w:jc w:val="left"/>
              <w:rPr>
                <w:i/>
              </w:rPr>
            </w:pPr>
            <w:r>
              <w:t>План действий по обеспечению равенства в оплате труда и занятости.</w:t>
            </w:r>
          </w:p>
        </w:tc>
      </w:tr>
      <w:tr w:rsidR="00B44C11">
        <w:tblPrEx>
          <w:tblCellMar>
            <w:top w:w="0" w:type="dxa"/>
            <w:bottom w:w="0" w:type="dxa"/>
          </w:tblCellMar>
        </w:tblPrEx>
        <w:trPr>
          <w:cantSplit/>
        </w:trPr>
        <w:tc>
          <w:tcPr>
            <w:tcW w:w="2800" w:type="dxa"/>
            <w:vMerge w:val="restart"/>
          </w:tcPr>
          <w:p w:rsidR="00B44C11" w:rsidRDefault="00B44C11">
            <w:pPr>
              <w:pStyle w:val="a0"/>
              <w:spacing w:before="120" w:after="120"/>
              <w:jc w:val="left"/>
              <w:rPr>
                <w:b/>
              </w:rPr>
            </w:pPr>
            <w:r>
              <w:rPr>
                <w:b/>
              </w:rPr>
              <w:t>Будет обеспечена лучшая сбалансированность сочетания трудовой деятельности и заботы о семье</w:t>
            </w:r>
          </w:p>
        </w:tc>
        <w:tc>
          <w:tcPr>
            <w:tcW w:w="4146" w:type="dxa"/>
          </w:tcPr>
          <w:p w:rsidR="00B44C11" w:rsidRDefault="00B44C11">
            <w:pPr>
              <w:pStyle w:val="a0"/>
              <w:spacing w:before="120" w:after="120"/>
              <w:jc w:val="left"/>
            </w:pPr>
            <w:r>
              <w:t>Обеспечить улучшение сбалансированного сочетания трудовой деятельности и заботы о семье в Новой Зеландии.</w:t>
            </w:r>
          </w:p>
        </w:tc>
        <w:tc>
          <w:tcPr>
            <w:tcW w:w="5812" w:type="dxa"/>
          </w:tcPr>
          <w:p w:rsidR="00B44C11" w:rsidRDefault="00B44C11">
            <w:pPr>
              <w:pStyle w:val="a0"/>
              <w:spacing w:before="120" w:after="120"/>
              <w:jc w:val="left"/>
              <w:rPr>
                <w:i/>
              </w:rPr>
            </w:pPr>
            <w:r>
              <w:rPr>
                <w:i/>
              </w:rPr>
              <w:t>Статья 11: Занятость</w:t>
            </w:r>
          </w:p>
          <w:p w:rsidR="00B44C11" w:rsidRDefault="00B44C11">
            <w:pPr>
              <w:pStyle w:val="a0"/>
              <w:spacing w:before="120" w:after="120"/>
              <w:jc w:val="left"/>
            </w:pPr>
            <w:r>
              <w:t>Проект обеспечения сбалансированного сочетания трудовой деятельности и заботы о семье.</w:t>
            </w:r>
          </w:p>
        </w:tc>
      </w:tr>
      <w:tr w:rsidR="00B44C11">
        <w:tblPrEx>
          <w:tblCellMar>
            <w:top w:w="0" w:type="dxa"/>
            <w:bottom w:w="0" w:type="dxa"/>
          </w:tblCellMar>
        </w:tblPrEx>
        <w:trPr>
          <w:cantSplit/>
        </w:trPr>
        <w:tc>
          <w:tcPr>
            <w:tcW w:w="2800" w:type="dxa"/>
            <w:vMerge/>
          </w:tcPr>
          <w:p w:rsidR="00B44C11" w:rsidRDefault="00B44C11">
            <w:pPr>
              <w:pStyle w:val="a0"/>
              <w:spacing w:before="120" w:after="120"/>
              <w:jc w:val="left"/>
              <w:rPr>
                <w:b/>
              </w:rPr>
            </w:pPr>
          </w:p>
        </w:tc>
        <w:tc>
          <w:tcPr>
            <w:tcW w:w="4146" w:type="dxa"/>
          </w:tcPr>
          <w:p w:rsidR="00B44C11" w:rsidRDefault="00B44C11">
            <w:pPr>
              <w:pStyle w:val="a0"/>
              <w:spacing w:before="120" w:after="120"/>
              <w:jc w:val="left"/>
            </w:pPr>
            <w:r>
              <w:t>Поддерживать предложения, которые могут продемонстрировать роль неоплачиваемого труда в экономике.</w:t>
            </w:r>
          </w:p>
        </w:tc>
        <w:tc>
          <w:tcPr>
            <w:tcW w:w="5812" w:type="dxa"/>
          </w:tcPr>
          <w:p w:rsidR="00B44C11" w:rsidRDefault="00B44C11">
            <w:pPr>
              <w:pStyle w:val="a0"/>
              <w:spacing w:before="120" w:after="120"/>
              <w:jc w:val="left"/>
              <w:rPr>
                <w:i/>
              </w:rPr>
            </w:pPr>
            <w:r>
              <w:rPr>
                <w:i/>
              </w:rPr>
              <w:t>Статья 13: Экономическая и социальная жизнь</w:t>
            </w:r>
          </w:p>
          <w:p w:rsidR="00B44C11" w:rsidRDefault="00B44C11">
            <w:pPr>
              <w:pStyle w:val="a0"/>
              <w:spacing w:before="120" w:after="120"/>
              <w:jc w:val="left"/>
            </w:pPr>
            <w:r>
              <w:t>Расширение Обследования использования времени и создание вспомогательных счетов для сбора данных о неоплачиваемой работе.</w:t>
            </w:r>
          </w:p>
        </w:tc>
      </w:tr>
      <w:tr w:rsidR="00B44C11">
        <w:tblPrEx>
          <w:tblCellMar>
            <w:top w:w="0" w:type="dxa"/>
            <w:bottom w:w="0" w:type="dxa"/>
          </w:tblCellMar>
        </w:tblPrEx>
        <w:trPr>
          <w:cantSplit/>
        </w:trPr>
        <w:tc>
          <w:tcPr>
            <w:tcW w:w="2800" w:type="dxa"/>
            <w:vMerge/>
          </w:tcPr>
          <w:p w:rsidR="00B44C11" w:rsidRDefault="00B44C11">
            <w:pPr>
              <w:pStyle w:val="a0"/>
              <w:spacing w:before="120" w:after="120"/>
              <w:jc w:val="left"/>
              <w:rPr>
                <w:b/>
              </w:rPr>
            </w:pPr>
          </w:p>
        </w:tc>
        <w:tc>
          <w:tcPr>
            <w:tcW w:w="4146" w:type="dxa"/>
          </w:tcPr>
          <w:p w:rsidR="00B44C11" w:rsidRDefault="00B44C11">
            <w:pPr>
              <w:pStyle w:val="a0"/>
              <w:spacing w:before="120" w:after="120"/>
              <w:jc w:val="left"/>
            </w:pPr>
            <w:r>
              <w:t>Расширить доступ к оплачиваемому отпуску по уходу за ребенком.</w:t>
            </w:r>
          </w:p>
        </w:tc>
        <w:tc>
          <w:tcPr>
            <w:tcW w:w="5812" w:type="dxa"/>
          </w:tcPr>
          <w:p w:rsidR="00B44C11" w:rsidRDefault="00B44C11">
            <w:pPr>
              <w:pStyle w:val="a0"/>
              <w:spacing w:before="120" w:after="120"/>
              <w:jc w:val="left"/>
              <w:rPr>
                <w:i/>
              </w:rPr>
            </w:pPr>
            <w:r>
              <w:rPr>
                <w:i/>
              </w:rPr>
              <w:t>Статья 11: Занятость</w:t>
            </w:r>
          </w:p>
          <w:p w:rsidR="00B44C11" w:rsidRDefault="00B44C11">
            <w:pPr>
              <w:pStyle w:val="a0"/>
              <w:spacing w:before="120" w:after="120"/>
              <w:jc w:val="left"/>
            </w:pPr>
            <w:r>
              <w:t>Развитие Проекта по предоставлению оплачиваемого отпуска по уходу за ребенком.</w:t>
            </w:r>
          </w:p>
        </w:tc>
      </w:tr>
      <w:tr w:rsidR="00B44C11">
        <w:tblPrEx>
          <w:tblCellMar>
            <w:top w:w="0" w:type="dxa"/>
            <w:bottom w:w="0" w:type="dxa"/>
          </w:tblCellMar>
        </w:tblPrEx>
        <w:trPr>
          <w:cantSplit/>
        </w:trPr>
        <w:tc>
          <w:tcPr>
            <w:tcW w:w="2800" w:type="dxa"/>
            <w:vMerge/>
          </w:tcPr>
          <w:p w:rsidR="00B44C11" w:rsidRDefault="00B44C11">
            <w:pPr>
              <w:pStyle w:val="a0"/>
              <w:spacing w:before="120" w:after="120"/>
              <w:jc w:val="left"/>
              <w:rPr>
                <w:b/>
              </w:rPr>
            </w:pPr>
          </w:p>
        </w:tc>
        <w:tc>
          <w:tcPr>
            <w:tcW w:w="4146" w:type="dxa"/>
            <w:vMerge w:val="restart"/>
          </w:tcPr>
          <w:p w:rsidR="00B44C11" w:rsidRDefault="00B44C11">
            <w:pPr>
              <w:pStyle w:val="a0"/>
              <w:spacing w:before="120" w:after="120"/>
              <w:jc w:val="left"/>
            </w:pPr>
          </w:p>
        </w:tc>
        <w:tc>
          <w:tcPr>
            <w:tcW w:w="5812" w:type="dxa"/>
          </w:tcPr>
          <w:p w:rsidR="00B44C11" w:rsidRDefault="00B44C11">
            <w:pPr>
              <w:pStyle w:val="a0"/>
              <w:spacing w:before="120" w:after="120"/>
              <w:jc w:val="left"/>
              <w:rPr>
                <w:i/>
              </w:rPr>
            </w:pPr>
            <w:r>
              <w:rPr>
                <w:i/>
              </w:rPr>
              <w:t>Статья 10: Образование</w:t>
            </w:r>
          </w:p>
          <w:p w:rsidR="00B44C11" w:rsidRDefault="00B44C11">
            <w:pPr>
              <w:pStyle w:val="a0"/>
              <w:spacing w:before="120" w:after="120"/>
              <w:jc w:val="left"/>
            </w:pPr>
            <w:r>
              <w:t>Увеличение финансирования на обучение детей в раннем детском возрасте.</w:t>
            </w:r>
          </w:p>
        </w:tc>
      </w:tr>
      <w:tr w:rsidR="00B44C11">
        <w:tblPrEx>
          <w:tblCellMar>
            <w:top w:w="0" w:type="dxa"/>
            <w:bottom w:w="0" w:type="dxa"/>
          </w:tblCellMar>
        </w:tblPrEx>
        <w:trPr>
          <w:cantSplit/>
        </w:trPr>
        <w:tc>
          <w:tcPr>
            <w:tcW w:w="2800" w:type="dxa"/>
            <w:vMerge/>
          </w:tcPr>
          <w:p w:rsidR="00B44C11" w:rsidRDefault="00B44C11">
            <w:pPr>
              <w:pStyle w:val="a0"/>
              <w:spacing w:before="120" w:after="120"/>
              <w:jc w:val="left"/>
              <w:rPr>
                <w:b/>
              </w:rPr>
            </w:pPr>
          </w:p>
        </w:tc>
        <w:tc>
          <w:tcPr>
            <w:tcW w:w="4146" w:type="dxa"/>
            <w:vMerge/>
          </w:tcPr>
          <w:p w:rsidR="00B44C11" w:rsidRDefault="00B44C11">
            <w:pPr>
              <w:pStyle w:val="a0"/>
              <w:spacing w:before="120" w:after="120"/>
              <w:jc w:val="left"/>
            </w:pPr>
          </w:p>
        </w:tc>
        <w:tc>
          <w:tcPr>
            <w:tcW w:w="5812" w:type="dxa"/>
          </w:tcPr>
          <w:p w:rsidR="00B44C11" w:rsidRDefault="00B44C11">
            <w:pPr>
              <w:pStyle w:val="a0"/>
              <w:spacing w:before="120" w:after="120"/>
              <w:jc w:val="left"/>
              <w:rPr>
                <w:i/>
              </w:rPr>
            </w:pPr>
            <w:r>
              <w:rPr>
                <w:i/>
              </w:rPr>
              <w:t>Статья 11: Занятость</w:t>
            </w:r>
          </w:p>
          <w:p w:rsidR="00B44C11" w:rsidRDefault="00B44C11">
            <w:pPr>
              <w:pStyle w:val="a0"/>
              <w:spacing w:before="120" w:after="120"/>
              <w:jc w:val="left"/>
            </w:pPr>
            <w:r>
              <w:t xml:space="preserve">Увеличение субсидий на уход за детьми и на внешкольный уход за детьми. </w:t>
            </w:r>
          </w:p>
        </w:tc>
      </w:tr>
      <w:tr w:rsidR="00B44C11">
        <w:tblPrEx>
          <w:tblCellMar>
            <w:top w:w="0" w:type="dxa"/>
            <w:bottom w:w="0" w:type="dxa"/>
          </w:tblCellMar>
        </w:tblPrEx>
        <w:trPr>
          <w:cantSplit/>
        </w:trPr>
        <w:tc>
          <w:tcPr>
            <w:tcW w:w="2800" w:type="dxa"/>
            <w:vMerge w:val="restart"/>
          </w:tcPr>
          <w:p w:rsidR="00B44C11" w:rsidRDefault="00B44C11">
            <w:pPr>
              <w:pStyle w:val="a0"/>
              <w:pageBreakBefore/>
              <w:spacing w:before="120" w:after="20"/>
              <w:jc w:val="left"/>
              <w:rPr>
                <w:b/>
              </w:rPr>
            </w:pPr>
            <w:r>
              <w:rPr>
                <w:b/>
              </w:rPr>
              <w:t>Будет улучшено качество жизни для всех женщин Новой Зеландии</w:t>
            </w:r>
          </w:p>
        </w:tc>
        <w:tc>
          <w:tcPr>
            <w:tcW w:w="4146" w:type="dxa"/>
            <w:vMerge w:val="restart"/>
          </w:tcPr>
          <w:p w:rsidR="00B44C11" w:rsidRDefault="00B44C11">
            <w:pPr>
              <w:pStyle w:val="a0"/>
              <w:pageBreakBefore/>
              <w:spacing w:before="120" w:after="20"/>
              <w:jc w:val="left"/>
            </w:pPr>
            <w:r>
              <w:t xml:space="preserve">Улучшить доступ к услугам, включая услуги по охране психического здоровья, в частности для сельских женщин, </w:t>
            </w:r>
            <w:r>
              <w:br/>
              <w:t>женщин-инвалидов, пожилых женщин и женщин этнических групп.</w:t>
            </w:r>
          </w:p>
        </w:tc>
        <w:tc>
          <w:tcPr>
            <w:tcW w:w="5812" w:type="dxa"/>
          </w:tcPr>
          <w:p w:rsidR="00B44C11" w:rsidRDefault="00B44C11">
            <w:pPr>
              <w:pStyle w:val="a0"/>
              <w:pageBreakBefore/>
              <w:spacing w:before="120" w:after="20"/>
              <w:jc w:val="left"/>
              <w:rPr>
                <w:i/>
              </w:rPr>
            </w:pPr>
            <w:r>
              <w:rPr>
                <w:i/>
              </w:rPr>
              <w:t>Статья 3: Развитие и улучшение положения женщин</w:t>
            </w:r>
          </w:p>
          <w:p w:rsidR="00B44C11" w:rsidRDefault="00B44C11">
            <w:pPr>
              <w:pStyle w:val="a0"/>
              <w:pageBreakBefore/>
              <w:spacing w:before="20" w:after="0"/>
              <w:jc w:val="left"/>
            </w:pPr>
            <w:r>
              <w:t>Языковые услуги.</w:t>
            </w:r>
          </w:p>
          <w:p w:rsidR="00B44C11" w:rsidRDefault="00B44C11">
            <w:pPr>
              <w:pStyle w:val="a0"/>
              <w:pageBreakBefore/>
              <w:spacing w:before="20" w:after="0"/>
              <w:jc w:val="left"/>
            </w:pPr>
            <w:r>
              <w:t>Осуществление новозеландской стратегии ассимиляции.</w:t>
            </w:r>
          </w:p>
        </w:tc>
      </w:tr>
      <w:tr w:rsidR="00B44C11">
        <w:tblPrEx>
          <w:tblCellMar>
            <w:top w:w="0" w:type="dxa"/>
            <w:bottom w:w="0" w:type="dxa"/>
          </w:tblCellMar>
        </w:tblPrEx>
        <w:trPr>
          <w:cantSplit/>
        </w:trPr>
        <w:tc>
          <w:tcPr>
            <w:tcW w:w="2800" w:type="dxa"/>
            <w:vMerge/>
          </w:tcPr>
          <w:p w:rsidR="00B44C11" w:rsidRDefault="00B44C11">
            <w:pPr>
              <w:pStyle w:val="a0"/>
              <w:spacing w:before="20" w:after="20"/>
              <w:jc w:val="left"/>
            </w:pPr>
          </w:p>
        </w:tc>
        <w:tc>
          <w:tcPr>
            <w:tcW w:w="4146" w:type="dxa"/>
            <w:vMerge/>
          </w:tcPr>
          <w:p w:rsidR="00B44C11" w:rsidRDefault="00B44C11">
            <w:pPr>
              <w:pStyle w:val="a0"/>
              <w:spacing w:before="20" w:after="20"/>
              <w:jc w:val="left"/>
            </w:pPr>
          </w:p>
        </w:tc>
        <w:tc>
          <w:tcPr>
            <w:tcW w:w="5812" w:type="dxa"/>
          </w:tcPr>
          <w:p w:rsidR="00B44C11" w:rsidRDefault="00B44C11">
            <w:pPr>
              <w:pStyle w:val="a0"/>
              <w:spacing w:before="20" w:after="0"/>
              <w:jc w:val="left"/>
              <w:rPr>
                <w:i/>
              </w:rPr>
            </w:pPr>
            <w:r>
              <w:rPr>
                <w:i/>
              </w:rPr>
              <w:t xml:space="preserve">Статья 12: Здравоохранение </w:t>
            </w:r>
          </w:p>
          <w:p w:rsidR="00B44C11" w:rsidRDefault="00B44C11">
            <w:pPr>
              <w:pStyle w:val="a0"/>
              <w:spacing w:before="20" w:after="0"/>
              <w:jc w:val="left"/>
            </w:pPr>
            <w:r>
              <w:t>Осуществление Стратегии Новой Зеландии в области инвалидности.</w:t>
            </w:r>
          </w:p>
        </w:tc>
      </w:tr>
      <w:tr w:rsidR="00B44C11">
        <w:tblPrEx>
          <w:tblCellMar>
            <w:top w:w="0" w:type="dxa"/>
            <w:bottom w:w="0" w:type="dxa"/>
          </w:tblCellMar>
        </w:tblPrEx>
        <w:trPr>
          <w:cantSplit/>
        </w:trPr>
        <w:tc>
          <w:tcPr>
            <w:tcW w:w="2800" w:type="dxa"/>
            <w:vMerge/>
          </w:tcPr>
          <w:p w:rsidR="00B44C11" w:rsidRDefault="00B44C11">
            <w:pPr>
              <w:pStyle w:val="a0"/>
              <w:spacing w:before="20" w:after="20"/>
              <w:jc w:val="left"/>
            </w:pPr>
          </w:p>
        </w:tc>
        <w:tc>
          <w:tcPr>
            <w:tcW w:w="4146" w:type="dxa"/>
            <w:vMerge/>
          </w:tcPr>
          <w:p w:rsidR="00B44C11" w:rsidRDefault="00B44C11">
            <w:pPr>
              <w:pStyle w:val="a0"/>
              <w:spacing w:before="20" w:after="20"/>
              <w:jc w:val="left"/>
            </w:pPr>
          </w:p>
        </w:tc>
        <w:tc>
          <w:tcPr>
            <w:tcW w:w="5812" w:type="dxa"/>
          </w:tcPr>
          <w:p w:rsidR="00B44C11" w:rsidRDefault="00B44C11">
            <w:pPr>
              <w:pStyle w:val="a0"/>
              <w:spacing w:before="20" w:after="0"/>
              <w:jc w:val="left"/>
              <w:rPr>
                <w:i/>
              </w:rPr>
            </w:pPr>
            <w:r>
              <w:rPr>
                <w:i/>
              </w:rPr>
              <w:t>Статья 14: Женщины, проживающие в сельской местности</w:t>
            </w:r>
          </w:p>
          <w:p w:rsidR="00B44C11" w:rsidRDefault="00B44C11">
            <w:pPr>
              <w:pStyle w:val="a0"/>
              <w:spacing w:before="20" w:after="0"/>
              <w:jc w:val="left"/>
            </w:pPr>
            <w:r>
              <w:t>Услуги "Хартленд".</w:t>
            </w:r>
          </w:p>
          <w:p w:rsidR="00B44C11" w:rsidRDefault="00B44C11">
            <w:pPr>
              <w:pStyle w:val="a0"/>
              <w:spacing w:before="20" w:after="0"/>
              <w:jc w:val="left"/>
            </w:pPr>
            <w:r>
              <w:t>Электронный доступ к правительственным учреждениям.</w:t>
            </w:r>
          </w:p>
          <w:p w:rsidR="00B44C11" w:rsidRDefault="00B44C11">
            <w:pPr>
              <w:pStyle w:val="a0"/>
              <w:spacing w:before="20" w:after="0"/>
              <w:jc w:val="left"/>
            </w:pPr>
            <w:r>
              <w:t>Организация первичной медико-санитарной службы в сельской местности.</w:t>
            </w:r>
          </w:p>
          <w:p w:rsidR="00B44C11" w:rsidRDefault="00B44C11">
            <w:pPr>
              <w:pStyle w:val="a0"/>
              <w:spacing w:before="20" w:after="0"/>
              <w:jc w:val="left"/>
            </w:pPr>
            <w:r>
              <w:t>Организация и реализация других услуг медико-санитарного обслуживания населения в сельской местности.</w:t>
            </w:r>
          </w:p>
        </w:tc>
      </w:tr>
      <w:tr w:rsidR="00B44C11">
        <w:tblPrEx>
          <w:tblCellMar>
            <w:top w:w="0" w:type="dxa"/>
            <w:bottom w:w="0" w:type="dxa"/>
          </w:tblCellMar>
        </w:tblPrEx>
        <w:trPr>
          <w:cantSplit/>
        </w:trPr>
        <w:tc>
          <w:tcPr>
            <w:tcW w:w="2800" w:type="dxa"/>
            <w:vMerge/>
          </w:tcPr>
          <w:p w:rsidR="00B44C11" w:rsidRDefault="00B44C11">
            <w:pPr>
              <w:pStyle w:val="a0"/>
              <w:spacing w:before="20" w:after="20"/>
              <w:jc w:val="left"/>
            </w:pPr>
          </w:p>
        </w:tc>
        <w:tc>
          <w:tcPr>
            <w:tcW w:w="4146" w:type="dxa"/>
          </w:tcPr>
          <w:p w:rsidR="00B44C11" w:rsidRDefault="00B44C11">
            <w:pPr>
              <w:pStyle w:val="a0"/>
              <w:spacing w:before="20" w:after="20"/>
              <w:jc w:val="left"/>
            </w:pPr>
            <w:r>
              <w:t>Снизить число случаев насилия и воздействие насилия на женщин.</w:t>
            </w:r>
          </w:p>
        </w:tc>
        <w:tc>
          <w:tcPr>
            <w:tcW w:w="5812" w:type="dxa"/>
          </w:tcPr>
          <w:p w:rsidR="00B44C11" w:rsidRDefault="00B44C11">
            <w:pPr>
              <w:pStyle w:val="a0"/>
              <w:spacing w:before="20" w:after="0"/>
              <w:jc w:val="left"/>
              <w:rPr>
                <w:i/>
              </w:rPr>
            </w:pPr>
            <w:r>
              <w:rPr>
                <w:i/>
              </w:rPr>
              <w:t>Статья 16: Брак и семейная жизнь</w:t>
            </w:r>
          </w:p>
          <w:p w:rsidR="00B44C11" w:rsidRDefault="00B44C11">
            <w:pPr>
              <w:pStyle w:val="a0"/>
              <w:spacing w:before="20" w:after="0"/>
              <w:jc w:val="left"/>
            </w:pPr>
            <w:r>
              <w:t>Те Рито: новозеландская стратегия предотвращения насилия в семье и связанные с ней инициативы.</w:t>
            </w:r>
          </w:p>
          <w:p w:rsidR="00B44C11" w:rsidRDefault="00B44C11">
            <w:pPr>
              <w:pStyle w:val="a0"/>
              <w:spacing w:before="20" w:after="0"/>
              <w:jc w:val="left"/>
            </w:pPr>
            <w:r>
              <w:t>Стратегия сокращения масштабов преступности.</w:t>
            </w:r>
          </w:p>
          <w:p w:rsidR="00B44C11" w:rsidRDefault="00B44C11">
            <w:pPr>
              <w:pStyle w:val="a0"/>
              <w:spacing w:before="20" w:after="0"/>
              <w:jc w:val="left"/>
            </w:pPr>
            <w:r>
              <w:t>План действий по снижению уровня насилия в общинах и сексуального насилия.</w:t>
            </w:r>
          </w:p>
          <w:p w:rsidR="00B44C11" w:rsidRDefault="00B44C11">
            <w:pPr>
              <w:pStyle w:val="a0"/>
              <w:spacing w:before="20" w:after="0"/>
              <w:jc w:val="left"/>
            </w:pPr>
            <w:r>
              <w:t>План действий по снижению уровня насилия в семье.</w:t>
            </w:r>
          </w:p>
        </w:tc>
      </w:tr>
      <w:tr w:rsidR="00B44C11">
        <w:tblPrEx>
          <w:tblCellMar>
            <w:top w:w="0" w:type="dxa"/>
            <w:bottom w:w="0" w:type="dxa"/>
          </w:tblCellMar>
        </w:tblPrEx>
        <w:trPr>
          <w:cantSplit/>
        </w:trPr>
        <w:tc>
          <w:tcPr>
            <w:tcW w:w="2800" w:type="dxa"/>
            <w:vMerge/>
          </w:tcPr>
          <w:p w:rsidR="00B44C11" w:rsidRDefault="00B44C11">
            <w:pPr>
              <w:pStyle w:val="a0"/>
              <w:spacing w:before="20" w:after="20"/>
              <w:jc w:val="left"/>
            </w:pPr>
          </w:p>
        </w:tc>
        <w:tc>
          <w:tcPr>
            <w:tcW w:w="4146" w:type="dxa"/>
          </w:tcPr>
          <w:p w:rsidR="00B44C11" w:rsidRDefault="00B44C11">
            <w:pPr>
              <w:pStyle w:val="a0"/>
              <w:spacing w:before="20" w:after="20"/>
              <w:jc w:val="left"/>
            </w:pPr>
            <w:r>
              <w:t>Улучшить состояние здоровья женщин.</w:t>
            </w:r>
          </w:p>
        </w:tc>
        <w:tc>
          <w:tcPr>
            <w:tcW w:w="5812" w:type="dxa"/>
          </w:tcPr>
          <w:p w:rsidR="00B44C11" w:rsidRDefault="00B44C11">
            <w:pPr>
              <w:pStyle w:val="a0"/>
              <w:spacing w:before="20" w:after="0"/>
              <w:jc w:val="left"/>
              <w:rPr>
                <w:i/>
              </w:rPr>
            </w:pPr>
            <w:r>
              <w:rPr>
                <w:i/>
              </w:rPr>
              <w:t xml:space="preserve">Статья 12: Здравоохранение </w:t>
            </w:r>
          </w:p>
          <w:p w:rsidR="00B44C11" w:rsidRDefault="00B44C11">
            <w:pPr>
              <w:pStyle w:val="a0"/>
              <w:spacing w:before="20" w:after="0"/>
              <w:jc w:val="left"/>
            </w:pPr>
            <w:r>
              <w:t>Стратегия сексуального и репродуктивного здоровья.</w:t>
            </w:r>
          </w:p>
          <w:p w:rsidR="00B44C11" w:rsidRDefault="00B44C11">
            <w:pPr>
              <w:pStyle w:val="a0"/>
              <w:spacing w:before="20" w:after="0"/>
              <w:jc w:val="left"/>
            </w:pPr>
            <w:r>
              <w:t>Программа Аукати Каи Пайпа для снижения курения женщин-маори.</w:t>
            </w:r>
          </w:p>
          <w:p w:rsidR="00B44C11" w:rsidRDefault="00B44C11">
            <w:pPr>
              <w:pStyle w:val="a0"/>
              <w:spacing w:before="20" w:after="0"/>
              <w:jc w:val="left"/>
            </w:pPr>
            <w:r>
              <w:t>Стратегия охраны психического здоровья.</w:t>
            </w:r>
          </w:p>
          <w:p w:rsidR="00B44C11" w:rsidRDefault="00B44C11">
            <w:pPr>
              <w:pStyle w:val="a0"/>
              <w:spacing w:before="20" w:after="0"/>
              <w:jc w:val="left"/>
            </w:pPr>
            <w:r>
              <w:t xml:space="preserve">Здоровое питание: стратегия действий для борьбы с ожирением. </w:t>
            </w:r>
          </w:p>
        </w:tc>
      </w:tr>
      <w:tr w:rsidR="00B44C11">
        <w:tblPrEx>
          <w:tblCellMar>
            <w:top w:w="0" w:type="dxa"/>
            <w:bottom w:w="0" w:type="dxa"/>
          </w:tblCellMar>
        </w:tblPrEx>
        <w:trPr>
          <w:cantSplit/>
        </w:trPr>
        <w:tc>
          <w:tcPr>
            <w:tcW w:w="2800" w:type="dxa"/>
            <w:vMerge/>
          </w:tcPr>
          <w:p w:rsidR="00B44C11" w:rsidRDefault="00B44C11">
            <w:pPr>
              <w:pStyle w:val="a0"/>
              <w:spacing w:before="20" w:after="20"/>
              <w:jc w:val="left"/>
            </w:pPr>
          </w:p>
        </w:tc>
        <w:tc>
          <w:tcPr>
            <w:tcW w:w="4146" w:type="dxa"/>
            <w:vMerge w:val="restart"/>
          </w:tcPr>
          <w:p w:rsidR="00B44C11" w:rsidRDefault="00B44C11">
            <w:pPr>
              <w:pStyle w:val="a0"/>
              <w:spacing w:before="20" w:after="20"/>
              <w:jc w:val="left"/>
            </w:pPr>
            <w:r>
              <w:t xml:space="preserve">Расширить участие женщин в руководстве и принятии решений в здравоохранении и социальном секторе. </w:t>
            </w:r>
          </w:p>
        </w:tc>
        <w:tc>
          <w:tcPr>
            <w:tcW w:w="5812" w:type="dxa"/>
          </w:tcPr>
          <w:p w:rsidR="00B44C11" w:rsidRDefault="00B44C11">
            <w:pPr>
              <w:pStyle w:val="a0"/>
              <w:spacing w:before="20" w:after="0"/>
              <w:jc w:val="left"/>
              <w:rPr>
                <w:i/>
              </w:rPr>
            </w:pPr>
            <w:r>
              <w:rPr>
                <w:i/>
              </w:rPr>
              <w:t>Статья 7: Политическая и общественная жизнь</w:t>
            </w:r>
          </w:p>
          <w:p w:rsidR="00B44C11" w:rsidRDefault="00B44C11">
            <w:pPr>
              <w:pStyle w:val="a0"/>
              <w:spacing w:before="20" w:after="0"/>
              <w:jc w:val="left"/>
            </w:pPr>
            <w:r>
              <w:t>Служба по вопросам назначений Министерства по делам женщин.</w:t>
            </w:r>
          </w:p>
          <w:p w:rsidR="00B44C11" w:rsidRDefault="00B44C11">
            <w:pPr>
              <w:pStyle w:val="a0"/>
              <w:spacing w:before="20" w:after="0"/>
              <w:jc w:val="left"/>
            </w:pPr>
            <w:r>
              <w:t>Политики равных возможностей занятости (РВЗ).</w:t>
            </w:r>
          </w:p>
        </w:tc>
      </w:tr>
      <w:tr w:rsidR="00B44C11">
        <w:tblPrEx>
          <w:tblCellMar>
            <w:top w:w="0" w:type="dxa"/>
            <w:bottom w:w="0" w:type="dxa"/>
          </w:tblCellMar>
        </w:tblPrEx>
        <w:trPr>
          <w:cantSplit/>
        </w:trPr>
        <w:tc>
          <w:tcPr>
            <w:tcW w:w="2800" w:type="dxa"/>
            <w:vMerge/>
          </w:tcPr>
          <w:p w:rsidR="00B44C11" w:rsidRDefault="00B44C11">
            <w:pPr>
              <w:pStyle w:val="a0"/>
              <w:spacing w:before="20" w:after="20"/>
              <w:jc w:val="left"/>
            </w:pPr>
          </w:p>
        </w:tc>
        <w:tc>
          <w:tcPr>
            <w:tcW w:w="4146" w:type="dxa"/>
            <w:vMerge/>
          </w:tcPr>
          <w:p w:rsidR="00B44C11" w:rsidRDefault="00B44C11">
            <w:pPr>
              <w:pStyle w:val="a0"/>
              <w:spacing w:before="20" w:after="20"/>
              <w:jc w:val="left"/>
            </w:pPr>
          </w:p>
        </w:tc>
        <w:tc>
          <w:tcPr>
            <w:tcW w:w="5812" w:type="dxa"/>
          </w:tcPr>
          <w:p w:rsidR="00B44C11" w:rsidRDefault="00B44C11">
            <w:pPr>
              <w:pStyle w:val="a0"/>
              <w:spacing w:before="20" w:after="20"/>
              <w:jc w:val="left"/>
              <w:rPr>
                <w:i/>
              </w:rPr>
            </w:pPr>
            <w:r>
              <w:rPr>
                <w:i/>
              </w:rPr>
              <w:t>Статья 11: Занятость</w:t>
            </w:r>
          </w:p>
          <w:p w:rsidR="00B44C11" w:rsidRDefault="00B44C11">
            <w:pPr>
              <w:pStyle w:val="a0"/>
              <w:spacing w:before="20" w:after="20"/>
              <w:jc w:val="left"/>
              <w:rPr>
                <w:i/>
              </w:rPr>
            </w:pPr>
            <w:r>
              <w:t>План действий по обеспечению равенства в оплате труда и занятости.</w:t>
            </w:r>
          </w:p>
        </w:tc>
      </w:tr>
    </w:tbl>
    <w:p w:rsidR="00B44C11" w:rsidRDefault="00B44C11">
      <w:pPr>
        <w:pStyle w:val="CommentText"/>
        <w:spacing w:after="0"/>
        <w:rPr>
          <w:sz w:val="4"/>
        </w:rPr>
      </w:pPr>
    </w:p>
    <w:p w:rsidR="00B44C11" w:rsidRDefault="00B44C11">
      <w:pPr>
        <w:pStyle w:val="CommentText"/>
        <w:spacing w:after="0"/>
        <w:rPr>
          <w:sz w:val="4"/>
        </w:rPr>
        <w:sectPr w:rsidR="00B44C11">
          <w:footerReference w:type="default" r:id="rId28"/>
          <w:endnotePr>
            <w:numFmt w:val="decimal"/>
          </w:endnotePr>
          <w:pgSz w:w="15842" w:h="12242" w:orient="landscape" w:code="1"/>
          <w:pgMar w:top="1418" w:right="1418" w:bottom="1418" w:left="1701" w:header="0" w:footer="851" w:gutter="0"/>
          <w:cols w:space="708"/>
          <w:docGrid w:linePitch="360"/>
        </w:sectPr>
      </w:pPr>
    </w:p>
    <w:p w:rsidR="00B44C11" w:rsidRDefault="00B44C11">
      <w:pPr>
        <w:pStyle w:val="Heading3"/>
        <w:rPr>
          <w:kern w:val="14"/>
          <w:lang w:val="ru-RU" w:eastAsia="ru-RU"/>
        </w:rPr>
      </w:pPr>
      <w:r>
        <w:rPr>
          <w:kern w:val="14"/>
          <w:lang w:val="ru-RU" w:eastAsia="ru-RU"/>
        </w:rPr>
        <w:t>Глоссарий</w:t>
      </w:r>
    </w:p>
    <w:tbl>
      <w:tblPr>
        <w:tblW w:w="0" w:type="auto"/>
        <w:tblInd w:w="-106" w:type="dxa"/>
        <w:tblLayout w:type="fixed"/>
        <w:tblLook w:val="01E0" w:firstRow="1" w:lastRow="1" w:firstColumn="1" w:lastColumn="1" w:noHBand="0" w:noVBand="0"/>
      </w:tblPr>
      <w:tblGrid>
        <w:gridCol w:w="1814"/>
        <w:gridCol w:w="1814"/>
        <w:gridCol w:w="5978"/>
      </w:tblGrid>
      <w:tr w:rsidR="00B44C11">
        <w:tblPrEx>
          <w:tblCellMar>
            <w:top w:w="0" w:type="dxa"/>
            <w:bottom w:w="0" w:type="dxa"/>
          </w:tblCellMar>
        </w:tblPrEx>
        <w:tc>
          <w:tcPr>
            <w:tcW w:w="1814" w:type="dxa"/>
          </w:tcPr>
          <w:p w:rsidR="00B44C11" w:rsidRDefault="00B44C11">
            <w:pPr>
              <w:spacing w:after="200"/>
            </w:pPr>
            <w:r>
              <w:t>ACC</w:t>
            </w:r>
          </w:p>
        </w:tc>
        <w:tc>
          <w:tcPr>
            <w:tcW w:w="1814" w:type="dxa"/>
          </w:tcPr>
          <w:p w:rsidR="00B44C11" w:rsidRDefault="00B44C11">
            <w:pPr>
              <w:spacing w:after="200"/>
            </w:pPr>
            <w:r>
              <w:t>НЗККНС</w:t>
            </w:r>
          </w:p>
        </w:tc>
        <w:tc>
          <w:tcPr>
            <w:tcW w:w="5978" w:type="dxa"/>
          </w:tcPr>
          <w:p w:rsidR="00B44C11" w:rsidRDefault="00B44C11">
            <w:pPr>
              <w:spacing w:after="200"/>
            </w:pPr>
            <w:r>
              <w:t>Новозеландская корпорация по компенсации в связи с несчастными случаями</w:t>
            </w:r>
          </w:p>
        </w:tc>
      </w:tr>
      <w:tr w:rsidR="00B44C11">
        <w:tblPrEx>
          <w:tblCellMar>
            <w:top w:w="0" w:type="dxa"/>
            <w:bottom w:w="0" w:type="dxa"/>
          </w:tblCellMar>
        </w:tblPrEx>
        <w:tc>
          <w:tcPr>
            <w:tcW w:w="1814" w:type="dxa"/>
          </w:tcPr>
          <w:p w:rsidR="00B44C11" w:rsidRDefault="00B44C11">
            <w:pPr>
              <w:spacing w:after="200"/>
            </w:pPr>
            <w:r>
              <w:t>BSA</w:t>
            </w:r>
          </w:p>
        </w:tc>
        <w:tc>
          <w:tcPr>
            <w:tcW w:w="1814" w:type="dxa"/>
          </w:tcPr>
          <w:p w:rsidR="00B44C11" w:rsidRDefault="00B44C11">
            <w:pPr>
              <w:spacing w:after="200"/>
            </w:pPr>
            <w:r>
              <w:t>УСВ</w:t>
            </w:r>
          </w:p>
        </w:tc>
        <w:tc>
          <w:tcPr>
            <w:tcW w:w="5978" w:type="dxa"/>
          </w:tcPr>
          <w:p w:rsidR="00B44C11" w:rsidRDefault="00B44C11">
            <w:pPr>
              <w:spacing w:after="200"/>
            </w:pPr>
            <w:r>
              <w:t>Управление по стандартам вещания</w:t>
            </w:r>
          </w:p>
        </w:tc>
      </w:tr>
      <w:tr w:rsidR="00B44C11">
        <w:tblPrEx>
          <w:tblCellMar>
            <w:top w:w="0" w:type="dxa"/>
            <w:bottom w:w="0" w:type="dxa"/>
          </w:tblCellMar>
        </w:tblPrEx>
        <w:tc>
          <w:tcPr>
            <w:tcW w:w="1814" w:type="dxa"/>
          </w:tcPr>
          <w:p w:rsidR="00B44C11" w:rsidRDefault="00B44C11">
            <w:pPr>
              <w:spacing w:after="200"/>
            </w:pPr>
            <w:r>
              <w:t>DHB</w:t>
            </w:r>
          </w:p>
        </w:tc>
        <w:tc>
          <w:tcPr>
            <w:tcW w:w="1814" w:type="dxa"/>
          </w:tcPr>
          <w:p w:rsidR="00B44C11" w:rsidRDefault="00B44C11">
            <w:pPr>
              <w:spacing w:after="200"/>
            </w:pPr>
            <w:r>
              <w:t>ОМСК</w:t>
            </w:r>
          </w:p>
        </w:tc>
        <w:tc>
          <w:tcPr>
            <w:tcW w:w="5978" w:type="dxa"/>
          </w:tcPr>
          <w:p w:rsidR="00B44C11" w:rsidRDefault="00B44C11">
            <w:pPr>
              <w:spacing w:after="200"/>
            </w:pPr>
            <w:r>
              <w:t>Окружная медико-санитарная комиссия</w:t>
            </w:r>
          </w:p>
        </w:tc>
      </w:tr>
      <w:tr w:rsidR="00B44C11">
        <w:tblPrEx>
          <w:tblCellMar>
            <w:top w:w="0" w:type="dxa"/>
            <w:bottom w:w="0" w:type="dxa"/>
          </w:tblCellMar>
        </w:tblPrEx>
        <w:tc>
          <w:tcPr>
            <w:tcW w:w="1814" w:type="dxa"/>
          </w:tcPr>
          <w:p w:rsidR="00B44C11" w:rsidRDefault="00B44C11">
            <w:pPr>
              <w:spacing w:after="200"/>
            </w:pPr>
            <w:r>
              <w:t>DoL</w:t>
            </w:r>
          </w:p>
        </w:tc>
        <w:tc>
          <w:tcPr>
            <w:tcW w:w="1814" w:type="dxa"/>
          </w:tcPr>
          <w:p w:rsidR="00B44C11" w:rsidRDefault="00B44C11">
            <w:pPr>
              <w:spacing w:after="200"/>
            </w:pPr>
            <w:r>
              <w:t>МТ</w:t>
            </w:r>
          </w:p>
        </w:tc>
        <w:tc>
          <w:tcPr>
            <w:tcW w:w="5978" w:type="dxa"/>
          </w:tcPr>
          <w:p w:rsidR="00B44C11" w:rsidRDefault="00B44C11">
            <w:pPr>
              <w:spacing w:after="200"/>
            </w:pPr>
            <w:r>
              <w:rPr>
                <w:caps/>
              </w:rPr>
              <w:t>м</w:t>
            </w:r>
            <w:r>
              <w:t>инистерство труда</w:t>
            </w:r>
          </w:p>
        </w:tc>
      </w:tr>
      <w:tr w:rsidR="00B44C11">
        <w:tblPrEx>
          <w:tblCellMar>
            <w:top w:w="0" w:type="dxa"/>
            <w:bottom w:w="0" w:type="dxa"/>
          </w:tblCellMar>
        </w:tblPrEx>
        <w:tc>
          <w:tcPr>
            <w:tcW w:w="1814" w:type="dxa"/>
          </w:tcPr>
          <w:p w:rsidR="00B44C11" w:rsidRDefault="00B44C11">
            <w:pPr>
              <w:spacing w:after="200"/>
            </w:pPr>
            <w:r>
              <w:t>DSS</w:t>
            </w:r>
          </w:p>
        </w:tc>
        <w:tc>
          <w:tcPr>
            <w:tcW w:w="1814" w:type="dxa"/>
          </w:tcPr>
          <w:p w:rsidR="00B44C11" w:rsidRDefault="00B44C11">
            <w:pPr>
              <w:spacing w:after="200"/>
            </w:pPr>
            <w:r>
              <w:t>ППИ</w:t>
            </w:r>
          </w:p>
        </w:tc>
        <w:tc>
          <w:tcPr>
            <w:tcW w:w="5978" w:type="dxa"/>
          </w:tcPr>
          <w:p w:rsidR="00B44C11" w:rsidRDefault="00B44C11">
            <w:pPr>
              <w:spacing w:after="200"/>
            </w:pPr>
            <w:r>
              <w:t>Программа по оказанию помощи инвалидам</w:t>
            </w:r>
          </w:p>
        </w:tc>
      </w:tr>
      <w:tr w:rsidR="00B44C11">
        <w:tblPrEx>
          <w:tblCellMar>
            <w:top w:w="0" w:type="dxa"/>
            <w:bottom w:w="0" w:type="dxa"/>
          </w:tblCellMar>
        </w:tblPrEx>
        <w:tc>
          <w:tcPr>
            <w:tcW w:w="1814" w:type="dxa"/>
          </w:tcPr>
          <w:p w:rsidR="00B44C11" w:rsidRDefault="00B44C11">
            <w:pPr>
              <w:spacing w:after="200"/>
            </w:pPr>
          </w:p>
        </w:tc>
        <w:tc>
          <w:tcPr>
            <w:tcW w:w="1814" w:type="dxa"/>
          </w:tcPr>
          <w:p w:rsidR="00B44C11" w:rsidRDefault="00B44C11">
            <w:pPr>
              <w:spacing w:after="200"/>
            </w:pPr>
            <w:r>
              <w:t>EARTH</w:t>
            </w:r>
          </w:p>
        </w:tc>
        <w:tc>
          <w:tcPr>
            <w:tcW w:w="5978" w:type="dxa"/>
          </w:tcPr>
          <w:p w:rsidR="00B44C11" w:rsidRDefault="00B44C11">
            <w:pPr>
              <w:pStyle w:val="H56"/>
              <w:keepNext w:val="0"/>
              <w:keepLines w:val="0"/>
              <w:tabs>
                <w:tab w:val="clear" w:pos="360"/>
              </w:tabs>
              <w:suppressAutoHyphens w:val="0"/>
              <w:spacing w:after="200" w:line="240" w:lineRule="auto"/>
              <w:outlineLvl w:val="9"/>
              <w:rPr>
                <w:spacing w:val="0"/>
                <w:w w:val="100"/>
              </w:rPr>
            </w:pPr>
            <w:r>
              <w:rPr>
                <w:spacing w:val="0"/>
                <w:w w:val="100"/>
              </w:rPr>
              <w:t>Удовлетворение потребностей в области здравоохранения этнических групп</w:t>
            </w:r>
          </w:p>
        </w:tc>
      </w:tr>
      <w:tr w:rsidR="00B44C11">
        <w:tblPrEx>
          <w:tblCellMar>
            <w:top w:w="0" w:type="dxa"/>
            <w:bottom w:w="0" w:type="dxa"/>
          </w:tblCellMar>
        </w:tblPrEx>
        <w:tc>
          <w:tcPr>
            <w:tcW w:w="1814" w:type="dxa"/>
          </w:tcPr>
          <w:p w:rsidR="00B44C11" w:rsidRDefault="00B44C11">
            <w:pPr>
              <w:spacing w:after="200"/>
            </w:pPr>
            <w:r>
              <w:t>ECE</w:t>
            </w:r>
          </w:p>
        </w:tc>
        <w:tc>
          <w:tcPr>
            <w:tcW w:w="1814" w:type="dxa"/>
          </w:tcPr>
          <w:p w:rsidR="00B44C11" w:rsidRDefault="00B44C11">
            <w:pPr>
              <w:spacing w:after="200"/>
            </w:pPr>
            <w:r>
              <w:t>ОДРДВ</w:t>
            </w:r>
          </w:p>
        </w:tc>
        <w:tc>
          <w:tcPr>
            <w:tcW w:w="5978" w:type="dxa"/>
          </w:tcPr>
          <w:p w:rsidR="00B44C11" w:rsidRDefault="00B44C11">
            <w:pPr>
              <w:spacing w:after="200"/>
            </w:pPr>
            <w:r>
              <w:t>Обучение детей в раннем возрасте</w:t>
            </w:r>
          </w:p>
        </w:tc>
      </w:tr>
      <w:tr w:rsidR="00B44C11">
        <w:tblPrEx>
          <w:tblCellMar>
            <w:top w:w="0" w:type="dxa"/>
            <w:bottom w:w="0" w:type="dxa"/>
          </w:tblCellMar>
        </w:tblPrEx>
        <w:tc>
          <w:tcPr>
            <w:tcW w:w="1814" w:type="dxa"/>
          </w:tcPr>
          <w:p w:rsidR="00B44C11" w:rsidRDefault="00B44C11">
            <w:pPr>
              <w:spacing w:after="200"/>
            </w:pPr>
            <w:r>
              <w:t>ECPAT NZ</w:t>
            </w:r>
          </w:p>
        </w:tc>
        <w:tc>
          <w:tcPr>
            <w:tcW w:w="1814" w:type="dxa"/>
          </w:tcPr>
          <w:p w:rsidR="00B44C11" w:rsidRDefault="00B44C11">
            <w:pPr>
              <w:spacing w:after="200"/>
            </w:pPr>
            <w:r>
              <w:t>ЭКПАТ НЗ</w:t>
            </w:r>
          </w:p>
        </w:tc>
        <w:tc>
          <w:tcPr>
            <w:tcW w:w="5978" w:type="dxa"/>
          </w:tcPr>
          <w:p w:rsidR="00B44C11" w:rsidRDefault="00B44C11">
            <w:pPr>
              <w:spacing w:after="200"/>
            </w:pPr>
            <w:r>
              <w:t xml:space="preserve">За прекращение детской проституции, порнографии и торговли людьми </w:t>
            </w:r>
          </w:p>
        </w:tc>
      </w:tr>
      <w:tr w:rsidR="00B44C11">
        <w:tblPrEx>
          <w:tblCellMar>
            <w:top w:w="0" w:type="dxa"/>
            <w:bottom w:w="0" w:type="dxa"/>
          </w:tblCellMar>
        </w:tblPrEx>
        <w:tc>
          <w:tcPr>
            <w:tcW w:w="1814" w:type="dxa"/>
          </w:tcPr>
          <w:p w:rsidR="00B44C11" w:rsidRDefault="00B44C11">
            <w:pPr>
              <w:spacing w:after="200"/>
            </w:pPr>
            <w:r>
              <w:t>EEO</w:t>
            </w:r>
          </w:p>
        </w:tc>
        <w:tc>
          <w:tcPr>
            <w:tcW w:w="1814" w:type="dxa"/>
          </w:tcPr>
          <w:p w:rsidR="00B44C11" w:rsidRDefault="00B44C11">
            <w:pPr>
              <w:spacing w:after="200"/>
            </w:pPr>
            <w:r>
              <w:t>РВЗ</w:t>
            </w:r>
          </w:p>
        </w:tc>
        <w:tc>
          <w:tcPr>
            <w:tcW w:w="5978" w:type="dxa"/>
          </w:tcPr>
          <w:p w:rsidR="00B44C11" w:rsidRDefault="00B44C11">
            <w:pPr>
              <w:spacing w:after="200"/>
            </w:pPr>
            <w:r>
              <w:t>Равные возможности занятости</w:t>
            </w:r>
          </w:p>
        </w:tc>
      </w:tr>
      <w:tr w:rsidR="00B44C11">
        <w:tblPrEx>
          <w:tblCellMar>
            <w:top w:w="0" w:type="dxa"/>
            <w:bottom w:w="0" w:type="dxa"/>
          </w:tblCellMar>
        </w:tblPrEx>
        <w:tc>
          <w:tcPr>
            <w:tcW w:w="1814" w:type="dxa"/>
          </w:tcPr>
          <w:p w:rsidR="00B44C11" w:rsidRDefault="00B44C11">
            <w:pPr>
              <w:spacing w:after="200"/>
            </w:pPr>
            <w:r>
              <w:t>ERO</w:t>
            </w:r>
          </w:p>
        </w:tc>
        <w:tc>
          <w:tcPr>
            <w:tcW w:w="1814" w:type="dxa"/>
          </w:tcPr>
          <w:p w:rsidR="00B44C11" w:rsidRDefault="00B44C11">
            <w:pPr>
              <w:spacing w:after="200"/>
            </w:pPr>
            <w:r>
              <w:t>УПСО</w:t>
            </w:r>
          </w:p>
        </w:tc>
        <w:tc>
          <w:tcPr>
            <w:tcW w:w="5978" w:type="dxa"/>
          </w:tcPr>
          <w:p w:rsidR="00B44C11" w:rsidRDefault="00B44C11">
            <w:pPr>
              <w:spacing w:after="200"/>
            </w:pPr>
            <w:r>
              <w:t>Управление по пересмотру системы образования</w:t>
            </w:r>
          </w:p>
        </w:tc>
      </w:tr>
      <w:tr w:rsidR="00B44C11">
        <w:tblPrEx>
          <w:tblCellMar>
            <w:top w:w="0" w:type="dxa"/>
            <w:bottom w:w="0" w:type="dxa"/>
          </w:tblCellMar>
        </w:tblPrEx>
        <w:tc>
          <w:tcPr>
            <w:tcW w:w="1814" w:type="dxa"/>
          </w:tcPr>
          <w:p w:rsidR="00B44C11" w:rsidRDefault="00B44C11">
            <w:pPr>
              <w:spacing w:after="200"/>
            </w:pPr>
            <w:r>
              <w:t>ESOL</w:t>
            </w:r>
          </w:p>
        </w:tc>
        <w:tc>
          <w:tcPr>
            <w:tcW w:w="1814" w:type="dxa"/>
          </w:tcPr>
          <w:p w:rsidR="00B44C11" w:rsidRDefault="00B44C11">
            <w:pPr>
              <w:spacing w:after="200"/>
            </w:pPr>
            <w:r>
              <w:t>ЕСОЛ</w:t>
            </w:r>
          </w:p>
        </w:tc>
        <w:tc>
          <w:tcPr>
            <w:tcW w:w="5978" w:type="dxa"/>
          </w:tcPr>
          <w:p w:rsidR="00B44C11" w:rsidRDefault="00B44C11">
            <w:pPr>
              <w:spacing w:after="200"/>
            </w:pPr>
            <w:r>
              <w:t xml:space="preserve">Обучение английскому языку взрослых, говорящих на других языках </w:t>
            </w:r>
          </w:p>
        </w:tc>
      </w:tr>
      <w:tr w:rsidR="00B44C11">
        <w:tblPrEx>
          <w:tblCellMar>
            <w:top w:w="0" w:type="dxa"/>
            <w:bottom w:w="0" w:type="dxa"/>
          </w:tblCellMar>
        </w:tblPrEx>
        <w:tc>
          <w:tcPr>
            <w:tcW w:w="1814" w:type="dxa"/>
          </w:tcPr>
          <w:p w:rsidR="00B44C11" w:rsidRDefault="00B44C11">
            <w:pPr>
              <w:spacing w:after="200"/>
            </w:pPr>
            <w:r>
              <w:t>FPA</w:t>
            </w:r>
          </w:p>
        </w:tc>
        <w:tc>
          <w:tcPr>
            <w:tcW w:w="1814" w:type="dxa"/>
          </w:tcPr>
          <w:p w:rsidR="00B44C11" w:rsidRDefault="00B44C11">
            <w:pPr>
              <w:spacing w:after="200"/>
            </w:pPr>
            <w:r>
              <w:t>АПС</w:t>
            </w:r>
          </w:p>
        </w:tc>
        <w:tc>
          <w:tcPr>
            <w:tcW w:w="5978" w:type="dxa"/>
          </w:tcPr>
          <w:p w:rsidR="00B44C11" w:rsidRDefault="00B44C11">
            <w:pPr>
              <w:spacing w:after="200"/>
            </w:pPr>
            <w:r>
              <w:t>Ассоциация планирования размера семьи</w:t>
            </w:r>
          </w:p>
        </w:tc>
      </w:tr>
      <w:tr w:rsidR="00B44C11">
        <w:tblPrEx>
          <w:tblCellMar>
            <w:top w:w="0" w:type="dxa"/>
            <w:bottom w:w="0" w:type="dxa"/>
          </w:tblCellMar>
        </w:tblPrEx>
        <w:tc>
          <w:tcPr>
            <w:tcW w:w="1814" w:type="dxa"/>
          </w:tcPr>
          <w:p w:rsidR="00B44C11" w:rsidRDefault="00B44C11">
            <w:pPr>
              <w:pStyle w:val="H56"/>
              <w:keepNext w:val="0"/>
              <w:keepLines w:val="0"/>
              <w:tabs>
                <w:tab w:val="clear" w:pos="360"/>
              </w:tabs>
              <w:suppressAutoHyphens w:val="0"/>
              <w:spacing w:after="200" w:line="240" w:lineRule="auto"/>
              <w:outlineLvl w:val="9"/>
              <w:rPr>
                <w:spacing w:val="0"/>
                <w:w w:val="100"/>
              </w:rPr>
            </w:pPr>
            <w:r>
              <w:rPr>
                <w:spacing w:val="0"/>
                <w:w w:val="100"/>
              </w:rPr>
              <w:t>hapū</w:t>
            </w:r>
          </w:p>
        </w:tc>
        <w:tc>
          <w:tcPr>
            <w:tcW w:w="1814" w:type="dxa"/>
          </w:tcPr>
          <w:p w:rsidR="00B44C11" w:rsidRDefault="00B44C11">
            <w:pPr>
              <w:spacing w:after="200"/>
            </w:pPr>
            <w:r>
              <w:t>хапу</w:t>
            </w:r>
          </w:p>
        </w:tc>
        <w:tc>
          <w:tcPr>
            <w:tcW w:w="5978" w:type="dxa"/>
          </w:tcPr>
          <w:p w:rsidR="00B44C11" w:rsidRDefault="00B44C11">
            <w:pPr>
              <w:spacing w:after="200"/>
            </w:pPr>
            <w:r>
              <w:t>Подплемя или группа семей</w:t>
            </w:r>
          </w:p>
        </w:tc>
      </w:tr>
      <w:tr w:rsidR="00B44C11">
        <w:tblPrEx>
          <w:tblCellMar>
            <w:top w:w="0" w:type="dxa"/>
            <w:bottom w:w="0" w:type="dxa"/>
          </w:tblCellMar>
        </w:tblPrEx>
        <w:tc>
          <w:tcPr>
            <w:tcW w:w="1814" w:type="dxa"/>
          </w:tcPr>
          <w:p w:rsidR="00B44C11" w:rsidRDefault="00B44C11">
            <w:pPr>
              <w:spacing w:after="200"/>
            </w:pPr>
            <w:r>
              <w:t>HEHA</w:t>
            </w:r>
          </w:p>
        </w:tc>
        <w:tc>
          <w:tcPr>
            <w:tcW w:w="1814" w:type="dxa"/>
          </w:tcPr>
          <w:p w:rsidR="00B44C11" w:rsidRDefault="00B44C11">
            <w:pPr>
              <w:spacing w:after="200"/>
            </w:pPr>
            <w:r>
              <w:t>ЗПЗП</w:t>
            </w:r>
          </w:p>
        </w:tc>
        <w:tc>
          <w:tcPr>
            <w:tcW w:w="5978" w:type="dxa"/>
          </w:tcPr>
          <w:p w:rsidR="00B44C11" w:rsidRDefault="00B44C11">
            <w:pPr>
              <w:spacing w:after="200"/>
            </w:pPr>
            <w:r>
              <w:t xml:space="preserve">Здоровое питание: здоровое поведение </w:t>
            </w:r>
          </w:p>
        </w:tc>
      </w:tr>
      <w:tr w:rsidR="00B44C11">
        <w:tblPrEx>
          <w:tblCellMar>
            <w:top w:w="0" w:type="dxa"/>
            <w:bottom w:w="0" w:type="dxa"/>
          </w:tblCellMar>
        </w:tblPrEx>
        <w:tc>
          <w:tcPr>
            <w:tcW w:w="1814" w:type="dxa"/>
          </w:tcPr>
          <w:p w:rsidR="00B44C11" w:rsidRDefault="00B44C11">
            <w:pPr>
              <w:spacing w:after="200"/>
            </w:pPr>
            <w:r>
              <w:t>HRC</w:t>
            </w:r>
          </w:p>
        </w:tc>
        <w:tc>
          <w:tcPr>
            <w:tcW w:w="1814" w:type="dxa"/>
          </w:tcPr>
          <w:p w:rsidR="00B44C11" w:rsidRDefault="00B44C11">
            <w:pPr>
              <w:spacing w:after="200"/>
            </w:pPr>
            <w:r>
              <w:t>КПЧ</w:t>
            </w:r>
          </w:p>
        </w:tc>
        <w:tc>
          <w:tcPr>
            <w:tcW w:w="5978" w:type="dxa"/>
          </w:tcPr>
          <w:p w:rsidR="00B44C11" w:rsidRDefault="00B44C11">
            <w:pPr>
              <w:spacing w:after="200"/>
            </w:pPr>
            <w:r>
              <w:t>Комиссия по правам человека</w:t>
            </w:r>
          </w:p>
        </w:tc>
      </w:tr>
      <w:tr w:rsidR="00B44C11">
        <w:tblPrEx>
          <w:tblCellMar>
            <w:top w:w="0" w:type="dxa"/>
            <w:bottom w:w="0" w:type="dxa"/>
          </w:tblCellMar>
        </w:tblPrEx>
        <w:tc>
          <w:tcPr>
            <w:tcW w:w="1814" w:type="dxa"/>
          </w:tcPr>
          <w:p w:rsidR="00B44C11" w:rsidRDefault="00B44C11">
            <w:pPr>
              <w:spacing w:after="200"/>
            </w:pPr>
            <w:r>
              <w:t>iwi</w:t>
            </w:r>
          </w:p>
        </w:tc>
        <w:tc>
          <w:tcPr>
            <w:tcW w:w="1814" w:type="dxa"/>
          </w:tcPr>
          <w:p w:rsidR="00B44C11" w:rsidRDefault="00B44C11">
            <w:pPr>
              <w:spacing w:after="200"/>
            </w:pPr>
            <w:r>
              <w:t>иви</w:t>
            </w:r>
          </w:p>
        </w:tc>
        <w:tc>
          <w:tcPr>
            <w:tcW w:w="5978" w:type="dxa"/>
          </w:tcPr>
          <w:p w:rsidR="00B44C11" w:rsidRDefault="00B44C11">
            <w:pPr>
              <w:spacing w:after="200"/>
            </w:pPr>
            <w:r>
              <w:t>Большое племя, состоящее из подплемен, или группа людей</w:t>
            </w:r>
          </w:p>
        </w:tc>
      </w:tr>
      <w:tr w:rsidR="00B44C11">
        <w:tblPrEx>
          <w:tblCellMar>
            <w:top w:w="0" w:type="dxa"/>
            <w:bottom w:w="0" w:type="dxa"/>
          </w:tblCellMar>
        </w:tblPrEx>
        <w:tc>
          <w:tcPr>
            <w:tcW w:w="1814" w:type="dxa"/>
          </w:tcPr>
          <w:p w:rsidR="00B44C11" w:rsidRDefault="00B44C11">
            <w:pPr>
              <w:spacing w:after="200"/>
            </w:pPr>
            <w:r>
              <w:t>LMC</w:t>
            </w:r>
          </w:p>
        </w:tc>
        <w:tc>
          <w:tcPr>
            <w:tcW w:w="1814" w:type="dxa"/>
          </w:tcPr>
          <w:p w:rsidR="00B44C11" w:rsidRDefault="00B44C11">
            <w:pPr>
              <w:spacing w:after="200"/>
            </w:pPr>
          </w:p>
        </w:tc>
        <w:tc>
          <w:tcPr>
            <w:tcW w:w="5978" w:type="dxa"/>
          </w:tcPr>
          <w:p w:rsidR="00B44C11" w:rsidRDefault="00B44C11">
            <w:pPr>
              <w:spacing w:after="200"/>
            </w:pPr>
            <w:r>
              <w:t>Ведущее учреждение по оказанию помощи в связи с беременностью и родами</w:t>
            </w:r>
          </w:p>
        </w:tc>
      </w:tr>
      <w:tr w:rsidR="00B44C11">
        <w:tblPrEx>
          <w:tblCellMar>
            <w:top w:w="0" w:type="dxa"/>
            <w:bottom w:w="0" w:type="dxa"/>
          </w:tblCellMar>
        </w:tblPrEx>
        <w:tc>
          <w:tcPr>
            <w:tcW w:w="1814" w:type="dxa"/>
          </w:tcPr>
          <w:p w:rsidR="00B44C11" w:rsidRDefault="00B44C11">
            <w:pPr>
              <w:spacing w:after="200"/>
            </w:pPr>
            <w:r>
              <w:t>MFAT</w:t>
            </w:r>
          </w:p>
        </w:tc>
        <w:tc>
          <w:tcPr>
            <w:tcW w:w="1814" w:type="dxa"/>
          </w:tcPr>
          <w:p w:rsidR="00B44C11" w:rsidRDefault="00B44C11">
            <w:pPr>
              <w:spacing w:after="200"/>
            </w:pPr>
            <w:r>
              <w:t>МИДВТ</w:t>
            </w:r>
          </w:p>
        </w:tc>
        <w:tc>
          <w:tcPr>
            <w:tcW w:w="5978" w:type="dxa"/>
          </w:tcPr>
          <w:p w:rsidR="00B44C11" w:rsidRDefault="00B44C11">
            <w:pPr>
              <w:spacing w:after="200"/>
            </w:pPr>
            <w:r>
              <w:t>Министерство иностранных дел и внешней торговли</w:t>
            </w:r>
          </w:p>
        </w:tc>
      </w:tr>
      <w:tr w:rsidR="00B44C11">
        <w:tblPrEx>
          <w:tblCellMar>
            <w:top w:w="0" w:type="dxa"/>
            <w:bottom w:w="0" w:type="dxa"/>
          </w:tblCellMar>
        </w:tblPrEx>
        <w:tc>
          <w:tcPr>
            <w:tcW w:w="1814" w:type="dxa"/>
          </w:tcPr>
          <w:p w:rsidR="00B44C11" w:rsidRDefault="00B44C11">
            <w:pPr>
              <w:spacing w:after="200"/>
            </w:pPr>
            <w:r>
              <w:t>MMP</w:t>
            </w:r>
          </w:p>
        </w:tc>
        <w:tc>
          <w:tcPr>
            <w:tcW w:w="1814" w:type="dxa"/>
          </w:tcPr>
          <w:p w:rsidR="00B44C11" w:rsidRDefault="00B44C11">
            <w:pPr>
              <w:spacing w:after="200"/>
            </w:pPr>
            <w:r>
              <w:t>ССПП</w:t>
            </w:r>
          </w:p>
        </w:tc>
        <w:tc>
          <w:tcPr>
            <w:tcW w:w="5978" w:type="dxa"/>
          </w:tcPr>
          <w:p w:rsidR="00B44C11" w:rsidRDefault="00B44C11">
            <w:pPr>
              <w:spacing w:after="200"/>
            </w:pPr>
            <w:r>
              <w:t xml:space="preserve">Система смешанного пропорционального представительства </w:t>
            </w:r>
          </w:p>
        </w:tc>
      </w:tr>
      <w:tr w:rsidR="00B44C11">
        <w:tblPrEx>
          <w:tblCellMar>
            <w:top w:w="0" w:type="dxa"/>
            <w:bottom w:w="0" w:type="dxa"/>
          </w:tblCellMar>
        </w:tblPrEx>
        <w:tc>
          <w:tcPr>
            <w:tcW w:w="1814" w:type="dxa"/>
          </w:tcPr>
          <w:p w:rsidR="00B44C11" w:rsidRDefault="00B44C11">
            <w:pPr>
              <w:spacing w:after="200"/>
            </w:pPr>
            <w:r>
              <w:t>MoE</w:t>
            </w:r>
          </w:p>
        </w:tc>
        <w:tc>
          <w:tcPr>
            <w:tcW w:w="1814" w:type="dxa"/>
          </w:tcPr>
          <w:p w:rsidR="00B44C11" w:rsidRDefault="00B44C11">
            <w:pPr>
              <w:spacing w:after="200"/>
            </w:pPr>
            <w:r>
              <w:t>МО</w:t>
            </w:r>
          </w:p>
        </w:tc>
        <w:tc>
          <w:tcPr>
            <w:tcW w:w="5978" w:type="dxa"/>
          </w:tcPr>
          <w:p w:rsidR="00B44C11" w:rsidRDefault="00B44C11">
            <w:pPr>
              <w:spacing w:after="200"/>
            </w:pPr>
            <w:r>
              <w:t>Министерство образования</w:t>
            </w:r>
          </w:p>
        </w:tc>
      </w:tr>
      <w:tr w:rsidR="00B44C11">
        <w:tblPrEx>
          <w:tblCellMar>
            <w:top w:w="0" w:type="dxa"/>
            <w:bottom w:w="0" w:type="dxa"/>
          </w:tblCellMar>
        </w:tblPrEx>
        <w:tc>
          <w:tcPr>
            <w:tcW w:w="1814" w:type="dxa"/>
          </w:tcPr>
          <w:p w:rsidR="00B44C11" w:rsidRDefault="00B44C11">
            <w:pPr>
              <w:spacing w:after="200"/>
            </w:pPr>
            <w:r>
              <w:t>MoH</w:t>
            </w:r>
          </w:p>
        </w:tc>
        <w:tc>
          <w:tcPr>
            <w:tcW w:w="1814" w:type="dxa"/>
          </w:tcPr>
          <w:p w:rsidR="00B44C11" w:rsidRDefault="00B44C11">
            <w:pPr>
              <w:spacing w:after="200"/>
            </w:pPr>
            <w:r>
              <w:t>МЗ</w:t>
            </w:r>
          </w:p>
        </w:tc>
        <w:tc>
          <w:tcPr>
            <w:tcW w:w="5978" w:type="dxa"/>
          </w:tcPr>
          <w:p w:rsidR="00B44C11" w:rsidRDefault="00B44C11">
            <w:pPr>
              <w:spacing w:after="200"/>
            </w:pPr>
            <w:r>
              <w:t>Министерство здравоохранения</w:t>
            </w:r>
          </w:p>
        </w:tc>
      </w:tr>
      <w:tr w:rsidR="00B44C11">
        <w:tblPrEx>
          <w:tblCellMar>
            <w:top w:w="0" w:type="dxa"/>
            <w:bottom w:w="0" w:type="dxa"/>
          </w:tblCellMar>
        </w:tblPrEx>
        <w:tc>
          <w:tcPr>
            <w:tcW w:w="1814" w:type="dxa"/>
          </w:tcPr>
          <w:p w:rsidR="00B44C11" w:rsidRDefault="00B44C11">
            <w:pPr>
              <w:spacing w:after="200"/>
            </w:pPr>
            <w:r>
              <w:t>MSD</w:t>
            </w:r>
          </w:p>
        </w:tc>
        <w:tc>
          <w:tcPr>
            <w:tcW w:w="1814" w:type="dxa"/>
          </w:tcPr>
          <w:p w:rsidR="00B44C11" w:rsidRDefault="00B44C11">
            <w:pPr>
              <w:spacing w:after="200"/>
            </w:pPr>
            <w:r>
              <w:t>МСР</w:t>
            </w:r>
          </w:p>
        </w:tc>
        <w:tc>
          <w:tcPr>
            <w:tcW w:w="5978" w:type="dxa"/>
          </w:tcPr>
          <w:p w:rsidR="00B44C11" w:rsidRDefault="00B44C11">
            <w:pPr>
              <w:spacing w:after="200"/>
            </w:pPr>
            <w:r>
              <w:t>Министерство социального развития</w:t>
            </w:r>
          </w:p>
        </w:tc>
      </w:tr>
      <w:tr w:rsidR="00B44C11">
        <w:tblPrEx>
          <w:tblCellMar>
            <w:top w:w="0" w:type="dxa"/>
            <w:bottom w:w="0" w:type="dxa"/>
          </w:tblCellMar>
        </w:tblPrEx>
        <w:tc>
          <w:tcPr>
            <w:tcW w:w="1814" w:type="dxa"/>
          </w:tcPr>
          <w:p w:rsidR="00B44C11" w:rsidRDefault="00B44C11">
            <w:pPr>
              <w:spacing w:after="200"/>
            </w:pPr>
            <w:r>
              <w:t>MWA</w:t>
            </w:r>
          </w:p>
        </w:tc>
        <w:tc>
          <w:tcPr>
            <w:tcW w:w="1814" w:type="dxa"/>
          </w:tcPr>
          <w:p w:rsidR="00B44C11" w:rsidRDefault="00B44C11">
            <w:pPr>
              <w:spacing w:after="200"/>
            </w:pPr>
            <w:r>
              <w:t>МДЖ</w:t>
            </w:r>
          </w:p>
        </w:tc>
        <w:tc>
          <w:tcPr>
            <w:tcW w:w="5978" w:type="dxa"/>
          </w:tcPr>
          <w:p w:rsidR="00B44C11" w:rsidRDefault="00B44C11">
            <w:pPr>
              <w:spacing w:after="200"/>
            </w:pPr>
            <w:r>
              <w:t>Министерство по делам женщин</w:t>
            </w:r>
          </w:p>
        </w:tc>
      </w:tr>
      <w:tr w:rsidR="00B44C11">
        <w:tblPrEx>
          <w:tblCellMar>
            <w:top w:w="0" w:type="dxa"/>
            <w:bottom w:w="0" w:type="dxa"/>
          </w:tblCellMar>
        </w:tblPrEx>
        <w:tc>
          <w:tcPr>
            <w:tcW w:w="1814" w:type="dxa"/>
          </w:tcPr>
          <w:p w:rsidR="00B44C11" w:rsidRDefault="00B44C11">
            <w:pPr>
              <w:spacing w:after="200"/>
            </w:pPr>
            <w:r>
              <w:t>NCEA</w:t>
            </w:r>
          </w:p>
        </w:tc>
        <w:tc>
          <w:tcPr>
            <w:tcW w:w="1814" w:type="dxa"/>
          </w:tcPr>
          <w:p w:rsidR="00B44C11" w:rsidRDefault="00B44C11">
            <w:pPr>
              <w:spacing w:after="200"/>
            </w:pPr>
            <w:r>
              <w:t>НСО</w:t>
            </w:r>
          </w:p>
        </w:tc>
        <w:tc>
          <w:tcPr>
            <w:tcW w:w="5978" w:type="dxa"/>
          </w:tcPr>
          <w:p w:rsidR="00B44C11" w:rsidRDefault="00B44C11">
            <w:pPr>
              <w:spacing w:after="200"/>
            </w:pPr>
            <w:r>
              <w:t xml:space="preserve">Национальное свидетельство об образовании </w:t>
            </w:r>
          </w:p>
        </w:tc>
      </w:tr>
      <w:tr w:rsidR="00B44C11">
        <w:tblPrEx>
          <w:tblCellMar>
            <w:top w:w="0" w:type="dxa"/>
            <w:bottom w:w="0" w:type="dxa"/>
          </w:tblCellMar>
        </w:tblPrEx>
        <w:tc>
          <w:tcPr>
            <w:tcW w:w="1814" w:type="dxa"/>
          </w:tcPr>
          <w:p w:rsidR="00B44C11" w:rsidRDefault="00B44C11">
            <w:pPr>
              <w:spacing w:after="200"/>
            </w:pPr>
            <w:r>
              <w:t>NCSP</w:t>
            </w:r>
          </w:p>
        </w:tc>
        <w:tc>
          <w:tcPr>
            <w:tcW w:w="1814" w:type="dxa"/>
          </w:tcPr>
          <w:p w:rsidR="00B44C11" w:rsidRDefault="00B44C11">
            <w:pPr>
              <w:spacing w:after="200"/>
            </w:pPr>
            <w:r>
              <w:t>НПЦО</w:t>
            </w:r>
          </w:p>
        </w:tc>
        <w:tc>
          <w:tcPr>
            <w:tcW w:w="5978" w:type="dxa"/>
          </w:tcPr>
          <w:p w:rsidR="00B44C11" w:rsidRDefault="00B44C11">
            <w:pPr>
              <w:spacing w:after="200"/>
            </w:pPr>
            <w:r>
              <w:t xml:space="preserve">Национальная программа цервикальных обследований </w:t>
            </w:r>
          </w:p>
        </w:tc>
      </w:tr>
      <w:tr w:rsidR="00B44C11">
        <w:tblPrEx>
          <w:tblCellMar>
            <w:top w:w="0" w:type="dxa"/>
            <w:bottom w:w="0" w:type="dxa"/>
          </w:tblCellMar>
        </w:tblPrEx>
        <w:tc>
          <w:tcPr>
            <w:tcW w:w="1814" w:type="dxa"/>
          </w:tcPr>
          <w:p w:rsidR="00B44C11" w:rsidRDefault="00B44C11">
            <w:pPr>
              <w:spacing w:after="200"/>
            </w:pPr>
            <w:r>
              <w:t>NESB</w:t>
            </w:r>
          </w:p>
        </w:tc>
        <w:tc>
          <w:tcPr>
            <w:tcW w:w="1814" w:type="dxa"/>
          </w:tcPr>
          <w:p w:rsidR="00B44C11" w:rsidRDefault="00B44C11">
            <w:pPr>
              <w:spacing w:after="200"/>
            </w:pPr>
            <w:r>
              <w:t>НАЯС</w:t>
            </w:r>
          </w:p>
        </w:tc>
        <w:tc>
          <w:tcPr>
            <w:tcW w:w="5978" w:type="dxa"/>
          </w:tcPr>
          <w:p w:rsidR="00B44C11" w:rsidRDefault="00B44C11">
            <w:pPr>
              <w:spacing w:after="200"/>
            </w:pPr>
            <w:r>
              <w:t>Неанглоязычная среда</w:t>
            </w:r>
          </w:p>
        </w:tc>
      </w:tr>
      <w:tr w:rsidR="00B44C11">
        <w:tblPrEx>
          <w:tblCellMar>
            <w:top w:w="0" w:type="dxa"/>
            <w:bottom w:w="0" w:type="dxa"/>
          </w:tblCellMar>
        </w:tblPrEx>
        <w:tc>
          <w:tcPr>
            <w:tcW w:w="1814" w:type="dxa"/>
          </w:tcPr>
          <w:p w:rsidR="00B44C11" w:rsidRDefault="00B44C11">
            <w:pPr>
              <w:spacing w:after="200"/>
            </w:pPr>
            <w:r>
              <w:t>NGO</w:t>
            </w:r>
          </w:p>
        </w:tc>
        <w:tc>
          <w:tcPr>
            <w:tcW w:w="1814" w:type="dxa"/>
          </w:tcPr>
          <w:p w:rsidR="00B44C11" w:rsidRDefault="00B44C11">
            <w:pPr>
              <w:spacing w:after="200"/>
            </w:pPr>
            <w:r>
              <w:t>НПО</w:t>
            </w:r>
          </w:p>
        </w:tc>
        <w:tc>
          <w:tcPr>
            <w:tcW w:w="5978" w:type="dxa"/>
          </w:tcPr>
          <w:p w:rsidR="00B44C11" w:rsidRDefault="00B44C11">
            <w:pPr>
              <w:spacing w:after="200"/>
            </w:pPr>
            <w:r>
              <w:t>Неправительственная организация</w:t>
            </w:r>
          </w:p>
        </w:tc>
      </w:tr>
      <w:tr w:rsidR="00B44C11">
        <w:tblPrEx>
          <w:tblCellMar>
            <w:top w:w="0" w:type="dxa"/>
            <w:bottom w:w="0" w:type="dxa"/>
          </w:tblCellMar>
        </w:tblPrEx>
        <w:tc>
          <w:tcPr>
            <w:tcW w:w="1814" w:type="dxa"/>
          </w:tcPr>
          <w:p w:rsidR="00B44C11" w:rsidRDefault="00B44C11">
            <w:pPr>
              <w:spacing w:after="200"/>
            </w:pPr>
            <w:r>
              <w:t>NZAID</w:t>
            </w:r>
          </w:p>
        </w:tc>
        <w:tc>
          <w:tcPr>
            <w:tcW w:w="1814" w:type="dxa"/>
          </w:tcPr>
          <w:p w:rsidR="00B44C11" w:rsidRDefault="00B44C11">
            <w:pPr>
              <w:spacing w:after="200"/>
            </w:pPr>
            <w:r>
              <w:t>НЗАИД</w:t>
            </w:r>
          </w:p>
        </w:tc>
        <w:tc>
          <w:tcPr>
            <w:tcW w:w="5978" w:type="dxa"/>
          </w:tcPr>
          <w:p w:rsidR="00B44C11" w:rsidRDefault="00B44C11">
            <w:pPr>
              <w:spacing w:after="200"/>
            </w:pPr>
            <w:r>
              <w:t xml:space="preserve">Новозеландское агентство по международному развитию: </w:t>
            </w:r>
            <w:r>
              <w:rPr>
                <w:lang w:val="en-US"/>
              </w:rPr>
              <w:t>Nga</w:t>
            </w:r>
            <w:r>
              <w:t xml:space="preserve"> </w:t>
            </w:r>
            <w:r>
              <w:rPr>
                <w:lang w:val="en-US"/>
              </w:rPr>
              <w:t>Hoe</w:t>
            </w:r>
            <w:r>
              <w:t xml:space="preserve"> </w:t>
            </w:r>
            <w:r>
              <w:rPr>
                <w:lang w:val="en-US"/>
              </w:rPr>
              <w:t>Tuputupu</w:t>
            </w:r>
            <w:r>
              <w:t>-</w:t>
            </w:r>
            <w:r>
              <w:rPr>
                <w:lang w:val="en-US"/>
              </w:rPr>
              <w:t>mai</w:t>
            </w:r>
            <w:r>
              <w:t>-</w:t>
            </w:r>
            <w:r>
              <w:rPr>
                <w:lang w:val="en-US"/>
              </w:rPr>
              <w:t>tawhiti</w:t>
            </w:r>
          </w:p>
        </w:tc>
      </w:tr>
      <w:tr w:rsidR="00B44C11">
        <w:tblPrEx>
          <w:tblCellMar>
            <w:top w:w="0" w:type="dxa"/>
            <w:bottom w:w="0" w:type="dxa"/>
          </w:tblCellMar>
        </w:tblPrEx>
        <w:tc>
          <w:tcPr>
            <w:tcW w:w="1814" w:type="dxa"/>
          </w:tcPr>
          <w:p w:rsidR="00B44C11" w:rsidRDefault="00B44C11">
            <w:pPr>
              <w:spacing w:after="200"/>
            </w:pPr>
            <w:r>
              <w:t>NZAPHR</w:t>
            </w:r>
          </w:p>
        </w:tc>
        <w:tc>
          <w:tcPr>
            <w:tcW w:w="1814" w:type="dxa"/>
          </w:tcPr>
          <w:p w:rsidR="00B44C11" w:rsidRDefault="00B44C11">
            <w:pPr>
              <w:spacing w:after="200"/>
            </w:pPr>
            <w:r>
              <w:t>НЗПДПЧ</w:t>
            </w:r>
          </w:p>
        </w:tc>
        <w:tc>
          <w:tcPr>
            <w:tcW w:w="5978" w:type="dxa"/>
          </w:tcPr>
          <w:p w:rsidR="00B44C11" w:rsidRDefault="00B44C11">
            <w:pPr>
              <w:spacing w:after="200"/>
            </w:pPr>
            <w:r>
              <w:t xml:space="preserve">Новозеландский план действий по правам человека </w:t>
            </w:r>
          </w:p>
        </w:tc>
      </w:tr>
      <w:tr w:rsidR="00B44C11">
        <w:tblPrEx>
          <w:tblCellMar>
            <w:top w:w="0" w:type="dxa"/>
            <w:bottom w:w="0" w:type="dxa"/>
          </w:tblCellMar>
        </w:tblPrEx>
        <w:tc>
          <w:tcPr>
            <w:tcW w:w="1814" w:type="dxa"/>
          </w:tcPr>
          <w:p w:rsidR="00B44C11" w:rsidRDefault="00B44C11">
            <w:pPr>
              <w:spacing w:after="200"/>
            </w:pPr>
            <w:r>
              <w:t>NZDS</w:t>
            </w:r>
          </w:p>
        </w:tc>
        <w:tc>
          <w:tcPr>
            <w:tcW w:w="1814" w:type="dxa"/>
          </w:tcPr>
          <w:p w:rsidR="00B44C11" w:rsidRDefault="00B44C11">
            <w:pPr>
              <w:spacing w:after="200"/>
            </w:pPr>
            <w:r>
              <w:t>НЗСИ</w:t>
            </w:r>
          </w:p>
        </w:tc>
        <w:tc>
          <w:tcPr>
            <w:tcW w:w="5978" w:type="dxa"/>
          </w:tcPr>
          <w:p w:rsidR="00B44C11" w:rsidRDefault="00B44C11">
            <w:pPr>
              <w:spacing w:after="200"/>
            </w:pPr>
            <w:r>
              <w:t>Новозеландская стратегия в области инвалидности</w:t>
            </w:r>
          </w:p>
        </w:tc>
      </w:tr>
      <w:tr w:rsidR="00B44C11">
        <w:tblPrEx>
          <w:tblCellMar>
            <w:top w:w="0" w:type="dxa"/>
            <w:bottom w:w="0" w:type="dxa"/>
          </w:tblCellMar>
        </w:tblPrEx>
        <w:tc>
          <w:tcPr>
            <w:tcW w:w="1814" w:type="dxa"/>
          </w:tcPr>
          <w:p w:rsidR="00B44C11" w:rsidRDefault="00B44C11">
            <w:pPr>
              <w:spacing w:after="200"/>
            </w:pPr>
            <w:r>
              <w:t>NZIP</w:t>
            </w:r>
          </w:p>
        </w:tc>
        <w:tc>
          <w:tcPr>
            <w:tcW w:w="1814" w:type="dxa"/>
          </w:tcPr>
          <w:p w:rsidR="00B44C11" w:rsidRDefault="00B44C11">
            <w:pPr>
              <w:spacing w:after="200"/>
            </w:pPr>
            <w:r>
              <w:t>НЗПИ</w:t>
            </w:r>
          </w:p>
        </w:tc>
        <w:tc>
          <w:tcPr>
            <w:tcW w:w="5978" w:type="dxa"/>
          </w:tcPr>
          <w:p w:rsidR="00B44C11" w:rsidRDefault="00B44C11">
            <w:pPr>
              <w:spacing w:after="200"/>
            </w:pPr>
            <w:r>
              <w:t>Новозеландская программа иммиграции</w:t>
            </w:r>
          </w:p>
        </w:tc>
      </w:tr>
      <w:tr w:rsidR="00B44C11">
        <w:tblPrEx>
          <w:tblCellMar>
            <w:top w:w="0" w:type="dxa"/>
            <w:bottom w:w="0" w:type="dxa"/>
          </w:tblCellMar>
        </w:tblPrEx>
        <w:tc>
          <w:tcPr>
            <w:tcW w:w="1814" w:type="dxa"/>
          </w:tcPr>
          <w:p w:rsidR="00B44C11" w:rsidRDefault="00B44C11">
            <w:pPr>
              <w:spacing w:after="200"/>
            </w:pPr>
            <w:r>
              <w:t>NZUSA</w:t>
            </w:r>
          </w:p>
        </w:tc>
        <w:tc>
          <w:tcPr>
            <w:tcW w:w="1814" w:type="dxa"/>
          </w:tcPr>
          <w:p w:rsidR="00B44C11" w:rsidRDefault="00B44C11">
            <w:pPr>
              <w:spacing w:after="200"/>
            </w:pPr>
            <w:r>
              <w:t>НЗУСА</w:t>
            </w:r>
          </w:p>
        </w:tc>
        <w:tc>
          <w:tcPr>
            <w:tcW w:w="5978" w:type="dxa"/>
          </w:tcPr>
          <w:p w:rsidR="00B44C11" w:rsidRDefault="00B44C11">
            <w:pPr>
              <w:spacing w:after="200"/>
            </w:pPr>
            <w:r>
              <w:t>Ассоциация студентов новозеландских университетов</w:t>
            </w:r>
          </w:p>
        </w:tc>
      </w:tr>
      <w:tr w:rsidR="00B44C11">
        <w:tblPrEx>
          <w:tblCellMar>
            <w:top w:w="0" w:type="dxa"/>
            <w:bottom w:w="0" w:type="dxa"/>
          </w:tblCellMar>
        </w:tblPrEx>
        <w:tc>
          <w:tcPr>
            <w:tcW w:w="1814" w:type="dxa"/>
          </w:tcPr>
          <w:p w:rsidR="00B44C11" w:rsidRDefault="00B44C11">
            <w:pPr>
              <w:spacing w:after="200"/>
            </w:pPr>
            <w:r>
              <w:t>OFLC</w:t>
            </w:r>
          </w:p>
        </w:tc>
        <w:tc>
          <w:tcPr>
            <w:tcW w:w="1814" w:type="dxa"/>
          </w:tcPr>
          <w:p w:rsidR="00B44C11" w:rsidRDefault="00B44C11">
            <w:pPr>
              <w:spacing w:after="200"/>
            </w:pPr>
            <w:r>
              <w:t>УККПЛ</w:t>
            </w:r>
          </w:p>
        </w:tc>
        <w:tc>
          <w:tcPr>
            <w:tcW w:w="5978" w:type="dxa"/>
          </w:tcPr>
          <w:p w:rsidR="00B44C11" w:rsidRDefault="00B44C11">
            <w:pPr>
              <w:spacing w:after="200"/>
            </w:pPr>
            <w:r>
              <w:t>Управление по классификации кинофильмов и произведений литературы</w:t>
            </w:r>
          </w:p>
        </w:tc>
      </w:tr>
      <w:tr w:rsidR="00B44C11">
        <w:tblPrEx>
          <w:tblCellMar>
            <w:top w:w="0" w:type="dxa"/>
            <w:bottom w:w="0" w:type="dxa"/>
          </w:tblCellMar>
        </w:tblPrEx>
        <w:tc>
          <w:tcPr>
            <w:tcW w:w="1814" w:type="dxa"/>
          </w:tcPr>
          <w:p w:rsidR="00B44C11" w:rsidRDefault="00B44C11">
            <w:pPr>
              <w:spacing w:after="200"/>
            </w:pPr>
            <w:r>
              <w:t>OHPR</w:t>
            </w:r>
          </w:p>
        </w:tc>
        <w:tc>
          <w:tcPr>
            <w:tcW w:w="1814" w:type="dxa"/>
          </w:tcPr>
          <w:p w:rsidR="00B44C11" w:rsidRDefault="00B44C11">
            <w:pPr>
              <w:spacing w:after="200"/>
            </w:pPr>
            <w:r>
              <w:t>УРЖНПЧ</w:t>
            </w:r>
          </w:p>
        </w:tc>
        <w:tc>
          <w:tcPr>
            <w:tcW w:w="5978" w:type="dxa"/>
          </w:tcPr>
          <w:p w:rsidR="00B44C11" w:rsidRDefault="00B44C11">
            <w:pPr>
              <w:spacing w:after="200"/>
            </w:pPr>
            <w:r>
              <w:t>Управление по рассмотрению жалоб на нарушения прав человека</w:t>
            </w:r>
          </w:p>
        </w:tc>
      </w:tr>
      <w:tr w:rsidR="00B44C11">
        <w:tblPrEx>
          <w:tblCellMar>
            <w:top w:w="0" w:type="dxa"/>
            <w:bottom w:w="0" w:type="dxa"/>
          </w:tblCellMar>
        </w:tblPrEx>
        <w:tc>
          <w:tcPr>
            <w:tcW w:w="1814" w:type="dxa"/>
          </w:tcPr>
          <w:p w:rsidR="00B44C11" w:rsidRDefault="00B44C11">
            <w:pPr>
              <w:spacing w:after="200"/>
            </w:pPr>
            <w:r>
              <w:t>OSCAR</w:t>
            </w:r>
          </w:p>
        </w:tc>
        <w:tc>
          <w:tcPr>
            <w:tcW w:w="1814" w:type="dxa"/>
          </w:tcPr>
          <w:p w:rsidR="00B44C11" w:rsidRDefault="00B44C11">
            <w:pPr>
              <w:spacing w:after="200"/>
            </w:pPr>
            <w:r>
              <w:t>ВУД</w:t>
            </w:r>
          </w:p>
        </w:tc>
        <w:tc>
          <w:tcPr>
            <w:tcW w:w="5978" w:type="dxa"/>
          </w:tcPr>
          <w:p w:rsidR="00B44C11" w:rsidRDefault="00B44C11">
            <w:pPr>
              <w:spacing w:after="200"/>
            </w:pPr>
            <w:r>
              <w:t>Программа внешкольного ухода за детьми и досуга</w:t>
            </w:r>
          </w:p>
        </w:tc>
      </w:tr>
      <w:tr w:rsidR="00B44C11">
        <w:tblPrEx>
          <w:tblCellMar>
            <w:top w:w="0" w:type="dxa"/>
            <w:bottom w:w="0" w:type="dxa"/>
          </w:tblCellMar>
        </w:tblPrEx>
        <w:tc>
          <w:tcPr>
            <w:tcW w:w="1814" w:type="dxa"/>
          </w:tcPr>
          <w:p w:rsidR="00B44C11" w:rsidRDefault="00B44C11">
            <w:pPr>
              <w:spacing w:after="200"/>
            </w:pPr>
            <w:r>
              <w:t>PHO</w:t>
            </w:r>
          </w:p>
        </w:tc>
        <w:tc>
          <w:tcPr>
            <w:tcW w:w="1814" w:type="dxa"/>
          </w:tcPr>
          <w:p w:rsidR="00B44C11" w:rsidRDefault="00B44C11">
            <w:pPr>
              <w:spacing w:after="200"/>
            </w:pPr>
            <w:r>
              <w:t>ПУЗ</w:t>
            </w:r>
          </w:p>
        </w:tc>
        <w:tc>
          <w:tcPr>
            <w:tcW w:w="5978" w:type="dxa"/>
          </w:tcPr>
          <w:p w:rsidR="00B44C11" w:rsidRDefault="00B44C11">
            <w:pPr>
              <w:spacing w:after="200"/>
            </w:pPr>
            <w:r>
              <w:t xml:space="preserve">Первичные учреждения здравоохранения </w:t>
            </w:r>
          </w:p>
        </w:tc>
      </w:tr>
      <w:tr w:rsidR="00B44C11">
        <w:tblPrEx>
          <w:tblCellMar>
            <w:top w:w="0" w:type="dxa"/>
            <w:bottom w:w="0" w:type="dxa"/>
          </w:tblCellMar>
        </w:tblPrEx>
        <w:tc>
          <w:tcPr>
            <w:tcW w:w="1814" w:type="dxa"/>
          </w:tcPr>
          <w:p w:rsidR="00B44C11" w:rsidRDefault="00B44C11">
            <w:pPr>
              <w:spacing w:after="200"/>
            </w:pPr>
            <w:r>
              <w:t>PISA</w:t>
            </w:r>
          </w:p>
        </w:tc>
        <w:tc>
          <w:tcPr>
            <w:tcW w:w="1814" w:type="dxa"/>
          </w:tcPr>
          <w:p w:rsidR="00B44C11" w:rsidRDefault="00B44C11">
            <w:pPr>
              <w:spacing w:after="200"/>
            </w:pPr>
            <w:r>
              <w:t>ПИСА</w:t>
            </w:r>
          </w:p>
        </w:tc>
        <w:tc>
          <w:tcPr>
            <w:tcW w:w="5978" w:type="dxa"/>
          </w:tcPr>
          <w:p w:rsidR="00B44C11" w:rsidRDefault="00B44C11">
            <w:pPr>
              <w:spacing w:after="200"/>
            </w:pPr>
            <w:r>
              <w:t>Программа международной оценки учащихся</w:t>
            </w:r>
          </w:p>
        </w:tc>
      </w:tr>
      <w:tr w:rsidR="00B44C11">
        <w:tblPrEx>
          <w:tblCellMar>
            <w:top w:w="0" w:type="dxa"/>
            <w:bottom w:w="0" w:type="dxa"/>
          </w:tblCellMar>
        </w:tblPrEx>
        <w:tc>
          <w:tcPr>
            <w:tcW w:w="1814" w:type="dxa"/>
          </w:tcPr>
          <w:p w:rsidR="00B44C11" w:rsidRDefault="00B44C11">
            <w:pPr>
              <w:spacing w:after="200"/>
              <w:rPr>
                <w:lang w:val="en-US"/>
              </w:rPr>
            </w:pPr>
            <w:r>
              <w:rPr>
                <w:lang w:val="en-US"/>
              </w:rPr>
              <w:t>Project PROBE</w:t>
            </w:r>
          </w:p>
        </w:tc>
        <w:tc>
          <w:tcPr>
            <w:tcW w:w="1814" w:type="dxa"/>
          </w:tcPr>
          <w:p w:rsidR="00B44C11" w:rsidRDefault="00B44C11">
            <w:pPr>
              <w:spacing w:after="200"/>
              <w:rPr>
                <w:lang w:val="en-US"/>
              </w:rPr>
            </w:pPr>
            <w:r>
              <w:t>ПРОБЕ</w:t>
            </w:r>
          </w:p>
        </w:tc>
        <w:tc>
          <w:tcPr>
            <w:tcW w:w="5978" w:type="dxa"/>
          </w:tcPr>
          <w:p w:rsidR="00B44C11" w:rsidRDefault="00B44C11">
            <w:pPr>
              <w:spacing w:after="200"/>
            </w:pPr>
            <w:r>
              <w:t>Периферийное широкополосное расширение</w:t>
            </w:r>
          </w:p>
        </w:tc>
      </w:tr>
      <w:tr w:rsidR="00B44C11">
        <w:tblPrEx>
          <w:tblCellMar>
            <w:top w:w="0" w:type="dxa"/>
            <w:bottom w:w="0" w:type="dxa"/>
          </w:tblCellMar>
        </w:tblPrEx>
        <w:tc>
          <w:tcPr>
            <w:tcW w:w="1814" w:type="dxa"/>
          </w:tcPr>
          <w:p w:rsidR="00B44C11" w:rsidRDefault="00B44C11">
            <w:pPr>
              <w:spacing w:after="200"/>
            </w:pPr>
            <w:r>
              <w:rPr>
                <w:lang w:val="en-US"/>
              </w:rPr>
              <w:t>RPL</w:t>
            </w:r>
          </w:p>
        </w:tc>
        <w:tc>
          <w:tcPr>
            <w:tcW w:w="1814" w:type="dxa"/>
          </w:tcPr>
          <w:p w:rsidR="00B44C11" w:rsidRDefault="00B44C11">
            <w:pPr>
              <w:spacing w:after="200"/>
            </w:pPr>
            <w:r>
              <w:t>НСПК</w:t>
            </w:r>
          </w:p>
        </w:tc>
        <w:tc>
          <w:tcPr>
            <w:tcW w:w="5978" w:type="dxa"/>
          </w:tcPr>
          <w:p w:rsidR="00B44C11" w:rsidRDefault="00B44C11">
            <w:pPr>
              <w:spacing w:after="200"/>
            </w:pPr>
            <w:r>
              <w:t>Национальная система присвоения квалификации</w:t>
            </w:r>
          </w:p>
        </w:tc>
      </w:tr>
      <w:tr w:rsidR="00B44C11">
        <w:tblPrEx>
          <w:tblCellMar>
            <w:top w:w="0" w:type="dxa"/>
            <w:bottom w:w="0" w:type="dxa"/>
          </w:tblCellMar>
        </w:tblPrEx>
        <w:tc>
          <w:tcPr>
            <w:tcW w:w="1814" w:type="dxa"/>
          </w:tcPr>
          <w:p w:rsidR="00B44C11" w:rsidRDefault="00B44C11">
            <w:pPr>
              <w:spacing w:after="200"/>
            </w:pPr>
            <w:r>
              <w:t>SDC</w:t>
            </w:r>
          </w:p>
        </w:tc>
        <w:tc>
          <w:tcPr>
            <w:tcW w:w="1814" w:type="dxa"/>
          </w:tcPr>
          <w:p w:rsidR="00B44C11" w:rsidRDefault="00B44C11">
            <w:pPr>
              <w:spacing w:after="200"/>
            </w:pPr>
            <w:r>
              <w:t>КСР</w:t>
            </w:r>
          </w:p>
        </w:tc>
        <w:tc>
          <w:tcPr>
            <w:tcW w:w="5978" w:type="dxa"/>
          </w:tcPr>
          <w:p w:rsidR="00B44C11" w:rsidRDefault="00B44C11">
            <w:pPr>
              <w:spacing w:after="200"/>
            </w:pPr>
            <w:r>
              <w:t>Комитет по вопросам социального развития кабинета министров</w:t>
            </w:r>
          </w:p>
        </w:tc>
      </w:tr>
      <w:tr w:rsidR="00B44C11">
        <w:tblPrEx>
          <w:tblCellMar>
            <w:top w:w="0" w:type="dxa"/>
            <w:bottom w:w="0" w:type="dxa"/>
          </w:tblCellMar>
        </w:tblPrEx>
        <w:tc>
          <w:tcPr>
            <w:tcW w:w="1814" w:type="dxa"/>
          </w:tcPr>
          <w:p w:rsidR="00B44C11" w:rsidRDefault="00B44C11">
            <w:pPr>
              <w:spacing w:after="200"/>
            </w:pPr>
            <w:r>
              <w:t>STV</w:t>
            </w:r>
          </w:p>
        </w:tc>
        <w:tc>
          <w:tcPr>
            <w:tcW w:w="1814" w:type="dxa"/>
          </w:tcPr>
          <w:p w:rsidR="00B44C11" w:rsidRDefault="00B44C11">
            <w:pPr>
              <w:spacing w:after="200"/>
            </w:pPr>
            <w:r>
              <w:t>СЕПГ</w:t>
            </w:r>
          </w:p>
        </w:tc>
        <w:tc>
          <w:tcPr>
            <w:tcW w:w="5978" w:type="dxa"/>
          </w:tcPr>
          <w:p w:rsidR="00B44C11" w:rsidRDefault="00B44C11">
            <w:pPr>
              <w:spacing w:after="200"/>
            </w:pPr>
            <w:r>
              <w:t xml:space="preserve">Система единого передаваемого голоса </w:t>
            </w:r>
          </w:p>
        </w:tc>
      </w:tr>
      <w:tr w:rsidR="00B44C11">
        <w:tblPrEx>
          <w:tblCellMar>
            <w:top w:w="0" w:type="dxa"/>
            <w:bottom w:w="0" w:type="dxa"/>
          </w:tblCellMar>
        </w:tblPrEx>
        <w:tc>
          <w:tcPr>
            <w:tcW w:w="1814" w:type="dxa"/>
          </w:tcPr>
          <w:p w:rsidR="00B44C11" w:rsidRDefault="00B44C11">
            <w:pPr>
              <w:spacing w:after="200"/>
            </w:pPr>
            <w:r>
              <w:t>tangata whenua</w:t>
            </w:r>
          </w:p>
        </w:tc>
        <w:tc>
          <w:tcPr>
            <w:tcW w:w="1814" w:type="dxa"/>
          </w:tcPr>
          <w:p w:rsidR="00B44C11" w:rsidRDefault="00B44C11">
            <w:pPr>
              <w:spacing w:after="200"/>
            </w:pPr>
          </w:p>
        </w:tc>
        <w:tc>
          <w:tcPr>
            <w:tcW w:w="5978" w:type="dxa"/>
          </w:tcPr>
          <w:p w:rsidR="00B44C11" w:rsidRDefault="00B44C11">
            <w:pPr>
              <w:spacing w:after="200"/>
            </w:pPr>
            <w:r>
              <w:t>Коренные жители народности маори Новой Зеландии</w:t>
            </w:r>
          </w:p>
        </w:tc>
      </w:tr>
      <w:tr w:rsidR="00B44C11">
        <w:tblPrEx>
          <w:tblCellMar>
            <w:top w:w="0" w:type="dxa"/>
            <w:bottom w:w="0" w:type="dxa"/>
          </w:tblCellMar>
        </w:tblPrEx>
        <w:tc>
          <w:tcPr>
            <w:tcW w:w="1814" w:type="dxa"/>
          </w:tcPr>
          <w:p w:rsidR="00B44C11" w:rsidRDefault="00B44C11">
            <w:pPr>
              <w:spacing w:after="200"/>
            </w:pPr>
            <w:r>
              <w:t>WFF</w:t>
            </w:r>
          </w:p>
        </w:tc>
        <w:tc>
          <w:tcPr>
            <w:tcW w:w="1814" w:type="dxa"/>
          </w:tcPr>
          <w:p w:rsidR="00B44C11" w:rsidRDefault="00B44C11">
            <w:pPr>
              <w:spacing w:after="200"/>
            </w:pPr>
          </w:p>
        </w:tc>
        <w:tc>
          <w:tcPr>
            <w:tcW w:w="5978" w:type="dxa"/>
          </w:tcPr>
          <w:p w:rsidR="00B44C11" w:rsidRDefault="00B44C11">
            <w:pPr>
              <w:spacing w:after="200"/>
            </w:pPr>
            <w:r>
              <w:t>Работая для семей</w:t>
            </w:r>
          </w:p>
        </w:tc>
      </w:tr>
      <w:tr w:rsidR="00B44C11">
        <w:tblPrEx>
          <w:tblCellMar>
            <w:top w:w="0" w:type="dxa"/>
            <w:bottom w:w="0" w:type="dxa"/>
          </w:tblCellMar>
        </w:tblPrEx>
        <w:tc>
          <w:tcPr>
            <w:tcW w:w="1814" w:type="dxa"/>
          </w:tcPr>
          <w:p w:rsidR="00B44C11" w:rsidRDefault="00B44C11">
            <w:pPr>
              <w:spacing w:after="200"/>
            </w:pPr>
            <w:r>
              <w:t>whanau</w:t>
            </w:r>
          </w:p>
        </w:tc>
        <w:tc>
          <w:tcPr>
            <w:tcW w:w="1814" w:type="dxa"/>
          </w:tcPr>
          <w:p w:rsidR="00B44C11" w:rsidRDefault="00B44C11">
            <w:pPr>
              <w:spacing w:after="200"/>
            </w:pPr>
          </w:p>
        </w:tc>
        <w:tc>
          <w:tcPr>
            <w:tcW w:w="5978" w:type="dxa"/>
          </w:tcPr>
          <w:p w:rsidR="00B44C11" w:rsidRDefault="00B44C11">
            <w:pPr>
              <w:spacing w:after="200"/>
            </w:pPr>
            <w:r>
              <w:t xml:space="preserve">Семья или небольшая группа лиц, имеющих родственную связь </w:t>
            </w:r>
          </w:p>
        </w:tc>
      </w:tr>
    </w:tbl>
    <w:p w:rsidR="00B44C11" w:rsidRDefault="00B44C11">
      <w:pPr>
        <w:pStyle w:val="CommentText"/>
      </w:pPr>
    </w:p>
    <w:sectPr w:rsidR="00B44C11">
      <w:footerReference w:type="default" r:id="rId29"/>
      <w:endnotePr>
        <w:numFmt w:val="decimal"/>
      </w:endnotePr>
      <w:pgSz w:w="12242" w:h="15842" w:code="1"/>
      <w:pgMar w:top="1418" w:right="1418" w:bottom="1701" w:left="1418" w:header="0" w:footer="851"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initials="Start">
    <w:p w:rsidR="00B44C11" w:rsidRDefault="00B44C11">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w:t>
      </w:r>
      <w:r>
        <w:rPr>
          <w:lang w:val="en-US"/>
        </w:rPr>
        <w:t>34214</w:t>
      </w:r>
      <w:r>
        <w:t>R&lt;&lt;ODS JOB NO&gt;&gt;</w:t>
      </w:r>
    </w:p>
    <w:p w:rsidR="00B44C11" w:rsidRDefault="00B44C11">
      <w:pPr>
        <w:pStyle w:val="CommentText"/>
      </w:pPr>
      <w:r>
        <w:t>&lt;&lt;ODS DOC SYMBOL1&gt;&gt;</w:t>
      </w:r>
      <w:r>
        <w:rPr>
          <w:lang w:val="en-US"/>
        </w:rPr>
        <w:t>CEDAW</w:t>
      </w:r>
      <w:r>
        <w:t>/</w:t>
      </w:r>
      <w:r>
        <w:rPr>
          <w:lang w:val="en-US"/>
        </w:rPr>
        <w:t>C</w:t>
      </w:r>
      <w:r>
        <w:t>/</w:t>
      </w:r>
      <w:r>
        <w:rPr>
          <w:lang w:val="en-US"/>
        </w:rPr>
        <w:t>NZL/6</w:t>
      </w:r>
      <w:r>
        <w:t>&lt;&lt;ODS DOC SYMBOL1&gt;&gt;</w:t>
      </w:r>
    </w:p>
    <w:p w:rsidR="00B44C11" w:rsidRDefault="00B44C1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C11" w:rsidRDefault="00B44C11">
      <w:r>
        <w:separator/>
      </w:r>
    </w:p>
  </w:endnote>
  <w:endnote w:type="continuationSeparator" w:id="0">
    <w:p w:rsidR="00B44C11" w:rsidRDefault="00B44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B44C11">
      <w:tblPrEx>
        <w:tblCellMar>
          <w:top w:w="0" w:type="dxa"/>
          <w:bottom w:w="0" w:type="dxa"/>
        </w:tblCellMar>
      </w:tblPrEx>
      <w:tc>
        <w:tcPr>
          <w:tcW w:w="5033" w:type="dxa"/>
          <w:vAlign w:val="bottom"/>
        </w:tcPr>
        <w:p w:rsidR="00B44C11" w:rsidRDefault="00B44C11">
          <w:pPr>
            <w:pStyle w:val="Footer"/>
          </w:pPr>
          <w:r>
            <w:fldChar w:fldCharType="begin"/>
          </w:r>
          <w:r>
            <w:instrText xml:space="preserve"> PAGE  \* MERGEFORMAT </w:instrText>
          </w:r>
          <w:r>
            <w:fldChar w:fldCharType="separate"/>
          </w:r>
          <w:r>
            <w:t>1</w:t>
          </w:r>
          <w:r>
            <w:fldChar w:fldCharType="end"/>
          </w:r>
        </w:p>
      </w:tc>
      <w:tc>
        <w:tcPr>
          <w:tcW w:w="5033" w:type="dxa"/>
          <w:vAlign w:val="bottom"/>
        </w:tcPr>
        <w:p w:rsidR="00B44C11" w:rsidRDefault="00B44C11">
          <w:pPr>
            <w:pStyle w:val="Footer"/>
          </w:pPr>
        </w:p>
      </w:tc>
    </w:tr>
  </w:tbl>
  <w:p w:rsidR="00B44C11" w:rsidRDefault="00B44C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1" w:rsidRDefault="00B44C11">
    <w:pPr>
      <w:pStyle w:val="Footer"/>
      <w:jc w:val="right"/>
    </w:pP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sz w:val="22"/>
      </w:rPr>
      <w:t>2</w:t>
    </w:r>
    <w:r>
      <w:rPr>
        <w:rStyle w:val="PageNumber"/>
        <w:b w:val="0"/>
        <w:sz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1" w:rsidRDefault="00B44C11">
    <w:pPr>
      <w:pStyle w:val="Footer"/>
      <w:rPr>
        <w:b w:val="0"/>
        <w:sz w:val="20"/>
      </w:rPr>
    </w:pPr>
    <w:r>
      <w:rPr>
        <w:b w:val="0"/>
        <w:sz w:val="20"/>
      </w:rPr>
      <w:t>06-34214 (R)</w:t>
    </w:r>
  </w:p>
  <w:p w:rsidR="00B44C11" w:rsidRDefault="00B44C11">
    <w:pPr>
      <w:pStyle w:val="Footer"/>
      <w:rPr>
        <w:rFonts w:ascii="Barcode 3 of 9 by request" w:hAnsi="Barcode 3 of 9 by request"/>
        <w:b w:val="0"/>
        <w:sz w:val="20"/>
      </w:rPr>
    </w:pPr>
    <w:r>
      <w:rPr>
        <w:rFonts w:ascii="Barcode 3 of 9 by request" w:hAnsi="Barcode 3 of 9 by request"/>
        <w:b w:val="0"/>
        <w:sz w:val="20"/>
      </w:rPr>
      <w:t>*0634214*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1" w:rsidRDefault="00B44C11">
    <w:pPr>
      <w:pStyle w:val="Footer"/>
      <w:jc w:val="right"/>
    </w:pPr>
    <w:r>
      <w:rPr>
        <w:sz w:val="20"/>
      </w:rPr>
      <w:pict>
        <v:shapetype id="_x0000_t202" coordsize="21600,21600" o:spt="202" path="m,l,21600r21600,l21600,xe">
          <v:stroke joinstyle="miter"/>
          <v:path gradientshapeok="t" o:connecttype="rect"/>
        </v:shapetype>
        <v:shape id="_x0000_s1030" type="#_x0000_t202" style="position:absolute;left:0;text-align:left;margin-left:-48.85pt;margin-top:-189.85pt;width:21.85pt;height:172.4pt;z-index:1" o:allowincell="f" filled="f" stroked="f">
          <v:textbox style="layout-flow:vertical" inset="0,0,0,0">
            <w:txbxContent>
              <w:p w:rsidR="00B44C11" w:rsidRDefault="00B44C11">
                <w:pP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111</w:t>
                </w:r>
                <w:r>
                  <w:rPr>
                    <w:rStyle w:val="PageNumber"/>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1" w:rsidRDefault="00B44C11">
    <w:pPr>
      <w:pStyle w:val="Footer"/>
      <w:jc w:val="right"/>
      <w:rPr>
        <w:b w:val="0"/>
        <w:sz w:val="22"/>
      </w:rPr>
    </w:pP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sz w:val="22"/>
      </w:rPr>
      <w:t>117</w:t>
    </w:r>
    <w:r>
      <w:rPr>
        <w:rStyle w:val="PageNumber"/>
        <w:b w:val="0"/>
        <w:sz w:val="22"/>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1" w:rsidRDefault="00B44C11">
    <w:pPr>
      <w:pStyle w:val="Footer"/>
      <w:jc w:val="right"/>
      <w:rPr>
        <w:b w:val="0"/>
        <w:sz w:val="22"/>
      </w:rPr>
    </w:pPr>
    <w:r>
      <w:rPr>
        <w:b w:val="0"/>
        <w:sz w:val="20"/>
      </w:rPr>
      <w:pict>
        <v:shapetype id="_x0000_t202" coordsize="21600,21600" o:spt="202" path="m,l,21600r21600,l21600,xe">
          <v:stroke joinstyle="miter"/>
          <v:path gradientshapeok="t" o:connecttype="rect"/>
        </v:shapetype>
        <v:shape id="_x0000_s1032" type="#_x0000_t202" style="position:absolute;left:0;text-align:left;margin-left:-45pt;margin-top:-187.35pt;width:21.85pt;height:172.4pt;z-index:2" o:allowincell="f" filled="f" stroked="f">
          <v:textbox style="layout-flow:vertical;mso-next-textbox:#_x0000_s1032" inset="0,0,0,0">
            <w:txbxContent>
              <w:p w:rsidR="00B44C11" w:rsidRDefault="00B44C11">
                <w:pP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120</w:t>
                </w:r>
                <w:r>
                  <w:rPr>
                    <w:rStyle w:val="PageNumber"/>
                  </w:rP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1" w:rsidRDefault="00B44C11">
    <w:pPr>
      <w:pStyle w:val="Footer"/>
      <w:jc w:val="right"/>
      <w:rPr>
        <w:b w:val="0"/>
        <w:sz w:val="22"/>
      </w:rPr>
    </w:pP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sz w:val="22"/>
      </w:rPr>
      <w:t>122</w:t>
    </w:r>
    <w:r>
      <w:rPr>
        <w:rStyle w:val="PageNumber"/>
        <w:b w:val="0"/>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C11" w:rsidRDefault="00B44C11">
      <w:pPr>
        <w:tabs>
          <w:tab w:val="left" w:pos="1021"/>
          <w:tab w:val="left" w:leader="underscore" w:pos="2552"/>
        </w:tabs>
        <w:spacing w:after="80"/>
      </w:pPr>
      <w:r>
        <w:separator/>
      </w:r>
    </w:p>
  </w:footnote>
  <w:footnote w:type="continuationSeparator" w:id="0">
    <w:p w:rsidR="00B44C11" w:rsidRDefault="00B44C11">
      <w:r>
        <w:continuationSeparator/>
      </w:r>
    </w:p>
  </w:footnote>
  <w:footnote w:id="1">
    <w:p w:rsidR="00B44C11" w:rsidRDefault="00B44C11">
      <w:pPr>
        <w:pStyle w:val="FootnoteText"/>
        <w:tabs>
          <w:tab w:val="left" w:pos="227"/>
        </w:tabs>
        <w:rPr>
          <w:lang/>
        </w:rPr>
      </w:pPr>
      <w:r>
        <w:rPr>
          <w:rStyle w:val="FootnoteReference"/>
          <w:sz w:val="18"/>
          <w:vertAlign w:val="baseline"/>
        </w:rPr>
        <w:t>*</w:t>
      </w:r>
      <w:r>
        <w:t xml:space="preserve"> </w:t>
      </w:r>
      <w:r>
        <w:tab/>
        <w:t>Настоящий документ издается без официального редактирования.</w:t>
      </w:r>
      <w:r>
        <w:rPr>
          <w:lang/>
        </w:rPr>
        <w:t xml:space="preserve"> </w:t>
      </w:r>
    </w:p>
    <w:p w:rsidR="00B44C11" w:rsidRDefault="00B44C11">
      <w:pPr>
        <w:pStyle w:val="FootnoteText"/>
        <w:tabs>
          <w:tab w:val="left" w:pos="227"/>
        </w:tabs>
        <w:spacing w:before="60"/>
      </w:pPr>
      <w:r>
        <w:rPr>
          <w:lang/>
        </w:rPr>
        <w:tab/>
      </w:r>
      <w:r>
        <w:t>Первоначальный доклад, представленный правительством Новой Зеландии, см. CEDAW/C/5/Add.41, который был рассмотрен Комитетом на его седьмой сессии. Второй периодический доклад, представленный правительством Новой Зеландии, см. CEDAW</w:t>
      </w:r>
      <w:r>
        <w:rPr>
          <w:lang w:val="ru-RU"/>
        </w:rPr>
        <w:t>/</w:t>
      </w:r>
      <w:r>
        <w:t>C</w:t>
      </w:r>
      <w:r>
        <w:rPr>
          <w:lang w:val="ru-RU"/>
        </w:rPr>
        <w:t>/</w:t>
      </w:r>
      <w:r>
        <w:t>NZE</w:t>
      </w:r>
      <w:r>
        <w:rPr>
          <w:lang w:val="ru-RU"/>
        </w:rPr>
        <w:t xml:space="preserve">/2 и </w:t>
      </w:r>
      <w:r>
        <w:t>Add</w:t>
      </w:r>
      <w:r>
        <w:rPr>
          <w:lang w:val="ru-RU"/>
        </w:rPr>
        <w:t xml:space="preserve">.1, который был рассмотрен Комитетом на его тринадцатой сессии. </w:t>
      </w:r>
      <w:r>
        <w:t xml:space="preserve">Сводный третий и четвертый периодический доклад см. CEDAW/C/NZL/3-4 и Add.1, который был рассмотрен Комитетом </w:t>
      </w:r>
      <w:r>
        <w:br/>
        <w:t xml:space="preserve">на его девятнадцатой сессии. Пятый периодический доклад, представленный правительством Новой Зеландии, </w:t>
      </w:r>
      <w:r>
        <w:br/>
        <w:t>см. CEDAW/C/NZL/5, который был рассмотрен Комитетом на его двадцать девятой сессии.</w:t>
      </w:r>
    </w:p>
  </w:footnote>
  <w:footnote w:id="2">
    <w:p w:rsidR="00B44C11" w:rsidRDefault="00B44C11">
      <w:pPr>
        <w:pStyle w:val="FootnoteText"/>
      </w:pPr>
      <w:r>
        <w:rPr>
          <w:rStyle w:val="FootnoteReference"/>
        </w:rPr>
        <w:footnoteRef/>
      </w:r>
      <w:r>
        <w:t xml:space="preserve"> </w:t>
      </w:r>
      <w:r>
        <w:tab/>
        <w:t>Этническая группа "прочие" используется в отношении лиц, которые определяют свое этническое происхождение как иное, нежели европейское, маори, тихоокеанское или азиатское.</w:t>
      </w:r>
    </w:p>
  </w:footnote>
  <w:footnote w:id="3">
    <w:p w:rsidR="00B44C11" w:rsidRDefault="00B44C11">
      <w:pPr>
        <w:pStyle w:val="FootnoteText"/>
      </w:pPr>
      <w:r>
        <w:rPr>
          <w:rStyle w:val="FootnoteReference"/>
        </w:rPr>
        <w:footnoteRef/>
      </w:r>
      <w:r>
        <w:t xml:space="preserve"> </w:t>
      </w:r>
      <w:r>
        <w:tab/>
      </w:r>
      <w:r>
        <w:rPr>
          <w:i/>
        </w:rPr>
        <w:t>Step be Step guide Cabinet and Cabinet Committee Process – Policy Development Process Required by Cabinet</w:t>
      </w:r>
      <w:r>
        <w:t>. Wellington (Cabinet Office 2001).</w:t>
      </w:r>
    </w:p>
  </w:footnote>
  <w:footnote w:id="4">
    <w:p w:rsidR="00B44C11" w:rsidRDefault="00B44C11">
      <w:pPr>
        <w:pStyle w:val="FootnoteText"/>
      </w:pPr>
      <w:r>
        <w:rPr>
          <w:rStyle w:val="FootnoteReference"/>
        </w:rPr>
        <w:footnoteRef/>
      </w:r>
      <w:r>
        <w:t xml:space="preserve"> </w:t>
      </w:r>
      <w:r>
        <w:tab/>
        <w:t>"Весла, которые приносят развитие издалека".</w:t>
      </w:r>
    </w:p>
  </w:footnote>
  <w:footnote w:id="5">
    <w:p w:rsidR="00B44C11" w:rsidRDefault="00B44C11">
      <w:pPr>
        <w:pStyle w:val="FootnoteText"/>
      </w:pPr>
      <w:r>
        <w:rPr>
          <w:rStyle w:val="FootnoteReference"/>
        </w:rPr>
        <w:footnoteRef/>
      </w:r>
      <w:r>
        <w:t xml:space="preserve"> </w:t>
      </w:r>
      <w:r>
        <w:tab/>
        <w:t>Результаты всех обзоров представлены на веб-сайте Комиссии по вопросам государственной службы (</w:t>
      </w:r>
      <w:hyperlink r:id="rId1" w:history="1">
        <w:r>
          <w:rPr>
            <w:rStyle w:val="Hyperlink"/>
            <w:color w:val="auto"/>
          </w:rPr>
          <w:t>www.ssc.govt</w:t>
        </w:r>
        <w:r>
          <w:rPr>
            <w:rStyle w:val="Hyperlink"/>
            <w:color w:val="auto"/>
          </w:rPr>
          <w:t>.</w:t>
        </w:r>
        <w:r>
          <w:rPr>
            <w:rStyle w:val="Hyperlink"/>
            <w:color w:val="auto"/>
          </w:rPr>
          <w:t>nz</w:t>
        </w:r>
      </w:hyperlink>
      <w:r>
        <w:t>).</w:t>
      </w:r>
    </w:p>
  </w:footnote>
  <w:footnote w:id="6">
    <w:p w:rsidR="00B44C11" w:rsidRDefault="00B44C11">
      <w:pPr>
        <w:pStyle w:val="FootnoteText"/>
      </w:pPr>
      <w:r>
        <w:rPr>
          <w:rStyle w:val="FootnoteReference"/>
        </w:rPr>
        <w:footnoteRef/>
      </w:r>
      <w:r>
        <w:t xml:space="preserve"> </w:t>
      </w:r>
      <w:r>
        <w:tab/>
      </w:r>
      <w:r>
        <w:rPr>
          <w:i/>
        </w:rPr>
        <w:t>The Roles of Men and Women in Society</w:t>
      </w:r>
      <w:r>
        <w:t>. Palmerston North: Massey University, p. 1. (Gendall P 2002)</w:t>
      </w:r>
    </w:p>
  </w:footnote>
  <w:footnote w:id="7">
    <w:p w:rsidR="00B44C11" w:rsidRDefault="00B44C11">
      <w:pPr>
        <w:pStyle w:val="FootnoteText"/>
        <w:rPr>
          <w:lang w:val="ru-RU"/>
        </w:rPr>
      </w:pPr>
      <w:r>
        <w:rPr>
          <w:rStyle w:val="FootnoteReference"/>
        </w:rPr>
        <w:footnoteRef/>
      </w:r>
      <w:r>
        <w:rPr>
          <w:lang w:val="ru-RU"/>
        </w:rPr>
        <w:t xml:space="preserve"> </w:t>
      </w:r>
      <w:r>
        <w:rPr>
          <w:lang w:val="ru-RU"/>
        </w:rPr>
        <w:tab/>
        <w:t xml:space="preserve">Для фильмов может быть сделано исключение из правила присвоения им категорий и обеспечения их соответствующими обозначениями в виде наклеек, исходя из их содержания и предназначения (например, учебный или методический видеофильм). </w:t>
      </w:r>
      <w:r>
        <w:t xml:space="preserve">В разделе 8 Закона содержится определение того, какого рода фильмы могут быть освобождены от требования категоризации и обеспечения их соответствующими наклейками. </w:t>
      </w:r>
      <w:r>
        <w:rPr>
          <w:lang w:val="ru-RU"/>
        </w:rPr>
        <w:t xml:space="preserve">Текст раздела 8 имеется </w:t>
      </w:r>
      <w:r>
        <w:rPr>
          <w:lang w:val="ru-RU"/>
        </w:rPr>
        <w:br/>
        <w:t xml:space="preserve">на веб-сайте: </w:t>
      </w:r>
      <w:hyperlink r:id="rId2" w:history="1">
        <w:r>
          <w:rPr>
            <w:rStyle w:val="Hyperlink"/>
            <w:color w:val="auto"/>
          </w:rPr>
          <w:t>http</w:t>
        </w:r>
        <w:r>
          <w:rPr>
            <w:rStyle w:val="Hyperlink"/>
            <w:color w:val="auto"/>
            <w:lang w:val="ru-RU"/>
          </w:rPr>
          <w:t>://</w:t>
        </w:r>
        <w:r>
          <w:rPr>
            <w:rStyle w:val="Hyperlink"/>
            <w:color w:val="auto"/>
          </w:rPr>
          <w:t>rangi</w:t>
        </w:r>
        <w:r>
          <w:rPr>
            <w:rStyle w:val="Hyperlink"/>
            <w:color w:val="auto"/>
            <w:lang w:val="ru-RU"/>
          </w:rPr>
          <w:t>.</w:t>
        </w:r>
        <w:r>
          <w:rPr>
            <w:rStyle w:val="Hyperlink"/>
            <w:color w:val="auto"/>
          </w:rPr>
          <w:t>knowledge</w:t>
        </w:r>
        <w:r>
          <w:rPr>
            <w:rStyle w:val="Hyperlink"/>
            <w:color w:val="auto"/>
            <w:lang w:val="ru-RU"/>
          </w:rPr>
          <w:t>-</w:t>
        </w:r>
        <w:r>
          <w:rPr>
            <w:rStyle w:val="Hyperlink"/>
            <w:color w:val="auto"/>
          </w:rPr>
          <w:t>basket</w:t>
        </w:r>
        <w:r>
          <w:rPr>
            <w:rStyle w:val="Hyperlink"/>
            <w:color w:val="auto"/>
            <w:lang w:val="ru-RU"/>
          </w:rPr>
          <w:t>.</w:t>
        </w:r>
        <w:r>
          <w:rPr>
            <w:rStyle w:val="Hyperlink"/>
            <w:color w:val="auto"/>
          </w:rPr>
          <w:t>co</w:t>
        </w:r>
        <w:r>
          <w:rPr>
            <w:rStyle w:val="Hyperlink"/>
            <w:color w:val="auto"/>
            <w:lang w:val="ru-RU"/>
          </w:rPr>
          <w:t>.</w:t>
        </w:r>
        <w:r>
          <w:rPr>
            <w:rStyle w:val="Hyperlink"/>
            <w:color w:val="auto"/>
          </w:rPr>
          <w:t>nz</w:t>
        </w:r>
        <w:r>
          <w:rPr>
            <w:rStyle w:val="Hyperlink"/>
            <w:color w:val="auto"/>
            <w:lang w:val="ru-RU"/>
          </w:rPr>
          <w:t>/</w:t>
        </w:r>
        <w:r>
          <w:rPr>
            <w:rStyle w:val="Hyperlink"/>
            <w:color w:val="auto"/>
          </w:rPr>
          <w:t>gpacts</w:t>
        </w:r>
        <w:r>
          <w:rPr>
            <w:rStyle w:val="Hyperlink"/>
            <w:color w:val="auto"/>
            <w:lang w:val="ru-RU"/>
          </w:rPr>
          <w:t>/</w:t>
        </w:r>
        <w:r>
          <w:rPr>
            <w:rStyle w:val="Hyperlink"/>
            <w:color w:val="auto"/>
          </w:rPr>
          <w:t>public</w:t>
        </w:r>
        <w:r>
          <w:rPr>
            <w:rStyle w:val="Hyperlink"/>
            <w:color w:val="auto"/>
            <w:lang w:val="ru-RU"/>
          </w:rPr>
          <w:t>/</w:t>
        </w:r>
        <w:r>
          <w:rPr>
            <w:rStyle w:val="Hyperlink"/>
            <w:color w:val="auto"/>
          </w:rPr>
          <w:t>text</w:t>
        </w:r>
        <w:r>
          <w:rPr>
            <w:rStyle w:val="Hyperlink"/>
            <w:color w:val="auto"/>
            <w:lang w:val="ru-RU"/>
          </w:rPr>
          <w:t>/1993/</w:t>
        </w:r>
        <w:r>
          <w:rPr>
            <w:rStyle w:val="Hyperlink"/>
            <w:color w:val="auto"/>
          </w:rPr>
          <w:t>se</w:t>
        </w:r>
        <w:r>
          <w:rPr>
            <w:rStyle w:val="Hyperlink"/>
            <w:color w:val="auto"/>
            <w:lang w:val="ru-RU"/>
          </w:rPr>
          <w:t>/</w:t>
        </w:r>
        <w:r>
          <w:rPr>
            <w:rStyle w:val="Hyperlink"/>
            <w:color w:val="auto"/>
            <w:lang w:val="ru-RU"/>
          </w:rPr>
          <w:t>094</w:t>
        </w:r>
        <w:r>
          <w:rPr>
            <w:rStyle w:val="Hyperlink"/>
            <w:color w:val="auto"/>
          </w:rPr>
          <w:t>se</w:t>
        </w:r>
        <w:r>
          <w:rPr>
            <w:rStyle w:val="Hyperlink"/>
            <w:color w:val="auto"/>
            <w:lang w:val="ru-RU"/>
          </w:rPr>
          <w:t>8.</w:t>
        </w:r>
        <w:r>
          <w:rPr>
            <w:rStyle w:val="Hyperlink"/>
            <w:color w:val="auto"/>
          </w:rPr>
          <w:t>html</w:t>
        </w:r>
      </w:hyperlink>
      <w:r>
        <w:rPr>
          <w:lang w:val="ru-RU"/>
        </w:rPr>
        <w:t>.</w:t>
      </w:r>
    </w:p>
  </w:footnote>
  <w:footnote w:id="8">
    <w:p w:rsidR="00B44C11" w:rsidRDefault="00B44C11">
      <w:pPr>
        <w:pStyle w:val="FootnoteText"/>
        <w:rPr>
          <w:lang w:val="ru-RU"/>
        </w:rPr>
      </w:pPr>
      <w:r>
        <w:rPr>
          <w:rStyle w:val="FootnoteReference"/>
        </w:rPr>
        <w:footnoteRef/>
      </w:r>
      <w:r>
        <w:rPr>
          <w:lang w:val="ru-RU"/>
        </w:rPr>
        <w:t xml:space="preserve"> </w:t>
      </w:r>
      <w:r>
        <w:rPr>
          <w:lang w:val="ru-RU"/>
        </w:rPr>
        <w:tab/>
        <w:t>Запрещенная публикация определяется в разделе</w:t>
      </w:r>
      <w:r>
        <w:t> </w:t>
      </w:r>
      <w:r>
        <w:rPr>
          <w:lang w:val="ru-RU"/>
        </w:rPr>
        <w:t>3 Закона как публикация, в которой вопросы секса, ужаса, преступлений, жестокости или насилия преподносятся таким образом, что это скорее всего нанесет ущерб общественным интересам.</w:t>
      </w:r>
    </w:p>
  </w:footnote>
  <w:footnote w:id="9">
    <w:p w:rsidR="00B44C11" w:rsidRDefault="00B44C11">
      <w:pPr>
        <w:pStyle w:val="FootnoteText"/>
        <w:rPr>
          <w:lang w:val="ru-RU"/>
        </w:rPr>
      </w:pPr>
      <w:r>
        <w:rPr>
          <w:rStyle w:val="FootnoteReference"/>
        </w:rPr>
        <w:footnoteRef/>
      </w:r>
      <w:r>
        <w:rPr>
          <w:lang w:val="ru-RU"/>
        </w:rPr>
        <w:t xml:space="preserve"> </w:t>
      </w:r>
      <w:r>
        <w:rPr>
          <w:lang w:val="ru-RU"/>
        </w:rPr>
        <w:tab/>
        <w:t xml:space="preserve">Образец доклада и дополнительная информация по проблеме насилия на телевидении в Новой Зеландии имеются </w:t>
      </w:r>
      <w:r>
        <w:rPr>
          <w:lang w:val="ru-RU"/>
        </w:rPr>
        <w:br/>
        <w:t xml:space="preserve">на веб-сайте: </w:t>
      </w:r>
      <w:hyperlink r:id="rId3" w:history="1">
        <w:r>
          <w:rPr>
            <w:rStyle w:val="Hyperlink"/>
            <w:color w:val="auto"/>
          </w:rPr>
          <w:t>http</w:t>
        </w:r>
        <w:r>
          <w:rPr>
            <w:rStyle w:val="Hyperlink"/>
            <w:color w:val="auto"/>
            <w:lang w:val="ru-RU"/>
          </w:rPr>
          <w:t>://</w:t>
        </w:r>
        <w:r>
          <w:rPr>
            <w:rStyle w:val="Hyperlink"/>
            <w:color w:val="auto"/>
          </w:rPr>
          <w:t>ww</w:t>
        </w:r>
        <w:r>
          <w:rPr>
            <w:rStyle w:val="Hyperlink"/>
            <w:color w:val="auto"/>
          </w:rPr>
          <w:t>w</w:t>
        </w:r>
        <w:r>
          <w:rPr>
            <w:rStyle w:val="Hyperlink"/>
            <w:color w:val="auto"/>
            <w:lang w:val="ru-RU"/>
          </w:rPr>
          <w:t>.</w:t>
        </w:r>
        <w:r>
          <w:rPr>
            <w:rStyle w:val="Hyperlink"/>
            <w:color w:val="auto"/>
          </w:rPr>
          <w:t>tv</w:t>
        </w:r>
        <w:r>
          <w:rPr>
            <w:rStyle w:val="Hyperlink"/>
            <w:color w:val="auto"/>
            <w:lang w:val="ru-RU"/>
          </w:rPr>
          <w:t>-</w:t>
        </w:r>
        <w:r>
          <w:rPr>
            <w:rStyle w:val="Hyperlink"/>
            <w:color w:val="auto"/>
          </w:rPr>
          <w:t>violence</w:t>
        </w:r>
        <w:r>
          <w:rPr>
            <w:rStyle w:val="Hyperlink"/>
            <w:color w:val="auto"/>
            <w:lang w:val="ru-RU"/>
          </w:rPr>
          <w:t>.</w:t>
        </w:r>
        <w:r>
          <w:rPr>
            <w:rStyle w:val="Hyperlink"/>
            <w:color w:val="auto"/>
          </w:rPr>
          <w:t>org</w:t>
        </w:r>
        <w:r>
          <w:rPr>
            <w:rStyle w:val="Hyperlink"/>
            <w:color w:val="auto"/>
            <w:lang w:val="ru-RU"/>
          </w:rPr>
          <w:t>.</w:t>
        </w:r>
        <w:r>
          <w:rPr>
            <w:rStyle w:val="Hyperlink"/>
            <w:color w:val="auto"/>
          </w:rPr>
          <w:t>nz</w:t>
        </w:r>
        <w:r>
          <w:rPr>
            <w:rStyle w:val="Hyperlink"/>
            <w:color w:val="auto"/>
            <w:lang w:val="ru-RU"/>
          </w:rPr>
          <w:t>/</w:t>
        </w:r>
      </w:hyperlink>
      <w:r>
        <w:rPr>
          <w:lang w:val="ru-RU"/>
        </w:rPr>
        <w:t>.</w:t>
      </w:r>
    </w:p>
  </w:footnote>
  <w:footnote w:id="10">
    <w:p w:rsidR="00B44C11" w:rsidRDefault="00B44C11">
      <w:pPr>
        <w:pStyle w:val="FootnoteText"/>
        <w:rPr>
          <w:lang w:val="en-NZ"/>
        </w:rPr>
      </w:pPr>
      <w:r>
        <w:rPr>
          <w:rStyle w:val="FootnoteReference"/>
        </w:rPr>
        <w:footnoteRef/>
      </w:r>
      <w:r>
        <w:t xml:space="preserve"> </w:t>
      </w:r>
      <w:r>
        <w:tab/>
        <w:t>2005 Social Report, Wellington (MSD 2005)</w:t>
      </w:r>
      <w:r>
        <w:rPr>
          <w:lang w:val="en-NZ"/>
        </w:rPr>
        <w:t>.</w:t>
      </w:r>
    </w:p>
  </w:footnote>
  <w:footnote w:id="11">
    <w:p w:rsidR="00B44C11" w:rsidRDefault="00B44C11">
      <w:pPr>
        <w:pStyle w:val="FootnoteText"/>
        <w:rPr>
          <w:lang w:val="en-NZ"/>
        </w:rPr>
      </w:pPr>
      <w:r>
        <w:rPr>
          <w:rStyle w:val="FootnoteReference"/>
        </w:rPr>
        <w:footnoteRef/>
      </w:r>
      <w:r>
        <w:t xml:space="preserve"> </w:t>
      </w:r>
      <w:r>
        <w:rPr>
          <w:lang w:val="en-NZ"/>
        </w:rPr>
        <w:tab/>
      </w:r>
      <w:r>
        <w:rPr>
          <w:i/>
        </w:rPr>
        <w:t>EEO progress in the Public Sector 2000 – 2004</w:t>
      </w:r>
      <w:r>
        <w:t xml:space="preserve">. </w:t>
      </w:r>
      <w:r>
        <w:rPr>
          <w:lang w:val="en-NZ"/>
        </w:rPr>
        <w:t>Wellington: (SSC 2005).</w:t>
      </w:r>
    </w:p>
  </w:footnote>
  <w:footnote w:id="12">
    <w:p w:rsidR="00B44C11" w:rsidRDefault="00B44C11">
      <w:pPr>
        <w:pStyle w:val="FootnoteText"/>
        <w:rPr>
          <w:lang w:val="en-NZ"/>
        </w:rPr>
      </w:pPr>
      <w:r>
        <w:rPr>
          <w:rStyle w:val="FootnoteReference"/>
        </w:rPr>
        <w:footnoteRef/>
      </w:r>
      <w:r>
        <w:rPr>
          <w:lang w:val="en-NZ"/>
        </w:rPr>
        <w:t xml:space="preserve"> </w:t>
      </w:r>
      <w:r>
        <w:rPr>
          <w:lang w:val="en-NZ"/>
        </w:rPr>
        <w:tab/>
      </w:r>
      <w:r>
        <w:rPr>
          <w:i/>
          <w:lang w:val="en-NZ"/>
        </w:rPr>
        <w:t>Human Resources Capability Survey of Public Service Departments</w:t>
      </w:r>
      <w:r>
        <w:rPr>
          <w:lang w:val="en-NZ"/>
        </w:rPr>
        <w:t xml:space="preserve"> as at 30 June 2005.</w:t>
      </w:r>
    </w:p>
  </w:footnote>
  <w:footnote w:id="13">
    <w:p w:rsidR="00B44C11" w:rsidRDefault="00B44C11">
      <w:pPr>
        <w:pStyle w:val="FootnoteText"/>
        <w:rPr>
          <w:lang w:val="ru-RU"/>
        </w:rPr>
      </w:pPr>
      <w:r>
        <w:rPr>
          <w:rStyle w:val="FootnoteReference"/>
        </w:rPr>
        <w:footnoteRef/>
      </w:r>
      <w:r>
        <w:rPr>
          <w:lang w:val="en-NZ"/>
        </w:rPr>
        <w:t xml:space="preserve"> </w:t>
      </w:r>
      <w:r>
        <w:rPr>
          <w:lang w:val="en-NZ"/>
        </w:rPr>
        <w:tab/>
      </w:r>
      <w:r>
        <w:rPr>
          <w:i/>
        </w:rPr>
        <w:t>New Zealand Census of Women’s Participation in Governance and Professional Life</w:t>
      </w:r>
      <w:r>
        <w:t>. Wellington (Human Rights Commission 2004).</w:t>
      </w:r>
    </w:p>
  </w:footnote>
  <w:footnote w:id="14">
    <w:p w:rsidR="00B44C11" w:rsidRDefault="00B44C11">
      <w:pPr>
        <w:pStyle w:val="FootnoteText"/>
      </w:pPr>
      <w:r>
        <w:rPr>
          <w:rStyle w:val="FootnoteReference"/>
        </w:rPr>
        <w:footnoteRef/>
      </w:r>
      <w:r>
        <w:t xml:space="preserve"> </w:t>
      </w:r>
      <w:r>
        <w:tab/>
        <w:t xml:space="preserve">Эта информация, представленная женщинами </w:t>
      </w:r>
      <w:r>
        <w:rPr>
          <w:caps/>
        </w:rPr>
        <w:t>м</w:t>
      </w:r>
      <w:r>
        <w:t>инистерству по делам женщин, предназначена только для эксклюзивного пользования Службой по вопросам назначений в соответствии с положениями Закона о невмешательстве в личную жизнь 1993 года.</w:t>
      </w:r>
    </w:p>
  </w:footnote>
  <w:footnote w:id="15">
    <w:p w:rsidR="00B44C11" w:rsidRDefault="00B44C11">
      <w:pPr>
        <w:pStyle w:val="FootnoteText"/>
        <w:rPr>
          <w:lang w:val="ru-RU"/>
        </w:rPr>
      </w:pPr>
      <w:r>
        <w:rPr>
          <w:rStyle w:val="FootnoteReference"/>
        </w:rPr>
        <w:footnoteRef/>
      </w:r>
      <w:r>
        <w:rPr>
          <w:lang w:val="ru-RU"/>
        </w:rPr>
        <w:t xml:space="preserve"> </w:t>
      </w:r>
      <w:r>
        <w:rPr>
          <w:lang w:val="ru-RU"/>
        </w:rPr>
        <w:tab/>
        <w:t xml:space="preserve">Дополнительную информацию об иммиграционной политике Новой Зеландии см. на веб-сайте: </w:t>
      </w:r>
      <w:hyperlink r:id="rId4" w:history="1">
        <w:r>
          <w:rPr>
            <w:rStyle w:val="Hyperlink"/>
            <w:color w:val="auto"/>
          </w:rPr>
          <w:t>http</w:t>
        </w:r>
        <w:r>
          <w:rPr>
            <w:rStyle w:val="Hyperlink"/>
            <w:color w:val="auto"/>
            <w:lang w:val="ru-RU"/>
          </w:rPr>
          <w:t>://</w:t>
        </w:r>
        <w:r>
          <w:rPr>
            <w:rStyle w:val="Hyperlink"/>
            <w:color w:val="auto"/>
          </w:rPr>
          <w:t>www</w:t>
        </w:r>
        <w:r>
          <w:rPr>
            <w:rStyle w:val="Hyperlink"/>
            <w:color w:val="auto"/>
            <w:lang w:val="ru-RU"/>
          </w:rPr>
          <w:t>.</w:t>
        </w:r>
        <w:r>
          <w:rPr>
            <w:rStyle w:val="Hyperlink"/>
            <w:color w:val="auto"/>
          </w:rPr>
          <w:t>immigration</w:t>
        </w:r>
        <w:r>
          <w:rPr>
            <w:rStyle w:val="Hyperlink"/>
            <w:color w:val="auto"/>
            <w:lang w:val="ru-RU"/>
          </w:rPr>
          <w:t>.</w:t>
        </w:r>
        <w:r>
          <w:rPr>
            <w:rStyle w:val="Hyperlink"/>
            <w:color w:val="auto"/>
          </w:rPr>
          <w:t>govt</w:t>
        </w:r>
        <w:r>
          <w:rPr>
            <w:rStyle w:val="Hyperlink"/>
            <w:color w:val="auto"/>
            <w:lang w:val="ru-RU"/>
          </w:rPr>
          <w:t>.</w:t>
        </w:r>
        <w:r>
          <w:rPr>
            <w:rStyle w:val="Hyperlink"/>
            <w:color w:val="auto"/>
          </w:rPr>
          <w:t>nz</w:t>
        </w:r>
        <w:r>
          <w:rPr>
            <w:rStyle w:val="Hyperlink"/>
            <w:color w:val="auto"/>
            <w:lang w:val="ru-RU"/>
          </w:rPr>
          <w:t>/</w:t>
        </w:r>
      </w:hyperlink>
      <w:r>
        <w:rPr>
          <w:lang w:val="ru-RU"/>
        </w:rPr>
        <w:t>.</w:t>
      </w:r>
    </w:p>
  </w:footnote>
  <w:footnote w:id="16">
    <w:p w:rsidR="00B44C11" w:rsidRDefault="00B44C11">
      <w:pPr>
        <w:pStyle w:val="FootnoteText"/>
      </w:pPr>
      <w:r>
        <w:rPr>
          <w:rStyle w:val="FootnoteReference"/>
        </w:rPr>
        <w:footnoteRef/>
      </w:r>
      <w:r>
        <w:t xml:space="preserve"> </w:t>
      </w:r>
      <w:r>
        <w:tab/>
        <w:t>В подкатегорию женщин, подвергающихся риску, входят женщины-беженцы, не имеющие поддержки со стороны лиц, являющихся традиционными защитниками из числа членов семьи или общины. Эти женщины, как правило, не соответствуют обычным критериям приемлемости, предъявляемым странами, принимающими переселенцев, и они нуждаются в защите от преследования на сексуальной почве, например похищения, сексуального насилия и эксплуатации.</w:t>
      </w:r>
    </w:p>
  </w:footnote>
  <w:footnote w:id="17">
    <w:p w:rsidR="00B44C11" w:rsidRDefault="00B44C11">
      <w:pPr>
        <w:pStyle w:val="FootnoteText"/>
      </w:pPr>
      <w:r>
        <w:rPr>
          <w:rStyle w:val="FootnoteReference"/>
        </w:rPr>
        <w:footnoteRef/>
      </w:r>
      <w:r>
        <w:t xml:space="preserve"> </w:t>
      </w:r>
      <w:r>
        <w:tab/>
      </w:r>
      <w:r>
        <w:rPr>
          <w:i/>
        </w:rPr>
        <w:t>2005 Social Report</w:t>
      </w:r>
      <w:r>
        <w:t>. Wellington: (MSD 2005).</w:t>
      </w:r>
    </w:p>
  </w:footnote>
  <w:footnote w:id="18">
    <w:p w:rsidR="00B44C11" w:rsidRDefault="00B44C11">
      <w:pPr>
        <w:pStyle w:val="FootnoteText"/>
      </w:pPr>
      <w:r>
        <w:rPr>
          <w:rStyle w:val="FootnoteReference"/>
        </w:rPr>
        <w:footnoteRef/>
      </w:r>
      <w:r>
        <w:t xml:space="preserve"> </w:t>
      </w:r>
      <w:r>
        <w:tab/>
        <w:t xml:space="preserve">‘Pathways for Women: the big picture’. </w:t>
      </w:r>
      <w:r>
        <w:rPr>
          <w:i/>
        </w:rPr>
        <w:t>workINSIGHT</w:t>
      </w:r>
      <w:r>
        <w:t>, issue 6, (DOL June 2005).</w:t>
      </w:r>
    </w:p>
  </w:footnote>
  <w:footnote w:id="19">
    <w:p w:rsidR="00B44C11" w:rsidRDefault="00B44C11">
      <w:pPr>
        <w:pStyle w:val="FootnoteText"/>
        <w:rPr>
          <w:lang w:val="ru-RU"/>
        </w:rPr>
      </w:pPr>
      <w:r>
        <w:rPr>
          <w:rStyle w:val="FootnoteReference"/>
        </w:rPr>
        <w:footnoteRef/>
      </w:r>
      <w:r>
        <w:t xml:space="preserve"> </w:t>
      </w:r>
      <w:r>
        <w:tab/>
      </w:r>
      <w:r>
        <w:rPr>
          <w:i/>
        </w:rPr>
        <w:t>Graduates and Qualification Completions 2003: 2003 Completions Statistics</w:t>
      </w:r>
      <w:r>
        <w:t xml:space="preserve">, </w:t>
      </w:r>
      <w:r>
        <w:fldChar w:fldCharType="begin"/>
      </w:r>
      <w:r>
        <w:instrText xml:space="preserve"> HYPERLINK "http://www.minedu.govt.nz" </w:instrText>
      </w:r>
      <w:r>
        <w:fldChar w:fldCharType="separate"/>
      </w:r>
      <w:r>
        <w:rPr>
          <w:rStyle w:val="Hyperlink"/>
          <w:color w:val="auto"/>
        </w:rPr>
        <w:t>http://www.minedu.govt.nz</w:t>
      </w:r>
      <w:r>
        <w:fldChar w:fldCharType="end"/>
      </w:r>
      <w:r>
        <w:t>. (M</w:t>
      </w:r>
      <w:r>
        <w:rPr>
          <w:lang w:val="ru-RU"/>
        </w:rPr>
        <w:t>о</w:t>
      </w:r>
      <w:r>
        <w:t>E 2004)</w:t>
      </w:r>
      <w:r>
        <w:rPr>
          <w:lang w:val="ru-RU"/>
        </w:rPr>
        <w:t>.</w:t>
      </w:r>
    </w:p>
  </w:footnote>
  <w:footnote w:id="20">
    <w:p w:rsidR="00B44C11" w:rsidRDefault="00B44C11">
      <w:pPr>
        <w:pStyle w:val="FootnoteText"/>
        <w:rPr>
          <w:lang w:val="ru-RU"/>
        </w:rPr>
      </w:pPr>
      <w:r>
        <w:rPr>
          <w:rStyle w:val="FootnoteReference"/>
        </w:rPr>
        <w:footnoteRef/>
      </w:r>
      <w:r>
        <w:t xml:space="preserve"> </w:t>
      </w:r>
      <w:r>
        <w:tab/>
      </w:r>
      <w:r>
        <w:rPr>
          <w:i/>
        </w:rPr>
        <w:t>Briefing for the Incoming Minister of Education</w:t>
      </w:r>
      <w:r>
        <w:t>. Wellington (MoE 2005)</w:t>
      </w:r>
      <w:r>
        <w:rPr>
          <w:lang w:val="ru-RU"/>
        </w:rPr>
        <w:t>.</w:t>
      </w:r>
    </w:p>
  </w:footnote>
  <w:footnote w:id="21">
    <w:p w:rsidR="00B44C11" w:rsidRDefault="00B44C11">
      <w:pPr>
        <w:pStyle w:val="FootnoteText"/>
        <w:rPr>
          <w:lang w:val="ru-RU"/>
        </w:rPr>
      </w:pPr>
      <w:r>
        <w:rPr>
          <w:rStyle w:val="FootnoteReference"/>
        </w:rPr>
        <w:footnoteRef/>
      </w:r>
      <w:r>
        <w:t xml:space="preserve"> </w:t>
      </w:r>
      <w:r>
        <w:tab/>
      </w:r>
      <w:r>
        <w:rPr>
          <w:i/>
        </w:rPr>
        <w:t>Early Childhood Education Statistics 2004</w:t>
      </w:r>
      <w:r>
        <w:t>. Wellington (MoE 2004)</w:t>
      </w:r>
      <w:r>
        <w:rPr>
          <w:lang w:val="ru-RU"/>
        </w:rPr>
        <w:t>.</w:t>
      </w:r>
    </w:p>
  </w:footnote>
  <w:footnote w:id="22">
    <w:p w:rsidR="00B44C11" w:rsidRDefault="00B44C11">
      <w:pPr>
        <w:pStyle w:val="FootnoteText"/>
        <w:rPr>
          <w:lang w:val="ru-RU"/>
        </w:rPr>
      </w:pPr>
      <w:r>
        <w:rPr>
          <w:rStyle w:val="FootnoteReference"/>
        </w:rPr>
        <w:footnoteRef/>
      </w:r>
      <w:r>
        <w:t xml:space="preserve"> </w:t>
      </w:r>
      <w:r>
        <w:tab/>
      </w:r>
      <w:r>
        <w:rPr>
          <w:i/>
        </w:rPr>
        <w:t>School Enrolments at 1 July 2004</w:t>
      </w:r>
      <w:r>
        <w:t>. Wellington (MoE 2004)</w:t>
      </w:r>
      <w:r>
        <w:rPr>
          <w:lang w:val="ru-RU"/>
        </w:rPr>
        <w:t>.</w:t>
      </w:r>
    </w:p>
  </w:footnote>
  <w:footnote w:id="23">
    <w:p w:rsidR="00B44C11" w:rsidRDefault="00B44C11">
      <w:pPr>
        <w:pStyle w:val="FootnoteText"/>
      </w:pPr>
      <w:r>
        <w:rPr>
          <w:rStyle w:val="FootnoteReference"/>
        </w:rPr>
        <w:footnoteRef/>
      </w:r>
      <w:r>
        <w:t xml:space="preserve"> </w:t>
      </w:r>
      <w:r>
        <w:tab/>
      </w:r>
      <w:r>
        <w:rPr>
          <w:i/>
        </w:rPr>
        <w:t>Profile and Trends, New Zealand’s Tertiary Education Sector 2004</w:t>
      </w:r>
      <w:r>
        <w:t>. Wellington (MoE 2005).</w:t>
      </w:r>
    </w:p>
  </w:footnote>
  <w:footnote w:id="24">
    <w:p w:rsidR="00B44C11" w:rsidRDefault="00B44C11">
      <w:pPr>
        <w:pStyle w:val="FootnoteText"/>
      </w:pPr>
      <w:r>
        <w:rPr>
          <w:rStyle w:val="FootnoteReference"/>
        </w:rPr>
        <w:footnoteRef/>
      </w:r>
      <w:r>
        <w:t xml:space="preserve"> </w:t>
      </w:r>
      <w:r>
        <w:tab/>
        <w:t>Ibid.</w:t>
      </w:r>
    </w:p>
  </w:footnote>
  <w:footnote w:id="25">
    <w:p w:rsidR="00B44C11" w:rsidRDefault="00B44C11">
      <w:pPr>
        <w:pStyle w:val="FootnoteText"/>
      </w:pPr>
      <w:r>
        <w:rPr>
          <w:rStyle w:val="FootnoteReference"/>
        </w:rPr>
        <w:footnoteRef/>
      </w:r>
      <w:r>
        <w:t xml:space="preserve"> </w:t>
      </w:r>
      <w:r>
        <w:tab/>
      </w:r>
      <w:r>
        <w:rPr>
          <w:i/>
        </w:rPr>
        <w:t>Profile and Trends, New Zealand’s Tertiary Education Sector 2003</w:t>
      </w:r>
      <w:r>
        <w:t>. Wellington (MoE 2004).</w:t>
      </w:r>
    </w:p>
  </w:footnote>
  <w:footnote w:id="26">
    <w:p w:rsidR="00B44C11" w:rsidRDefault="00B44C11">
      <w:pPr>
        <w:pStyle w:val="FootnoteText"/>
      </w:pPr>
      <w:r>
        <w:rPr>
          <w:rStyle w:val="FootnoteReference"/>
        </w:rPr>
        <w:footnoteRef/>
      </w:r>
      <w:r>
        <w:t xml:space="preserve"> </w:t>
      </w:r>
      <w:r>
        <w:tab/>
        <w:t>Высшие учебные заведения для маори.</w:t>
      </w:r>
    </w:p>
  </w:footnote>
  <w:footnote w:id="27">
    <w:p w:rsidR="00B44C11" w:rsidRDefault="00B44C11">
      <w:pPr>
        <w:pStyle w:val="FootnoteText"/>
      </w:pPr>
      <w:r>
        <w:rPr>
          <w:rStyle w:val="FootnoteReference"/>
        </w:rPr>
        <w:footnoteRef/>
      </w:r>
      <w:r>
        <w:t xml:space="preserve"> </w:t>
      </w:r>
      <w:r>
        <w:tab/>
        <w:t xml:space="preserve">Statistics New Zealand (2005) </w:t>
      </w:r>
      <w:r>
        <w:rPr>
          <w:i/>
        </w:rPr>
        <w:t>Focusing on Women 2005</w:t>
      </w:r>
      <w:r>
        <w:t>. Wellington (Statistics New Zealand).</w:t>
      </w:r>
    </w:p>
  </w:footnote>
  <w:footnote w:id="28">
    <w:p w:rsidR="00B44C11" w:rsidRDefault="00B44C11">
      <w:pPr>
        <w:pStyle w:val="FootnoteText"/>
      </w:pPr>
      <w:r>
        <w:rPr>
          <w:rStyle w:val="FootnoteReference"/>
        </w:rPr>
        <w:footnoteRef/>
      </w:r>
      <w:r>
        <w:t xml:space="preserve"> </w:t>
      </w:r>
      <w:r>
        <w:tab/>
      </w:r>
      <w:r>
        <w:rPr>
          <w:i/>
        </w:rPr>
        <w:t>2004 – Students at Tertiary Education Providers</w:t>
      </w:r>
      <w:r>
        <w:t>. Wellington (MoE 2005).</w:t>
      </w:r>
    </w:p>
  </w:footnote>
  <w:footnote w:id="29">
    <w:p w:rsidR="00B44C11" w:rsidRDefault="00B44C11">
      <w:pPr>
        <w:pStyle w:val="FootnoteText"/>
      </w:pPr>
      <w:r>
        <w:rPr>
          <w:rStyle w:val="FootnoteReference"/>
        </w:rPr>
        <w:footnoteRef/>
      </w:r>
      <w:r>
        <w:t xml:space="preserve"> </w:t>
      </w:r>
      <w:r>
        <w:tab/>
        <w:t>Ibid.</w:t>
      </w:r>
    </w:p>
  </w:footnote>
  <w:footnote w:id="30">
    <w:p w:rsidR="00B44C11" w:rsidRDefault="00B44C11">
      <w:pPr>
        <w:pStyle w:val="FootnoteText"/>
        <w:rPr>
          <w:lang w:val="ru-RU"/>
        </w:rPr>
      </w:pPr>
      <w:r>
        <w:rPr>
          <w:rStyle w:val="FootnoteReference"/>
        </w:rPr>
        <w:footnoteRef/>
      </w:r>
      <w:r>
        <w:t xml:space="preserve"> </w:t>
      </w:r>
      <w:r>
        <w:tab/>
        <w:t xml:space="preserve">Статистика профессионального обучения в промышленности и современного профессионально-технического обучения за первый квартал 2005 года (не опубликована). </w:t>
      </w:r>
      <w:r>
        <w:rPr>
          <w:lang w:val="ru-RU"/>
        </w:rPr>
        <w:t>(Комиссия по высшему образованию)</w:t>
      </w:r>
    </w:p>
  </w:footnote>
  <w:footnote w:id="31">
    <w:p w:rsidR="00B44C11" w:rsidRDefault="00B44C11">
      <w:pPr>
        <w:pStyle w:val="FootnoteText"/>
      </w:pPr>
      <w:r>
        <w:rPr>
          <w:rStyle w:val="FootnoteReference"/>
        </w:rPr>
        <w:footnoteRef/>
      </w:r>
      <w:r>
        <w:t xml:space="preserve"> </w:t>
      </w:r>
      <w:r>
        <w:tab/>
      </w:r>
      <w:r>
        <w:rPr>
          <w:i/>
        </w:rPr>
        <w:t>Focusing on Women 2005</w:t>
      </w:r>
      <w:r>
        <w:t>. Wellington (Statistics New Zealand 2005).</w:t>
      </w:r>
    </w:p>
  </w:footnote>
  <w:footnote w:id="32">
    <w:p w:rsidR="00B44C11" w:rsidRDefault="00B44C11">
      <w:pPr>
        <w:pStyle w:val="FootnoteText"/>
      </w:pPr>
      <w:r>
        <w:rPr>
          <w:rStyle w:val="FootnoteReference"/>
        </w:rPr>
        <w:footnoteRef/>
      </w:r>
      <w:r>
        <w:t xml:space="preserve"> </w:t>
      </w:r>
      <w:r>
        <w:tab/>
        <w:t xml:space="preserve">Источник: </w:t>
      </w:r>
      <w:r>
        <w:rPr>
          <w:caps/>
        </w:rPr>
        <w:t>м</w:t>
      </w:r>
      <w:r>
        <w:t>инистерство образования.</w:t>
      </w:r>
    </w:p>
  </w:footnote>
  <w:footnote w:id="33">
    <w:p w:rsidR="00B44C11" w:rsidRDefault="00B44C11">
      <w:pPr>
        <w:pStyle w:val="FootnoteText"/>
      </w:pPr>
      <w:r>
        <w:rPr>
          <w:rStyle w:val="FootnoteReference"/>
        </w:rPr>
        <w:footnoteRef/>
      </w:r>
      <w:r>
        <w:t xml:space="preserve"> </w:t>
      </w:r>
      <w:r>
        <w:tab/>
        <w:t>Там же.</w:t>
      </w:r>
    </w:p>
  </w:footnote>
  <w:footnote w:id="34">
    <w:p w:rsidR="00B44C11" w:rsidRDefault="00B44C11">
      <w:pPr>
        <w:pStyle w:val="FootnoteText"/>
      </w:pPr>
      <w:r>
        <w:rPr>
          <w:rStyle w:val="FootnoteReference"/>
        </w:rPr>
        <w:footnoteRef/>
      </w:r>
      <w:r>
        <w:t xml:space="preserve"> </w:t>
      </w:r>
      <w:r>
        <w:tab/>
        <w:t>Если речь идет об учащихся, приезжающих по линии международного обмена, которые платят за свое обучение, то все расходы включаются в их оплату.</w:t>
      </w:r>
    </w:p>
  </w:footnote>
  <w:footnote w:id="35">
    <w:p w:rsidR="00B44C11" w:rsidRDefault="00B44C11">
      <w:pPr>
        <w:pStyle w:val="FootnoteText"/>
      </w:pPr>
      <w:r>
        <w:rPr>
          <w:rStyle w:val="FootnoteReference"/>
        </w:rPr>
        <w:footnoteRef/>
      </w:r>
      <w:r>
        <w:t xml:space="preserve"> </w:t>
      </w:r>
      <w:r>
        <w:tab/>
        <w:t xml:space="preserve">DOL (2004) </w:t>
      </w:r>
      <w:r>
        <w:rPr>
          <w:i/>
        </w:rPr>
        <w:t>Refugee Voices: A Journey Towards Resettlement</w:t>
      </w:r>
      <w:r>
        <w:t>. Wellington: DOL.</w:t>
      </w:r>
    </w:p>
  </w:footnote>
  <w:footnote w:id="36">
    <w:p w:rsidR="00B44C11" w:rsidRDefault="00B44C11">
      <w:pPr>
        <w:pStyle w:val="FootnoteText"/>
      </w:pPr>
      <w:r>
        <w:rPr>
          <w:rStyle w:val="FootnoteReference"/>
        </w:rPr>
        <w:footnoteRef/>
      </w:r>
      <w:r>
        <w:t xml:space="preserve"> </w:t>
      </w:r>
      <w:r>
        <w:tab/>
        <w:t xml:space="preserve">School Leavers 2004 </w:t>
      </w:r>
      <w:hyperlink r:id="rId5" w:history="1">
        <w:r>
          <w:rPr>
            <w:rStyle w:val="Hyperlink"/>
            <w:color w:val="auto"/>
          </w:rPr>
          <w:t>http://www.minedu.govt.nz</w:t>
        </w:r>
      </w:hyperlink>
      <w:r>
        <w:t xml:space="preserve"> (MoE 2005).</w:t>
      </w:r>
    </w:p>
  </w:footnote>
  <w:footnote w:id="37">
    <w:p w:rsidR="00B44C11" w:rsidRDefault="00B44C11">
      <w:pPr>
        <w:pStyle w:val="FootnoteText"/>
      </w:pPr>
      <w:r>
        <w:rPr>
          <w:rStyle w:val="FootnoteReference"/>
        </w:rPr>
        <w:footnoteRef/>
      </w:r>
      <w:r>
        <w:t xml:space="preserve"> </w:t>
      </w:r>
      <w:r>
        <w:tab/>
        <w:t>Ibid.</w:t>
      </w:r>
    </w:p>
  </w:footnote>
  <w:footnote w:id="38">
    <w:p w:rsidR="00B44C11" w:rsidRDefault="00B44C11">
      <w:pPr>
        <w:pStyle w:val="FootnoteText"/>
      </w:pPr>
      <w:r>
        <w:rPr>
          <w:rStyle w:val="FootnoteReference"/>
        </w:rPr>
        <w:footnoteRef/>
      </w:r>
      <w:r>
        <w:t xml:space="preserve"> </w:t>
      </w:r>
      <w:r>
        <w:tab/>
      </w:r>
      <w:r>
        <w:rPr>
          <w:i/>
        </w:rPr>
        <w:t>2005 Social Report</w:t>
      </w:r>
      <w:r>
        <w:t>. Wellington (MSD 2005).</w:t>
      </w:r>
    </w:p>
  </w:footnote>
  <w:footnote w:id="39">
    <w:p w:rsidR="00B44C11" w:rsidRDefault="00B44C11">
      <w:pPr>
        <w:pStyle w:val="FootnoteText"/>
      </w:pPr>
      <w:r>
        <w:rPr>
          <w:rStyle w:val="FootnoteReference"/>
        </w:rPr>
        <w:footnoteRef/>
      </w:r>
      <w:r>
        <w:t xml:space="preserve"> </w:t>
      </w:r>
      <w:r>
        <w:tab/>
      </w:r>
      <w:r>
        <w:rPr>
          <w:i/>
        </w:rPr>
        <w:t>Focusing on Women 2005</w:t>
      </w:r>
      <w:r>
        <w:t>. Wellington (Statistics New Zealand 2005).</w:t>
      </w:r>
    </w:p>
  </w:footnote>
  <w:footnote w:id="40">
    <w:p w:rsidR="00B44C11" w:rsidRDefault="00B44C11">
      <w:pPr>
        <w:pStyle w:val="FootnoteText"/>
      </w:pPr>
      <w:r>
        <w:rPr>
          <w:rStyle w:val="FootnoteReference"/>
        </w:rPr>
        <w:footnoteRef/>
      </w:r>
      <w:r>
        <w:t xml:space="preserve"> </w:t>
      </w:r>
      <w:r>
        <w:tab/>
        <w:t xml:space="preserve">Источник: </w:t>
      </w:r>
      <w:r>
        <w:rPr>
          <w:caps/>
        </w:rPr>
        <w:t>м</w:t>
      </w:r>
      <w:r>
        <w:t>инистерство образования.</w:t>
      </w:r>
    </w:p>
  </w:footnote>
  <w:footnote w:id="41">
    <w:p w:rsidR="00B44C11" w:rsidRDefault="00B44C11">
      <w:pPr>
        <w:pStyle w:val="FootnoteText"/>
      </w:pPr>
      <w:r>
        <w:rPr>
          <w:rStyle w:val="FootnoteReference"/>
        </w:rPr>
        <w:footnoteRef/>
      </w:r>
      <w:r>
        <w:t xml:space="preserve"> </w:t>
      </w:r>
      <w:r>
        <w:tab/>
        <w:t xml:space="preserve">Полный доклад ПИСА-2003 по Новой Зеландии имеется на веб-сайте: </w:t>
      </w:r>
      <w:hyperlink r:id="rId6" w:history="1">
        <w:r>
          <w:rPr>
            <w:rStyle w:val="Hyperlink"/>
            <w:color w:val="auto"/>
          </w:rPr>
          <w:t>www.minedu.govt.nz\g</w:t>
        </w:r>
        <w:r>
          <w:rPr>
            <w:rStyle w:val="Hyperlink"/>
            <w:color w:val="auto"/>
          </w:rPr>
          <w:t>o</w:t>
        </w:r>
        <w:r>
          <w:rPr>
            <w:rStyle w:val="Hyperlink"/>
            <w:color w:val="auto"/>
          </w:rPr>
          <w:t>to\pisa</w:t>
        </w:r>
      </w:hyperlink>
      <w:r>
        <w:t>.</w:t>
      </w:r>
    </w:p>
  </w:footnote>
  <w:footnote w:id="42">
    <w:p w:rsidR="00B44C11" w:rsidRDefault="00B44C11">
      <w:pPr>
        <w:pStyle w:val="FootnoteText"/>
      </w:pPr>
      <w:r>
        <w:rPr>
          <w:rStyle w:val="FootnoteReference"/>
        </w:rPr>
        <w:footnoteRef/>
      </w:r>
      <w:r>
        <w:t xml:space="preserve"> </w:t>
      </w:r>
      <w:r>
        <w:tab/>
      </w:r>
      <w:r>
        <w:rPr>
          <w:i/>
        </w:rPr>
        <w:t>Focusing on Women 2005</w:t>
      </w:r>
      <w:r>
        <w:t>. Wellington (Statistics New Zealand 2005).</w:t>
      </w:r>
    </w:p>
  </w:footnote>
  <w:footnote w:id="43">
    <w:p w:rsidR="00B44C11" w:rsidRDefault="00B44C11">
      <w:pPr>
        <w:pStyle w:val="FootnoteText"/>
      </w:pPr>
      <w:r>
        <w:rPr>
          <w:rStyle w:val="FootnoteReference"/>
        </w:rPr>
        <w:footnoteRef/>
      </w:r>
      <w:r>
        <w:t xml:space="preserve"> </w:t>
      </w:r>
      <w:r>
        <w:tab/>
        <w:t xml:space="preserve">’Pathways for Women: the big picture’. </w:t>
      </w:r>
      <w:r>
        <w:rPr>
          <w:i/>
        </w:rPr>
        <w:t>workINSIGHT</w:t>
      </w:r>
      <w:r>
        <w:t>, issue 6 (DOL June 2005).</w:t>
      </w:r>
    </w:p>
  </w:footnote>
  <w:footnote w:id="44">
    <w:p w:rsidR="00B44C11" w:rsidRDefault="00B44C11">
      <w:pPr>
        <w:pStyle w:val="FootnoteText"/>
      </w:pPr>
      <w:r>
        <w:rPr>
          <w:rStyle w:val="FootnoteReference"/>
        </w:rPr>
        <w:footnoteRef/>
      </w:r>
      <w:r>
        <w:rPr>
          <w:lang w:val="ru-RU"/>
        </w:rPr>
        <w:t xml:space="preserve"> </w:t>
      </w:r>
      <w:r>
        <w:rPr>
          <w:lang w:val="ru-RU"/>
        </w:rPr>
        <w:tab/>
        <w:t xml:space="preserve">Финансируемые правительством студенческие стипендии включают стипендии "Шаг вверх", предназначенные для молодых людей из малообеспеченных семей, которые готовятся к получению ученой степени в конкретной области знаний, и стипендии по результатам учебы, которые предоставляются за хорошую успеваемость во время учебы в высшем учебном заведении. </w:t>
      </w:r>
      <w:r>
        <w:t>Правительство также финансирует ряд стипендий для аспирантов.</w:t>
      </w:r>
    </w:p>
  </w:footnote>
  <w:footnote w:id="45">
    <w:p w:rsidR="00B44C11" w:rsidRDefault="00B44C11">
      <w:pPr>
        <w:pStyle w:val="FootnoteText"/>
      </w:pPr>
      <w:r>
        <w:rPr>
          <w:rStyle w:val="FootnoteReference"/>
        </w:rPr>
        <w:footnoteRef/>
      </w:r>
      <w:r>
        <w:t xml:space="preserve"> </w:t>
      </w:r>
      <w:r>
        <w:tab/>
      </w:r>
      <w:r>
        <w:rPr>
          <w:i/>
        </w:rPr>
        <w:t>Student Loan Scheme Annual report to 30 June 2005</w:t>
      </w:r>
      <w:r>
        <w:t>. Wellington (MoE, MSD, Inland Revenue 2005).</w:t>
      </w:r>
    </w:p>
  </w:footnote>
  <w:footnote w:id="46">
    <w:p w:rsidR="00B44C11" w:rsidRDefault="00B44C11">
      <w:pPr>
        <w:pStyle w:val="FootnoteText"/>
      </w:pPr>
      <w:r>
        <w:rPr>
          <w:rStyle w:val="FootnoteReference"/>
        </w:rPr>
        <w:footnoteRef/>
      </w:r>
      <w:r>
        <w:t xml:space="preserve"> </w:t>
      </w:r>
      <w:r>
        <w:tab/>
      </w:r>
      <w:r>
        <w:rPr>
          <w:i/>
        </w:rPr>
        <w:t xml:space="preserve">Student Loan Scheme Quarterly </w:t>
      </w:r>
      <w:r>
        <w:rPr>
          <w:i/>
          <w:caps/>
        </w:rPr>
        <w:t>r</w:t>
      </w:r>
      <w:r>
        <w:rPr>
          <w:i/>
        </w:rPr>
        <w:t>eport. Wellington</w:t>
      </w:r>
      <w:r>
        <w:t xml:space="preserve"> (Inland Revenue Department 2005).</w:t>
      </w:r>
    </w:p>
  </w:footnote>
  <w:footnote w:id="47">
    <w:p w:rsidR="00B44C11" w:rsidRDefault="00B44C11">
      <w:pPr>
        <w:pStyle w:val="FootnoteText"/>
      </w:pPr>
      <w:r>
        <w:rPr>
          <w:rStyle w:val="FootnoteReference"/>
        </w:rPr>
        <w:footnoteRef/>
      </w:r>
      <w:r>
        <w:t xml:space="preserve"> </w:t>
      </w:r>
      <w:r>
        <w:tab/>
      </w:r>
      <w:r>
        <w:rPr>
          <w:i/>
        </w:rPr>
        <w:t xml:space="preserve">Living with a Student Loan: a Profile of Student Loan debt and repayment, post-study income and going overseas. </w:t>
      </w:r>
      <w:r>
        <w:t>Wellington (MoE 2005).</w:t>
      </w:r>
    </w:p>
  </w:footnote>
  <w:footnote w:id="48">
    <w:p w:rsidR="00B44C11" w:rsidRDefault="00B44C11">
      <w:pPr>
        <w:pStyle w:val="FootnoteText"/>
      </w:pPr>
      <w:r>
        <w:rPr>
          <w:rStyle w:val="FootnoteReference"/>
        </w:rPr>
        <w:footnoteRef/>
      </w:r>
      <w:r>
        <w:t xml:space="preserve"> </w:t>
      </w:r>
      <w:r>
        <w:tab/>
        <w:t>Ibid.</w:t>
      </w:r>
    </w:p>
  </w:footnote>
  <w:footnote w:id="49">
    <w:p w:rsidR="00B44C11" w:rsidRDefault="00B44C11">
      <w:pPr>
        <w:pStyle w:val="FootnoteText"/>
      </w:pPr>
      <w:r>
        <w:rPr>
          <w:rStyle w:val="FootnoteReference"/>
        </w:rPr>
        <w:footnoteRef/>
      </w:r>
      <w:r>
        <w:t xml:space="preserve"> </w:t>
      </w:r>
      <w:r>
        <w:tab/>
      </w:r>
      <w:r>
        <w:rPr>
          <w:i/>
        </w:rPr>
        <w:t>The Effects of the Student Loan Scheme on Women Repaying</w:t>
      </w:r>
      <w:r>
        <w:t xml:space="preserve"> </w:t>
      </w:r>
      <w:r>
        <w:rPr>
          <w:i/>
        </w:rPr>
        <w:t>a student loan</w:t>
      </w:r>
      <w:r>
        <w:t>. Wellington (MoE 2005).</w:t>
      </w:r>
    </w:p>
  </w:footnote>
  <w:footnote w:id="50">
    <w:p w:rsidR="00B44C11" w:rsidRDefault="00B44C11">
      <w:pPr>
        <w:pStyle w:val="FootnoteText"/>
      </w:pPr>
      <w:r>
        <w:rPr>
          <w:rStyle w:val="FootnoteReference"/>
        </w:rPr>
        <w:footnoteRef/>
      </w:r>
      <w:r>
        <w:t xml:space="preserve"> </w:t>
      </w:r>
      <w:r>
        <w:tab/>
      </w:r>
      <w:r>
        <w:rPr>
          <w:i/>
        </w:rPr>
        <w:t>Who doesn’t pay back?</w:t>
      </w:r>
      <w:r>
        <w:t xml:space="preserve"> Wellington (MoE 2005).</w:t>
      </w:r>
    </w:p>
  </w:footnote>
  <w:footnote w:id="51">
    <w:p w:rsidR="00B44C11" w:rsidRDefault="00B44C11">
      <w:pPr>
        <w:pStyle w:val="FootnoteText"/>
      </w:pPr>
      <w:r>
        <w:rPr>
          <w:rStyle w:val="FootnoteReference"/>
        </w:rPr>
        <w:footnoteRef/>
      </w:r>
      <w:r>
        <w:t xml:space="preserve"> </w:t>
      </w:r>
      <w:r>
        <w:tab/>
        <w:t xml:space="preserve">Источник: </w:t>
      </w:r>
      <w:r>
        <w:rPr>
          <w:caps/>
        </w:rPr>
        <w:t>м</w:t>
      </w:r>
      <w:r>
        <w:t>инистерство образования.</w:t>
      </w:r>
    </w:p>
  </w:footnote>
  <w:footnote w:id="52">
    <w:p w:rsidR="00B44C11" w:rsidRDefault="00B44C11">
      <w:pPr>
        <w:pStyle w:val="FootnoteText"/>
      </w:pPr>
      <w:r>
        <w:rPr>
          <w:rStyle w:val="FootnoteReference"/>
        </w:rPr>
        <w:footnoteRef/>
      </w:r>
      <w:r>
        <w:t xml:space="preserve"> </w:t>
      </w:r>
      <w:r>
        <w:tab/>
        <w:t>Там же.</w:t>
      </w:r>
    </w:p>
  </w:footnote>
  <w:footnote w:id="53">
    <w:p w:rsidR="00B44C11" w:rsidRDefault="00B44C11">
      <w:pPr>
        <w:pStyle w:val="FootnoteText"/>
      </w:pPr>
      <w:r>
        <w:rPr>
          <w:rStyle w:val="FootnoteReference"/>
        </w:rPr>
        <w:footnoteRef/>
      </w:r>
      <w:r>
        <w:t xml:space="preserve"> </w:t>
      </w:r>
      <w:r>
        <w:tab/>
      </w:r>
      <w:r>
        <w:rPr>
          <w:i/>
        </w:rPr>
        <w:t>Profile and Trends, New Zealand’s Tertiary Education Sector 2004</w:t>
      </w:r>
      <w:r>
        <w:t>. Wellington: p. 49 (MoE 2005).</w:t>
      </w:r>
    </w:p>
  </w:footnote>
  <w:footnote w:id="54">
    <w:p w:rsidR="00B44C11" w:rsidRDefault="00B44C11">
      <w:pPr>
        <w:pStyle w:val="FootnoteText"/>
      </w:pPr>
      <w:r>
        <w:rPr>
          <w:rStyle w:val="FootnoteReference"/>
        </w:rPr>
        <w:footnoteRef/>
      </w:r>
      <w:r>
        <w:t xml:space="preserve"> </w:t>
      </w:r>
      <w:r>
        <w:tab/>
      </w:r>
      <w:r>
        <w:rPr>
          <w:i/>
        </w:rPr>
        <w:t>People Power – Successful Diversity at Work</w:t>
      </w:r>
      <w:r>
        <w:t xml:space="preserve">. </w:t>
      </w:r>
      <w:hyperlink r:id="rId7" w:history="1">
        <w:r>
          <w:rPr>
            <w:rStyle w:val="Hyperlink"/>
            <w:color w:val="auto"/>
          </w:rPr>
          <w:t>http://www.dol.govt.nz/publications/gneral/gen-peoplepower.as</w:t>
        </w:r>
        <w:r>
          <w:rPr>
            <w:rStyle w:val="Hyperlink"/>
            <w:color w:val="auto"/>
          </w:rPr>
          <w:t>p</w:t>
        </w:r>
      </w:hyperlink>
      <w:r>
        <w:t>. (DOL 2004).</w:t>
      </w:r>
    </w:p>
  </w:footnote>
  <w:footnote w:id="55">
    <w:p w:rsidR="00B44C11" w:rsidRDefault="00B44C11">
      <w:pPr>
        <w:pStyle w:val="FootnoteText"/>
      </w:pPr>
      <w:r>
        <w:rPr>
          <w:rStyle w:val="FootnoteReference"/>
        </w:rPr>
        <w:footnoteRef/>
      </w:r>
      <w:r>
        <w:t xml:space="preserve"> </w:t>
      </w:r>
      <w:r>
        <w:tab/>
        <w:t>Pathways for Women: the big picture, workInsight, issue 6 (DOL June 2005).</w:t>
      </w:r>
    </w:p>
  </w:footnote>
  <w:footnote w:id="56">
    <w:p w:rsidR="00B44C11" w:rsidRDefault="00B44C11">
      <w:pPr>
        <w:pStyle w:val="FootnoteText"/>
      </w:pPr>
      <w:r>
        <w:rPr>
          <w:rStyle w:val="FootnoteReference"/>
        </w:rPr>
        <w:footnoteRef/>
      </w:r>
      <w:r>
        <w:t xml:space="preserve"> </w:t>
      </w:r>
      <w:r>
        <w:tab/>
      </w:r>
      <w:r>
        <w:rPr>
          <w:i/>
        </w:rPr>
        <w:t>2004 Labour Market Statistics.</w:t>
      </w:r>
      <w:r>
        <w:t xml:space="preserve"> Wellington: Statistics New Zealand (Диаграмма взята из Statistics New Zealand 2005).</w:t>
      </w:r>
    </w:p>
  </w:footnote>
  <w:footnote w:id="57">
    <w:p w:rsidR="00B44C11" w:rsidRDefault="00B44C11">
      <w:pPr>
        <w:pStyle w:val="FootnoteText"/>
      </w:pPr>
      <w:r>
        <w:rPr>
          <w:rStyle w:val="FootnoteReference"/>
        </w:rPr>
        <w:footnoteRef/>
      </w:r>
      <w:r>
        <w:t xml:space="preserve"> </w:t>
      </w:r>
      <w:r>
        <w:tab/>
      </w:r>
      <w:r>
        <w:rPr>
          <w:i/>
        </w:rPr>
        <w:t>2004 Labour Market Statistics.</w:t>
      </w:r>
      <w:r>
        <w:t xml:space="preserve"> Wellington: Statistics New Zealand (</w:t>
      </w:r>
      <w:r>
        <w:rPr>
          <w:caps/>
          <w:lang w:val="ru-RU"/>
        </w:rPr>
        <w:t>д</w:t>
      </w:r>
      <w:r>
        <w:t>иаграмма взята из Statistics New Zealand 2005).</w:t>
      </w:r>
    </w:p>
  </w:footnote>
  <w:footnote w:id="58">
    <w:p w:rsidR="00B44C11" w:rsidRDefault="00B44C11">
      <w:pPr>
        <w:pStyle w:val="FootnoteText"/>
        <w:rPr>
          <w:lang w:val="ru-RU"/>
        </w:rPr>
      </w:pPr>
      <w:r>
        <w:rPr>
          <w:rStyle w:val="FootnoteReference"/>
        </w:rPr>
        <w:footnoteRef/>
      </w:r>
      <w:r>
        <w:t xml:space="preserve"> </w:t>
      </w:r>
      <w:r>
        <w:tab/>
      </w:r>
      <w:r>
        <w:rPr>
          <w:i/>
        </w:rPr>
        <w:t xml:space="preserve">Briefing for the Incoming Minister </w:t>
      </w:r>
      <w:r>
        <w:t xml:space="preserve">(Office of Disability Issues 2002) </w:t>
      </w:r>
      <w:hyperlink r:id="rId8" w:history="1">
        <w:r>
          <w:rPr>
            <w:rStyle w:val="Hyperlink"/>
            <w:color w:val="auto"/>
          </w:rPr>
          <w:t>http://www.odi.govt.nz/publications/minister-brief</w:t>
        </w:r>
        <w:r>
          <w:rPr>
            <w:rStyle w:val="Hyperlink"/>
            <w:color w:val="auto"/>
          </w:rPr>
          <w:t>i</w:t>
        </w:r>
        <w:r>
          <w:rPr>
            <w:rStyle w:val="Hyperlink"/>
            <w:color w:val="auto"/>
          </w:rPr>
          <w:t>ng/2002/index.html.</w:t>
        </w:r>
      </w:hyperlink>
      <w:r>
        <w:t xml:space="preserve"> Глава 2.</w:t>
      </w:r>
    </w:p>
  </w:footnote>
  <w:footnote w:id="59">
    <w:p w:rsidR="00B44C11" w:rsidRDefault="00B44C11">
      <w:pPr>
        <w:pStyle w:val="FootnoteText"/>
      </w:pPr>
      <w:r>
        <w:rPr>
          <w:rStyle w:val="FootnoteReference"/>
        </w:rPr>
        <w:footnoteRef/>
      </w:r>
      <w:r>
        <w:t xml:space="preserve"> </w:t>
      </w:r>
      <w:r>
        <w:tab/>
      </w:r>
      <w:r>
        <w:rPr>
          <w:i/>
        </w:rPr>
        <w:t>2004 Labour Market Statistics</w:t>
      </w:r>
      <w:r>
        <w:t>. Wellington (Statistics New Zealand 2005).</w:t>
      </w:r>
    </w:p>
  </w:footnote>
  <w:footnote w:id="60">
    <w:p w:rsidR="00B44C11" w:rsidRDefault="00B44C11">
      <w:pPr>
        <w:pStyle w:val="FootnoteText"/>
      </w:pPr>
      <w:r>
        <w:rPr>
          <w:rStyle w:val="FootnoteReference"/>
        </w:rPr>
        <w:footnoteRef/>
      </w:r>
      <w:r>
        <w:t xml:space="preserve"> </w:t>
      </w:r>
      <w:r>
        <w:tab/>
        <w:t>Ibid.</w:t>
      </w:r>
    </w:p>
  </w:footnote>
  <w:footnote w:id="61">
    <w:p w:rsidR="00B44C11" w:rsidRDefault="00B44C11">
      <w:pPr>
        <w:pStyle w:val="FootnoteText"/>
      </w:pPr>
      <w:r>
        <w:rPr>
          <w:rStyle w:val="FootnoteReference"/>
        </w:rPr>
        <w:footnoteRef/>
      </w:r>
      <w:r>
        <w:t xml:space="preserve"> </w:t>
      </w:r>
      <w:r>
        <w:tab/>
        <w:t>Ibid.</w:t>
      </w:r>
    </w:p>
  </w:footnote>
  <w:footnote w:id="62">
    <w:p w:rsidR="00B44C11" w:rsidRDefault="00B44C11">
      <w:pPr>
        <w:pStyle w:val="FootnoteText"/>
      </w:pPr>
      <w:r>
        <w:rPr>
          <w:rStyle w:val="FootnoteReference"/>
        </w:rPr>
        <w:footnoteRef/>
      </w:r>
      <w:r>
        <w:t xml:space="preserve"> </w:t>
      </w:r>
      <w:r>
        <w:tab/>
        <w:t>Ibid.</w:t>
      </w:r>
    </w:p>
  </w:footnote>
  <w:footnote w:id="63">
    <w:p w:rsidR="00B44C11" w:rsidRDefault="00B44C11">
      <w:pPr>
        <w:pStyle w:val="FootnoteText"/>
      </w:pPr>
      <w:r>
        <w:rPr>
          <w:rStyle w:val="FootnoteReference"/>
        </w:rPr>
        <w:footnoteRef/>
      </w:r>
      <w:r>
        <w:t xml:space="preserve"> </w:t>
      </w:r>
      <w:r>
        <w:tab/>
      </w:r>
      <w:r>
        <w:rPr>
          <w:i/>
        </w:rPr>
        <w:t>University Graduate Destinations 2004: Report for the Year Ended 31 December 2003: Report of a Survey Conducted for the New Zealand Vice-Chancellors’ Committee on Graduate Employment</w:t>
      </w:r>
      <w:r>
        <w:t xml:space="preserve"> (New Zealand Vice-Chancellors’ Committee 2004).</w:t>
      </w:r>
    </w:p>
  </w:footnote>
  <w:footnote w:id="64">
    <w:p w:rsidR="00B44C11" w:rsidRDefault="00B44C11">
      <w:pPr>
        <w:pStyle w:val="FootnoteText"/>
      </w:pPr>
      <w:r>
        <w:rPr>
          <w:rStyle w:val="FootnoteReference"/>
        </w:rPr>
        <w:footnoteRef/>
      </w:r>
      <w:r>
        <w:t xml:space="preserve"> </w:t>
      </w:r>
      <w:r>
        <w:tab/>
      </w:r>
      <w:r>
        <w:rPr>
          <w:i/>
        </w:rPr>
        <w:t>2001 Disability Counts</w:t>
      </w:r>
      <w:r>
        <w:t xml:space="preserve">. </w:t>
      </w:r>
      <w:hyperlink r:id="rId9" w:history="1">
        <w:r>
          <w:rPr>
            <w:rStyle w:val="Hyperlink"/>
            <w:color w:val="auto"/>
          </w:rPr>
          <w:t>http://www.stats.govt.nz/analytical-reports/disability-counts-2001.ht</w:t>
        </w:r>
        <w:r>
          <w:rPr>
            <w:rStyle w:val="Hyperlink"/>
            <w:color w:val="auto"/>
          </w:rPr>
          <w:t>m</w:t>
        </w:r>
      </w:hyperlink>
      <w:r>
        <w:t xml:space="preserve"> (Statistics New Zealand May 2002).</w:t>
      </w:r>
    </w:p>
  </w:footnote>
  <w:footnote w:id="65">
    <w:p w:rsidR="00B44C11" w:rsidRDefault="00B44C11">
      <w:pPr>
        <w:pStyle w:val="FootnoteText"/>
      </w:pPr>
      <w:r>
        <w:rPr>
          <w:rStyle w:val="FootnoteReference"/>
        </w:rPr>
        <w:footnoteRef/>
      </w:r>
      <w:r>
        <w:t xml:space="preserve"> </w:t>
      </w:r>
      <w:r>
        <w:tab/>
        <w:t xml:space="preserve">2004 </w:t>
      </w:r>
      <w:r>
        <w:rPr>
          <w:i/>
        </w:rPr>
        <w:t>Labour Market Statistics</w:t>
      </w:r>
      <w:r>
        <w:t>. Wellington (Statistics New Zealand 2005).</w:t>
      </w:r>
    </w:p>
  </w:footnote>
  <w:footnote w:id="66">
    <w:p w:rsidR="00B44C11" w:rsidRDefault="00B44C11">
      <w:pPr>
        <w:pStyle w:val="FootnoteText"/>
      </w:pPr>
      <w:r>
        <w:rPr>
          <w:rStyle w:val="FootnoteReference"/>
        </w:rPr>
        <w:footnoteRef/>
      </w:r>
      <w:r>
        <w:t xml:space="preserve"> </w:t>
      </w:r>
      <w:r>
        <w:tab/>
      </w:r>
      <w:r>
        <w:rPr>
          <w:i/>
        </w:rPr>
        <w:t>Focusing on Women 2005</w:t>
      </w:r>
      <w:r>
        <w:t>. Wellington (Statistics New Zealand 2005).</w:t>
      </w:r>
    </w:p>
  </w:footnote>
  <w:footnote w:id="67">
    <w:p w:rsidR="00B44C11" w:rsidRDefault="00B44C11">
      <w:pPr>
        <w:pStyle w:val="FootnoteText"/>
      </w:pPr>
      <w:r>
        <w:rPr>
          <w:rStyle w:val="FootnoteReference"/>
        </w:rPr>
        <w:footnoteRef/>
      </w:r>
      <w:r>
        <w:t xml:space="preserve"> </w:t>
      </w:r>
      <w:r>
        <w:tab/>
      </w:r>
      <w:r>
        <w:rPr>
          <w:i/>
        </w:rPr>
        <w:t>Evaluation of the Implementation of Paid Parental Leave</w:t>
      </w:r>
      <w:r>
        <w:t>.</w:t>
      </w:r>
    </w:p>
  </w:footnote>
  <w:footnote w:id="68">
    <w:p w:rsidR="00B44C11" w:rsidRDefault="00B44C11">
      <w:pPr>
        <w:pStyle w:val="FootnoteText"/>
      </w:pPr>
      <w:r>
        <w:rPr>
          <w:rStyle w:val="FootnoteReference"/>
        </w:rPr>
        <w:footnoteRef/>
      </w:r>
      <w:r>
        <w:t xml:space="preserve"> Massey &amp; Harris, 2004.</w:t>
      </w:r>
    </w:p>
  </w:footnote>
  <w:footnote w:id="69">
    <w:p w:rsidR="00B44C11" w:rsidRDefault="00B44C11">
      <w:pPr>
        <w:pStyle w:val="FootnoteText"/>
      </w:pPr>
      <w:r>
        <w:rPr>
          <w:rStyle w:val="FootnoteReference"/>
        </w:rPr>
        <w:footnoteRef/>
      </w:r>
      <w:r>
        <w:t xml:space="preserve"> OECD, 2004.</w:t>
      </w:r>
    </w:p>
  </w:footnote>
  <w:footnote w:id="70">
    <w:p w:rsidR="00B44C11" w:rsidRDefault="00B44C11">
      <w:pPr>
        <w:pStyle w:val="FootnoteText"/>
      </w:pPr>
      <w:r>
        <w:rPr>
          <w:rStyle w:val="FootnoteReference"/>
        </w:rPr>
        <w:footnoteRef/>
      </w:r>
      <w:r>
        <w:t xml:space="preserve"> </w:t>
      </w:r>
      <w:r>
        <w:rPr>
          <w:i/>
        </w:rPr>
        <w:t>Trends in Maōri Labour Market Outcomes: 1986-2003</w:t>
      </w:r>
      <w:r>
        <w:t>, Wellington, (DOL 2005).</w:t>
      </w:r>
    </w:p>
  </w:footnote>
  <w:footnote w:id="71">
    <w:p w:rsidR="00B44C11" w:rsidRDefault="00B44C11">
      <w:pPr>
        <w:pStyle w:val="FootnoteText"/>
      </w:pPr>
      <w:r>
        <w:rPr>
          <w:rStyle w:val="FootnoteReference"/>
        </w:rPr>
        <w:footnoteRef/>
      </w:r>
      <w:r>
        <w:t xml:space="preserve"> </w:t>
      </w:r>
      <w:r>
        <w:tab/>
      </w:r>
      <w:r>
        <w:rPr>
          <w:i/>
        </w:rPr>
        <w:t>Focusing on Women 2005</w:t>
      </w:r>
      <w:r>
        <w:t>, Wellington (Statistics New Zealand 2005).</w:t>
      </w:r>
    </w:p>
  </w:footnote>
  <w:footnote w:id="72">
    <w:p w:rsidR="00B44C11" w:rsidRDefault="00B44C11">
      <w:pPr>
        <w:pStyle w:val="FootnoteText"/>
      </w:pPr>
      <w:r>
        <w:rPr>
          <w:rStyle w:val="FootnoteReference"/>
        </w:rPr>
        <w:footnoteRef/>
      </w:r>
      <w:r>
        <w:t xml:space="preserve"> </w:t>
      </w:r>
      <w:r>
        <w:tab/>
      </w:r>
      <w:r>
        <w:rPr>
          <w:i/>
        </w:rPr>
        <w:t>Focusing on Women 2005</w:t>
      </w:r>
      <w:r>
        <w:rPr>
          <w:lang w:val="ru-RU"/>
        </w:rPr>
        <w:t>,</w:t>
      </w:r>
      <w:r>
        <w:t xml:space="preserve"> Wellington (Statistics New Zealand 2005).</w:t>
      </w:r>
    </w:p>
  </w:footnote>
  <w:footnote w:id="73">
    <w:p w:rsidR="00B44C11" w:rsidRDefault="00B44C11">
      <w:pPr>
        <w:pStyle w:val="FootnoteText"/>
      </w:pPr>
      <w:r>
        <w:rPr>
          <w:rStyle w:val="FootnoteReference"/>
        </w:rPr>
        <w:footnoteRef/>
      </w:r>
      <w:r>
        <w:t xml:space="preserve"> </w:t>
      </w:r>
      <w:r>
        <w:tab/>
      </w:r>
      <w:r>
        <w:rPr>
          <w:i/>
        </w:rPr>
        <w:t>2005 Social Report</w:t>
      </w:r>
      <w:r>
        <w:t>. Wellington (MSD 2005).</w:t>
      </w:r>
    </w:p>
  </w:footnote>
  <w:footnote w:id="74">
    <w:p w:rsidR="00B44C11" w:rsidRDefault="00B44C11">
      <w:pPr>
        <w:pStyle w:val="FootnoteText"/>
        <w:rPr>
          <w:lang w:val="ru-RU"/>
        </w:rPr>
      </w:pPr>
      <w:r>
        <w:rPr>
          <w:rStyle w:val="FootnoteReference"/>
        </w:rPr>
        <w:footnoteRef/>
      </w:r>
      <w:r>
        <w:t xml:space="preserve"> </w:t>
      </w:r>
      <w:r>
        <w:tab/>
      </w:r>
      <w:r>
        <w:rPr>
          <w:i/>
        </w:rPr>
        <w:t>Suicide Facts: Provisional 2003 All-Ages Statistics. Monitoring Report No. 1</w:t>
      </w:r>
      <w:r>
        <w:t>. Wellington (MOH 2006)</w:t>
      </w:r>
      <w:r>
        <w:rPr>
          <w:lang w:val="ru-RU"/>
        </w:rPr>
        <w:t>.</w:t>
      </w:r>
    </w:p>
  </w:footnote>
  <w:footnote w:id="75">
    <w:p w:rsidR="00B44C11" w:rsidRDefault="00B44C11">
      <w:pPr>
        <w:pStyle w:val="FootnoteText"/>
      </w:pPr>
      <w:r>
        <w:rPr>
          <w:rStyle w:val="FootnoteReference"/>
        </w:rPr>
        <w:footnoteRef/>
      </w:r>
      <w:r>
        <w:t xml:space="preserve"> </w:t>
      </w:r>
      <w:r>
        <w:tab/>
        <w:t>Ibid.</w:t>
      </w:r>
    </w:p>
  </w:footnote>
  <w:footnote w:id="76">
    <w:p w:rsidR="00B44C11" w:rsidRDefault="00B44C11">
      <w:pPr>
        <w:pStyle w:val="FootnoteText"/>
      </w:pPr>
      <w:r>
        <w:rPr>
          <w:rStyle w:val="FootnoteReference"/>
        </w:rPr>
        <w:footnoteRef/>
      </w:r>
      <w:r>
        <w:t xml:space="preserve"> </w:t>
      </w:r>
      <w:r>
        <w:tab/>
      </w:r>
      <w:r>
        <w:rPr>
          <w:i/>
        </w:rPr>
        <w:t>Focusing on Women 2005</w:t>
      </w:r>
      <w:r>
        <w:t>. Wellington (Statistics New Zealand 2005).</w:t>
      </w:r>
    </w:p>
  </w:footnote>
  <w:footnote w:id="77">
    <w:p w:rsidR="00B44C11" w:rsidRDefault="00B44C11">
      <w:pPr>
        <w:pStyle w:val="FootnoteText"/>
      </w:pPr>
      <w:r>
        <w:rPr>
          <w:rStyle w:val="FootnoteReference"/>
        </w:rPr>
        <w:footnoteRef/>
      </w:r>
      <w:r>
        <w:t xml:space="preserve"> </w:t>
      </w:r>
      <w:r>
        <w:tab/>
      </w:r>
      <w:r>
        <w:rPr>
          <w:i/>
        </w:rPr>
        <w:t>Ibid</w:t>
      </w:r>
      <w:r>
        <w:t>.</w:t>
      </w:r>
    </w:p>
  </w:footnote>
  <w:footnote w:id="78">
    <w:p w:rsidR="00B44C11" w:rsidRDefault="00B44C11">
      <w:pPr>
        <w:pStyle w:val="FootnoteText"/>
      </w:pPr>
      <w:r>
        <w:rPr>
          <w:rStyle w:val="FootnoteReference"/>
        </w:rPr>
        <w:footnoteRef/>
      </w:r>
      <w:r>
        <w:t xml:space="preserve"> </w:t>
      </w:r>
      <w:r>
        <w:tab/>
      </w:r>
      <w:r>
        <w:rPr>
          <w:i/>
        </w:rPr>
        <w:t>Abortions (Year Ended December 2004)</w:t>
      </w:r>
      <w:r>
        <w:t xml:space="preserve"> </w:t>
      </w:r>
      <w:hyperlink r:id="rId10" w:history="1">
        <w:r>
          <w:rPr>
            <w:rStyle w:val="Hyperlink"/>
            <w:color w:val="auto"/>
          </w:rPr>
          <w:t>http://www.stats.govt.nz/products-and-services/info-releases/abortion-stats.htm</w:t>
        </w:r>
      </w:hyperlink>
      <w:r>
        <w:t>. (Statistics New Zealand 2005).</w:t>
      </w:r>
    </w:p>
  </w:footnote>
  <w:footnote w:id="79">
    <w:p w:rsidR="00B44C11" w:rsidRDefault="00B44C11">
      <w:pPr>
        <w:pStyle w:val="FootnoteText"/>
      </w:pPr>
      <w:r>
        <w:rPr>
          <w:rStyle w:val="FootnoteReference"/>
        </w:rPr>
        <w:footnoteRef/>
      </w:r>
      <w:r>
        <w:t xml:space="preserve"> </w:t>
      </w:r>
      <w:r>
        <w:tab/>
      </w:r>
      <w:r>
        <w:rPr>
          <w:i/>
        </w:rPr>
        <w:t>Focusing on Women 2005</w:t>
      </w:r>
      <w:r>
        <w:t>. Wellington (Statistics New Zealand 2005).</w:t>
      </w:r>
    </w:p>
  </w:footnote>
  <w:footnote w:id="80">
    <w:p w:rsidR="00B44C11" w:rsidRDefault="00B44C11">
      <w:pPr>
        <w:pStyle w:val="FootnoteText"/>
      </w:pPr>
      <w:r>
        <w:rPr>
          <w:rStyle w:val="FootnoteReference"/>
        </w:rPr>
        <w:footnoteRef/>
      </w:r>
      <w:r>
        <w:t xml:space="preserve"> </w:t>
      </w:r>
      <w:r>
        <w:tab/>
      </w:r>
      <w:r>
        <w:rPr>
          <w:i/>
        </w:rPr>
        <w:t>Sexually Transmitted Infections in New Zealand Annual Surveillance Report 2004</w:t>
      </w:r>
      <w:r>
        <w:t>. Wellington (Institute of Environmental Science and Research Limited 2004).</w:t>
      </w:r>
    </w:p>
  </w:footnote>
  <w:footnote w:id="81">
    <w:p w:rsidR="00B44C11" w:rsidRDefault="00B44C11">
      <w:pPr>
        <w:pStyle w:val="FootnoteText"/>
      </w:pPr>
      <w:r>
        <w:rPr>
          <w:rStyle w:val="FootnoteReference"/>
        </w:rPr>
        <w:footnoteRef/>
      </w:r>
      <w:r>
        <w:t xml:space="preserve"> </w:t>
      </w:r>
      <w:r>
        <w:tab/>
      </w:r>
      <w:r>
        <w:rPr>
          <w:i/>
        </w:rPr>
        <w:t>Ibid</w:t>
      </w:r>
      <w:r>
        <w:t>.</w:t>
      </w:r>
    </w:p>
  </w:footnote>
  <w:footnote w:id="82">
    <w:p w:rsidR="00B44C11" w:rsidRDefault="00B44C11">
      <w:pPr>
        <w:pStyle w:val="FootnoteText"/>
      </w:pPr>
      <w:r>
        <w:rPr>
          <w:rStyle w:val="FootnoteReference"/>
        </w:rPr>
        <w:footnoteRef/>
      </w:r>
      <w:r>
        <w:t xml:space="preserve"> </w:t>
      </w:r>
      <w:r>
        <w:tab/>
      </w:r>
      <w:r>
        <w:rPr>
          <w:i/>
        </w:rPr>
        <w:t>Ibid</w:t>
      </w:r>
      <w:r>
        <w:t>.</w:t>
      </w:r>
    </w:p>
  </w:footnote>
  <w:footnote w:id="83">
    <w:p w:rsidR="00B44C11" w:rsidRDefault="00B44C11">
      <w:pPr>
        <w:pStyle w:val="FootnoteText"/>
      </w:pPr>
      <w:r>
        <w:rPr>
          <w:rStyle w:val="FootnoteReference"/>
        </w:rPr>
        <w:footnoteRef/>
      </w:r>
      <w:r>
        <w:t xml:space="preserve"> </w:t>
      </w:r>
      <w:r>
        <w:tab/>
      </w:r>
      <w:r>
        <w:rPr>
          <w:i/>
        </w:rPr>
        <w:t>Briefing to the Incoming Minister of Health</w:t>
      </w:r>
      <w:r>
        <w:t>. Wellington (Mental Health Commission 2005).</w:t>
      </w:r>
    </w:p>
  </w:footnote>
  <w:footnote w:id="84">
    <w:p w:rsidR="00B44C11" w:rsidRDefault="00B44C11">
      <w:pPr>
        <w:pStyle w:val="FootnoteText"/>
      </w:pPr>
      <w:r>
        <w:rPr>
          <w:rStyle w:val="FootnoteReference"/>
        </w:rPr>
        <w:footnoteRef/>
      </w:r>
      <w:r>
        <w:t xml:space="preserve"> </w:t>
      </w:r>
      <w:r>
        <w:tab/>
      </w:r>
      <w:r>
        <w:rPr>
          <w:i/>
        </w:rPr>
        <w:t>Depression Facts</w:t>
      </w:r>
      <w:r>
        <w:t xml:space="preserve"> </w:t>
      </w:r>
      <w:hyperlink r:id="rId11" w:history="1">
        <w:r>
          <w:rPr>
            <w:rStyle w:val="Hyperlink"/>
            <w:color w:val="auto"/>
          </w:rPr>
          <w:t>http://www.outoftheblue.org.nz/page.php</w:t>
        </w:r>
      </w:hyperlink>
      <w:r>
        <w:t>. (Mental Health Foundation).</w:t>
      </w:r>
    </w:p>
  </w:footnote>
  <w:footnote w:id="85">
    <w:p w:rsidR="00B44C11" w:rsidRDefault="00B44C11">
      <w:pPr>
        <w:pStyle w:val="FootnoteText"/>
      </w:pPr>
      <w:r>
        <w:rPr>
          <w:rStyle w:val="FootnoteReference"/>
        </w:rPr>
        <w:footnoteRef/>
      </w:r>
      <w:r>
        <w:t xml:space="preserve"> </w:t>
      </w:r>
      <w:r>
        <w:tab/>
      </w:r>
      <w:hyperlink r:id="rId12" w:history="1">
        <w:r>
          <w:rPr>
            <w:rStyle w:val="Hyperlink"/>
            <w:color w:val="auto"/>
          </w:rPr>
          <w:t>http://www.nzhis.govt.nz/stats/medpracstats.html</w:t>
        </w:r>
      </w:hyperlink>
      <w:r>
        <w:t>. (New Zealand Health Workforce Statistics 2003).</w:t>
      </w:r>
    </w:p>
  </w:footnote>
  <w:footnote w:id="86">
    <w:p w:rsidR="00B44C11" w:rsidRDefault="00B44C11">
      <w:pPr>
        <w:pStyle w:val="FootnoteText"/>
      </w:pPr>
      <w:r>
        <w:rPr>
          <w:rStyle w:val="FootnoteReference"/>
        </w:rPr>
        <w:footnoteRef/>
      </w:r>
      <w:r>
        <w:t xml:space="preserve"> </w:t>
      </w:r>
      <w:r>
        <w:tab/>
      </w:r>
      <w:hyperlink r:id="rId13" w:history="1">
        <w:r>
          <w:rPr>
            <w:rStyle w:val="Hyperlink"/>
            <w:color w:val="auto"/>
          </w:rPr>
          <w:t>http://www.nzhis.govt.nz/stats/genpracstats.html</w:t>
        </w:r>
      </w:hyperlink>
      <w:r>
        <w:t>. (New Zealand Health Workforce Statistics 2003).</w:t>
      </w:r>
    </w:p>
  </w:footnote>
  <w:footnote w:id="87">
    <w:p w:rsidR="00B44C11" w:rsidRDefault="00B44C11">
      <w:pPr>
        <w:pStyle w:val="FootnoteText"/>
      </w:pPr>
      <w:r>
        <w:rPr>
          <w:rStyle w:val="FootnoteReference"/>
        </w:rPr>
        <w:footnoteRef/>
      </w:r>
      <w:r>
        <w:t xml:space="preserve"> </w:t>
      </w:r>
      <w:r>
        <w:tab/>
      </w:r>
      <w:hyperlink r:id="rId14" w:history="1">
        <w:r>
          <w:rPr>
            <w:rStyle w:val="Hyperlink"/>
            <w:color w:val="auto"/>
          </w:rPr>
          <w:t>http://www.nzhis.govt.nz/stats/specstats.html</w:t>
        </w:r>
      </w:hyperlink>
      <w:r>
        <w:t>. (New Zealand Health Workforce Statistics 2003).</w:t>
      </w:r>
    </w:p>
  </w:footnote>
  <w:footnote w:id="88">
    <w:p w:rsidR="00B44C11" w:rsidRDefault="00B44C11">
      <w:pPr>
        <w:pStyle w:val="FootnoteText"/>
      </w:pPr>
      <w:r>
        <w:rPr>
          <w:rStyle w:val="FootnoteReference"/>
        </w:rPr>
        <w:footnoteRef/>
      </w:r>
      <w:r>
        <w:t xml:space="preserve"> </w:t>
      </w:r>
      <w:r>
        <w:tab/>
      </w:r>
      <w:hyperlink r:id="rId15" w:history="1">
        <w:r>
          <w:rPr>
            <w:rStyle w:val="Hyperlink"/>
            <w:color w:val="auto"/>
          </w:rPr>
          <w:t>http://www.nzhis.govt.nz/stats/nursestats.htm</w:t>
        </w:r>
      </w:hyperlink>
      <w:r>
        <w:t>#01. (New Zealand Health Workforce Statistics 2004).</w:t>
      </w:r>
    </w:p>
  </w:footnote>
  <w:footnote w:id="89">
    <w:p w:rsidR="00B44C11" w:rsidRDefault="00B44C11">
      <w:pPr>
        <w:pStyle w:val="FootnoteText"/>
      </w:pPr>
      <w:r>
        <w:rPr>
          <w:rStyle w:val="FootnoteReference"/>
        </w:rPr>
        <w:footnoteRef/>
      </w:r>
      <w:r>
        <w:t xml:space="preserve"> </w:t>
      </w:r>
      <w:r>
        <w:tab/>
        <w:t xml:space="preserve">'Gender and unpaid work: findings from the Time Use Survey', </w:t>
      </w:r>
      <w:r>
        <w:rPr>
          <w:i/>
        </w:rPr>
        <w:t>Key Statistics</w:t>
      </w:r>
      <w:r>
        <w:t>. Wellington (Statistics New Zealand 2001).</w:t>
      </w:r>
    </w:p>
  </w:footnote>
  <w:footnote w:id="90">
    <w:p w:rsidR="00B44C11" w:rsidRDefault="00B44C11">
      <w:pPr>
        <w:pStyle w:val="FootnoteText"/>
      </w:pPr>
      <w:r>
        <w:rPr>
          <w:rStyle w:val="FootnoteReference"/>
        </w:rPr>
        <w:footnoteRef/>
      </w:r>
      <w:r>
        <w:t xml:space="preserve"> </w:t>
      </w:r>
      <w:r>
        <w:tab/>
      </w:r>
      <w:hyperlink r:id="rId16" w:history="1">
        <w:r>
          <w:rPr>
            <w:rStyle w:val="Hyperlink"/>
            <w:color w:val="auto"/>
          </w:rPr>
          <w:t>http://www.ocvs.govt.nz/work-programme/volunteering.html</w:t>
        </w:r>
      </w:hyperlink>
      <w:r>
        <w:t xml:space="preserve"> (Volunteering and tangata whenua (Māori) 2002).</w:t>
      </w:r>
    </w:p>
  </w:footnote>
  <w:footnote w:id="91">
    <w:p w:rsidR="00B44C11" w:rsidRDefault="00B44C11">
      <w:pPr>
        <w:pStyle w:val="FootnoteText"/>
      </w:pPr>
      <w:r>
        <w:rPr>
          <w:rStyle w:val="FootnoteReference"/>
        </w:rPr>
        <w:footnoteRef/>
      </w:r>
      <w:r>
        <w:t xml:space="preserve"> </w:t>
      </w:r>
      <w:r>
        <w:tab/>
      </w:r>
      <w:hyperlink r:id="rId17" w:history="1">
        <w:r>
          <w:rPr>
            <w:rStyle w:val="Hyperlink"/>
            <w:color w:val="auto"/>
          </w:rPr>
          <w:t>http://www.ocvs.govt.nz/work-programme/volunteering.html</w:t>
        </w:r>
      </w:hyperlink>
      <w:r>
        <w:t xml:space="preserve"> (Volunteering and Pacific peoples 2002).</w:t>
      </w:r>
    </w:p>
  </w:footnote>
  <w:footnote w:id="92">
    <w:p w:rsidR="00B44C11" w:rsidRDefault="00B44C11">
      <w:pPr>
        <w:pStyle w:val="FootnoteText"/>
        <w:rPr>
          <w:lang w:val="ru-RU"/>
        </w:rPr>
      </w:pPr>
      <w:r>
        <w:rPr>
          <w:rStyle w:val="FootnoteReference"/>
        </w:rPr>
        <w:footnoteRef/>
      </w:r>
      <w:r>
        <w:rPr>
          <w:lang w:val="ru-RU"/>
        </w:rPr>
        <w:t xml:space="preserve"> </w:t>
      </w:r>
      <w:r>
        <w:rPr>
          <w:lang w:val="ru-RU"/>
        </w:rPr>
        <w:tab/>
        <w:t>Место встречи маори.</w:t>
      </w:r>
    </w:p>
  </w:footnote>
  <w:footnote w:id="93">
    <w:p w:rsidR="00B44C11" w:rsidRDefault="00B44C11">
      <w:pPr>
        <w:pStyle w:val="FootnoteText"/>
      </w:pPr>
      <w:r>
        <w:rPr>
          <w:rStyle w:val="FootnoteReference"/>
        </w:rPr>
        <w:footnoteRef/>
      </w:r>
      <w:r>
        <w:t xml:space="preserve"> </w:t>
      </w:r>
      <w:r>
        <w:tab/>
      </w:r>
      <w:r>
        <w:rPr>
          <w:i/>
        </w:rPr>
        <w:t>2005 Social Report</w:t>
      </w:r>
      <w:r>
        <w:t>. Wellington: MSD (MSD 2005).</w:t>
      </w:r>
    </w:p>
  </w:footnote>
  <w:footnote w:id="94">
    <w:p w:rsidR="00B44C11" w:rsidRDefault="00B44C11">
      <w:pPr>
        <w:pStyle w:val="FootnoteText"/>
      </w:pPr>
      <w:r>
        <w:rPr>
          <w:rStyle w:val="FootnoteReference"/>
        </w:rPr>
        <w:footnoteRef/>
      </w:r>
      <w:r>
        <w:t xml:space="preserve"> </w:t>
      </w:r>
      <w:r>
        <w:tab/>
      </w:r>
      <w:r>
        <w:rPr>
          <w:i/>
        </w:rPr>
        <w:t>Employment in the Cultural Sector 2005</w:t>
      </w:r>
      <w:r>
        <w:t>. Wellington (Ministry for Culture and Heritage and Statistics New Zealand 2005).</w:t>
      </w:r>
    </w:p>
  </w:footnote>
  <w:footnote w:id="95">
    <w:p w:rsidR="00B44C11" w:rsidRDefault="00B44C11">
      <w:pPr>
        <w:pStyle w:val="FootnoteText"/>
      </w:pPr>
      <w:r>
        <w:rPr>
          <w:rStyle w:val="FootnoteReference"/>
        </w:rPr>
        <w:footnoteRef/>
      </w:r>
      <w:r>
        <w:t xml:space="preserve"> </w:t>
      </w:r>
      <w:r>
        <w:tab/>
      </w:r>
      <w:r>
        <w:rPr>
          <w:i/>
        </w:rPr>
        <w:t>Portrait of the Artist: A Survey of Professional Practicing Artists in New Zealand</w:t>
      </w:r>
      <w:r>
        <w:t xml:space="preserve">. Wellington (Creative New Zealand 2004). </w:t>
      </w:r>
    </w:p>
  </w:footnote>
  <w:footnote w:id="96">
    <w:p w:rsidR="00B44C11" w:rsidRDefault="00B44C11">
      <w:pPr>
        <w:pStyle w:val="FootnoteText"/>
        <w:rPr>
          <w:lang w:val="ru-RU"/>
        </w:rPr>
      </w:pPr>
      <w:r>
        <w:rPr>
          <w:rStyle w:val="FootnoteReference"/>
        </w:rPr>
        <w:footnoteRef/>
      </w:r>
      <w:r>
        <w:t xml:space="preserve"> </w:t>
      </w:r>
      <w:r>
        <w:tab/>
      </w:r>
      <w:r>
        <w:rPr>
          <w:i/>
        </w:rPr>
        <w:t>A Portrait of Health: Key Results of the 2002/03 Health Survey</w:t>
      </w:r>
      <w:r>
        <w:t>. Wellington</w:t>
      </w:r>
      <w:r>
        <w:rPr>
          <w:lang w:val="ru-RU"/>
        </w:rPr>
        <w:t xml:space="preserve"> (</w:t>
      </w:r>
      <w:r>
        <w:t>MOH</w:t>
      </w:r>
      <w:r>
        <w:rPr>
          <w:lang w:val="ru-RU"/>
        </w:rPr>
        <w:t xml:space="preserve"> 2004).</w:t>
      </w:r>
    </w:p>
  </w:footnote>
  <w:footnote w:id="97">
    <w:p w:rsidR="00B44C11" w:rsidRDefault="00B44C11">
      <w:pPr>
        <w:pStyle w:val="FootnoteText"/>
        <w:rPr>
          <w:lang w:val="ru-RU"/>
        </w:rPr>
      </w:pPr>
      <w:r>
        <w:rPr>
          <w:rStyle w:val="FootnoteReference"/>
        </w:rPr>
        <w:footnoteRef/>
      </w:r>
      <w:r>
        <w:rPr>
          <w:lang w:val="ru-RU"/>
        </w:rPr>
        <w:t xml:space="preserve"> </w:t>
      </w:r>
      <w:r>
        <w:rPr>
          <w:lang w:val="ru-RU"/>
        </w:rPr>
        <w:tab/>
        <w:t>Объединенные данные результатов обследований, проведенных в 1997/98, 1998/99 и 2000/1 годах.</w:t>
      </w:r>
    </w:p>
  </w:footnote>
  <w:footnote w:id="98">
    <w:p w:rsidR="00B44C11" w:rsidRDefault="00B44C11">
      <w:pPr>
        <w:pStyle w:val="FootnoteText"/>
      </w:pPr>
      <w:r>
        <w:rPr>
          <w:rStyle w:val="FootnoteReference"/>
        </w:rPr>
        <w:footnoteRef/>
      </w:r>
      <w:r>
        <w:t xml:space="preserve"> </w:t>
      </w:r>
      <w:r>
        <w:tab/>
      </w:r>
      <w:r>
        <w:rPr>
          <w:i/>
        </w:rPr>
        <w:t>Obstacles to Action Research – A Study of New Zealander’s Physical Activity and Nutrition</w:t>
      </w:r>
      <w:r>
        <w:t xml:space="preserve"> http://www.sparc.org.nz/research-policy/research-/obstacles-to-action (Sport and Recreation New Zealand 2003).</w:t>
      </w:r>
    </w:p>
  </w:footnote>
  <w:footnote w:id="99">
    <w:p w:rsidR="00B44C11" w:rsidRDefault="00B44C11">
      <w:pPr>
        <w:pStyle w:val="FootnoteText"/>
      </w:pPr>
      <w:r>
        <w:rPr>
          <w:rStyle w:val="FootnoteReference"/>
        </w:rPr>
        <w:footnoteRef/>
      </w:r>
      <w:r>
        <w:t xml:space="preserve"> </w:t>
      </w:r>
      <w:r>
        <w:tab/>
        <w:t xml:space="preserve">Detailes of main benefits are available on the Work and Income website </w:t>
      </w:r>
      <w:hyperlink r:id="rId18" w:history="1">
        <w:r>
          <w:rPr>
            <w:rStyle w:val="Hyperlink"/>
            <w:color w:val="auto"/>
          </w:rPr>
          <w:t>http://www.workand</w:t>
        </w:r>
      </w:hyperlink>
      <w:r>
        <w:t>income.govt.nz/get-financial-assistance/main-benefit/index.html.</w:t>
      </w:r>
    </w:p>
  </w:footnote>
  <w:footnote w:id="100">
    <w:p w:rsidR="00B44C11" w:rsidRDefault="00B44C11">
      <w:pPr>
        <w:pStyle w:val="FootnoteText"/>
        <w:rPr>
          <w:sz w:val="20"/>
        </w:rPr>
      </w:pPr>
      <w:r>
        <w:rPr>
          <w:rStyle w:val="FootnoteReference"/>
          <w:sz w:val="20"/>
        </w:rPr>
        <w:footnoteRef/>
      </w:r>
      <w:r>
        <w:rPr>
          <w:sz w:val="20"/>
        </w:rPr>
        <w:t xml:space="preserve"> </w:t>
      </w:r>
      <w:r>
        <w:rPr>
          <w:sz w:val="20"/>
        </w:rPr>
        <w:tab/>
      </w:r>
      <w:r>
        <w:rPr>
          <w:i/>
          <w:sz w:val="20"/>
        </w:rPr>
        <w:t>Focusing on Women 2005. Wellington</w:t>
      </w:r>
      <w:r>
        <w:rPr>
          <w:sz w:val="20"/>
        </w:rPr>
        <w:t xml:space="preserve"> (Statistics New Zealand, 2005).</w:t>
      </w:r>
    </w:p>
  </w:footnote>
  <w:footnote w:id="101">
    <w:p w:rsidR="00B44C11" w:rsidRDefault="00B44C11">
      <w:pPr>
        <w:pStyle w:val="FootnoteText"/>
      </w:pPr>
      <w:r>
        <w:rPr>
          <w:rStyle w:val="FootnoteReference"/>
        </w:rPr>
        <w:footnoteRef/>
      </w:r>
      <w:r>
        <w:t xml:space="preserve"> Ibid.</w:t>
      </w:r>
    </w:p>
  </w:footnote>
  <w:footnote w:id="102">
    <w:p w:rsidR="00B44C11" w:rsidRDefault="00B44C11">
      <w:pPr>
        <w:pStyle w:val="FootnoteText"/>
      </w:pPr>
      <w:r>
        <w:rPr>
          <w:rStyle w:val="FootnoteReference"/>
        </w:rPr>
        <w:footnoteRef/>
      </w:r>
      <w:r>
        <w:t xml:space="preserve"> Ibid.</w:t>
      </w:r>
    </w:p>
  </w:footnote>
  <w:footnote w:id="103">
    <w:p w:rsidR="00B44C11" w:rsidRDefault="00B44C11">
      <w:pPr>
        <w:pStyle w:val="FootnoteText"/>
      </w:pPr>
      <w:r>
        <w:rPr>
          <w:rStyle w:val="FootnoteReference"/>
        </w:rPr>
        <w:footnoteRef/>
      </w:r>
      <w:r>
        <w:t xml:space="preserve"> Ibid.</w:t>
      </w:r>
    </w:p>
  </w:footnote>
  <w:footnote w:id="104">
    <w:p w:rsidR="00B44C11" w:rsidRDefault="00B44C11">
      <w:pPr>
        <w:pStyle w:val="FootnoteText"/>
      </w:pPr>
      <w:r>
        <w:rPr>
          <w:rStyle w:val="FootnoteReference"/>
        </w:rPr>
        <w:footnoteRef/>
      </w:r>
      <w:r>
        <w:t xml:space="preserve"> “Wired for Well-being: Citizens’ Response to E-Government”. A report presented to the E-Government Unit, SSC (Cullen R &amp; Hernon P 2004).</w:t>
      </w:r>
    </w:p>
  </w:footnote>
  <w:footnote w:id="105">
    <w:p w:rsidR="00B44C11" w:rsidRDefault="00B44C11">
      <w:pPr>
        <w:pStyle w:val="FootnoteText"/>
      </w:pPr>
      <w:r>
        <w:rPr>
          <w:rStyle w:val="FootnoteReference"/>
        </w:rPr>
        <w:footnoteRef/>
      </w:r>
      <w:r>
        <w:t xml:space="preserve"> </w:t>
      </w:r>
      <w:r>
        <w:rPr>
          <w:i/>
        </w:rPr>
        <w:t>Degrees of Deprivation in New Zealand: An atlas of socio-economic difference</w:t>
      </w:r>
      <w:r>
        <w:t>. Auckland: (David Bateman, Crampton, P et al 2004).</w:t>
      </w:r>
    </w:p>
  </w:footnote>
  <w:footnote w:id="106">
    <w:p w:rsidR="00B44C11" w:rsidRDefault="00B44C11">
      <w:pPr>
        <w:pStyle w:val="FootnoteText"/>
        <w:rPr>
          <w:lang w:val="ru-RU"/>
        </w:rPr>
      </w:pPr>
      <w:r>
        <w:rPr>
          <w:rStyle w:val="FootnoteReference"/>
        </w:rPr>
        <w:footnoteRef/>
      </w:r>
      <w:r>
        <w:rPr>
          <w:lang w:val="ru-RU"/>
        </w:rPr>
        <w:t xml:space="preserve"> Семья. Ванау – более широкое понятие, чем родители и их дети – семья, состоящая из родителей и братьев и сестер; она связывает членов семьи с общим типуна, или предком.</w:t>
      </w:r>
    </w:p>
  </w:footnote>
  <w:footnote w:id="107">
    <w:p w:rsidR="00B44C11" w:rsidRDefault="00B44C11">
      <w:pPr>
        <w:pStyle w:val="FootnoteText"/>
      </w:pPr>
      <w:r>
        <w:rPr>
          <w:rStyle w:val="FootnoteReference"/>
        </w:rPr>
        <w:footnoteRef/>
      </w:r>
      <w:r>
        <w:t xml:space="preserve"> </w:t>
      </w:r>
      <w:r>
        <w:rPr>
          <w:i/>
        </w:rPr>
        <w:t>Statement of Intent 2005-2008</w:t>
      </w:r>
      <w:r>
        <w:t>. Wellington (Legal Services Agency 2005).</w:t>
      </w:r>
    </w:p>
  </w:footnote>
  <w:footnote w:id="108">
    <w:p w:rsidR="00B44C11" w:rsidRDefault="00B44C11">
      <w:pPr>
        <w:pStyle w:val="FootnoteText"/>
      </w:pPr>
      <w:r>
        <w:rPr>
          <w:rStyle w:val="FootnoteReference"/>
        </w:rPr>
        <w:footnoteRef/>
      </w:r>
      <w:r>
        <w:t xml:space="preserve"> </w:t>
      </w:r>
      <w:r>
        <w:rPr>
          <w:i/>
        </w:rPr>
        <w:t>Women’s Access to Legal Services: Women’s Access to Justice</w:t>
      </w:r>
      <w:r>
        <w:t xml:space="preserve">. Wellington (New Zealand Law Commission 1999). </w:t>
      </w:r>
    </w:p>
  </w:footnote>
  <w:footnote w:id="109">
    <w:p w:rsidR="00B44C11" w:rsidRDefault="00B44C11">
      <w:pPr>
        <w:pStyle w:val="FootnoteText"/>
        <w:rPr>
          <w:lang w:val="ru-RU"/>
        </w:rPr>
      </w:pPr>
      <w:r>
        <w:rPr>
          <w:rStyle w:val="FootnoteReference"/>
        </w:rPr>
        <w:footnoteRef/>
      </w:r>
      <w:r>
        <w:rPr>
          <w:lang w:val="ru-RU"/>
        </w:rPr>
        <w:t xml:space="preserve"> Анализ случаев повторного заключения под стражу освободившихся из мест заключения показывает, что 18</w:t>
      </w:r>
      <w:r>
        <w:t> </w:t>
      </w:r>
      <w:r>
        <w:rPr>
          <w:lang w:val="ru-RU"/>
        </w:rPr>
        <w:t>процентов женщин вновь попадают в тюрьму в течение 12</w:t>
      </w:r>
      <w:r>
        <w:t> </w:t>
      </w:r>
      <w:r>
        <w:rPr>
          <w:lang w:val="ru-RU"/>
        </w:rPr>
        <w:t>месяцев по сравнению с 30</w:t>
      </w:r>
      <w:r>
        <w:t> </w:t>
      </w:r>
      <w:r>
        <w:rPr>
          <w:lang w:val="ru-RU"/>
        </w:rPr>
        <w:t>процентами мужчин.</w:t>
      </w:r>
    </w:p>
  </w:footnote>
  <w:footnote w:id="110">
    <w:p w:rsidR="00B44C11" w:rsidRDefault="00B44C11">
      <w:pPr>
        <w:pStyle w:val="FootnoteText"/>
      </w:pPr>
      <w:r>
        <w:rPr>
          <w:rStyle w:val="FootnoteReference"/>
        </w:rPr>
        <w:footnoteRef/>
      </w:r>
      <w:r>
        <w:rPr>
          <w:lang w:val="ru-RU"/>
        </w:rPr>
        <w:t xml:space="preserve"> </w:t>
      </w:r>
      <w:hyperlink r:id="rId19" w:history="1">
        <w:r>
          <w:rPr>
            <w:rStyle w:val="Hyperlink"/>
            <w:color w:val="auto"/>
          </w:rPr>
          <w:t>http</w:t>
        </w:r>
        <w:r>
          <w:rPr>
            <w:rStyle w:val="Hyperlink"/>
            <w:color w:val="auto"/>
            <w:lang w:val="ru-RU"/>
          </w:rPr>
          <w:t>://</w:t>
        </w:r>
        <w:r>
          <w:rPr>
            <w:rStyle w:val="Hyperlink"/>
            <w:color w:val="auto"/>
          </w:rPr>
          <w:t>www</w:t>
        </w:r>
        <w:r>
          <w:rPr>
            <w:rStyle w:val="Hyperlink"/>
            <w:color w:val="auto"/>
            <w:lang w:val="ru-RU"/>
          </w:rPr>
          <w:t>.</w:t>
        </w:r>
        <w:r>
          <w:rPr>
            <w:rStyle w:val="Hyperlink"/>
            <w:color w:val="auto"/>
          </w:rPr>
          <w:t>nzdf</w:t>
        </w:r>
        <w:r>
          <w:rPr>
            <w:rStyle w:val="Hyperlink"/>
            <w:color w:val="auto"/>
            <w:lang w:val="ru-RU"/>
          </w:rPr>
          <w:t>.</w:t>
        </w:r>
        <w:r>
          <w:rPr>
            <w:rStyle w:val="Hyperlink"/>
            <w:color w:val="auto"/>
          </w:rPr>
          <w:t>mil</w:t>
        </w:r>
        <w:r>
          <w:rPr>
            <w:rStyle w:val="Hyperlink"/>
            <w:color w:val="auto"/>
            <w:lang w:val="ru-RU"/>
          </w:rPr>
          <w:t>.</w:t>
        </w:r>
        <w:r>
          <w:rPr>
            <w:rStyle w:val="Hyperlink"/>
            <w:color w:val="auto"/>
          </w:rPr>
          <w:t>nz</w:t>
        </w:r>
        <w:r>
          <w:rPr>
            <w:rStyle w:val="Hyperlink"/>
            <w:color w:val="auto"/>
            <w:lang w:val="ru-RU"/>
          </w:rPr>
          <w:t>/</w:t>
        </w:r>
        <w:r>
          <w:rPr>
            <w:rStyle w:val="Hyperlink"/>
            <w:color w:val="auto"/>
          </w:rPr>
          <w:t>at</w:t>
        </w:r>
        <w:r>
          <w:rPr>
            <w:rStyle w:val="Hyperlink"/>
            <w:color w:val="auto"/>
            <w:lang w:val="ru-RU"/>
          </w:rPr>
          <w:t>-</w:t>
        </w:r>
        <w:r>
          <w:rPr>
            <w:rStyle w:val="Hyperlink"/>
            <w:color w:val="auto"/>
          </w:rPr>
          <w:t>a</w:t>
        </w:r>
        <w:r>
          <w:rPr>
            <w:rStyle w:val="Hyperlink"/>
            <w:color w:val="auto"/>
            <w:lang w:val="ru-RU"/>
          </w:rPr>
          <w:t>-</w:t>
        </w:r>
        <w:r>
          <w:rPr>
            <w:rStyle w:val="Hyperlink"/>
            <w:color w:val="auto"/>
          </w:rPr>
          <w:t>glance</w:t>
        </w:r>
        <w:r>
          <w:rPr>
            <w:rStyle w:val="Hyperlink"/>
            <w:color w:val="auto"/>
            <w:lang w:val="ru-RU"/>
          </w:rPr>
          <w:t>/</w:t>
        </w:r>
        <w:r>
          <w:rPr>
            <w:rStyle w:val="Hyperlink"/>
            <w:color w:val="auto"/>
          </w:rPr>
          <w:t>personnel</w:t>
        </w:r>
        <w:r>
          <w:rPr>
            <w:rStyle w:val="Hyperlink"/>
            <w:color w:val="auto"/>
            <w:lang w:val="ru-RU"/>
          </w:rPr>
          <w:t>-</w:t>
        </w:r>
        <w:r>
          <w:rPr>
            <w:rStyle w:val="Hyperlink"/>
            <w:color w:val="auto"/>
          </w:rPr>
          <w:t>composition</w:t>
        </w:r>
        <w:r>
          <w:rPr>
            <w:rStyle w:val="Hyperlink"/>
            <w:color w:val="auto"/>
            <w:lang w:val="ru-RU"/>
          </w:rPr>
          <w:t>.</w:t>
        </w:r>
        <w:r>
          <w:rPr>
            <w:rStyle w:val="Hyperlink"/>
            <w:color w:val="auto"/>
          </w:rPr>
          <w:t>htm</w:t>
        </w:r>
      </w:hyperlink>
      <w:r>
        <w:rPr>
          <w:lang w:val="ru-RU"/>
        </w:rPr>
        <w:t xml:space="preserve">. </w:t>
      </w:r>
      <w:r>
        <w:t>(New Zealand Defence Force Personnel Summary as at 1 July 2005).</w:t>
      </w:r>
    </w:p>
  </w:footnote>
  <w:footnote w:id="111">
    <w:p w:rsidR="00B44C11" w:rsidRDefault="00B44C11">
      <w:pPr>
        <w:pStyle w:val="FootnoteText"/>
      </w:pPr>
      <w:r>
        <w:rPr>
          <w:rStyle w:val="FootnoteReference"/>
        </w:rPr>
        <w:footnoteRef/>
      </w:r>
      <w:r>
        <w:t xml:space="preserve"> </w:t>
      </w:r>
      <w:r>
        <w:rPr>
          <w:i/>
        </w:rPr>
        <w:t>The New Zealand National Survey of Crime Victims 2001</w:t>
      </w:r>
      <w:r>
        <w:t>. Wellington (MoJ 2003).</w:t>
      </w:r>
    </w:p>
  </w:footnote>
  <w:footnote w:id="112">
    <w:p w:rsidR="00B44C11" w:rsidRDefault="00B44C11">
      <w:pPr>
        <w:pStyle w:val="FootnoteText"/>
      </w:pPr>
      <w:r>
        <w:rPr>
          <w:rStyle w:val="FootnoteReference"/>
        </w:rPr>
        <w:footnoteRef/>
      </w:r>
      <w:r>
        <w:t xml:space="preserve"> “Violence against women in New Zealand: prevalence and health consequences” </w:t>
      </w:r>
      <w:r>
        <w:rPr>
          <w:i/>
        </w:rPr>
        <w:t>New Zealand Medical Journal</w:t>
      </w:r>
      <w:r>
        <w:t>, 117 (1206): 1173. (Fanslow, JL &amp; Robinson, E 2004).</w:t>
      </w:r>
    </w:p>
  </w:footnote>
  <w:footnote w:id="113">
    <w:p w:rsidR="00B44C11" w:rsidRDefault="00B44C11">
      <w:pPr>
        <w:pStyle w:val="FootnoteText"/>
      </w:pPr>
      <w:r>
        <w:rPr>
          <w:rStyle w:val="FootnoteReference"/>
        </w:rPr>
        <w:footnoteRef/>
      </w:r>
      <w:r>
        <w:t xml:space="preserve"> </w:t>
      </w:r>
      <w:r>
        <w:rPr>
          <w:i/>
        </w:rPr>
        <w:t>Briefing for the Incoming Minister.</w:t>
      </w:r>
      <w:r>
        <w:t xml:space="preserve"> Wellington:p.6 (Child, Youth and Family 2005).</w:t>
      </w:r>
    </w:p>
  </w:footnote>
  <w:footnote w:id="114">
    <w:p w:rsidR="00B44C11" w:rsidRDefault="00B44C11">
      <w:pPr>
        <w:pStyle w:val="FootnoteText"/>
      </w:pPr>
      <w:r>
        <w:rPr>
          <w:rStyle w:val="FootnoteReference"/>
        </w:rPr>
        <w:footnoteRef/>
      </w:r>
      <w:r>
        <w:t xml:space="preserve"> Ibid.</w:t>
      </w:r>
    </w:p>
  </w:footnote>
  <w:footnote w:id="115">
    <w:p w:rsidR="00B44C11" w:rsidRDefault="00B44C11">
      <w:pPr>
        <w:pStyle w:val="FootnoteText"/>
        <w:rPr>
          <w:lang w:val="ru-RU"/>
        </w:rPr>
      </w:pPr>
      <w:r>
        <w:rPr>
          <w:rStyle w:val="FootnoteReference"/>
        </w:rPr>
        <w:footnoteRef/>
      </w:r>
      <w:r>
        <w:t xml:space="preserve"> ‘The Overlap between Child Maltreatment and Woman Battering’ </w:t>
      </w:r>
      <w:r>
        <w:rPr>
          <w:i/>
        </w:rPr>
        <w:t>Violence Against Women</w:t>
      </w:r>
      <w:r>
        <w:t>, 5: 134-154. (Edleson, J. 1999)</w:t>
      </w:r>
      <w:r>
        <w:rPr>
          <w:lang w:val="ru-RU"/>
        </w:rPr>
        <w:t>.</w:t>
      </w:r>
    </w:p>
  </w:footnote>
  <w:footnote w:id="116">
    <w:p w:rsidR="00B44C11" w:rsidRDefault="00B44C11">
      <w:pPr>
        <w:pStyle w:val="FootnoteText"/>
      </w:pPr>
      <w:r>
        <w:rPr>
          <w:rStyle w:val="FootnoteReference"/>
        </w:rPr>
        <w:footnoteRef/>
      </w:r>
      <w:r>
        <w:t xml:space="preserve"> </w:t>
      </w:r>
      <w:r>
        <w:rPr>
          <w:i/>
        </w:rPr>
        <w:t>Age Concern Elder Abuse and Neglect Prevention Services</w:t>
      </w:r>
      <w:r>
        <w:t xml:space="preserve">: An analysis of referrals for the period: 1 July 2002 to 30 June 2004. Wellington (Age Concern New Zealand 2005). </w:t>
      </w:r>
    </w:p>
  </w:footnote>
  <w:footnote w:id="117">
    <w:p w:rsidR="00B44C11" w:rsidRDefault="00B44C11">
      <w:pPr>
        <w:pStyle w:val="FootnoteText"/>
      </w:pPr>
      <w:r>
        <w:rPr>
          <w:rStyle w:val="FootnoteReference"/>
        </w:rPr>
        <w:footnoteRef/>
      </w:r>
      <w:r>
        <w:t xml:space="preserve"> Ibid p.37.</w:t>
      </w:r>
    </w:p>
  </w:footnote>
  <w:footnote w:id="118">
    <w:p w:rsidR="00B44C11" w:rsidRDefault="00B44C11">
      <w:pPr>
        <w:pStyle w:val="FootnoteText"/>
      </w:pPr>
      <w:r>
        <w:rPr>
          <w:rStyle w:val="FootnoteReference"/>
        </w:rPr>
        <w:footnoteRef/>
      </w:r>
      <w:r>
        <w:t xml:space="preserve"> Ibid p.15.</w:t>
      </w:r>
    </w:p>
  </w:footnote>
  <w:footnote w:id="119">
    <w:p w:rsidR="00B44C11" w:rsidRDefault="00B44C11">
      <w:pPr>
        <w:pStyle w:val="FootnoteText"/>
      </w:pPr>
      <w:r>
        <w:rPr>
          <w:rStyle w:val="FootnoteReference"/>
        </w:rPr>
        <w:footnoteRef/>
      </w:r>
      <w:r>
        <w:t xml:space="preserve"> </w:t>
      </w:r>
      <w:r>
        <w:rPr>
          <w:i/>
        </w:rPr>
        <w:t>Creating a Culture of Non-Violence</w:t>
      </w:r>
      <w:r>
        <w:t>. Wellington (New Zealand Parliamentarians’ Group on Population and Development 2005).</w:t>
      </w:r>
    </w:p>
  </w:footnote>
  <w:footnote w:id="120">
    <w:p w:rsidR="00B44C11" w:rsidRDefault="00B44C11">
      <w:pPr>
        <w:pStyle w:val="FootnoteText"/>
        <w:rPr>
          <w:lang w:val="ru-RU"/>
        </w:rPr>
      </w:pPr>
      <w:r>
        <w:rPr>
          <w:rStyle w:val="FootnoteReference"/>
        </w:rPr>
        <w:footnoteRef/>
      </w:r>
      <w:r>
        <w:t xml:space="preserve"> </w:t>
      </w:r>
      <w:r>
        <w:rPr>
          <w:i/>
        </w:rPr>
        <w:t>Crime Reduction Strategy</w:t>
      </w:r>
      <w:r>
        <w:t xml:space="preserve"> </w:t>
      </w:r>
      <w:hyperlink r:id="rId20" w:history="1">
        <w:r>
          <w:rPr>
            <w:rStyle w:val="Hyperlink"/>
            <w:color w:val="auto"/>
          </w:rPr>
          <w:t>http://www.justice.govt.nz/crime-reduction/</w:t>
        </w:r>
      </w:hyperlink>
      <w:r>
        <w:t>. (MoJ 2002)</w:t>
      </w:r>
      <w:r>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1" w:rsidRDefault="00B44C1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B44C11" w:rsidRDefault="00B44C11">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C11" w:rsidRDefault="00B44C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6">
    <w:nsid w:val="79F21AA9"/>
    <w:multiLevelType w:val="singleLevel"/>
    <w:tmpl w:val="457E5086"/>
    <w:lvl w:ilvl="0">
      <w:start w:val="1"/>
      <w:numFmt w:val="upperRoman"/>
      <w:pStyle w:val="Heading7"/>
      <w:lvlText w:val="%1."/>
      <w:lvlJc w:val="left"/>
      <w:pPr>
        <w:tabs>
          <w:tab w:val="num" w:pos="720"/>
        </w:tabs>
        <w:ind w:left="720" w:hanging="720"/>
      </w:pPr>
      <w:rPr>
        <w:rFonts w:hint="default"/>
      </w:rPr>
    </w:lvl>
  </w:abstractNum>
  <w:num w:numId="1">
    <w:abstractNumId w:val="5"/>
  </w:num>
  <w:num w:numId="2">
    <w:abstractNumId w:val="4"/>
  </w:num>
  <w:num w:numId="3">
    <w:abstractNumId w:val="3"/>
  </w:num>
  <w:num w:numId="4">
    <w:abstractNumId w:val="2"/>
  </w:num>
  <w:num w:numId="5">
    <w:abstractNumId w:val="1"/>
  </w:num>
  <w:num w:numId="6">
    <w:abstractNumId w:val="0"/>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displayHorizontalDrawingGridEvery w:val="0"/>
  <w:displayVerticalDrawingGridEvery w:val="0"/>
  <w:doNotUseMarginsForDrawingGridOrigin/>
  <w:noPunctuationKerning/>
  <w:characterSpacingControl w:val="doNotCompress"/>
  <w:hdrShapeDefaults>
    <o:shapedefaults v:ext="edit" spidmax="4098"/>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3 11:14 AM"/>
    <w:docVar w:name="DocCategory" w:val="Doc"/>
    <w:docVar w:name="DocType" w:val="Final"/>
    <w:docVar w:name="JobNo" w:val="0276198R"/>
    <w:docVar w:name="OandT" w:val=" "/>
    <w:docVar w:name="Symbol1" w:val="CEDAW/C/BLR/4-6"/>
    <w:docVar w:name="Symbol2" w:val="-"/>
  </w:docVars>
  <w:rsids>
    <w:rsidRoot w:val="00B44C11"/>
    <w:rsid w:val="00B44C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3"/>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567"/>
        <w:tab w:val="left" w:pos="907"/>
        <w:tab w:val="left" w:pos="1247"/>
        <w:tab w:val="left" w:pos="1588"/>
      </w:tabs>
      <w:spacing w:after="240"/>
      <w:jc w:val="both"/>
    </w:pPr>
    <w:rPr>
      <w:kern w:val="14"/>
      <w:sz w:val="22"/>
      <w:lang w:val="ru-RU" w:eastAsia="ru-RU"/>
    </w:rPr>
  </w:style>
  <w:style w:type="paragraph" w:styleId="Heading1">
    <w:name w:val="heading 1"/>
    <w:basedOn w:val="Normal"/>
    <w:next w:val="Normal"/>
    <w:qFormat/>
    <w:pPr>
      <w:keepNext/>
      <w:outlineLvl w:val="0"/>
    </w:pPr>
    <w:rPr>
      <w:b/>
      <w:bCs/>
      <w:kern w:val="0"/>
      <w:sz w:val="28"/>
      <w:szCs w:val="24"/>
      <w:lang w:val="es-ES" w:eastAsia="es-ES"/>
    </w:rPr>
  </w:style>
  <w:style w:type="paragraph" w:styleId="Heading2">
    <w:name w:val="heading 2"/>
    <w:basedOn w:val="Normal"/>
    <w:next w:val="Normal"/>
    <w:qFormat/>
    <w:pPr>
      <w:keepNext/>
      <w:outlineLvl w:val="1"/>
    </w:pPr>
    <w:rPr>
      <w:b/>
      <w:bCs/>
      <w:kern w:val="0"/>
      <w:sz w:val="24"/>
      <w:szCs w:val="24"/>
      <w:lang w:val="es-ES" w:eastAsia="es-ES"/>
    </w:rPr>
  </w:style>
  <w:style w:type="paragraph" w:styleId="Heading3">
    <w:name w:val="heading 3"/>
    <w:basedOn w:val="Normal"/>
    <w:next w:val="Normal"/>
    <w:qFormat/>
    <w:pPr>
      <w:keepNext/>
      <w:outlineLvl w:val="2"/>
    </w:pPr>
    <w:rPr>
      <w:b/>
      <w:bCs/>
      <w:kern w:val="0"/>
      <w:szCs w:val="24"/>
      <w:lang w:val="es-ES" w:eastAsia="es-ES"/>
    </w:rPr>
  </w:style>
  <w:style w:type="paragraph" w:styleId="Heading4">
    <w:name w:val="heading 4"/>
    <w:basedOn w:val="Normal"/>
    <w:next w:val="Normal"/>
    <w:qFormat/>
    <w:pPr>
      <w:keepNext/>
      <w:outlineLvl w:val="3"/>
    </w:pPr>
    <w:rPr>
      <w:b/>
      <w:i/>
      <w:kern w:val="0"/>
      <w:lang w:val="es-BO" w:eastAsia="es-ES"/>
    </w:rPr>
  </w:style>
  <w:style w:type="paragraph" w:styleId="Heading5">
    <w:name w:val="heading 5"/>
    <w:basedOn w:val="Normal"/>
    <w:next w:val="Normal"/>
    <w:qFormat/>
    <w:pPr>
      <w:keepNext/>
      <w:tabs>
        <w:tab w:val="clear" w:pos="567"/>
        <w:tab w:val="clear" w:pos="907"/>
        <w:tab w:val="clear" w:pos="1247"/>
        <w:tab w:val="clear" w:pos="1588"/>
      </w:tabs>
      <w:spacing w:after="0" w:line="480" w:lineRule="auto"/>
      <w:ind w:right="1075"/>
      <w:jc w:val="center"/>
      <w:outlineLvl w:val="4"/>
    </w:pPr>
    <w:rPr>
      <w:b/>
      <w:bCs/>
      <w:kern w:val="0"/>
      <w:sz w:val="24"/>
      <w:szCs w:val="24"/>
    </w:rPr>
  </w:style>
  <w:style w:type="paragraph" w:styleId="Heading6">
    <w:name w:val="heading 6"/>
    <w:basedOn w:val="Normal"/>
    <w:next w:val="Normal"/>
    <w:qFormat/>
    <w:pPr>
      <w:keepNext/>
      <w:ind w:left="540"/>
      <w:jc w:val="center"/>
      <w:outlineLvl w:val="5"/>
    </w:pPr>
    <w:rPr>
      <w:b/>
      <w:kern w:val="0"/>
      <w:sz w:val="24"/>
      <w:szCs w:val="24"/>
      <w:lang w:val="es-ES" w:eastAsia="es-ES"/>
    </w:rPr>
  </w:style>
  <w:style w:type="paragraph" w:styleId="Heading7">
    <w:name w:val="heading 7"/>
    <w:basedOn w:val="Normal"/>
    <w:next w:val="Normal"/>
    <w:qFormat/>
    <w:pPr>
      <w:keepNext/>
      <w:numPr>
        <w:numId w:val="7"/>
      </w:numPr>
      <w:tabs>
        <w:tab w:val="clear" w:pos="567"/>
        <w:tab w:val="clear" w:pos="907"/>
        <w:tab w:val="clear" w:pos="1247"/>
        <w:tab w:val="clear" w:pos="1588"/>
      </w:tabs>
      <w:spacing w:after="0"/>
      <w:jc w:val="left"/>
      <w:outlineLvl w:val="6"/>
    </w:pPr>
    <w:rPr>
      <w:b/>
      <w:snapToGrid w:val="0"/>
      <w:kern w:val="0"/>
      <w:sz w:val="24"/>
      <w:lang w:val="fr-FR" w:eastAsia="fr-FR"/>
    </w:rPr>
  </w:style>
  <w:style w:type="paragraph" w:styleId="Heading8">
    <w:name w:val="heading 8"/>
    <w:basedOn w:val="Normal"/>
    <w:next w:val="Normal"/>
    <w:qFormat/>
    <w:pPr>
      <w:keepNext/>
      <w:jc w:val="center"/>
      <w:outlineLvl w:val="7"/>
    </w:pPr>
    <w:rPr>
      <w:b/>
      <w:bCs/>
      <w:kern w:val="0"/>
      <w:szCs w:val="24"/>
      <w:lang w:val="es-ES" w:eastAsia="es-ES"/>
    </w:rPr>
  </w:style>
  <w:style w:type="paragraph" w:styleId="Heading9">
    <w:name w:val="heading 9"/>
    <w:basedOn w:val="Normal"/>
    <w:next w:val="Normal"/>
    <w:qFormat/>
    <w:pPr>
      <w:keepNext/>
      <w:jc w:val="center"/>
      <w:outlineLvl w:val="8"/>
    </w:pPr>
    <w:rPr>
      <w:rFonts w:ascii="Tahoma" w:hAnsi="Tahoma"/>
      <w:b/>
      <w:color w:val="000000"/>
      <w:kern w:val="0"/>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keepNext/>
      <w:suppressAutoHyphens/>
      <w:outlineLvl w:val="0"/>
    </w:pPr>
    <w:rPr>
      <w:b/>
      <w:kern w:val="0"/>
      <w:sz w:val="24"/>
    </w:rPr>
  </w:style>
  <w:style w:type="paragraph" w:customStyle="1" w:styleId="SingleTxt">
    <w:name w:val="__Single Txt"/>
    <w:basedOn w:val="Normal"/>
    <w:pPr>
      <w:tabs>
        <w:tab w:val="clear" w:pos="1247"/>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pPr>
    <w:rPr>
      <w:spacing w:val="4"/>
      <w:w w:val="103"/>
    </w:rPr>
  </w:style>
  <w:style w:type="paragraph" w:customStyle="1" w:styleId="HCh">
    <w:name w:val="_ H _Ch"/>
    <w:basedOn w:val="H1"/>
    <w:next w:val="Normal"/>
    <w:pPr>
      <w:keepLines/>
      <w:spacing w:line="300" w:lineRule="exact"/>
    </w:pPr>
    <w:rPr>
      <w:spacing w:val="-2"/>
      <w:sz w:val="28"/>
    </w:rPr>
  </w:style>
  <w:style w:type="paragraph" w:customStyle="1" w:styleId="H23">
    <w:name w:val="_ H_2/3"/>
    <w:basedOn w:val="H1"/>
    <w:next w:val="SingleTxt"/>
    <w:pPr>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rPr>
  </w:style>
  <w:style w:type="paragraph" w:customStyle="1" w:styleId="H56">
    <w:name w:val="_ H_5/6"/>
    <w:basedOn w:val="Normal"/>
    <w:next w:val="Normal"/>
    <w:pPr>
      <w:keepNext/>
      <w:keepLines/>
      <w:tabs>
        <w:tab w:val="right" w:pos="360"/>
      </w:tabs>
      <w:suppressAutoHyphens/>
      <w:spacing w:line="240" w:lineRule="exact"/>
      <w:outlineLvl w:val="4"/>
    </w:pPr>
    <w:rPr>
      <w:spacing w:val="4"/>
      <w:w w:val="10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pPr>
    <w:rPr>
      <w:spacing w:val="4"/>
      <w:w w:val="103"/>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0"/>
      <w:w w:val="100"/>
      <w:position w:val="0"/>
      <w:sz w:val="22"/>
      <w:vertAlign w:val="superscript"/>
    </w:rPr>
  </w:style>
  <w:style w:type="character" w:styleId="EndnoteReference">
    <w:name w:val="endnote reference"/>
    <w:basedOn w:val="FootnoteReference"/>
    <w:semiHidden/>
    <w:rPr>
      <w:rFonts w:ascii="Times New Roman" w:hAnsi="Times New Roman"/>
      <w:spacing w:val="0"/>
      <w:w w:val="100"/>
      <w:position w:val="0"/>
      <w:sz w:val="22"/>
      <w:vertAlign w:val="superscript"/>
    </w:rPr>
  </w:style>
  <w:style w:type="paragraph" w:styleId="FootnoteText">
    <w:name w:val="footnote text"/>
    <w:basedOn w:val="Normal"/>
    <w:semiHidden/>
    <w:pPr>
      <w:widowControl w:val="0"/>
      <w:tabs>
        <w:tab w:val="clear" w:pos="567"/>
        <w:tab w:val="clear" w:pos="907"/>
        <w:tab w:val="clear" w:pos="1247"/>
        <w:tab w:val="clear" w:pos="1588"/>
        <w:tab w:val="left" w:pos="227"/>
      </w:tabs>
      <w:suppressAutoHyphens/>
      <w:spacing w:after="0"/>
    </w:pPr>
    <w:rPr>
      <w:kern w:val="0"/>
      <w:sz w:val="18"/>
      <w:lang w:val="en-US"/>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line="240" w:lineRule="exact"/>
    </w:pPr>
    <w:rPr>
      <w:spacing w:val="4"/>
      <w:w w:val="103"/>
    </w:r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3"/>
      </w:numPr>
      <w:tabs>
        <w:tab w:val="clear" w:pos="643"/>
        <w:tab w:val="num" w:pos="792"/>
      </w:tabs>
      <w:ind w:left="792" w:hanging="317"/>
    </w:pPr>
  </w:style>
  <w:style w:type="paragraph" w:styleId="ListNumber3">
    <w:name w:val="List Number 3"/>
    <w:basedOn w:val="H23"/>
    <w:next w:val="Normal"/>
    <w:pPr>
      <w:numPr>
        <w:numId w:val="4"/>
      </w:numPr>
      <w:tabs>
        <w:tab w:val="clear" w:pos="926"/>
        <w:tab w:val="num" w:pos="792"/>
      </w:tabs>
      <w:ind w:left="792" w:hanging="317"/>
    </w:pPr>
  </w:style>
  <w:style w:type="paragraph" w:styleId="ListNumber4">
    <w:name w:val="List Number 4"/>
    <w:basedOn w:val="H4"/>
    <w:next w:val="Normal"/>
    <w:pPr>
      <w:numPr>
        <w:numId w:val="5"/>
      </w:numPr>
      <w:tabs>
        <w:tab w:val="clear" w:pos="1209"/>
        <w:tab w:val="num" w:pos="792"/>
      </w:tabs>
      <w:ind w:left="792" w:hanging="317"/>
    </w:pPr>
  </w:style>
  <w:style w:type="paragraph" w:styleId="ListNumber5">
    <w:name w:val="List Number 5"/>
    <w:basedOn w:val="Normal"/>
    <w:next w:val="Normal"/>
    <w:pPr>
      <w:numPr>
        <w:numId w:val="6"/>
      </w:numPr>
      <w:tabs>
        <w:tab w:val="clear" w:pos="1492"/>
        <w:tab w:val="num" w:pos="792"/>
      </w:tabs>
      <w:spacing w:line="240" w:lineRule="exact"/>
      <w:ind w:left="792" w:hanging="317"/>
    </w:pPr>
    <w:rPr>
      <w:spacing w:val="4"/>
      <w:w w:val="103"/>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
    <w:name w:val="Текст выноски"/>
    <w:basedOn w:val="Normal"/>
    <w:semiHidden/>
    <w:rPr>
      <w:rFonts w:ascii="Tahoma" w:hAnsi="Tahoma" w:cs="Barcode 3 of 9 by request"/>
      <w:sz w:val="16"/>
      <w:szCs w:val="16"/>
    </w:rPr>
  </w:style>
  <w:style w:type="character" w:styleId="PageNumber">
    <w:name w:val="page number"/>
    <w:basedOn w:val="DefaultParagraphFont"/>
  </w:style>
  <w:style w:type="paragraph" w:styleId="BodyText">
    <w:name w:val="Body Text"/>
    <w:basedOn w:val="Normal"/>
    <w:rPr>
      <w:kern w:val="0"/>
      <w:sz w:val="24"/>
      <w:szCs w:val="24"/>
      <w:lang w:val="es-ES" w:eastAsia="es-ES"/>
    </w:rPr>
  </w:style>
  <w:style w:type="paragraph" w:styleId="Title">
    <w:name w:val="Title"/>
    <w:basedOn w:val="Normal"/>
    <w:qFormat/>
    <w:pPr>
      <w:jc w:val="center"/>
    </w:pPr>
    <w:rPr>
      <w:b/>
      <w:bCs/>
      <w:kern w:val="0"/>
      <w:sz w:val="24"/>
      <w:szCs w:val="24"/>
      <w:lang w:val="es-ES" w:eastAsia="es-ES"/>
    </w:rPr>
  </w:style>
  <w:style w:type="paragraph" w:styleId="BodyText2">
    <w:name w:val="Body Text 2"/>
    <w:basedOn w:val="Normal"/>
    <w:pPr>
      <w:spacing w:after="120" w:line="480" w:lineRule="auto"/>
    </w:pPr>
    <w:rPr>
      <w:kern w:val="0"/>
      <w:sz w:val="24"/>
      <w:lang w:val="en-US" w:eastAsia="es-ES"/>
    </w:rPr>
  </w:style>
  <w:style w:type="paragraph" w:styleId="BodyTextIndent">
    <w:name w:val="Body Text Indent"/>
    <w:basedOn w:val="Normal"/>
    <w:pPr>
      <w:spacing w:after="120" w:line="480" w:lineRule="auto"/>
    </w:pPr>
    <w:rPr>
      <w:kern w:val="0"/>
      <w:sz w:val="24"/>
      <w:lang w:val="en-US" w:eastAsia="es-ES"/>
    </w:rPr>
  </w:style>
  <w:style w:type="paragraph" w:customStyle="1" w:styleId="Web">
    <w:name w:val="Обычный (Web)"/>
    <w:basedOn w:val="Normal"/>
    <w:pPr>
      <w:spacing w:before="100" w:after="100"/>
    </w:pPr>
    <w:rPr>
      <w:rFonts w:ascii="Arial Unicode MS" w:eastAsia="Arial Unicode MS" w:hAnsi="Arial Unicode MS"/>
      <w:kern w:val="0"/>
      <w:sz w:val="24"/>
      <w:lang w:val="es-ES" w:eastAsia="es-ES"/>
    </w:rPr>
  </w:style>
  <w:style w:type="paragraph" w:styleId="BodyText3">
    <w:name w:val="Body Text 3"/>
    <w:basedOn w:val="Normal"/>
    <w:rPr>
      <w:b/>
      <w:bCs/>
      <w:kern w:val="0"/>
      <w:sz w:val="24"/>
      <w:szCs w:val="24"/>
      <w:lang w:val="es-ES_tradnl" w:eastAsia="es-ES"/>
    </w:rPr>
  </w:style>
  <w:style w:type="paragraph" w:styleId="BodyTextIndent2">
    <w:name w:val="Body Text Indent 2"/>
    <w:basedOn w:val="Normal"/>
    <w:pPr>
      <w:ind w:left="360"/>
    </w:pPr>
    <w:rPr>
      <w:snapToGrid w:val="0"/>
      <w:color w:val="000000"/>
      <w:kern w:val="0"/>
      <w:lang w:val="es-ES" w:eastAsia="es-ES"/>
    </w:rPr>
  </w:style>
  <w:style w:type="paragraph" w:customStyle="1" w:styleId="xl24">
    <w:name w:val="xl24"/>
    <w:basedOn w:val="Normal"/>
    <w:pPr>
      <w:spacing w:before="100" w:beforeAutospacing="1" w:after="100" w:afterAutospacing="1"/>
    </w:pPr>
    <w:rPr>
      <w:rFonts w:eastAsia="Arial Unicode MS"/>
      <w:kern w:val="0"/>
      <w:sz w:val="16"/>
      <w:szCs w:val="16"/>
      <w:lang w:val="en-GB" w:eastAsia="en-US"/>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 w:type="paragraph" w:customStyle="1" w:styleId="boxmargin">
    <w:name w:val="boxmargin"/>
    <w:basedOn w:val="Normal"/>
    <w:rPr>
      <w:rFonts w:ascii="ZapfHumnst BT" w:hAnsi="ZapfHumnst BT"/>
      <w:kern w:val="0"/>
      <w:sz w:val="18"/>
      <w:lang w:val="en-US" w:eastAsia="en-US"/>
    </w:rPr>
  </w:style>
  <w:style w:type="character" w:styleId="Hyperlink">
    <w:name w:val="Hyperlink"/>
    <w:rPr>
      <w:color w:val="0000FF"/>
      <w:u w:val="none"/>
    </w:rPr>
  </w:style>
  <w:style w:type="character" w:customStyle="1" w:styleId="tw4winMark">
    <w:name w:val="tw4winMark"/>
    <w:rPr>
      <w:rFonts w:ascii="Courier New" w:hAnsi="Courier New" w:cs="ZapfHumnst BT"/>
      <w:vanish/>
      <w:color w:val="800080"/>
      <w:sz w:val="24"/>
      <w:szCs w:val="24"/>
      <w:vertAlign w:val="subscript"/>
    </w:rPr>
  </w:style>
  <w:style w:type="character" w:customStyle="1" w:styleId="tw4winError">
    <w:name w:val="tw4winError"/>
    <w:rPr>
      <w:rFonts w:ascii="Courier New" w:hAnsi="Courier New" w:cs="ZapfHumnst BT"/>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ZapfHumnst BT"/>
      <w:noProof/>
      <w:color w:val="008000"/>
    </w:rPr>
  </w:style>
  <w:style w:type="character" w:customStyle="1" w:styleId="tw4winJump">
    <w:name w:val="tw4winJump"/>
    <w:rPr>
      <w:rFonts w:ascii="Courier New" w:hAnsi="Courier New" w:cs="ZapfHumnst BT"/>
      <w:noProof/>
      <w:color w:val="008080"/>
    </w:rPr>
  </w:style>
  <w:style w:type="character" w:customStyle="1" w:styleId="tw4winExternal">
    <w:name w:val="tw4winExternal"/>
    <w:rPr>
      <w:rFonts w:ascii="Courier New" w:hAnsi="Courier New" w:cs="ZapfHumnst BT"/>
      <w:noProof/>
      <w:color w:val="808080"/>
    </w:rPr>
  </w:style>
  <w:style w:type="character" w:customStyle="1" w:styleId="tw4winInternal">
    <w:name w:val="tw4winInternal"/>
    <w:rPr>
      <w:rFonts w:ascii="Courier New" w:hAnsi="Courier New" w:cs="ZapfHumnst BT"/>
      <w:noProof/>
      <w:color w:val="FF0000"/>
    </w:rPr>
  </w:style>
  <w:style w:type="character" w:customStyle="1" w:styleId="DONOTTRANSLATE">
    <w:name w:val="DO_NOT_TRANSLATE"/>
    <w:rPr>
      <w:rFonts w:ascii="Courier New" w:hAnsi="Courier New" w:cs="ZapfHumnst BT"/>
      <w:noProof/>
      <w:color w:val="800000"/>
    </w:rPr>
  </w:style>
  <w:style w:type="character" w:customStyle="1" w:styleId="Corpsdelalettre">
    <w:name w:val="Corps de la lettre"/>
    <w:autoRedefine/>
    <w:rPr>
      <w:rFonts w:ascii="Arial" w:hAnsi="Arial"/>
      <w:color w:val="000000"/>
      <w:sz w:val="22"/>
      <w:u w:val="none"/>
    </w:rPr>
  </w:style>
  <w:style w:type="character" w:styleId="Strong">
    <w:name w:val="Strong"/>
    <w:qFormat/>
    <w:rPr>
      <w:b/>
      <w:bCs/>
    </w:rPr>
  </w:style>
  <w:style w:type="paragraph" w:customStyle="1" w:styleId="10-18">
    <w:name w:val="Втяжка_10-18"/>
    <w:basedOn w:val="Normal"/>
    <w:pPr>
      <w:tabs>
        <w:tab w:val="clear" w:pos="907"/>
        <w:tab w:val="left" w:pos="993"/>
      </w:tabs>
      <w:ind w:left="567" w:hanging="567"/>
    </w:pPr>
  </w:style>
  <w:style w:type="paragraph" w:customStyle="1" w:styleId="-10">
    <w:name w:val="Втяжка-кур_10"/>
    <w:basedOn w:val="Normal"/>
    <w:pPr>
      <w:tabs>
        <w:tab w:val="clear" w:pos="907"/>
        <w:tab w:val="clear" w:pos="1247"/>
        <w:tab w:val="left" w:pos="993"/>
      </w:tabs>
      <w:ind w:left="567" w:hanging="567"/>
    </w:pPr>
    <w:rPr>
      <w:i/>
    </w:rPr>
  </w:style>
  <w:style w:type="paragraph" w:customStyle="1" w:styleId="-">
    <w:name w:val="ТАБЛ-НАЗВ"/>
    <w:basedOn w:val="BodyText2"/>
    <w:pPr>
      <w:spacing w:after="240" w:line="240" w:lineRule="auto"/>
      <w:jc w:val="left"/>
    </w:pPr>
    <w:rPr>
      <w:b/>
      <w:bCs/>
      <w:i/>
      <w:iCs/>
      <w:sz w:val="22"/>
      <w:lang w:val="ru-RU"/>
    </w:rPr>
  </w:style>
  <w:style w:type="paragraph" w:customStyle="1" w:styleId="a0">
    <w:name w:val="ТАБЛ_текст"/>
    <w:basedOn w:val="BodyText2"/>
    <w:pPr>
      <w:spacing w:before="40" w:after="40" w:line="240" w:lineRule="auto"/>
      <w:jc w:val="center"/>
    </w:pPr>
    <w:rPr>
      <w:sz w:val="20"/>
      <w:lang w:val="ru-RU"/>
    </w:rPr>
  </w:style>
  <w:style w:type="paragraph" w:customStyle="1" w:styleId="a1">
    <w:name w:val="ТАБЛ_шапка"/>
    <w:basedOn w:val="Normal"/>
    <w:pPr>
      <w:spacing w:before="40" w:after="40"/>
      <w:jc w:val="center"/>
    </w:pPr>
    <w:rPr>
      <w:b/>
      <w:bCs/>
      <w:sz w:val="20"/>
    </w:rPr>
  </w:style>
  <w:style w:type="paragraph" w:styleId="TOC2">
    <w:name w:val="toc 2"/>
    <w:basedOn w:val="Normal"/>
    <w:next w:val="Normal"/>
    <w:autoRedefine/>
    <w:semiHidden/>
    <w:pPr>
      <w:tabs>
        <w:tab w:val="clear" w:pos="567"/>
        <w:tab w:val="clear" w:pos="907"/>
        <w:tab w:val="clear" w:pos="1247"/>
        <w:tab w:val="clear" w:pos="1588"/>
      </w:tabs>
      <w:ind w:left="220"/>
    </w:pPr>
  </w:style>
  <w:style w:type="paragraph" w:styleId="TOC1">
    <w:name w:val="toc 1"/>
    <w:basedOn w:val="Normal"/>
    <w:next w:val="Normal"/>
    <w:semiHidden/>
    <w:pPr>
      <w:tabs>
        <w:tab w:val="clear" w:pos="567"/>
        <w:tab w:val="clear" w:pos="907"/>
        <w:tab w:val="clear" w:pos="1247"/>
        <w:tab w:val="clear" w:pos="1588"/>
      </w:tabs>
    </w:pPr>
  </w:style>
  <w:style w:type="paragraph" w:styleId="TOC3">
    <w:name w:val="toc 3"/>
    <w:basedOn w:val="Normal"/>
    <w:next w:val="Normal"/>
    <w:autoRedefine/>
    <w:semiHidden/>
    <w:pPr>
      <w:tabs>
        <w:tab w:val="clear" w:pos="567"/>
        <w:tab w:val="clear" w:pos="907"/>
        <w:tab w:val="clear" w:pos="1247"/>
        <w:tab w:val="clear" w:pos="1588"/>
      </w:tabs>
      <w:ind w:left="440"/>
    </w:pPr>
  </w:style>
  <w:style w:type="paragraph" w:styleId="TOC4">
    <w:name w:val="toc 4"/>
    <w:basedOn w:val="Normal"/>
    <w:next w:val="Normal"/>
    <w:autoRedefine/>
    <w:semiHidden/>
    <w:pPr>
      <w:tabs>
        <w:tab w:val="clear" w:pos="567"/>
        <w:tab w:val="clear" w:pos="907"/>
        <w:tab w:val="clear" w:pos="1247"/>
        <w:tab w:val="clear" w:pos="1588"/>
      </w:tabs>
      <w:ind w:left="660"/>
    </w:pPr>
  </w:style>
  <w:style w:type="paragraph" w:styleId="TOC5">
    <w:name w:val="toc 5"/>
    <w:basedOn w:val="Normal"/>
    <w:next w:val="Normal"/>
    <w:autoRedefine/>
    <w:semiHidden/>
    <w:pPr>
      <w:tabs>
        <w:tab w:val="clear" w:pos="567"/>
        <w:tab w:val="clear" w:pos="907"/>
        <w:tab w:val="clear" w:pos="1247"/>
        <w:tab w:val="clear" w:pos="1588"/>
      </w:tabs>
      <w:ind w:left="880"/>
    </w:pPr>
  </w:style>
  <w:style w:type="paragraph" w:styleId="TOC6">
    <w:name w:val="toc 6"/>
    <w:basedOn w:val="Normal"/>
    <w:next w:val="Normal"/>
    <w:autoRedefine/>
    <w:semiHidden/>
    <w:pPr>
      <w:tabs>
        <w:tab w:val="clear" w:pos="567"/>
        <w:tab w:val="clear" w:pos="907"/>
        <w:tab w:val="clear" w:pos="1247"/>
        <w:tab w:val="clear" w:pos="1588"/>
      </w:tabs>
      <w:ind w:left="1100"/>
    </w:pPr>
  </w:style>
  <w:style w:type="paragraph" w:styleId="TOC7">
    <w:name w:val="toc 7"/>
    <w:basedOn w:val="Normal"/>
    <w:next w:val="Normal"/>
    <w:autoRedefine/>
    <w:semiHidden/>
    <w:pPr>
      <w:tabs>
        <w:tab w:val="clear" w:pos="567"/>
        <w:tab w:val="clear" w:pos="907"/>
        <w:tab w:val="clear" w:pos="1247"/>
        <w:tab w:val="clear" w:pos="1588"/>
      </w:tabs>
      <w:ind w:left="1320"/>
    </w:pPr>
  </w:style>
  <w:style w:type="paragraph" w:styleId="TOC8">
    <w:name w:val="toc 8"/>
    <w:basedOn w:val="Normal"/>
    <w:next w:val="Normal"/>
    <w:autoRedefine/>
    <w:semiHidden/>
    <w:pPr>
      <w:tabs>
        <w:tab w:val="clear" w:pos="567"/>
        <w:tab w:val="clear" w:pos="907"/>
        <w:tab w:val="clear" w:pos="1247"/>
        <w:tab w:val="clear" w:pos="1588"/>
      </w:tabs>
      <w:ind w:left="1540"/>
    </w:pPr>
  </w:style>
  <w:style w:type="paragraph" w:styleId="TOC9">
    <w:name w:val="toc 9"/>
    <w:basedOn w:val="Normal"/>
    <w:next w:val="Normal"/>
    <w:autoRedefine/>
    <w:semiHidden/>
    <w:pPr>
      <w:tabs>
        <w:tab w:val="clear" w:pos="567"/>
        <w:tab w:val="clear" w:pos="907"/>
        <w:tab w:val="clear" w:pos="1247"/>
        <w:tab w:val="clear" w:pos="1588"/>
      </w:tabs>
      <w:ind w:left="1760"/>
    </w:pPr>
  </w:style>
  <w:style w:type="character" w:styleId="FollowedHyperlink">
    <w:name w:val="FollowedHyperlink"/>
    <w:rPr>
      <w:color w:val="0000FF"/>
      <w:u w:val="none"/>
    </w:rPr>
  </w:style>
  <w:style w:type="paragraph" w:styleId="BalloonText">
    <w:name w:val="Balloon Text"/>
    <w:basedOn w:val="Normal"/>
    <w:semiHidden/>
    <w:rsid w:val="00B44C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wmf"/><Relationship Id="rId18" Type="http://schemas.openxmlformats.org/officeDocument/2006/relationships/oleObject" Target="embeddings/oleObject3.bin"/><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www.dol.govt.nz/publications/general/gen-peoplepower.asp" TargetMode="External"/><Relationship Id="rId7" Type="http://schemas.openxmlformats.org/officeDocument/2006/relationships/image" Target="media/image1.wmf"/><Relationship Id="rId12" Type="http://schemas.openxmlformats.org/officeDocument/2006/relationships/image" Target="media/image2.png"/><Relationship Id="rId17" Type="http://schemas.openxmlformats.org/officeDocument/2006/relationships/image" Target="media/image5.wmf"/><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hyperlink" Target="http://www" TargetMode="External"/><Relationship Id="rId28" Type="http://schemas.openxmlformats.org/officeDocument/2006/relationships/footer" Target="footer6.xml"/><Relationship Id="rId10" Type="http://schemas.openxmlformats.org/officeDocument/2006/relationships/footer" Target="footer2.xml"/><Relationship Id="rId19" Type="http://schemas.openxmlformats.org/officeDocument/2006/relationships/image" Target="media/image6.w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oleObject" Target="embeddings/oleObject1.bin"/><Relationship Id="rId22" Type="http://schemas.openxmlformats.org/officeDocument/2006/relationships/hyperlink" Target="http://www.ers.dol.govt.nz/perentalleave/evaluation.html" TargetMode="External"/><Relationship Id="rId27" Type="http://schemas.openxmlformats.org/officeDocument/2006/relationships/footer" Target="footer5.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odi.govt.nz/publications/minister-briefing/2002/index.html.%20&#1043;&#1083;&#1072;&#1074;&#1072;%202" TargetMode="External"/><Relationship Id="rId13" Type="http://schemas.openxmlformats.org/officeDocument/2006/relationships/hyperlink" Target="http://www.nzhis.govt.n/stats/medpracstats.html" TargetMode="External"/><Relationship Id="rId18" Type="http://schemas.openxmlformats.org/officeDocument/2006/relationships/hyperlink" Target="http://www.workand" TargetMode="External"/><Relationship Id="rId3" Type="http://schemas.openxmlformats.org/officeDocument/2006/relationships/hyperlink" Target="http://www.tv-violence.org.nz/" TargetMode="External"/><Relationship Id="rId7" Type="http://schemas.openxmlformats.org/officeDocument/2006/relationships/hyperlink" Target="http://www.dol.govt.nz/publications/gneral/gen-peoplepower.asp" TargetMode="External"/><Relationship Id="rId12" Type="http://schemas.openxmlformats.org/officeDocument/2006/relationships/hyperlink" Target="http://www.nzhis.govt.n/stats/medpracstats.html" TargetMode="External"/><Relationship Id="rId17" Type="http://schemas.openxmlformats.org/officeDocument/2006/relationships/hyperlink" Target="http://www.ocvs.govt.nz/work-programme/volunteering.html" TargetMode="External"/><Relationship Id="rId2" Type="http://schemas.openxmlformats.org/officeDocument/2006/relationships/hyperlink" Target="http://rangi.knowledge-basket.co.nz/gpacts/public/text/1993/se/094se8.html" TargetMode="External"/><Relationship Id="rId16" Type="http://schemas.openxmlformats.org/officeDocument/2006/relationships/hyperlink" Target="http://www.ocvs.govt.nz/work-programme/volunteering.html" TargetMode="External"/><Relationship Id="rId20" Type="http://schemas.openxmlformats.org/officeDocument/2006/relationships/hyperlink" Target="http://www.justice.govt.nz/crime-reduction/" TargetMode="External"/><Relationship Id="rId1" Type="http://schemas.openxmlformats.org/officeDocument/2006/relationships/hyperlink" Target="http://www.ssc.govt.nz" TargetMode="External"/><Relationship Id="rId6" Type="http://schemas.openxmlformats.org/officeDocument/2006/relationships/hyperlink" Target="http://www.minedu.govt.nz\goto\pisa" TargetMode="External"/><Relationship Id="rId11" Type="http://schemas.openxmlformats.org/officeDocument/2006/relationships/hyperlink" Target="http://www.outoftheblue.org.nz/page.php?p=33" TargetMode="External"/><Relationship Id="rId5" Type="http://schemas.openxmlformats.org/officeDocument/2006/relationships/hyperlink" Target="http://www.minedu.govt.nz" TargetMode="External"/><Relationship Id="rId15" Type="http://schemas.openxmlformats.org/officeDocument/2006/relationships/hyperlink" Target="http://www.nzhis.govt.n/stats/medpracstats.html" TargetMode="External"/><Relationship Id="rId10" Type="http://schemas.openxmlformats.org/officeDocument/2006/relationships/hyperlink" Target="http://www.stats.govt.nz/products-and-services/info-releases/abortion-stats.htm" TargetMode="External"/><Relationship Id="rId19" Type="http://schemas.openxmlformats.org/officeDocument/2006/relationships/hyperlink" Target="http://www.nzdf.mil.nz/at-a-glance/personnel-composition.htm" TargetMode="External"/><Relationship Id="rId4" Type="http://schemas.openxmlformats.org/officeDocument/2006/relationships/hyperlink" Target="http://www.immigration.govt.nz/" TargetMode="External"/><Relationship Id="rId9" Type="http://schemas.openxmlformats.org/officeDocument/2006/relationships/hyperlink" Target="http://www.stats.govt.nz/analytical-reports/disability-counts-2001.htm" TargetMode="External"/><Relationship Id="rId14" Type="http://schemas.openxmlformats.org/officeDocument/2006/relationships/hyperlink" Target="http://www.nzhis.govt.n/stats/medpracsta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3</Pages>
  <Words>48422</Words>
  <Characters>276008</Characters>
  <Application>Microsoft Office Word</Application>
  <DocSecurity>4</DocSecurity>
  <Lines>2300</Lines>
  <Paragraphs>647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323783</CharactersWithSpaces>
  <SharedDoc>false</SharedDoc>
  <HLinks>
    <vt:vector size="144" baseType="variant">
      <vt:variant>
        <vt:i4>2818174</vt:i4>
      </vt:variant>
      <vt:variant>
        <vt:i4>18</vt:i4>
      </vt:variant>
      <vt:variant>
        <vt:i4>0</vt:i4>
      </vt:variant>
      <vt:variant>
        <vt:i4>5</vt:i4>
      </vt:variant>
      <vt:variant>
        <vt:lpwstr>http://www/</vt:lpwstr>
      </vt:variant>
      <vt:variant>
        <vt:lpwstr/>
      </vt:variant>
      <vt:variant>
        <vt:i4>4784202</vt:i4>
      </vt:variant>
      <vt:variant>
        <vt:i4>15</vt:i4>
      </vt:variant>
      <vt:variant>
        <vt:i4>0</vt:i4>
      </vt:variant>
      <vt:variant>
        <vt:i4>5</vt:i4>
      </vt:variant>
      <vt:variant>
        <vt:lpwstr>http://www.ers.dol.govt.nz/perentalleave/evaluation.html</vt:lpwstr>
      </vt:variant>
      <vt:variant>
        <vt:lpwstr/>
      </vt:variant>
      <vt:variant>
        <vt:i4>262186</vt:i4>
      </vt:variant>
      <vt:variant>
        <vt:i4>12</vt:i4>
      </vt:variant>
      <vt:variant>
        <vt:i4>0</vt:i4>
      </vt:variant>
      <vt:variant>
        <vt:i4>5</vt:i4>
      </vt:variant>
      <vt:variant>
        <vt:lpwstr>http://www.dol.govt.nz/publications/general/_x000b_gen-peoplepower.asp</vt:lpwstr>
      </vt:variant>
      <vt:variant>
        <vt:lpwstr/>
      </vt:variant>
      <vt:variant>
        <vt:i4>6684799</vt:i4>
      </vt:variant>
      <vt:variant>
        <vt:i4>60</vt:i4>
      </vt:variant>
      <vt:variant>
        <vt:i4>0</vt:i4>
      </vt:variant>
      <vt:variant>
        <vt:i4>5</vt:i4>
      </vt:variant>
      <vt:variant>
        <vt:lpwstr>http://www.justice.govt.nz/crime-reduction/</vt:lpwstr>
      </vt:variant>
      <vt:variant>
        <vt:lpwstr/>
      </vt:variant>
      <vt:variant>
        <vt:i4>5308494</vt:i4>
      </vt:variant>
      <vt:variant>
        <vt:i4>57</vt:i4>
      </vt:variant>
      <vt:variant>
        <vt:i4>0</vt:i4>
      </vt:variant>
      <vt:variant>
        <vt:i4>5</vt:i4>
      </vt:variant>
      <vt:variant>
        <vt:lpwstr>http://www.nzdf.mil.nz/at-a-glance/personnel-composition.htm</vt:lpwstr>
      </vt:variant>
      <vt:variant>
        <vt:lpwstr/>
      </vt:variant>
      <vt:variant>
        <vt:i4>2818106</vt:i4>
      </vt:variant>
      <vt:variant>
        <vt:i4>54</vt:i4>
      </vt:variant>
      <vt:variant>
        <vt:i4>0</vt:i4>
      </vt:variant>
      <vt:variant>
        <vt:i4>5</vt:i4>
      </vt:variant>
      <vt:variant>
        <vt:lpwstr>http://www.workand/</vt:lpwstr>
      </vt:variant>
      <vt:variant>
        <vt:lpwstr/>
      </vt:variant>
      <vt:variant>
        <vt:i4>1835035</vt:i4>
      </vt:variant>
      <vt:variant>
        <vt:i4>51</vt:i4>
      </vt:variant>
      <vt:variant>
        <vt:i4>0</vt:i4>
      </vt:variant>
      <vt:variant>
        <vt:i4>5</vt:i4>
      </vt:variant>
      <vt:variant>
        <vt:lpwstr>http://www.ocvs.govt.nz/work-programme/volunteering.html</vt:lpwstr>
      </vt:variant>
      <vt:variant>
        <vt:lpwstr/>
      </vt:variant>
      <vt:variant>
        <vt:i4>1835035</vt:i4>
      </vt:variant>
      <vt:variant>
        <vt:i4>48</vt:i4>
      </vt:variant>
      <vt:variant>
        <vt:i4>0</vt:i4>
      </vt:variant>
      <vt:variant>
        <vt:i4>5</vt:i4>
      </vt:variant>
      <vt:variant>
        <vt:lpwstr>http://www.ocvs.govt.nz/work-programme/volunteering.html</vt:lpwstr>
      </vt:variant>
      <vt:variant>
        <vt:lpwstr/>
      </vt:variant>
      <vt:variant>
        <vt:i4>7405627</vt:i4>
      </vt:variant>
      <vt:variant>
        <vt:i4>45</vt:i4>
      </vt:variant>
      <vt:variant>
        <vt:i4>0</vt:i4>
      </vt:variant>
      <vt:variant>
        <vt:i4>5</vt:i4>
      </vt:variant>
      <vt:variant>
        <vt:lpwstr>http://www.nzhis.govt.n/stats/medpracstats.html</vt:lpwstr>
      </vt:variant>
      <vt:variant>
        <vt:lpwstr/>
      </vt:variant>
      <vt:variant>
        <vt:i4>7405627</vt:i4>
      </vt:variant>
      <vt:variant>
        <vt:i4>42</vt:i4>
      </vt:variant>
      <vt:variant>
        <vt:i4>0</vt:i4>
      </vt:variant>
      <vt:variant>
        <vt:i4>5</vt:i4>
      </vt:variant>
      <vt:variant>
        <vt:lpwstr>http://www.nzhis.govt.n/stats/medpracstats.html</vt:lpwstr>
      </vt:variant>
      <vt:variant>
        <vt:lpwstr/>
      </vt:variant>
      <vt:variant>
        <vt:i4>7405627</vt:i4>
      </vt:variant>
      <vt:variant>
        <vt:i4>39</vt:i4>
      </vt:variant>
      <vt:variant>
        <vt:i4>0</vt:i4>
      </vt:variant>
      <vt:variant>
        <vt:i4>5</vt:i4>
      </vt:variant>
      <vt:variant>
        <vt:lpwstr>http://www.nzhis.govt.n/stats/medpracstats.html</vt:lpwstr>
      </vt:variant>
      <vt:variant>
        <vt:lpwstr/>
      </vt:variant>
      <vt:variant>
        <vt:i4>7405627</vt:i4>
      </vt:variant>
      <vt:variant>
        <vt:i4>36</vt:i4>
      </vt:variant>
      <vt:variant>
        <vt:i4>0</vt:i4>
      </vt:variant>
      <vt:variant>
        <vt:i4>5</vt:i4>
      </vt:variant>
      <vt:variant>
        <vt:lpwstr>http://www.nzhis.govt.n/stats/medpracstats.html</vt:lpwstr>
      </vt:variant>
      <vt:variant>
        <vt:lpwstr/>
      </vt:variant>
      <vt:variant>
        <vt:i4>4259932</vt:i4>
      </vt:variant>
      <vt:variant>
        <vt:i4>33</vt:i4>
      </vt:variant>
      <vt:variant>
        <vt:i4>0</vt:i4>
      </vt:variant>
      <vt:variant>
        <vt:i4>5</vt:i4>
      </vt:variant>
      <vt:variant>
        <vt:lpwstr>http://www.outoftheblue.org.nz/page.php?p=33</vt:lpwstr>
      </vt:variant>
      <vt:variant>
        <vt:lpwstr/>
      </vt:variant>
      <vt:variant>
        <vt:i4>3932207</vt:i4>
      </vt:variant>
      <vt:variant>
        <vt:i4>30</vt:i4>
      </vt:variant>
      <vt:variant>
        <vt:i4>0</vt:i4>
      </vt:variant>
      <vt:variant>
        <vt:i4>5</vt:i4>
      </vt:variant>
      <vt:variant>
        <vt:lpwstr>http://www.stats.govt.nz/products-and-services/info-releases/abortion-stats.htm</vt:lpwstr>
      </vt:variant>
      <vt:variant>
        <vt:lpwstr/>
      </vt:variant>
      <vt:variant>
        <vt:i4>3670068</vt:i4>
      </vt:variant>
      <vt:variant>
        <vt:i4>27</vt:i4>
      </vt:variant>
      <vt:variant>
        <vt:i4>0</vt:i4>
      </vt:variant>
      <vt:variant>
        <vt:i4>5</vt:i4>
      </vt:variant>
      <vt:variant>
        <vt:lpwstr>http://www.stats.govt.nz/analytical-reports/disability-counts-2001.htm</vt:lpwstr>
      </vt:variant>
      <vt:variant>
        <vt:lpwstr/>
      </vt:variant>
      <vt:variant>
        <vt:i4>70058090</vt:i4>
      </vt:variant>
      <vt:variant>
        <vt:i4>24</vt:i4>
      </vt:variant>
      <vt:variant>
        <vt:i4>0</vt:i4>
      </vt:variant>
      <vt:variant>
        <vt:i4>5</vt:i4>
      </vt:variant>
      <vt:variant>
        <vt:lpwstr>http://www.odi.govt.nz/publications/minister-briefing/2002/index.html. Глава 2</vt:lpwstr>
      </vt:variant>
      <vt:variant>
        <vt:lpwstr/>
      </vt:variant>
      <vt:variant>
        <vt:i4>3801210</vt:i4>
      </vt:variant>
      <vt:variant>
        <vt:i4>21</vt:i4>
      </vt:variant>
      <vt:variant>
        <vt:i4>0</vt:i4>
      </vt:variant>
      <vt:variant>
        <vt:i4>5</vt:i4>
      </vt:variant>
      <vt:variant>
        <vt:lpwstr>http://www.dol.govt.nz/publications/gneral/gen-peoplepower.asp</vt:lpwstr>
      </vt:variant>
      <vt:variant>
        <vt:lpwstr/>
      </vt:variant>
      <vt:variant>
        <vt:i4>3866681</vt:i4>
      </vt:variant>
      <vt:variant>
        <vt:i4>18</vt:i4>
      </vt:variant>
      <vt:variant>
        <vt:i4>0</vt:i4>
      </vt:variant>
      <vt:variant>
        <vt:i4>5</vt:i4>
      </vt:variant>
      <vt:variant>
        <vt:lpwstr>http://www.minedu.govt.nz/goto/pisa</vt:lpwstr>
      </vt:variant>
      <vt:variant>
        <vt:lpwstr/>
      </vt:variant>
      <vt:variant>
        <vt:i4>3670124</vt:i4>
      </vt:variant>
      <vt:variant>
        <vt:i4>15</vt:i4>
      </vt:variant>
      <vt:variant>
        <vt:i4>0</vt:i4>
      </vt:variant>
      <vt:variant>
        <vt:i4>5</vt:i4>
      </vt:variant>
      <vt:variant>
        <vt:lpwstr>http://www.minedu.govt.nz/</vt:lpwstr>
      </vt:variant>
      <vt:variant>
        <vt:lpwstr/>
      </vt:variant>
      <vt:variant>
        <vt:i4>3670124</vt:i4>
      </vt:variant>
      <vt:variant>
        <vt:i4>12</vt:i4>
      </vt:variant>
      <vt:variant>
        <vt:i4>0</vt:i4>
      </vt:variant>
      <vt:variant>
        <vt:i4>5</vt:i4>
      </vt:variant>
      <vt:variant>
        <vt:lpwstr>http://www.minedu.govt.nz/</vt:lpwstr>
      </vt:variant>
      <vt:variant>
        <vt:lpwstr/>
      </vt:variant>
      <vt:variant>
        <vt:i4>7012454</vt:i4>
      </vt:variant>
      <vt:variant>
        <vt:i4>9</vt:i4>
      </vt:variant>
      <vt:variant>
        <vt:i4>0</vt:i4>
      </vt:variant>
      <vt:variant>
        <vt:i4>5</vt:i4>
      </vt:variant>
      <vt:variant>
        <vt:lpwstr>http://www.immigration.govt.nz/</vt:lpwstr>
      </vt:variant>
      <vt:variant>
        <vt:lpwstr/>
      </vt:variant>
      <vt:variant>
        <vt:i4>3473457</vt:i4>
      </vt:variant>
      <vt:variant>
        <vt:i4>6</vt:i4>
      </vt:variant>
      <vt:variant>
        <vt:i4>0</vt:i4>
      </vt:variant>
      <vt:variant>
        <vt:i4>5</vt:i4>
      </vt:variant>
      <vt:variant>
        <vt:lpwstr>http://www.tv-violence.org.nz/</vt:lpwstr>
      </vt:variant>
      <vt:variant>
        <vt:lpwstr/>
      </vt:variant>
      <vt:variant>
        <vt:i4>7536763</vt:i4>
      </vt:variant>
      <vt:variant>
        <vt:i4>3</vt:i4>
      </vt:variant>
      <vt:variant>
        <vt:i4>0</vt:i4>
      </vt:variant>
      <vt:variant>
        <vt:i4>5</vt:i4>
      </vt:variant>
      <vt:variant>
        <vt:lpwstr>http://rangi.knowledge-basket.co.nz/gpacts/public/text/1993/se/094se8.html</vt:lpwstr>
      </vt:variant>
      <vt:variant>
        <vt:lpwstr/>
      </vt:variant>
      <vt:variant>
        <vt:i4>8257656</vt:i4>
      </vt:variant>
      <vt:variant>
        <vt:i4>0</vt:i4>
      </vt:variant>
      <vt:variant>
        <vt:i4>0</vt:i4>
      </vt:variant>
      <vt:variant>
        <vt:i4>5</vt:i4>
      </vt:variant>
      <vt:variant>
        <vt:lpwstr>http://www.ssc.govt.nz/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Maria.Griaznova_2</cp:lastModifiedBy>
  <cp:revision>7</cp:revision>
  <cp:lastPrinted>2006-09-28T07:56:00Z</cp:lastPrinted>
  <dcterms:created xsi:type="dcterms:W3CDTF">2006-09-28T07:46:00Z</dcterms:created>
  <dcterms:modified xsi:type="dcterms:W3CDTF">2006-09-28T09:07:00Z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0276198</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81</vt:lpwstr>
  </property>
  <property fmtid="{D5CDD505-2E9C-101B-9397-08002B2CF9AE}" pid="8" name="Operator">
    <vt:lpwstr>Shibanoval</vt:lpwstr>
  </property>
</Properties>
</file>