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BBF063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8E27BC" w14:textId="77777777" w:rsidR="002D5AAC" w:rsidRDefault="002D5AAC" w:rsidP="004120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297488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C5B50B" w14:textId="2DB63872" w:rsidR="002D5AAC" w:rsidRDefault="004120B4" w:rsidP="004120B4">
            <w:pPr>
              <w:jc w:val="right"/>
            </w:pPr>
            <w:r w:rsidRPr="004120B4">
              <w:rPr>
                <w:sz w:val="40"/>
              </w:rPr>
              <w:t>CRC</w:t>
            </w:r>
            <w:r>
              <w:t>/C/COG/CO/5-6</w:t>
            </w:r>
          </w:p>
        </w:tc>
      </w:tr>
      <w:tr w:rsidR="002D5AAC" w:rsidRPr="004120B4" w14:paraId="408960F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5F5F8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B63C9E" wp14:editId="5C4049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E13B3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411607B" w14:textId="77777777" w:rsidR="002D5AAC" w:rsidRDefault="004120B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0344B1A" w14:textId="77777777" w:rsidR="004120B4" w:rsidRDefault="004120B4" w:rsidP="004120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March 2024</w:t>
            </w:r>
          </w:p>
          <w:p w14:paraId="7E79D52C" w14:textId="77777777" w:rsidR="004120B4" w:rsidRDefault="004120B4" w:rsidP="004120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6A9F0D9" w14:textId="052152D0" w:rsidR="004120B4" w:rsidRPr="00B937DF" w:rsidRDefault="004120B4" w:rsidP="004120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802A4FD" w14:textId="77777777" w:rsidR="004120B4" w:rsidRPr="00711621" w:rsidRDefault="004120B4" w:rsidP="004120B4">
      <w:pPr>
        <w:spacing w:before="120"/>
        <w:rPr>
          <w:b/>
          <w:sz w:val="24"/>
          <w:szCs w:val="24"/>
        </w:rPr>
      </w:pPr>
      <w:r w:rsidRPr="00711621">
        <w:rPr>
          <w:b/>
          <w:bCs/>
          <w:sz w:val="24"/>
          <w:szCs w:val="24"/>
        </w:rPr>
        <w:t>Комитет по правам ребенка</w:t>
      </w:r>
    </w:p>
    <w:p w14:paraId="38802FD0" w14:textId="77777777" w:rsidR="004120B4" w:rsidRPr="00741208" w:rsidRDefault="004120B4" w:rsidP="004120B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 шестому периодическим докладам Конго</w:t>
      </w:r>
      <w:r w:rsidRPr="00AA1BBF">
        <w:rPr>
          <w:b w:val="0"/>
          <w:sz w:val="20"/>
        </w:rPr>
        <w:footnoteReference w:customMarkFollows="1" w:id="1"/>
        <w:t>*</w:t>
      </w:r>
    </w:p>
    <w:p w14:paraId="28B7175B" w14:textId="77777777" w:rsidR="004120B4" w:rsidRPr="00741208" w:rsidRDefault="004120B4" w:rsidP="004120B4">
      <w:pPr>
        <w:pStyle w:val="HChG"/>
      </w:pPr>
      <w:r w:rsidRPr="00D94C44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1307BAE7" w14:textId="77777777" w:rsidR="004120B4" w:rsidRPr="00741208" w:rsidRDefault="004120B4" w:rsidP="004120B4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Конго</w:t>
      </w:r>
      <w:r w:rsidRPr="008B2A31">
        <w:rPr>
          <w:rStyle w:val="aa"/>
        </w:rPr>
        <w:footnoteReference w:id="2"/>
      </w:r>
      <w:r>
        <w:t xml:space="preserve"> на своих 2758</w:t>
      </w:r>
      <w:r>
        <w:noBreakHyphen/>
        <w:t>м и 2759</w:t>
      </w:r>
      <w:r>
        <w:noBreakHyphen/>
        <w:t>м заседаниях</w:t>
      </w:r>
      <w:r w:rsidRPr="008B2A31">
        <w:rPr>
          <w:rStyle w:val="aa"/>
        </w:rPr>
        <w:footnoteReference w:id="3"/>
      </w:r>
      <w:r>
        <w:t>, состоявшихся 15 и 16 января 2024 года, и на своем 2786</w:t>
      </w:r>
      <w:r>
        <w:noBreakHyphen/>
        <w:t xml:space="preserve">м заседании 2 февраля 2024 года принял настоящие заключительные замечания. </w:t>
      </w:r>
    </w:p>
    <w:p w14:paraId="2A99F647" w14:textId="5381AF5D" w:rsidR="004120B4" w:rsidRPr="00741208" w:rsidRDefault="004120B4" w:rsidP="004120B4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="002A4804" w:rsidRPr="008B2A31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14:paraId="6F89CAC5" w14:textId="77777777" w:rsidR="004120B4" w:rsidRPr="00741208" w:rsidRDefault="004120B4" w:rsidP="004120B4">
      <w:pPr>
        <w:pStyle w:val="HChG"/>
      </w:pPr>
      <w:r w:rsidRPr="00D94C44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434E4A0" w14:textId="77777777" w:rsidR="004120B4" w:rsidRPr="00741208" w:rsidRDefault="004120B4" w:rsidP="004120B4">
      <w:pPr>
        <w:pStyle w:val="SingleTxtG"/>
        <w:rPr>
          <w:i/>
        </w:rPr>
      </w:pPr>
      <w:r>
        <w:t>3.</w:t>
      </w:r>
      <w:r>
        <w:tab/>
        <w:t xml:space="preserve">Комитет с одобрением отмечает различные законодательные меры, принятые государством-участником для осуществления Конвенции, включая новую Конституцию, принятую 25 октября 2015 года, которая, в частности, предусматривает, что все должным образом ратифицированные соответствующие международные договоры по правам человека являются неотъемлемой частью Конституции. Комитет также с одобрением отмечает ратификацию Международной конвенции о защите прав всех трудящихся-мигрантов и членов их семей, а также Конвенции о правах инвалидов и Факультативного протокола к ней. Комитет также с одобрением отмечает следующие организационные и политические меры, оказывающие влияние на положение детей: </w:t>
      </w:r>
    </w:p>
    <w:p w14:paraId="4C3387BF" w14:textId="77777777" w:rsidR="004120B4" w:rsidRPr="00741208" w:rsidRDefault="004120B4" w:rsidP="004120B4">
      <w:pPr>
        <w:pStyle w:val="SingleTxtG"/>
        <w:rPr>
          <w:i/>
        </w:rPr>
      </w:pPr>
      <w:r>
        <w:tab/>
        <w:t>a)</w:t>
      </w:r>
      <w:r>
        <w:tab/>
      </w:r>
      <w:r w:rsidRPr="00ED336F">
        <w:t>создание</w:t>
      </w:r>
      <w:r>
        <w:t xml:space="preserve"> местных центров регистрации актов гражданского состояния и проведение профессиональной подготовки сотрудников органов регистрации актов гражданского состояния;</w:t>
      </w:r>
    </w:p>
    <w:p w14:paraId="6FEB7803" w14:textId="77777777" w:rsidR="004120B4" w:rsidRPr="00741208" w:rsidRDefault="004120B4" w:rsidP="004120B4">
      <w:pPr>
        <w:pStyle w:val="SingleTxtG"/>
        <w:rPr>
          <w:i/>
        </w:rPr>
      </w:pPr>
      <w:r>
        <w:tab/>
        <w:t>b)</w:t>
      </w:r>
      <w:r>
        <w:tab/>
        <w:t>Национальный стратегический план по профилактике ВИЧ/СПИДа среди подростков и молодежи на 2020</w:t>
      </w:r>
      <w:r>
        <w:rPr>
          <w:bCs/>
        </w:rPr>
        <w:t>–</w:t>
      </w:r>
      <w:r>
        <w:t xml:space="preserve">2024 годы; </w:t>
      </w:r>
    </w:p>
    <w:p w14:paraId="3767EBD3" w14:textId="77777777" w:rsidR="004120B4" w:rsidRPr="00741208" w:rsidRDefault="004120B4" w:rsidP="004120B4">
      <w:pPr>
        <w:pStyle w:val="SingleTxtG"/>
      </w:pPr>
      <w:r>
        <w:lastRenderedPageBreak/>
        <w:tab/>
        <w:t>c)</w:t>
      </w:r>
      <w:r>
        <w:tab/>
        <w:t xml:space="preserve">Указ № 2023-25 от 23 января 2023 года о создании, организации, составе и функционировании Детского парламента Конго; </w:t>
      </w:r>
    </w:p>
    <w:p w14:paraId="28CEC450" w14:textId="77777777" w:rsidR="004120B4" w:rsidRPr="00741208" w:rsidRDefault="004120B4" w:rsidP="004120B4">
      <w:pPr>
        <w:pStyle w:val="SingleTxtG"/>
        <w:rPr>
          <w:i/>
        </w:rPr>
      </w:pPr>
      <w:r>
        <w:tab/>
        <w:t>d)</w:t>
      </w:r>
      <w:r>
        <w:tab/>
        <w:t>Указ № 2019-204 от 12 июля 2019 года о специальных мерах содействия доступу детей из числа коренных народов к образованию и ликвидации безграмотности среди взрослых;</w:t>
      </w:r>
    </w:p>
    <w:p w14:paraId="1F4DEF8E" w14:textId="77777777" w:rsidR="004120B4" w:rsidRPr="00741208" w:rsidRDefault="004120B4" w:rsidP="004120B4">
      <w:pPr>
        <w:pStyle w:val="SingleTxtG"/>
        <w:rPr>
          <w:i/>
        </w:rPr>
      </w:pPr>
      <w:r>
        <w:tab/>
        <w:t>e)</w:t>
      </w:r>
      <w:r>
        <w:tab/>
        <w:t>ратификация Гаагской конвенции о защите детей и сотрудничестве в области межгосударственного усыновления.</w:t>
      </w:r>
    </w:p>
    <w:p w14:paraId="0BEBE0CC" w14:textId="15CD7D57" w:rsidR="004120B4" w:rsidRPr="00741208" w:rsidRDefault="004120B4" w:rsidP="004120B4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731BAD26" w14:textId="77777777" w:rsidR="004120B4" w:rsidRPr="00741208" w:rsidRDefault="004120B4" w:rsidP="004120B4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срочные меры: регистрация рождений и гражданство (пункт 21), насилие в отношении детей (пункты 23 и 25), вредные виды практики (пункт 30), здравоохранение (пункт 36), образование (пункт 44) и экономическая эксплуатация (пункт 50). </w:t>
      </w:r>
      <w:bookmarkStart w:id="0" w:name="_Hlk158991182"/>
      <w:bookmarkEnd w:id="0"/>
    </w:p>
    <w:p w14:paraId="07CE901B" w14:textId="77777777" w:rsidR="004120B4" w:rsidRPr="00741208" w:rsidRDefault="004120B4" w:rsidP="004120B4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целей в области устойчивого развития в той мере, в какой они касаются детей.</w:t>
      </w:r>
      <w:r>
        <w:t xml:space="preserve"> </w:t>
      </w:r>
    </w:p>
    <w:p w14:paraId="1A7B14AF" w14:textId="77777777" w:rsidR="004120B4" w:rsidRPr="00741208" w:rsidRDefault="004120B4" w:rsidP="004120B4">
      <w:pPr>
        <w:pStyle w:val="H1G"/>
      </w:pPr>
      <w:r w:rsidRPr="00D94C44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 1, 4, 42 и пункт 6 статьи 44)</w:t>
      </w:r>
    </w:p>
    <w:p w14:paraId="7ED52BE0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53013A51" w14:textId="77777777" w:rsidR="004120B4" w:rsidRPr="00741208" w:rsidRDefault="004120B4" w:rsidP="004120B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Приветствуя пересмотр в 2015 году Конституции и Закона № 10-2022 от 20 апреля 2022 года о пенитенциарном кодексе в Конго за отчетный период, в котором были учтены предыдущие рекомендации Комитета</w:t>
      </w:r>
      <w:r w:rsidRPr="008B2A31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государству-участнику:</w:t>
      </w:r>
    </w:p>
    <w:p w14:paraId="71271EB3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a)</w:t>
      </w:r>
      <w:r w:rsidRPr="004120B4">
        <w:rPr>
          <w:b/>
          <w:bCs/>
        </w:rPr>
        <w:tab/>
        <w:t xml:space="preserve">ускорить темпы принятия законодательства, ожидающего пересмотра, и устранить значительные временные разрывы между принятием законов и введением законов в действие; </w:t>
      </w:r>
    </w:p>
    <w:p w14:paraId="04D19ABD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b)</w:t>
      </w:r>
      <w:r w:rsidRPr="004120B4">
        <w:rPr>
          <w:b/>
          <w:bCs/>
        </w:rPr>
        <w:tab/>
        <w:t xml:space="preserve">обеспечить эффективное применение законодательства, особенно в сельской местности, в том числе путем выделения достаточных финансовых ресурсов и содействия расширению возможностей судей, сотрудников правоохранительных органов, адвокатов, учителей, медицинских работников и других соответствующих специалистов. </w:t>
      </w:r>
    </w:p>
    <w:p w14:paraId="7829F2BD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7C5231B2" w14:textId="77777777" w:rsidR="004120B4" w:rsidRPr="00741208" w:rsidRDefault="004120B4" w:rsidP="004120B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в срочном порядке принять на основе процесса консультаций, в том числе с участием детей, всеобъемлющий национальный план действий в интересах детей, финансируемый из бюджета и децентрализованный, с четкими обязательствами, ролями и обязанностями, основанными на положениях Конвенции.</w:t>
      </w:r>
      <w:r>
        <w:t xml:space="preserve"> </w:t>
      </w:r>
    </w:p>
    <w:p w14:paraId="78496F60" w14:textId="77777777" w:rsidR="004120B4" w:rsidRPr="00741208" w:rsidRDefault="004120B4" w:rsidP="004120B4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  <w:r>
        <w:t xml:space="preserve"> </w:t>
      </w:r>
    </w:p>
    <w:p w14:paraId="34429D80" w14:textId="77777777" w:rsidR="004120B4" w:rsidRPr="00741208" w:rsidRDefault="004120B4" w:rsidP="004120B4">
      <w:pPr>
        <w:pStyle w:val="SingleTxtG"/>
        <w:rPr>
          <w:b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доработать и издать ожидающий принятия указ о создании Национального координационного комитета по защите детей и наделить его мандатом и адекватным бюджетом для эффективной координации всех видов деятельности, связанных с осуществлением Конвенции на национальном, окружном и межсекторальном уровнях, а также преодолеть недостатки и раздробленность усилий по координации на местном и региональном уровнях.</w:t>
      </w:r>
      <w:r>
        <w:t xml:space="preserve"> </w:t>
      </w:r>
    </w:p>
    <w:p w14:paraId="7AA1196E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  <w:r>
        <w:t xml:space="preserve"> </w:t>
      </w:r>
    </w:p>
    <w:p w14:paraId="11597A50" w14:textId="214407B1" w:rsidR="004120B4" w:rsidRPr="00741208" w:rsidRDefault="004120B4" w:rsidP="004120B4">
      <w:pPr>
        <w:pStyle w:val="SingleTxtG"/>
      </w:pPr>
      <w:r>
        <w:t>9.</w:t>
      </w:r>
      <w:r>
        <w:tab/>
      </w:r>
      <w:r>
        <w:rPr>
          <w:b/>
          <w:bCs/>
        </w:rPr>
        <w:t>С озабоченностью отмечая, что, несмотря на увеличение объема финансовых ресурсов, социальные показатели государства-участника</w:t>
      </w:r>
      <w:r>
        <w:rPr>
          <w:b/>
          <w:bCs/>
        </w:rPr>
        <w:br/>
      </w:r>
      <w:r>
        <w:rPr>
          <w:b/>
          <w:bCs/>
        </w:rPr>
        <w:t>по-прежнему не улучшаются, а объем инвестиций в социальную сферу</w:t>
      </w:r>
      <w:r>
        <w:rPr>
          <w:b/>
          <w:bCs/>
        </w:rPr>
        <w:br/>
      </w:r>
      <w:r>
        <w:rPr>
          <w:b/>
          <w:bCs/>
        </w:rPr>
        <w:t>по-прежнему недостаточен для того, чтобы все дети могли в полной мере осуществлять свои права, и что коррупция по-прежнему широко распространена, несмотря на усилия государства-участника по ее ликвидации, и в свете своего замечания общего порядка № 19 (2016) о государственных бюджетных ассигнованиях для осуществления прав детей Комитет повторяет свои предыдущие рекомендации</w:t>
      </w:r>
      <w:r w:rsidRPr="008B2A31">
        <w:rPr>
          <w:rStyle w:val="aa"/>
        </w:rPr>
        <w:footnoteReference w:id="6"/>
      </w:r>
      <w:r>
        <w:rPr>
          <w:b/>
          <w:bCs/>
        </w:rPr>
        <w:t xml:space="preserve"> государству-участнику:</w:t>
      </w:r>
    </w:p>
    <w:p w14:paraId="30B61186" w14:textId="77777777" w:rsidR="004120B4" w:rsidRPr="00741208" w:rsidRDefault="004120B4" w:rsidP="004120B4">
      <w:pPr>
        <w:pStyle w:val="SingleTxtG"/>
        <w:rPr>
          <w:b/>
        </w:rPr>
      </w:pPr>
      <w:r>
        <w:tab/>
        <w:t>a)</w:t>
      </w:r>
      <w:r>
        <w:tab/>
      </w:r>
      <w:r>
        <w:rPr>
          <w:b/>
          <w:bCs/>
        </w:rPr>
        <w:t>существенно увеличить объем бюджетных ассигнований, доведя его до надлежащего уровня в области социальных расходов на детей и их семьи, как на операционную деятельность, так и на инвестиции;</w:t>
      </w:r>
      <w:r>
        <w:t xml:space="preserve"> </w:t>
      </w:r>
    </w:p>
    <w:p w14:paraId="53CB1FF0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b)</w:t>
      </w:r>
      <w:r w:rsidRPr="004120B4">
        <w:rPr>
          <w:b/>
          <w:bCs/>
        </w:rPr>
        <w:tab/>
        <w:t xml:space="preserve">наладить процесс составления бюджета, включающий целостную перспективу защиты прав ребенка, позволяющий четко определить бюджетные средства, предназначенные для детей, и устанавливающий четкие ассигнования на нужды детей в соответствующих секторах и ведомствах на национальном и местном уровнях; </w:t>
      </w:r>
    </w:p>
    <w:p w14:paraId="3295275C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c)</w:t>
      </w:r>
      <w:r w:rsidRPr="004120B4">
        <w:rPr>
          <w:b/>
          <w:bCs/>
        </w:rPr>
        <w:tab/>
        <w:t xml:space="preserve">срочно укрепить потенциал администрации в области эффективного распределения выделенных бюджетных средств для охвата целевых групп детей, а также установить конкретные показатели и механизмы для мониторинга и оценки достаточности, эффективности и равномерности распределения ресурсов; </w:t>
      </w:r>
    </w:p>
    <w:p w14:paraId="1F13C0DA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d)</w:t>
      </w:r>
      <w:r w:rsidRPr="004120B4">
        <w:rPr>
          <w:b/>
          <w:bCs/>
        </w:rPr>
        <w:tab/>
        <w:t xml:space="preserve">срочно усилить и принять меры по борьбе с коррупцией и укрепить институциональный потенциал для эффективного выявления фактов коррупции, проведения соответствующих расследований и привлечения виновных к уголовной ответственности. </w:t>
      </w:r>
    </w:p>
    <w:p w14:paraId="53DA2929" w14:textId="77777777" w:rsidR="004120B4" w:rsidRPr="00D94C44" w:rsidRDefault="004120B4" w:rsidP="004120B4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369EC0C" w14:textId="77777777" w:rsidR="004120B4" w:rsidRPr="00741208" w:rsidRDefault="004120B4" w:rsidP="004120B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 одобрением отмечая создание Высшей комиссии по статистике и Национального учебного центра по статистике, демографии и планированию, но с озабоченностью отмечая недостаточность усилий государства-участника по сбору достоверных данных о детях, Комитет, в соответствии со своими предыдущими рекомендациями</w:t>
      </w:r>
      <w:r w:rsidRPr="008B2A31">
        <w:rPr>
          <w:rStyle w:val="aa"/>
        </w:rPr>
        <w:footnoteReference w:id="7"/>
      </w:r>
      <w:r>
        <w:rPr>
          <w:b/>
          <w:bCs/>
        </w:rPr>
        <w:t>, рекомендует государству-участнику:</w:t>
      </w:r>
    </w:p>
    <w:p w14:paraId="4191869D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a)</w:t>
      </w:r>
      <w:r w:rsidRPr="004120B4">
        <w:rPr>
          <w:b/>
          <w:bCs/>
        </w:rPr>
        <w:tab/>
        <w:t>усовершенствовать свою систему сбора данных и обеспечить, чтобы она охватывала все области Конвенции и факультативных протоколов к ней и содержала данные в разбивке по возрасту, полу, инвалидности, гражданству, географическому положению, этническому происхождению и социально-экономическому положению, с тем чтобы облегчить анализ положения всех детей, и в частности безнадзорных детей, особенно в связи с такими вопросами, как здравоохранение, насилие, сексуальная эксплуатация, детский труд, торговля детьми и правосудие по делам несовершеннолетних;</w:t>
      </w:r>
    </w:p>
    <w:p w14:paraId="06E6116D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lastRenderedPageBreak/>
        <w:tab/>
        <w:t>b)</w:t>
      </w:r>
      <w:r w:rsidRPr="004120B4">
        <w:rPr>
          <w:b/>
          <w:bCs/>
        </w:rPr>
        <w:tab/>
        <w:t>обеспечить обмен данными и показателями между соответствующими министерствами и их использование в целях выработки, мониторинга и оценки стратегий, программ и проектов, направленных на эффективное осуществление Конвенции;</w:t>
      </w:r>
    </w:p>
    <w:p w14:paraId="433734A6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c)</w:t>
      </w:r>
      <w:r w:rsidRPr="004120B4">
        <w:rPr>
          <w:b/>
          <w:bCs/>
        </w:rPr>
        <w:tab/>
        <w:t>принимать во внимание концептуальные и методологические рамки, установленные в руководстве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</w:t>
      </w:r>
      <w:r w:rsidRPr="004120B4">
        <w:rPr>
          <w:rStyle w:val="aa"/>
        </w:rPr>
        <w:footnoteReference w:id="8"/>
      </w:r>
      <w:r w:rsidRPr="004120B4">
        <w:rPr>
          <w:b/>
          <w:bCs/>
        </w:rPr>
        <w:t>, в процессе определения, сбора и распространения статистической информации;</w:t>
      </w:r>
    </w:p>
    <w:p w14:paraId="37EBAB08" w14:textId="77777777" w:rsidR="004120B4" w:rsidRPr="004120B4" w:rsidRDefault="004120B4" w:rsidP="004120B4">
      <w:pPr>
        <w:pStyle w:val="SingleTxtG"/>
        <w:rPr>
          <w:b/>
          <w:bCs/>
        </w:rPr>
      </w:pPr>
      <w:r w:rsidRPr="004120B4">
        <w:rPr>
          <w:b/>
          <w:bCs/>
        </w:rPr>
        <w:tab/>
        <w:t>d)</w:t>
      </w:r>
      <w:r w:rsidRPr="004120B4">
        <w:rPr>
          <w:b/>
          <w:bCs/>
        </w:rPr>
        <w:tab/>
        <w:t xml:space="preserve">продолжать поддерживать техническое сотрудничество, в частности, с Детским фондом Организации Объединенных Наций (ЮНИСЕФ) и региональными механизмами. </w:t>
      </w:r>
    </w:p>
    <w:p w14:paraId="670D2CDE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F7F2E1D" w14:textId="77777777" w:rsidR="004120B4" w:rsidRPr="00741208" w:rsidRDefault="004120B4" w:rsidP="004120B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обеспечить, чтобы все дети имели доступ:</w:t>
      </w:r>
    </w:p>
    <w:p w14:paraId="4D191D3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к конфиденциальным, учитывающим интересы детей и независимым механизмам подачи жалоб в школах, учреждениях альтернативного ухода, приемных семьях, психиатрических клиниках и местах лишения свободы, позволяющим сообщать обо всех формах насилия, жестокого обращения, дискриминации и других нарушений их прав. Комитет также рекомендует государству-участнику повысить уровень информированности детей об их праве подавать жалобы в рамках существующих механизмов;</w:t>
      </w:r>
    </w:p>
    <w:p w14:paraId="5782015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правовой поддержке, представительству и средствам правовой защиты, в том числе путем устранения барьеров, с которыми сталкиваются дети, находящиеся в неблагоприятном положении, и расширения видов поддержки, предоставляемой в рамках бюджетных ассигнований на оказание правовой помощи;</w:t>
      </w:r>
    </w:p>
    <w:p w14:paraId="317B7D2B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должностным лицам, работающим с детьми в системе правосудия, которые прошли соответствующую подготовку по вопросам прав детей и ведения судебных разбирательств с учетом интересов ребенка.</w:t>
      </w:r>
    </w:p>
    <w:p w14:paraId="697DA46C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419C038" w14:textId="77777777" w:rsidR="004120B4" w:rsidRPr="00741208" w:rsidRDefault="004120B4" w:rsidP="004120B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Отмечая, что Национальная комиссия по правам человека лишь частично соответствует Принципам, касающимся статуса национальных учреждений, занимающихся поощрением и защитой прав человека (Парижские принципы), и что этот орган не обладает достаточным потенциалом для эффективного мониторинга прав детей, Комитет, подтверждая свои предыдущие рекомендации, рекомендует государству-участнику:</w:t>
      </w:r>
    </w:p>
    <w:p w14:paraId="3AEFD6E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гарантировать независимость Национальной комиссии по правам человека, в том числе в отношении найма персонала, финансирования, мандата и иммунитетов, в целях обеспечения ее полного соответствия Парижским принципам; </w:t>
      </w:r>
    </w:p>
    <w:p w14:paraId="1E14E68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принять меры к тому, чтобы она реально занималась вопросами прав детей, либо выделив для этой задачи специальное подразделение, либо создав отдельное учреждение, непосредственно занимающееся правами детей.</w:t>
      </w:r>
    </w:p>
    <w:p w14:paraId="22DC1412" w14:textId="77777777" w:rsidR="004120B4" w:rsidRPr="00741208" w:rsidRDefault="004120B4" w:rsidP="004120B4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6FFAC044" w14:textId="77777777" w:rsidR="004120B4" w:rsidRPr="00741208" w:rsidRDefault="004120B4" w:rsidP="004120B4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Отмечая различные шаги, предпринимаемые государством-участником для распространения информации и обеспечения подготовки кадров в области Конвенции, Комитет по-прежнему испытывает обеспокоенность в связи с тем, что принципы и положения Конвенции не распространяются на систематической основе среди всех слоев общества и что подготовка кадров в области Конвенции остается недостаточной.</w:t>
      </w:r>
      <w:r>
        <w:t xml:space="preserve"> </w:t>
      </w:r>
      <w:r>
        <w:rPr>
          <w:b/>
          <w:bCs/>
        </w:rPr>
        <w:t>Вновь подтверждая свои предыдущие рекомендации</w:t>
      </w:r>
      <w:r w:rsidRPr="008B2A31">
        <w:rPr>
          <w:rStyle w:val="aa"/>
        </w:rPr>
        <w:footnoteReference w:id="9"/>
      </w:r>
      <w:r>
        <w:rPr>
          <w:b/>
          <w:bCs/>
        </w:rPr>
        <w:t>, Комитет призывает государство-участник повысить эффективность своих программ повышения осведомленности и обеспечить, чтобы все специалисты, работающие с детьми и в интересах детей, а также представители средств массовой информации проходили обязательную подготовку по вопросам прав ребенка в соответствии с Конвенцией.</w:t>
      </w:r>
      <w:r>
        <w:t xml:space="preserve"> </w:t>
      </w:r>
    </w:p>
    <w:p w14:paraId="01AEE6B8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  <w:r>
        <w:t xml:space="preserve"> </w:t>
      </w:r>
    </w:p>
    <w:p w14:paraId="2DD5D79E" w14:textId="77777777" w:rsidR="004120B4" w:rsidRPr="00741208" w:rsidRDefault="004120B4" w:rsidP="004120B4">
      <w:pPr>
        <w:pStyle w:val="SingleTxtG"/>
      </w:pPr>
      <w:r>
        <w:t>14.</w:t>
      </w:r>
      <w:r>
        <w:tab/>
      </w:r>
      <w:r>
        <w:rPr>
          <w:b/>
          <w:bCs/>
        </w:rPr>
        <w:t>Отмечая трудности, с которыми сталкиваются в процессе получения правового статуса неправительственные организации, в том числе организации, занимающиеся правами детей, что, в свою очередь, ограничивает их возможности по осуществлению своей деятельности, Комитет рекомендует государству-участнику содействовать работе таких организаций путем обеспечения их регистрации и рассмотреть возможность финансовой поддержки их деятельности, в частности когда они выполняют государственные задачи по поручению органов власти, такие как уход за детьми, лишенными семьи, или осуществляют другие программы защиты детей.</w:t>
      </w:r>
      <w:r>
        <w:t xml:space="preserve"> </w:t>
      </w:r>
    </w:p>
    <w:p w14:paraId="7FBD99C5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  <w:r>
        <w:t xml:space="preserve"> </w:t>
      </w:r>
    </w:p>
    <w:p w14:paraId="27C11573" w14:textId="77777777" w:rsidR="004120B4" w:rsidRPr="00741208" w:rsidRDefault="004120B4" w:rsidP="004120B4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Обращая внимание государства-участника на свое замечание общего порядка № 16 (2013) и ссылаясь на свою предыдущую рекомендацию</w:t>
      </w:r>
      <w:r w:rsidRPr="008B2A31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3560B26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разработать и применить положения, обеспечивающие соблюдение сектором предпринимательства международных и национальных норм в области прав человека, трудовой деятельности, окружающей среды и других стандартов, особенно в сфере прав детей и в свете Руководящих принципов предпринимательской деятельности в аспекте прав человека;</w:t>
      </w:r>
    </w:p>
    <w:p w14:paraId="59A9A45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провести оценку воздействия предпринимательского сектора, в том числе добывающего и неформального секторов, на соблюдение международных и национальных стандартов в области прав человека, здравоохранения, охраны окружающей среды, а также в других областях в целях адаптации законодательной базы для обеспечения юридической ответственности;</w:t>
      </w:r>
    </w:p>
    <w:p w14:paraId="5C116B0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обеспечить детям, ставшим жертвами злоупотреблений со стороны предприятий, доступ к эффективным средствам правовой защиты, в том числе путем создания надлежащих эффективных судебных и внесудебных механизмов восстановления нарушенных прав детей, которые бы пользовались широкой известностью и были легкодоступными для всех детей и их представителей.</w:t>
      </w:r>
    </w:p>
    <w:p w14:paraId="2344B155" w14:textId="77777777" w:rsidR="004120B4" w:rsidRPr="00741208" w:rsidRDefault="004120B4" w:rsidP="004120B4">
      <w:pPr>
        <w:pStyle w:val="H1G"/>
      </w:pPr>
      <w:r w:rsidRPr="00D94C44">
        <w:rPr>
          <w:bCs/>
        </w:rPr>
        <w:tab/>
      </w:r>
      <w:r>
        <w:rPr>
          <w:bCs/>
        </w:rPr>
        <w:t>B.</w:t>
      </w:r>
      <w:r>
        <w:tab/>
      </w:r>
      <w:r w:rsidRPr="00FC494C">
        <w:rPr>
          <w:bCs/>
        </w:rPr>
        <w:t>Общие п</w:t>
      </w:r>
      <w:r>
        <w:rPr>
          <w:bCs/>
        </w:rPr>
        <w:t>ринципы (статьи 2, 3, 6 и 12)</w:t>
      </w:r>
    </w:p>
    <w:p w14:paraId="1D53DB07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35066A85" w14:textId="77777777" w:rsidR="004120B4" w:rsidRPr="00741208" w:rsidRDefault="004120B4" w:rsidP="004120B4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 xml:space="preserve">С озабоченностью отмечая, что дети-инвалиды, безнадзорные дети, дети из числа коренных народов, дети с альбинизмом и девочки, особенно девочки, относящиеся к вышеупомянутым категориям, продолжают подвергаться множественной дискриминации начиная с самых ранних этапов своей жизни и </w:t>
      </w:r>
      <w:r>
        <w:rPr>
          <w:b/>
          <w:bCs/>
        </w:rPr>
        <w:lastRenderedPageBreak/>
        <w:t>на протяжении всего детства, включая дискриминацию по признаку пола, вследствие сохранения неблагоприятных и традиционных взглядов и норм, и ссылаясь на задачи 5.1 и 10.3 целей в области устойчивого развития, Комитет рекомендует государству-участнику:</w:t>
      </w:r>
      <w:r>
        <w:t xml:space="preserve"> </w:t>
      </w:r>
    </w:p>
    <w:p w14:paraId="52313506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в срочном порядке принять меры для борьбы со всеми формами дискриминации и, в частности, повысить уровень образования девочек, укрепить их безопасность и защищать их от насилия: </w:t>
      </w:r>
    </w:p>
    <w:p w14:paraId="44CC16A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предпринимать эффективные систематические усилия, в том числе с участием религиозных, племенных и деревенских лидеров, лиц, формирующих общественное мнение, и средств массовой информации, в целях искоренения и изменения всех этих дискриминационных взглядов и видов практики; </w:t>
      </w:r>
    </w:p>
    <w:p w14:paraId="648EA91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устранить разрыв между детьми, живущими в городских и сельских районах.</w:t>
      </w:r>
    </w:p>
    <w:p w14:paraId="4FFA9533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5B3AB34C" w14:textId="77777777" w:rsidR="004120B4" w:rsidRPr="00741208" w:rsidRDefault="004120B4" w:rsidP="004120B4">
      <w:pPr>
        <w:pStyle w:val="SingleTxtG"/>
        <w:rPr>
          <w:iCs/>
        </w:rPr>
      </w:pPr>
      <w:r>
        <w:t>17.</w:t>
      </w:r>
      <w:r>
        <w:tab/>
      </w:r>
      <w:r>
        <w:rPr>
          <w:b/>
          <w:bCs/>
        </w:rPr>
        <w:t>С обеспокоенностью отмечая отсутствие информации в отношении конкретных мер осуществления Закона о защите детей и ссылаясь на свое замечание общего порядка № 14 (2013) o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5FD486B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обеспечить надлежащий учет, последовательное толкование и применение права ребенка на первоочередное внимание наилучшему 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интересы;</w:t>
      </w:r>
    </w:p>
    <w:p w14:paraId="10D01A99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установить обязательные процедуры ex ante и ex post оценки влияния законов и стратегий, касающихся детей, на осуществление права ребенка на уделение первоочередного внимания наилучшему обеспечению его интересов; </w:t>
      </w:r>
    </w:p>
    <w:p w14:paraId="1A991E7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обратиться к ЮНИСЕФ за помощью в разработке учебных программ и материалов для всех специалистов, работающих с детьми или в их интересах.</w:t>
      </w:r>
    </w:p>
    <w:p w14:paraId="7F31E476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  <w:r>
        <w:t xml:space="preserve"> </w:t>
      </w:r>
    </w:p>
    <w:p w14:paraId="38167608" w14:textId="77777777" w:rsidR="004120B4" w:rsidRPr="00741208" w:rsidRDefault="004120B4" w:rsidP="004120B4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 одобрением отмечая создание, организационную структуру, состав и функционирование Детского парламента Конго на основании Указа № 2023-25 от 23 января 2023 года, а также выборы в указанный парламент, состоявшиеся 26 мая </w:t>
      </w:r>
      <w:r w:rsidRPr="004A1C23">
        <w:rPr>
          <w:b/>
        </w:rPr>
        <w:t>—</w:t>
      </w:r>
      <w:r>
        <w:rPr>
          <w:b/>
          <w:bCs/>
        </w:rPr>
        <w:t xml:space="preserve"> 5 июня 2023 года, Комитет рекомендует государству-участнику:</w:t>
      </w:r>
    </w:p>
    <w:p w14:paraId="50BAF1C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институционализировать работу Детского парламента Конго и обеспечить наделение его реальными полномочиями и достаточными людскими, техническими и финансовыми ресурсами для содействия эффективному участию детей в национальных законодательных процессах по затрагивающим их вопросам, а также обеспечить систематический учет результатов его работы при принятии государственных решений;</w:t>
      </w:r>
    </w:p>
    <w:p w14:paraId="2EDAA6E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активно бороться с негативным представлением о детях как о неспособных разобраться в вопросах, которые их касаются, поощрять и обеспечивать значимое и полноценное участие всех детей, особенно девочек, детей с инвалидностью, безнадзорных детей и детей коренных народов, в решении всех касающихся их вопросов в рамках семьи, в школах, общинах и средствах массовой информации, а также уделять должное внимание их мнениям;</w:t>
      </w:r>
    </w:p>
    <w:p w14:paraId="1541C19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 xml:space="preserve">обеспечить, чтобы в ходе судебных и административных разбирательств показания детей заслушивались в дружественной для них манере, а их мнение учитывалось в соответствии с их возрастом и зрелостью, и </w:t>
      </w:r>
      <w:r w:rsidRPr="00C40D09">
        <w:rPr>
          <w:b/>
          <w:bCs/>
        </w:rPr>
        <w:lastRenderedPageBreak/>
        <w:t>установить процедуры и организовать обучение судей, социальных работников и всех других соответствующих специалистов;</w:t>
      </w:r>
    </w:p>
    <w:p w14:paraId="16AB7C6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обратиться к ЮНИСЕФ за помощью в разработке учебных программ и материалов для всех специалистов, работающих с детьми или в их интересах.</w:t>
      </w:r>
    </w:p>
    <w:p w14:paraId="4BCFE251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012A1D0A" w14:textId="77777777" w:rsidR="004120B4" w:rsidRPr="00741208" w:rsidRDefault="004120B4" w:rsidP="004120B4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расследовать все случаи убийства детей, в частности безнадзорных детей и детей из числа коренных народов, а также привлечь виновных к уголовной ответственности и предать их суду.</w:t>
      </w:r>
    </w:p>
    <w:p w14:paraId="47A8B36B" w14:textId="716A32B1" w:rsidR="004120B4" w:rsidRPr="00741208" w:rsidRDefault="00C40D09" w:rsidP="004120B4">
      <w:pPr>
        <w:pStyle w:val="H1G"/>
      </w:pPr>
      <w:r>
        <w:rPr>
          <w:bCs/>
        </w:rPr>
        <w:tab/>
      </w:r>
      <w:r w:rsidR="004120B4">
        <w:rPr>
          <w:bCs/>
        </w:rPr>
        <w:t>C.</w:t>
      </w:r>
      <w:r w:rsidR="004120B4">
        <w:tab/>
      </w:r>
      <w:r w:rsidR="004120B4">
        <w:rPr>
          <w:bCs/>
        </w:rPr>
        <w:t>Гражданские и политические права (статьи 7, 8 и 13–17)</w:t>
      </w:r>
    </w:p>
    <w:p w14:paraId="2DF7DED9" w14:textId="77777777" w:rsidR="004120B4" w:rsidRPr="00741208" w:rsidRDefault="004120B4" w:rsidP="004120B4">
      <w:pPr>
        <w:pStyle w:val="H23G"/>
        <w:rPr>
          <w:i/>
        </w:rPr>
      </w:pPr>
      <w:r>
        <w:tab/>
      </w:r>
      <w:r>
        <w:tab/>
      </w:r>
      <w:r>
        <w:rPr>
          <w:bCs/>
        </w:rPr>
        <w:t>Регистрация рождения</w:t>
      </w:r>
    </w:p>
    <w:p w14:paraId="192CFB02" w14:textId="37BF3EE5" w:rsidR="004120B4" w:rsidRPr="00741208" w:rsidRDefault="004120B4" w:rsidP="004120B4">
      <w:pPr>
        <w:pStyle w:val="SingleTxtG"/>
      </w:pPr>
      <w:r>
        <w:t>20.</w:t>
      </w:r>
      <w:r>
        <w:tab/>
        <w:t>Комитет с одобрением отмечает Указ № 2022-308 от 13 июня 2022 года об утверждении национальной политики по реформированию и модернизации системы учета гражданского состояния в Конго (2022</w:t>
      </w:r>
      <w:r>
        <w:rPr>
          <w:bCs/>
        </w:rPr>
        <w:t>–</w:t>
      </w:r>
      <w:r>
        <w:t>2026 годы), а также проект сотрудничества государства-участника с Африканским банком развития по внедрению Национальной системы цифровой идентификации. Тем не менее Комитет</w:t>
      </w:r>
      <w:r w:rsidR="00182D0C">
        <w:br/>
      </w:r>
      <w:r>
        <w:t xml:space="preserve">по-прежнему испытывает серьезную озабоченность по поводу того, что количество незарегистрированных детей все еще остается высоким, а также по поводу существования практики взимания неофициальной платы за позднюю регистрацию рождений, наличия недостаточного количества отделов регистрации актов гражданского состояния в удаленных районах и недостаточного уровня понимания важности регистрации. Он также с обеспокоенностью отмечает, что ограничение регистрации рождений сроком в один месяц ведет к созданию дополнительных трудностей и увеличению расходов для семей. </w:t>
      </w:r>
    </w:p>
    <w:p w14:paraId="6DA63CD6" w14:textId="77777777" w:rsidR="004120B4" w:rsidRPr="00741208" w:rsidRDefault="004120B4" w:rsidP="004120B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1D78D80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отменить все сборы за регистрацию рождений и обеспечить, чтобы все дети, включая детей представителей коренных народов и детей, родители которых не состоят в браке, должным образом регистрировались при рождении, в том числе путем повышения уровня осведомленности населения о процедуре получения свидетельства о рождении и его бесплатной выдаче, а также путем целенаправленной работы с персоналом служб регистрации актов гражданского состояния;</w:t>
      </w:r>
    </w:p>
    <w:p w14:paraId="400448C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увеличить срок регистрации рождения, в настоящее время составляющий один месяц, чтобы предоставить семьям больше времени для регистрации рождений, с тем чтобы обеспечить доступ детей, не имеющих свидетельства о рождении, к образованию и всем другим основным социальным услугам, а также рассмотреть возможность внедрения практики «регистрации задним числом» через школы;</w:t>
      </w:r>
    </w:p>
    <w:p w14:paraId="7F69CC8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выделить достаточное финансирование и ресурсы для обеспечения эффективной реализации создания вспомогательных центров регистрации актов гражданского состояния в медицинских учреждениях.</w:t>
      </w:r>
    </w:p>
    <w:p w14:paraId="18D7E150" w14:textId="3A37FB0A" w:rsidR="004120B4" w:rsidRPr="00182D0C" w:rsidRDefault="004120B4" w:rsidP="00182D0C">
      <w:pPr>
        <w:pStyle w:val="H1G"/>
      </w:pPr>
      <w:r w:rsidRPr="00182D0C">
        <w:lastRenderedPageBreak/>
        <w:tab/>
        <w:t>D.</w:t>
      </w:r>
      <w:r w:rsidRPr="00182D0C">
        <w:tab/>
        <w:t>Насилие в отношении детей (статья 19, пункт 3 статьи 24, пункт 2 статьи 28, статьи 34, 35, пункт a) статьи 37 и статья 39 Конвенции и Факультативного протокола, касающегося торговли детьми, детской проституции и детской порнографии)</w:t>
      </w:r>
    </w:p>
    <w:p w14:paraId="2CEB6932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5E2F604E" w14:textId="77777777" w:rsidR="004120B4" w:rsidRPr="00741208" w:rsidRDefault="004120B4" w:rsidP="004120B4">
      <w:pPr>
        <w:pStyle w:val="SingleTxtG"/>
      </w:pPr>
      <w:r>
        <w:t>22.</w:t>
      </w:r>
      <w:r>
        <w:tab/>
        <w:t>Комитет выражает серьезную обеспокоенность по поводу:</w:t>
      </w:r>
    </w:p>
    <w:p w14:paraId="5A8E7291" w14:textId="77777777" w:rsidR="004120B4" w:rsidRPr="00741208" w:rsidRDefault="004120B4" w:rsidP="004120B4">
      <w:pPr>
        <w:pStyle w:val="SingleTxtG"/>
      </w:pPr>
      <w:r>
        <w:tab/>
        <w:t>a)</w:t>
      </w:r>
      <w:r>
        <w:tab/>
        <w:t>сообщений о том, что дети, преимущественно безнадзорные дети, подвергаются угрозам, произвольным арестам и жестокому обращению после лишения свободы;</w:t>
      </w:r>
    </w:p>
    <w:p w14:paraId="25CE0389" w14:textId="77777777" w:rsidR="004120B4" w:rsidRPr="00741208" w:rsidRDefault="004120B4" w:rsidP="004120B4">
      <w:pPr>
        <w:pStyle w:val="SingleTxtG"/>
      </w:pPr>
      <w:r>
        <w:tab/>
        <w:t>b)</w:t>
      </w:r>
      <w:r>
        <w:tab/>
        <w:t>сообщений о низком уровне осведомленности сотрудников правоохранительных органов о Законе № 04-2010 от 14 июня 2010 года, который, среди прочего, предусматривает уголовную ответственность за телесные наказания, и о том, что в результате телесные наказания стали нормальной практикой в деятельности правоохранительных органов;</w:t>
      </w:r>
    </w:p>
    <w:p w14:paraId="6B6A76F5" w14:textId="77777777" w:rsidR="004120B4" w:rsidRPr="00741208" w:rsidRDefault="004120B4" w:rsidP="004120B4">
      <w:pPr>
        <w:pStyle w:val="SingleTxtG"/>
      </w:pPr>
      <w:r>
        <w:tab/>
        <w:t>c)</w:t>
      </w:r>
      <w:r>
        <w:tab/>
        <w:t xml:space="preserve">отсутствия определения пыток как отдельного преступления в Уголовном кодексе. </w:t>
      </w:r>
    </w:p>
    <w:p w14:paraId="6E628D30" w14:textId="77777777" w:rsidR="004120B4" w:rsidRPr="00741208" w:rsidRDefault="004120B4" w:rsidP="004120B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 13 (2011) о праве ребенка на свободу от всех форм насилия и на задачу 16.2 целей в области устойчивого развития, Комитет настоятельно призывает государство-участник:</w:t>
      </w:r>
    </w:p>
    <w:p w14:paraId="55CF51C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обеспечить надлежащее расследование заявлений о пытках или жестоком, бесчеловечном или унижающем достоинство обращении или наказании детей, соразмерное содеянному наказание виновных и предоставление соответствующих средств правовой защиты пострадавшим детям; </w:t>
      </w:r>
    </w:p>
    <w:p w14:paraId="0D80924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расширить и повысить эффективность обучения сотрудников правоохранительных органов по вопросам применения нормативно-правовой базы, регулирующей деятельность полиции;</w:t>
      </w:r>
    </w:p>
    <w:p w14:paraId="1877E7D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 xml:space="preserve">предусмотреть в Уголовном кодексе уголовную ответственность за пытки как отдельное преступление и обеспечить соблюдение запрета на применение пыток; </w:t>
      </w:r>
    </w:p>
    <w:p w14:paraId="4B04D76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создать независимый механизм надзора для мониторинга мест заключения, где могут содержаться дети, и обеспечить доступ детей к конфиденциальным, учитывающим интересы детей и независимым механизмам подачи жалоб, а также предоставить ему надлежащие кадровые, технические и финансовые ресурсы.</w:t>
      </w:r>
    </w:p>
    <w:p w14:paraId="13C75C4A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622C3143" w14:textId="77777777" w:rsidR="004120B4" w:rsidRPr="00741208" w:rsidRDefault="004120B4" w:rsidP="004120B4">
      <w:pPr>
        <w:pStyle w:val="SingleTxtG"/>
      </w:pPr>
      <w:r>
        <w:t>24.</w:t>
      </w:r>
      <w:r>
        <w:tab/>
        <w:t xml:space="preserve">Отмечая компонент Национального плана социальных действий, касающийся повышения осведомленности семей и школ, Комитет по-прежнему выражает глубокую обеспокоенность в связи с тем, что телесные наказания остаются социально приемлемой и широко распространенной практикой в государстве-участнике, несмотря на ее прямое запрещение в законе. Комитет также выражает обеспокоенность в связи с отсутствием конкретного прогресса в принятии подзаконных актов для осуществления Закона о защите детей. </w:t>
      </w:r>
    </w:p>
    <w:p w14:paraId="546AC1E3" w14:textId="77777777" w:rsidR="004120B4" w:rsidRPr="00741208" w:rsidRDefault="004120B4" w:rsidP="004120B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 8 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1E9D068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обеспечить надлежащее соблюдение запрета на телесные наказания при любых обстоятельствах, в том числе путем немедленного принятия соответствующих подзаконных актов, и надлежащее расследование случаев нарушений; </w:t>
      </w:r>
    </w:p>
    <w:p w14:paraId="0910DD9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lastRenderedPageBreak/>
        <w:tab/>
        <w:t>b)</w:t>
      </w:r>
      <w:r w:rsidRPr="00C40D09">
        <w:rPr>
          <w:b/>
          <w:bCs/>
        </w:rPr>
        <w:tab/>
        <w:t>активизировать и расширить текущие усилия по повышению уровня осведомленности родителей, учителей, специалистов, работающих с детьми и в их интересах, и населения в целом о вреде телесных наказаний и поощрять позитивные, ненасильственные и основанные на участии детей методы воспитания и поддержания дисциплины;</w:t>
      </w:r>
    </w:p>
    <w:p w14:paraId="67127EB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 xml:space="preserve">немедленно принять соответствующие подзаконные акты для реализации Закона о защите детей. </w:t>
      </w:r>
    </w:p>
    <w:p w14:paraId="4B94128A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Право ребенка на свободу от всех форм насилия</w:t>
      </w:r>
      <w:r>
        <w:t xml:space="preserve"> </w:t>
      </w:r>
    </w:p>
    <w:p w14:paraId="0A980CBB" w14:textId="77777777" w:rsidR="004120B4" w:rsidRPr="00741208" w:rsidRDefault="004120B4" w:rsidP="004120B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 13 (2011) о праве ребенка на свободу от всех форм насилия и принимая во внимание задачи 5.2, 16.1 и 16.2 целей в области устойчивого развития, Комитет рекомендует государству-участнику:</w:t>
      </w:r>
    </w:p>
    <w:p w14:paraId="062D182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разработать всеобъемлющую национальную стратегию и координационный механизм по предупреждению и пресечению всех форм насилия в отношении детей, в том числе гендерных аспектов насилия;</w:t>
      </w:r>
    </w:p>
    <w:p w14:paraId="0B058A09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создать инфраструктуру защиты детей, позволяющую проводить расследования и сообщать обо всех формах насилия в отношении детей, включая сексуальные надругательства над детьми;</w:t>
      </w:r>
    </w:p>
    <w:p w14:paraId="6E8D2F4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ввести в действие доступные, конфиденциальные и дружественные к ребенку механизмы в целях облегчения и поощрения передачи обязательных сообщений о насилии в отношении детей, в том числе о сексуальном насилии;</w:t>
      </w:r>
    </w:p>
    <w:p w14:paraId="395B462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принять меры по дальнейшему расширению информационно-просветительских и образовательных программ, включая проведение кампаний с привлечением детей, в целях выявления случаев насилия в отношении детей и сообщения о них;</w:t>
      </w:r>
    </w:p>
    <w:p w14:paraId="7D9F292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 xml:space="preserve">поощрять проведение на уровне общин и семей программ, направленных на предупреждение насилия в семье, жестокого обращения с детьми и детской безнадзорности и борьбы с этими явлениями, в том числе путем привлечения к их выполнению бывших жертв, добровольцев и членов общин, и организовывать для них надлежащую подготовку; </w:t>
      </w:r>
    </w:p>
    <w:p w14:paraId="5DFA6E9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f)</w:t>
      </w:r>
      <w:r w:rsidRPr="00C40D09">
        <w:rPr>
          <w:b/>
          <w:bCs/>
        </w:rPr>
        <w:tab/>
        <w:t>создать национальную базу конфиденциальных данных обо всех случаях домашнего насилия в отношении детей и провести всестороннюю оценку масштабов, причин и характера такого насилия;</w:t>
      </w:r>
    </w:p>
    <w:p w14:paraId="6B729F1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g)</w:t>
      </w:r>
      <w:r w:rsidRPr="00C40D09">
        <w:rPr>
          <w:b/>
          <w:bCs/>
        </w:rPr>
        <w:tab/>
        <w:t>обеспечить выделение надлежащих людских, технических и финансовых ресурсов Обсерватории детей, находящихся под угрозой, с тем чтобы она могла реализовывать долгосрочные программы по устранению коренных причин насилия и жестокого обращения.</w:t>
      </w:r>
    </w:p>
    <w:p w14:paraId="274EA461" w14:textId="77777777" w:rsidR="004120B4" w:rsidRPr="00741208" w:rsidRDefault="004120B4" w:rsidP="004120B4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настоятельно призывает государство-участник обеспечить независимое, незамедлительное и тщательное расследование любых утверждений о совершении преступлений, связанных с гендерным и сексуальным насилием, и привлечение виновных к ответственности.</w:t>
      </w:r>
      <w:r>
        <w:t xml:space="preserve"> </w:t>
      </w:r>
      <w:r>
        <w:rPr>
          <w:b/>
          <w:bCs/>
        </w:rPr>
        <w:t>Государству-участнику следует проводить регулярную и всеобъемлющую подготовку судей, адвокатов, прокуроров, сотрудников полиции и представителей других соответствующих профессиональных групп по учитывающим гендерную и детскую специфику стандартным процедурам работы с детьми-жертвами, а также по вопросам негативного воздействия сложившихся в судебной системе гендерных стереотипов на соблюдение закона.</w:t>
      </w:r>
      <w:r>
        <w:t xml:space="preserve"> </w:t>
      </w:r>
    </w:p>
    <w:p w14:paraId="0F04E180" w14:textId="77777777" w:rsidR="004120B4" w:rsidRPr="00741208" w:rsidRDefault="004120B4" w:rsidP="004120B4">
      <w:pPr>
        <w:pStyle w:val="H23G"/>
      </w:pPr>
      <w:r>
        <w:tab/>
      </w:r>
      <w:r>
        <w:tab/>
      </w:r>
      <w:r w:rsidRPr="00DC35FB">
        <w:rPr>
          <w:bCs/>
        </w:rPr>
        <w:t>Реабилитаци</w:t>
      </w:r>
      <w:r>
        <w:rPr>
          <w:bCs/>
        </w:rPr>
        <w:t>я и реинтеграция</w:t>
      </w:r>
    </w:p>
    <w:p w14:paraId="494BB12F" w14:textId="77777777" w:rsidR="004120B4" w:rsidRPr="00741208" w:rsidRDefault="004120B4" w:rsidP="004120B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Комитет рекомендует государству-участнику обеспечить разработку программ и политики по предотвращению насилия, реабилитации и социальной реинтеграции детей-жертв, а также обеспечить предоставление всем детям, ставшим жертвами насилия, доступа к физической и психологической </w:t>
      </w:r>
      <w:r>
        <w:rPr>
          <w:b/>
          <w:bCs/>
        </w:rPr>
        <w:lastRenderedPageBreak/>
        <w:t>реабилитации и социальной реинтеграции, а также к компенсации, с должным учетом обязательств, закрепленных в статье 39 Конвенции.</w:t>
      </w:r>
    </w:p>
    <w:p w14:paraId="77D92F10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61EF7498" w14:textId="77777777" w:rsidR="004120B4" w:rsidRPr="00741208" w:rsidRDefault="004120B4" w:rsidP="004120B4">
      <w:pPr>
        <w:pStyle w:val="SingleTxtG"/>
      </w:pPr>
      <w:r>
        <w:t>29.</w:t>
      </w:r>
      <w:r>
        <w:tab/>
        <w:t xml:space="preserve">Несмотря на существование законодательных положений, запрещающих вредные обычаи и традиции, Комитет отмечает сохранение следующих видов практики: </w:t>
      </w:r>
    </w:p>
    <w:p w14:paraId="3A58C7C2" w14:textId="77777777" w:rsidR="004120B4" w:rsidRPr="00741208" w:rsidRDefault="004120B4" w:rsidP="004120B4">
      <w:pPr>
        <w:pStyle w:val="SingleTxtG"/>
      </w:pPr>
      <w:r>
        <w:tab/>
        <w:t>a)</w:t>
      </w:r>
      <w:r>
        <w:tab/>
        <w:t>детские браки, которые остаются общепринятой практикой и не полностью запрещены законом, поскольку прокурор может делать исключения;</w:t>
      </w:r>
    </w:p>
    <w:p w14:paraId="7AF41D76" w14:textId="77777777" w:rsidR="004120B4" w:rsidRPr="00741208" w:rsidRDefault="004120B4" w:rsidP="004120B4">
      <w:pPr>
        <w:pStyle w:val="SingleTxtG"/>
      </w:pPr>
      <w:r>
        <w:tab/>
        <w:t>b)</w:t>
      </w:r>
      <w:r>
        <w:tab/>
        <w:t>калечащие операции на женских половых органах, распространенные в некоторых западноафриканских общинах, проживающих в государстве-участнике, а также практикуемые в смешанных браках;</w:t>
      </w:r>
    </w:p>
    <w:p w14:paraId="021B3CB8" w14:textId="77777777" w:rsidR="004120B4" w:rsidRPr="00741208" w:rsidRDefault="004120B4" w:rsidP="004120B4">
      <w:pPr>
        <w:pStyle w:val="SingleTxtG"/>
      </w:pPr>
      <w:r>
        <w:tab/>
        <w:t>c)</w:t>
      </w:r>
      <w:r>
        <w:tab/>
        <w:t xml:space="preserve">нанесение физических знаков для идентификации племени, включая клеймение; </w:t>
      </w:r>
    </w:p>
    <w:p w14:paraId="69F51444" w14:textId="77777777" w:rsidR="004120B4" w:rsidRPr="00741208" w:rsidRDefault="004120B4" w:rsidP="004120B4">
      <w:pPr>
        <w:pStyle w:val="SingleTxtG"/>
      </w:pPr>
      <w:r>
        <w:tab/>
        <w:t>d)</w:t>
      </w:r>
      <w:r>
        <w:tab/>
        <w:t xml:space="preserve">практика изменения тела и ограничения в питании для беременных девушек. </w:t>
      </w:r>
    </w:p>
    <w:p w14:paraId="7A176219" w14:textId="14CE1784" w:rsidR="004120B4" w:rsidRPr="00741208" w:rsidRDefault="004120B4" w:rsidP="004120B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совместную общую рекомендацию № 31 Комитета по ликвидации дискриминации в отношении женщин/замечание общего порядка</w:t>
      </w:r>
      <w:r w:rsidR="00C40D09">
        <w:rPr>
          <w:b/>
          <w:bCs/>
        </w:rPr>
        <w:t> </w:t>
      </w:r>
      <w:r>
        <w:rPr>
          <w:b/>
          <w:bCs/>
        </w:rPr>
        <w:t>№ 18 Комитета по правам ребенка (2019) по вредной практике и предыдущие рекомендации Комитета</w:t>
      </w:r>
      <w:r w:rsidRPr="008B2A31">
        <w:rPr>
          <w:rStyle w:val="aa"/>
        </w:rPr>
        <w:footnoteReference w:id="11"/>
      </w:r>
      <w:r>
        <w:rPr>
          <w:b/>
          <w:bCs/>
        </w:rPr>
        <w:t xml:space="preserve"> и принимая во внимание задачу 5.3 целей в области устойчивого развития, Комитет рекомендует государству-участнику:</w:t>
      </w:r>
    </w:p>
    <w:p w14:paraId="6E1B516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установить для мальчиков и девочек минимальный возраст вступления в брак в 18 лет без исключений и разработать для домохозяйств, местных органов власти, племенных и религиозных лидеров, судей и прокуроров информационно-просветительские кампании и программы, посвященные пагубным последствиям детских браков для физического и психического здоровья и благополучия девочек;</w:t>
      </w:r>
    </w:p>
    <w:p w14:paraId="290F44E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разработать механизмы защиты жертв детских браков;</w:t>
      </w:r>
    </w:p>
    <w:p w14:paraId="49D3DD7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принимать активные меры по искоренению пагубных для детей видов практики в государстве-участнике, включая калечащие операции на женских половых органах, нанесение физических знаков, практику изменения тела и навязанные ограничения в питании.</w:t>
      </w:r>
    </w:p>
    <w:p w14:paraId="5FE4D063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  <w:r>
        <w:t xml:space="preserve"> </w:t>
      </w:r>
    </w:p>
    <w:p w14:paraId="681B46D8" w14:textId="77777777" w:rsidR="004120B4" w:rsidRPr="00741208" w:rsidRDefault="004120B4" w:rsidP="004120B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торговли детьми, детской проституции и детской порнографии, учитывая, что соответствующий доклад просрочен с 27 ноября 2011 года.</w:t>
      </w:r>
    </w:p>
    <w:p w14:paraId="7979C759" w14:textId="77777777" w:rsidR="004120B4" w:rsidRPr="00741208" w:rsidRDefault="004120B4" w:rsidP="004120B4">
      <w:pPr>
        <w:pStyle w:val="H1G"/>
      </w:pPr>
      <w:r w:rsidRPr="00D94C44"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>Семейное окружение и альтернативный уход (статьи 5, 9–11, пункты 1 и 2 статьи 18, статьи 20, 21, 25 и пункт 4 статьи 27)</w:t>
      </w:r>
    </w:p>
    <w:p w14:paraId="4FE19D56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D5DDDC3" w14:textId="77777777" w:rsidR="004120B4" w:rsidRPr="00741208" w:rsidRDefault="004120B4" w:rsidP="004120B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</w:t>
      </w:r>
      <w:r w:rsidRPr="008B2A31">
        <w:rPr>
          <w:rStyle w:val="aa"/>
        </w:rPr>
        <w:footnoteReference w:id="12"/>
      </w:r>
      <w:r>
        <w:rPr>
          <w:b/>
          <w:bCs/>
        </w:rPr>
        <w:t>, Комитет вновь заявляет о проблемах, вызывающих его обеспокоенность</w:t>
      </w:r>
      <w:r w:rsidRPr="008B2A31">
        <w:rPr>
          <w:rStyle w:val="aa"/>
        </w:rPr>
        <w:footnoteReference w:id="13"/>
      </w:r>
      <w:r>
        <w:t>,</w:t>
      </w:r>
      <w:r>
        <w:rPr>
          <w:b/>
          <w:bCs/>
        </w:rPr>
        <w:t xml:space="preserve"> и рекомендует государству-участнику:</w:t>
      </w:r>
    </w:p>
    <w:p w14:paraId="35113C6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lastRenderedPageBreak/>
        <w:tab/>
        <w:t>a)</w:t>
      </w:r>
      <w:r w:rsidRPr="00C40D09">
        <w:rPr>
          <w:b/>
          <w:bCs/>
        </w:rPr>
        <w:tab/>
        <w:t>ускорить принятие проекта Семейного кодекса и обеспечить его соответствие Конвенции;</w:t>
      </w:r>
    </w:p>
    <w:p w14:paraId="714849C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реализовать Национальную политику комплексного развития детей младшего возраста в целях оказания семьям поддержки путем применения мер раннего вмешательства для предотвращения помещения детей на воспитание вне дома, уделяя особое внимание практике отказа от детей по экономическим причинам и поощрению родителями своих детей к работе в безнадзорных условиях;</w:t>
      </w:r>
    </w:p>
    <w:p w14:paraId="7D44821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обеспечить применение надлежащих гарантий и четких критериев, в основу которых положены потребности, а также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483F5172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сократить число детей, воспитывающихся в детских учреждениях и детских приютах, и увеличить число вариантов ухода за детьми в общинах и семьях, опираясь на результаты оценки применения пробной программы передачи детей на воспитание в приемные семьи;</w:t>
      </w:r>
    </w:p>
    <w:p w14:paraId="402458F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>установить стандарты качества для всех учреждений альтернативного ухода, в частности для частных детских учреждений, обеспечить проведение периодических проверок мест размещения детей и обеспечить и контролировать качество ухода в них, в том числе путем предоставления доступных каналов для сообщения о нарушениях и устранения последствий жестокого обращения с детьми;</w:t>
      </w:r>
    </w:p>
    <w:p w14:paraId="4D7580F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f)</w:t>
      </w:r>
      <w:r w:rsidRPr="00C40D09">
        <w:rPr>
          <w:b/>
          <w:bCs/>
        </w:rPr>
        <w:tab/>
        <w:t>продолжать увеличивать число и постоянно повышать квалификацию социальных работников на центральном и муниципальном уровнях, а также обеспечивать предоставление им надлежащих социальных гарантий.</w:t>
      </w:r>
    </w:p>
    <w:p w14:paraId="2FE1C5B9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  <w:r>
        <w:t xml:space="preserve"> </w:t>
      </w:r>
    </w:p>
    <w:p w14:paraId="036B07F4" w14:textId="77777777" w:rsidR="004120B4" w:rsidRPr="00741208" w:rsidRDefault="004120B4" w:rsidP="004120B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защищать и обеспечивать права на свидания детей, чьи родители находятся в заключении, в том числе путем увеличения частоты и продолжительности свиданий и предоставления адекватных и удобных для детей помещений для встреч.</w:t>
      </w:r>
    </w:p>
    <w:p w14:paraId="3C1CC287" w14:textId="77777777" w:rsidR="004120B4" w:rsidRPr="00741208" w:rsidRDefault="004120B4" w:rsidP="004120B4">
      <w:pPr>
        <w:pStyle w:val="H1G"/>
      </w:pPr>
      <w:r w:rsidRPr="00D94C44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 с инвалидностью (статья 23)</w:t>
      </w:r>
    </w:p>
    <w:p w14:paraId="365F994C" w14:textId="77777777" w:rsidR="004120B4" w:rsidRPr="00741208" w:rsidRDefault="004120B4" w:rsidP="004120B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С одобрением отмечая ратификацию государством-участником Конвенции о правах инвалидов и Факультативного протокола к ней в 2014 году, Комитет ссылается на свое замечание общего порядка № 9 (2006) о правах детей-инвалидов и настоятельно призывает государство-участник придерживаться правозащитного подхода к проблеме инвалидности, разработать комплексную стратегию по интеграции детей с инвалидностью и:</w:t>
      </w:r>
    </w:p>
    <w:p w14:paraId="0C88D3C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привести все соответствующее национальное законодательство в соответствие с правозащитной моделью инвалидности и быстро обеспечить его соблюдение;</w:t>
      </w:r>
    </w:p>
    <w:p w14:paraId="7832151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укреплять бюджет и политику социальной интеграции детей с инвалидностью, в том числе путем поддержки их семей, развития доступных реабилитационных услуг и предоставления вспомогательных устройств;</w:t>
      </w:r>
    </w:p>
    <w:p w14:paraId="3461223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 xml:space="preserve">проводить информационно-разъяснительные кампании для должностных лиц государственных органов, представителей общественности и семей в целях борьбы со стигматизацией детей с инвалидностью, особенно детей с интеллектуальными или психосоциальными ограниченными возможностями и детей с альбинизмом, и предвзятым отношением к ним и поощрять позитивные представления о детях с инвалидностью как о носителях прав. </w:t>
      </w:r>
    </w:p>
    <w:p w14:paraId="0D69D393" w14:textId="77777777" w:rsidR="004120B4" w:rsidRPr="00741208" w:rsidRDefault="004120B4" w:rsidP="004120B4">
      <w:pPr>
        <w:pStyle w:val="H1G"/>
      </w:pPr>
      <w:r w:rsidRPr="00F73834">
        <w:rPr>
          <w:bCs/>
        </w:rPr>
        <w:lastRenderedPageBreak/>
        <w:tab/>
      </w:r>
      <w:r>
        <w:rPr>
          <w:bCs/>
        </w:rPr>
        <w:t>G.</w:t>
      </w:r>
      <w:r>
        <w:tab/>
      </w:r>
      <w:r>
        <w:rPr>
          <w:bCs/>
        </w:rPr>
        <w:t>Здоровье (статьи 6, 24 и 33)</w:t>
      </w:r>
    </w:p>
    <w:p w14:paraId="2FE66819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</w:p>
    <w:p w14:paraId="35345BAD" w14:textId="77777777" w:rsidR="004120B4" w:rsidRPr="00741208" w:rsidRDefault="004120B4" w:rsidP="004120B4">
      <w:pPr>
        <w:pStyle w:val="SingleTxtG"/>
      </w:pPr>
      <w:r>
        <w:t>35.</w:t>
      </w:r>
      <w:r>
        <w:tab/>
        <w:t>Комитет с одобрением отмечает Стратегический план государства-участника по охране репродуктивного здоровья, здоровья матерей, новорожденных, детей и подростков на 2018</w:t>
      </w:r>
      <w:r>
        <w:rPr>
          <w:bCs/>
        </w:rPr>
        <w:t>–</w:t>
      </w:r>
      <w:r>
        <w:t>2022 годы, но выражает сожаление по поводу отсутствия конкретной информации о его реализации и результатах. Кроме того, Комитет выражает обеспокоенность по поводу:</w:t>
      </w:r>
    </w:p>
    <w:p w14:paraId="34ADD876" w14:textId="77777777" w:rsidR="004120B4" w:rsidRPr="00741208" w:rsidRDefault="004120B4" w:rsidP="004120B4">
      <w:pPr>
        <w:pStyle w:val="SingleTxtG"/>
      </w:pPr>
      <w:r>
        <w:tab/>
        <w:t>a)</w:t>
      </w:r>
      <w:r>
        <w:tab/>
        <w:t xml:space="preserve">высоких показателей неонатальной смертности, перинатальной смертности и мертворождения; </w:t>
      </w:r>
    </w:p>
    <w:p w14:paraId="0C55EDD4" w14:textId="77777777" w:rsidR="004120B4" w:rsidRPr="00741208" w:rsidRDefault="004120B4" w:rsidP="004120B4">
      <w:pPr>
        <w:pStyle w:val="SingleTxtG"/>
      </w:pPr>
      <w:r>
        <w:tab/>
        <w:t>b)</w:t>
      </w:r>
      <w:r>
        <w:tab/>
        <w:t xml:space="preserve">высоких показателей смертности детей в возрасте до 5 лет от предотвратимых заболеваний и состояний, таких как пневмония, малярия, диарея, анемия и недостаточность питания; </w:t>
      </w:r>
    </w:p>
    <w:p w14:paraId="57919204" w14:textId="77777777" w:rsidR="004120B4" w:rsidRPr="00741208" w:rsidRDefault="004120B4" w:rsidP="004120B4">
      <w:pPr>
        <w:pStyle w:val="SingleTxtG"/>
      </w:pPr>
      <w:r>
        <w:tab/>
        <w:t>c)</w:t>
      </w:r>
      <w:r>
        <w:tab/>
        <w:t xml:space="preserve">высоких показателей гипотрофии, включая низкорослость, дефицит питательных микроэлементов недоедания и неполноценное питание среди девочек-подростков; </w:t>
      </w:r>
    </w:p>
    <w:p w14:paraId="069B7F8B" w14:textId="77777777" w:rsidR="004120B4" w:rsidRPr="00741208" w:rsidRDefault="004120B4" w:rsidP="004120B4">
      <w:pPr>
        <w:pStyle w:val="SingleTxtG"/>
      </w:pPr>
      <w:r>
        <w:tab/>
        <w:t>d)</w:t>
      </w:r>
      <w:r>
        <w:tab/>
        <w:t xml:space="preserve">ненадежного обеспечения основными лекарственными средствами и вакцинами; </w:t>
      </w:r>
    </w:p>
    <w:p w14:paraId="1678B40B" w14:textId="77777777" w:rsidR="004120B4" w:rsidRPr="00741208" w:rsidRDefault="004120B4" w:rsidP="004120B4">
      <w:pPr>
        <w:pStyle w:val="SingleTxtG"/>
      </w:pPr>
      <w:r>
        <w:tab/>
        <w:t>e)</w:t>
      </w:r>
      <w:r>
        <w:tab/>
        <w:t xml:space="preserve">нехватки квалифицированного персонала и учреждений неотложной акушерской и неонатальной помощи, особенно в сельской местности, а также низкого качества услуг и инфраструктуры в сфере базового медицинского обслуживания для детей. </w:t>
      </w:r>
    </w:p>
    <w:p w14:paraId="2F9FB47B" w14:textId="77777777" w:rsidR="004120B4" w:rsidRPr="00741208" w:rsidRDefault="004120B4" w:rsidP="004120B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 15 (2013) о праве ребенка на пользование наиболее совершенными услугами системы здравоохранения и принимая во внимание задачи 2.2, 3.1, 3.2 и 3.8 целей в области устойчивого развития, Комитет рекомендует государству-участнику обратиться за финансовым и техническим содействием, среди прочих учреждений, к ЮНИСЕФ и Всемирной организации здравоохранения, с тем чтобы принять следующие меры:</w:t>
      </w:r>
    </w:p>
    <w:p w14:paraId="1CDBAC2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выявить коренные причины неонатальной и перинатальной смертности и мертворождения, а также разработать основанные на фактических данных и обеспеченные достаточными ресурсами программы комплексных мероприятий по охране здоровья новорожденных и ранней медицинской помощи;</w:t>
      </w:r>
    </w:p>
    <w:p w14:paraId="3268030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осуществлять и применять политику и программы, направленные на сокращение и исключение предотвратимой смертности и заболеваемости среди детей в возрасте до 5 лет; </w:t>
      </w:r>
    </w:p>
    <w:p w14:paraId="5B47DEA1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 xml:space="preserve">активизировать усилия по профилактике гипотрофии, низкорослости у детей и их неполноценного питания, в частности путем распространения практики надлежащего кормления младенцев и детей младшего возраста, предоставления пищевых добавок и активизации работы по повышению уровня осведомленности населения о правильном питании; </w:t>
      </w:r>
    </w:p>
    <w:p w14:paraId="6F34B93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 xml:space="preserve">предпринять все необходимые шаги для поощрения исключительно грудного вскармливания, по крайней мере в течение шести месяцев, в том числе обеспечив наличие соответствующих руководящих указаний и мер по поощрению грудного вскармливания среди ВИЧ-инфицированных матерей, а также регулировать рекламу заменителей грудного молока; </w:t>
      </w:r>
    </w:p>
    <w:p w14:paraId="54B1DD4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 xml:space="preserve">выделить достаточное целевое финансирование на закупку и распределение лекарственных средств и вакцин; </w:t>
      </w:r>
    </w:p>
    <w:p w14:paraId="4681C6A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f)</w:t>
      </w:r>
      <w:r w:rsidRPr="00C40D09">
        <w:rPr>
          <w:b/>
          <w:bCs/>
        </w:rPr>
        <w:tab/>
        <w:t xml:space="preserve">обеспечить, чтобы услуги по оказанию первичной медико-санитарной помощи были доступными и недорогими, в том числе путем подготовки медицинского персонала в сельских районах, для обеспечения того, </w:t>
      </w:r>
      <w:r w:rsidRPr="00C40D09">
        <w:rPr>
          <w:b/>
          <w:bCs/>
        </w:rPr>
        <w:lastRenderedPageBreak/>
        <w:t xml:space="preserve">чтобы все дети, живущие в условиях нищеты, могли получать бесплатное медицинское обслуживание. </w:t>
      </w:r>
    </w:p>
    <w:p w14:paraId="7BAFC04C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  <w:r>
        <w:t xml:space="preserve"> </w:t>
      </w:r>
    </w:p>
    <w:p w14:paraId="20712191" w14:textId="77777777" w:rsidR="004120B4" w:rsidRPr="00741208" w:rsidRDefault="004120B4" w:rsidP="004120B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Принимая во внимание задачу 3.4 целей в области устойчивого развития, Комитет рекомендует государству-участнику осуществлять сбор данных о проблемах психического здоровья, включая самоубийства, среди детей и подростков, разрабатывать и внедрять политику и стратегию в области охраны психического здоровья, уделяя особое внимание вопросам профилактики, развитию амбулаторных услуг и решению возникающих проблем психического здоровья у детей и подростков, а также обеспечивать предоставление услуг и программ в области психического здоровья и поощрять детей и подростков обращаться за услугами в области психического здоровья без связанной с этим стигматизации.</w:t>
      </w:r>
    </w:p>
    <w:p w14:paraId="2F217831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  <w:r>
        <w:t xml:space="preserve"> </w:t>
      </w:r>
    </w:p>
    <w:p w14:paraId="320CB257" w14:textId="3FEEF06C" w:rsidR="004120B4" w:rsidRPr="00741208" w:rsidRDefault="004120B4" w:rsidP="004120B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Выражая крайнюю обеспокоенность в связи с чрезвычайно высоким уровнем подростковой беременности и крайне ограниченным доступом к средствам контрацепции, а также ссылаясь на свое замечание общего порядка</w:t>
      </w:r>
      <w:r w:rsidR="00C40D09">
        <w:rPr>
          <w:b/>
          <w:bCs/>
        </w:rPr>
        <w:t> </w:t>
      </w:r>
      <w:r>
        <w:rPr>
          <w:b/>
          <w:bCs/>
        </w:rPr>
        <w:t>№ 4 (2003) о здоровье подростков и замечание общего порядка</w:t>
      </w:r>
      <w:r w:rsidR="00C40D09">
        <w:rPr>
          <w:b/>
          <w:bCs/>
        </w:rPr>
        <w:t> </w:t>
      </w:r>
      <w:r>
        <w:rPr>
          <w:b/>
          <w:bCs/>
        </w:rPr>
        <w:t>№ 20 (2016) об осуществлении прав ребенка в подростковом возрасте и принимая во внимание задачи 3.5, 3.7 и 5.6 целей в области устойчивого развития, Комитет рекомендует государству-участнику:</w:t>
      </w:r>
    </w:p>
    <w:p w14:paraId="2C227279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выявлять факторы, способствующие нежелательной и ранней беременности, и в срочном порядке разработать план действий по их предотвращению;</w:t>
      </w:r>
    </w:p>
    <w:p w14:paraId="408E4EA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обеспечить, чтобы все девочки и мальчики, включая тех, кто не посещает школу, и тех, кто живет в сельских районах, получали конфиденциальные и учитывающие интересы ребенка сведения и услуги в области сексуального и репродуктивного здоровья, включая широкий доступ к средствам контрацепции и безопасным абортам.</w:t>
      </w:r>
    </w:p>
    <w:p w14:paraId="2E6BDCBF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ВИЧ/СПИД</w:t>
      </w:r>
      <w:r>
        <w:t xml:space="preserve"> </w:t>
      </w:r>
    </w:p>
    <w:p w14:paraId="7B0045D4" w14:textId="77777777" w:rsidR="004120B4" w:rsidRPr="00741208" w:rsidRDefault="004120B4" w:rsidP="004120B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 3 (2003) о ВИЧ/СПИДе и правах ребенка, а также принимая во внимание задачу 3.3 целей в области устойчивого развития, Комитет рекомендует государству-участнику:</w:t>
      </w:r>
    </w:p>
    <w:p w14:paraId="5483C9E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продолжать проводить работу по профилактике передачи ВИЧ/СПИДа от матери ребенку;</w:t>
      </w:r>
    </w:p>
    <w:p w14:paraId="5EE6894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улучшить последующее лечение инфицированных ВИЧ/СПИДом матерей и их младенцев в целях обеспечения ранней диагностики и скорейшего начала терапии;</w:t>
      </w:r>
    </w:p>
    <w:p w14:paraId="4D2E20A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улучшить доступ к качественным и соответствующим возрасту услугам по обеспечению защиты от ВИЧ/СПИДа и укреплению сексуального и репродуктивного здоровья;</w:t>
      </w:r>
    </w:p>
    <w:p w14:paraId="7DA7335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расширить доступ к антиретровирусной терапии и профилактике и охват ими беременных женщин из числа ВИЧ-инфицированных лиц;</w:t>
      </w:r>
    </w:p>
    <w:p w14:paraId="1269121B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 xml:space="preserve">обратиться в этой связи за техническим содействием, в частности, к Совместной программе Организации Объединенных Наций по ВИЧ/СПИДу (ЮНЭЙДС), среди прочих учреждений. </w:t>
      </w:r>
    </w:p>
    <w:p w14:paraId="63E8618F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Злоупотребление наркотиками и психоактивными веществами</w:t>
      </w:r>
      <w:r>
        <w:t xml:space="preserve"> </w:t>
      </w:r>
    </w:p>
    <w:p w14:paraId="64F39D4A" w14:textId="77777777" w:rsidR="004120B4" w:rsidRPr="00741208" w:rsidRDefault="004120B4" w:rsidP="004120B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Принимая во внимание задачу 3.5 целей в области устойчивого развития, Комитет рекомендует государству-участнику принять меры по пропаганде здорового образа жизни, уделяя особое внимание профилактике и сокращению </w:t>
      </w:r>
      <w:r>
        <w:rPr>
          <w:b/>
          <w:bCs/>
        </w:rPr>
        <w:lastRenderedPageBreak/>
        <w:t>потребления алкоголя, табака, наркотиков и других вредных веществ и ориентируясь, в частности, на безнадзорных детей.</w:t>
      </w:r>
    </w:p>
    <w:p w14:paraId="70E600C3" w14:textId="77777777" w:rsidR="004120B4" w:rsidRPr="00741208" w:rsidRDefault="004120B4" w:rsidP="004120B4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 3 статьи 18, статья 26 и пункты 1–3 статьи 27)</w:t>
      </w:r>
    </w:p>
    <w:p w14:paraId="42B833B9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Уровень жизни</w:t>
      </w:r>
      <w:r>
        <w:t xml:space="preserve"> </w:t>
      </w:r>
    </w:p>
    <w:p w14:paraId="2FA515DA" w14:textId="77777777" w:rsidR="004120B4" w:rsidRPr="00741208" w:rsidRDefault="004120B4" w:rsidP="004120B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 одобрением отмечая постепенное расширение проекта «Лисунги» в национальных масштабах и принимая к сведению задачи 1.1, 1.2 и 1.3 целей в области устойчивого развития, Комитет рекомендует государству-участнику:</w:t>
      </w:r>
      <w:r>
        <w:t xml:space="preserve"> </w:t>
      </w:r>
    </w:p>
    <w:p w14:paraId="6B44174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продолжить осуществление проекта «Лисунги» и содействовать повышению его эффективности, уделяя приоритетное внимание снабжению питьевой водой и экологической санитарии, а также обеспечению доступа к недорогому продовольствию и снабжению им;</w:t>
      </w:r>
    </w:p>
    <w:p w14:paraId="2E3DB26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принять необходимые меры, направленные на сокращение числа бездомных и на постепенное обеспечение всем детям стабильного доступа к адекватному жилью, которое обеспечивало бы физическую безопасность, достаточное пространство, защиту от угроз здоровью, вызванных сыростью, жарой и загрязнением. </w:t>
      </w:r>
    </w:p>
    <w:p w14:paraId="0FF2928F" w14:textId="77777777" w:rsidR="004120B4" w:rsidRPr="00741208" w:rsidRDefault="004120B4" w:rsidP="004120B4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 2, 3, 6, 12, 13, 15, 17, 19, 24 и 26–31)</w:t>
      </w:r>
    </w:p>
    <w:p w14:paraId="67ED29B3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Права детей и окружающая среда</w:t>
      </w:r>
    </w:p>
    <w:p w14:paraId="1065A93F" w14:textId="77777777" w:rsidR="004120B4" w:rsidRPr="00741208" w:rsidRDefault="004120B4" w:rsidP="004120B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 26 (2023) о правах детей и окружающей среде с особым акцентом на изменении климата, а также принимая во внимание задачу 13.3 целей в области устойчивого развития и законодательство государства-участника в области охраны окружающей среды, Комитет рекомендует государству-участнику:</w:t>
      </w:r>
      <w:r>
        <w:t xml:space="preserve"> </w:t>
      </w:r>
    </w:p>
    <w:p w14:paraId="271A9AF9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провести оценку воздействия на права ребенка и соответствующим образом пересмотреть Национальную стратегию и план действий по предотвращению стихийных бедствий и снижению риска 2021 года, а также интегрировать меры по смягчению последствий климатических потрясений и адаптации к ним в системы образования, социальной защиты и здравоохранения;</w:t>
      </w:r>
    </w:p>
    <w:p w14:paraId="42B80811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внедрить стандарты, показатели и определения в области здоровья окружающей среды, установленные Всемирной организацией здравоохранения, и обеспечить надлежащую подготовку медицинских работников для их применения; </w:t>
      </w:r>
    </w:p>
    <w:p w14:paraId="291A443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обращать особое внимание на мониторинг прав детей и окружающей среды в контексте добычи нефти, а также на загрязнение воздуха автомобильными выхлопами и воды — неочищенными сточными водами;</w:t>
      </w:r>
    </w:p>
    <w:p w14:paraId="6FB7321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обновить учебные школьные программы в целях предоставления информации с учетом потребностей детей о быстрых изменениях, происходящих в окружающей среде, и поощрять прямое участие детей в природоохранных мероприятиях в качестве компонента процесса их обучения.</w:t>
      </w:r>
    </w:p>
    <w:p w14:paraId="62089256" w14:textId="77777777" w:rsidR="004120B4" w:rsidRPr="00741208" w:rsidRDefault="004120B4" w:rsidP="004120B4">
      <w:pPr>
        <w:pStyle w:val="H1G"/>
      </w:pPr>
      <w:r>
        <w:rPr>
          <w:bCs/>
        </w:rPr>
        <w:lastRenderedPageBreak/>
        <w:tab/>
        <w:t>J.</w:t>
      </w:r>
      <w:r>
        <w:tab/>
      </w:r>
      <w:r>
        <w:rPr>
          <w:bCs/>
        </w:rPr>
        <w:t>Образование, досуг и культурная деятельность (статьи 28−31)</w:t>
      </w:r>
    </w:p>
    <w:p w14:paraId="7DE2D743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Образование, в том числе профессионально-техническая подготовка и профессиональная ориентация</w:t>
      </w:r>
    </w:p>
    <w:p w14:paraId="0269265F" w14:textId="77777777" w:rsidR="004120B4" w:rsidRPr="00741208" w:rsidRDefault="004120B4" w:rsidP="004120B4">
      <w:pPr>
        <w:pStyle w:val="SingleTxtG"/>
      </w:pPr>
      <w:r>
        <w:t>43.</w:t>
      </w:r>
      <w:r>
        <w:tab/>
        <w:t xml:space="preserve">Отмечая, что Закон об образовании (Закон № 25-95 от 17 ноября 1995 года) о реорганизации системы образования предусматривает бесплатное образование, а также принимая к сведению Указ № 2019-204 от 22 июля 2019 года о мерах по облегчению доступа детей коренных народов к образованию, а также семинары по повышению квалификации учителей, проводимые в сотрудничестве с ЮНИСЕФ, Комитет выражает серьезную обеспокоенность по поводу: </w:t>
      </w:r>
    </w:p>
    <w:p w14:paraId="16F1B5E6" w14:textId="77777777" w:rsidR="004120B4" w:rsidRPr="00741208" w:rsidRDefault="004120B4" w:rsidP="004120B4">
      <w:pPr>
        <w:pStyle w:val="SingleTxtG"/>
      </w:pPr>
      <w:r>
        <w:tab/>
        <w:t>a)</w:t>
      </w:r>
      <w:r>
        <w:tab/>
        <w:t>практики требования платы за поступление и/или обучение в школах;</w:t>
      </w:r>
    </w:p>
    <w:p w14:paraId="51DBF28D" w14:textId="77777777" w:rsidR="004120B4" w:rsidRPr="00741208" w:rsidRDefault="004120B4" w:rsidP="004120B4">
      <w:pPr>
        <w:pStyle w:val="SingleTxtG"/>
      </w:pPr>
      <w:r>
        <w:tab/>
        <w:t>b)</w:t>
      </w:r>
      <w:r>
        <w:tab/>
        <w:t>недопустимо высокой стоимости школьной формы и учебников;</w:t>
      </w:r>
    </w:p>
    <w:p w14:paraId="7DF4EC54" w14:textId="77777777" w:rsidR="004120B4" w:rsidRPr="00741208" w:rsidRDefault="004120B4" w:rsidP="004120B4">
      <w:pPr>
        <w:pStyle w:val="SingleTxtG"/>
      </w:pPr>
      <w:r>
        <w:tab/>
        <w:t>c)</w:t>
      </w:r>
      <w:r>
        <w:tab/>
        <w:t>отсутствия или задержки выплаты заработной платы учителям или недостаточного уровня заработной платы;</w:t>
      </w:r>
    </w:p>
    <w:p w14:paraId="381B3BF1" w14:textId="77777777" w:rsidR="004120B4" w:rsidRPr="00741208" w:rsidRDefault="004120B4" w:rsidP="004120B4">
      <w:pPr>
        <w:pStyle w:val="SingleTxtG"/>
      </w:pPr>
      <w:r>
        <w:tab/>
        <w:t>d)</w:t>
      </w:r>
      <w:r>
        <w:tab/>
        <w:t>отсутствия эффективных мер по развитию инклюзивного образования, в частности для детей с инвалидностью, детей в сельских районах, а также детей и подростков из числа коренных народов;</w:t>
      </w:r>
    </w:p>
    <w:p w14:paraId="07D755E9" w14:textId="77777777" w:rsidR="004120B4" w:rsidRPr="00741208" w:rsidRDefault="004120B4" w:rsidP="004120B4">
      <w:pPr>
        <w:pStyle w:val="SingleTxtG"/>
      </w:pPr>
      <w:r>
        <w:tab/>
        <w:t>e)</w:t>
      </w:r>
      <w:r>
        <w:tab/>
        <w:t>сохранения высоких показателей отсева из школ, особенно среди девочек, из-за подростковой беременности, детских браков, дискриминационной традиционной и культурной практики и нищеты, особенно в сельских районах;</w:t>
      </w:r>
    </w:p>
    <w:p w14:paraId="6B077873" w14:textId="77777777" w:rsidR="004120B4" w:rsidRPr="00741208" w:rsidRDefault="004120B4" w:rsidP="004120B4">
      <w:pPr>
        <w:pStyle w:val="SingleTxtG"/>
      </w:pPr>
      <w:r>
        <w:tab/>
        <w:t>f)</w:t>
      </w:r>
      <w:r>
        <w:tab/>
        <w:t>неэффективной и ограниченной инфраструктуры школ и классных комнат, не оборудованных электричеством и туалетами, а также переполнения классов;</w:t>
      </w:r>
    </w:p>
    <w:p w14:paraId="18A4C572" w14:textId="77777777" w:rsidR="004120B4" w:rsidRPr="00741208" w:rsidRDefault="004120B4" w:rsidP="004120B4">
      <w:pPr>
        <w:pStyle w:val="SingleTxtG"/>
      </w:pPr>
      <w:r>
        <w:tab/>
        <w:t>g)</w:t>
      </w:r>
      <w:r>
        <w:tab/>
        <w:t>низкого качества образования и квалификации учителей, а также низкого уровня базовых навыков грамотности и счета;</w:t>
      </w:r>
    </w:p>
    <w:p w14:paraId="04376F06" w14:textId="2FF4DD97" w:rsidR="004120B4" w:rsidRPr="00741208" w:rsidRDefault="004120B4" w:rsidP="004120B4">
      <w:pPr>
        <w:pStyle w:val="SingleTxtG"/>
      </w:pPr>
      <w:r>
        <w:tab/>
        <w:t>h)</w:t>
      </w:r>
      <w:r>
        <w:tab/>
        <w:t>недостаточной бюджетной поддержки долгосрочного развития и расширения системы дошкольного образования, а также наличия финансовых барьеров, не позволяющи</w:t>
      </w:r>
      <w:r w:rsidR="00565B69">
        <w:t>х</w:t>
      </w:r>
      <w:r>
        <w:t xml:space="preserve"> бедным семьям получить доступ к дошкольному образованию. </w:t>
      </w:r>
    </w:p>
    <w:p w14:paraId="5DAAED07" w14:textId="77777777" w:rsidR="004120B4" w:rsidRPr="00741208" w:rsidRDefault="004120B4" w:rsidP="004120B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Принимая во внимание задачи 4.1, 4.3, 4.4, 4.5, 4.6, 4.a, 4.b и 4.с целей в области устойчивого развития, Комитет рекомендует государству-участнику:</w:t>
      </w:r>
    </w:p>
    <w:p w14:paraId="01541A1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искоренить практику взимания платы за обучение, зачисление в школу и других прямых, косвенных или скрытых платежей, чтобы обеспечить всем детям бесплатный доступ к полному, равноправному и качественному начальному и среднему образованию, позволяющему добиться востребованных и эффективных результатов обучения;</w:t>
      </w:r>
    </w:p>
    <w:p w14:paraId="1278763D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принять необходимые меры для обеспечения зачисления в школы всех детей, включая детей из числа коренных народов и беженцев, а также детей с инвалидностью, и повысить доступность образования, уделяя особое внимание неравенству в плане доступа к школьному образованию, связанному с половой принадлежностью и социально-экономическими, этническими, региональными или любыми иными различиями; </w:t>
      </w:r>
    </w:p>
    <w:p w14:paraId="325CABE6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обеспечить дополнительные школьные помещения, особенно в сельских районах, и включить в национальный бюджет финансирование школ для детей из числа представителей коренных народов, с тем чтобы улучшить доступ к образованию для всех детей;</w:t>
      </w:r>
    </w:p>
    <w:p w14:paraId="283B5C3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 xml:space="preserve">обеспечить устойчивость поддержки и помощи беременным подросткам и матерям-подросткам, с тем чтобы они могли продолжать получать образование в общеобразовательных школах, уделяя особое внимание сельским районам; </w:t>
      </w:r>
    </w:p>
    <w:p w14:paraId="084CF738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lastRenderedPageBreak/>
        <w:tab/>
        <w:t>e)</w:t>
      </w:r>
      <w:r w:rsidRPr="00C40D09">
        <w:rPr>
          <w:b/>
          <w:bCs/>
        </w:rPr>
        <w:tab/>
        <w:t xml:space="preserve">провести общегосударственную оценку школьной инфраструктуры, включая оценку поврежденных школьных помещений в районах, пострадавших от наводнения, и разработать план реконструкции и ремонта, предусматривающий обеспечение безопасного водоснабжения, электроснабжения и предоставления средств санитарии во всех школах; </w:t>
      </w:r>
    </w:p>
    <w:p w14:paraId="0BB4E3A5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f)</w:t>
      </w:r>
      <w:r w:rsidRPr="00C40D09">
        <w:rPr>
          <w:b/>
          <w:bCs/>
        </w:rPr>
        <w:tab/>
        <w:t>срочно осуществить инвестиции в повышение качества образования и профессиональную подготовку учителей;</w:t>
      </w:r>
    </w:p>
    <w:p w14:paraId="358DE6E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g)</w:t>
      </w:r>
      <w:r w:rsidRPr="00C40D09">
        <w:rPr>
          <w:b/>
          <w:bCs/>
        </w:rPr>
        <w:tab/>
        <w:t>разрабатывать программы качественной профессионально-технической подготовки для развития навыков детей и молодых людей, особенно прекративших свое обучение в школе, а также содействовать распространению этих программ;</w:t>
      </w:r>
    </w:p>
    <w:p w14:paraId="1FE0FA36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h)</w:t>
      </w:r>
      <w:r w:rsidRPr="00C40D09">
        <w:rPr>
          <w:b/>
          <w:bCs/>
        </w:rPr>
        <w:tab/>
        <w:t>осуществить Национальную политику комплексного развития детей младшего возраста и провести ее оценку, инвестируя средства в подготовку преподавателей по развитию детей младшего возраста и обеспечение комплексных официальных и общинных программ с участием родителей, охватывающих здравоохранение, питание и раннее обучение детей от рождения до первого года обучения в школе;</w:t>
      </w:r>
    </w:p>
    <w:p w14:paraId="14EBBF30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i)</w:t>
      </w:r>
      <w:r w:rsidRPr="00C40D09">
        <w:rPr>
          <w:b/>
          <w:bCs/>
        </w:rPr>
        <w:tab/>
        <w:t>обратиться за международной поддержкой для расширения доступа к образованию и повышения его качества, в том числе к ЮНИСЕФ и страновой группе Организации Объединенных Наций.</w:t>
      </w:r>
    </w:p>
    <w:p w14:paraId="3312588C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61DBD0F8" w14:textId="77777777" w:rsidR="004120B4" w:rsidRPr="00741208" w:rsidRDefault="004120B4" w:rsidP="004120B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Принимая во внимание задачу 4.7 целей в области устойчивого развития, Комитет рекомендует государству-участнику пересмотреть и обновить учебные программы на всех уровнях школьного образования, с тем чтобы включить в них образование в области прав человека с обращением особого внимания на права ребенка, а также воспитание в духе мира, и обеспечить включение этого образования в программы подготовки учителей и специалистов сферы образования с учетом рамок Всемирной программы образования в области прав человека.</w:t>
      </w:r>
      <w:r>
        <w:t xml:space="preserve"> </w:t>
      </w:r>
    </w:p>
    <w:p w14:paraId="48EC9954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Отдых, игры, досуг, рекреационная, культурная и художественная деятельность</w:t>
      </w:r>
    </w:p>
    <w:p w14:paraId="37C3002F" w14:textId="77777777" w:rsidR="004120B4" w:rsidRPr="00741208" w:rsidRDefault="004120B4" w:rsidP="004120B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 17 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 активизировать свои усилия по гарантированию права ребенка на отдых, досуг, участие в играх, развлекательных, спортивных и культурных мероприятиях, соответствующих возрасту ребенка, в том числе путем принятия и осуществления политики в области организации игр и досуга и выделения достаточных и устойчивых ресурсов.</w:t>
      </w:r>
    </w:p>
    <w:p w14:paraId="4EEAEEA7" w14:textId="7AB17322" w:rsidR="004120B4" w:rsidRPr="00741208" w:rsidRDefault="004120B4" w:rsidP="004120B4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(статьи 22, 30, 32, 33, 35, 36, пункты b)−d) статьи 37 и статьи 38−40 Конвенции и Факультативного протокола, касающегося участия детей в вооруженных конфликтах)</w:t>
      </w:r>
    </w:p>
    <w:p w14:paraId="25D265DF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 xml:space="preserve">Дети </w:t>
      </w:r>
      <w:bookmarkStart w:id="1" w:name="_Hlk163393013"/>
      <w:r>
        <w:rPr>
          <w:bCs/>
        </w:rPr>
        <w:t>—</w:t>
      </w:r>
      <w:bookmarkEnd w:id="1"/>
      <w:r>
        <w:rPr>
          <w:bCs/>
        </w:rPr>
        <w:t xml:space="preserve"> просители убежища и дети-беженцы</w:t>
      </w:r>
    </w:p>
    <w:p w14:paraId="139AD064" w14:textId="77777777" w:rsidR="004120B4" w:rsidRPr="00741208" w:rsidRDefault="004120B4" w:rsidP="004120B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 одобрением отмечая принятие Закона № 41-2021 от 29 сентября 2021 года, создающего всеобъемлющую правовую основу и надлежащие рамки для предоставления международной защиты, Комитет рекомендует государству-участнику:</w:t>
      </w:r>
      <w:r>
        <w:t xml:space="preserve"> </w:t>
      </w:r>
    </w:p>
    <w:p w14:paraId="35393E88" w14:textId="6B5DDADC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принять все необходимые меры для полного выполнения Закона</w:t>
      </w:r>
      <w:r w:rsidR="00C40D09" w:rsidRPr="00C40D09">
        <w:rPr>
          <w:b/>
          <w:bCs/>
        </w:rPr>
        <w:t> </w:t>
      </w:r>
      <w:r w:rsidRPr="00C40D09">
        <w:rPr>
          <w:b/>
          <w:bCs/>
        </w:rPr>
        <w:t xml:space="preserve">№ 41-2021 и улучшения условий жизни детей — просителей убежища и </w:t>
      </w:r>
      <w:r w:rsidRPr="00C40D09">
        <w:rPr>
          <w:b/>
          <w:bCs/>
        </w:rPr>
        <w:lastRenderedPageBreak/>
        <w:t xml:space="preserve">детей-беженцев, в частности в отношении обеспечения их доступа к образованию и медицинским услугам; </w:t>
      </w:r>
    </w:p>
    <w:p w14:paraId="7020B5B4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обеспечить выдачу свидетельств о рождении внутренне перемещенным детям;</w:t>
      </w:r>
    </w:p>
    <w:p w14:paraId="31E7B37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рассмотреть возможность ратификации Конвенции 1954 года о статусе апатридов и Конвенции 1961 года о сокращении безгражданства.</w:t>
      </w:r>
    </w:p>
    <w:p w14:paraId="20DD172E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коренных народов</w:t>
      </w:r>
      <w:r>
        <w:t xml:space="preserve"> </w:t>
      </w:r>
    </w:p>
    <w:p w14:paraId="5CCEFA9A" w14:textId="77777777" w:rsidR="004120B4" w:rsidRPr="00741208" w:rsidRDefault="004120B4" w:rsidP="004120B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 одобрением отмечая издание государством-участником в 2019 году указа об осуществлении Закона № 05-2010 о поощрении и защите прав коренных народов, Комитет выражает озабоченность по поводу его выполнения и, ссылаясь на свое замечание общего порядка № 11 (2009) о детях из числа коренных народов и их правах согласно Конвенции, настоятельно призывает государство-участник:</w:t>
      </w:r>
      <w:r>
        <w:t xml:space="preserve"> </w:t>
      </w:r>
    </w:p>
    <w:p w14:paraId="0B70DD4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обеспечивать уважение, защиту и поощрение прав детей из числа коренных народов и способствовать ликвидации стоящих перед ними проблем отсутствия продовольственной безопасности, нищеты и уязвимости перед насилием и эксплуатацией при их полном и эффективном участии; </w:t>
      </w:r>
    </w:p>
    <w:p w14:paraId="03E6E0B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рассмотреть возможность ратификации Конвенции 1989 года о коренных народах и народах, ведущих племенной образ жизни (№ 169) Международной организации труда. </w:t>
      </w:r>
    </w:p>
    <w:p w14:paraId="4B487F9C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3754726B" w14:textId="77777777" w:rsidR="004120B4" w:rsidRPr="00741208" w:rsidRDefault="004120B4" w:rsidP="004120B4">
      <w:pPr>
        <w:pStyle w:val="SingleTxtG"/>
      </w:pPr>
      <w:r>
        <w:t>49.</w:t>
      </w:r>
      <w:r>
        <w:tab/>
        <w:t>Комитет выражает сожаление в связи с недостаточностью представленных государством-участником данных о выполнении предыдущих рекомендаций Комитета</w:t>
      </w:r>
      <w:r w:rsidRPr="008B2A31">
        <w:rPr>
          <w:rStyle w:val="aa"/>
        </w:rPr>
        <w:footnoteReference w:id="14"/>
      </w:r>
      <w:r>
        <w:t>. Отмечая, что статья 40 Конституции 2015 года не допускает экономической эксплуатации детей и подростков и запрещает работу детей в возрасте до 16 лет, а статья 68 Закона о защите детей запрещает использование труда малолетних, наихудшие формы труда и все другие виды бытовой деятельности, угрожающие физическому и психическому здоровью детей, Комитет серьезно обеспокоен тем, что:</w:t>
      </w:r>
    </w:p>
    <w:p w14:paraId="3DB6382E" w14:textId="77777777" w:rsidR="004120B4" w:rsidRPr="00741208" w:rsidRDefault="004120B4" w:rsidP="004120B4">
      <w:pPr>
        <w:pStyle w:val="SingleTxtG"/>
      </w:pPr>
      <w:r>
        <w:tab/>
        <w:t>a)</w:t>
      </w:r>
      <w:r>
        <w:tab/>
        <w:t>дети в возрасте до 16 лет активно вовлекаются в экономическую деятельность, в том числе подвергаются экономической эксплуатации: в частности, их заставляют работать уличными торговцами;</w:t>
      </w:r>
    </w:p>
    <w:p w14:paraId="1296173A" w14:textId="77777777" w:rsidR="004120B4" w:rsidRPr="00741208" w:rsidRDefault="004120B4" w:rsidP="004120B4">
      <w:pPr>
        <w:pStyle w:val="SingleTxtG"/>
      </w:pPr>
      <w:r>
        <w:tab/>
        <w:t>b)</w:t>
      </w:r>
      <w:r>
        <w:tab/>
        <w:t>несмотря на то что статья 116 Трудового кодекса предписывает Национальной консультативной комиссии по вопросам труда определить характер трудовой деятельности и категории предприятий, запрещенных для молодежи, а также возраст, в отношении которого действует этот запрет, соответствующий указ так и не был издан;</w:t>
      </w:r>
    </w:p>
    <w:p w14:paraId="2305CFBC" w14:textId="77777777" w:rsidR="004120B4" w:rsidRPr="00741208" w:rsidRDefault="004120B4" w:rsidP="004120B4">
      <w:pPr>
        <w:pStyle w:val="SingleTxtG"/>
      </w:pPr>
      <w:r>
        <w:tab/>
        <w:t>c)</w:t>
      </w:r>
      <w:r>
        <w:tab/>
        <w:t xml:space="preserve">дети работают на опасных производствах, таких как кустарная добыча золота, в карьерах, на сортировке мусора и свалках. </w:t>
      </w:r>
    </w:p>
    <w:p w14:paraId="30FF1399" w14:textId="77777777" w:rsidR="004120B4" w:rsidRPr="00741208" w:rsidRDefault="004120B4" w:rsidP="004120B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принимает во внимание задачу 8.7 целей в области устойчивого развития и настоятельно призывает государство-участник:</w:t>
      </w:r>
    </w:p>
    <w:p w14:paraId="449FA62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обеспечить соблюдение конституционного возрастного ограничения на прием на работу детей в соответствии с Конвенцией МОТ о минимальном возрасте 1973 года (№ 138);</w:t>
      </w:r>
    </w:p>
    <w:p w14:paraId="3BB70522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>издать указ, содержащий определение наихудших форм детского труда, в соответствии с Конвенцией МОТ о наихудших формах детского труда 1999 года (№ 182);</w:t>
      </w:r>
    </w:p>
    <w:p w14:paraId="774CBBB2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lastRenderedPageBreak/>
        <w:tab/>
        <w:t>c)</w:t>
      </w:r>
      <w:r w:rsidRPr="00C40D09">
        <w:rPr>
          <w:b/>
          <w:bCs/>
        </w:rPr>
        <w:tab/>
        <w:t>ликвидировать детский труд в кустарной добыче полезных ископаемых, в карьерах, на сортировках мусора и свалках и другие формы детского труда, а также принять дополнительные меры по увеличению записи детей в школы и предотвращению отсева из них;</w:t>
      </w:r>
    </w:p>
    <w:p w14:paraId="55C98D67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d)</w:t>
      </w:r>
      <w:r w:rsidRPr="00C40D09">
        <w:rPr>
          <w:b/>
          <w:bCs/>
        </w:rPr>
        <w:tab/>
        <w:t>обеспечить, чтобы дети, отстраненные от работы, получали соответствующее лечение и компенсацию за любой причиненный вред и были интегрированы в образовательную систему, включая систему профессиональной подготовки;</w:t>
      </w:r>
    </w:p>
    <w:p w14:paraId="30429E6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 xml:space="preserve">продолжать использовать в этой связи техническую помощь Международной программы МОТ по искоренению детского труда. </w:t>
      </w:r>
    </w:p>
    <w:p w14:paraId="06C4BF07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Безнадзорные дети</w:t>
      </w:r>
      <w:r>
        <w:t xml:space="preserve"> </w:t>
      </w:r>
    </w:p>
    <w:p w14:paraId="44E11395" w14:textId="77777777" w:rsidR="004120B4" w:rsidRPr="00741208" w:rsidRDefault="004120B4" w:rsidP="004120B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Ссылаясь на свое замечание общего порядка № 21 (2017) о безнадзорных детях, Комитет рекомендует государству-участнику:</w:t>
      </w:r>
      <w:r>
        <w:t xml:space="preserve"> </w:t>
      </w:r>
    </w:p>
    <w:p w14:paraId="09B92322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провести оценку числа детей, живущих и/или работающих на улице, и обновленное исследование коренных причин их такого положения, уделяя особое внимание отказу от детей по экономическим причинам и поощрению родителями уличной работы своих детей, и принять меры по устранению этих причин и предотвращению этих явлений;</w:t>
      </w:r>
    </w:p>
    <w:p w14:paraId="1E858753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обеспечить полное соблюдение прав безнадзорных детей сотрудниками полиции и принять меры к тому, чтобы они не подвергались произвольному задержанию и неправомерному обращению. </w:t>
      </w:r>
    </w:p>
    <w:p w14:paraId="03A548EF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Торговля детьми, контрабанда и похищение детей</w:t>
      </w:r>
      <w:r>
        <w:t xml:space="preserve"> </w:t>
      </w:r>
    </w:p>
    <w:p w14:paraId="76EB9AC4" w14:textId="77777777" w:rsidR="004120B4" w:rsidRPr="00741208" w:rsidRDefault="004120B4" w:rsidP="004120B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Принимая во внимание задачу 8.7 целей в области устойчивого развития, Комитет рекомендует государству-участнику:</w:t>
      </w:r>
      <w:r>
        <w:t xml:space="preserve"> </w:t>
      </w:r>
    </w:p>
    <w:p w14:paraId="479D35E8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 xml:space="preserve">расследовать все случаи торговли детьми, в том числе в рамках практики «конфьяжа» (передачи на воспитание), и привлекать виновных к ответственности; </w:t>
      </w:r>
    </w:p>
    <w:p w14:paraId="7529E3EA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проводить информационно-просветительские мероприятия в целях информирования родителей и детей об опасностях торговли людьми. </w:t>
      </w:r>
    </w:p>
    <w:p w14:paraId="631971A8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  <w:bookmarkStart w:id="2" w:name="_Hlk157968992"/>
    </w:p>
    <w:p w14:paraId="622A185D" w14:textId="77777777" w:rsidR="004120B4" w:rsidRPr="00741208" w:rsidRDefault="004120B4" w:rsidP="004120B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Ссылаясь на свое замечание общего порядка № 24 (2019) о правах ребенка в системе правосудия в отношении детей, а также на свои предыдущие рекомендации,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  <w:r>
        <w:t xml:space="preserve"> </w:t>
      </w:r>
    </w:p>
    <w:p w14:paraId="03F59BE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a)</w:t>
      </w:r>
      <w:r w:rsidRPr="00C40D09">
        <w:rPr>
          <w:b/>
          <w:bCs/>
        </w:rPr>
        <w:tab/>
        <w:t>срочно утвердить и полностью реализовать проект указа о применении статей 74 и 75 Закона № 4-2010 и проект указа, закрепляющего полномочия, обязанности, организационную структуру, сферу компетенции и порядок функционирования подразделения полиции по делам несовершеннолетних;</w:t>
      </w:r>
    </w:p>
    <w:p w14:paraId="006B9B68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b)</w:t>
      </w:r>
      <w:r w:rsidRPr="00C40D09">
        <w:rPr>
          <w:b/>
          <w:bCs/>
        </w:rPr>
        <w:tab/>
        <w:t xml:space="preserve">рассмотреть возможность повышения минимального возраста наступления уголовной ответственности по меньшей мере до 14 лет и распространить действие специализированных детских судов на всей территории страны; </w:t>
      </w:r>
    </w:p>
    <w:p w14:paraId="3B35A31F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c)</w:t>
      </w:r>
      <w:r w:rsidRPr="00C40D09">
        <w:rPr>
          <w:b/>
          <w:bCs/>
        </w:rPr>
        <w:tab/>
        <w:t>обеспечивать оказание бесплатной специализированной юридической помощи детям, подозреваемым, обвиняемым или признанным виновными в нарушении уголовного права, с момента начала судопроизводства и в ходе всего судебного разбирательства;</w:t>
      </w:r>
    </w:p>
    <w:p w14:paraId="13BFBAE6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lastRenderedPageBreak/>
        <w:tab/>
        <w:t>d)</w:t>
      </w:r>
      <w:r w:rsidRPr="00C40D09">
        <w:rPr>
          <w:b/>
          <w:bCs/>
        </w:rPr>
        <w:tab/>
        <w:t xml:space="preserve">пропагандировать и обеспечивать применение мер наказания, не связанных с лишением свободы, таких как вывод из системы уголовной юстиции, пробация, посредничество, предоставление психосоциальной поддержки или общественные работы, и обеспечить,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 </w:t>
      </w:r>
    </w:p>
    <w:p w14:paraId="3D71D84E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e)</w:t>
      </w:r>
      <w:r w:rsidRPr="00C40D09">
        <w:rPr>
          <w:b/>
          <w:bCs/>
        </w:rPr>
        <w:tab/>
        <w:t xml:space="preserve">в тех немногих ситуациях, когда лишение свободы оправдано как крайняя мера, немедленно положить конец практике содержания детей вместе со взрослыми и обеспечить, чтобы условия содержания под стражей соответствовали международным стандартам, в том числе в отношении доступа к образованию и медицинским услугам; </w:t>
      </w:r>
    </w:p>
    <w:p w14:paraId="5383FE81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f)</w:t>
      </w:r>
      <w:r w:rsidRPr="00C40D09">
        <w:rPr>
          <w:b/>
          <w:bCs/>
        </w:rPr>
        <w:tab/>
        <w:t>решить проблему уличных банд, известных как «черные дети» (bébés noirs), в полном соответствии с принципами прав ребенка, уделяя первоочередное внимание образованию, профилактике, выводу из системы уголовной юстиции и восстановительным мерам, в целях реинтеграции вовлеченных детей;</w:t>
      </w:r>
    </w:p>
    <w:p w14:paraId="09C7705C" w14:textId="77777777" w:rsidR="004120B4" w:rsidRPr="00C40D09" w:rsidRDefault="004120B4" w:rsidP="004120B4">
      <w:pPr>
        <w:pStyle w:val="SingleTxtG"/>
        <w:rPr>
          <w:b/>
          <w:bCs/>
        </w:rPr>
      </w:pPr>
      <w:r w:rsidRPr="00C40D09">
        <w:rPr>
          <w:b/>
          <w:bCs/>
        </w:rPr>
        <w:tab/>
        <w:t>g)</w:t>
      </w:r>
      <w:r w:rsidRPr="00C40D09">
        <w:rPr>
          <w:b/>
          <w:bCs/>
        </w:rPr>
        <w:tab/>
        <w:t>создать благоприятную для детей среду в контексте отправления правосудия в отношении несовершеннолетних, в том числе в целях обеспечения благополучия детей, ставших жертвами преступлений.</w:t>
      </w:r>
    </w:p>
    <w:p w14:paraId="432E3690" w14:textId="77777777" w:rsidR="004120B4" w:rsidRPr="00741208" w:rsidRDefault="004120B4" w:rsidP="004120B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рамках цели 16 в области устойчивого развития Комитет рекомендует государству-участнику включить в проводимую судебную реформу процессуальные гарантии, на которые имеют право дети и подростки, и гарантировать им доступ к правосудию в случае нарушения их прав.</w:t>
      </w:r>
    </w:p>
    <w:bookmarkEnd w:id="2"/>
    <w:p w14:paraId="5EF0148B" w14:textId="77777777" w:rsidR="004120B4" w:rsidRPr="00741208" w:rsidRDefault="004120B4" w:rsidP="004120B4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</w:t>
      </w:r>
    </w:p>
    <w:p w14:paraId="3B50F75B" w14:textId="77777777" w:rsidR="004120B4" w:rsidRPr="00741208" w:rsidRDefault="004120B4" w:rsidP="004120B4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Испытывая серьезную обеспокоенность в связи с информацией о случаях сексуальных надругательств над детьми и сексуальной эксплуатации детей, совершенных военнослужащими государства-участника, задействованными в миротворческих операциях Организации Объединенных Наций, Комитет рекомендует государству-участнику принять меры по предотвращению таких случаев и реагированию на них, провести тщательное расследование и привлечь виновных к ответственности, урегулировать неурегулированные иски об установлении отцовства и оказать всестороннюю поддержку жертвам, требующим справедливости и компенсации.</w:t>
      </w:r>
    </w:p>
    <w:p w14:paraId="2C2E3640" w14:textId="77777777" w:rsidR="004120B4" w:rsidRPr="00741208" w:rsidRDefault="004120B4" w:rsidP="004120B4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03E40713" w14:textId="77777777" w:rsidR="004120B4" w:rsidRPr="00741208" w:rsidRDefault="004120B4" w:rsidP="004120B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  <w:r>
        <w:t xml:space="preserve"> </w:t>
      </w:r>
    </w:p>
    <w:p w14:paraId="5DF024DD" w14:textId="77777777" w:rsidR="004120B4" w:rsidRPr="00741208" w:rsidRDefault="004120B4" w:rsidP="004120B4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Ратификация основных международных договоров по правам человека</w:t>
      </w:r>
    </w:p>
    <w:p w14:paraId="60C31EA1" w14:textId="77777777" w:rsidR="004120B4" w:rsidRPr="00741208" w:rsidRDefault="004120B4" w:rsidP="004120B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 или только подписало их:</w:t>
      </w:r>
    </w:p>
    <w:p w14:paraId="387AF95B" w14:textId="77777777" w:rsidR="004120B4" w:rsidRPr="00A2197E" w:rsidRDefault="004120B4" w:rsidP="004120B4">
      <w:pPr>
        <w:pStyle w:val="SingleTxtG"/>
        <w:rPr>
          <w:b/>
          <w:bCs/>
        </w:rPr>
      </w:pPr>
      <w:r w:rsidRPr="00A2197E">
        <w:rPr>
          <w:b/>
          <w:bCs/>
        </w:rPr>
        <w:tab/>
        <w:t>a)</w:t>
      </w:r>
      <w:r w:rsidRPr="00A2197E">
        <w:rPr>
          <w:b/>
          <w:bCs/>
        </w:rPr>
        <w:tab/>
        <w:t>Международная конвенция для защиты всех лиц от насильственных исчезновений;</w:t>
      </w:r>
    </w:p>
    <w:p w14:paraId="60BCDCFE" w14:textId="77777777" w:rsidR="004120B4" w:rsidRPr="00A2197E" w:rsidRDefault="004120B4" w:rsidP="004120B4">
      <w:pPr>
        <w:pStyle w:val="SingleTxtG"/>
        <w:rPr>
          <w:b/>
          <w:bCs/>
        </w:rPr>
      </w:pPr>
      <w:r w:rsidRPr="00A2197E">
        <w:rPr>
          <w:b/>
          <w:bCs/>
        </w:rPr>
        <w:tab/>
        <w:t>b)</w:t>
      </w:r>
      <w:r w:rsidRPr="00A2197E">
        <w:rPr>
          <w:b/>
          <w:bCs/>
        </w:rPr>
        <w:tab/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14:paraId="4876DA4F" w14:textId="77777777" w:rsidR="004120B4" w:rsidRPr="00A2197E" w:rsidRDefault="004120B4" w:rsidP="004120B4">
      <w:pPr>
        <w:pStyle w:val="SingleTxtG"/>
        <w:rPr>
          <w:b/>
          <w:bCs/>
        </w:rPr>
      </w:pPr>
      <w:r w:rsidRPr="00A2197E">
        <w:rPr>
          <w:b/>
          <w:bCs/>
        </w:rPr>
        <w:lastRenderedPageBreak/>
        <w:tab/>
        <w:t>c)</w:t>
      </w:r>
      <w:r w:rsidRPr="00A2197E">
        <w:rPr>
          <w:b/>
          <w:bCs/>
        </w:rP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14:paraId="12A1E0F8" w14:textId="77777777" w:rsidR="004120B4" w:rsidRPr="00741208" w:rsidRDefault="004120B4" w:rsidP="004120B4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67403C85" w14:textId="77777777" w:rsidR="004120B4" w:rsidRPr="00741208" w:rsidRDefault="004120B4" w:rsidP="004120B4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bookmarkStart w:id="3" w:name="_Hlk163487292"/>
      <w:r>
        <w:rPr>
          <w:b/>
          <w:bCs/>
        </w:rPr>
        <w:t xml:space="preserve"> — </w:t>
      </w:r>
      <w:bookmarkEnd w:id="3"/>
      <w:r>
        <w:rPr>
          <w:b/>
          <w:bCs/>
        </w:rPr>
        <w:t>членах Африканского союза.</w:t>
      </w:r>
      <w:r>
        <w:t xml:space="preserve"> </w:t>
      </w:r>
    </w:p>
    <w:p w14:paraId="265E9D86" w14:textId="77777777" w:rsidR="004120B4" w:rsidRPr="00741208" w:rsidRDefault="004120B4" w:rsidP="004120B4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6CDE40A" w14:textId="77777777" w:rsidR="004120B4" w:rsidRPr="00741208" w:rsidRDefault="004120B4" w:rsidP="004120B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73B21C9C" w14:textId="77777777" w:rsidR="004120B4" w:rsidRPr="00741208" w:rsidRDefault="004120B4" w:rsidP="004120B4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130089BB" w14:textId="3510F6BB" w:rsidR="004120B4" w:rsidRPr="00741208" w:rsidRDefault="004120B4" w:rsidP="004120B4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A2197E">
        <w:rPr>
          <w:bCs/>
        </w:rPr>
        <w:t> </w:t>
      </w:r>
      <w:r>
        <w:rPr>
          <w:bCs/>
        </w:rPr>
        <w:t>осуществления последующих мер</w:t>
      </w:r>
    </w:p>
    <w:p w14:paraId="16B0848E" w14:textId="77777777" w:rsidR="004120B4" w:rsidRPr="00741208" w:rsidRDefault="004120B4" w:rsidP="004120B4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кадровых, технических и финансовых ресурсов для эффективной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комиссией по правам человека и гражданским обществом.</w:t>
      </w:r>
    </w:p>
    <w:p w14:paraId="0CDA0937" w14:textId="77777777" w:rsidR="004120B4" w:rsidRPr="00741208" w:rsidRDefault="004120B4" w:rsidP="004120B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23A03D5A" w14:textId="48D7CB23" w:rsidR="004120B4" w:rsidRPr="00741208" w:rsidRDefault="004120B4" w:rsidP="004120B4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</w:t>
      </w:r>
      <w:r w:rsidR="006C0E3A">
        <w:rPr>
          <w:b/>
          <w:bCs/>
        </w:rPr>
        <w:t>ы</w:t>
      </w:r>
      <w:r>
        <w:rPr>
          <w:b/>
          <w:bCs/>
        </w:rPr>
        <w:t>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8B2A31">
        <w:rPr>
          <w:rStyle w:val="aa"/>
        </w:rPr>
        <w:footnoteReference w:id="15"/>
      </w:r>
      <w:r>
        <w:rPr>
          <w:b/>
          <w:bCs/>
        </w:rPr>
        <w:t xml:space="preserve">, а его объем не должен превышать </w:t>
      </w:r>
      <w:r>
        <w:rPr>
          <w:b/>
          <w:bCs/>
        </w:rPr>
        <w:lastRenderedPageBreak/>
        <w:t>21 200 слов</w:t>
      </w:r>
      <w:r w:rsidRPr="008B2A31">
        <w:rPr>
          <w:rStyle w:val="aa"/>
        </w:rPr>
        <w:footnoteReference w:id="1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55E6C47" w14:textId="77777777" w:rsidR="004120B4" w:rsidRPr="00741208" w:rsidRDefault="004120B4" w:rsidP="004120B4">
      <w:pPr>
        <w:spacing w:before="240"/>
        <w:jc w:val="center"/>
        <w:rPr>
          <w:rFonts w:eastAsiaTheme="minorEastAsia"/>
          <w:lang w:eastAsia="zh-CN"/>
        </w:rPr>
      </w:pPr>
      <w:r w:rsidRPr="00741208">
        <w:rPr>
          <w:u w:val="single"/>
        </w:rPr>
        <w:tab/>
      </w:r>
      <w:r w:rsidRPr="00741208">
        <w:rPr>
          <w:u w:val="single"/>
        </w:rPr>
        <w:tab/>
      </w:r>
      <w:r w:rsidRPr="00741208">
        <w:rPr>
          <w:u w:val="single"/>
        </w:rPr>
        <w:tab/>
      </w:r>
    </w:p>
    <w:p w14:paraId="71BBA72E" w14:textId="77777777" w:rsidR="00381C24" w:rsidRPr="004120B4" w:rsidRDefault="00381C24" w:rsidP="002E685D">
      <w:pPr>
        <w:rPr>
          <w:lang w:val="fr-CH"/>
        </w:rPr>
      </w:pPr>
    </w:p>
    <w:sectPr w:rsidR="00381C24" w:rsidRPr="004120B4" w:rsidSect="004120B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550D4" w14:textId="77777777" w:rsidR="006F183C" w:rsidRPr="00A312BC" w:rsidRDefault="006F183C" w:rsidP="00A312BC"/>
  </w:endnote>
  <w:endnote w:type="continuationSeparator" w:id="0">
    <w:p w14:paraId="7451AA8F" w14:textId="77777777" w:rsidR="006F183C" w:rsidRPr="00A312BC" w:rsidRDefault="006F18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DFB8" w14:textId="32E5DE7D" w:rsidR="004120B4" w:rsidRPr="004120B4" w:rsidRDefault="004120B4">
    <w:pPr>
      <w:pStyle w:val="a8"/>
    </w:pPr>
    <w:r w:rsidRPr="004120B4">
      <w:rPr>
        <w:b/>
        <w:sz w:val="18"/>
      </w:rPr>
      <w:fldChar w:fldCharType="begin"/>
    </w:r>
    <w:r w:rsidRPr="004120B4">
      <w:rPr>
        <w:b/>
        <w:sz w:val="18"/>
      </w:rPr>
      <w:instrText xml:space="preserve"> PAGE  \* MERGEFORMAT </w:instrText>
    </w:r>
    <w:r w:rsidRPr="004120B4">
      <w:rPr>
        <w:b/>
        <w:sz w:val="18"/>
      </w:rPr>
      <w:fldChar w:fldCharType="separate"/>
    </w:r>
    <w:r w:rsidRPr="004120B4">
      <w:rPr>
        <w:b/>
        <w:noProof/>
        <w:sz w:val="18"/>
      </w:rPr>
      <w:t>2</w:t>
    </w:r>
    <w:r w:rsidRPr="004120B4">
      <w:rPr>
        <w:b/>
        <w:sz w:val="18"/>
      </w:rPr>
      <w:fldChar w:fldCharType="end"/>
    </w:r>
    <w:r>
      <w:rPr>
        <w:b/>
        <w:sz w:val="18"/>
      </w:rPr>
      <w:tab/>
    </w:r>
    <w:r>
      <w:t>GE.24-02960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0469" w14:textId="4DD2BA9C" w:rsidR="004120B4" w:rsidRPr="004120B4" w:rsidRDefault="004120B4" w:rsidP="004120B4">
    <w:pPr>
      <w:pStyle w:val="a8"/>
      <w:tabs>
        <w:tab w:val="clear" w:pos="9639"/>
        <w:tab w:val="right" w:pos="9638"/>
      </w:tabs>
      <w:rPr>
        <w:b/>
        <w:sz w:val="18"/>
      </w:rPr>
    </w:pPr>
    <w:r>
      <w:t>GE.24-02960</w:t>
    </w:r>
    <w:r>
      <w:tab/>
    </w:r>
    <w:r w:rsidRPr="004120B4">
      <w:rPr>
        <w:b/>
        <w:sz w:val="18"/>
      </w:rPr>
      <w:fldChar w:fldCharType="begin"/>
    </w:r>
    <w:r w:rsidRPr="004120B4">
      <w:rPr>
        <w:b/>
        <w:sz w:val="18"/>
      </w:rPr>
      <w:instrText xml:space="preserve"> PAGE  \* MERGEFORMAT </w:instrText>
    </w:r>
    <w:r w:rsidRPr="004120B4">
      <w:rPr>
        <w:b/>
        <w:sz w:val="18"/>
      </w:rPr>
      <w:fldChar w:fldCharType="separate"/>
    </w:r>
    <w:r w:rsidRPr="004120B4">
      <w:rPr>
        <w:b/>
        <w:noProof/>
        <w:sz w:val="18"/>
      </w:rPr>
      <w:t>3</w:t>
    </w:r>
    <w:r w:rsidRPr="004120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CC2C9" w14:textId="3D713FFF" w:rsidR="00042B72" w:rsidRPr="004120B4" w:rsidRDefault="004120B4" w:rsidP="004120B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99D3108" wp14:editId="507059A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24-02960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453577A" wp14:editId="57E9AA1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150424  160424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AADE8" w14:textId="77777777" w:rsidR="006F183C" w:rsidRPr="001075E9" w:rsidRDefault="006F18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642907" w14:textId="77777777" w:rsidR="006F183C" w:rsidRDefault="006F18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26CBDAE" w14:textId="77777777" w:rsidR="004120B4" w:rsidRPr="00741208" w:rsidRDefault="004120B4" w:rsidP="004120B4">
      <w:pPr>
        <w:pStyle w:val="ad"/>
      </w:pPr>
      <w:r>
        <w:tab/>
      </w:r>
      <w:r w:rsidRPr="004120B4">
        <w:rPr>
          <w:sz w:val="20"/>
        </w:rPr>
        <w:t>*</w:t>
      </w:r>
      <w:r>
        <w:tab/>
        <w:t>Приняты Комитетом на его девяносто пятой сессии (15 января — 2 февраля 2024 года).</w:t>
      </w:r>
    </w:p>
  </w:footnote>
  <w:footnote w:id="2">
    <w:p w14:paraId="40B5868A" w14:textId="73EB309E" w:rsidR="004120B4" w:rsidRPr="00741208" w:rsidRDefault="004120B4" w:rsidP="004120B4">
      <w:pPr>
        <w:pStyle w:val="ad"/>
        <w:rPr>
          <w:lang w:val="pt-PT"/>
        </w:rPr>
      </w:pPr>
      <w:r w:rsidRPr="00AA1BBF">
        <w:tab/>
      </w:r>
      <w:r w:rsidRPr="008B2A31">
        <w:rPr>
          <w:rStyle w:val="aa"/>
        </w:rPr>
        <w:footnoteRef/>
      </w:r>
      <w:r w:rsidRPr="00741208">
        <w:rPr>
          <w:lang w:val="pt-PT"/>
        </w:rPr>
        <w:tab/>
      </w:r>
      <w:hyperlink r:id="rId1" w:history="1">
        <w:r w:rsidRPr="00297BF3">
          <w:rPr>
            <w:rStyle w:val="af1"/>
          </w:rPr>
          <w:t>CRC/C/COG/5-6</w:t>
        </w:r>
      </w:hyperlink>
      <w:r w:rsidRPr="00741208">
        <w:rPr>
          <w:lang w:val="pt-PT"/>
        </w:rPr>
        <w:t>.</w:t>
      </w:r>
    </w:p>
  </w:footnote>
  <w:footnote w:id="3">
    <w:p w14:paraId="0EF73D2B" w14:textId="08F310D0" w:rsidR="004120B4" w:rsidRPr="00741208" w:rsidRDefault="004120B4" w:rsidP="004120B4">
      <w:pPr>
        <w:pStyle w:val="ad"/>
        <w:rPr>
          <w:lang w:val="pt-PT"/>
        </w:rPr>
      </w:pPr>
      <w:r w:rsidRPr="00741208">
        <w:rPr>
          <w:lang w:val="pt-PT"/>
        </w:rPr>
        <w:tab/>
      </w:r>
      <w:r w:rsidRPr="008B2A31">
        <w:rPr>
          <w:rStyle w:val="aa"/>
        </w:rPr>
        <w:footnoteRef/>
      </w:r>
      <w:r w:rsidRPr="00741208">
        <w:rPr>
          <w:lang w:val="pt-PT"/>
        </w:rPr>
        <w:tab/>
      </w:r>
      <w:r>
        <w:t>См</w:t>
      </w:r>
      <w:r w:rsidRPr="00741208">
        <w:rPr>
          <w:lang w:val="pt-PT"/>
        </w:rPr>
        <w:t xml:space="preserve">. </w:t>
      </w:r>
      <w:hyperlink r:id="rId2" w:history="1">
        <w:r w:rsidRPr="00C82BEF">
          <w:rPr>
            <w:rStyle w:val="af1"/>
            <w:lang w:val="pt-PT"/>
          </w:rPr>
          <w:t>CRC/C/SR.2758</w:t>
        </w:r>
      </w:hyperlink>
      <w:r w:rsidRPr="00741208">
        <w:rPr>
          <w:lang w:val="pt-PT"/>
        </w:rPr>
        <w:t xml:space="preserve"> </w:t>
      </w:r>
      <w:r>
        <w:t>и</w:t>
      </w:r>
      <w:r w:rsidRPr="00741208">
        <w:rPr>
          <w:lang w:val="pt-PT"/>
        </w:rPr>
        <w:t xml:space="preserve"> </w:t>
      </w:r>
      <w:hyperlink r:id="rId3" w:history="1">
        <w:r w:rsidRPr="00C82BEF">
          <w:rPr>
            <w:rStyle w:val="af1"/>
            <w:lang w:val="pt-PT"/>
          </w:rPr>
          <w:t>CRC/C/SR.2759</w:t>
        </w:r>
      </w:hyperlink>
      <w:r w:rsidRPr="00741208">
        <w:rPr>
          <w:lang w:val="pt-PT"/>
        </w:rPr>
        <w:t>.</w:t>
      </w:r>
    </w:p>
  </w:footnote>
  <w:footnote w:id="4">
    <w:p w14:paraId="31317521" w14:textId="77777777" w:rsidR="002A4804" w:rsidRPr="00741208" w:rsidRDefault="002A4804" w:rsidP="002A4804">
      <w:pPr>
        <w:pStyle w:val="ad"/>
        <w:rPr>
          <w:lang w:val="pt-PT"/>
        </w:rPr>
      </w:pPr>
      <w:r w:rsidRPr="00741208">
        <w:rPr>
          <w:lang w:val="pt-PT"/>
        </w:rPr>
        <w:tab/>
      </w:r>
      <w:r w:rsidRPr="008B2A31">
        <w:rPr>
          <w:rStyle w:val="aa"/>
        </w:rPr>
        <w:footnoteRef/>
      </w:r>
      <w:r w:rsidRPr="00741208">
        <w:rPr>
          <w:lang w:val="pt-PT"/>
        </w:rPr>
        <w:tab/>
      </w:r>
      <w:hyperlink r:id="rId4" w:history="1">
        <w:r w:rsidRPr="004120B4">
          <w:rPr>
            <w:rStyle w:val="af1"/>
            <w:lang w:val="en-US"/>
          </w:rPr>
          <w:t>CRC/C/COG/RQ/5-6</w:t>
        </w:r>
      </w:hyperlink>
      <w:r w:rsidRPr="00741208">
        <w:rPr>
          <w:lang w:val="pt-PT"/>
        </w:rPr>
        <w:t>.</w:t>
      </w:r>
    </w:p>
  </w:footnote>
  <w:footnote w:id="5">
    <w:p w14:paraId="14F577E2" w14:textId="75271AFE" w:rsidR="004120B4" w:rsidRPr="00741208" w:rsidRDefault="004120B4" w:rsidP="004120B4">
      <w:pPr>
        <w:pStyle w:val="ad"/>
        <w:rPr>
          <w:lang w:val="pt-PT"/>
        </w:rPr>
      </w:pPr>
      <w:r w:rsidRPr="00741208">
        <w:rPr>
          <w:lang w:val="pt-PT"/>
        </w:rPr>
        <w:tab/>
      </w:r>
      <w:r w:rsidRPr="008B2A31">
        <w:rPr>
          <w:rStyle w:val="aa"/>
        </w:rPr>
        <w:footnoteRef/>
      </w:r>
      <w:r w:rsidRPr="00741208">
        <w:rPr>
          <w:lang w:val="pt-PT"/>
        </w:rPr>
        <w:tab/>
      </w:r>
      <w:hyperlink r:id="rId5" w:history="1">
        <w:r w:rsidRPr="00C82BEF">
          <w:rPr>
            <w:rStyle w:val="af1"/>
            <w:lang w:val="pt-PT"/>
          </w:rPr>
          <w:t>CRC/C/COG/CO/2-4</w:t>
        </w:r>
      </w:hyperlink>
      <w:r w:rsidRPr="00741208">
        <w:rPr>
          <w:lang w:val="pt-PT"/>
        </w:rPr>
        <w:t xml:space="preserve">, </w:t>
      </w:r>
      <w:r w:rsidR="00C601C8">
        <w:t>пп</w:t>
      </w:r>
      <w:r w:rsidR="00C601C8" w:rsidRPr="00C601C8">
        <w:rPr>
          <w:lang w:val="en-US"/>
        </w:rPr>
        <w:t>.</w:t>
      </w:r>
      <w:r w:rsidRPr="00741208">
        <w:rPr>
          <w:lang w:val="pt-PT"/>
        </w:rPr>
        <w:t xml:space="preserve"> 29 </w:t>
      </w:r>
      <w:r>
        <w:t>и</w:t>
      </w:r>
      <w:r w:rsidRPr="00741208">
        <w:rPr>
          <w:lang w:val="pt-PT"/>
        </w:rPr>
        <w:t xml:space="preserve"> 43. </w:t>
      </w:r>
    </w:p>
  </w:footnote>
  <w:footnote w:id="6">
    <w:p w14:paraId="2804E4EE" w14:textId="5019BDB1" w:rsidR="004120B4" w:rsidRPr="00741208" w:rsidRDefault="004120B4" w:rsidP="004120B4">
      <w:pPr>
        <w:pStyle w:val="ad"/>
      </w:pPr>
      <w:r w:rsidRPr="00741208">
        <w:rPr>
          <w:lang w:val="pt-PT"/>
        </w:rPr>
        <w:tab/>
      </w:r>
      <w:r w:rsidRPr="008B2A31">
        <w:rPr>
          <w:rStyle w:val="aa"/>
        </w:rPr>
        <w:footnoteRef/>
      </w:r>
      <w:r>
        <w:tab/>
        <w:t>Там же, п</w:t>
      </w:r>
      <w:r w:rsidR="00C601C8">
        <w:t>.</w:t>
      </w:r>
      <w:r>
        <w:t> 17.</w:t>
      </w:r>
    </w:p>
  </w:footnote>
  <w:footnote w:id="7">
    <w:p w14:paraId="5ECF5168" w14:textId="38A378A6" w:rsidR="004120B4" w:rsidRPr="00741208" w:rsidRDefault="004120B4" w:rsidP="004120B4">
      <w:pPr>
        <w:pStyle w:val="ad"/>
      </w:pPr>
      <w:r w:rsidRPr="00AA1BBF">
        <w:tab/>
      </w:r>
      <w:r w:rsidRPr="008B2A31">
        <w:rPr>
          <w:rStyle w:val="aa"/>
        </w:rPr>
        <w:footnoteRef/>
      </w:r>
      <w:r>
        <w:tab/>
        <w:t>Там же, п</w:t>
      </w:r>
      <w:r w:rsidR="00C601C8">
        <w:t>.</w:t>
      </w:r>
      <w:r>
        <w:t> 19.</w:t>
      </w:r>
    </w:p>
  </w:footnote>
  <w:footnote w:id="8">
    <w:p w14:paraId="5272DF8B" w14:textId="77777777" w:rsidR="004120B4" w:rsidRPr="00741208" w:rsidRDefault="004120B4" w:rsidP="004120B4">
      <w:pPr>
        <w:pStyle w:val="ad"/>
      </w:pPr>
      <w:r w:rsidRPr="00AA1BBF">
        <w:tab/>
      </w:r>
      <w:r w:rsidRPr="008B2A31">
        <w:rPr>
          <w:rStyle w:val="aa"/>
        </w:rPr>
        <w:footnoteRef/>
      </w:r>
      <w:r>
        <w:tab/>
        <w:t xml:space="preserve">См. </w:t>
      </w:r>
      <w:hyperlink r:id="rId6" w:history="1">
        <w:r w:rsidRPr="002919FC">
          <w:rPr>
            <w:rStyle w:val="af1"/>
          </w:rPr>
          <w:t>https://www.ohchr.org/en/publications/policy-and-methodological-publications/human-rights-indicators-guide-measurement-and</w:t>
        </w:r>
      </w:hyperlink>
      <w:r>
        <w:t>.</w:t>
      </w:r>
    </w:p>
  </w:footnote>
  <w:footnote w:id="9">
    <w:p w14:paraId="1BF6AC64" w14:textId="3DF00E2C" w:rsidR="004120B4" w:rsidRPr="004120B4" w:rsidRDefault="004120B4" w:rsidP="004120B4">
      <w:pPr>
        <w:pStyle w:val="ad"/>
        <w:rPr>
          <w:lang w:val="en-US"/>
        </w:rPr>
      </w:pPr>
      <w:r>
        <w:tab/>
      </w:r>
      <w:r w:rsidRPr="008B2A31">
        <w:rPr>
          <w:rStyle w:val="aa"/>
        </w:rPr>
        <w:footnoteRef/>
      </w:r>
      <w:r w:rsidRPr="00741208">
        <w:rPr>
          <w:lang w:val="en-US"/>
        </w:rPr>
        <w:tab/>
      </w:r>
      <w:hyperlink r:id="rId7" w:history="1">
        <w:r w:rsidRPr="00C82BEF">
          <w:rPr>
            <w:rStyle w:val="af1"/>
            <w:lang w:val="en-US"/>
          </w:rPr>
          <w:t>CRC/C/COG/CO/2-4</w:t>
        </w:r>
      </w:hyperlink>
      <w:r w:rsidRPr="00741208">
        <w:rPr>
          <w:lang w:val="en-US"/>
        </w:rPr>
        <w:t xml:space="preserve">, </w:t>
      </w:r>
      <w:r>
        <w:t>п</w:t>
      </w:r>
      <w:r w:rsidR="00C601C8" w:rsidRPr="00C601C8">
        <w:rPr>
          <w:lang w:val="en-US"/>
        </w:rPr>
        <w:t>.</w:t>
      </w:r>
      <w:r w:rsidRPr="008471FE">
        <w:rPr>
          <w:lang w:val="en-US"/>
        </w:rPr>
        <w:t> </w:t>
      </w:r>
      <w:proofErr w:type="gramStart"/>
      <w:r w:rsidRPr="00741208">
        <w:rPr>
          <w:lang w:val="en-US"/>
        </w:rPr>
        <w:t>23</w:t>
      </w:r>
      <w:proofErr w:type="gramEnd"/>
      <w:r w:rsidRPr="00741208">
        <w:rPr>
          <w:lang w:val="en-US"/>
        </w:rPr>
        <w:t>.</w:t>
      </w:r>
    </w:p>
  </w:footnote>
  <w:footnote w:id="10">
    <w:p w14:paraId="61404A73" w14:textId="1E8C2117" w:rsidR="004120B4" w:rsidRPr="00741208" w:rsidRDefault="004120B4" w:rsidP="004120B4">
      <w:pPr>
        <w:pStyle w:val="ad"/>
      </w:pPr>
      <w:r w:rsidRPr="00741208">
        <w:rPr>
          <w:lang w:val="en-US"/>
        </w:rPr>
        <w:tab/>
      </w:r>
      <w:r w:rsidRPr="008B2A31">
        <w:rPr>
          <w:rStyle w:val="aa"/>
        </w:rPr>
        <w:footnoteRef/>
      </w:r>
      <w:r>
        <w:tab/>
        <w:t>Там же, п</w:t>
      </w:r>
      <w:r w:rsidR="00C601C8">
        <w:t>.</w:t>
      </w:r>
      <w:r>
        <w:t> 27.</w:t>
      </w:r>
    </w:p>
  </w:footnote>
  <w:footnote w:id="11">
    <w:p w14:paraId="7A74FA9C" w14:textId="66F63F83" w:rsidR="004120B4" w:rsidRPr="00004A83" w:rsidRDefault="004120B4" w:rsidP="004120B4">
      <w:pPr>
        <w:pStyle w:val="ad"/>
      </w:pPr>
      <w:r w:rsidRPr="007615CA">
        <w:tab/>
      </w:r>
      <w:r w:rsidRPr="008B2A31">
        <w:rPr>
          <w:rStyle w:val="aa"/>
        </w:rPr>
        <w:footnoteRef/>
      </w:r>
      <w:r w:rsidRPr="00004A83">
        <w:tab/>
      </w:r>
      <w:hyperlink r:id="rId8" w:history="1">
        <w:r w:rsidRPr="00C82BEF">
          <w:rPr>
            <w:rStyle w:val="af1"/>
            <w:lang w:val="en-US"/>
          </w:rPr>
          <w:t>CRC</w:t>
        </w:r>
        <w:r w:rsidRPr="00004A83">
          <w:rPr>
            <w:rStyle w:val="af1"/>
          </w:rPr>
          <w:t>/</w:t>
        </w:r>
        <w:r w:rsidRPr="00C82BEF">
          <w:rPr>
            <w:rStyle w:val="af1"/>
            <w:lang w:val="en-US"/>
          </w:rPr>
          <w:t>C</w:t>
        </w:r>
        <w:r w:rsidRPr="00004A83">
          <w:rPr>
            <w:rStyle w:val="af1"/>
          </w:rPr>
          <w:t>/</w:t>
        </w:r>
        <w:r w:rsidRPr="00C82BEF">
          <w:rPr>
            <w:rStyle w:val="af1"/>
            <w:lang w:val="en-US"/>
          </w:rPr>
          <w:t>COG</w:t>
        </w:r>
        <w:r w:rsidRPr="00004A83">
          <w:rPr>
            <w:rStyle w:val="af1"/>
          </w:rPr>
          <w:t>/</w:t>
        </w:r>
        <w:r w:rsidRPr="00C82BEF">
          <w:rPr>
            <w:rStyle w:val="af1"/>
            <w:lang w:val="en-US"/>
          </w:rPr>
          <w:t>CO</w:t>
        </w:r>
        <w:r w:rsidRPr="00004A83">
          <w:rPr>
            <w:rStyle w:val="af1"/>
          </w:rPr>
          <w:t>/2-4</w:t>
        </w:r>
      </w:hyperlink>
      <w:r w:rsidRPr="00004A83">
        <w:t xml:space="preserve">, </w:t>
      </w:r>
      <w:r>
        <w:t>п</w:t>
      </w:r>
      <w:r w:rsidR="00C601C8">
        <w:t>.</w:t>
      </w:r>
      <w:r w:rsidRPr="00C82BEF">
        <w:rPr>
          <w:lang w:val="en-US"/>
        </w:rPr>
        <w:t> </w:t>
      </w:r>
      <w:proofErr w:type="gramStart"/>
      <w:r w:rsidRPr="00004A83">
        <w:t>63</w:t>
      </w:r>
      <w:proofErr w:type="gramEnd"/>
      <w:r w:rsidRPr="00004A83">
        <w:t>.</w:t>
      </w:r>
    </w:p>
  </w:footnote>
  <w:footnote w:id="12">
    <w:p w14:paraId="74BF34E5" w14:textId="1D64733F" w:rsidR="004120B4" w:rsidRPr="00741208" w:rsidRDefault="004120B4" w:rsidP="004120B4">
      <w:pPr>
        <w:pStyle w:val="ad"/>
        <w:widowControl w:val="0"/>
        <w:tabs>
          <w:tab w:val="clear" w:pos="1021"/>
          <w:tab w:val="right" w:pos="1020"/>
        </w:tabs>
      </w:pPr>
      <w:r w:rsidRPr="00004A83">
        <w:tab/>
      </w:r>
      <w:r w:rsidRPr="008B2A31">
        <w:rPr>
          <w:rStyle w:val="aa"/>
        </w:rPr>
        <w:footnoteRef/>
      </w:r>
      <w:r>
        <w:tab/>
        <w:t xml:space="preserve">Резолюция </w:t>
      </w:r>
      <w:hyperlink r:id="rId9" w:history="1">
        <w:r w:rsidRPr="00004A83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13">
    <w:p w14:paraId="665D29B4" w14:textId="6F8A6220" w:rsidR="004120B4" w:rsidRPr="00C40D09" w:rsidRDefault="004120B4" w:rsidP="004120B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A1BBF">
        <w:tab/>
      </w:r>
      <w:r w:rsidRPr="008B2A31">
        <w:rPr>
          <w:rStyle w:val="aa"/>
        </w:rPr>
        <w:footnoteRef/>
      </w:r>
      <w:r w:rsidRPr="00C40D09">
        <w:rPr>
          <w:lang w:val="en-US"/>
        </w:rPr>
        <w:tab/>
      </w:r>
      <w:hyperlink r:id="rId10" w:history="1">
        <w:r w:rsidRPr="00C82BEF">
          <w:rPr>
            <w:rStyle w:val="af1"/>
            <w:lang w:val="en-US"/>
          </w:rPr>
          <w:t>CRC</w:t>
        </w:r>
        <w:r w:rsidRPr="00C40D09">
          <w:rPr>
            <w:rStyle w:val="af1"/>
            <w:lang w:val="en-US"/>
          </w:rPr>
          <w:t>/</w:t>
        </w:r>
        <w:r w:rsidRPr="00C82BEF">
          <w:rPr>
            <w:rStyle w:val="af1"/>
            <w:lang w:val="en-US"/>
          </w:rPr>
          <w:t>C</w:t>
        </w:r>
        <w:r w:rsidRPr="00C40D09">
          <w:rPr>
            <w:rStyle w:val="af1"/>
            <w:lang w:val="en-US"/>
          </w:rPr>
          <w:t>/</w:t>
        </w:r>
        <w:r w:rsidRPr="00C82BEF">
          <w:rPr>
            <w:rStyle w:val="af1"/>
            <w:lang w:val="en-US"/>
          </w:rPr>
          <w:t>COG</w:t>
        </w:r>
        <w:r w:rsidRPr="00C40D09">
          <w:rPr>
            <w:rStyle w:val="af1"/>
            <w:lang w:val="en-US"/>
          </w:rPr>
          <w:t>/</w:t>
        </w:r>
        <w:r w:rsidRPr="00C82BEF">
          <w:rPr>
            <w:rStyle w:val="af1"/>
            <w:lang w:val="en-US"/>
          </w:rPr>
          <w:t>CO</w:t>
        </w:r>
        <w:r w:rsidRPr="00C40D09">
          <w:rPr>
            <w:rStyle w:val="af1"/>
            <w:lang w:val="en-US"/>
          </w:rPr>
          <w:t>/2-4</w:t>
        </w:r>
      </w:hyperlink>
      <w:r w:rsidRPr="00C40D09">
        <w:rPr>
          <w:lang w:val="en-US"/>
        </w:rPr>
        <w:t xml:space="preserve">, </w:t>
      </w:r>
      <w:r>
        <w:t>п</w:t>
      </w:r>
      <w:r w:rsidR="00C601C8" w:rsidRPr="00C601C8">
        <w:rPr>
          <w:lang w:val="en-US"/>
        </w:rPr>
        <w:t>.</w:t>
      </w:r>
      <w:r w:rsidRPr="008471FE">
        <w:rPr>
          <w:lang w:val="en-US"/>
        </w:rPr>
        <w:t> </w:t>
      </w:r>
      <w:proofErr w:type="gramStart"/>
      <w:r w:rsidRPr="00C40D09">
        <w:rPr>
          <w:lang w:val="en-US"/>
        </w:rPr>
        <w:t>53</w:t>
      </w:r>
      <w:proofErr w:type="gramEnd"/>
      <w:r w:rsidRPr="00C40D09">
        <w:rPr>
          <w:lang w:val="en-US"/>
        </w:rPr>
        <w:t>.</w:t>
      </w:r>
    </w:p>
  </w:footnote>
  <w:footnote w:id="14">
    <w:p w14:paraId="1F15C99E" w14:textId="6F257A96" w:rsidR="004120B4" w:rsidRPr="004120B4" w:rsidRDefault="004120B4" w:rsidP="004120B4">
      <w:pPr>
        <w:pStyle w:val="ad"/>
        <w:widowControl w:val="0"/>
        <w:tabs>
          <w:tab w:val="clear" w:pos="1021"/>
          <w:tab w:val="right" w:pos="1020"/>
        </w:tabs>
        <w:jc w:val="both"/>
        <w:rPr>
          <w:lang w:val="en-US"/>
        </w:rPr>
      </w:pPr>
      <w:r w:rsidRPr="00C40D09">
        <w:rPr>
          <w:lang w:val="en-US"/>
        </w:rPr>
        <w:tab/>
      </w:r>
      <w:r w:rsidRPr="008B2A31">
        <w:rPr>
          <w:rStyle w:val="aa"/>
        </w:rPr>
        <w:footnoteRef/>
      </w:r>
      <w:r w:rsidRPr="00741208">
        <w:rPr>
          <w:lang w:val="en-US"/>
        </w:rPr>
        <w:tab/>
      </w:r>
      <w:hyperlink r:id="rId11" w:history="1">
        <w:r w:rsidRPr="00C82BEF">
          <w:rPr>
            <w:rStyle w:val="af1"/>
            <w:lang w:val="en-US"/>
          </w:rPr>
          <w:t>CRC/C/COG/CO/2-4</w:t>
        </w:r>
      </w:hyperlink>
      <w:r w:rsidRPr="00741208">
        <w:rPr>
          <w:lang w:val="en-US"/>
        </w:rPr>
        <w:t xml:space="preserve">, </w:t>
      </w:r>
      <w:r>
        <w:t>п</w:t>
      </w:r>
      <w:r w:rsidR="00C601C8" w:rsidRPr="00C601C8">
        <w:rPr>
          <w:lang w:val="en-US"/>
        </w:rPr>
        <w:t>.</w:t>
      </w:r>
      <w:r w:rsidRPr="008471FE">
        <w:rPr>
          <w:lang w:val="en-US"/>
        </w:rPr>
        <w:t> </w:t>
      </w:r>
      <w:proofErr w:type="gramStart"/>
      <w:r w:rsidRPr="00741208">
        <w:rPr>
          <w:lang w:val="en-US"/>
        </w:rPr>
        <w:t>75</w:t>
      </w:r>
      <w:proofErr w:type="gramEnd"/>
      <w:r w:rsidRPr="00741208">
        <w:rPr>
          <w:lang w:val="en-US"/>
        </w:rPr>
        <w:t>.</w:t>
      </w:r>
    </w:p>
  </w:footnote>
  <w:footnote w:id="15">
    <w:p w14:paraId="21E4631B" w14:textId="2E51D570" w:rsidR="004120B4" w:rsidRPr="00741208" w:rsidRDefault="004120B4" w:rsidP="004120B4">
      <w:pPr>
        <w:pStyle w:val="ad"/>
        <w:widowControl w:val="0"/>
        <w:tabs>
          <w:tab w:val="clear" w:pos="1021"/>
          <w:tab w:val="right" w:pos="1020"/>
        </w:tabs>
      </w:pPr>
      <w:r w:rsidRPr="00741208">
        <w:rPr>
          <w:lang w:val="en-US"/>
        </w:rPr>
        <w:tab/>
      </w:r>
      <w:r w:rsidRPr="008B2A31">
        <w:rPr>
          <w:rStyle w:val="aa"/>
        </w:rPr>
        <w:footnoteRef/>
      </w:r>
      <w:r>
        <w:tab/>
      </w:r>
      <w:hyperlink r:id="rId12" w:history="1">
        <w:r w:rsidRPr="00A2197E">
          <w:rPr>
            <w:rStyle w:val="af1"/>
          </w:rPr>
          <w:t>CRC/C/58/Rev.3</w:t>
        </w:r>
      </w:hyperlink>
      <w:r>
        <w:t>.</w:t>
      </w:r>
    </w:p>
  </w:footnote>
  <w:footnote w:id="16">
    <w:p w14:paraId="51BAB8D5" w14:textId="303B3F46" w:rsidR="004120B4" w:rsidRPr="00741208" w:rsidRDefault="004120B4" w:rsidP="004120B4">
      <w:pPr>
        <w:pStyle w:val="ad"/>
        <w:widowControl w:val="0"/>
        <w:tabs>
          <w:tab w:val="clear" w:pos="1021"/>
          <w:tab w:val="right" w:pos="1020"/>
        </w:tabs>
      </w:pPr>
      <w:r w:rsidRPr="00AA1BBF">
        <w:tab/>
      </w:r>
      <w:r w:rsidRPr="008B2A31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A2197E">
          <w:rPr>
            <w:rStyle w:val="af1"/>
          </w:rPr>
          <w:t>68/268</w:t>
        </w:r>
      </w:hyperlink>
      <w:r>
        <w:t xml:space="preserve"> Генеральной Ассамблеи, п</w:t>
      </w:r>
      <w:r w:rsidR="00C601C8">
        <w:t>.</w:t>
      </w:r>
      <w:r>
        <w:t> 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C207" w14:textId="2EC32DE6" w:rsidR="004120B4" w:rsidRPr="004120B4" w:rsidRDefault="004120B4">
    <w:pPr>
      <w:pStyle w:val="a5"/>
    </w:pPr>
    <w:fldSimple w:instr=" TITLE  \* MERGEFORMAT ">
      <w:r w:rsidR="003E7D3B">
        <w:t>CRC/C/COG/CO/5-6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6BFF" w14:textId="5F770827" w:rsidR="004120B4" w:rsidRPr="004120B4" w:rsidRDefault="004120B4" w:rsidP="004120B4">
    <w:pPr>
      <w:pStyle w:val="a5"/>
      <w:jc w:val="right"/>
    </w:pPr>
    <w:fldSimple w:instr=" TITLE  \* MERGEFORMAT ">
      <w:r w:rsidR="003E7D3B">
        <w:t>CRC/C/COG/CO/5-6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87217217">
    <w:abstractNumId w:val="20"/>
  </w:num>
  <w:num w:numId="2" w16cid:durableId="957882232">
    <w:abstractNumId w:val="14"/>
  </w:num>
  <w:num w:numId="3" w16cid:durableId="210307242">
    <w:abstractNumId w:val="11"/>
  </w:num>
  <w:num w:numId="4" w16cid:durableId="454494155">
    <w:abstractNumId w:val="21"/>
  </w:num>
  <w:num w:numId="5" w16cid:durableId="875892290">
    <w:abstractNumId w:val="16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9"/>
  </w:num>
  <w:num w:numId="17" w16cid:durableId="1995335754">
    <w:abstractNumId w:val="15"/>
  </w:num>
  <w:num w:numId="18" w16cid:durableId="1380204083">
    <w:abstractNumId w:val="17"/>
  </w:num>
  <w:num w:numId="19" w16cid:durableId="2146389999">
    <w:abstractNumId w:val="19"/>
  </w:num>
  <w:num w:numId="20" w16cid:durableId="1408845526">
    <w:abstractNumId w:val="15"/>
  </w:num>
  <w:num w:numId="21" w16cid:durableId="1082677034">
    <w:abstractNumId w:val="17"/>
  </w:num>
  <w:num w:numId="22" w16cid:durableId="663313074">
    <w:abstractNumId w:val="13"/>
  </w:num>
  <w:num w:numId="23" w16cid:durableId="929116379">
    <w:abstractNumId w:val="12"/>
  </w:num>
  <w:num w:numId="24" w16cid:durableId="1801726965">
    <w:abstractNumId w:val="10"/>
  </w:num>
  <w:num w:numId="25" w16cid:durableId="335571492">
    <w:abstractNumId w:val="18"/>
  </w:num>
  <w:num w:numId="26" w16cid:durableId="588974618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83C"/>
    <w:rsid w:val="00004A83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2D0C"/>
    <w:rsid w:val="0018649F"/>
    <w:rsid w:val="00196389"/>
    <w:rsid w:val="001B3EF6"/>
    <w:rsid w:val="001C7A89"/>
    <w:rsid w:val="00284D66"/>
    <w:rsid w:val="002A2EFC"/>
    <w:rsid w:val="002A4804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562BD"/>
    <w:rsid w:val="00381C24"/>
    <w:rsid w:val="00385DF7"/>
    <w:rsid w:val="003958D0"/>
    <w:rsid w:val="003B00E5"/>
    <w:rsid w:val="003E7D3B"/>
    <w:rsid w:val="00407B78"/>
    <w:rsid w:val="004120B4"/>
    <w:rsid w:val="00424203"/>
    <w:rsid w:val="00452493"/>
    <w:rsid w:val="00453318"/>
    <w:rsid w:val="00454E07"/>
    <w:rsid w:val="00472C5C"/>
    <w:rsid w:val="0050108D"/>
    <w:rsid w:val="00513081"/>
    <w:rsid w:val="00515D0D"/>
    <w:rsid w:val="00517901"/>
    <w:rsid w:val="00526683"/>
    <w:rsid w:val="00565B69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0E3A"/>
    <w:rsid w:val="006C2031"/>
    <w:rsid w:val="006D461A"/>
    <w:rsid w:val="006F183C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76796"/>
    <w:rsid w:val="00894693"/>
    <w:rsid w:val="008A08D7"/>
    <w:rsid w:val="008B6890"/>
    <w:rsid w:val="008B6909"/>
    <w:rsid w:val="00906890"/>
    <w:rsid w:val="00911BE4"/>
    <w:rsid w:val="0093557E"/>
    <w:rsid w:val="00951972"/>
    <w:rsid w:val="009608F3"/>
    <w:rsid w:val="00985124"/>
    <w:rsid w:val="009A24AC"/>
    <w:rsid w:val="009B53D0"/>
    <w:rsid w:val="00A10705"/>
    <w:rsid w:val="00A14DA8"/>
    <w:rsid w:val="00A2197E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0D09"/>
    <w:rsid w:val="00C45D65"/>
    <w:rsid w:val="00C601C8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EB8F7"/>
  <w15:docId w15:val="{62305AAF-B1A3-4135-ACD6-13834447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numbering" w:styleId="111111">
    <w:name w:val="Outline List 2"/>
    <w:basedOn w:val="a2"/>
    <w:semiHidden/>
    <w:rsid w:val="004120B4"/>
    <w:pPr>
      <w:numPr>
        <w:numId w:val="25"/>
      </w:numPr>
    </w:pPr>
  </w:style>
  <w:style w:type="numbering" w:styleId="1ai">
    <w:name w:val="Outline List 1"/>
    <w:basedOn w:val="a2"/>
    <w:semiHidden/>
    <w:rsid w:val="004120B4"/>
    <w:pPr>
      <w:numPr>
        <w:numId w:val="26"/>
      </w:numPr>
    </w:pPr>
  </w:style>
  <w:style w:type="character" w:customStyle="1" w:styleId="20">
    <w:name w:val="Заголовок 2 Знак"/>
    <w:basedOn w:val="a0"/>
    <w:link w:val="2"/>
    <w:semiHidden/>
    <w:rsid w:val="004120B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120B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120B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120B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120B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120B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120B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120B4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4120B4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4120B4"/>
    <w:rPr>
      <w:lang w:val="ru-RU" w:eastAsia="en-US"/>
    </w:rPr>
  </w:style>
  <w:style w:type="character" w:customStyle="1" w:styleId="HChGChar">
    <w:name w:val="_ H _Ch_G Char"/>
    <w:link w:val="HChG"/>
    <w:locked/>
    <w:rsid w:val="004120B4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4120B4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4120B4"/>
    <w:rPr>
      <w:lang w:val="en-GB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120B4"/>
    <w:rPr>
      <w:color w:val="605E5C"/>
      <w:shd w:val="clear" w:color="auto" w:fill="E1DFDD"/>
    </w:rPr>
  </w:style>
  <w:style w:type="character" w:styleId="af5">
    <w:name w:val="Unresolved Mention"/>
    <w:basedOn w:val="a0"/>
    <w:uiPriority w:val="99"/>
    <w:semiHidden/>
    <w:unhideWhenUsed/>
    <w:rsid w:val="00412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COG/CO/2" TargetMode="External"/><Relationship Id="rId13" Type="http://schemas.openxmlformats.org/officeDocument/2006/relationships/hyperlink" Target="http://undocs.org/ru/A/RES/68/268" TargetMode="External"/><Relationship Id="rId3" Type="http://schemas.openxmlformats.org/officeDocument/2006/relationships/hyperlink" Target="http://undocs.org/ru/CRC/C/SR.2759" TargetMode="External"/><Relationship Id="rId7" Type="http://schemas.openxmlformats.org/officeDocument/2006/relationships/hyperlink" Target="http://undocs.org/ru/CRC/C/COG/CO/2" TargetMode="External"/><Relationship Id="rId12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ru/CRC/C/SR.2758" TargetMode="External"/><Relationship Id="rId1" Type="http://schemas.openxmlformats.org/officeDocument/2006/relationships/hyperlink" Target="http://undocs.org/en/CRC/C/COG/5-6" TargetMode="External"/><Relationship Id="rId6" Type="http://schemas.openxmlformats.org/officeDocument/2006/relationships/hyperlink" Target="https://www.ohchr.org/en/publications/policy-and-methodological-publications/human-rights-indicators-guide-measurement-and" TargetMode="External"/><Relationship Id="rId11" Type="http://schemas.openxmlformats.org/officeDocument/2006/relationships/hyperlink" Target="http://undocs.org/ru/CRC/C/COG/CO/2" TargetMode="External"/><Relationship Id="rId5" Type="http://schemas.openxmlformats.org/officeDocument/2006/relationships/hyperlink" Target="http://undocs.org/ru/CRC/C/COG/CO/2" TargetMode="External"/><Relationship Id="rId10" Type="http://schemas.openxmlformats.org/officeDocument/2006/relationships/hyperlink" Target="http://undocs.org/ru/CRC/C/COG/CO/2" TargetMode="External"/><Relationship Id="rId4" Type="http://schemas.openxmlformats.org/officeDocument/2006/relationships/hyperlink" Target="http://undocs.org/en/CRC/C/COG/RQ/5-6" TargetMode="External"/><Relationship Id="rId9" Type="http://schemas.openxmlformats.org/officeDocument/2006/relationships/hyperlink" Target="http://undocs.org/ru/A/RES/64/1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21</Pages>
  <Words>7196</Words>
  <Characters>49611</Characters>
  <Application>Microsoft Office Word</Application>
  <DocSecurity>0</DocSecurity>
  <Lines>954</Lines>
  <Paragraphs>268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CRC/C/COG/CO/5-6</vt:lpstr>
      <vt:lpstr>A/</vt:lpstr>
      <vt:lpstr>A/</vt:lpstr>
    </vt:vector>
  </TitlesOfParts>
  <Company>DCM</Company>
  <LinksUpToDate>false</LinksUpToDate>
  <CharactersWithSpaces>56866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CRC/C/COG/CO/5-6</dc:title>
  <dc:subject/>
  <dc:creator>Uliana ANTIPOVA</dc:creator>
  <cp:keywords/>
  <cp:lastModifiedBy>Uliana Antipova</cp:lastModifiedBy>
  <cp:revision>3</cp:revision>
  <cp:lastPrinted>2024-04-16T15:18:00Z</cp:lastPrinted>
  <dcterms:created xsi:type="dcterms:W3CDTF">2024-04-16T15:18:00Z</dcterms:created>
  <dcterms:modified xsi:type="dcterms:W3CDTF">2024-04-16T15:20:00Z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