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EED9500" w14:textId="77777777" w:rsidTr="00E6618E">
        <w:trPr>
          <w:trHeight w:hRule="exact" w:val="851"/>
        </w:trPr>
        <w:tc>
          <w:tcPr>
            <w:tcW w:w="1276" w:type="dxa"/>
            <w:tcBorders>
              <w:bottom w:val="single" w:sz="4" w:space="0" w:color="auto"/>
            </w:tcBorders>
          </w:tcPr>
          <w:p w14:paraId="45622542" w14:textId="77777777" w:rsidR="00A12E20" w:rsidRPr="00DB58B5" w:rsidRDefault="00A12E20" w:rsidP="002929A4"/>
        </w:tc>
        <w:tc>
          <w:tcPr>
            <w:tcW w:w="2268" w:type="dxa"/>
            <w:tcBorders>
              <w:bottom w:val="single" w:sz="4" w:space="0" w:color="auto"/>
            </w:tcBorders>
            <w:vAlign w:val="bottom"/>
          </w:tcPr>
          <w:p w14:paraId="613C2B5E"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C589F8C" w14:textId="5ED2EAFE" w:rsidR="00A12E20" w:rsidRPr="00DB58B5" w:rsidRDefault="002929A4" w:rsidP="002929A4">
            <w:pPr>
              <w:jc w:val="right"/>
            </w:pPr>
            <w:r w:rsidRPr="002929A4">
              <w:rPr>
                <w:sz w:val="40"/>
              </w:rPr>
              <w:t>A</w:t>
            </w:r>
            <w:r>
              <w:t>/HRC/RES/53/2</w:t>
            </w:r>
          </w:p>
        </w:tc>
      </w:tr>
      <w:tr w:rsidR="00A12E20" w:rsidRPr="00DB58B5" w14:paraId="5197E38D" w14:textId="77777777" w:rsidTr="00E6618E">
        <w:trPr>
          <w:trHeight w:hRule="exact" w:val="2835"/>
        </w:trPr>
        <w:tc>
          <w:tcPr>
            <w:tcW w:w="1276" w:type="dxa"/>
            <w:tcBorders>
              <w:top w:val="single" w:sz="4" w:space="0" w:color="auto"/>
              <w:bottom w:val="single" w:sz="12" w:space="0" w:color="auto"/>
            </w:tcBorders>
          </w:tcPr>
          <w:p w14:paraId="0B7A045C" w14:textId="77777777" w:rsidR="00A12E20" w:rsidRPr="00DB58B5" w:rsidRDefault="00A12E20" w:rsidP="00E6618E">
            <w:pPr>
              <w:spacing w:before="120"/>
              <w:jc w:val="center"/>
            </w:pPr>
            <w:r>
              <w:rPr>
                <w:noProof/>
                <w:lang w:eastAsia="fr-CH"/>
              </w:rPr>
              <w:drawing>
                <wp:inline distT="0" distB="0" distL="0" distR="0" wp14:anchorId="09CFF4C1" wp14:editId="09ED337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05EB5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C6F7344" w14:textId="77777777" w:rsidR="00A12E20" w:rsidRDefault="002929A4" w:rsidP="00E6618E">
            <w:pPr>
              <w:spacing w:before="240"/>
            </w:pPr>
            <w:proofErr w:type="spellStart"/>
            <w:r>
              <w:t>Distr</w:t>
            </w:r>
            <w:proofErr w:type="spellEnd"/>
            <w:r>
              <w:t xml:space="preserve">. </w:t>
            </w:r>
            <w:proofErr w:type="gramStart"/>
            <w:r>
              <w:t>générale</w:t>
            </w:r>
            <w:proofErr w:type="gramEnd"/>
          </w:p>
          <w:p w14:paraId="7504CDFF" w14:textId="05AA5F69" w:rsidR="002929A4" w:rsidRDefault="002929A4" w:rsidP="002929A4">
            <w:pPr>
              <w:spacing w:line="240" w:lineRule="exact"/>
            </w:pPr>
            <w:r>
              <w:t>20 juillet 2023</w:t>
            </w:r>
          </w:p>
          <w:p w14:paraId="1FF81EA4" w14:textId="77777777" w:rsidR="002929A4" w:rsidRDefault="002929A4" w:rsidP="002929A4">
            <w:pPr>
              <w:spacing w:line="240" w:lineRule="exact"/>
            </w:pPr>
            <w:r>
              <w:t>Français</w:t>
            </w:r>
          </w:p>
          <w:p w14:paraId="7522C2CB" w14:textId="496D28D6" w:rsidR="002929A4" w:rsidRPr="00DB58B5" w:rsidRDefault="002929A4" w:rsidP="002929A4">
            <w:pPr>
              <w:spacing w:line="240" w:lineRule="exact"/>
            </w:pPr>
            <w:r>
              <w:t>Original : anglais</w:t>
            </w:r>
          </w:p>
        </w:tc>
      </w:tr>
    </w:tbl>
    <w:p w14:paraId="4B01712A" w14:textId="77777777" w:rsidR="00D45432" w:rsidRDefault="00D45432" w:rsidP="00D45432">
      <w:pPr>
        <w:spacing w:before="120"/>
        <w:rPr>
          <w:b/>
          <w:sz w:val="24"/>
          <w:szCs w:val="24"/>
        </w:rPr>
      </w:pPr>
      <w:r w:rsidRPr="00BA184E">
        <w:rPr>
          <w:b/>
          <w:sz w:val="24"/>
          <w:szCs w:val="24"/>
        </w:rPr>
        <w:t>Conseil des droits de l’homme</w:t>
      </w:r>
    </w:p>
    <w:p w14:paraId="45E2EC6F" w14:textId="77777777" w:rsidR="002929A4" w:rsidRPr="00E50532" w:rsidRDefault="002929A4" w:rsidP="002929A4">
      <w:pPr>
        <w:rPr>
          <w:b/>
        </w:rPr>
      </w:pPr>
      <w:r>
        <w:rPr>
          <w:b/>
        </w:rPr>
        <w:t>Cinquante-troisième</w:t>
      </w:r>
      <w:r w:rsidRPr="00E50532">
        <w:rPr>
          <w:b/>
        </w:rPr>
        <w:t xml:space="preserve"> session</w:t>
      </w:r>
    </w:p>
    <w:p w14:paraId="2D953039" w14:textId="77777777" w:rsidR="002929A4" w:rsidRDefault="002929A4" w:rsidP="002929A4">
      <w:r>
        <w:t>19 juin-14 juillet 2023</w:t>
      </w:r>
    </w:p>
    <w:p w14:paraId="4F67C2A3" w14:textId="77777777" w:rsidR="002929A4" w:rsidRPr="00E50532" w:rsidRDefault="002929A4" w:rsidP="002929A4">
      <w:r w:rsidRPr="00E50532">
        <w:t>Poin</w:t>
      </w:r>
      <w:r>
        <w:t>t 2</w:t>
      </w:r>
      <w:r w:rsidRPr="00E50532">
        <w:t xml:space="preserve"> de l</w:t>
      </w:r>
      <w:r>
        <w:t>’</w:t>
      </w:r>
      <w:r w:rsidRPr="00E50532">
        <w:t>ordre du jour</w:t>
      </w:r>
    </w:p>
    <w:p w14:paraId="5AA2CF70" w14:textId="77777777" w:rsidR="002929A4" w:rsidRDefault="002929A4" w:rsidP="002929A4">
      <w:pPr>
        <w:rPr>
          <w:b/>
          <w:bCs/>
          <w:lang w:val="fr-FR"/>
        </w:rPr>
      </w:pPr>
      <w:r>
        <w:rPr>
          <w:b/>
          <w:bCs/>
          <w:lang w:val="fr-FR"/>
        </w:rPr>
        <w:t xml:space="preserve">Rapport annuel du Haut-Commissaire des Nations Unies </w:t>
      </w:r>
      <w:r>
        <w:rPr>
          <w:b/>
          <w:bCs/>
          <w:lang w:val="fr-FR"/>
        </w:rPr>
        <w:br/>
      </w:r>
      <w:r w:rsidRPr="007471F6">
        <w:rPr>
          <w:b/>
          <w:bCs/>
          <w:spacing w:val="-2"/>
          <w:lang w:val="fr-FR"/>
        </w:rPr>
        <w:t>aux droits de l</w:t>
      </w:r>
      <w:r>
        <w:rPr>
          <w:b/>
          <w:bCs/>
          <w:spacing w:val="-2"/>
          <w:lang w:val="fr-FR"/>
        </w:rPr>
        <w:t>’</w:t>
      </w:r>
      <w:r w:rsidRPr="007471F6">
        <w:rPr>
          <w:b/>
          <w:bCs/>
          <w:spacing w:val="-2"/>
          <w:lang w:val="fr-FR"/>
        </w:rPr>
        <w:t>homme et rapports du Haut-Commissariat</w:t>
      </w:r>
      <w:r>
        <w:rPr>
          <w:b/>
          <w:bCs/>
          <w:lang w:val="fr-FR"/>
        </w:rPr>
        <w:t xml:space="preserve"> </w:t>
      </w:r>
      <w:r>
        <w:rPr>
          <w:b/>
          <w:bCs/>
          <w:lang w:val="fr-FR"/>
        </w:rPr>
        <w:br/>
        <w:t>et du Secrétaire général</w:t>
      </w:r>
    </w:p>
    <w:p w14:paraId="5031FED1" w14:textId="77777777" w:rsidR="002929A4" w:rsidRDefault="002929A4" w:rsidP="002929A4">
      <w:pPr>
        <w:pStyle w:val="HChG"/>
        <w:spacing w:before="380" w:after="260"/>
        <w:rPr>
          <w:lang w:val="fr-FR"/>
        </w:rPr>
      </w:pPr>
      <w:r>
        <w:rPr>
          <w:lang w:val="fr-FR"/>
        </w:rPr>
        <w:tab/>
      </w:r>
      <w:r>
        <w:rPr>
          <w:lang w:val="fr-FR"/>
        </w:rPr>
        <w:tab/>
        <w:t>R</w:t>
      </w:r>
      <w:r w:rsidRPr="007471F6">
        <w:rPr>
          <w:lang w:val="fr-FR"/>
        </w:rPr>
        <w:t>ésolution</w:t>
      </w:r>
      <w:r>
        <w:rPr>
          <w:lang w:val="fr-FR"/>
        </w:rPr>
        <w:t xml:space="preserve"> adoptée par le Conseil des droits </w:t>
      </w:r>
      <w:r>
        <w:rPr>
          <w:lang w:val="fr-FR"/>
        </w:rPr>
        <w:br/>
        <w:t>de l’homme le 12 juillet 2023</w:t>
      </w:r>
    </w:p>
    <w:p w14:paraId="01F417CF" w14:textId="0E9F5609" w:rsidR="002929A4" w:rsidRPr="00C36346" w:rsidRDefault="002929A4" w:rsidP="002929A4">
      <w:pPr>
        <w:pStyle w:val="H1G"/>
        <w:spacing w:before="380" w:after="260"/>
        <w:rPr>
          <w:lang w:val="fr-FR"/>
        </w:rPr>
      </w:pPr>
      <w:r>
        <w:rPr>
          <w:lang w:val="fr-FR"/>
        </w:rPr>
        <w:tab/>
        <w:t>53/2.</w:t>
      </w:r>
      <w:r>
        <w:rPr>
          <w:lang w:val="fr-FR"/>
        </w:rPr>
        <w:tab/>
        <w:t>Situation des droits de l’homme en Érythrée</w:t>
      </w:r>
    </w:p>
    <w:p w14:paraId="0C4213FA" w14:textId="77777777" w:rsidR="002929A4" w:rsidRPr="00C36346" w:rsidRDefault="002929A4" w:rsidP="002929A4">
      <w:pPr>
        <w:pStyle w:val="SingleTxtG"/>
        <w:ind w:firstLine="567"/>
        <w:rPr>
          <w:lang w:val="fr-FR"/>
        </w:rPr>
      </w:pPr>
      <w:r>
        <w:rPr>
          <w:i/>
          <w:iCs/>
          <w:lang w:val="fr-FR"/>
        </w:rPr>
        <w:t>Le Conseil des droits de l’homme,</w:t>
      </w:r>
    </w:p>
    <w:p w14:paraId="5E052501" w14:textId="77777777" w:rsidR="002929A4" w:rsidRPr="00C36346" w:rsidRDefault="002929A4" w:rsidP="002929A4">
      <w:pPr>
        <w:pStyle w:val="SingleTxtG"/>
        <w:spacing w:after="140"/>
        <w:ind w:firstLine="567"/>
        <w:rPr>
          <w:lang w:val="fr-FR"/>
        </w:rPr>
      </w:pPr>
      <w:r>
        <w:rPr>
          <w:i/>
          <w:iCs/>
          <w:lang w:val="fr-FR"/>
        </w:rPr>
        <w:t xml:space="preserve">Guidé </w:t>
      </w:r>
      <w:r>
        <w:rPr>
          <w:lang w:val="fr-FR"/>
        </w:rPr>
        <w:t>par la Charte des Nations Unies, la Déclaration universelle des droits de l’homme, les Pactes internationaux relatifs aux droits de l’homme et les autres instruments internationaux pertinents relatifs aux droits de l’homme,</w:t>
      </w:r>
    </w:p>
    <w:p w14:paraId="06697744" w14:textId="77777777" w:rsidR="002929A4" w:rsidRPr="00C36346" w:rsidRDefault="002929A4" w:rsidP="002929A4">
      <w:pPr>
        <w:pStyle w:val="SingleTxtG"/>
        <w:spacing w:after="140"/>
        <w:ind w:firstLine="567"/>
        <w:rPr>
          <w:lang w:val="fr-FR"/>
        </w:rPr>
      </w:pPr>
      <w:r>
        <w:rPr>
          <w:i/>
          <w:iCs/>
          <w:lang w:val="fr-FR"/>
        </w:rPr>
        <w:t xml:space="preserve">Rappelant </w:t>
      </w:r>
      <w:r>
        <w:rPr>
          <w:lang w:val="fr-FR"/>
        </w:rPr>
        <w:t>la résolution </w:t>
      </w:r>
      <w:hyperlink r:id="rId9" w:history="1">
        <w:r w:rsidRPr="00C31C0D">
          <w:rPr>
            <w:rStyle w:val="Lienhypertexte"/>
            <w:lang w:val="fr-FR"/>
          </w:rPr>
          <w:t>60/251</w:t>
        </w:r>
      </w:hyperlink>
      <w:r>
        <w:rPr>
          <w:lang w:val="fr-FR"/>
        </w:rPr>
        <w:t xml:space="preserve"> de l’Assemblée générale, du 15 mars 2006, ses propres résolutions 5/1 et 5/2, du 18 juin 2007, la résolution 91 et les décisions 250/2002, 275/2003 et 428/12 de la Commission africaine des droits de l’homme et des peuples, et toutes ses propres résolutions sur la situation des droits de l’homme en Érythrée,</w:t>
      </w:r>
      <w:bookmarkStart w:id="0" w:name="gjdgxs" w:colFirst="0" w:colLast="0"/>
      <w:bookmarkEnd w:id="0"/>
    </w:p>
    <w:p w14:paraId="17112314" w14:textId="77777777" w:rsidR="002929A4" w:rsidRPr="00C36346" w:rsidRDefault="002929A4" w:rsidP="002929A4">
      <w:pPr>
        <w:pStyle w:val="SingleTxtG"/>
        <w:spacing w:after="140"/>
        <w:ind w:firstLine="567"/>
        <w:rPr>
          <w:lang w:val="fr-FR"/>
        </w:rPr>
      </w:pPr>
      <w:r>
        <w:rPr>
          <w:i/>
          <w:iCs/>
          <w:lang w:val="fr-FR"/>
        </w:rPr>
        <w:t>Prenant note</w:t>
      </w:r>
      <w:r>
        <w:rPr>
          <w:lang w:val="fr-FR"/>
        </w:rPr>
        <w:t xml:space="preserve"> des faits survenus dans la région et de leurs répercussions, notamment en ce qui concerne les droits de l’homme en Érythrée,</w:t>
      </w:r>
    </w:p>
    <w:p w14:paraId="077B72A9" w14:textId="77777777" w:rsidR="002929A4" w:rsidRPr="002929A4" w:rsidRDefault="002929A4" w:rsidP="002929A4">
      <w:pPr>
        <w:pStyle w:val="SingleTxtG"/>
        <w:spacing w:after="140"/>
        <w:ind w:firstLine="567"/>
        <w:rPr>
          <w:spacing w:val="2"/>
          <w:lang w:val="fr-FR"/>
        </w:rPr>
      </w:pPr>
      <w:r w:rsidRPr="002929A4">
        <w:rPr>
          <w:i/>
          <w:iCs/>
          <w:spacing w:val="2"/>
          <w:lang w:val="fr-FR"/>
        </w:rPr>
        <w:t xml:space="preserve">Gravement préoccupé </w:t>
      </w:r>
      <w:r w:rsidRPr="002929A4">
        <w:rPr>
          <w:spacing w:val="2"/>
          <w:lang w:val="fr-FR"/>
        </w:rPr>
        <w:t>par les violations des droits de l’homme et les atteintes à ces droits qui, comme l’a décrit le Rapporteur spécial sur la situation des droits de l’homme en Érythrée dans son rapport</w:t>
      </w:r>
      <w:r w:rsidRPr="002929A4">
        <w:rPr>
          <w:rStyle w:val="Appelnotedebasdep"/>
          <w:spacing w:val="2"/>
        </w:rPr>
        <w:footnoteReference w:id="2"/>
      </w:r>
      <w:r w:rsidRPr="002929A4">
        <w:rPr>
          <w:spacing w:val="2"/>
          <w:lang w:val="fr-FR"/>
        </w:rPr>
        <w:t>, continuent de se produire, notamment dans le contexte d’arrestations arbitraires et de détentions au secret, de disparitions forcées et d’actes de torture, de la violation des droits à la liberté d’expression, à la liberté de pensée, de conscience et de religion ou de conviction, et à la liberté de réunion pacifique et d’association,</w:t>
      </w:r>
    </w:p>
    <w:p w14:paraId="25EA804F" w14:textId="77777777" w:rsidR="002929A4" w:rsidRPr="00C36346" w:rsidRDefault="002929A4" w:rsidP="002929A4">
      <w:pPr>
        <w:pStyle w:val="SingleTxtG"/>
        <w:spacing w:after="140"/>
        <w:ind w:firstLine="567"/>
        <w:rPr>
          <w:iCs/>
          <w:lang w:val="fr-FR"/>
        </w:rPr>
      </w:pPr>
      <w:r>
        <w:rPr>
          <w:i/>
          <w:iCs/>
          <w:lang w:val="fr-FR"/>
        </w:rPr>
        <w:t>Gravement préoccupé également</w:t>
      </w:r>
      <w:r>
        <w:rPr>
          <w:lang w:val="fr-FR"/>
        </w:rPr>
        <w:t xml:space="preserve"> par la politique de conscription forcée et de durée indéterminée dans le </w:t>
      </w:r>
      <w:r w:rsidRPr="00F91F22">
        <w:rPr>
          <w:lang w:val="fr-FR"/>
        </w:rPr>
        <w:t>service national/militaire</w:t>
      </w:r>
      <w:r>
        <w:rPr>
          <w:lang w:val="fr-FR"/>
        </w:rPr>
        <w:t xml:space="preserve"> et par les graves violations des droits de l’homme commises dans le contexte du service national,</w:t>
      </w:r>
    </w:p>
    <w:p w14:paraId="3049120B" w14:textId="382A2100" w:rsidR="002929A4" w:rsidRPr="00C36346" w:rsidRDefault="002929A4" w:rsidP="002929A4">
      <w:pPr>
        <w:pStyle w:val="SingleTxtG"/>
        <w:spacing w:after="140"/>
        <w:ind w:firstLine="567"/>
        <w:rPr>
          <w:iCs/>
          <w:lang w:val="fr-FR"/>
        </w:rPr>
      </w:pPr>
      <w:r>
        <w:rPr>
          <w:i/>
          <w:iCs/>
          <w:lang w:val="fr-FR"/>
        </w:rPr>
        <w:t>Gravement préoccupé en outre</w:t>
      </w:r>
      <w:r>
        <w:rPr>
          <w:lang w:val="fr-FR"/>
        </w:rPr>
        <w:t xml:space="preserve"> par le manque de transparence et l’absence de responsabilité dont a fait preuve jusqu’à présent le Gouvernement érythréen en ce qui concerne les cas signalés de violations des droits de l’homme et d’atteintes à ces droits commises par les forces armées érythréennes,</w:t>
      </w:r>
    </w:p>
    <w:p w14:paraId="7E460470" w14:textId="77777777" w:rsidR="002929A4" w:rsidRPr="00C36346" w:rsidRDefault="002929A4" w:rsidP="005C7FD3">
      <w:pPr>
        <w:pStyle w:val="SingleTxtG"/>
        <w:keepNext/>
        <w:keepLines/>
        <w:spacing w:after="100"/>
        <w:ind w:firstLine="567"/>
        <w:rPr>
          <w:lang w:val="fr-FR"/>
        </w:rPr>
      </w:pPr>
      <w:r>
        <w:rPr>
          <w:lang w:val="fr-FR"/>
        </w:rPr>
        <w:lastRenderedPageBreak/>
        <w:t>1.</w:t>
      </w:r>
      <w:r>
        <w:rPr>
          <w:lang w:val="fr-FR"/>
        </w:rPr>
        <w:tab/>
      </w:r>
      <w:r>
        <w:rPr>
          <w:i/>
          <w:iCs/>
          <w:lang w:val="fr-FR"/>
        </w:rPr>
        <w:t>Accueille avec satisfaction</w:t>
      </w:r>
      <w:r>
        <w:rPr>
          <w:lang w:val="fr-FR"/>
        </w:rPr>
        <w:t xml:space="preserve"> le rapport du Rapporteur spécial sur la situation des droits de l’homme en Érythrée</w:t>
      </w:r>
      <w:r w:rsidRPr="00C3483A">
        <w:rPr>
          <w:rStyle w:val="Appelnotedebasdep"/>
        </w:rPr>
        <w:footnoteReference w:id="3"/>
      </w:r>
      <w:r>
        <w:rPr>
          <w:lang w:val="fr-FR"/>
        </w:rPr>
        <w:t xml:space="preserve"> et les conclusions qui y sont énoncées, et exhorte le Gouvernement érythréen à prendre immédiatement des mesures concrètes pour appliquer toutes les recommandations formulées par le Rapporteur spécial ;</w:t>
      </w:r>
    </w:p>
    <w:p w14:paraId="5F2531B9" w14:textId="77777777" w:rsidR="002929A4" w:rsidRPr="00C36346" w:rsidRDefault="002929A4" w:rsidP="005C7FD3">
      <w:pPr>
        <w:pStyle w:val="SingleTxtG"/>
        <w:spacing w:after="100"/>
        <w:ind w:firstLine="567"/>
        <w:rPr>
          <w:lang w:val="fr-FR"/>
        </w:rPr>
      </w:pPr>
      <w:r>
        <w:rPr>
          <w:lang w:val="fr-FR"/>
        </w:rPr>
        <w:t>2.</w:t>
      </w:r>
      <w:r>
        <w:rPr>
          <w:lang w:val="fr-FR"/>
        </w:rPr>
        <w:tab/>
      </w:r>
      <w:r>
        <w:rPr>
          <w:i/>
          <w:iCs/>
          <w:lang w:val="fr-FR"/>
        </w:rPr>
        <w:t xml:space="preserve">Réaffirme </w:t>
      </w:r>
      <w:r>
        <w:rPr>
          <w:lang w:val="fr-FR"/>
        </w:rPr>
        <w:t>que toutes les personnes responsables de violations des droits de l’homme et d’atteintes à ces droits doivent répondre de leurs actes ;</w:t>
      </w:r>
    </w:p>
    <w:p w14:paraId="30F17BEC" w14:textId="77777777" w:rsidR="002929A4" w:rsidRPr="00C36346" w:rsidRDefault="002929A4" w:rsidP="005C7FD3">
      <w:pPr>
        <w:pStyle w:val="SingleTxtG"/>
        <w:spacing w:after="100"/>
        <w:ind w:firstLine="567"/>
        <w:rPr>
          <w:lang w:val="fr-FR"/>
        </w:rPr>
      </w:pPr>
      <w:r>
        <w:rPr>
          <w:lang w:val="fr-FR"/>
        </w:rPr>
        <w:t>3.</w:t>
      </w:r>
      <w:r>
        <w:rPr>
          <w:lang w:val="fr-FR"/>
        </w:rPr>
        <w:tab/>
      </w:r>
      <w:r w:rsidRPr="00947A3A">
        <w:rPr>
          <w:i/>
          <w:iCs/>
          <w:lang w:val="fr-FR"/>
        </w:rPr>
        <w:t>Décide</w:t>
      </w:r>
      <w:r>
        <w:rPr>
          <w:lang w:val="fr-FR"/>
        </w:rPr>
        <w:t xml:space="preserve"> de proroger le mandat de Rapporteur spécial sur la situation des droits de l’homme en Érythrée pour une nouvelle période d’un an ;</w:t>
      </w:r>
    </w:p>
    <w:p w14:paraId="3B2BCDEC" w14:textId="77777777" w:rsidR="002929A4" w:rsidRPr="00C36346" w:rsidRDefault="002929A4" w:rsidP="005C7FD3">
      <w:pPr>
        <w:pStyle w:val="SingleTxtG"/>
        <w:spacing w:after="100"/>
        <w:ind w:firstLine="567"/>
        <w:rPr>
          <w:lang w:val="fr-FR"/>
        </w:rPr>
      </w:pPr>
      <w:r>
        <w:rPr>
          <w:lang w:val="fr-FR"/>
        </w:rPr>
        <w:t>4.</w:t>
      </w:r>
      <w:r>
        <w:rPr>
          <w:lang w:val="fr-FR"/>
        </w:rPr>
        <w:tab/>
      </w:r>
      <w:r>
        <w:rPr>
          <w:i/>
          <w:iCs/>
          <w:lang w:val="fr-FR"/>
        </w:rPr>
        <w:t xml:space="preserve">Prie </w:t>
      </w:r>
      <w:r>
        <w:rPr>
          <w:lang w:val="fr-FR"/>
        </w:rPr>
        <w:t>le Rapporteur spécial de lui soumettre et de lui présenter un rapport à sa cinquante-sixième session et de soumettre et présenter un rapport à l’Assemblée générale à sa soixante-dix-huitième session ;</w:t>
      </w:r>
    </w:p>
    <w:p w14:paraId="1A87B1A0" w14:textId="77777777" w:rsidR="002929A4" w:rsidRPr="00C36346" w:rsidRDefault="002929A4" w:rsidP="005C7FD3">
      <w:pPr>
        <w:pStyle w:val="SingleTxtG"/>
        <w:spacing w:after="100"/>
        <w:ind w:firstLine="567"/>
        <w:rPr>
          <w:lang w:val="fr-FR"/>
        </w:rPr>
      </w:pPr>
      <w:r>
        <w:rPr>
          <w:lang w:val="fr-FR"/>
        </w:rPr>
        <w:t>5.</w:t>
      </w:r>
      <w:r>
        <w:rPr>
          <w:lang w:val="fr-FR"/>
        </w:rPr>
        <w:tab/>
      </w:r>
      <w:r w:rsidRPr="005C7FD3">
        <w:rPr>
          <w:lang w:val="fr-FR"/>
        </w:rPr>
        <w:t>Décide</w:t>
      </w:r>
      <w:r>
        <w:rPr>
          <w:i/>
          <w:iCs/>
          <w:lang w:val="fr-FR"/>
        </w:rPr>
        <w:t xml:space="preserve"> </w:t>
      </w:r>
      <w:r>
        <w:rPr>
          <w:lang w:val="fr-FR"/>
        </w:rPr>
        <w:t>de tenir un dialogue interactif approfondi sur la situation des droits de l’homme en Érythrée à sa cinquante-cinquième session, avec la participation du Rapporteur spécial, du Haut-Commissariat des Nations Unies aux droits de l’homme, de la société civile et d’autres parties prenantes ;</w:t>
      </w:r>
    </w:p>
    <w:p w14:paraId="62B60743" w14:textId="77777777" w:rsidR="002929A4" w:rsidRPr="00C36346" w:rsidRDefault="002929A4" w:rsidP="005C7FD3">
      <w:pPr>
        <w:pStyle w:val="SingleTxtG"/>
        <w:spacing w:after="100"/>
        <w:ind w:firstLine="567"/>
        <w:rPr>
          <w:lang w:val="fr-FR"/>
        </w:rPr>
      </w:pPr>
      <w:r>
        <w:rPr>
          <w:lang w:val="fr-FR"/>
        </w:rPr>
        <w:t>6.</w:t>
      </w:r>
      <w:r>
        <w:rPr>
          <w:lang w:val="fr-FR"/>
        </w:rPr>
        <w:tab/>
      </w:r>
      <w:r>
        <w:rPr>
          <w:i/>
          <w:iCs/>
          <w:lang w:val="fr-FR"/>
        </w:rPr>
        <w:t xml:space="preserve">Demande </w:t>
      </w:r>
      <w:r>
        <w:rPr>
          <w:lang w:val="fr-FR"/>
        </w:rPr>
        <w:t xml:space="preserve">au Gouvernement érythréen de coopérer pleinement avec lui et avec ses mécanismes, y compris avec le Rapporteur spécial, notamment en l’autorisant à se rendre dans le pays et en s’engageant à </w:t>
      </w:r>
      <w:proofErr w:type="gramStart"/>
      <w:r>
        <w:rPr>
          <w:lang w:val="fr-FR"/>
        </w:rPr>
        <w:t>faire des progrès</w:t>
      </w:r>
      <w:proofErr w:type="gramEnd"/>
      <w:r>
        <w:rPr>
          <w:lang w:val="fr-FR"/>
        </w:rPr>
        <w:t xml:space="preserve"> dans l’application des recommandations qu’il a formulées dans ses rapports ainsi que des progrès au regard des critères et des indicateurs connexes proposés en 2019, à savoir</w:t>
      </w:r>
      <w:r w:rsidRPr="00C3483A">
        <w:rPr>
          <w:rStyle w:val="Appelnotedebasdep"/>
        </w:rPr>
        <w:footnoteReference w:id="4"/>
      </w:r>
      <w:r>
        <w:rPr>
          <w:lang w:val="fr-FR"/>
        </w:rPr>
        <w:t> :</w:t>
      </w:r>
    </w:p>
    <w:p w14:paraId="7C4181C2" w14:textId="77777777" w:rsidR="002929A4" w:rsidRPr="00C36346" w:rsidRDefault="002929A4" w:rsidP="002929A4">
      <w:pPr>
        <w:pStyle w:val="SingleTxtG"/>
        <w:ind w:firstLine="567"/>
        <w:rPr>
          <w:lang w:val="fr-FR"/>
        </w:rPr>
      </w:pPr>
      <w:r>
        <w:rPr>
          <w:lang w:val="fr-FR"/>
        </w:rPr>
        <w:t>a)</w:t>
      </w:r>
      <w:r>
        <w:rPr>
          <w:lang w:val="fr-FR"/>
        </w:rPr>
        <w:tab/>
        <w:t>Amélioration de la promotion de l’état de droit et renforcement des institutions judiciaires et des institutions chargées de l’application des lois ;</w:t>
      </w:r>
    </w:p>
    <w:p w14:paraId="781BE94F" w14:textId="77777777" w:rsidR="002929A4" w:rsidRPr="00C36346" w:rsidRDefault="002929A4" w:rsidP="002929A4">
      <w:pPr>
        <w:pStyle w:val="SingleTxtG"/>
        <w:ind w:firstLine="567"/>
        <w:rPr>
          <w:lang w:val="fr-FR"/>
        </w:rPr>
      </w:pPr>
      <w:r>
        <w:rPr>
          <w:lang w:val="fr-FR"/>
        </w:rPr>
        <w:t>b)</w:t>
      </w:r>
      <w:r>
        <w:rPr>
          <w:lang w:val="fr-FR"/>
        </w:rPr>
        <w:tab/>
        <w:t>Preuve de l’engagement en faveur de la mise en place de réformes du service national/militaire ;</w:t>
      </w:r>
    </w:p>
    <w:p w14:paraId="61D26306" w14:textId="77777777" w:rsidR="002929A4" w:rsidRPr="00C36346" w:rsidRDefault="002929A4" w:rsidP="002929A4">
      <w:pPr>
        <w:pStyle w:val="SingleTxtG"/>
        <w:ind w:firstLine="567"/>
        <w:rPr>
          <w:lang w:val="fr-FR"/>
        </w:rPr>
      </w:pPr>
      <w:r>
        <w:rPr>
          <w:lang w:val="fr-FR"/>
        </w:rPr>
        <w:t>c)</w:t>
      </w:r>
      <w:r>
        <w:rPr>
          <w:lang w:val="fr-FR"/>
        </w:rPr>
        <w:tab/>
        <w:t xml:space="preserve">Déploiement d’efforts importants pour respecter, protéger et réaliser les droits à la liberté de religion ou de conviction, à la liberté de réunion pacifique et d’association et à la liberté d’opinion et d’expression, y compris pour les membres des </w:t>
      </w:r>
      <w:proofErr w:type="spellStart"/>
      <w:r>
        <w:rPr>
          <w:lang w:val="fr-FR"/>
        </w:rPr>
        <w:t>médias</w:t>
      </w:r>
      <w:proofErr w:type="spellEnd"/>
      <w:r>
        <w:rPr>
          <w:lang w:val="fr-FR"/>
        </w:rPr>
        <w:t>, ainsi que pour mettre un terme à la discrimination religieuse et ethnique ;</w:t>
      </w:r>
    </w:p>
    <w:p w14:paraId="5F2DC999" w14:textId="77777777" w:rsidR="002929A4" w:rsidRPr="00C36346" w:rsidRDefault="002929A4" w:rsidP="002929A4">
      <w:pPr>
        <w:pStyle w:val="SingleTxtG"/>
        <w:ind w:firstLine="567"/>
        <w:rPr>
          <w:lang w:val="fr-FR"/>
        </w:rPr>
      </w:pPr>
      <w:r>
        <w:rPr>
          <w:lang w:val="fr-FR"/>
        </w:rPr>
        <w:t>d)</w:t>
      </w:r>
      <w:r>
        <w:rPr>
          <w:lang w:val="fr-FR"/>
        </w:rPr>
        <w:tab/>
        <w:t>Preuve de l’engagement en faveur de la lutte contre toutes les formes de violence sexuelle et fondée sur le genre et en faveur de la promotion des droits des femmes et des filles et de l’égalité des sexes ;</w:t>
      </w:r>
    </w:p>
    <w:p w14:paraId="7A9BEC6A" w14:textId="77777777" w:rsidR="002929A4" w:rsidRPr="00C36346" w:rsidRDefault="002929A4" w:rsidP="002929A4">
      <w:pPr>
        <w:pStyle w:val="SingleTxtG"/>
        <w:ind w:firstLine="567"/>
        <w:rPr>
          <w:lang w:val="fr-FR"/>
        </w:rPr>
      </w:pPr>
      <w:r>
        <w:rPr>
          <w:lang w:val="fr-FR"/>
        </w:rPr>
        <w:t>e)</w:t>
      </w:r>
      <w:r>
        <w:rPr>
          <w:lang w:val="fr-FR"/>
        </w:rPr>
        <w:tab/>
        <w:t>Renforcement de la coopération avec les organes de l’Organisation des Nations Unies chargés des droits de l’homme, les organismes internationaux et la Commission africaine des droits de l’homme et des peuples ;</w:t>
      </w:r>
    </w:p>
    <w:p w14:paraId="4AC985AF" w14:textId="77777777" w:rsidR="002929A4" w:rsidRPr="00C36346" w:rsidRDefault="002929A4" w:rsidP="002929A4">
      <w:pPr>
        <w:pStyle w:val="SingleTxtG"/>
        <w:ind w:firstLine="567"/>
        <w:rPr>
          <w:lang w:val="fr-FR"/>
        </w:rPr>
      </w:pPr>
      <w:r>
        <w:rPr>
          <w:lang w:val="fr-FR"/>
        </w:rPr>
        <w:t>7.</w:t>
      </w:r>
      <w:r>
        <w:rPr>
          <w:lang w:val="fr-FR"/>
        </w:rPr>
        <w:tab/>
      </w:r>
      <w:r>
        <w:rPr>
          <w:i/>
          <w:iCs/>
          <w:lang w:val="fr-FR"/>
        </w:rPr>
        <w:t xml:space="preserve">Engage </w:t>
      </w:r>
      <w:r>
        <w:rPr>
          <w:lang w:val="fr-FR"/>
        </w:rPr>
        <w:t>le Gouvernement érythréen à donner suite aux recommandations acceptées par l’État dans le cadre du troisième cycle de l’Examen périodique universel ;</w:t>
      </w:r>
    </w:p>
    <w:p w14:paraId="301A690F" w14:textId="77777777" w:rsidR="002929A4" w:rsidRDefault="002929A4" w:rsidP="002929A4">
      <w:pPr>
        <w:pStyle w:val="SingleTxtG"/>
        <w:ind w:firstLine="567"/>
        <w:rPr>
          <w:lang w:val="fr-FR"/>
        </w:rPr>
      </w:pPr>
      <w:r>
        <w:rPr>
          <w:lang w:val="fr-FR"/>
        </w:rPr>
        <w:t>8.</w:t>
      </w:r>
      <w:r>
        <w:rPr>
          <w:lang w:val="fr-FR"/>
        </w:rPr>
        <w:tab/>
      </w:r>
      <w:r w:rsidRPr="00C31C0D">
        <w:rPr>
          <w:i/>
          <w:iCs/>
          <w:lang w:val="fr-FR"/>
        </w:rPr>
        <w:t>Prie</w:t>
      </w:r>
      <w:r>
        <w:rPr>
          <w:lang w:val="fr-FR"/>
        </w:rPr>
        <w:t xml:space="preserve"> le Secrétaire général de fournir au Rapporteur spécial toutes les informations et toutes les ressources nécessaires à l’accomplissement de son mandat ;</w:t>
      </w:r>
    </w:p>
    <w:p w14:paraId="003D402A" w14:textId="77777777" w:rsidR="002929A4" w:rsidRDefault="002929A4" w:rsidP="002929A4">
      <w:pPr>
        <w:pStyle w:val="SingleTxtG"/>
        <w:ind w:firstLine="567"/>
        <w:rPr>
          <w:lang w:val="fr-FR"/>
        </w:rPr>
      </w:pPr>
      <w:r>
        <w:rPr>
          <w:lang w:val="fr-FR"/>
        </w:rPr>
        <w:t>9.</w:t>
      </w:r>
      <w:r>
        <w:rPr>
          <w:lang w:val="fr-FR"/>
        </w:rPr>
        <w:tab/>
      </w:r>
      <w:r w:rsidRPr="00C31C0D">
        <w:rPr>
          <w:i/>
          <w:iCs/>
          <w:lang w:val="fr-FR"/>
        </w:rPr>
        <w:t>Décide</w:t>
      </w:r>
      <w:r>
        <w:rPr>
          <w:lang w:val="fr-FR"/>
        </w:rPr>
        <w:t xml:space="preserve"> de rester saisi de la question.</w:t>
      </w:r>
    </w:p>
    <w:p w14:paraId="48D34B52" w14:textId="65746DE5" w:rsidR="002929A4" w:rsidRPr="00360E3A" w:rsidRDefault="002929A4" w:rsidP="002929A4">
      <w:pPr>
        <w:pStyle w:val="SingleTxtG"/>
        <w:ind w:firstLine="567"/>
        <w:jc w:val="right"/>
        <w:rPr>
          <w:i/>
          <w:iCs/>
          <w:lang w:val="fr-FR"/>
        </w:rPr>
      </w:pPr>
      <w:r w:rsidRPr="00360E3A">
        <w:rPr>
          <w:i/>
          <w:iCs/>
          <w:lang w:val="fr-FR"/>
        </w:rPr>
        <w:t>34</w:t>
      </w:r>
      <w:r w:rsidRPr="00360E3A">
        <w:rPr>
          <w:i/>
          <w:iCs/>
          <w:vertAlign w:val="superscript"/>
          <w:lang w:val="fr-FR"/>
        </w:rPr>
        <w:t>e</w:t>
      </w:r>
      <w:r>
        <w:rPr>
          <w:i/>
          <w:iCs/>
          <w:lang w:val="fr-FR"/>
        </w:rPr>
        <w:t> </w:t>
      </w:r>
      <w:r w:rsidRPr="00360E3A">
        <w:rPr>
          <w:i/>
          <w:iCs/>
          <w:lang w:val="fr-FR"/>
        </w:rPr>
        <w:t>séance</w:t>
      </w:r>
      <w:r w:rsidRPr="00360E3A">
        <w:rPr>
          <w:i/>
          <w:iCs/>
          <w:lang w:val="fr-FR"/>
        </w:rPr>
        <w:br/>
        <w:t>12</w:t>
      </w:r>
      <w:r>
        <w:rPr>
          <w:i/>
          <w:iCs/>
          <w:lang w:val="fr-FR"/>
        </w:rPr>
        <w:t> </w:t>
      </w:r>
      <w:r w:rsidRPr="00360E3A">
        <w:rPr>
          <w:i/>
          <w:iCs/>
          <w:lang w:val="fr-FR"/>
        </w:rPr>
        <w:t>juillet 2023</w:t>
      </w:r>
    </w:p>
    <w:p w14:paraId="6CFD6E3E" w14:textId="6FE1C59F" w:rsidR="002929A4" w:rsidRDefault="002929A4" w:rsidP="002929A4">
      <w:pPr>
        <w:pStyle w:val="SingleTxtG"/>
        <w:ind w:firstLine="567"/>
        <w:rPr>
          <w:lang w:val="fr-FR"/>
        </w:rPr>
      </w:pPr>
      <w:r>
        <w:rPr>
          <w:lang w:val="fr-FR"/>
        </w:rPr>
        <w:t>[</w:t>
      </w:r>
      <w:r w:rsidRPr="00360E3A">
        <w:rPr>
          <w:lang w:val="fr-FR"/>
        </w:rPr>
        <w:t>Adoptée à l</w:t>
      </w:r>
      <w:r>
        <w:rPr>
          <w:lang w:val="fr-FR"/>
        </w:rPr>
        <w:t>’</w:t>
      </w:r>
      <w:r w:rsidRPr="00360E3A">
        <w:rPr>
          <w:lang w:val="fr-FR"/>
        </w:rPr>
        <w:t>issue d</w:t>
      </w:r>
      <w:r>
        <w:rPr>
          <w:lang w:val="fr-FR"/>
        </w:rPr>
        <w:t>’</w:t>
      </w:r>
      <w:r w:rsidRPr="00360E3A">
        <w:rPr>
          <w:lang w:val="fr-FR"/>
        </w:rPr>
        <w:t xml:space="preserve">un vote enregistré par </w:t>
      </w:r>
      <w:r>
        <w:rPr>
          <w:lang w:val="fr-FR"/>
        </w:rPr>
        <w:t>18</w:t>
      </w:r>
      <w:r w:rsidRPr="00360E3A">
        <w:rPr>
          <w:lang w:val="fr-FR"/>
        </w:rPr>
        <w:t xml:space="preserve"> voix contre </w:t>
      </w:r>
      <w:r>
        <w:rPr>
          <w:lang w:val="fr-FR"/>
        </w:rPr>
        <w:t>7</w:t>
      </w:r>
      <w:r w:rsidRPr="00360E3A">
        <w:rPr>
          <w:lang w:val="fr-FR"/>
        </w:rPr>
        <w:t xml:space="preserve">, avec </w:t>
      </w:r>
      <w:r>
        <w:rPr>
          <w:lang w:val="fr-FR"/>
        </w:rPr>
        <w:t>2</w:t>
      </w:r>
      <w:r w:rsidRPr="00360E3A">
        <w:rPr>
          <w:lang w:val="fr-FR"/>
        </w:rPr>
        <w:t>1 abstentions.</w:t>
      </w:r>
      <w:r>
        <w:rPr>
          <w:lang w:val="fr-FR"/>
        </w:rPr>
        <w:t xml:space="preserve"> </w:t>
      </w:r>
      <w:r w:rsidRPr="005C7FD3">
        <w:rPr>
          <w:lang w:val="fr-FR"/>
        </w:rPr>
        <w:t>Les voix se sont</w:t>
      </w:r>
      <w:r>
        <w:rPr>
          <w:lang w:val="fr-FR"/>
        </w:rPr>
        <w:t xml:space="preserve"> réparties comme suit : </w:t>
      </w:r>
    </w:p>
    <w:p w14:paraId="517B2680" w14:textId="77777777" w:rsidR="002929A4" w:rsidRDefault="002929A4" w:rsidP="005C7FD3">
      <w:pPr>
        <w:pStyle w:val="SingleTxtG"/>
        <w:spacing w:after="0"/>
        <w:ind w:firstLine="567"/>
        <w:rPr>
          <w:lang w:val="fr-FR"/>
        </w:rPr>
      </w:pPr>
      <w:r w:rsidRPr="00360E3A">
        <w:rPr>
          <w:i/>
          <w:iCs/>
          <w:lang w:val="fr-FR"/>
        </w:rPr>
        <w:t>Ont voté pour</w:t>
      </w:r>
      <w:r>
        <w:rPr>
          <w:lang w:val="fr-FR"/>
        </w:rPr>
        <w:t xml:space="preserve"> : </w:t>
      </w:r>
    </w:p>
    <w:p w14:paraId="7C80DE94" w14:textId="00963959" w:rsidR="002929A4" w:rsidRDefault="002929A4" w:rsidP="002929A4">
      <w:pPr>
        <w:pStyle w:val="SingleTxtG"/>
        <w:ind w:left="2268"/>
      </w:pPr>
      <w:r>
        <w:t xml:space="preserve">Allemagne, </w:t>
      </w:r>
      <w:r w:rsidRPr="00346B77">
        <w:t>Argentin</w:t>
      </w:r>
      <w:r>
        <w:t>e</w:t>
      </w:r>
      <w:r w:rsidRPr="00346B77">
        <w:t xml:space="preserve">, </w:t>
      </w:r>
      <w:r>
        <w:t>Belgique, Chili,</w:t>
      </w:r>
      <w:r w:rsidRPr="00346B77">
        <w:t xml:space="preserve"> </w:t>
      </w:r>
      <w:r>
        <w:t xml:space="preserve">Costa Rica, États-Unis d’Amérique, </w:t>
      </w:r>
      <w:r w:rsidRPr="00346B77">
        <w:t>Finland</w:t>
      </w:r>
      <w:r>
        <w:t>e</w:t>
      </w:r>
      <w:r w:rsidRPr="00346B77">
        <w:t>, France, Honduras, Lituani</w:t>
      </w:r>
      <w:r>
        <w:t>e</w:t>
      </w:r>
      <w:r w:rsidRPr="00346B77">
        <w:t>, Luxembourg, Mexi</w:t>
      </w:r>
      <w:r>
        <w:t>que</w:t>
      </w:r>
      <w:r w:rsidRPr="00346B77">
        <w:t>, Mont</w:t>
      </w:r>
      <w:r>
        <w:t>é</w:t>
      </w:r>
      <w:r w:rsidRPr="00346B77">
        <w:t>n</w:t>
      </w:r>
      <w:r>
        <w:t>é</w:t>
      </w:r>
      <w:r w:rsidRPr="00346B77">
        <w:t xml:space="preserve">gro, Paraguay, </w:t>
      </w:r>
      <w:r>
        <w:t xml:space="preserve">Roumanie, Royaume-Uni de Grande-Bretagne et d’Irlande du Nord, Tchéquie et </w:t>
      </w:r>
      <w:r w:rsidRPr="00346B77">
        <w:t>Ukraine</w:t>
      </w:r>
      <w:r>
        <w:t>.</w:t>
      </w:r>
    </w:p>
    <w:p w14:paraId="76E7CB0C" w14:textId="5CEA06D5" w:rsidR="002929A4" w:rsidRDefault="002929A4" w:rsidP="002929A4">
      <w:pPr>
        <w:pStyle w:val="SingleTxtG"/>
        <w:spacing w:after="0"/>
        <w:ind w:left="1701"/>
      </w:pPr>
      <w:r>
        <w:rPr>
          <w:i/>
          <w:iCs/>
        </w:rPr>
        <w:lastRenderedPageBreak/>
        <w:t>Ont voté con</w:t>
      </w:r>
      <w:r w:rsidRPr="009C0E00">
        <w:rPr>
          <w:i/>
          <w:iCs/>
        </w:rPr>
        <w:t>t</w:t>
      </w:r>
      <w:r>
        <w:rPr>
          <w:i/>
          <w:iCs/>
        </w:rPr>
        <w:t xml:space="preserve">re </w:t>
      </w:r>
      <w:r w:rsidRPr="00103D41">
        <w:t>:</w:t>
      </w:r>
    </w:p>
    <w:p w14:paraId="35659228" w14:textId="607C7D62" w:rsidR="002929A4" w:rsidRDefault="002929A4" w:rsidP="002929A4">
      <w:pPr>
        <w:pStyle w:val="SingleTxtG"/>
        <w:tabs>
          <w:tab w:val="clear" w:pos="1701"/>
          <w:tab w:val="clear" w:pos="2268"/>
          <w:tab w:val="clear" w:pos="2835"/>
        </w:tabs>
        <w:ind w:left="2268"/>
      </w:pPr>
      <w:r w:rsidRPr="00346B77">
        <w:t>Chin</w:t>
      </w:r>
      <w:r>
        <w:t>e,</w:t>
      </w:r>
      <w:r w:rsidRPr="00346B77">
        <w:t xml:space="preserve"> Cuba, Ér</w:t>
      </w:r>
      <w:r>
        <w:t>ythrée</w:t>
      </w:r>
      <w:r w:rsidRPr="00346B77">
        <w:t>, Ind</w:t>
      </w:r>
      <w:r>
        <w:t>e</w:t>
      </w:r>
      <w:r w:rsidRPr="00346B77">
        <w:t>, Pakistan, Somali</w:t>
      </w:r>
      <w:r>
        <w:t>e et Soudan.</w:t>
      </w:r>
    </w:p>
    <w:p w14:paraId="14A4D9AE" w14:textId="77777777" w:rsidR="002929A4" w:rsidRPr="00103D41" w:rsidRDefault="002929A4" w:rsidP="002929A4">
      <w:pPr>
        <w:pStyle w:val="SingleTxtG"/>
        <w:spacing w:after="0"/>
        <w:ind w:left="1701"/>
      </w:pPr>
      <w:r>
        <w:rPr>
          <w:i/>
          <w:iCs/>
        </w:rPr>
        <w:t xml:space="preserve">Se sont abstenus </w:t>
      </w:r>
      <w:r w:rsidRPr="00103D41">
        <w:t xml:space="preserve">: </w:t>
      </w:r>
    </w:p>
    <w:p w14:paraId="058109E5" w14:textId="1914F46B" w:rsidR="00552797" w:rsidRDefault="002929A4" w:rsidP="002929A4">
      <w:pPr>
        <w:pStyle w:val="SingleTxtG"/>
        <w:ind w:left="2268"/>
      </w:pPr>
      <w:r>
        <w:t xml:space="preserve">Afrique du Sud, Algérie, Bangladesh, </w:t>
      </w:r>
      <w:r w:rsidRPr="00346B77">
        <w:t>B</w:t>
      </w:r>
      <w:r>
        <w:t>é</w:t>
      </w:r>
      <w:r w:rsidRPr="00346B77">
        <w:t xml:space="preserve">nin, </w:t>
      </w:r>
      <w:r w:rsidRPr="00FB66FB">
        <w:t>Bolivi</w:t>
      </w:r>
      <w:r>
        <w:t>e</w:t>
      </w:r>
      <w:r w:rsidRPr="00FB66FB">
        <w:t xml:space="preserve"> (</w:t>
      </w:r>
      <w:r>
        <w:t>État plurinational de</w:t>
      </w:r>
      <w:r w:rsidRPr="00FB66FB">
        <w:t>)</w:t>
      </w:r>
      <w:r w:rsidRPr="00346B77">
        <w:t>, Camero</w:t>
      </w:r>
      <w:r>
        <w:t>u</w:t>
      </w:r>
      <w:r w:rsidRPr="00346B77">
        <w:t xml:space="preserve">n, </w:t>
      </w:r>
      <w:r w:rsidRPr="00CF740D">
        <w:t>Côte d</w:t>
      </w:r>
      <w:r>
        <w:t>’</w:t>
      </w:r>
      <w:r w:rsidRPr="00CF740D">
        <w:t>Ivoire</w:t>
      </w:r>
      <w:r w:rsidRPr="00346B77">
        <w:t xml:space="preserve">, </w:t>
      </w:r>
      <w:r>
        <w:t xml:space="preserve">Émirats arabes unis, </w:t>
      </w:r>
      <w:r w:rsidRPr="00346B77">
        <w:t xml:space="preserve">Gabon, </w:t>
      </w:r>
      <w:r>
        <w:t xml:space="preserve">Géorgie, </w:t>
      </w:r>
      <w:r w:rsidRPr="00346B77">
        <w:t xml:space="preserve">Kazakhstan, </w:t>
      </w:r>
      <w:r>
        <w:t>Kirghizistan, Malawi, Malaisie, Maldives</w:t>
      </w:r>
      <w:r w:rsidRPr="00346B77">
        <w:t xml:space="preserve">, </w:t>
      </w:r>
      <w:r>
        <w:t xml:space="preserve">Maroc, </w:t>
      </w:r>
      <w:r w:rsidRPr="00346B77">
        <w:t>N</w:t>
      </w:r>
      <w:r>
        <w:t>é</w:t>
      </w:r>
      <w:r w:rsidRPr="00346B77">
        <w:t xml:space="preserve">pal, </w:t>
      </w:r>
      <w:r>
        <w:t xml:space="preserve">Ouzbékistan, </w:t>
      </w:r>
      <w:r w:rsidRPr="00346B77">
        <w:t>Qatar, Sénégal</w:t>
      </w:r>
      <w:r>
        <w:t>, et Viet Nam.]</w:t>
      </w:r>
    </w:p>
    <w:p w14:paraId="72067A17" w14:textId="7D86BEEF" w:rsidR="002929A4" w:rsidRPr="002929A4" w:rsidRDefault="002929A4" w:rsidP="002929A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929A4" w:rsidRPr="002929A4" w:rsidSect="002929A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9C610" w14:textId="77777777" w:rsidR="002645B9" w:rsidRPr="00EF7F30" w:rsidRDefault="002645B9" w:rsidP="00EF7F30">
      <w:pPr>
        <w:pStyle w:val="Pieddepage"/>
      </w:pPr>
    </w:p>
  </w:endnote>
  <w:endnote w:type="continuationSeparator" w:id="0">
    <w:p w14:paraId="7767C380" w14:textId="77777777" w:rsidR="002645B9" w:rsidRPr="00EF7F30" w:rsidRDefault="002645B9" w:rsidP="00EF7F30">
      <w:pPr>
        <w:pStyle w:val="Pieddepage"/>
      </w:pPr>
    </w:p>
  </w:endnote>
  <w:endnote w:type="continuationNotice" w:id="1">
    <w:p w14:paraId="12331D90" w14:textId="77777777" w:rsidR="002645B9" w:rsidRDefault="002645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5DC18" w14:textId="30A0238D" w:rsidR="002929A4" w:rsidRPr="002929A4" w:rsidRDefault="002929A4" w:rsidP="002929A4">
    <w:pPr>
      <w:pStyle w:val="Pieddepage"/>
      <w:tabs>
        <w:tab w:val="right" w:pos="9638"/>
      </w:tabs>
    </w:pPr>
    <w:r w:rsidRPr="002929A4">
      <w:rPr>
        <w:b/>
        <w:sz w:val="18"/>
      </w:rPr>
      <w:fldChar w:fldCharType="begin"/>
    </w:r>
    <w:r w:rsidRPr="002929A4">
      <w:rPr>
        <w:b/>
        <w:sz w:val="18"/>
      </w:rPr>
      <w:instrText xml:space="preserve"> PAGE  \* MERGEFORMAT </w:instrText>
    </w:r>
    <w:r w:rsidRPr="002929A4">
      <w:rPr>
        <w:b/>
        <w:sz w:val="18"/>
      </w:rPr>
      <w:fldChar w:fldCharType="separate"/>
    </w:r>
    <w:r w:rsidRPr="002929A4">
      <w:rPr>
        <w:b/>
        <w:noProof/>
        <w:sz w:val="18"/>
      </w:rPr>
      <w:t>2</w:t>
    </w:r>
    <w:r w:rsidRPr="002929A4">
      <w:rPr>
        <w:b/>
        <w:sz w:val="18"/>
      </w:rPr>
      <w:fldChar w:fldCharType="end"/>
    </w:r>
    <w:r>
      <w:rPr>
        <w:b/>
        <w:sz w:val="18"/>
      </w:rPr>
      <w:tab/>
    </w:r>
    <w:r>
      <w:t>GE.23-14215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2DD2E" w14:textId="5AE0D896" w:rsidR="002929A4" w:rsidRPr="002929A4" w:rsidRDefault="002929A4" w:rsidP="002929A4">
    <w:pPr>
      <w:pStyle w:val="Pieddepage"/>
      <w:tabs>
        <w:tab w:val="right" w:pos="9638"/>
      </w:tabs>
      <w:rPr>
        <w:b/>
        <w:sz w:val="18"/>
      </w:rPr>
    </w:pPr>
    <w:r>
      <w:t>GE.23-14215</w:t>
    </w:r>
    <w:r>
      <w:tab/>
    </w:r>
    <w:r w:rsidRPr="002929A4">
      <w:rPr>
        <w:b/>
        <w:sz w:val="18"/>
      </w:rPr>
      <w:fldChar w:fldCharType="begin"/>
    </w:r>
    <w:r w:rsidRPr="002929A4">
      <w:rPr>
        <w:b/>
        <w:sz w:val="18"/>
      </w:rPr>
      <w:instrText xml:space="preserve"> PAGE  \* MERGEFORMAT </w:instrText>
    </w:r>
    <w:r w:rsidRPr="002929A4">
      <w:rPr>
        <w:b/>
        <w:sz w:val="18"/>
      </w:rPr>
      <w:fldChar w:fldCharType="separate"/>
    </w:r>
    <w:r w:rsidRPr="002929A4">
      <w:rPr>
        <w:b/>
        <w:noProof/>
        <w:sz w:val="18"/>
      </w:rPr>
      <w:t>3</w:t>
    </w:r>
    <w:r w:rsidRPr="002929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CD39A" w14:textId="367739BB" w:rsidR="0094352E" w:rsidRPr="002929A4" w:rsidRDefault="002929A4" w:rsidP="002929A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61F6ED1" wp14:editId="19C7FDF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w:t>
    </w:r>
    <w:proofErr w:type="gramStart"/>
    <w:r>
      <w:rPr>
        <w:sz w:val="20"/>
      </w:rPr>
      <w:t>14215  (</w:t>
    </w:r>
    <w:proofErr w:type="gramEnd"/>
    <w:r>
      <w:rPr>
        <w:sz w:val="20"/>
      </w:rPr>
      <w:t>F)</w:t>
    </w:r>
    <w:r>
      <w:rPr>
        <w:noProof/>
        <w:sz w:val="20"/>
      </w:rPr>
      <w:drawing>
        <wp:anchor distT="0" distB="0" distL="114300" distR="114300" simplePos="0" relativeHeight="251660288" behindDoc="0" locked="0" layoutInCell="1" allowOverlap="1" wp14:anchorId="00E30B1F" wp14:editId="6583B216">
          <wp:simplePos x="0" y="0"/>
          <wp:positionH relativeFrom="margin">
            <wp:posOffset>5489575</wp:posOffset>
          </wp:positionH>
          <wp:positionV relativeFrom="margin">
            <wp:posOffset>8891905</wp:posOffset>
          </wp:positionV>
          <wp:extent cx="561975" cy="561975"/>
          <wp:effectExtent l="0" t="0" r="9525" b="9525"/>
          <wp:wrapNone/>
          <wp:docPr id="16994236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010923    040923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CC554" w14:textId="77777777" w:rsidR="002645B9" w:rsidRPr="00EF7F30" w:rsidRDefault="002645B9"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8FB2A1A" w14:textId="77777777" w:rsidR="002645B9" w:rsidRPr="00EF7F30" w:rsidRDefault="002645B9" w:rsidP="000E5ADA">
      <w:pPr>
        <w:pStyle w:val="Pieddepage"/>
        <w:tabs>
          <w:tab w:val="right" w:pos="2155"/>
        </w:tabs>
        <w:spacing w:after="80" w:line="240" w:lineRule="atLeast"/>
        <w:ind w:left="680"/>
      </w:pPr>
      <w:r w:rsidRPr="00EF7F30">
        <w:rPr>
          <w:u w:val="single"/>
        </w:rPr>
        <w:tab/>
      </w:r>
    </w:p>
  </w:footnote>
  <w:footnote w:type="continuationNotice" w:id="1">
    <w:p w14:paraId="21F30EB2" w14:textId="77777777" w:rsidR="002645B9" w:rsidRPr="000F2457" w:rsidRDefault="002645B9">
      <w:pPr>
        <w:spacing w:line="240" w:lineRule="auto"/>
        <w:rPr>
          <w:sz w:val="2"/>
          <w:szCs w:val="2"/>
        </w:rPr>
      </w:pPr>
    </w:p>
  </w:footnote>
  <w:footnote w:id="2">
    <w:p w14:paraId="0E637126" w14:textId="77777777" w:rsidR="002929A4" w:rsidRPr="00C36346" w:rsidRDefault="002929A4" w:rsidP="002929A4">
      <w:pPr>
        <w:pStyle w:val="Notedebasdepage"/>
        <w:rPr>
          <w:lang w:val="fr-FR"/>
        </w:rPr>
      </w:pPr>
      <w:r>
        <w:rPr>
          <w:lang w:val="fr-FR"/>
        </w:rPr>
        <w:tab/>
      </w:r>
      <w:r w:rsidRPr="00C3483A">
        <w:rPr>
          <w:rStyle w:val="Appelnotedebasdep"/>
        </w:rPr>
        <w:footnoteRef/>
      </w:r>
      <w:r>
        <w:rPr>
          <w:lang w:val="fr-FR"/>
        </w:rPr>
        <w:tab/>
      </w:r>
      <w:hyperlink r:id="rId1" w:history="1">
        <w:r w:rsidRPr="00C31C0D">
          <w:rPr>
            <w:rStyle w:val="Lienhypertexte"/>
            <w:lang w:val="fr-FR"/>
          </w:rPr>
          <w:t>A/HRC/53/20</w:t>
        </w:r>
      </w:hyperlink>
      <w:r>
        <w:rPr>
          <w:lang w:val="fr-FR"/>
        </w:rPr>
        <w:t>.</w:t>
      </w:r>
    </w:p>
  </w:footnote>
  <w:footnote w:id="3">
    <w:p w14:paraId="17F887F0" w14:textId="77777777" w:rsidR="002929A4" w:rsidRPr="00C3483A" w:rsidRDefault="002929A4" w:rsidP="002929A4">
      <w:pPr>
        <w:pStyle w:val="Notedebasdepage"/>
      </w:pPr>
      <w:r>
        <w:tab/>
      </w:r>
      <w:r w:rsidRPr="00C3483A">
        <w:rPr>
          <w:rStyle w:val="Appelnotedebasdep"/>
        </w:rPr>
        <w:footnoteRef/>
      </w:r>
      <w:r>
        <w:t xml:space="preserve"> </w:t>
      </w:r>
      <w:r>
        <w:tab/>
      </w:r>
      <w:r w:rsidRPr="00C3483A">
        <w:t>Ibid.</w:t>
      </w:r>
    </w:p>
  </w:footnote>
  <w:footnote w:id="4">
    <w:p w14:paraId="3483C074" w14:textId="77777777" w:rsidR="002929A4" w:rsidRPr="00C36346" w:rsidRDefault="002929A4" w:rsidP="002929A4">
      <w:pPr>
        <w:pStyle w:val="Notedebasdepage"/>
        <w:rPr>
          <w:lang w:val="fr-FR"/>
        </w:rPr>
      </w:pPr>
      <w:r>
        <w:rPr>
          <w:lang w:val="fr-FR"/>
        </w:rPr>
        <w:tab/>
      </w:r>
      <w:r w:rsidRPr="00C3483A">
        <w:rPr>
          <w:rStyle w:val="Appelnotedebasdep"/>
        </w:rPr>
        <w:footnoteRef/>
      </w:r>
      <w:r>
        <w:rPr>
          <w:lang w:val="fr-FR"/>
        </w:rPr>
        <w:tab/>
        <w:t xml:space="preserve">Voir </w:t>
      </w:r>
      <w:hyperlink r:id="rId2" w:history="1">
        <w:r w:rsidRPr="00C31C0D">
          <w:rPr>
            <w:rStyle w:val="Lienhypertexte"/>
            <w:lang w:val="fr-FR"/>
          </w:rPr>
          <w:t>A/HRC/41/53</w:t>
        </w:r>
      </w:hyperlink>
      <w:r>
        <w:rPr>
          <w:lang w:val="fr-FR"/>
        </w:rPr>
        <w:t>, par. 78 à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48BE7" w14:textId="3A31645F" w:rsidR="002929A4" w:rsidRPr="002929A4" w:rsidRDefault="005C7FD3">
    <w:pPr>
      <w:pStyle w:val="En-tte"/>
    </w:pPr>
    <w:fldSimple w:instr=" TITLE  \* MERGEFORMAT ">
      <w:r w:rsidR="002929A4">
        <w:t>A/HRC/RES/53/2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CD8BC" w14:textId="6EF37FD1" w:rsidR="002929A4" w:rsidRPr="002929A4" w:rsidRDefault="005C7FD3" w:rsidP="002929A4">
    <w:pPr>
      <w:pStyle w:val="En-tte"/>
      <w:jc w:val="right"/>
    </w:pPr>
    <w:fldSimple w:instr=" TITLE  \* MERGEFORMAT ">
      <w:r w:rsidR="002929A4">
        <w:t>A/HRC/RES/53/2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37210494">
    <w:abstractNumId w:val="12"/>
  </w:num>
  <w:num w:numId="2" w16cid:durableId="1095596174">
    <w:abstractNumId w:val="11"/>
  </w:num>
  <w:num w:numId="3" w16cid:durableId="1526868692">
    <w:abstractNumId w:val="10"/>
  </w:num>
  <w:num w:numId="4" w16cid:durableId="508911178">
    <w:abstractNumId w:val="8"/>
  </w:num>
  <w:num w:numId="5" w16cid:durableId="306790352">
    <w:abstractNumId w:val="3"/>
  </w:num>
  <w:num w:numId="6" w16cid:durableId="200896121">
    <w:abstractNumId w:val="2"/>
  </w:num>
  <w:num w:numId="7" w16cid:durableId="341519818">
    <w:abstractNumId w:val="1"/>
  </w:num>
  <w:num w:numId="8" w16cid:durableId="1969389025">
    <w:abstractNumId w:val="0"/>
  </w:num>
  <w:num w:numId="9" w16cid:durableId="103505309">
    <w:abstractNumId w:val="9"/>
  </w:num>
  <w:num w:numId="10" w16cid:durableId="1696693154">
    <w:abstractNumId w:val="7"/>
  </w:num>
  <w:num w:numId="11" w16cid:durableId="1496994320">
    <w:abstractNumId w:val="6"/>
  </w:num>
  <w:num w:numId="12" w16cid:durableId="1133017722">
    <w:abstractNumId w:val="5"/>
  </w:num>
  <w:num w:numId="13" w16cid:durableId="1092362038">
    <w:abstractNumId w:val="4"/>
  </w:num>
  <w:num w:numId="14" w16cid:durableId="1113673618">
    <w:abstractNumId w:val="12"/>
  </w:num>
  <w:num w:numId="15" w16cid:durableId="761029197">
    <w:abstractNumId w:val="11"/>
  </w:num>
  <w:num w:numId="16" w16cid:durableId="122645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5B9"/>
    <w:rsid w:val="00023842"/>
    <w:rsid w:val="0007796D"/>
    <w:rsid w:val="000C3DF5"/>
    <w:rsid w:val="000E5ADA"/>
    <w:rsid w:val="000F2457"/>
    <w:rsid w:val="00111F2F"/>
    <w:rsid w:val="00131E73"/>
    <w:rsid w:val="0014365E"/>
    <w:rsid w:val="00176178"/>
    <w:rsid w:val="001F525A"/>
    <w:rsid w:val="00212168"/>
    <w:rsid w:val="002165E2"/>
    <w:rsid w:val="00260711"/>
    <w:rsid w:val="002645B9"/>
    <w:rsid w:val="002929A4"/>
    <w:rsid w:val="002E0D9C"/>
    <w:rsid w:val="003547BE"/>
    <w:rsid w:val="003A7B80"/>
    <w:rsid w:val="00446FE5"/>
    <w:rsid w:val="004D4CB4"/>
    <w:rsid w:val="00552797"/>
    <w:rsid w:val="00573BE5"/>
    <w:rsid w:val="00586ED3"/>
    <w:rsid w:val="00587A52"/>
    <w:rsid w:val="005B4E23"/>
    <w:rsid w:val="005C7FD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4271"/>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6FE4F"/>
  <w15:docId w15:val="{1F153047-AA7F-4E30-90E5-8419D53B2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2929A4"/>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A/RES/60/25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HRC/41/53" TargetMode="External"/><Relationship Id="rId1" Type="http://schemas.openxmlformats.org/officeDocument/2006/relationships/hyperlink" Target="http://undocs.org/fr/A/HRC/53/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921</Words>
  <Characters>5067</Characters>
  <Application>Microsoft Office Word</Application>
  <DocSecurity>0</DocSecurity>
  <Lines>42</Lines>
  <Paragraphs>11</Paragraphs>
  <ScaleCrop>false</ScaleCrop>
  <HeadingPairs>
    <vt:vector size="2" baseType="variant">
      <vt:variant>
        <vt:lpstr>Titre</vt:lpstr>
      </vt:variant>
      <vt:variant>
        <vt:i4>1</vt:i4>
      </vt:variant>
    </vt:vector>
  </HeadingPairs>
  <TitlesOfParts>
    <vt:vector size="1" baseType="lpstr">
      <vt:lpstr>A/HRC/RES/53/2</vt:lpstr>
    </vt:vector>
  </TitlesOfParts>
  <Company>DCM</Company>
  <LinksUpToDate>false</LinksUpToDate>
  <CharactersWithSpaces>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A/HRC/RES/53/2</dc:title>
  <dc:subject/>
  <dc:creator>Estelle-Delphine DITTA</dc:creator>
  <cp:keywords/>
  <cp:lastModifiedBy>Estelle-Delphine DITTA</cp:lastModifiedBy>
  <cp:revision>2</cp:revision>
  <dcterms:created xsi:type="dcterms:W3CDTF">2023-09-04T08:52:00Z</dcterms:created>
  <dcterms:modified xsi:type="dcterms:W3CDTF">2023-09-04T08:52:00Z</dcterms:modified>
</cp:coreProperties>
</file>